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2.xml" ContentType="application/vnd.openxmlformats-officedocument.wordprocessingml.head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065" w:type="dxa"/>
        <w:jc w:val="center"/>
        <w:tblLayout w:type="fixed"/>
        <w:tblCellMar>
          <w:left w:w="71" w:type="dxa"/>
          <w:right w:w="71" w:type="dxa"/>
        </w:tblCellMar>
        <w:tblLook w:val="0000" w:firstRow="0" w:lastRow="0" w:firstColumn="0" w:lastColumn="0" w:noHBand="0" w:noVBand="0"/>
      </w:tblPr>
      <w:tblGrid>
        <w:gridCol w:w="2476"/>
        <w:gridCol w:w="1492"/>
        <w:gridCol w:w="498"/>
        <w:gridCol w:w="141"/>
        <w:gridCol w:w="568"/>
        <w:gridCol w:w="353"/>
        <w:gridCol w:w="248"/>
        <w:gridCol w:w="108"/>
        <w:gridCol w:w="94"/>
        <w:gridCol w:w="1181"/>
        <w:gridCol w:w="17"/>
        <w:gridCol w:w="314"/>
        <w:gridCol w:w="1086"/>
        <w:gridCol w:w="212"/>
        <w:gridCol w:w="215"/>
        <w:gridCol w:w="1062"/>
      </w:tblGrid>
      <w:tr w:rsidR="00620011" w:rsidTr="00BC7330">
        <w:trPr>
          <w:cantSplit/>
          <w:trHeight w:val="398"/>
          <w:jc w:val="center"/>
        </w:trPr>
        <w:tc>
          <w:tcPr>
            <w:tcW w:w="2476" w:type="dxa"/>
            <w:vMerge w:val="restart"/>
            <w:tcBorders>
              <w:top w:val="single" w:sz="12" w:space="0" w:color="auto"/>
              <w:left w:val="single" w:sz="12" w:space="0" w:color="auto"/>
              <w:bottom w:val="nil"/>
            </w:tcBorders>
          </w:tcPr>
          <w:p w:rsidR="00620011" w:rsidRDefault="00620011" w:rsidP="00BC7330">
            <w:pPr>
              <w:pStyle w:val="CAPA"/>
            </w:pPr>
            <w:bookmarkStart w:id="0" w:name="_GoBack"/>
            <w:bookmarkEnd w:id="0"/>
          </w:p>
        </w:tc>
        <w:tc>
          <w:tcPr>
            <w:tcW w:w="1492" w:type="dxa"/>
            <w:vMerge w:val="restart"/>
            <w:tcBorders>
              <w:top w:val="single" w:sz="12" w:space="0" w:color="auto"/>
              <w:bottom w:val="nil"/>
            </w:tcBorders>
          </w:tcPr>
          <w:p w:rsidR="00620011" w:rsidRPr="00CC0BAB" w:rsidRDefault="00620011" w:rsidP="00BC7330">
            <w:pPr>
              <w:pStyle w:val="CAPA"/>
            </w:pPr>
          </w:p>
        </w:tc>
        <w:tc>
          <w:tcPr>
            <w:tcW w:w="639" w:type="dxa"/>
            <w:gridSpan w:val="2"/>
            <w:tcBorders>
              <w:top w:val="single" w:sz="12" w:space="0" w:color="auto"/>
              <w:left w:val="single" w:sz="12" w:space="0" w:color="auto"/>
              <w:bottom w:val="single" w:sz="4" w:space="0" w:color="auto"/>
              <w:right w:val="single" w:sz="4" w:space="0" w:color="auto"/>
            </w:tcBorders>
            <w:vAlign w:val="center"/>
          </w:tcPr>
          <w:p w:rsidR="00620011" w:rsidRPr="00CC0BAB" w:rsidRDefault="00620011" w:rsidP="00BC7330">
            <w:pPr>
              <w:pStyle w:val="CAPA"/>
              <w:jc w:val="center"/>
              <w:rPr>
                <w:sz w:val="16"/>
              </w:rPr>
            </w:pPr>
            <w:r w:rsidRPr="00CC0BAB">
              <w:rPr>
                <w:sz w:val="16"/>
              </w:rPr>
              <w:t>Nº</w:t>
            </w:r>
          </w:p>
        </w:tc>
        <w:tc>
          <w:tcPr>
            <w:tcW w:w="1169" w:type="dxa"/>
            <w:gridSpan w:val="3"/>
            <w:tcBorders>
              <w:top w:val="single" w:sz="12" w:space="0" w:color="auto"/>
              <w:left w:val="single" w:sz="4" w:space="0" w:color="auto"/>
              <w:bottom w:val="single" w:sz="4" w:space="0" w:color="auto"/>
              <w:right w:val="single" w:sz="4" w:space="0" w:color="auto"/>
            </w:tcBorders>
            <w:vAlign w:val="center"/>
          </w:tcPr>
          <w:p w:rsidR="00620011" w:rsidRPr="00CC0BAB" w:rsidRDefault="00620011" w:rsidP="00BC7330">
            <w:pPr>
              <w:pStyle w:val="CAPA"/>
              <w:jc w:val="center"/>
              <w:rPr>
                <w:sz w:val="16"/>
              </w:rPr>
            </w:pPr>
            <w:r w:rsidRPr="00CC0BAB">
              <w:rPr>
                <w:sz w:val="16"/>
              </w:rPr>
              <w:t>DATA</w:t>
            </w:r>
          </w:p>
        </w:tc>
        <w:tc>
          <w:tcPr>
            <w:tcW w:w="1383" w:type="dxa"/>
            <w:gridSpan w:val="3"/>
            <w:tcBorders>
              <w:top w:val="single" w:sz="12" w:space="0" w:color="auto"/>
              <w:left w:val="single" w:sz="4" w:space="0" w:color="auto"/>
              <w:bottom w:val="single" w:sz="4" w:space="0" w:color="auto"/>
              <w:right w:val="single" w:sz="4" w:space="0" w:color="auto"/>
            </w:tcBorders>
            <w:vAlign w:val="center"/>
          </w:tcPr>
          <w:p w:rsidR="00620011" w:rsidRPr="00CC0BAB" w:rsidRDefault="00620011" w:rsidP="00BC7330">
            <w:pPr>
              <w:pStyle w:val="CAPA"/>
              <w:jc w:val="center"/>
              <w:rPr>
                <w:sz w:val="16"/>
              </w:rPr>
            </w:pPr>
            <w:r w:rsidRPr="00CC0BAB">
              <w:rPr>
                <w:sz w:val="16"/>
              </w:rPr>
              <w:t>POR</w:t>
            </w:r>
          </w:p>
        </w:tc>
        <w:tc>
          <w:tcPr>
            <w:tcW w:w="2906" w:type="dxa"/>
            <w:gridSpan w:val="6"/>
            <w:tcBorders>
              <w:top w:val="single" w:sz="12" w:space="0" w:color="auto"/>
              <w:left w:val="single" w:sz="4" w:space="0" w:color="auto"/>
              <w:bottom w:val="single" w:sz="4" w:space="0" w:color="auto"/>
              <w:right w:val="single" w:sz="12" w:space="0" w:color="auto"/>
            </w:tcBorders>
            <w:vAlign w:val="center"/>
          </w:tcPr>
          <w:p w:rsidR="00620011" w:rsidRDefault="00620011" w:rsidP="00BC7330">
            <w:pPr>
              <w:pStyle w:val="CAPA"/>
              <w:jc w:val="center"/>
              <w:rPr>
                <w:sz w:val="16"/>
              </w:rPr>
            </w:pPr>
            <w:r>
              <w:rPr>
                <w:sz w:val="16"/>
              </w:rPr>
              <w:t>DESCRIÇÃO</w:t>
            </w:r>
          </w:p>
        </w:tc>
      </w:tr>
      <w:tr w:rsidR="00620011" w:rsidTr="00BC7330">
        <w:trPr>
          <w:cantSplit/>
          <w:trHeight w:val="337"/>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Pr="00CC0BAB" w:rsidRDefault="00620011" w:rsidP="00BC7330">
            <w:pPr>
              <w:pStyle w:val="CAPA"/>
            </w:pPr>
          </w:p>
        </w:tc>
        <w:tc>
          <w:tcPr>
            <w:tcW w:w="639" w:type="dxa"/>
            <w:gridSpan w:val="2"/>
            <w:tcBorders>
              <w:top w:val="single" w:sz="4" w:space="0" w:color="auto"/>
              <w:left w:val="single" w:sz="12" w:space="0" w:color="auto"/>
              <w:bottom w:val="single" w:sz="4" w:space="0" w:color="auto"/>
              <w:right w:val="single" w:sz="4" w:space="0" w:color="auto"/>
            </w:tcBorders>
            <w:vAlign w:val="center"/>
          </w:tcPr>
          <w:p w:rsidR="00620011" w:rsidRPr="00CC0BAB" w:rsidRDefault="00620011" w:rsidP="00BC7330">
            <w:pPr>
              <w:pStyle w:val="CAPA"/>
              <w:rPr>
                <w:sz w:val="16"/>
              </w:rPr>
            </w:pPr>
          </w:p>
        </w:tc>
        <w:tc>
          <w:tcPr>
            <w:tcW w:w="1169" w:type="dxa"/>
            <w:gridSpan w:val="3"/>
            <w:tcBorders>
              <w:top w:val="single" w:sz="4" w:space="0" w:color="auto"/>
              <w:left w:val="single" w:sz="4" w:space="0" w:color="auto"/>
              <w:bottom w:val="single" w:sz="4" w:space="0" w:color="auto"/>
              <w:right w:val="single" w:sz="4" w:space="0" w:color="auto"/>
            </w:tcBorders>
            <w:vAlign w:val="center"/>
          </w:tcPr>
          <w:p w:rsidR="00620011" w:rsidRPr="00CC0BAB" w:rsidRDefault="00620011" w:rsidP="00BC7330">
            <w:pPr>
              <w:pStyle w:val="CAPA"/>
              <w:jc w:val="center"/>
              <w:rPr>
                <w:sz w:val="16"/>
              </w:rPr>
            </w:pPr>
          </w:p>
        </w:tc>
        <w:tc>
          <w:tcPr>
            <w:tcW w:w="1383" w:type="dxa"/>
            <w:gridSpan w:val="3"/>
            <w:tcBorders>
              <w:top w:val="single" w:sz="4" w:space="0" w:color="auto"/>
              <w:left w:val="single" w:sz="4" w:space="0" w:color="auto"/>
              <w:bottom w:val="single" w:sz="4" w:space="0" w:color="auto"/>
              <w:right w:val="single" w:sz="4" w:space="0" w:color="auto"/>
            </w:tcBorders>
            <w:vAlign w:val="center"/>
          </w:tcPr>
          <w:p w:rsidR="00620011" w:rsidRPr="00CC0BAB" w:rsidRDefault="00620011" w:rsidP="00BC7330">
            <w:pPr>
              <w:pStyle w:val="CAPA"/>
              <w:jc w:val="center"/>
              <w:rPr>
                <w:sz w:val="16"/>
              </w:rPr>
            </w:pPr>
          </w:p>
        </w:tc>
        <w:tc>
          <w:tcPr>
            <w:tcW w:w="2906" w:type="dxa"/>
            <w:gridSpan w:val="6"/>
            <w:tcBorders>
              <w:top w:val="single" w:sz="4" w:space="0" w:color="auto"/>
              <w:left w:val="single" w:sz="4" w:space="0" w:color="auto"/>
              <w:bottom w:val="single" w:sz="4" w:space="0" w:color="auto"/>
              <w:right w:val="single" w:sz="12" w:space="0" w:color="auto"/>
            </w:tcBorders>
            <w:vAlign w:val="center"/>
          </w:tcPr>
          <w:p w:rsidR="00620011" w:rsidRDefault="00620011" w:rsidP="00BC7330">
            <w:pPr>
              <w:pStyle w:val="CAPA"/>
              <w:rPr>
                <w:sz w:val="16"/>
              </w:rPr>
            </w:pPr>
          </w:p>
        </w:tc>
      </w:tr>
      <w:tr w:rsidR="00620011" w:rsidTr="00BC7330">
        <w:trPr>
          <w:cantSplit/>
          <w:trHeight w:val="337"/>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Pr="00CC0BAB" w:rsidRDefault="00620011" w:rsidP="00BC7330">
            <w:pPr>
              <w:pStyle w:val="CAPA"/>
            </w:pPr>
          </w:p>
        </w:tc>
        <w:tc>
          <w:tcPr>
            <w:tcW w:w="639" w:type="dxa"/>
            <w:gridSpan w:val="2"/>
            <w:tcBorders>
              <w:top w:val="single" w:sz="4" w:space="0" w:color="auto"/>
              <w:left w:val="single" w:sz="12" w:space="0" w:color="auto"/>
              <w:bottom w:val="single" w:sz="4" w:space="0" w:color="auto"/>
              <w:right w:val="single" w:sz="4" w:space="0" w:color="auto"/>
            </w:tcBorders>
            <w:vAlign w:val="center"/>
          </w:tcPr>
          <w:p w:rsidR="00620011" w:rsidRPr="00CC0BAB" w:rsidRDefault="00620011" w:rsidP="00BC7330">
            <w:pPr>
              <w:pStyle w:val="CAPA"/>
              <w:rPr>
                <w:sz w:val="16"/>
              </w:rPr>
            </w:pPr>
          </w:p>
        </w:tc>
        <w:tc>
          <w:tcPr>
            <w:tcW w:w="1169" w:type="dxa"/>
            <w:gridSpan w:val="3"/>
            <w:tcBorders>
              <w:top w:val="single" w:sz="4" w:space="0" w:color="auto"/>
              <w:left w:val="single" w:sz="4" w:space="0" w:color="auto"/>
              <w:bottom w:val="single" w:sz="4" w:space="0" w:color="auto"/>
              <w:right w:val="single" w:sz="4" w:space="0" w:color="auto"/>
            </w:tcBorders>
            <w:vAlign w:val="center"/>
          </w:tcPr>
          <w:p w:rsidR="00620011" w:rsidRPr="00CC0BAB" w:rsidRDefault="00620011" w:rsidP="00BC7330">
            <w:pPr>
              <w:pStyle w:val="CAPA"/>
              <w:jc w:val="center"/>
              <w:rPr>
                <w:sz w:val="16"/>
              </w:rPr>
            </w:pPr>
          </w:p>
        </w:tc>
        <w:tc>
          <w:tcPr>
            <w:tcW w:w="1383" w:type="dxa"/>
            <w:gridSpan w:val="3"/>
            <w:tcBorders>
              <w:top w:val="single" w:sz="4" w:space="0" w:color="auto"/>
              <w:left w:val="single" w:sz="4" w:space="0" w:color="auto"/>
              <w:bottom w:val="single" w:sz="4" w:space="0" w:color="auto"/>
              <w:right w:val="single" w:sz="4" w:space="0" w:color="auto"/>
            </w:tcBorders>
            <w:vAlign w:val="center"/>
          </w:tcPr>
          <w:p w:rsidR="00620011" w:rsidRPr="00CC0BAB" w:rsidRDefault="00620011" w:rsidP="00BC7330">
            <w:pPr>
              <w:pStyle w:val="CAPA"/>
              <w:jc w:val="center"/>
              <w:rPr>
                <w:sz w:val="16"/>
              </w:rPr>
            </w:pPr>
          </w:p>
        </w:tc>
        <w:tc>
          <w:tcPr>
            <w:tcW w:w="2906" w:type="dxa"/>
            <w:gridSpan w:val="6"/>
            <w:tcBorders>
              <w:top w:val="single" w:sz="4" w:space="0" w:color="auto"/>
              <w:left w:val="single" w:sz="4" w:space="0" w:color="auto"/>
              <w:bottom w:val="single" w:sz="4" w:space="0" w:color="auto"/>
              <w:right w:val="single" w:sz="12" w:space="0" w:color="auto"/>
            </w:tcBorders>
            <w:vAlign w:val="center"/>
          </w:tcPr>
          <w:p w:rsidR="00620011" w:rsidRDefault="00620011" w:rsidP="00BC7330">
            <w:pPr>
              <w:pStyle w:val="CAPA"/>
              <w:rPr>
                <w:sz w:val="16"/>
              </w:rPr>
            </w:pPr>
          </w:p>
        </w:tc>
      </w:tr>
      <w:tr w:rsidR="00620011" w:rsidTr="00BC7330">
        <w:trPr>
          <w:cantSplit/>
          <w:trHeight w:val="337"/>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Pr="00CC0BAB" w:rsidRDefault="00620011" w:rsidP="00BC7330">
            <w:pPr>
              <w:pStyle w:val="CAPA"/>
            </w:pPr>
          </w:p>
        </w:tc>
        <w:tc>
          <w:tcPr>
            <w:tcW w:w="639" w:type="dxa"/>
            <w:gridSpan w:val="2"/>
            <w:tcBorders>
              <w:top w:val="single" w:sz="4" w:space="0" w:color="auto"/>
              <w:left w:val="single" w:sz="12" w:space="0" w:color="auto"/>
              <w:bottom w:val="single" w:sz="4" w:space="0" w:color="auto"/>
              <w:right w:val="single" w:sz="4" w:space="0" w:color="auto"/>
            </w:tcBorders>
            <w:vAlign w:val="center"/>
          </w:tcPr>
          <w:p w:rsidR="00620011" w:rsidRPr="00CC0BAB" w:rsidRDefault="00620011" w:rsidP="00BC7330">
            <w:pPr>
              <w:pStyle w:val="CAPA"/>
              <w:rPr>
                <w:sz w:val="16"/>
              </w:rPr>
            </w:pPr>
          </w:p>
        </w:tc>
        <w:tc>
          <w:tcPr>
            <w:tcW w:w="1169" w:type="dxa"/>
            <w:gridSpan w:val="3"/>
            <w:tcBorders>
              <w:top w:val="single" w:sz="4" w:space="0" w:color="auto"/>
              <w:left w:val="single" w:sz="4" w:space="0" w:color="auto"/>
              <w:bottom w:val="single" w:sz="4" w:space="0" w:color="auto"/>
              <w:right w:val="single" w:sz="4" w:space="0" w:color="auto"/>
            </w:tcBorders>
            <w:vAlign w:val="center"/>
          </w:tcPr>
          <w:p w:rsidR="00620011" w:rsidRPr="00CC0BAB" w:rsidRDefault="00620011" w:rsidP="00BC7330">
            <w:pPr>
              <w:pStyle w:val="CAPA"/>
              <w:jc w:val="center"/>
              <w:rPr>
                <w:sz w:val="16"/>
              </w:rPr>
            </w:pPr>
          </w:p>
        </w:tc>
        <w:tc>
          <w:tcPr>
            <w:tcW w:w="1383" w:type="dxa"/>
            <w:gridSpan w:val="3"/>
            <w:tcBorders>
              <w:top w:val="single" w:sz="4" w:space="0" w:color="auto"/>
              <w:left w:val="single" w:sz="4" w:space="0" w:color="auto"/>
              <w:bottom w:val="single" w:sz="4" w:space="0" w:color="auto"/>
              <w:right w:val="single" w:sz="4" w:space="0" w:color="auto"/>
            </w:tcBorders>
            <w:vAlign w:val="center"/>
          </w:tcPr>
          <w:p w:rsidR="00620011" w:rsidRPr="00CC0BAB" w:rsidRDefault="00620011" w:rsidP="00BC7330">
            <w:pPr>
              <w:pStyle w:val="CAPA"/>
              <w:jc w:val="center"/>
              <w:rPr>
                <w:sz w:val="16"/>
              </w:rPr>
            </w:pPr>
          </w:p>
        </w:tc>
        <w:tc>
          <w:tcPr>
            <w:tcW w:w="2906" w:type="dxa"/>
            <w:gridSpan w:val="6"/>
            <w:tcBorders>
              <w:top w:val="single" w:sz="4" w:space="0" w:color="auto"/>
              <w:left w:val="single" w:sz="4" w:space="0" w:color="auto"/>
              <w:bottom w:val="single" w:sz="4" w:space="0" w:color="auto"/>
              <w:right w:val="single" w:sz="12" w:space="0" w:color="auto"/>
            </w:tcBorders>
            <w:vAlign w:val="center"/>
          </w:tcPr>
          <w:p w:rsidR="00620011" w:rsidRDefault="00620011" w:rsidP="00BC7330">
            <w:pPr>
              <w:pStyle w:val="CAPA"/>
              <w:rPr>
                <w:sz w:val="16"/>
              </w:rPr>
            </w:pPr>
          </w:p>
        </w:tc>
      </w:tr>
      <w:tr w:rsidR="00620011" w:rsidTr="00BC7330">
        <w:trPr>
          <w:cantSplit/>
          <w:trHeight w:val="364"/>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Pr="00CC0BAB" w:rsidRDefault="00620011" w:rsidP="00BC7330">
            <w:pPr>
              <w:pStyle w:val="CAPA"/>
            </w:pPr>
          </w:p>
        </w:tc>
        <w:tc>
          <w:tcPr>
            <w:tcW w:w="639" w:type="dxa"/>
            <w:gridSpan w:val="2"/>
            <w:tcBorders>
              <w:top w:val="single" w:sz="4" w:space="0" w:color="auto"/>
              <w:left w:val="single" w:sz="12" w:space="0" w:color="auto"/>
              <w:bottom w:val="single" w:sz="4" w:space="0" w:color="auto"/>
              <w:right w:val="single" w:sz="4" w:space="0" w:color="auto"/>
            </w:tcBorders>
            <w:vAlign w:val="center"/>
          </w:tcPr>
          <w:p w:rsidR="00620011" w:rsidRPr="00CC0BAB" w:rsidRDefault="00620011" w:rsidP="00BC7330">
            <w:pPr>
              <w:pStyle w:val="CAPA"/>
              <w:rPr>
                <w:sz w:val="16"/>
              </w:rPr>
            </w:pPr>
          </w:p>
        </w:tc>
        <w:tc>
          <w:tcPr>
            <w:tcW w:w="1169" w:type="dxa"/>
            <w:gridSpan w:val="3"/>
            <w:tcBorders>
              <w:top w:val="single" w:sz="4" w:space="0" w:color="auto"/>
              <w:left w:val="single" w:sz="4" w:space="0" w:color="auto"/>
              <w:bottom w:val="single" w:sz="4" w:space="0" w:color="auto"/>
              <w:right w:val="single" w:sz="4" w:space="0" w:color="auto"/>
            </w:tcBorders>
            <w:vAlign w:val="center"/>
          </w:tcPr>
          <w:p w:rsidR="00620011" w:rsidRPr="00CC0BAB" w:rsidRDefault="00620011" w:rsidP="00BC7330">
            <w:pPr>
              <w:pStyle w:val="CAPA"/>
              <w:jc w:val="center"/>
              <w:rPr>
                <w:sz w:val="16"/>
              </w:rPr>
            </w:pPr>
          </w:p>
        </w:tc>
        <w:tc>
          <w:tcPr>
            <w:tcW w:w="1383" w:type="dxa"/>
            <w:gridSpan w:val="3"/>
            <w:tcBorders>
              <w:top w:val="single" w:sz="4" w:space="0" w:color="auto"/>
              <w:left w:val="single" w:sz="4" w:space="0" w:color="auto"/>
              <w:bottom w:val="single" w:sz="4" w:space="0" w:color="auto"/>
              <w:right w:val="single" w:sz="4" w:space="0" w:color="auto"/>
            </w:tcBorders>
            <w:vAlign w:val="center"/>
          </w:tcPr>
          <w:p w:rsidR="00620011" w:rsidRPr="00CC0BAB" w:rsidRDefault="00620011" w:rsidP="00BC7330">
            <w:pPr>
              <w:pStyle w:val="CAPA"/>
              <w:jc w:val="center"/>
              <w:rPr>
                <w:sz w:val="16"/>
              </w:rPr>
            </w:pPr>
          </w:p>
        </w:tc>
        <w:tc>
          <w:tcPr>
            <w:tcW w:w="2906" w:type="dxa"/>
            <w:gridSpan w:val="6"/>
            <w:tcBorders>
              <w:top w:val="single" w:sz="4" w:space="0" w:color="auto"/>
              <w:left w:val="single" w:sz="4" w:space="0" w:color="auto"/>
              <w:bottom w:val="single" w:sz="4" w:space="0" w:color="auto"/>
              <w:right w:val="single" w:sz="12" w:space="0" w:color="auto"/>
            </w:tcBorders>
            <w:vAlign w:val="center"/>
          </w:tcPr>
          <w:p w:rsidR="00620011" w:rsidRDefault="00620011" w:rsidP="00BC7330">
            <w:pPr>
              <w:pStyle w:val="CAPA"/>
              <w:rPr>
                <w:sz w:val="16"/>
              </w:rPr>
            </w:pPr>
          </w:p>
        </w:tc>
      </w:tr>
      <w:tr w:rsidR="00620011" w:rsidTr="00BC7330">
        <w:trPr>
          <w:cantSplit/>
          <w:trHeight w:val="364"/>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Pr="00CC0BAB" w:rsidRDefault="00620011" w:rsidP="00BC7330">
            <w:pPr>
              <w:pStyle w:val="CAPA"/>
            </w:pPr>
          </w:p>
        </w:tc>
        <w:tc>
          <w:tcPr>
            <w:tcW w:w="639" w:type="dxa"/>
            <w:gridSpan w:val="2"/>
            <w:tcBorders>
              <w:top w:val="single" w:sz="4" w:space="0" w:color="auto"/>
              <w:left w:val="single" w:sz="12" w:space="0" w:color="auto"/>
              <w:bottom w:val="single" w:sz="4" w:space="0" w:color="auto"/>
              <w:right w:val="single" w:sz="4" w:space="0" w:color="auto"/>
            </w:tcBorders>
            <w:vAlign w:val="center"/>
          </w:tcPr>
          <w:p w:rsidR="00620011" w:rsidRPr="00CC0BAB" w:rsidRDefault="00620011" w:rsidP="00BC7330">
            <w:pPr>
              <w:pStyle w:val="CAPA"/>
              <w:rPr>
                <w:sz w:val="16"/>
              </w:rPr>
            </w:pPr>
          </w:p>
        </w:tc>
        <w:tc>
          <w:tcPr>
            <w:tcW w:w="1169" w:type="dxa"/>
            <w:gridSpan w:val="3"/>
            <w:tcBorders>
              <w:top w:val="single" w:sz="4" w:space="0" w:color="auto"/>
              <w:left w:val="single" w:sz="4" w:space="0" w:color="auto"/>
              <w:bottom w:val="single" w:sz="4" w:space="0" w:color="auto"/>
              <w:right w:val="single" w:sz="4" w:space="0" w:color="auto"/>
            </w:tcBorders>
            <w:vAlign w:val="center"/>
          </w:tcPr>
          <w:p w:rsidR="00620011" w:rsidRPr="00CC0BAB" w:rsidRDefault="00620011" w:rsidP="00BC7330">
            <w:pPr>
              <w:pStyle w:val="CAPA"/>
              <w:jc w:val="center"/>
              <w:rPr>
                <w:sz w:val="16"/>
              </w:rPr>
            </w:pPr>
          </w:p>
        </w:tc>
        <w:tc>
          <w:tcPr>
            <w:tcW w:w="1383" w:type="dxa"/>
            <w:gridSpan w:val="3"/>
            <w:tcBorders>
              <w:top w:val="single" w:sz="4" w:space="0" w:color="auto"/>
              <w:left w:val="single" w:sz="4" w:space="0" w:color="auto"/>
              <w:bottom w:val="single" w:sz="4" w:space="0" w:color="auto"/>
              <w:right w:val="single" w:sz="4" w:space="0" w:color="auto"/>
            </w:tcBorders>
            <w:vAlign w:val="center"/>
          </w:tcPr>
          <w:p w:rsidR="00620011" w:rsidRPr="00CC0BAB" w:rsidRDefault="00620011" w:rsidP="00BC7330">
            <w:pPr>
              <w:pStyle w:val="CAPA"/>
              <w:jc w:val="center"/>
              <w:rPr>
                <w:sz w:val="16"/>
              </w:rPr>
            </w:pPr>
          </w:p>
        </w:tc>
        <w:tc>
          <w:tcPr>
            <w:tcW w:w="2906" w:type="dxa"/>
            <w:gridSpan w:val="6"/>
            <w:tcBorders>
              <w:top w:val="single" w:sz="4" w:space="0" w:color="auto"/>
              <w:left w:val="single" w:sz="4" w:space="0" w:color="auto"/>
              <w:bottom w:val="single" w:sz="4" w:space="0" w:color="auto"/>
              <w:right w:val="single" w:sz="12" w:space="0" w:color="auto"/>
            </w:tcBorders>
            <w:vAlign w:val="center"/>
          </w:tcPr>
          <w:p w:rsidR="00620011" w:rsidRDefault="00620011" w:rsidP="00BC7330">
            <w:pPr>
              <w:pStyle w:val="CAPA"/>
              <w:rPr>
                <w:sz w:val="16"/>
              </w:rPr>
            </w:pPr>
          </w:p>
        </w:tc>
      </w:tr>
      <w:tr w:rsidR="00620011" w:rsidTr="00BC7330">
        <w:trPr>
          <w:cantSplit/>
          <w:trHeight w:val="236"/>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Pr="00CC0BAB" w:rsidRDefault="00620011" w:rsidP="00BC7330">
            <w:pPr>
              <w:pStyle w:val="CAPA"/>
            </w:pPr>
          </w:p>
        </w:tc>
        <w:tc>
          <w:tcPr>
            <w:tcW w:w="6097" w:type="dxa"/>
            <w:gridSpan w:val="14"/>
            <w:tcBorders>
              <w:top w:val="single" w:sz="12" w:space="0" w:color="auto"/>
              <w:bottom w:val="single" w:sz="12" w:space="0" w:color="auto"/>
              <w:right w:val="single" w:sz="12" w:space="0" w:color="auto"/>
            </w:tcBorders>
          </w:tcPr>
          <w:p w:rsidR="00620011" w:rsidRPr="00CC0BAB" w:rsidRDefault="00620011" w:rsidP="00BC7330">
            <w:pPr>
              <w:pStyle w:val="CAPA"/>
              <w:spacing w:before="120" w:after="120"/>
            </w:pPr>
          </w:p>
        </w:tc>
      </w:tr>
      <w:tr w:rsidR="00620011" w:rsidTr="002C0D71">
        <w:trPr>
          <w:cantSplit/>
          <w:trHeight w:val="984"/>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Pr="00CC0BAB" w:rsidRDefault="00620011" w:rsidP="00BC7330">
            <w:pPr>
              <w:pStyle w:val="CAPA"/>
            </w:pPr>
          </w:p>
        </w:tc>
        <w:tc>
          <w:tcPr>
            <w:tcW w:w="3208" w:type="dxa"/>
            <w:gridSpan w:val="9"/>
            <w:tcBorders>
              <w:top w:val="single" w:sz="12" w:space="0" w:color="auto"/>
              <w:left w:val="single" w:sz="12" w:space="0" w:color="auto"/>
              <w:bottom w:val="single" w:sz="2" w:space="0" w:color="auto"/>
              <w:right w:val="single" w:sz="2" w:space="0" w:color="auto"/>
            </w:tcBorders>
            <w:vAlign w:val="center"/>
          </w:tcPr>
          <w:p w:rsidR="00620011" w:rsidRPr="00CC0BAB" w:rsidRDefault="00F74075" w:rsidP="002A0665">
            <w:pPr>
              <w:jc w:val="center"/>
            </w:pPr>
            <w:r>
              <w:rPr>
                <w:noProof/>
              </w:rPr>
              <w:drawing>
                <wp:inline distT="0" distB="0" distL="0" distR="0" wp14:anchorId="2292CF6A" wp14:editId="752BDFE9">
                  <wp:extent cx="1495425" cy="447675"/>
                  <wp:effectExtent l="19050" t="0" r="9525" b="0"/>
                  <wp:docPr id="1" name="Imagem 11"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1" descr="Descrição: Hidrostudio 4.bmp"/>
                          <pic:cNvPicPr>
                            <a:picLocks noChangeAspect="1" noChangeArrowheads="1"/>
                          </pic:cNvPicPr>
                        </pic:nvPicPr>
                        <pic:blipFill>
                          <a:blip r:embed="rId9" cstate="print"/>
                          <a:srcRect/>
                          <a:stretch>
                            <a:fillRect/>
                          </a:stretch>
                        </pic:blipFill>
                        <pic:spPr bwMode="auto">
                          <a:xfrm>
                            <a:off x="0" y="0"/>
                            <a:ext cx="1495425" cy="447675"/>
                          </a:xfrm>
                          <a:prstGeom prst="rect">
                            <a:avLst/>
                          </a:prstGeom>
                          <a:noFill/>
                          <a:ln w="9525">
                            <a:noFill/>
                            <a:miter lim="800000"/>
                            <a:headEnd/>
                            <a:tailEnd/>
                          </a:ln>
                        </pic:spPr>
                      </pic:pic>
                    </a:graphicData>
                  </a:graphic>
                </wp:inline>
              </w:drawing>
            </w:r>
          </w:p>
        </w:tc>
        <w:tc>
          <w:tcPr>
            <w:tcW w:w="2889" w:type="dxa"/>
            <w:gridSpan w:val="5"/>
            <w:tcBorders>
              <w:top w:val="single" w:sz="12" w:space="0" w:color="auto"/>
              <w:left w:val="single" w:sz="2" w:space="0" w:color="auto"/>
              <w:bottom w:val="single" w:sz="2" w:space="0" w:color="auto"/>
              <w:right w:val="single" w:sz="12" w:space="0" w:color="auto"/>
            </w:tcBorders>
          </w:tcPr>
          <w:p w:rsidR="00620011" w:rsidRPr="007B62A4" w:rsidRDefault="00F74075" w:rsidP="00BC7330">
            <w:pPr>
              <w:jc w:val="center"/>
              <w:rPr>
                <w:rFonts w:ascii="Arial Black" w:hAnsi="Arial Black"/>
                <w:sz w:val="2"/>
              </w:rPr>
            </w:pPr>
            <w:r>
              <w:rPr>
                <w:noProof/>
              </w:rPr>
              <w:drawing>
                <wp:anchor distT="0" distB="0" distL="114300" distR="114300" simplePos="0" relativeHeight="251655168" behindDoc="0" locked="0" layoutInCell="1" allowOverlap="1" wp14:anchorId="2F39D5A5" wp14:editId="58C5F946">
                  <wp:simplePos x="0" y="0"/>
                  <wp:positionH relativeFrom="margin">
                    <wp:posOffset>67945</wp:posOffset>
                  </wp:positionH>
                  <wp:positionV relativeFrom="margin">
                    <wp:posOffset>191770</wp:posOffset>
                  </wp:positionV>
                  <wp:extent cx="1601470" cy="253365"/>
                  <wp:effectExtent l="19050" t="0" r="0" b="0"/>
                  <wp:wrapSquare wrapText="bothSides"/>
                  <wp:docPr id="39" name="Imagem 10"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escrição: the-azul"/>
                          <pic:cNvPicPr>
                            <a:picLocks noChangeAspect="1" noChangeArrowheads="1"/>
                          </pic:cNvPicPr>
                        </pic:nvPicPr>
                        <pic:blipFill>
                          <a:blip r:embed="rId10" cstate="print"/>
                          <a:srcRect/>
                          <a:stretch>
                            <a:fillRect/>
                          </a:stretch>
                        </pic:blipFill>
                        <pic:spPr bwMode="auto">
                          <a:xfrm>
                            <a:off x="0" y="0"/>
                            <a:ext cx="1601470" cy="253365"/>
                          </a:xfrm>
                          <a:prstGeom prst="rect">
                            <a:avLst/>
                          </a:prstGeom>
                          <a:noFill/>
                          <a:ln w="9525">
                            <a:noFill/>
                            <a:miter lim="800000"/>
                            <a:headEnd/>
                            <a:tailEnd/>
                          </a:ln>
                        </pic:spPr>
                      </pic:pic>
                    </a:graphicData>
                  </a:graphic>
                </wp:anchor>
              </w:drawing>
            </w:r>
          </w:p>
        </w:tc>
      </w:tr>
      <w:tr w:rsidR="00620011" w:rsidTr="00DD76BB">
        <w:trPr>
          <w:cantSplit/>
          <w:trHeight w:val="385"/>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Pr="00CC0BAB" w:rsidRDefault="00620011" w:rsidP="00BC7330">
            <w:pPr>
              <w:pStyle w:val="CAPA"/>
            </w:pPr>
          </w:p>
        </w:tc>
        <w:tc>
          <w:tcPr>
            <w:tcW w:w="1916" w:type="dxa"/>
            <w:gridSpan w:val="6"/>
            <w:tcBorders>
              <w:top w:val="single" w:sz="2" w:space="0" w:color="auto"/>
              <w:left w:val="single" w:sz="12" w:space="0" w:color="auto"/>
              <w:bottom w:val="single" w:sz="2" w:space="0" w:color="auto"/>
              <w:right w:val="single" w:sz="2" w:space="0" w:color="auto"/>
            </w:tcBorders>
          </w:tcPr>
          <w:p w:rsidR="00620011" w:rsidRPr="00CC0BAB" w:rsidRDefault="00620011" w:rsidP="00DD76BB">
            <w:pPr>
              <w:pStyle w:val="CAPA"/>
              <w:rPr>
                <w:sz w:val="16"/>
              </w:rPr>
            </w:pPr>
            <w:r w:rsidRPr="00CC0BAB">
              <w:rPr>
                <w:sz w:val="16"/>
              </w:rPr>
              <w:t xml:space="preserve">PROJ. </w:t>
            </w:r>
          </w:p>
          <w:p w:rsidR="00DD76BB" w:rsidRDefault="006D5422" w:rsidP="00DD76BB">
            <w:pPr>
              <w:pStyle w:val="CAPA"/>
              <w:rPr>
                <w:sz w:val="16"/>
              </w:rPr>
            </w:pPr>
            <w:r>
              <w:rPr>
                <w:sz w:val="16"/>
              </w:rPr>
              <w:t>M.S.V./F.H/V.C./M.F.A./R.F.R./D.H./A.Z./W.B./</w:t>
            </w:r>
          </w:p>
          <w:p w:rsidR="00620011" w:rsidRPr="00CC0BAB" w:rsidRDefault="006D5422" w:rsidP="00DD76BB">
            <w:pPr>
              <w:pStyle w:val="CAPA"/>
              <w:rPr>
                <w:sz w:val="16"/>
              </w:rPr>
            </w:pPr>
            <w:r>
              <w:rPr>
                <w:sz w:val="16"/>
              </w:rPr>
              <w:t>A.M.S</w:t>
            </w:r>
            <w:r w:rsidR="00DD76BB">
              <w:rPr>
                <w:sz w:val="16"/>
              </w:rPr>
              <w:t>.</w:t>
            </w:r>
          </w:p>
        </w:tc>
        <w:tc>
          <w:tcPr>
            <w:tcW w:w="1292" w:type="dxa"/>
            <w:gridSpan w:val="3"/>
            <w:tcBorders>
              <w:top w:val="single" w:sz="2" w:space="0" w:color="auto"/>
              <w:left w:val="single" w:sz="2" w:space="0" w:color="auto"/>
              <w:bottom w:val="single" w:sz="2" w:space="0" w:color="auto"/>
              <w:right w:val="single" w:sz="2" w:space="0" w:color="auto"/>
            </w:tcBorders>
          </w:tcPr>
          <w:p w:rsidR="00620011" w:rsidRDefault="00620011" w:rsidP="006D5422">
            <w:pPr>
              <w:pStyle w:val="CAPA"/>
              <w:spacing w:before="40" w:afterLines="40" w:after="96"/>
              <w:rPr>
                <w:sz w:val="16"/>
              </w:rPr>
            </w:pPr>
            <w:r>
              <w:rPr>
                <w:sz w:val="16"/>
              </w:rPr>
              <w:t>C</w:t>
            </w:r>
          </w:p>
          <w:p w:rsidR="00620011" w:rsidRDefault="00620011" w:rsidP="006D5422">
            <w:pPr>
              <w:pStyle w:val="CAPA"/>
              <w:spacing w:before="40" w:afterLines="40" w:after="96"/>
              <w:rPr>
                <w:sz w:val="16"/>
              </w:rPr>
            </w:pPr>
          </w:p>
        </w:tc>
        <w:tc>
          <w:tcPr>
            <w:tcW w:w="1400" w:type="dxa"/>
            <w:gridSpan w:val="2"/>
            <w:tcBorders>
              <w:top w:val="single" w:sz="2" w:space="0" w:color="auto"/>
              <w:left w:val="single" w:sz="2" w:space="0" w:color="auto"/>
              <w:bottom w:val="single" w:sz="2" w:space="0" w:color="auto"/>
              <w:right w:val="single" w:sz="2" w:space="0" w:color="auto"/>
            </w:tcBorders>
          </w:tcPr>
          <w:p w:rsidR="00620011" w:rsidRDefault="00620011" w:rsidP="006D5422">
            <w:pPr>
              <w:pStyle w:val="CAPA"/>
              <w:spacing w:before="40" w:afterLines="40" w:after="96"/>
              <w:rPr>
                <w:sz w:val="16"/>
              </w:rPr>
            </w:pPr>
            <w:r>
              <w:rPr>
                <w:sz w:val="16"/>
              </w:rPr>
              <w:t>C</w:t>
            </w:r>
          </w:p>
        </w:tc>
        <w:tc>
          <w:tcPr>
            <w:tcW w:w="1489" w:type="dxa"/>
            <w:gridSpan w:val="3"/>
            <w:tcBorders>
              <w:top w:val="single" w:sz="2" w:space="0" w:color="auto"/>
              <w:left w:val="single" w:sz="2" w:space="0" w:color="auto"/>
              <w:bottom w:val="single" w:sz="2" w:space="0" w:color="auto"/>
              <w:right w:val="single" w:sz="12" w:space="0" w:color="auto"/>
            </w:tcBorders>
          </w:tcPr>
          <w:p w:rsidR="00620011" w:rsidRDefault="00620011" w:rsidP="006D5422">
            <w:pPr>
              <w:pStyle w:val="CAPA"/>
              <w:spacing w:before="40" w:afterLines="40" w:after="96"/>
              <w:rPr>
                <w:sz w:val="16"/>
              </w:rPr>
            </w:pPr>
            <w:r>
              <w:rPr>
                <w:sz w:val="16"/>
              </w:rPr>
              <w:t>DATA</w:t>
            </w:r>
          </w:p>
          <w:p w:rsidR="00620011" w:rsidRDefault="005F5487" w:rsidP="006D5422">
            <w:pPr>
              <w:pStyle w:val="CAPA"/>
              <w:spacing w:before="40" w:afterLines="40" w:after="96"/>
              <w:rPr>
                <w:sz w:val="16"/>
              </w:rPr>
            </w:pPr>
            <w:r>
              <w:rPr>
                <w:sz w:val="16"/>
              </w:rPr>
              <w:t>11/05/2015</w:t>
            </w:r>
          </w:p>
        </w:tc>
      </w:tr>
      <w:tr w:rsidR="00620011" w:rsidTr="00DD76BB">
        <w:trPr>
          <w:cantSplit/>
          <w:trHeight w:val="391"/>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Pr="00CC0BAB" w:rsidRDefault="00620011" w:rsidP="00BC7330">
            <w:pPr>
              <w:pStyle w:val="CAPA"/>
            </w:pPr>
          </w:p>
        </w:tc>
        <w:tc>
          <w:tcPr>
            <w:tcW w:w="1916" w:type="dxa"/>
            <w:gridSpan w:val="6"/>
            <w:tcBorders>
              <w:top w:val="single" w:sz="2" w:space="0" w:color="auto"/>
              <w:left w:val="single" w:sz="12" w:space="0" w:color="auto"/>
              <w:bottom w:val="single" w:sz="2" w:space="0" w:color="auto"/>
              <w:right w:val="single" w:sz="2" w:space="0" w:color="auto"/>
            </w:tcBorders>
          </w:tcPr>
          <w:p w:rsidR="00620011" w:rsidRPr="00CC0BAB" w:rsidRDefault="00620011" w:rsidP="006D5422">
            <w:pPr>
              <w:pStyle w:val="CAPA"/>
              <w:spacing w:before="40" w:afterLines="40" w:after="96"/>
              <w:rPr>
                <w:sz w:val="16"/>
              </w:rPr>
            </w:pPr>
            <w:r w:rsidRPr="00CC0BAB">
              <w:rPr>
                <w:sz w:val="16"/>
              </w:rPr>
              <w:t>DES.</w:t>
            </w:r>
          </w:p>
          <w:p w:rsidR="00620011" w:rsidRPr="00CC0BAB" w:rsidRDefault="00620011" w:rsidP="006D5422">
            <w:pPr>
              <w:pStyle w:val="CAPA"/>
              <w:spacing w:before="40" w:afterLines="40" w:after="96"/>
              <w:rPr>
                <w:sz w:val="16"/>
              </w:rPr>
            </w:pPr>
          </w:p>
        </w:tc>
        <w:tc>
          <w:tcPr>
            <w:tcW w:w="1292" w:type="dxa"/>
            <w:gridSpan w:val="3"/>
            <w:tcBorders>
              <w:top w:val="single" w:sz="2" w:space="0" w:color="auto"/>
              <w:left w:val="single" w:sz="2" w:space="0" w:color="auto"/>
              <w:bottom w:val="single" w:sz="2" w:space="0" w:color="auto"/>
              <w:right w:val="single" w:sz="2" w:space="0" w:color="auto"/>
            </w:tcBorders>
          </w:tcPr>
          <w:p w:rsidR="00620011" w:rsidRDefault="00620011" w:rsidP="006D5422">
            <w:pPr>
              <w:pStyle w:val="CAPA"/>
              <w:spacing w:before="40" w:afterLines="40" w:after="96"/>
              <w:rPr>
                <w:sz w:val="16"/>
              </w:rPr>
            </w:pPr>
            <w:r>
              <w:rPr>
                <w:sz w:val="16"/>
              </w:rPr>
              <w:t>C</w:t>
            </w:r>
          </w:p>
          <w:p w:rsidR="00620011" w:rsidRDefault="00620011" w:rsidP="006D5422">
            <w:pPr>
              <w:pStyle w:val="CAPA"/>
              <w:spacing w:before="40" w:afterLines="40" w:after="96"/>
              <w:rPr>
                <w:sz w:val="16"/>
              </w:rPr>
            </w:pPr>
          </w:p>
        </w:tc>
        <w:tc>
          <w:tcPr>
            <w:tcW w:w="1400" w:type="dxa"/>
            <w:gridSpan w:val="2"/>
            <w:tcBorders>
              <w:top w:val="single" w:sz="2" w:space="0" w:color="auto"/>
              <w:left w:val="single" w:sz="2" w:space="0" w:color="auto"/>
              <w:bottom w:val="single" w:sz="2" w:space="0" w:color="auto"/>
              <w:right w:val="single" w:sz="2" w:space="0" w:color="auto"/>
            </w:tcBorders>
          </w:tcPr>
          <w:p w:rsidR="00620011" w:rsidRDefault="00620011" w:rsidP="006D5422">
            <w:pPr>
              <w:pStyle w:val="CAPA"/>
              <w:spacing w:before="40" w:afterLines="40" w:after="96"/>
              <w:rPr>
                <w:sz w:val="16"/>
              </w:rPr>
            </w:pPr>
            <w:r>
              <w:rPr>
                <w:sz w:val="16"/>
              </w:rPr>
              <w:t>C</w:t>
            </w:r>
          </w:p>
        </w:tc>
        <w:tc>
          <w:tcPr>
            <w:tcW w:w="1489" w:type="dxa"/>
            <w:gridSpan w:val="3"/>
            <w:tcBorders>
              <w:top w:val="single" w:sz="2" w:space="0" w:color="auto"/>
              <w:left w:val="single" w:sz="2" w:space="0" w:color="auto"/>
              <w:bottom w:val="single" w:sz="2" w:space="0" w:color="auto"/>
              <w:right w:val="single" w:sz="12" w:space="0" w:color="auto"/>
            </w:tcBorders>
          </w:tcPr>
          <w:p w:rsidR="00620011" w:rsidRDefault="00620011" w:rsidP="006D5422">
            <w:pPr>
              <w:pStyle w:val="CAPA"/>
              <w:spacing w:before="40" w:afterLines="40" w:after="96"/>
              <w:rPr>
                <w:sz w:val="16"/>
              </w:rPr>
            </w:pPr>
            <w:r>
              <w:rPr>
                <w:sz w:val="16"/>
              </w:rPr>
              <w:t>VISTO</w:t>
            </w:r>
          </w:p>
          <w:p w:rsidR="00620011" w:rsidRDefault="00620011" w:rsidP="006D5422">
            <w:pPr>
              <w:pStyle w:val="CAPA"/>
              <w:spacing w:before="40" w:afterLines="40" w:after="96"/>
              <w:rPr>
                <w:sz w:val="16"/>
              </w:rPr>
            </w:pPr>
          </w:p>
        </w:tc>
      </w:tr>
      <w:tr w:rsidR="00620011" w:rsidTr="00DD76BB">
        <w:trPr>
          <w:cantSplit/>
          <w:trHeight w:val="395"/>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Pr="00CC0BAB" w:rsidRDefault="00620011" w:rsidP="00BC7330">
            <w:pPr>
              <w:pStyle w:val="CAPA"/>
            </w:pPr>
          </w:p>
        </w:tc>
        <w:tc>
          <w:tcPr>
            <w:tcW w:w="1916" w:type="dxa"/>
            <w:gridSpan w:val="6"/>
            <w:tcBorders>
              <w:top w:val="single" w:sz="2" w:space="0" w:color="auto"/>
              <w:left w:val="single" w:sz="12" w:space="0" w:color="auto"/>
              <w:bottom w:val="single" w:sz="2" w:space="0" w:color="auto"/>
              <w:right w:val="single" w:sz="2" w:space="0" w:color="auto"/>
            </w:tcBorders>
          </w:tcPr>
          <w:p w:rsidR="00620011" w:rsidRPr="00CC0BAB" w:rsidRDefault="00620011" w:rsidP="006D5422">
            <w:pPr>
              <w:pStyle w:val="CAPA"/>
              <w:spacing w:before="40" w:afterLines="40" w:after="96"/>
              <w:rPr>
                <w:sz w:val="16"/>
              </w:rPr>
            </w:pPr>
            <w:r w:rsidRPr="00CC0BAB">
              <w:rPr>
                <w:sz w:val="16"/>
              </w:rPr>
              <w:t>VER. DES.</w:t>
            </w:r>
          </w:p>
          <w:p w:rsidR="00620011" w:rsidRPr="00CC0BAB" w:rsidRDefault="00620011" w:rsidP="006D5422">
            <w:pPr>
              <w:pStyle w:val="CAPA"/>
              <w:spacing w:before="40" w:afterLines="40" w:after="96"/>
              <w:rPr>
                <w:sz w:val="16"/>
              </w:rPr>
            </w:pPr>
          </w:p>
        </w:tc>
        <w:tc>
          <w:tcPr>
            <w:tcW w:w="1292" w:type="dxa"/>
            <w:gridSpan w:val="3"/>
            <w:tcBorders>
              <w:top w:val="single" w:sz="2" w:space="0" w:color="auto"/>
              <w:left w:val="single" w:sz="2" w:space="0" w:color="auto"/>
              <w:bottom w:val="single" w:sz="2" w:space="0" w:color="auto"/>
              <w:right w:val="single" w:sz="2" w:space="0" w:color="auto"/>
            </w:tcBorders>
          </w:tcPr>
          <w:p w:rsidR="00620011" w:rsidRDefault="00620011" w:rsidP="006D5422">
            <w:pPr>
              <w:pStyle w:val="CAPA"/>
              <w:spacing w:before="40" w:afterLines="40" w:after="96"/>
              <w:rPr>
                <w:sz w:val="16"/>
              </w:rPr>
            </w:pPr>
            <w:r>
              <w:rPr>
                <w:sz w:val="16"/>
              </w:rPr>
              <w:t>E</w:t>
            </w:r>
          </w:p>
          <w:p w:rsidR="00620011" w:rsidRDefault="00620011" w:rsidP="006D5422">
            <w:pPr>
              <w:pStyle w:val="CAPA"/>
              <w:spacing w:before="40" w:afterLines="40" w:after="96"/>
              <w:rPr>
                <w:sz w:val="16"/>
              </w:rPr>
            </w:pPr>
          </w:p>
        </w:tc>
        <w:tc>
          <w:tcPr>
            <w:tcW w:w="1400" w:type="dxa"/>
            <w:gridSpan w:val="2"/>
            <w:tcBorders>
              <w:top w:val="single" w:sz="2" w:space="0" w:color="auto"/>
              <w:left w:val="single" w:sz="2" w:space="0" w:color="auto"/>
              <w:bottom w:val="single" w:sz="2" w:space="0" w:color="auto"/>
              <w:right w:val="single" w:sz="2" w:space="0" w:color="auto"/>
            </w:tcBorders>
          </w:tcPr>
          <w:p w:rsidR="00620011" w:rsidRDefault="00620011" w:rsidP="006D5422">
            <w:pPr>
              <w:pStyle w:val="CAPA"/>
              <w:spacing w:before="40" w:afterLines="40" w:after="96"/>
              <w:rPr>
                <w:sz w:val="16"/>
              </w:rPr>
            </w:pPr>
            <w:r>
              <w:rPr>
                <w:sz w:val="16"/>
              </w:rPr>
              <w:t>E</w:t>
            </w:r>
          </w:p>
        </w:tc>
        <w:tc>
          <w:tcPr>
            <w:tcW w:w="1489" w:type="dxa"/>
            <w:gridSpan w:val="3"/>
            <w:tcBorders>
              <w:top w:val="single" w:sz="2" w:space="0" w:color="auto"/>
              <w:left w:val="single" w:sz="2" w:space="0" w:color="auto"/>
              <w:bottom w:val="single" w:sz="2" w:space="0" w:color="auto"/>
              <w:right w:val="single" w:sz="12" w:space="0" w:color="auto"/>
            </w:tcBorders>
          </w:tcPr>
          <w:p w:rsidR="00620011" w:rsidRDefault="00620011" w:rsidP="006D5422">
            <w:pPr>
              <w:pStyle w:val="CAPA"/>
              <w:spacing w:before="40" w:afterLines="40" w:after="96"/>
              <w:rPr>
                <w:sz w:val="16"/>
              </w:rPr>
            </w:pPr>
            <w:r>
              <w:rPr>
                <w:sz w:val="16"/>
              </w:rPr>
              <w:t>VISTO</w:t>
            </w:r>
          </w:p>
          <w:p w:rsidR="00620011" w:rsidRDefault="00620011" w:rsidP="006D5422">
            <w:pPr>
              <w:pStyle w:val="CAPA"/>
              <w:spacing w:before="40" w:afterLines="40" w:after="96"/>
              <w:rPr>
                <w:sz w:val="16"/>
              </w:rPr>
            </w:pPr>
          </w:p>
        </w:tc>
      </w:tr>
      <w:tr w:rsidR="00620011" w:rsidTr="00DD76BB">
        <w:trPr>
          <w:cantSplit/>
          <w:trHeight w:val="387"/>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Pr="00CC0BAB" w:rsidRDefault="00620011" w:rsidP="00BC7330">
            <w:pPr>
              <w:pStyle w:val="CAPA"/>
            </w:pPr>
          </w:p>
        </w:tc>
        <w:tc>
          <w:tcPr>
            <w:tcW w:w="1916" w:type="dxa"/>
            <w:gridSpan w:val="6"/>
            <w:tcBorders>
              <w:top w:val="single" w:sz="2" w:space="0" w:color="auto"/>
              <w:left w:val="single" w:sz="12" w:space="0" w:color="auto"/>
              <w:bottom w:val="single" w:sz="12" w:space="0" w:color="auto"/>
              <w:right w:val="single" w:sz="2" w:space="0" w:color="auto"/>
            </w:tcBorders>
          </w:tcPr>
          <w:p w:rsidR="00620011" w:rsidRPr="00CC0BAB" w:rsidRDefault="00620011" w:rsidP="006D5422">
            <w:pPr>
              <w:pStyle w:val="CAPA"/>
              <w:spacing w:before="40" w:afterLines="40" w:after="96"/>
              <w:rPr>
                <w:sz w:val="16"/>
              </w:rPr>
            </w:pPr>
            <w:r w:rsidRPr="00CC0BAB">
              <w:rPr>
                <w:sz w:val="16"/>
              </w:rPr>
              <w:t>VER. PROJ.</w:t>
            </w:r>
          </w:p>
          <w:p w:rsidR="00620011" w:rsidRPr="00CC0BAB" w:rsidRDefault="00620011" w:rsidP="006D5422">
            <w:pPr>
              <w:pStyle w:val="CAPA"/>
              <w:spacing w:before="40" w:afterLines="40" w:after="96"/>
              <w:rPr>
                <w:sz w:val="16"/>
              </w:rPr>
            </w:pPr>
          </w:p>
        </w:tc>
        <w:tc>
          <w:tcPr>
            <w:tcW w:w="1292" w:type="dxa"/>
            <w:gridSpan w:val="3"/>
            <w:tcBorders>
              <w:top w:val="single" w:sz="2" w:space="0" w:color="auto"/>
              <w:left w:val="single" w:sz="2" w:space="0" w:color="auto"/>
              <w:bottom w:val="single" w:sz="12" w:space="0" w:color="auto"/>
              <w:right w:val="single" w:sz="2" w:space="0" w:color="auto"/>
            </w:tcBorders>
          </w:tcPr>
          <w:p w:rsidR="00620011" w:rsidRDefault="00620011" w:rsidP="006D5422">
            <w:pPr>
              <w:pStyle w:val="CAPA"/>
              <w:spacing w:before="40" w:afterLines="40" w:after="96"/>
              <w:rPr>
                <w:sz w:val="16"/>
                <w:lang w:val="en-US"/>
              </w:rPr>
            </w:pPr>
            <w:r>
              <w:rPr>
                <w:sz w:val="16"/>
                <w:lang w:val="en-US"/>
              </w:rPr>
              <w:t>M</w:t>
            </w:r>
          </w:p>
          <w:p w:rsidR="00620011" w:rsidRDefault="00620011" w:rsidP="006D5422">
            <w:pPr>
              <w:pStyle w:val="CAPA"/>
              <w:spacing w:before="40" w:afterLines="40" w:after="96"/>
              <w:rPr>
                <w:sz w:val="16"/>
                <w:lang w:val="en-US"/>
              </w:rPr>
            </w:pPr>
          </w:p>
        </w:tc>
        <w:tc>
          <w:tcPr>
            <w:tcW w:w="1400" w:type="dxa"/>
            <w:gridSpan w:val="2"/>
            <w:tcBorders>
              <w:top w:val="single" w:sz="2" w:space="0" w:color="auto"/>
              <w:left w:val="single" w:sz="2" w:space="0" w:color="auto"/>
              <w:bottom w:val="single" w:sz="12" w:space="0" w:color="auto"/>
              <w:right w:val="single" w:sz="2" w:space="0" w:color="auto"/>
            </w:tcBorders>
          </w:tcPr>
          <w:p w:rsidR="00620011" w:rsidRDefault="00620011" w:rsidP="006D5422">
            <w:pPr>
              <w:pStyle w:val="CAPA"/>
              <w:spacing w:before="40" w:afterLines="40" w:after="96"/>
              <w:rPr>
                <w:sz w:val="16"/>
                <w:lang w:val="en-US"/>
              </w:rPr>
            </w:pPr>
            <w:r>
              <w:rPr>
                <w:sz w:val="16"/>
                <w:lang w:val="en-US"/>
              </w:rPr>
              <w:t>M</w:t>
            </w:r>
          </w:p>
        </w:tc>
        <w:tc>
          <w:tcPr>
            <w:tcW w:w="1489" w:type="dxa"/>
            <w:gridSpan w:val="3"/>
            <w:tcBorders>
              <w:top w:val="single" w:sz="2" w:space="0" w:color="auto"/>
              <w:left w:val="single" w:sz="2" w:space="0" w:color="auto"/>
              <w:bottom w:val="single" w:sz="12" w:space="0" w:color="auto"/>
              <w:right w:val="single" w:sz="12" w:space="0" w:color="auto"/>
            </w:tcBorders>
          </w:tcPr>
          <w:p w:rsidR="00620011" w:rsidRDefault="00620011" w:rsidP="006D5422">
            <w:pPr>
              <w:pStyle w:val="CAPA"/>
              <w:spacing w:before="40" w:afterLines="40" w:after="96"/>
              <w:rPr>
                <w:sz w:val="16"/>
              </w:rPr>
            </w:pPr>
            <w:r>
              <w:rPr>
                <w:sz w:val="16"/>
              </w:rPr>
              <w:t>APROV.</w:t>
            </w:r>
          </w:p>
          <w:p w:rsidR="00620011" w:rsidRDefault="00220032" w:rsidP="006D5422">
            <w:pPr>
              <w:pStyle w:val="CAPA"/>
              <w:spacing w:before="40" w:afterLines="40" w:after="96"/>
              <w:rPr>
                <w:sz w:val="16"/>
              </w:rPr>
            </w:pPr>
            <w:r>
              <w:rPr>
                <w:sz w:val="16"/>
              </w:rPr>
              <w:t>P.D.J.</w:t>
            </w:r>
          </w:p>
        </w:tc>
      </w:tr>
      <w:tr w:rsidR="00620011" w:rsidTr="00BC7330">
        <w:trPr>
          <w:cantSplit/>
          <w:trHeight w:hRule="exact" w:val="583"/>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Default="00620011" w:rsidP="00BC7330">
            <w:pPr>
              <w:pStyle w:val="CAPA"/>
            </w:pPr>
          </w:p>
        </w:tc>
        <w:tc>
          <w:tcPr>
            <w:tcW w:w="6097" w:type="dxa"/>
            <w:gridSpan w:val="14"/>
            <w:tcBorders>
              <w:top w:val="single" w:sz="12" w:space="0" w:color="auto"/>
              <w:left w:val="single" w:sz="12" w:space="0" w:color="auto"/>
              <w:right w:val="single" w:sz="12" w:space="0" w:color="auto"/>
            </w:tcBorders>
          </w:tcPr>
          <w:p w:rsidR="00620011" w:rsidRDefault="00620011" w:rsidP="00BC7330">
            <w:pPr>
              <w:pStyle w:val="CAPA"/>
              <w:spacing w:before="120"/>
              <w:rPr>
                <w:sz w:val="16"/>
              </w:rPr>
            </w:pPr>
            <w:r>
              <w:rPr>
                <w:sz w:val="16"/>
              </w:rPr>
              <w:t>RESPONSÁVEL TÉCNICO                                 Nº CREA                               UF</w:t>
            </w:r>
          </w:p>
          <w:p w:rsidR="00620011" w:rsidRPr="00CE1336" w:rsidRDefault="00620011" w:rsidP="00BC7330">
            <w:pPr>
              <w:jc w:val="left"/>
              <w:rPr>
                <w:sz w:val="16"/>
                <w:szCs w:val="16"/>
              </w:rPr>
            </w:pPr>
            <w:r w:rsidRPr="00CE1336">
              <w:rPr>
                <w:sz w:val="16"/>
                <w:szCs w:val="16"/>
              </w:rPr>
              <w:t xml:space="preserve">PEDRO DIEGO JENSEN                                    0600875838           </w:t>
            </w:r>
            <w:r>
              <w:rPr>
                <w:sz w:val="16"/>
                <w:szCs w:val="16"/>
              </w:rPr>
              <w:t xml:space="preserve">    </w:t>
            </w:r>
            <w:r w:rsidRPr="00CE1336">
              <w:rPr>
                <w:sz w:val="16"/>
                <w:szCs w:val="16"/>
              </w:rPr>
              <w:t xml:space="preserve">       </w:t>
            </w:r>
            <w:r>
              <w:rPr>
                <w:sz w:val="16"/>
                <w:szCs w:val="16"/>
              </w:rPr>
              <w:t xml:space="preserve">  </w:t>
            </w:r>
            <w:r w:rsidRPr="00CE1336">
              <w:rPr>
                <w:sz w:val="16"/>
                <w:szCs w:val="16"/>
              </w:rPr>
              <w:t xml:space="preserve">  SP</w:t>
            </w:r>
          </w:p>
        </w:tc>
      </w:tr>
      <w:tr w:rsidR="00620011" w:rsidRPr="00CF3356" w:rsidTr="00BC7330">
        <w:trPr>
          <w:cantSplit/>
          <w:trHeight w:hRule="exact" w:val="538"/>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Default="00620011" w:rsidP="00BC7330">
            <w:pPr>
              <w:pStyle w:val="CAPA"/>
            </w:pPr>
          </w:p>
        </w:tc>
        <w:tc>
          <w:tcPr>
            <w:tcW w:w="6097" w:type="dxa"/>
            <w:gridSpan w:val="14"/>
            <w:tcBorders>
              <w:top w:val="single" w:sz="2" w:space="0" w:color="auto"/>
              <w:left w:val="single" w:sz="12" w:space="0" w:color="auto"/>
              <w:right w:val="single" w:sz="12" w:space="0" w:color="auto"/>
            </w:tcBorders>
          </w:tcPr>
          <w:p w:rsidR="00620011" w:rsidRDefault="00620011" w:rsidP="00BC7330">
            <w:pPr>
              <w:pStyle w:val="CAPA"/>
              <w:spacing w:before="120"/>
              <w:rPr>
                <w:sz w:val="16"/>
              </w:rPr>
            </w:pPr>
            <w:r>
              <w:rPr>
                <w:sz w:val="16"/>
              </w:rPr>
              <w:t>GERENTE DE CONTRATO                                Nº CREA                               UF</w:t>
            </w:r>
          </w:p>
          <w:p w:rsidR="00620011" w:rsidRPr="00CE1336" w:rsidRDefault="00620011" w:rsidP="00BC7330">
            <w:pPr>
              <w:pStyle w:val="CAPA"/>
              <w:rPr>
                <w:sz w:val="16"/>
                <w:szCs w:val="16"/>
              </w:rPr>
            </w:pPr>
            <w:r w:rsidRPr="00CE1336">
              <w:rPr>
                <w:sz w:val="16"/>
                <w:szCs w:val="16"/>
              </w:rPr>
              <w:t xml:space="preserve">ALUÍSIO PARDO CANHOLI                               </w:t>
            </w:r>
            <w:r>
              <w:rPr>
                <w:sz w:val="16"/>
                <w:szCs w:val="16"/>
              </w:rPr>
              <w:t xml:space="preserve"> </w:t>
            </w:r>
            <w:r w:rsidRPr="00CE1336">
              <w:rPr>
                <w:sz w:val="16"/>
                <w:szCs w:val="16"/>
              </w:rPr>
              <w:t>060075604</w:t>
            </w:r>
            <w:r>
              <w:rPr>
                <w:sz w:val="16"/>
                <w:szCs w:val="16"/>
              </w:rPr>
              <w:t>3</w:t>
            </w:r>
            <w:r w:rsidRPr="00CE1336">
              <w:rPr>
                <w:sz w:val="16"/>
                <w:szCs w:val="16"/>
              </w:rPr>
              <w:t xml:space="preserve">                   </w:t>
            </w:r>
            <w:r>
              <w:rPr>
                <w:sz w:val="16"/>
                <w:szCs w:val="16"/>
              </w:rPr>
              <w:t xml:space="preserve">  </w:t>
            </w:r>
            <w:r w:rsidRPr="00CE1336">
              <w:rPr>
                <w:sz w:val="16"/>
                <w:szCs w:val="16"/>
              </w:rPr>
              <w:t xml:space="preserve">     SP</w:t>
            </w:r>
          </w:p>
        </w:tc>
      </w:tr>
      <w:tr w:rsidR="00620011" w:rsidTr="00BC7330">
        <w:trPr>
          <w:cantSplit/>
          <w:trHeight w:val="1066"/>
          <w:jc w:val="center"/>
        </w:trPr>
        <w:tc>
          <w:tcPr>
            <w:tcW w:w="2476" w:type="dxa"/>
            <w:vMerge/>
            <w:tcBorders>
              <w:top w:val="nil"/>
              <w:left w:val="single" w:sz="12" w:space="0" w:color="auto"/>
              <w:bottom w:val="nil"/>
            </w:tcBorders>
          </w:tcPr>
          <w:p w:rsidR="00620011" w:rsidRPr="00CF3356" w:rsidRDefault="00620011" w:rsidP="00BC7330">
            <w:pPr>
              <w:pStyle w:val="CAPA"/>
            </w:pPr>
          </w:p>
        </w:tc>
        <w:tc>
          <w:tcPr>
            <w:tcW w:w="1492" w:type="dxa"/>
            <w:vMerge/>
            <w:tcBorders>
              <w:top w:val="nil"/>
              <w:bottom w:val="nil"/>
            </w:tcBorders>
          </w:tcPr>
          <w:p w:rsidR="00620011" w:rsidRPr="00CF3356" w:rsidRDefault="00620011" w:rsidP="00BC7330">
            <w:pPr>
              <w:pStyle w:val="CAPA"/>
            </w:pPr>
          </w:p>
        </w:tc>
        <w:tc>
          <w:tcPr>
            <w:tcW w:w="1207" w:type="dxa"/>
            <w:gridSpan w:val="3"/>
            <w:tcBorders>
              <w:top w:val="single" w:sz="12" w:space="0" w:color="auto"/>
              <w:left w:val="single" w:sz="12" w:space="0" w:color="auto"/>
              <w:right w:val="single" w:sz="4" w:space="0" w:color="auto"/>
            </w:tcBorders>
            <w:vAlign w:val="center"/>
          </w:tcPr>
          <w:p w:rsidR="00620011" w:rsidRPr="00AA188A" w:rsidRDefault="00F74075" w:rsidP="00BC7330">
            <w:pPr>
              <w:spacing w:before="100" w:beforeAutospacing="1"/>
              <w:jc w:val="center"/>
              <w:rPr>
                <w:rFonts w:cs="Arial"/>
                <w:b/>
                <w:sz w:val="16"/>
                <w:szCs w:val="16"/>
              </w:rPr>
            </w:pPr>
            <w:r>
              <w:rPr>
                <w:rFonts w:cs="Arial"/>
                <w:b/>
                <w:noProof/>
                <w:sz w:val="16"/>
                <w:szCs w:val="16"/>
              </w:rPr>
              <w:drawing>
                <wp:inline distT="0" distB="0" distL="0" distR="0" wp14:anchorId="03A38749" wp14:editId="3389B9B6">
                  <wp:extent cx="571500" cy="628650"/>
                  <wp:effectExtent l="19050" t="0" r="0" b="0"/>
                  <wp:docPr id="2" name="Imagem 21" descr="Descrição: Brasao Estado São Paulo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 descr="Descrição: Brasao Estado São Paulo (2).jpg"/>
                          <pic:cNvPicPr>
                            <a:picLocks noChangeAspect="1" noChangeArrowheads="1"/>
                          </pic:cNvPicPr>
                        </pic:nvPicPr>
                        <pic:blipFill>
                          <a:blip r:embed="rId11" cstate="print"/>
                          <a:srcRect/>
                          <a:stretch>
                            <a:fillRect/>
                          </a:stretch>
                        </pic:blipFill>
                        <pic:spPr bwMode="auto">
                          <a:xfrm>
                            <a:off x="0" y="0"/>
                            <a:ext cx="571500" cy="628650"/>
                          </a:xfrm>
                          <a:prstGeom prst="rect">
                            <a:avLst/>
                          </a:prstGeom>
                          <a:noFill/>
                          <a:ln w="9525">
                            <a:noFill/>
                            <a:miter lim="800000"/>
                            <a:headEnd/>
                            <a:tailEnd/>
                          </a:ln>
                        </pic:spPr>
                      </pic:pic>
                    </a:graphicData>
                  </a:graphic>
                </wp:inline>
              </w:drawing>
            </w:r>
          </w:p>
        </w:tc>
        <w:tc>
          <w:tcPr>
            <w:tcW w:w="3828" w:type="dxa"/>
            <w:gridSpan w:val="10"/>
            <w:tcBorders>
              <w:top w:val="single" w:sz="12" w:space="0" w:color="auto"/>
              <w:left w:val="single" w:sz="4" w:space="0" w:color="auto"/>
              <w:right w:val="single" w:sz="4" w:space="0" w:color="auto"/>
            </w:tcBorders>
            <w:vAlign w:val="center"/>
          </w:tcPr>
          <w:p w:rsidR="00620011" w:rsidRPr="00BD44E6" w:rsidRDefault="00620011" w:rsidP="00153D6D">
            <w:pPr>
              <w:tabs>
                <w:tab w:val="left" w:pos="780"/>
                <w:tab w:val="left" w:pos="922"/>
              </w:tabs>
              <w:spacing w:line="240" w:lineRule="auto"/>
              <w:jc w:val="center"/>
              <w:rPr>
                <w:rFonts w:cs="Arial"/>
                <w:b/>
                <w:sz w:val="18"/>
                <w:szCs w:val="18"/>
              </w:rPr>
            </w:pPr>
            <w:r w:rsidRPr="00BD44E6">
              <w:rPr>
                <w:rFonts w:cs="Arial"/>
                <w:b/>
                <w:sz w:val="18"/>
                <w:szCs w:val="18"/>
              </w:rPr>
              <w:t>SECRETARIA DE SANEAMENTO</w:t>
            </w:r>
          </w:p>
          <w:p w:rsidR="00620011" w:rsidRPr="00BD44E6" w:rsidRDefault="00620011" w:rsidP="00153D6D">
            <w:pPr>
              <w:tabs>
                <w:tab w:val="left" w:pos="780"/>
                <w:tab w:val="left" w:pos="922"/>
              </w:tabs>
              <w:spacing w:line="240" w:lineRule="auto"/>
              <w:jc w:val="center"/>
              <w:rPr>
                <w:rFonts w:cs="Arial"/>
                <w:b/>
                <w:sz w:val="18"/>
                <w:szCs w:val="18"/>
              </w:rPr>
            </w:pPr>
            <w:r>
              <w:rPr>
                <w:rFonts w:cs="Arial"/>
                <w:b/>
                <w:sz w:val="18"/>
                <w:szCs w:val="18"/>
              </w:rPr>
              <w:t xml:space="preserve">E </w:t>
            </w:r>
            <w:r w:rsidRPr="00BD44E6">
              <w:rPr>
                <w:rFonts w:cs="Arial"/>
                <w:b/>
                <w:sz w:val="18"/>
                <w:szCs w:val="18"/>
              </w:rPr>
              <w:t>RECURSOS HÍDRICOS</w:t>
            </w:r>
          </w:p>
          <w:p w:rsidR="00620011" w:rsidRPr="00BD44E6" w:rsidRDefault="00620011" w:rsidP="00153D6D">
            <w:pPr>
              <w:tabs>
                <w:tab w:val="left" w:pos="780"/>
                <w:tab w:val="left" w:pos="922"/>
              </w:tabs>
              <w:spacing w:line="240" w:lineRule="auto"/>
              <w:jc w:val="center"/>
              <w:rPr>
                <w:rFonts w:cs="Arial"/>
                <w:b/>
                <w:sz w:val="18"/>
                <w:szCs w:val="18"/>
              </w:rPr>
            </w:pPr>
            <w:r w:rsidRPr="00BD44E6">
              <w:rPr>
                <w:rFonts w:cs="Arial"/>
                <w:b/>
                <w:sz w:val="18"/>
                <w:szCs w:val="18"/>
              </w:rPr>
              <w:t>DEPARTAMENTO DE ÁGUAS</w:t>
            </w:r>
          </w:p>
          <w:p w:rsidR="00620011" w:rsidRPr="00AA188A" w:rsidRDefault="00620011" w:rsidP="00153D6D">
            <w:pPr>
              <w:tabs>
                <w:tab w:val="left" w:pos="780"/>
                <w:tab w:val="left" w:pos="922"/>
              </w:tabs>
              <w:spacing w:line="240" w:lineRule="auto"/>
              <w:jc w:val="center"/>
              <w:rPr>
                <w:rFonts w:cs="Arial"/>
                <w:b/>
                <w:sz w:val="16"/>
                <w:szCs w:val="16"/>
              </w:rPr>
            </w:pPr>
            <w:r>
              <w:rPr>
                <w:rFonts w:cs="Arial"/>
                <w:b/>
                <w:sz w:val="18"/>
                <w:szCs w:val="18"/>
              </w:rPr>
              <w:t xml:space="preserve">E </w:t>
            </w:r>
            <w:r w:rsidRPr="00BD44E6">
              <w:rPr>
                <w:rFonts w:cs="Arial"/>
                <w:b/>
                <w:sz w:val="18"/>
                <w:szCs w:val="18"/>
              </w:rPr>
              <w:t>ENERGIA ELÉTRICA</w:t>
            </w:r>
          </w:p>
        </w:tc>
        <w:tc>
          <w:tcPr>
            <w:tcW w:w="1062" w:type="dxa"/>
            <w:tcBorders>
              <w:top w:val="single" w:sz="12" w:space="0" w:color="auto"/>
              <w:left w:val="single" w:sz="4" w:space="0" w:color="auto"/>
              <w:right w:val="single" w:sz="12" w:space="0" w:color="auto"/>
            </w:tcBorders>
            <w:vAlign w:val="center"/>
          </w:tcPr>
          <w:p w:rsidR="00620011" w:rsidRPr="00AA188A" w:rsidRDefault="00F74075" w:rsidP="00BC7330">
            <w:pPr>
              <w:tabs>
                <w:tab w:val="left" w:pos="780"/>
                <w:tab w:val="left" w:pos="922"/>
              </w:tabs>
              <w:jc w:val="center"/>
              <w:rPr>
                <w:rFonts w:cs="Arial"/>
                <w:b/>
                <w:sz w:val="16"/>
                <w:szCs w:val="16"/>
              </w:rPr>
            </w:pPr>
            <w:r>
              <w:rPr>
                <w:rFonts w:cs="Arial"/>
                <w:b/>
                <w:noProof/>
                <w:sz w:val="16"/>
                <w:szCs w:val="16"/>
              </w:rPr>
              <w:drawing>
                <wp:inline distT="0" distB="0" distL="0" distR="0" wp14:anchorId="45A64BD1" wp14:editId="17B75C75">
                  <wp:extent cx="428625" cy="561975"/>
                  <wp:effectExtent l="19050" t="0" r="9525" b="0"/>
                  <wp:docPr id="3" name="Imagem 23" descr="Descrição: DAEE em Co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3" descr="Descrição: DAEE em Cores.jpg"/>
                          <pic:cNvPicPr>
                            <a:picLocks noChangeAspect="1" noChangeArrowheads="1"/>
                          </pic:cNvPicPr>
                        </pic:nvPicPr>
                        <pic:blipFill>
                          <a:blip r:embed="rId12" cstate="print"/>
                          <a:srcRect/>
                          <a:stretch>
                            <a:fillRect/>
                          </a:stretch>
                        </pic:blipFill>
                        <pic:spPr bwMode="auto">
                          <a:xfrm>
                            <a:off x="0" y="0"/>
                            <a:ext cx="428625" cy="561975"/>
                          </a:xfrm>
                          <a:prstGeom prst="rect">
                            <a:avLst/>
                          </a:prstGeom>
                          <a:noFill/>
                          <a:ln w="9525">
                            <a:noFill/>
                            <a:miter lim="800000"/>
                            <a:headEnd/>
                            <a:tailEnd/>
                          </a:ln>
                        </pic:spPr>
                      </pic:pic>
                    </a:graphicData>
                  </a:graphic>
                </wp:inline>
              </w:drawing>
            </w:r>
          </w:p>
        </w:tc>
      </w:tr>
      <w:tr w:rsidR="00620011" w:rsidTr="00BC7330">
        <w:trPr>
          <w:cantSplit/>
          <w:trHeight w:val="303"/>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Default="00620011" w:rsidP="00BC7330">
            <w:pPr>
              <w:pStyle w:val="CAPA"/>
            </w:pPr>
          </w:p>
        </w:tc>
        <w:tc>
          <w:tcPr>
            <w:tcW w:w="498" w:type="dxa"/>
            <w:tcBorders>
              <w:top w:val="single" w:sz="12" w:space="0" w:color="auto"/>
              <w:left w:val="single" w:sz="12" w:space="0" w:color="auto"/>
              <w:bottom w:val="single" w:sz="2" w:space="0" w:color="auto"/>
              <w:right w:val="single" w:sz="2" w:space="0" w:color="auto"/>
            </w:tcBorders>
            <w:vAlign w:val="center"/>
          </w:tcPr>
          <w:p w:rsidR="00620011" w:rsidRDefault="00620011" w:rsidP="00BC7330">
            <w:pPr>
              <w:pStyle w:val="CAPA"/>
              <w:jc w:val="center"/>
              <w:rPr>
                <w:sz w:val="16"/>
              </w:rPr>
            </w:pPr>
          </w:p>
        </w:tc>
        <w:tc>
          <w:tcPr>
            <w:tcW w:w="1512" w:type="dxa"/>
            <w:gridSpan w:val="6"/>
            <w:tcBorders>
              <w:top w:val="single" w:sz="12" w:space="0" w:color="auto"/>
              <w:left w:val="single" w:sz="2" w:space="0" w:color="auto"/>
              <w:bottom w:val="single" w:sz="2" w:space="0" w:color="auto"/>
              <w:right w:val="single" w:sz="2" w:space="0" w:color="auto"/>
            </w:tcBorders>
            <w:vAlign w:val="center"/>
          </w:tcPr>
          <w:p w:rsidR="00620011" w:rsidRDefault="00620011" w:rsidP="00BC7330">
            <w:pPr>
              <w:pStyle w:val="CAPA"/>
              <w:jc w:val="center"/>
              <w:rPr>
                <w:sz w:val="16"/>
              </w:rPr>
            </w:pPr>
            <w:r>
              <w:rPr>
                <w:sz w:val="16"/>
              </w:rPr>
              <w:t>APROVADO</w:t>
            </w:r>
          </w:p>
        </w:tc>
        <w:tc>
          <w:tcPr>
            <w:tcW w:w="1512" w:type="dxa"/>
            <w:gridSpan w:val="3"/>
            <w:tcBorders>
              <w:top w:val="single" w:sz="12" w:space="0" w:color="auto"/>
              <w:left w:val="single" w:sz="2" w:space="0" w:color="auto"/>
              <w:bottom w:val="single" w:sz="2" w:space="0" w:color="auto"/>
              <w:right w:val="single" w:sz="2" w:space="0" w:color="auto"/>
            </w:tcBorders>
            <w:vAlign w:val="center"/>
          </w:tcPr>
          <w:p w:rsidR="00620011" w:rsidRDefault="00620011" w:rsidP="00BC7330">
            <w:pPr>
              <w:pStyle w:val="CAPA"/>
              <w:jc w:val="center"/>
              <w:rPr>
                <w:sz w:val="16"/>
              </w:rPr>
            </w:pPr>
            <w:r>
              <w:rPr>
                <w:sz w:val="16"/>
              </w:rPr>
              <w:t xml:space="preserve">APROVADO </w:t>
            </w:r>
          </w:p>
          <w:p w:rsidR="00620011" w:rsidRDefault="00620011" w:rsidP="00BC7330">
            <w:pPr>
              <w:pStyle w:val="CAPA"/>
              <w:jc w:val="center"/>
              <w:rPr>
                <w:sz w:val="16"/>
              </w:rPr>
            </w:pPr>
            <w:r>
              <w:rPr>
                <w:sz w:val="16"/>
              </w:rPr>
              <w:t>COM RESTRIÇÕES</w:t>
            </w:r>
          </w:p>
        </w:tc>
        <w:tc>
          <w:tcPr>
            <w:tcW w:w="1513" w:type="dxa"/>
            <w:gridSpan w:val="3"/>
            <w:tcBorders>
              <w:top w:val="single" w:sz="12" w:space="0" w:color="auto"/>
              <w:left w:val="single" w:sz="2" w:space="0" w:color="auto"/>
              <w:right w:val="single" w:sz="2" w:space="0" w:color="auto"/>
            </w:tcBorders>
            <w:vAlign w:val="center"/>
          </w:tcPr>
          <w:p w:rsidR="00620011" w:rsidRDefault="00620011" w:rsidP="00BC7330">
            <w:pPr>
              <w:pStyle w:val="CAPA"/>
              <w:jc w:val="center"/>
              <w:rPr>
                <w:sz w:val="16"/>
              </w:rPr>
            </w:pPr>
            <w:r>
              <w:rPr>
                <w:sz w:val="16"/>
              </w:rPr>
              <w:t>DEVOLVIDO PARA CORREÇÔES</w:t>
            </w:r>
          </w:p>
        </w:tc>
        <w:tc>
          <w:tcPr>
            <w:tcW w:w="1062" w:type="dxa"/>
            <w:tcBorders>
              <w:top w:val="single" w:sz="12" w:space="0" w:color="auto"/>
              <w:left w:val="single" w:sz="2" w:space="0" w:color="auto"/>
              <w:right w:val="single" w:sz="12" w:space="0" w:color="auto"/>
            </w:tcBorders>
            <w:vAlign w:val="center"/>
          </w:tcPr>
          <w:p w:rsidR="00620011" w:rsidRDefault="00620011" w:rsidP="00BC7330">
            <w:pPr>
              <w:pStyle w:val="CAPA"/>
              <w:jc w:val="center"/>
              <w:rPr>
                <w:sz w:val="16"/>
              </w:rPr>
            </w:pPr>
            <w:r w:rsidRPr="00CC0BAB">
              <w:rPr>
                <w:sz w:val="16"/>
              </w:rPr>
              <w:t>DATA</w:t>
            </w:r>
          </w:p>
        </w:tc>
      </w:tr>
      <w:tr w:rsidR="00620011" w:rsidTr="00BC7330">
        <w:trPr>
          <w:cantSplit/>
          <w:trHeight w:val="252"/>
          <w:jc w:val="center"/>
        </w:trPr>
        <w:tc>
          <w:tcPr>
            <w:tcW w:w="2476" w:type="dxa"/>
            <w:vMerge/>
            <w:tcBorders>
              <w:left w:val="single" w:sz="12" w:space="0" w:color="auto"/>
              <w:bottom w:val="nil"/>
            </w:tcBorders>
          </w:tcPr>
          <w:p w:rsidR="00620011" w:rsidRDefault="00620011" w:rsidP="00BC7330">
            <w:pPr>
              <w:pStyle w:val="CAPA"/>
            </w:pPr>
          </w:p>
        </w:tc>
        <w:tc>
          <w:tcPr>
            <w:tcW w:w="1492" w:type="dxa"/>
            <w:vMerge/>
            <w:tcBorders>
              <w:bottom w:val="nil"/>
            </w:tcBorders>
          </w:tcPr>
          <w:p w:rsidR="00620011" w:rsidRDefault="00620011" w:rsidP="00BC7330">
            <w:pPr>
              <w:pStyle w:val="CAPA"/>
            </w:pPr>
          </w:p>
        </w:tc>
        <w:tc>
          <w:tcPr>
            <w:tcW w:w="498" w:type="dxa"/>
            <w:tcBorders>
              <w:left w:val="single" w:sz="12" w:space="0" w:color="auto"/>
              <w:bottom w:val="single" w:sz="2" w:space="0" w:color="auto"/>
              <w:right w:val="single" w:sz="2" w:space="0" w:color="auto"/>
            </w:tcBorders>
          </w:tcPr>
          <w:p w:rsidR="00620011" w:rsidRDefault="00620011" w:rsidP="00BC7330">
            <w:pPr>
              <w:pStyle w:val="CAPA"/>
              <w:spacing w:before="20" w:after="20"/>
              <w:jc w:val="center"/>
              <w:rPr>
                <w:sz w:val="16"/>
              </w:rPr>
            </w:pPr>
            <w:r>
              <w:rPr>
                <w:sz w:val="16"/>
              </w:rPr>
              <w:t>C</w:t>
            </w:r>
          </w:p>
        </w:tc>
        <w:tc>
          <w:tcPr>
            <w:tcW w:w="1512" w:type="dxa"/>
            <w:gridSpan w:val="6"/>
            <w:tcBorders>
              <w:left w:val="single" w:sz="2" w:space="0" w:color="auto"/>
              <w:bottom w:val="single" w:sz="2" w:space="0" w:color="auto"/>
              <w:right w:val="single" w:sz="2" w:space="0" w:color="auto"/>
            </w:tcBorders>
          </w:tcPr>
          <w:p w:rsidR="00620011" w:rsidRDefault="00620011" w:rsidP="00BC7330">
            <w:pPr>
              <w:pStyle w:val="CAPA"/>
              <w:spacing w:before="20" w:after="20"/>
              <w:rPr>
                <w:sz w:val="16"/>
              </w:rPr>
            </w:pPr>
          </w:p>
        </w:tc>
        <w:tc>
          <w:tcPr>
            <w:tcW w:w="1512" w:type="dxa"/>
            <w:gridSpan w:val="3"/>
            <w:tcBorders>
              <w:left w:val="single" w:sz="2" w:space="0" w:color="auto"/>
              <w:bottom w:val="single" w:sz="2" w:space="0" w:color="auto"/>
              <w:right w:val="single" w:sz="2" w:space="0" w:color="auto"/>
            </w:tcBorders>
          </w:tcPr>
          <w:p w:rsidR="00620011" w:rsidRDefault="00620011" w:rsidP="00BC7330">
            <w:pPr>
              <w:pStyle w:val="CAPA"/>
              <w:spacing w:before="20" w:after="20"/>
              <w:rPr>
                <w:sz w:val="16"/>
              </w:rPr>
            </w:pPr>
          </w:p>
        </w:tc>
        <w:tc>
          <w:tcPr>
            <w:tcW w:w="1513" w:type="dxa"/>
            <w:gridSpan w:val="3"/>
            <w:tcBorders>
              <w:top w:val="single" w:sz="4" w:space="0" w:color="auto"/>
              <w:left w:val="single" w:sz="2" w:space="0" w:color="auto"/>
              <w:bottom w:val="single" w:sz="2" w:space="0" w:color="auto"/>
              <w:right w:val="single" w:sz="2" w:space="0" w:color="auto"/>
            </w:tcBorders>
          </w:tcPr>
          <w:p w:rsidR="00620011" w:rsidRDefault="00620011" w:rsidP="00BC7330">
            <w:pPr>
              <w:pStyle w:val="CAPA"/>
              <w:spacing w:before="20" w:after="20"/>
              <w:rPr>
                <w:sz w:val="16"/>
              </w:rPr>
            </w:pPr>
          </w:p>
        </w:tc>
        <w:tc>
          <w:tcPr>
            <w:tcW w:w="1062" w:type="dxa"/>
            <w:tcBorders>
              <w:top w:val="single" w:sz="4" w:space="0" w:color="auto"/>
              <w:left w:val="single" w:sz="2" w:space="0" w:color="auto"/>
              <w:bottom w:val="single" w:sz="2" w:space="0" w:color="auto"/>
              <w:right w:val="single" w:sz="12" w:space="0" w:color="auto"/>
            </w:tcBorders>
          </w:tcPr>
          <w:p w:rsidR="00620011" w:rsidRDefault="00620011" w:rsidP="00BC7330">
            <w:pPr>
              <w:pStyle w:val="CAPA"/>
              <w:spacing w:before="20" w:after="20"/>
              <w:rPr>
                <w:sz w:val="16"/>
              </w:rPr>
            </w:pPr>
          </w:p>
        </w:tc>
      </w:tr>
      <w:tr w:rsidR="00620011" w:rsidTr="00BC7330">
        <w:trPr>
          <w:cantSplit/>
          <w:trHeight w:val="229"/>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Default="00620011" w:rsidP="00BC7330">
            <w:pPr>
              <w:pStyle w:val="CAPA"/>
            </w:pPr>
          </w:p>
        </w:tc>
        <w:tc>
          <w:tcPr>
            <w:tcW w:w="498" w:type="dxa"/>
            <w:tcBorders>
              <w:top w:val="single" w:sz="2" w:space="0" w:color="auto"/>
              <w:left w:val="single" w:sz="12" w:space="0" w:color="auto"/>
              <w:bottom w:val="single" w:sz="4" w:space="0" w:color="auto"/>
              <w:right w:val="single" w:sz="2" w:space="0" w:color="auto"/>
            </w:tcBorders>
          </w:tcPr>
          <w:p w:rsidR="00620011" w:rsidRDefault="00620011" w:rsidP="00BC7330">
            <w:pPr>
              <w:pStyle w:val="CAPA"/>
              <w:spacing w:before="20" w:after="20"/>
              <w:jc w:val="center"/>
              <w:rPr>
                <w:sz w:val="16"/>
              </w:rPr>
            </w:pPr>
            <w:r>
              <w:rPr>
                <w:sz w:val="16"/>
              </w:rPr>
              <w:t>M</w:t>
            </w:r>
          </w:p>
        </w:tc>
        <w:tc>
          <w:tcPr>
            <w:tcW w:w="1512" w:type="dxa"/>
            <w:gridSpan w:val="6"/>
            <w:tcBorders>
              <w:top w:val="single" w:sz="2" w:space="0" w:color="auto"/>
              <w:left w:val="single" w:sz="2" w:space="0" w:color="auto"/>
              <w:bottom w:val="single" w:sz="4" w:space="0" w:color="auto"/>
              <w:right w:val="single" w:sz="2" w:space="0" w:color="auto"/>
            </w:tcBorders>
          </w:tcPr>
          <w:p w:rsidR="00620011" w:rsidRDefault="00620011" w:rsidP="00BC7330">
            <w:pPr>
              <w:pStyle w:val="CAPA"/>
              <w:spacing w:before="20" w:after="20"/>
              <w:rPr>
                <w:sz w:val="16"/>
              </w:rPr>
            </w:pPr>
          </w:p>
        </w:tc>
        <w:tc>
          <w:tcPr>
            <w:tcW w:w="1512" w:type="dxa"/>
            <w:gridSpan w:val="3"/>
            <w:tcBorders>
              <w:top w:val="single" w:sz="2" w:space="0" w:color="auto"/>
              <w:left w:val="single" w:sz="2" w:space="0" w:color="auto"/>
              <w:bottom w:val="single" w:sz="4" w:space="0" w:color="auto"/>
              <w:right w:val="single" w:sz="2" w:space="0" w:color="auto"/>
            </w:tcBorders>
          </w:tcPr>
          <w:p w:rsidR="00620011" w:rsidRDefault="00620011" w:rsidP="00BC7330">
            <w:pPr>
              <w:pStyle w:val="CAPA"/>
              <w:spacing w:before="20" w:after="20"/>
              <w:rPr>
                <w:sz w:val="16"/>
              </w:rPr>
            </w:pPr>
          </w:p>
        </w:tc>
        <w:tc>
          <w:tcPr>
            <w:tcW w:w="1513" w:type="dxa"/>
            <w:gridSpan w:val="3"/>
            <w:tcBorders>
              <w:left w:val="single" w:sz="2" w:space="0" w:color="auto"/>
              <w:bottom w:val="single" w:sz="4" w:space="0" w:color="auto"/>
              <w:right w:val="single" w:sz="2" w:space="0" w:color="auto"/>
            </w:tcBorders>
          </w:tcPr>
          <w:p w:rsidR="00620011" w:rsidRDefault="00620011" w:rsidP="00BC7330">
            <w:pPr>
              <w:pStyle w:val="CAPA"/>
              <w:spacing w:before="20" w:after="20"/>
              <w:rPr>
                <w:sz w:val="16"/>
              </w:rPr>
            </w:pPr>
          </w:p>
        </w:tc>
        <w:tc>
          <w:tcPr>
            <w:tcW w:w="1062" w:type="dxa"/>
            <w:tcBorders>
              <w:left w:val="single" w:sz="2" w:space="0" w:color="auto"/>
              <w:bottom w:val="single" w:sz="4" w:space="0" w:color="auto"/>
              <w:right w:val="single" w:sz="12" w:space="0" w:color="auto"/>
            </w:tcBorders>
          </w:tcPr>
          <w:p w:rsidR="00620011" w:rsidRDefault="00620011" w:rsidP="00BC7330">
            <w:pPr>
              <w:pStyle w:val="CAPA"/>
              <w:spacing w:before="20" w:after="20"/>
              <w:rPr>
                <w:sz w:val="16"/>
              </w:rPr>
            </w:pPr>
          </w:p>
        </w:tc>
      </w:tr>
      <w:tr w:rsidR="00620011" w:rsidTr="00BC7330">
        <w:trPr>
          <w:cantSplit/>
          <w:trHeight w:val="229"/>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Default="00620011" w:rsidP="00BC7330">
            <w:pPr>
              <w:pStyle w:val="CAPA"/>
            </w:pPr>
          </w:p>
        </w:tc>
        <w:tc>
          <w:tcPr>
            <w:tcW w:w="498" w:type="dxa"/>
            <w:tcBorders>
              <w:top w:val="single" w:sz="4" w:space="0" w:color="auto"/>
              <w:left w:val="single" w:sz="12" w:space="0" w:color="auto"/>
              <w:bottom w:val="single" w:sz="12" w:space="0" w:color="auto"/>
              <w:right w:val="single" w:sz="2" w:space="0" w:color="auto"/>
            </w:tcBorders>
          </w:tcPr>
          <w:p w:rsidR="00620011" w:rsidRDefault="00620011" w:rsidP="00BC7330">
            <w:pPr>
              <w:pStyle w:val="CAPA"/>
              <w:spacing w:before="20" w:after="20"/>
              <w:jc w:val="center"/>
              <w:rPr>
                <w:sz w:val="16"/>
              </w:rPr>
            </w:pPr>
            <w:r>
              <w:rPr>
                <w:sz w:val="16"/>
              </w:rPr>
              <w:t>E</w:t>
            </w:r>
          </w:p>
        </w:tc>
        <w:tc>
          <w:tcPr>
            <w:tcW w:w="1512" w:type="dxa"/>
            <w:gridSpan w:val="6"/>
            <w:tcBorders>
              <w:top w:val="single" w:sz="4" w:space="0" w:color="auto"/>
              <w:left w:val="single" w:sz="2" w:space="0" w:color="auto"/>
              <w:bottom w:val="single" w:sz="12" w:space="0" w:color="auto"/>
              <w:right w:val="single" w:sz="2" w:space="0" w:color="auto"/>
            </w:tcBorders>
          </w:tcPr>
          <w:p w:rsidR="00620011" w:rsidRDefault="00620011" w:rsidP="00BC7330">
            <w:pPr>
              <w:pStyle w:val="CAPA"/>
              <w:spacing w:before="20" w:after="20"/>
              <w:rPr>
                <w:sz w:val="16"/>
              </w:rPr>
            </w:pPr>
          </w:p>
        </w:tc>
        <w:tc>
          <w:tcPr>
            <w:tcW w:w="1512" w:type="dxa"/>
            <w:gridSpan w:val="3"/>
            <w:tcBorders>
              <w:top w:val="single" w:sz="4" w:space="0" w:color="auto"/>
              <w:left w:val="single" w:sz="2" w:space="0" w:color="auto"/>
              <w:bottom w:val="single" w:sz="12" w:space="0" w:color="auto"/>
              <w:right w:val="single" w:sz="2" w:space="0" w:color="auto"/>
            </w:tcBorders>
          </w:tcPr>
          <w:p w:rsidR="00620011" w:rsidRDefault="00620011" w:rsidP="00BC7330">
            <w:pPr>
              <w:pStyle w:val="CAPA"/>
              <w:spacing w:before="20" w:after="20"/>
              <w:rPr>
                <w:sz w:val="16"/>
              </w:rPr>
            </w:pPr>
          </w:p>
        </w:tc>
        <w:tc>
          <w:tcPr>
            <w:tcW w:w="1513" w:type="dxa"/>
            <w:gridSpan w:val="3"/>
            <w:tcBorders>
              <w:top w:val="single" w:sz="4" w:space="0" w:color="auto"/>
              <w:left w:val="single" w:sz="2" w:space="0" w:color="auto"/>
              <w:bottom w:val="single" w:sz="12" w:space="0" w:color="auto"/>
              <w:right w:val="single" w:sz="2" w:space="0" w:color="auto"/>
            </w:tcBorders>
          </w:tcPr>
          <w:p w:rsidR="00620011" w:rsidRDefault="00620011" w:rsidP="00BC7330">
            <w:pPr>
              <w:pStyle w:val="CAPA"/>
              <w:spacing w:before="20" w:after="20"/>
              <w:rPr>
                <w:sz w:val="16"/>
              </w:rPr>
            </w:pPr>
          </w:p>
        </w:tc>
        <w:tc>
          <w:tcPr>
            <w:tcW w:w="1062" w:type="dxa"/>
            <w:tcBorders>
              <w:top w:val="single" w:sz="4" w:space="0" w:color="auto"/>
              <w:left w:val="single" w:sz="2" w:space="0" w:color="auto"/>
              <w:bottom w:val="single" w:sz="12" w:space="0" w:color="auto"/>
              <w:right w:val="single" w:sz="12" w:space="0" w:color="auto"/>
            </w:tcBorders>
          </w:tcPr>
          <w:p w:rsidR="00620011" w:rsidRDefault="00620011" w:rsidP="00BC7330">
            <w:pPr>
              <w:pStyle w:val="CAPA"/>
              <w:spacing w:before="20" w:after="20"/>
              <w:rPr>
                <w:sz w:val="16"/>
              </w:rPr>
            </w:pPr>
          </w:p>
        </w:tc>
      </w:tr>
      <w:tr w:rsidR="00620011" w:rsidTr="00BC7330">
        <w:trPr>
          <w:cantSplit/>
          <w:trHeight w:val="687"/>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Default="00620011" w:rsidP="00BC7330">
            <w:pPr>
              <w:pStyle w:val="CAPA"/>
            </w:pPr>
          </w:p>
        </w:tc>
        <w:tc>
          <w:tcPr>
            <w:tcW w:w="6097" w:type="dxa"/>
            <w:gridSpan w:val="14"/>
            <w:tcBorders>
              <w:top w:val="single" w:sz="12" w:space="0" w:color="auto"/>
              <w:left w:val="single" w:sz="12" w:space="0" w:color="auto"/>
              <w:bottom w:val="nil"/>
              <w:right w:val="single" w:sz="12" w:space="0" w:color="auto"/>
            </w:tcBorders>
            <w:vAlign w:val="center"/>
          </w:tcPr>
          <w:p w:rsidR="00620011" w:rsidRDefault="00620011" w:rsidP="00BC7330">
            <w:pPr>
              <w:pStyle w:val="CAPA"/>
              <w:jc w:val="center"/>
              <w:rPr>
                <w:b/>
                <w:sz w:val="28"/>
              </w:rPr>
            </w:pPr>
            <w:r>
              <w:rPr>
                <w:b/>
                <w:sz w:val="28"/>
              </w:rPr>
              <w:t xml:space="preserve">BARRAGENS PEDREIRA E DUAS PONTES </w:t>
            </w:r>
          </w:p>
        </w:tc>
      </w:tr>
      <w:tr w:rsidR="00620011" w:rsidTr="00BC7330">
        <w:trPr>
          <w:cantSplit/>
          <w:trHeight w:val="527"/>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Default="00620011" w:rsidP="00BC7330">
            <w:pPr>
              <w:pStyle w:val="CAPA"/>
            </w:pPr>
          </w:p>
        </w:tc>
        <w:tc>
          <w:tcPr>
            <w:tcW w:w="6097" w:type="dxa"/>
            <w:gridSpan w:val="14"/>
            <w:tcBorders>
              <w:top w:val="single" w:sz="12" w:space="0" w:color="auto"/>
              <w:left w:val="single" w:sz="12" w:space="0" w:color="auto"/>
              <w:bottom w:val="single" w:sz="12" w:space="0" w:color="auto"/>
              <w:right w:val="single" w:sz="12" w:space="0" w:color="auto"/>
            </w:tcBorders>
            <w:vAlign w:val="center"/>
          </w:tcPr>
          <w:p w:rsidR="00620011" w:rsidRPr="00DA616D" w:rsidRDefault="00620011" w:rsidP="00BC7330">
            <w:pPr>
              <w:pStyle w:val="CAPA"/>
              <w:jc w:val="center"/>
              <w:rPr>
                <w:b/>
                <w:sz w:val="28"/>
              </w:rPr>
            </w:pPr>
            <w:r>
              <w:rPr>
                <w:b/>
                <w:sz w:val="28"/>
              </w:rPr>
              <w:t>ESTUDO DE IMPACTO AMBIENTAL</w:t>
            </w:r>
          </w:p>
        </w:tc>
      </w:tr>
      <w:tr w:rsidR="00045770" w:rsidTr="00E27749">
        <w:trPr>
          <w:cantSplit/>
          <w:trHeight w:val="1658"/>
          <w:jc w:val="center"/>
        </w:trPr>
        <w:tc>
          <w:tcPr>
            <w:tcW w:w="2476" w:type="dxa"/>
            <w:vMerge/>
            <w:tcBorders>
              <w:top w:val="nil"/>
              <w:left w:val="single" w:sz="12" w:space="0" w:color="auto"/>
              <w:bottom w:val="nil"/>
            </w:tcBorders>
          </w:tcPr>
          <w:p w:rsidR="00045770" w:rsidRDefault="00045770" w:rsidP="00BC7330">
            <w:pPr>
              <w:pStyle w:val="CAPA"/>
            </w:pPr>
          </w:p>
        </w:tc>
        <w:tc>
          <w:tcPr>
            <w:tcW w:w="1492" w:type="dxa"/>
            <w:vMerge/>
            <w:tcBorders>
              <w:top w:val="nil"/>
              <w:bottom w:val="nil"/>
            </w:tcBorders>
          </w:tcPr>
          <w:p w:rsidR="00045770" w:rsidRDefault="00045770" w:rsidP="00BC7330">
            <w:pPr>
              <w:pStyle w:val="CAPA"/>
            </w:pPr>
          </w:p>
        </w:tc>
        <w:tc>
          <w:tcPr>
            <w:tcW w:w="6097" w:type="dxa"/>
            <w:gridSpan w:val="14"/>
            <w:tcBorders>
              <w:top w:val="single" w:sz="12" w:space="0" w:color="auto"/>
              <w:left w:val="single" w:sz="12" w:space="0" w:color="auto"/>
              <w:right w:val="single" w:sz="12" w:space="0" w:color="auto"/>
            </w:tcBorders>
            <w:vAlign w:val="center"/>
          </w:tcPr>
          <w:p w:rsidR="00045770" w:rsidRDefault="00DA45AB" w:rsidP="00DA45AB">
            <w:pPr>
              <w:pStyle w:val="CAPA"/>
              <w:jc w:val="center"/>
              <w:rPr>
                <w:b/>
              </w:rPr>
            </w:pPr>
            <w:r>
              <w:rPr>
                <w:b/>
              </w:rPr>
              <w:t xml:space="preserve">VOLUME </w:t>
            </w:r>
            <w:r w:rsidR="00CC0BAB">
              <w:rPr>
                <w:b/>
              </w:rPr>
              <w:t>V</w:t>
            </w:r>
            <w:r>
              <w:rPr>
                <w:b/>
              </w:rPr>
              <w:t xml:space="preserve"> </w:t>
            </w:r>
            <w:r w:rsidR="00CC0BAB" w:rsidRPr="00C85203">
              <w:rPr>
                <w:b/>
              </w:rPr>
              <w:t>–</w:t>
            </w:r>
            <w:r w:rsidRPr="00C85203">
              <w:rPr>
                <w:b/>
              </w:rPr>
              <w:t xml:space="preserve"> </w:t>
            </w:r>
            <w:r w:rsidR="00CC0BAB" w:rsidRPr="00C85203">
              <w:rPr>
                <w:b/>
              </w:rPr>
              <w:t xml:space="preserve">IMPACTOS </w:t>
            </w:r>
            <w:r w:rsidR="00BC1EC1" w:rsidRPr="00C85203">
              <w:rPr>
                <w:b/>
              </w:rPr>
              <w:t xml:space="preserve">E PROGRAMAS </w:t>
            </w:r>
            <w:r w:rsidR="00CC0BAB" w:rsidRPr="00C85203">
              <w:rPr>
                <w:b/>
              </w:rPr>
              <w:t>AMBIENTAIS</w:t>
            </w:r>
          </w:p>
          <w:p w:rsidR="00DA45AB" w:rsidRDefault="00DA45AB" w:rsidP="005F5487">
            <w:pPr>
              <w:pStyle w:val="CAPA"/>
              <w:spacing w:before="120"/>
              <w:jc w:val="center"/>
              <w:rPr>
                <w:b/>
              </w:rPr>
            </w:pPr>
            <w:r>
              <w:rPr>
                <w:b/>
              </w:rPr>
              <w:t>TOMO 1 - TEXTO</w:t>
            </w:r>
          </w:p>
        </w:tc>
      </w:tr>
      <w:tr w:rsidR="00620011" w:rsidTr="00BC7330">
        <w:trPr>
          <w:cantSplit/>
          <w:trHeight w:val="437"/>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Default="00620011" w:rsidP="00BC7330">
            <w:pPr>
              <w:pStyle w:val="CAPA"/>
            </w:pPr>
          </w:p>
        </w:tc>
        <w:tc>
          <w:tcPr>
            <w:tcW w:w="1560" w:type="dxa"/>
            <w:gridSpan w:val="4"/>
            <w:vMerge w:val="restart"/>
            <w:tcBorders>
              <w:top w:val="single" w:sz="12" w:space="0" w:color="auto"/>
              <w:left w:val="single" w:sz="12" w:space="0" w:color="auto"/>
              <w:bottom w:val="nil"/>
            </w:tcBorders>
          </w:tcPr>
          <w:p w:rsidR="00620011" w:rsidRDefault="00620011" w:rsidP="00BC7330">
            <w:pPr>
              <w:pStyle w:val="CAPA"/>
              <w:spacing w:before="20"/>
            </w:pPr>
            <w:r>
              <w:rPr>
                <w:sz w:val="16"/>
              </w:rPr>
              <w:t>ESCALA</w:t>
            </w:r>
          </w:p>
        </w:tc>
        <w:tc>
          <w:tcPr>
            <w:tcW w:w="4537" w:type="dxa"/>
            <w:gridSpan w:val="10"/>
            <w:tcBorders>
              <w:top w:val="single" w:sz="12" w:space="0" w:color="auto"/>
              <w:left w:val="single" w:sz="2" w:space="0" w:color="auto"/>
              <w:bottom w:val="single" w:sz="4" w:space="0" w:color="auto"/>
              <w:right w:val="single" w:sz="12" w:space="0" w:color="auto"/>
            </w:tcBorders>
          </w:tcPr>
          <w:p w:rsidR="00620011" w:rsidRDefault="00620011" w:rsidP="00BC7330">
            <w:pPr>
              <w:pStyle w:val="CAPA"/>
              <w:rPr>
                <w:sz w:val="16"/>
              </w:rPr>
            </w:pPr>
            <w:r>
              <w:rPr>
                <w:sz w:val="16"/>
              </w:rPr>
              <w:t>SUBSTITUI</w:t>
            </w:r>
          </w:p>
          <w:p w:rsidR="00620011" w:rsidRDefault="00620011" w:rsidP="00BC7330">
            <w:pPr>
              <w:pStyle w:val="CAPA"/>
            </w:pPr>
          </w:p>
        </w:tc>
      </w:tr>
      <w:tr w:rsidR="00620011" w:rsidTr="00BC7330">
        <w:trPr>
          <w:cantSplit/>
          <w:trHeight w:val="410"/>
          <w:jc w:val="center"/>
        </w:trPr>
        <w:tc>
          <w:tcPr>
            <w:tcW w:w="2476" w:type="dxa"/>
            <w:vMerge/>
            <w:tcBorders>
              <w:left w:val="single" w:sz="12" w:space="0" w:color="auto"/>
              <w:bottom w:val="nil"/>
            </w:tcBorders>
          </w:tcPr>
          <w:p w:rsidR="00620011" w:rsidRDefault="00620011" w:rsidP="00BC7330">
            <w:pPr>
              <w:pStyle w:val="CAPA"/>
            </w:pPr>
          </w:p>
        </w:tc>
        <w:tc>
          <w:tcPr>
            <w:tcW w:w="1492" w:type="dxa"/>
            <w:vMerge/>
            <w:tcBorders>
              <w:bottom w:val="nil"/>
            </w:tcBorders>
          </w:tcPr>
          <w:p w:rsidR="00620011" w:rsidRDefault="00620011" w:rsidP="00BC7330">
            <w:pPr>
              <w:pStyle w:val="CAPA"/>
            </w:pPr>
          </w:p>
        </w:tc>
        <w:tc>
          <w:tcPr>
            <w:tcW w:w="1560" w:type="dxa"/>
            <w:gridSpan w:val="4"/>
            <w:vMerge/>
            <w:tcBorders>
              <w:left w:val="single" w:sz="12" w:space="0" w:color="auto"/>
              <w:bottom w:val="nil"/>
            </w:tcBorders>
          </w:tcPr>
          <w:p w:rsidR="00620011" w:rsidRDefault="00620011" w:rsidP="00BC7330">
            <w:pPr>
              <w:pStyle w:val="CAPA"/>
              <w:rPr>
                <w:sz w:val="16"/>
              </w:rPr>
            </w:pPr>
          </w:p>
        </w:tc>
        <w:tc>
          <w:tcPr>
            <w:tcW w:w="4537" w:type="dxa"/>
            <w:gridSpan w:val="10"/>
            <w:tcBorders>
              <w:left w:val="single" w:sz="2" w:space="0" w:color="auto"/>
              <w:right w:val="single" w:sz="12" w:space="0" w:color="auto"/>
            </w:tcBorders>
          </w:tcPr>
          <w:p w:rsidR="00620011" w:rsidRDefault="00620011" w:rsidP="00BC7330">
            <w:pPr>
              <w:pStyle w:val="CAPA"/>
              <w:rPr>
                <w:sz w:val="16"/>
              </w:rPr>
            </w:pPr>
            <w:r>
              <w:rPr>
                <w:sz w:val="16"/>
              </w:rPr>
              <w:t>SUBSTITUÍDO</w:t>
            </w:r>
          </w:p>
          <w:p w:rsidR="00620011" w:rsidRDefault="00620011" w:rsidP="00BC7330">
            <w:pPr>
              <w:pStyle w:val="CAPA"/>
            </w:pPr>
          </w:p>
        </w:tc>
      </w:tr>
      <w:tr w:rsidR="00620011" w:rsidTr="00BC7330">
        <w:trPr>
          <w:cantSplit/>
          <w:trHeight w:hRule="exact" w:val="595"/>
          <w:jc w:val="center"/>
        </w:trPr>
        <w:tc>
          <w:tcPr>
            <w:tcW w:w="2476" w:type="dxa"/>
            <w:vMerge/>
            <w:tcBorders>
              <w:top w:val="nil"/>
              <w:left w:val="single" w:sz="12" w:space="0" w:color="auto"/>
              <w:bottom w:val="nil"/>
            </w:tcBorders>
          </w:tcPr>
          <w:p w:rsidR="00620011" w:rsidRDefault="00620011" w:rsidP="00BC7330">
            <w:pPr>
              <w:pStyle w:val="CAPA"/>
            </w:pPr>
          </w:p>
        </w:tc>
        <w:tc>
          <w:tcPr>
            <w:tcW w:w="1492" w:type="dxa"/>
            <w:vMerge/>
            <w:tcBorders>
              <w:top w:val="nil"/>
              <w:bottom w:val="nil"/>
            </w:tcBorders>
          </w:tcPr>
          <w:p w:rsidR="00620011" w:rsidRDefault="00620011" w:rsidP="00BC7330">
            <w:pPr>
              <w:pStyle w:val="CAPA"/>
            </w:pPr>
          </w:p>
        </w:tc>
        <w:tc>
          <w:tcPr>
            <w:tcW w:w="4820" w:type="dxa"/>
            <w:gridSpan w:val="12"/>
            <w:tcBorders>
              <w:top w:val="single" w:sz="12" w:space="0" w:color="auto"/>
              <w:left w:val="single" w:sz="12" w:space="0" w:color="auto"/>
              <w:right w:val="single" w:sz="12" w:space="0" w:color="auto"/>
            </w:tcBorders>
          </w:tcPr>
          <w:p w:rsidR="00620011" w:rsidRPr="008072F3" w:rsidRDefault="00620011" w:rsidP="00BC7330">
            <w:pPr>
              <w:pStyle w:val="CAPA"/>
              <w:spacing w:before="20"/>
              <w:rPr>
                <w:sz w:val="16"/>
              </w:rPr>
            </w:pPr>
            <w:r w:rsidRPr="008072F3">
              <w:rPr>
                <w:sz w:val="16"/>
              </w:rPr>
              <w:t xml:space="preserve">Nº </w:t>
            </w:r>
            <w:r>
              <w:rPr>
                <w:sz w:val="16"/>
              </w:rPr>
              <w:t>CONSÓRCIO</w:t>
            </w:r>
          </w:p>
          <w:p w:rsidR="00620011" w:rsidRPr="0002215C" w:rsidRDefault="00620011" w:rsidP="00221129">
            <w:pPr>
              <w:pStyle w:val="CAPA"/>
              <w:jc w:val="center"/>
              <w:rPr>
                <w:szCs w:val="24"/>
              </w:rPr>
            </w:pPr>
            <w:r w:rsidRPr="007E1A37">
              <w:rPr>
                <w:b/>
                <w:szCs w:val="24"/>
              </w:rPr>
              <w:t xml:space="preserve">   </w:t>
            </w:r>
            <w:r>
              <w:rPr>
                <w:b/>
                <w:szCs w:val="24"/>
              </w:rPr>
              <w:t xml:space="preserve">    </w:t>
            </w:r>
            <w:r w:rsidRPr="007E1A37">
              <w:rPr>
                <w:b/>
                <w:szCs w:val="24"/>
              </w:rPr>
              <w:t xml:space="preserve">      </w:t>
            </w:r>
            <w:r w:rsidRPr="0002215C">
              <w:rPr>
                <w:b/>
                <w:szCs w:val="24"/>
              </w:rPr>
              <w:t>7188-</w:t>
            </w:r>
            <w:r w:rsidR="00CC0154" w:rsidRPr="0002215C">
              <w:rPr>
                <w:b/>
                <w:szCs w:val="24"/>
              </w:rPr>
              <w:t>4</w:t>
            </w:r>
            <w:r w:rsidR="00CC0BAB">
              <w:rPr>
                <w:b/>
                <w:szCs w:val="24"/>
              </w:rPr>
              <w:t>5</w:t>
            </w:r>
            <w:r w:rsidRPr="0002215C">
              <w:rPr>
                <w:b/>
                <w:szCs w:val="24"/>
              </w:rPr>
              <w:t>-GL-</w:t>
            </w:r>
            <w:r w:rsidR="00CC0154" w:rsidRPr="0002215C">
              <w:rPr>
                <w:b/>
                <w:szCs w:val="24"/>
              </w:rPr>
              <w:t>830</w:t>
            </w:r>
            <w:r w:rsidRPr="0002215C">
              <w:rPr>
                <w:b/>
                <w:szCs w:val="24"/>
              </w:rPr>
              <w:t>-RT-</w:t>
            </w:r>
            <w:r w:rsidR="0002215C" w:rsidRPr="0002215C">
              <w:rPr>
                <w:b/>
                <w:bCs/>
              </w:rPr>
              <w:t xml:space="preserve"> </w:t>
            </w:r>
            <w:r w:rsidR="00221129">
              <w:rPr>
                <w:b/>
                <w:bCs/>
              </w:rPr>
              <w:t>00571</w:t>
            </w:r>
          </w:p>
        </w:tc>
        <w:tc>
          <w:tcPr>
            <w:tcW w:w="1277" w:type="dxa"/>
            <w:gridSpan w:val="2"/>
            <w:tcBorders>
              <w:top w:val="single" w:sz="12" w:space="0" w:color="auto"/>
              <w:right w:val="single" w:sz="12" w:space="0" w:color="auto"/>
            </w:tcBorders>
          </w:tcPr>
          <w:p w:rsidR="00620011" w:rsidRDefault="00620011" w:rsidP="00BC7330">
            <w:pPr>
              <w:pStyle w:val="CAPA"/>
              <w:rPr>
                <w:sz w:val="16"/>
              </w:rPr>
            </w:pPr>
            <w:r>
              <w:rPr>
                <w:sz w:val="16"/>
              </w:rPr>
              <w:t>REVISÃO</w:t>
            </w:r>
          </w:p>
          <w:p w:rsidR="00620011" w:rsidRPr="00B371D8" w:rsidRDefault="00A76338" w:rsidP="00BC7330">
            <w:pPr>
              <w:pStyle w:val="CAPA"/>
              <w:jc w:val="center"/>
              <w:rPr>
                <w:b/>
                <w:szCs w:val="24"/>
              </w:rPr>
            </w:pPr>
            <w:r>
              <w:rPr>
                <w:b/>
                <w:szCs w:val="24"/>
              </w:rPr>
              <w:t>0</w:t>
            </w:r>
            <w:r w:rsidR="00CC0BAB">
              <w:rPr>
                <w:b/>
                <w:szCs w:val="24"/>
              </w:rPr>
              <w:t>A</w:t>
            </w:r>
          </w:p>
        </w:tc>
      </w:tr>
      <w:tr w:rsidR="00620011" w:rsidTr="00BC7330">
        <w:trPr>
          <w:cantSplit/>
          <w:trHeight w:hRule="exact" w:val="600"/>
          <w:jc w:val="center"/>
        </w:trPr>
        <w:tc>
          <w:tcPr>
            <w:tcW w:w="2476" w:type="dxa"/>
            <w:vMerge/>
            <w:tcBorders>
              <w:left w:val="single" w:sz="12" w:space="0" w:color="auto"/>
              <w:bottom w:val="single" w:sz="12" w:space="0" w:color="auto"/>
            </w:tcBorders>
          </w:tcPr>
          <w:p w:rsidR="00620011" w:rsidRDefault="00620011" w:rsidP="00BC7330">
            <w:pPr>
              <w:pStyle w:val="CAPA"/>
            </w:pPr>
          </w:p>
        </w:tc>
        <w:tc>
          <w:tcPr>
            <w:tcW w:w="1492" w:type="dxa"/>
            <w:vMerge/>
            <w:tcBorders>
              <w:bottom w:val="single" w:sz="12" w:space="0" w:color="auto"/>
            </w:tcBorders>
          </w:tcPr>
          <w:p w:rsidR="00620011" w:rsidRDefault="00620011" w:rsidP="00BC7330">
            <w:pPr>
              <w:pStyle w:val="CAPA"/>
            </w:pPr>
          </w:p>
        </w:tc>
        <w:tc>
          <w:tcPr>
            <w:tcW w:w="4820" w:type="dxa"/>
            <w:gridSpan w:val="12"/>
            <w:tcBorders>
              <w:top w:val="single" w:sz="12" w:space="0" w:color="auto"/>
              <w:left w:val="single" w:sz="12" w:space="0" w:color="auto"/>
              <w:bottom w:val="single" w:sz="12" w:space="0" w:color="auto"/>
              <w:right w:val="single" w:sz="12" w:space="0" w:color="auto"/>
            </w:tcBorders>
          </w:tcPr>
          <w:p w:rsidR="00620011" w:rsidRDefault="00620011" w:rsidP="00BC7330">
            <w:pPr>
              <w:pStyle w:val="CAPA"/>
              <w:spacing w:before="20"/>
              <w:rPr>
                <w:sz w:val="16"/>
              </w:rPr>
            </w:pPr>
            <w:r>
              <w:rPr>
                <w:sz w:val="16"/>
              </w:rPr>
              <w:t>Nº DAEE</w:t>
            </w:r>
          </w:p>
          <w:p w:rsidR="00620011" w:rsidRDefault="00620011" w:rsidP="00BC7330">
            <w:pPr>
              <w:pStyle w:val="CAPA"/>
              <w:jc w:val="center"/>
              <w:rPr>
                <w:b/>
              </w:rPr>
            </w:pPr>
          </w:p>
        </w:tc>
        <w:tc>
          <w:tcPr>
            <w:tcW w:w="1277" w:type="dxa"/>
            <w:gridSpan w:val="2"/>
            <w:tcBorders>
              <w:top w:val="single" w:sz="12" w:space="0" w:color="auto"/>
              <w:left w:val="single" w:sz="4" w:space="0" w:color="auto"/>
              <w:bottom w:val="single" w:sz="12" w:space="0" w:color="auto"/>
              <w:right w:val="single" w:sz="12" w:space="0" w:color="auto"/>
            </w:tcBorders>
          </w:tcPr>
          <w:p w:rsidR="00620011" w:rsidRDefault="00620011" w:rsidP="00BC7330">
            <w:pPr>
              <w:pStyle w:val="CAPA"/>
              <w:rPr>
                <w:sz w:val="16"/>
              </w:rPr>
            </w:pPr>
            <w:r>
              <w:rPr>
                <w:sz w:val="16"/>
              </w:rPr>
              <w:t>REVISÃO</w:t>
            </w:r>
          </w:p>
          <w:p w:rsidR="00620011" w:rsidRDefault="00620011" w:rsidP="00BC7330">
            <w:pPr>
              <w:pStyle w:val="CAPA"/>
              <w:rPr>
                <w:b/>
              </w:rPr>
            </w:pPr>
          </w:p>
        </w:tc>
      </w:tr>
    </w:tbl>
    <w:p w:rsidR="001B42EC" w:rsidRDefault="001B42EC">
      <w:pPr>
        <w:jc w:val="center"/>
        <w:sectPr w:rsidR="001B42EC" w:rsidSect="008774EC">
          <w:footerReference w:type="default" r:id="rId13"/>
          <w:pgSz w:w="11907" w:h="16840" w:code="9"/>
          <w:pgMar w:top="669" w:right="567" w:bottom="669" w:left="1418" w:header="113" w:footer="113" w:gutter="0"/>
          <w:pgNumType w:fmt="lowerRoman" w:start="1"/>
          <w:cols w:space="720"/>
        </w:sectPr>
      </w:pPr>
    </w:p>
    <w:p w:rsidR="00045770" w:rsidRPr="005F5487" w:rsidRDefault="00045770" w:rsidP="005F5487">
      <w:pPr>
        <w:pStyle w:val="Ttulo"/>
        <w:jc w:val="left"/>
      </w:pPr>
      <w:bookmarkStart w:id="1" w:name="_Toc362344089"/>
      <w:bookmarkStart w:id="2" w:name="_Toc362598685"/>
      <w:bookmarkStart w:id="3" w:name="_Toc363139864"/>
      <w:bookmarkStart w:id="4" w:name="_Toc363205842"/>
      <w:bookmarkStart w:id="5" w:name="_Toc363216878"/>
      <w:bookmarkStart w:id="6" w:name="_Toc365883215"/>
      <w:bookmarkStart w:id="7" w:name="_Toc370744142"/>
      <w:bookmarkStart w:id="8" w:name="_Toc370897324"/>
      <w:bookmarkStart w:id="9" w:name="_Toc370979625"/>
      <w:bookmarkStart w:id="10" w:name="_Toc370980066"/>
      <w:bookmarkStart w:id="11" w:name="_Toc402882589"/>
      <w:bookmarkStart w:id="12" w:name="_Toc402949640"/>
      <w:bookmarkStart w:id="13" w:name="_Toc402949833"/>
      <w:bookmarkStart w:id="14" w:name="_Toc402950015"/>
      <w:bookmarkStart w:id="15" w:name="_Toc405209972"/>
      <w:bookmarkStart w:id="16" w:name="_Toc405279669"/>
      <w:bookmarkStart w:id="17" w:name="_Toc405280402"/>
      <w:bookmarkStart w:id="18" w:name="_Toc405295224"/>
      <w:bookmarkStart w:id="19" w:name="_Toc418758188"/>
      <w:bookmarkStart w:id="20" w:name="_Toc418758790"/>
      <w:bookmarkStart w:id="21" w:name="_Toc419813555"/>
      <w:bookmarkStart w:id="22" w:name="_Toc516561485"/>
      <w:r w:rsidRPr="005F5487">
        <w:lastRenderedPageBreak/>
        <w:t>PREFÁCIO</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p>
    <w:p w:rsidR="00ED1A3F" w:rsidRPr="00ED1A3F" w:rsidRDefault="00ED1A3F" w:rsidP="00ED1A3F">
      <w:pPr>
        <w:spacing w:before="120" w:after="120" w:line="240" w:lineRule="auto"/>
        <w:rPr>
          <w:rFonts w:eastAsia="Calibri"/>
          <w:szCs w:val="22"/>
          <w:lang w:val="fr-FR" w:eastAsia="en-US"/>
        </w:rPr>
      </w:pPr>
      <w:r w:rsidRPr="00ED1A3F">
        <w:rPr>
          <w:rFonts w:eastAsia="Calibri"/>
          <w:szCs w:val="22"/>
          <w:lang w:val="fr-FR" w:eastAsia="en-US"/>
        </w:rPr>
        <w:t>Este Estudo de Impacto Ambiental - EIA é parte integrante dos documentos necessários para o processo de licenciamento ambiental das Barragens Pedreira e Duas Pontes, localizadas nos rios Jaguari e Camanducaia, respectivamente, integrantes da bacia do rio Piracicaba.</w:t>
      </w:r>
    </w:p>
    <w:p w:rsidR="00ED1A3F" w:rsidRPr="00ED1A3F" w:rsidRDefault="00ED1A3F" w:rsidP="00ED1A3F">
      <w:pPr>
        <w:spacing w:before="120" w:after="120" w:line="240" w:lineRule="auto"/>
        <w:rPr>
          <w:rFonts w:eastAsia="Calibri"/>
          <w:szCs w:val="22"/>
          <w:lang w:val="fr-FR" w:eastAsia="en-US"/>
        </w:rPr>
      </w:pPr>
      <w:r w:rsidRPr="00ED1A3F">
        <w:rPr>
          <w:rFonts w:eastAsia="Calibri"/>
          <w:szCs w:val="22"/>
          <w:lang w:val="fr-FR" w:eastAsia="en-US"/>
        </w:rPr>
        <w:t xml:space="preserve">Os estudos foram realizados de acordo com as diretrizes estabelecidas no Termo de Referência </w:t>
      </w:r>
      <w:r w:rsidRPr="00ED1A3F">
        <w:t xml:space="preserve">no âmbito do processo de licenciamento ambiental e elaboração do projeto executivo das </w:t>
      </w:r>
      <w:r w:rsidRPr="00ED1A3F">
        <w:rPr>
          <w:b/>
        </w:rPr>
        <w:t>Barragens Pedreira e Duas Pontes</w:t>
      </w:r>
      <w:r w:rsidRPr="00ED1A3F">
        <w:t xml:space="preserve">, em conformidade com as condições previstas no Edital de Concorrência </w:t>
      </w:r>
      <w:r w:rsidR="005F5487">
        <w:t>n</w:t>
      </w:r>
      <w:r w:rsidR="005F5487" w:rsidRPr="005F5487">
        <w:rPr>
          <w:u w:val="single"/>
          <w:vertAlign w:val="superscript"/>
        </w:rPr>
        <w:t>o</w:t>
      </w:r>
      <w:r w:rsidRPr="00ED1A3F">
        <w:t xml:space="preserve"> 004/DAEE/2013/DLC e Termo de Referência apresentado no Parecer Técnico n</w:t>
      </w:r>
      <w:r w:rsidRPr="00ED1A3F">
        <w:rPr>
          <w:u w:val="single"/>
          <w:vertAlign w:val="superscript"/>
        </w:rPr>
        <w:t>o</w:t>
      </w:r>
      <w:r w:rsidRPr="00ED1A3F">
        <w:rPr>
          <w:b/>
          <w:bCs/>
        </w:rPr>
        <w:t xml:space="preserve"> </w:t>
      </w:r>
      <w:r w:rsidRPr="00ED1A3F">
        <w:rPr>
          <w:bCs/>
        </w:rPr>
        <w:t>410/13/IE</w:t>
      </w:r>
      <w:r w:rsidRPr="00ED1A3F">
        <w:rPr>
          <w:b/>
          <w:bCs/>
        </w:rPr>
        <w:t xml:space="preserve"> </w:t>
      </w:r>
      <w:r w:rsidRPr="00ED1A3F">
        <w:t xml:space="preserve">emitido pela </w:t>
      </w:r>
      <w:r w:rsidRPr="00ED1A3F">
        <w:rPr>
          <w:rFonts w:eastAsia="Calibri"/>
          <w:szCs w:val="22"/>
          <w:lang w:val="fr-FR" w:eastAsia="en-US"/>
        </w:rPr>
        <w:t>Companhia Ambiental do Estado de São Paulo</w:t>
      </w:r>
      <w:r w:rsidRPr="00ED1A3F">
        <w:t xml:space="preserve"> - CETESB</w:t>
      </w:r>
      <w:r w:rsidRPr="00ED1A3F">
        <w:rPr>
          <w:rFonts w:eastAsia="Calibri"/>
          <w:szCs w:val="22"/>
          <w:lang w:val="fr-FR" w:eastAsia="en-US"/>
        </w:rPr>
        <w:t xml:space="preserve">, em 28 de agosto de 2013, relativo ao Processo Impacto 189/13. </w:t>
      </w:r>
    </w:p>
    <w:p w:rsidR="00ED1A3F" w:rsidRPr="00ED1A3F" w:rsidRDefault="00ED1A3F" w:rsidP="00ED1A3F">
      <w:pPr>
        <w:spacing w:before="120" w:after="120" w:line="240" w:lineRule="auto"/>
        <w:rPr>
          <w:rFonts w:eastAsia="Calibri"/>
          <w:szCs w:val="22"/>
          <w:lang w:val="fr-FR" w:eastAsia="en-US"/>
        </w:rPr>
      </w:pPr>
      <w:r w:rsidRPr="00ED1A3F">
        <w:rPr>
          <w:rFonts w:eastAsia="Calibri"/>
          <w:szCs w:val="22"/>
          <w:lang w:val="fr-FR" w:eastAsia="en-US"/>
        </w:rPr>
        <w:t>O Estudo de Impacto Ambiental (EIA/RIMA) e o Projeto Executivo de Engenharia das Barragens Pedreira e Duas Pontes, contratados pelo Departamento de Águas e Energia Elétrica - DAEE do Estado de São Paulo, foram desenvolvidos pelo Consórcio</w:t>
      </w:r>
      <w:r w:rsidRPr="00ED1A3F">
        <w:t xml:space="preserve"> formado pelas empresas HIDROSTUDIO Engenharia e THEMAG Engenharia e Gerenciamento.</w:t>
      </w:r>
    </w:p>
    <w:p w:rsidR="00ED1A3F" w:rsidRPr="008E118A" w:rsidRDefault="00ED1A3F" w:rsidP="00ED1A3F">
      <w:pPr>
        <w:autoSpaceDE w:val="0"/>
        <w:autoSpaceDN w:val="0"/>
        <w:adjustRightInd w:val="0"/>
        <w:spacing w:before="120" w:after="120" w:line="240" w:lineRule="auto"/>
        <w:rPr>
          <w:rFonts w:cs="Arial"/>
          <w:szCs w:val="22"/>
        </w:rPr>
      </w:pPr>
      <w:r w:rsidRPr="00ED1A3F">
        <w:rPr>
          <w:rFonts w:cs="Arial"/>
          <w:szCs w:val="22"/>
        </w:rPr>
        <w:t xml:space="preserve">A Barragem Pedreira será implantada no rio Jaguari, integrando áreas dos municípios paulistas de Pedreira e Campinas. A Barragem Duas Pontes, por sua vez, foi projetada para ser implantada no rio Camanducaia e encontra-se totalmente inserida no município paulista de Amparo. A localização de ambas </w:t>
      </w:r>
      <w:r w:rsidR="003D335C">
        <w:rPr>
          <w:rFonts w:cs="Arial"/>
          <w:szCs w:val="22"/>
        </w:rPr>
        <w:t xml:space="preserve">as barragens </w:t>
      </w:r>
      <w:r w:rsidRPr="00ED1A3F">
        <w:rPr>
          <w:rFonts w:cs="Arial"/>
          <w:szCs w:val="22"/>
        </w:rPr>
        <w:t xml:space="preserve">pode ser observada no Desenho Localização das Barragens Pedreira e Duas Pontes </w:t>
      </w:r>
      <w:r w:rsidRPr="008E118A">
        <w:rPr>
          <w:rFonts w:cs="Arial"/>
          <w:szCs w:val="22"/>
        </w:rPr>
        <w:t xml:space="preserve">(Desenho </w:t>
      </w:r>
      <w:r w:rsidR="005F5487" w:rsidRPr="008E118A">
        <w:rPr>
          <w:rFonts w:cs="Arial"/>
          <w:szCs w:val="22"/>
        </w:rPr>
        <w:t>n</w:t>
      </w:r>
      <w:r w:rsidR="005F5487" w:rsidRPr="008E118A">
        <w:rPr>
          <w:rFonts w:cs="Arial"/>
          <w:szCs w:val="22"/>
          <w:u w:val="single"/>
          <w:vertAlign w:val="superscript"/>
        </w:rPr>
        <w:t>o</w:t>
      </w:r>
      <w:r w:rsidR="005F5487" w:rsidRPr="008E118A">
        <w:rPr>
          <w:rFonts w:cs="Arial"/>
          <w:szCs w:val="22"/>
        </w:rPr>
        <w:t xml:space="preserve"> </w:t>
      </w:r>
      <w:r w:rsidRPr="008E118A">
        <w:rPr>
          <w:rFonts w:cs="Arial"/>
          <w:szCs w:val="22"/>
        </w:rPr>
        <w:t>7188-49-GL-830-DE-00029</w:t>
      </w:r>
      <w:r w:rsidR="00AB7576">
        <w:rPr>
          <w:rFonts w:cs="Arial"/>
          <w:szCs w:val="22"/>
        </w:rPr>
        <w:t>,</w:t>
      </w:r>
      <w:r w:rsidR="00450372">
        <w:rPr>
          <w:rFonts w:cs="Arial"/>
          <w:szCs w:val="22"/>
        </w:rPr>
        <w:t xml:space="preserve"> apresentado </w:t>
      </w:r>
      <w:r w:rsidR="002E07FF">
        <w:rPr>
          <w:rFonts w:cs="Arial"/>
          <w:szCs w:val="22"/>
        </w:rPr>
        <w:t>neste documento</w:t>
      </w:r>
      <w:r w:rsidRPr="008E118A">
        <w:rPr>
          <w:rFonts w:cs="Arial"/>
          <w:szCs w:val="22"/>
        </w:rPr>
        <w:t>).</w:t>
      </w:r>
    </w:p>
    <w:p w:rsidR="00ED1A3F" w:rsidRPr="00ED1A3F" w:rsidRDefault="00ED1A3F" w:rsidP="00ED1A3F">
      <w:pPr>
        <w:spacing w:before="120" w:after="120" w:line="240" w:lineRule="auto"/>
        <w:rPr>
          <w:rFonts w:cs="Arial"/>
          <w:szCs w:val="22"/>
        </w:rPr>
      </w:pPr>
      <w:r w:rsidRPr="00ED1A3F">
        <w:rPr>
          <w:rFonts w:eastAsia="Calibri"/>
          <w:szCs w:val="22"/>
          <w:lang w:val="fr-FR" w:eastAsia="en-US"/>
        </w:rPr>
        <w:t xml:space="preserve">A implantação das barragens tem como </w:t>
      </w:r>
      <w:r w:rsidRPr="00ED1A3F">
        <w:rPr>
          <w:szCs w:val="22"/>
        </w:rPr>
        <w:t xml:space="preserve">objetivo principal aumentar a disponibilidade hídrica na bacia do rio Jaguari, de 8,2 m³/s </w:t>
      </w:r>
      <w:r w:rsidRPr="00ED1A3F">
        <w:t>para 17,2 m</w:t>
      </w:r>
      <w:r w:rsidRPr="00ED1A3F">
        <w:rPr>
          <w:vertAlign w:val="superscript"/>
        </w:rPr>
        <w:t>3</w:t>
      </w:r>
      <w:r w:rsidRPr="00ED1A3F">
        <w:t>/s com 98% de garantia,</w:t>
      </w:r>
      <w:r w:rsidRPr="00ED1A3F">
        <w:rPr>
          <w:szCs w:val="22"/>
        </w:rPr>
        <w:t xml:space="preserve"> obtendo-se um ganho de 9,0 m³/s, o que somado ao efeito de regularização, permite o fornecimento de água de forma mais segura à população dos municípios de jusante e região de entorno dos barramentos, principalmente em época de estiagem prolongada. Os empreendimentos contam ainda com outras instalações, como</w:t>
      </w:r>
      <w:r w:rsidRPr="00ED1A3F">
        <w:rPr>
          <w:rFonts w:cs="Arial"/>
          <w:szCs w:val="22"/>
        </w:rPr>
        <w:t xml:space="preserve"> a implantação de tomada d’água, conduto de adução; vertedouro; obras de desvio, e sistema de transposição para peixes. </w:t>
      </w:r>
    </w:p>
    <w:p w:rsidR="00ED1A3F" w:rsidRPr="00ED1A3F" w:rsidRDefault="00ED1A3F" w:rsidP="00ED1A3F">
      <w:pPr>
        <w:spacing w:before="120" w:after="120" w:line="240" w:lineRule="auto"/>
        <w:rPr>
          <w:rFonts w:cs="Arial"/>
          <w:szCs w:val="22"/>
        </w:rPr>
      </w:pPr>
      <w:r w:rsidRPr="00ED1A3F">
        <w:rPr>
          <w:rFonts w:cs="Arial"/>
          <w:szCs w:val="22"/>
        </w:rPr>
        <w:t xml:space="preserve">A estrutura das barragens foi projetada, também, </w:t>
      </w:r>
      <w:r w:rsidR="00E34F0A">
        <w:rPr>
          <w:rFonts w:cs="Arial"/>
          <w:szCs w:val="22"/>
        </w:rPr>
        <w:t xml:space="preserve">prevendo a possibilidade de implantação </w:t>
      </w:r>
      <w:r w:rsidRPr="00ED1A3F">
        <w:rPr>
          <w:rFonts w:cs="Arial"/>
          <w:szCs w:val="22"/>
        </w:rPr>
        <w:t>futura de uma pequena central hidrelétrica com cerca de 5,0 MW de potência instalada na Barragem Pedreira e 3,0 MW na Barragem Duas Pontes.</w:t>
      </w:r>
    </w:p>
    <w:p w:rsidR="00ED1A3F" w:rsidRPr="008E118A" w:rsidRDefault="00ED1A3F" w:rsidP="00ED1A3F">
      <w:pPr>
        <w:spacing w:before="120" w:after="120" w:line="240" w:lineRule="auto"/>
        <w:rPr>
          <w:rFonts w:cs="Arial"/>
          <w:szCs w:val="22"/>
        </w:rPr>
      </w:pPr>
      <w:r w:rsidRPr="00ED1A3F">
        <w:rPr>
          <w:rFonts w:cs="Arial"/>
          <w:szCs w:val="22"/>
        </w:rPr>
        <w:t>A implantação da Barragem Pedreira deve formar um reservatório</w:t>
      </w:r>
      <w:r w:rsidR="00E650E8">
        <w:rPr>
          <w:rFonts w:cs="Arial"/>
          <w:szCs w:val="22"/>
        </w:rPr>
        <w:t xml:space="preserve"> com superfície da ordem de 2,0</w:t>
      </w:r>
      <w:r w:rsidRPr="00ED1A3F">
        <w:rPr>
          <w:rFonts w:cs="Arial"/>
          <w:szCs w:val="22"/>
        </w:rPr>
        <w:t xml:space="preserve"> km², abrangendo parte do território dos municípios de Campinas e Pedreira. A Barragem Duas Pontes, por sua vez, irá formar um reservatório da ordem de 4,9 km², abrangendo parte do território do município de Amparo. A Área de Preservação Permanente (APP) do entorno dos reservatórios das Barragens Pedreira e Duas Pontes, considerando uma faixa de 100m acima do NA máximo normal, deve ocupar aproximadamente 2,1 km² e </w:t>
      </w:r>
      <w:r w:rsidR="00104A0B">
        <w:rPr>
          <w:rFonts w:cs="Arial"/>
          <w:szCs w:val="22"/>
        </w:rPr>
        <w:t>3</w:t>
      </w:r>
      <w:r w:rsidRPr="00ED1A3F">
        <w:rPr>
          <w:rFonts w:cs="Arial"/>
          <w:szCs w:val="22"/>
        </w:rPr>
        <w:t>,</w:t>
      </w:r>
      <w:r w:rsidR="00104A0B">
        <w:rPr>
          <w:rFonts w:cs="Arial"/>
          <w:szCs w:val="22"/>
        </w:rPr>
        <w:t>9</w:t>
      </w:r>
      <w:r w:rsidR="00104A0B" w:rsidRPr="00ED1A3F">
        <w:rPr>
          <w:rFonts w:cs="Arial"/>
          <w:szCs w:val="22"/>
        </w:rPr>
        <w:t xml:space="preserve"> </w:t>
      </w:r>
      <w:r w:rsidRPr="00ED1A3F">
        <w:rPr>
          <w:rFonts w:cs="Arial"/>
          <w:szCs w:val="22"/>
        </w:rPr>
        <w:t xml:space="preserve">km², respectivamente </w:t>
      </w:r>
      <w:r w:rsidRPr="008E118A">
        <w:rPr>
          <w:rFonts w:cs="Arial"/>
          <w:szCs w:val="22"/>
        </w:rPr>
        <w:t xml:space="preserve">(Desenhos </w:t>
      </w:r>
      <w:r w:rsidR="005F5487" w:rsidRPr="008E118A">
        <w:rPr>
          <w:rFonts w:cs="Arial"/>
          <w:szCs w:val="22"/>
        </w:rPr>
        <w:t>n</w:t>
      </w:r>
      <w:r w:rsidR="005F5487" w:rsidRPr="008E118A">
        <w:rPr>
          <w:rFonts w:cs="Arial"/>
          <w:szCs w:val="22"/>
          <w:u w:val="single"/>
          <w:vertAlign w:val="superscript"/>
        </w:rPr>
        <w:t>os</w:t>
      </w:r>
      <w:r w:rsidR="001F458D" w:rsidRPr="008E118A">
        <w:rPr>
          <w:rFonts w:cs="Arial"/>
          <w:szCs w:val="22"/>
        </w:rPr>
        <w:t xml:space="preserve"> </w:t>
      </w:r>
      <w:r w:rsidRPr="008E118A">
        <w:rPr>
          <w:rFonts w:cs="Arial"/>
          <w:szCs w:val="22"/>
        </w:rPr>
        <w:t>7188-49-GL-830-DE-00046 e 00047, apresentados no Volume I – Tomo 2).</w:t>
      </w:r>
    </w:p>
    <w:p w:rsidR="00CC0154" w:rsidRPr="00CC0154" w:rsidRDefault="00CC0154" w:rsidP="001D2EFA">
      <w:pPr>
        <w:spacing w:before="120" w:after="120" w:line="240" w:lineRule="auto"/>
        <w:rPr>
          <w:rFonts w:cs="Arial"/>
          <w:szCs w:val="22"/>
        </w:rPr>
      </w:pPr>
    </w:p>
    <w:p w:rsidR="00040F5C" w:rsidRPr="0069246A" w:rsidRDefault="00286F85" w:rsidP="00040F5C">
      <w:pPr>
        <w:rPr>
          <w:rFonts w:ascii="Arial Negrito" w:hAnsi="Arial Negrito" w:cs="Arial"/>
          <w:b/>
          <w:caps/>
        </w:rPr>
      </w:pPr>
      <w:bookmarkStart w:id="23" w:name="_Toc402949641"/>
      <w:bookmarkStart w:id="24" w:name="_Toc402949834"/>
      <w:bookmarkStart w:id="25" w:name="_Toc402950016"/>
      <w:bookmarkStart w:id="26" w:name="_Toc405209973"/>
      <w:bookmarkStart w:id="27" w:name="_Toc405279670"/>
      <w:bookmarkStart w:id="28" w:name="_Toc405280403"/>
      <w:bookmarkStart w:id="29" w:name="_Toc405295225"/>
      <w:r>
        <w:br w:type="page"/>
      </w:r>
      <w:bookmarkEnd w:id="23"/>
      <w:bookmarkEnd w:id="24"/>
      <w:bookmarkEnd w:id="25"/>
      <w:bookmarkEnd w:id="26"/>
      <w:bookmarkEnd w:id="27"/>
      <w:bookmarkEnd w:id="28"/>
      <w:bookmarkEnd w:id="29"/>
      <w:r w:rsidR="00040F5C" w:rsidRPr="0069246A">
        <w:rPr>
          <w:rFonts w:cs="Arial"/>
          <w:b/>
        </w:rPr>
        <w:lastRenderedPageBreak/>
        <w:t>ESTRUTURA DE APRESENTAÇÃO DOS TRABALHOS</w:t>
      </w:r>
    </w:p>
    <w:p w:rsidR="00040F5C" w:rsidRPr="0069246A" w:rsidRDefault="00040F5C" w:rsidP="00040F5C">
      <w:pPr>
        <w:tabs>
          <w:tab w:val="left" w:pos="708"/>
        </w:tabs>
        <w:spacing w:before="120" w:after="360" w:line="240" w:lineRule="auto"/>
        <w:rPr>
          <w:bCs/>
          <w:iCs/>
        </w:rPr>
      </w:pPr>
      <w:r w:rsidRPr="0069246A">
        <w:rPr>
          <w:bCs/>
          <w:iCs/>
        </w:rPr>
        <w:t>Pela diversidade de temas analisados e quantidade de informações levantadas, os Estudos foram organizados em volumes e tomos, conforme estrutura apresentada a seguir.</w:t>
      </w:r>
    </w:p>
    <w:p w:rsidR="00040F5C" w:rsidRPr="0069246A" w:rsidRDefault="00040F5C" w:rsidP="00040F5C">
      <w:pPr>
        <w:tabs>
          <w:tab w:val="left" w:pos="1701"/>
        </w:tabs>
        <w:spacing w:before="120" w:after="120" w:line="240" w:lineRule="auto"/>
        <w:rPr>
          <w:b/>
        </w:rPr>
      </w:pPr>
      <w:r w:rsidRPr="0069246A">
        <w:rPr>
          <w:b/>
        </w:rPr>
        <w:t>VOLUME I - INFORMAÇÕES GERAIS, JUSTIFICATIVAS E CARACTERIZAÇÃO DO EMPREENDIMENTO</w:t>
      </w:r>
    </w:p>
    <w:p w:rsidR="00040F5C" w:rsidRPr="0069246A" w:rsidRDefault="00040F5C" w:rsidP="00431A97">
      <w:pPr>
        <w:numPr>
          <w:ilvl w:val="0"/>
          <w:numId w:val="79"/>
        </w:numPr>
        <w:tabs>
          <w:tab w:val="left" w:pos="426"/>
        </w:tabs>
        <w:spacing w:before="40" w:after="40" w:line="240" w:lineRule="auto"/>
        <w:ind w:left="709" w:hanging="283"/>
        <w:contextualSpacing/>
        <w:rPr>
          <w:rFonts w:eastAsia="Calibri" w:cs="Arial"/>
          <w:b/>
        </w:rPr>
      </w:pPr>
      <w:r w:rsidRPr="0069246A">
        <w:rPr>
          <w:rFonts w:eastAsia="Calibri" w:cs="Arial"/>
          <w:b/>
        </w:rPr>
        <w:t>Tomo 1 - Texto</w:t>
      </w:r>
    </w:p>
    <w:p w:rsidR="00040F5C" w:rsidRPr="0069246A" w:rsidRDefault="00040F5C" w:rsidP="00040F5C">
      <w:pPr>
        <w:numPr>
          <w:ilvl w:val="0"/>
          <w:numId w:val="14"/>
        </w:numPr>
        <w:tabs>
          <w:tab w:val="left" w:pos="851"/>
        </w:tabs>
        <w:spacing w:before="40" w:after="40" w:line="240" w:lineRule="auto"/>
        <w:ind w:left="851" w:firstLine="0"/>
        <w:rPr>
          <w:sz w:val="18"/>
        </w:rPr>
      </w:pPr>
      <w:r w:rsidRPr="0069246A">
        <w:rPr>
          <w:sz w:val="18"/>
        </w:rPr>
        <w:t>CONTEXTO REGIONAL</w:t>
      </w:r>
    </w:p>
    <w:p w:rsidR="00040F5C" w:rsidRPr="0069246A" w:rsidRDefault="00040F5C" w:rsidP="00040F5C">
      <w:pPr>
        <w:numPr>
          <w:ilvl w:val="0"/>
          <w:numId w:val="14"/>
        </w:numPr>
        <w:tabs>
          <w:tab w:val="left" w:pos="851"/>
        </w:tabs>
        <w:spacing w:before="40" w:after="40" w:line="240" w:lineRule="auto"/>
        <w:ind w:left="851" w:firstLine="0"/>
        <w:rPr>
          <w:sz w:val="18"/>
        </w:rPr>
      </w:pPr>
      <w:r w:rsidRPr="0069246A">
        <w:rPr>
          <w:sz w:val="18"/>
        </w:rPr>
        <w:t>INFORMAÇÕES GERAIS</w:t>
      </w:r>
    </w:p>
    <w:p w:rsidR="00040F5C" w:rsidRPr="0069246A" w:rsidRDefault="00040F5C" w:rsidP="00040F5C">
      <w:pPr>
        <w:numPr>
          <w:ilvl w:val="0"/>
          <w:numId w:val="14"/>
        </w:numPr>
        <w:tabs>
          <w:tab w:val="left" w:pos="851"/>
        </w:tabs>
        <w:spacing w:before="40" w:after="40" w:line="240" w:lineRule="auto"/>
        <w:ind w:left="851" w:firstLine="0"/>
        <w:rPr>
          <w:sz w:val="18"/>
        </w:rPr>
      </w:pPr>
      <w:r w:rsidRPr="0069246A">
        <w:rPr>
          <w:sz w:val="18"/>
        </w:rPr>
        <w:t>JUSTIFICATIVAS PARA O EMPREENDIMENTO</w:t>
      </w:r>
    </w:p>
    <w:p w:rsidR="00040F5C" w:rsidRPr="0069246A" w:rsidRDefault="00040F5C" w:rsidP="00040F5C">
      <w:pPr>
        <w:numPr>
          <w:ilvl w:val="0"/>
          <w:numId w:val="14"/>
        </w:numPr>
        <w:tabs>
          <w:tab w:val="left" w:pos="851"/>
        </w:tabs>
        <w:spacing w:before="40" w:after="40" w:line="240" w:lineRule="auto"/>
        <w:ind w:left="851" w:firstLine="0"/>
        <w:rPr>
          <w:sz w:val="18"/>
        </w:rPr>
      </w:pPr>
      <w:r w:rsidRPr="0069246A">
        <w:rPr>
          <w:sz w:val="18"/>
        </w:rPr>
        <w:t>ASPECTOS LEGAIS</w:t>
      </w:r>
    </w:p>
    <w:p w:rsidR="00040F5C" w:rsidRPr="0069246A" w:rsidRDefault="00040F5C" w:rsidP="00040F5C">
      <w:pPr>
        <w:numPr>
          <w:ilvl w:val="0"/>
          <w:numId w:val="14"/>
        </w:numPr>
        <w:tabs>
          <w:tab w:val="left" w:pos="851"/>
        </w:tabs>
        <w:spacing w:before="40" w:after="40" w:line="240" w:lineRule="auto"/>
        <w:ind w:left="851" w:firstLine="0"/>
        <w:rPr>
          <w:sz w:val="18"/>
        </w:rPr>
      </w:pPr>
      <w:r w:rsidRPr="0069246A">
        <w:rPr>
          <w:sz w:val="18"/>
        </w:rPr>
        <w:t>POLÍTICAS PÚBLICAS, PLANOS E PROGRAMAS E PROJETOS COLOCALIZADOS</w:t>
      </w:r>
    </w:p>
    <w:p w:rsidR="00040F5C" w:rsidRPr="0069246A" w:rsidRDefault="00040F5C" w:rsidP="00040F5C">
      <w:pPr>
        <w:numPr>
          <w:ilvl w:val="0"/>
          <w:numId w:val="14"/>
        </w:numPr>
        <w:tabs>
          <w:tab w:val="left" w:pos="851"/>
        </w:tabs>
        <w:spacing w:before="40" w:after="40" w:line="240" w:lineRule="auto"/>
        <w:ind w:left="851" w:firstLine="0"/>
        <w:rPr>
          <w:sz w:val="18"/>
        </w:rPr>
      </w:pPr>
      <w:r w:rsidRPr="0069246A">
        <w:rPr>
          <w:sz w:val="18"/>
        </w:rPr>
        <w:t>ALTERNATIVAS LOCACIONAIS E TECNOLOGICAS</w:t>
      </w:r>
    </w:p>
    <w:p w:rsidR="00040F5C" w:rsidRPr="0069246A" w:rsidRDefault="00040F5C" w:rsidP="00040F5C">
      <w:pPr>
        <w:numPr>
          <w:ilvl w:val="0"/>
          <w:numId w:val="14"/>
        </w:numPr>
        <w:tabs>
          <w:tab w:val="left" w:pos="851"/>
        </w:tabs>
        <w:spacing w:before="40" w:after="40" w:line="240" w:lineRule="auto"/>
        <w:ind w:left="851" w:firstLine="0"/>
        <w:rPr>
          <w:sz w:val="18"/>
        </w:rPr>
      </w:pPr>
      <w:r w:rsidRPr="0069246A">
        <w:rPr>
          <w:sz w:val="18"/>
        </w:rPr>
        <w:t>DESCRIÇÃO E CARACTERIZAÇÃO DO EMPREENDIMENTO</w:t>
      </w:r>
    </w:p>
    <w:p w:rsidR="00040F5C" w:rsidRPr="0069246A" w:rsidRDefault="00040F5C" w:rsidP="00040F5C">
      <w:pPr>
        <w:numPr>
          <w:ilvl w:val="0"/>
          <w:numId w:val="14"/>
        </w:numPr>
        <w:tabs>
          <w:tab w:val="left" w:pos="851"/>
        </w:tabs>
        <w:spacing w:before="40" w:after="40" w:line="240" w:lineRule="auto"/>
        <w:ind w:left="851" w:firstLine="0"/>
        <w:rPr>
          <w:sz w:val="18"/>
        </w:rPr>
      </w:pPr>
      <w:r w:rsidRPr="0069246A">
        <w:rPr>
          <w:sz w:val="18"/>
        </w:rPr>
        <w:t>ESTUDOS DE REMANSO</w:t>
      </w:r>
    </w:p>
    <w:p w:rsidR="00040F5C" w:rsidRPr="0069246A" w:rsidRDefault="00040F5C" w:rsidP="00040F5C">
      <w:pPr>
        <w:numPr>
          <w:ilvl w:val="0"/>
          <w:numId w:val="14"/>
        </w:numPr>
        <w:tabs>
          <w:tab w:val="left" w:pos="851"/>
        </w:tabs>
        <w:spacing w:before="40" w:after="40" w:line="240" w:lineRule="auto"/>
        <w:ind w:left="851" w:firstLine="0"/>
        <w:rPr>
          <w:sz w:val="18"/>
        </w:rPr>
      </w:pPr>
      <w:r w:rsidRPr="0069246A">
        <w:rPr>
          <w:sz w:val="18"/>
        </w:rPr>
        <w:t>PLANO DE SEGURANÇA DAS BARRAGENS</w:t>
      </w:r>
    </w:p>
    <w:p w:rsidR="00040F5C" w:rsidRPr="0069246A" w:rsidRDefault="00040F5C" w:rsidP="00040F5C">
      <w:pPr>
        <w:numPr>
          <w:ilvl w:val="0"/>
          <w:numId w:val="14"/>
        </w:numPr>
        <w:tabs>
          <w:tab w:val="left" w:pos="851"/>
        </w:tabs>
        <w:spacing w:before="40" w:after="40" w:line="240" w:lineRule="auto"/>
        <w:ind w:left="851" w:firstLine="0"/>
        <w:rPr>
          <w:sz w:val="18"/>
        </w:rPr>
      </w:pPr>
      <w:r w:rsidRPr="0069246A">
        <w:rPr>
          <w:sz w:val="18"/>
        </w:rPr>
        <w:t>DEFINIÇÃO DA ÁREA DE ESTUDO</w:t>
      </w:r>
    </w:p>
    <w:p w:rsidR="00040F5C" w:rsidRPr="0069246A" w:rsidRDefault="00040F5C" w:rsidP="00040F5C">
      <w:pPr>
        <w:numPr>
          <w:ilvl w:val="0"/>
          <w:numId w:val="14"/>
        </w:numPr>
        <w:tabs>
          <w:tab w:val="left" w:pos="851"/>
        </w:tabs>
        <w:spacing w:before="40" w:after="40" w:line="240" w:lineRule="auto"/>
        <w:ind w:left="851" w:firstLine="0"/>
        <w:rPr>
          <w:sz w:val="18"/>
        </w:rPr>
      </w:pPr>
      <w:r w:rsidRPr="0069246A">
        <w:rPr>
          <w:sz w:val="18"/>
        </w:rPr>
        <w:t>DOCUMENTAÇÃO</w:t>
      </w:r>
    </w:p>
    <w:p w:rsidR="00040F5C" w:rsidRPr="0069246A" w:rsidRDefault="00040F5C" w:rsidP="00040F5C">
      <w:pPr>
        <w:tabs>
          <w:tab w:val="left" w:pos="851"/>
        </w:tabs>
        <w:spacing w:before="40" w:after="40" w:line="240" w:lineRule="auto"/>
        <w:ind w:left="851"/>
        <w:rPr>
          <w:sz w:val="18"/>
        </w:rPr>
      </w:pPr>
    </w:p>
    <w:p w:rsidR="00040F5C" w:rsidRPr="0069246A" w:rsidRDefault="00040F5C" w:rsidP="00431A97">
      <w:pPr>
        <w:numPr>
          <w:ilvl w:val="0"/>
          <w:numId w:val="79"/>
        </w:numPr>
        <w:tabs>
          <w:tab w:val="left" w:pos="426"/>
        </w:tabs>
        <w:spacing w:before="40" w:after="40" w:line="240" w:lineRule="auto"/>
        <w:ind w:left="709" w:hanging="283"/>
        <w:contextualSpacing/>
        <w:rPr>
          <w:rFonts w:eastAsia="Calibri" w:cs="Arial"/>
          <w:b/>
        </w:rPr>
      </w:pPr>
      <w:r w:rsidRPr="0069246A">
        <w:rPr>
          <w:rFonts w:eastAsia="Calibri" w:cs="Arial"/>
          <w:b/>
        </w:rPr>
        <w:t>Tomo 2 – Desenhos</w:t>
      </w:r>
    </w:p>
    <w:p w:rsidR="00040F5C" w:rsidRPr="0069246A" w:rsidRDefault="00040F5C" w:rsidP="00040F5C">
      <w:pPr>
        <w:tabs>
          <w:tab w:val="left" w:pos="1701"/>
        </w:tabs>
        <w:spacing w:before="120" w:after="120" w:line="240" w:lineRule="auto"/>
        <w:rPr>
          <w:b/>
        </w:rPr>
      </w:pPr>
    </w:p>
    <w:p w:rsidR="00040F5C" w:rsidRPr="0069246A" w:rsidRDefault="00040F5C" w:rsidP="00040F5C">
      <w:pPr>
        <w:tabs>
          <w:tab w:val="left" w:pos="1701"/>
        </w:tabs>
        <w:spacing w:before="120" w:after="120" w:line="240" w:lineRule="auto"/>
        <w:rPr>
          <w:b/>
        </w:rPr>
      </w:pPr>
      <w:r w:rsidRPr="0069246A">
        <w:rPr>
          <w:b/>
        </w:rPr>
        <w:t>VOLUME II -</w:t>
      </w:r>
      <w:r w:rsidRPr="0069246A">
        <w:rPr>
          <w:b/>
        </w:rPr>
        <w:tab/>
        <w:t>DIAGNÓSTICO AMBIENTAL DO MEIO FÍSICO</w:t>
      </w:r>
    </w:p>
    <w:p w:rsidR="00040F5C" w:rsidRPr="0069246A" w:rsidRDefault="00040F5C" w:rsidP="00431A97">
      <w:pPr>
        <w:numPr>
          <w:ilvl w:val="0"/>
          <w:numId w:val="79"/>
        </w:numPr>
        <w:tabs>
          <w:tab w:val="left" w:pos="426"/>
        </w:tabs>
        <w:spacing w:before="40" w:after="40" w:line="240" w:lineRule="auto"/>
        <w:ind w:left="709" w:hanging="283"/>
        <w:contextualSpacing/>
        <w:rPr>
          <w:rFonts w:eastAsia="Calibri" w:cs="Arial"/>
          <w:b/>
        </w:rPr>
      </w:pPr>
      <w:r w:rsidRPr="0069246A">
        <w:rPr>
          <w:rFonts w:eastAsia="Calibri" w:cs="Arial"/>
          <w:b/>
        </w:rPr>
        <w:t>Tomo 1 - Texto (Parte 1)</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CLIMA E CONDIÇÕES METEOROLÓGICAS</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 xml:space="preserve">RECURSOS HÍDRICOS </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USOS DA ÁGUA</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QUALIDADE DAS ÁGUAS E DOS SEDIMENTOS</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PRODUÇÃO E TRANSPORTE DE SEDIMENTOS</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HIDROGEOLOGIA</w:t>
      </w:r>
    </w:p>
    <w:p w:rsidR="00040F5C" w:rsidRPr="0069246A" w:rsidRDefault="00040F5C" w:rsidP="00040F5C">
      <w:pPr>
        <w:tabs>
          <w:tab w:val="left" w:pos="851"/>
        </w:tabs>
        <w:spacing w:before="40" w:after="40" w:line="240" w:lineRule="auto"/>
        <w:rPr>
          <w:sz w:val="18"/>
          <w:szCs w:val="18"/>
        </w:rPr>
      </w:pPr>
    </w:p>
    <w:p w:rsidR="00040F5C" w:rsidRPr="0069246A" w:rsidRDefault="00040F5C" w:rsidP="00431A97">
      <w:pPr>
        <w:numPr>
          <w:ilvl w:val="0"/>
          <w:numId w:val="79"/>
        </w:numPr>
        <w:tabs>
          <w:tab w:val="left" w:pos="426"/>
        </w:tabs>
        <w:spacing w:before="40" w:after="40" w:line="240" w:lineRule="auto"/>
        <w:ind w:left="709" w:hanging="283"/>
        <w:contextualSpacing/>
        <w:rPr>
          <w:rFonts w:eastAsia="Calibri" w:cs="Arial"/>
          <w:b/>
        </w:rPr>
      </w:pPr>
      <w:r w:rsidRPr="0069246A">
        <w:rPr>
          <w:rFonts w:eastAsia="Calibri" w:cs="Arial"/>
          <w:b/>
        </w:rPr>
        <w:t>Tomo 1 – Texto (Parte 2)</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GEOLOGIA</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GEOMORFOLOGIA</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ESTABILIDADE DAS ENCOSTAS</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PEDOLOGIA</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CAPACIDADE DE USO DAS TERRAS</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SISMICIDADE</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RECURSOS MINERAIS E DIREITOS MINERÁRIOS</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PATRIMÔNIOS NATURAIS</w:t>
      </w:r>
    </w:p>
    <w:p w:rsidR="00040F5C" w:rsidRPr="0069246A" w:rsidRDefault="00040F5C" w:rsidP="00431A97">
      <w:pPr>
        <w:numPr>
          <w:ilvl w:val="0"/>
          <w:numId w:val="27"/>
        </w:numPr>
        <w:tabs>
          <w:tab w:val="left" w:pos="851"/>
        </w:tabs>
        <w:spacing w:before="40" w:after="40" w:line="240" w:lineRule="auto"/>
        <w:ind w:left="357" w:firstLine="493"/>
        <w:rPr>
          <w:sz w:val="18"/>
          <w:szCs w:val="18"/>
        </w:rPr>
      </w:pPr>
      <w:r w:rsidRPr="0069246A">
        <w:rPr>
          <w:sz w:val="18"/>
          <w:szCs w:val="18"/>
        </w:rPr>
        <w:t>FRAGILIDADE AMBIENTAL</w:t>
      </w:r>
    </w:p>
    <w:p w:rsidR="00040F5C" w:rsidRPr="0069246A" w:rsidRDefault="00040F5C" w:rsidP="00040F5C">
      <w:pPr>
        <w:tabs>
          <w:tab w:val="left" w:pos="851"/>
        </w:tabs>
        <w:spacing w:before="40" w:after="40" w:line="240" w:lineRule="auto"/>
        <w:rPr>
          <w:sz w:val="18"/>
          <w:szCs w:val="18"/>
        </w:rPr>
      </w:pPr>
    </w:p>
    <w:p w:rsidR="00040F5C" w:rsidRPr="0069246A" w:rsidRDefault="00040F5C" w:rsidP="00431A97">
      <w:pPr>
        <w:numPr>
          <w:ilvl w:val="0"/>
          <w:numId w:val="54"/>
        </w:numPr>
        <w:spacing w:before="40" w:after="40" w:line="240" w:lineRule="auto"/>
        <w:contextualSpacing/>
        <w:rPr>
          <w:rFonts w:eastAsia="Calibri" w:cs="Arial"/>
          <w:b/>
        </w:rPr>
      </w:pPr>
      <w:r w:rsidRPr="0069246A">
        <w:rPr>
          <w:rFonts w:eastAsia="Calibri" w:cs="Arial"/>
          <w:b/>
        </w:rPr>
        <w:t>Tomo 2 – Desenhos</w:t>
      </w:r>
    </w:p>
    <w:p w:rsidR="00040F5C" w:rsidRPr="0069246A" w:rsidRDefault="00040F5C" w:rsidP="00431A97">
      <w:pPr>
        <w:numPr>
          <w:ilvl w:val="0"/>
          <w:numId w:val="54"/>
        </w:numPr>
        <w:spacing w:before="40" w:after="40" w:line="240" w:lineRule="auto"/>
        <w:contextualSpacing/>
        <w:rPr>
          <w:rFonts w:eastAsia="Calibri" w:cs="Arial"/>
          <w:b/>
        </w:rPr>
      </w:pPr>
      <w:r w:rsidRPr="0069246A">
        <w:rPr>
          <w:rFonts w:eastAsia="Calibri" w:cs="Arial"/>
          <w:b/>
        </w:rPr>
        <w:t>Tomo 3 - Anexos</w:t>
      </w:r>
    </w:p>
    <w:p w:rsidR="00040F5C" w:rsidRPr="0069246A" w:rsidRDefault="00040F5C" w:rsidP="00040F5C">
      <w:pPr>
        <w:tabs>
          <w:tab w:val="left" w:pos="1701"/>
        </w:tabs>
        <w:spacing w:before="120" w:after="120" w:line="240" w:lineRule="auto"/>
        <w:rPr>
          <w:b/>
        </w:rPr>
      </w:pPr>
      <w:r w:rsidRPr="0069246A">
        <w:rPr>
          <w:b/>
        </w:rPr>
        <w:br w:type="page"/>
      </w:r>
      <w:r w:rsidRPr="0069246A">
        <w:rPr>
          <w:b/>
        </w:rPr>
        <w:lastRenderedPageBreak/>
        <w:t>VOLUME III - DIAGNÓSTICO AMBIENTAL DO MEIO BIÓTICO</w:t>
      </w:r>
    </w:p>
    <w:p w:rsidR="00040F5C" w:rsidRPr="0069246A" w:rsidRDefault="00040F5C" w:rsidP="00040F5C">
      <w:pPr>
        <w:tabs>
          <w:tab w:val="left" w:pos="851"/>
        </w:tabs>
        <w:spacing w:before="40" w:after="40" w:line="240" w:lineRule="auto"/>
        <w:rPr>
          <w:sz w:val="18"/>
        </w:rPr>
      </w:pPr>
    </w:p>
    <w:p w:rsidR="00040F5C" w:rsidRPr="0069246A" w:rsidRDefault="00040F5C" w:rsidP="00431A97">
      <w:pPr>
        <w:numPr>
          <w:ilvl w:val="0"/>
          <w:numId w:val="80"/>
        </w:numPr>
        <w:spacing w:before="40" w:after="40" w:line="240" w:lineRule="auto"/>
        <w:contextualSpacing/>
        <w:rPr>
          <w:rFonts w:eastAsia="Calibri" w:cs="Arial"/>
          <w:b/>
        </w:rPr>
      </w:pPr>
      <w:r w:rsidRPr="0069246A">
        <w:rPr>
          <w:rFonts w:eastAsia="Calibri" w:cs="Arial"/>
          <w:b/>
        </w:rPr>
        <w:t>Tomo 1 - Texto (Parte 1)</w:t>
      </w:r>
    </w:p>
    <w:p w:rsidR="00040F5C" w:rsidRPr="0069246A" w:rsidRDefault="00040F5C" w:rsidP="00431A97">
      <w:pPr>
        <w:numPr>
          <w:ilvl w:val="0"/>
          <w:numId w:val="22"/>
        </w:numPr>
        <w:tabs>
          <w:tab w:val="left" w:pos="851"/>
        </w:tabs>
        <w:spacing w:before="40" w:after="40" w:line="240" w:lineRule="auto"/>
        <w:ind w:left="1208" w:hanging="357"/>
        <w:rPr>
          <w:sz w:val="18"/>
        </w:rPr>
      </w:pPr>
      <w:r w:rsidRPr="0069246A">
        <w:rPr>
          <w:sz w:val="18"/>
        </w:rPr>
        <w:t>COBERTURA VEGETAL</w:t>
      </w:r>
    </w:p>
    <w:p w:rsidR="00040F5C" w:rsidRPr="0069246A" w:rsidRDefault="00040F5C" w:rsidP="00431A97">
      <w:pPr>
        <w:numPr>
          <w:ilvl w:val="0"/>
          <w:numId w:val="22"/>
        </w:numPr>
        <w:tabs>
          <w:tab w:val="left" w:pos="851"/>
        </w:tabs>
        <w:spacing w:before="40" w:after="40" w:line="240" w:lineRule="auto"/>
        <w:ind w:left="1208" w:hanging="357"/>
        <w:rPr>
          <w:sz w:val="18"/>
        </w:rPr>
      </w:pPr>
      <w:r w:rsidRPr="0069246A">
        <w:rPr>
          <w:sz w:val="18"/>
        </w:rPr>
        <w:t>FAUNA TERRESTRE</w:t>
      </w:r>
    </w:p>
    <w:p w:rsidR="00040F5C" w:rsidRPr="0069246A" w:rsidRDefault="00040F5C" w:rsidP="00431A97">
      <w:pPr>
        <w:numPr>
          <w:ilvl w:val="0"/>
          <w:numId w:val="22"/>
        </w:numPr>
        <w:tabs>
          <w:tab w:val="left" w:pos="851"/>
        </w:tabs>
        <w:spacing w:before="40" w:after="40" w:line="240" w:lineRule="auto"/>
        <w:ind w:left="1208" w:hanging="357"/>
        <w:rPr>
          <w:sz w:val="18"/>
        </w:rPr>
      </w:pPr>
      <w:r w:rsidRPr="0069246A">
        <w:rPr>
          <w:sz w:val="18"/>
        </w:rPr>
        <w:t>UNIDADES DE CONSERVAÇÃO E OUTRAS ÁREAS LEGALMENTE PROTEGIDAS</w:t>
      </w:r>
    </w:p>
    <w:p w:rsidR="00040F5C" w:rsidRPr="0069246A" w:rsidRDefault="00040F5C" w:rsidP="00431A97">
      <w:pPr>
        <w:numPr>
          <w:ilvl w:val="0"/>
          <w:numId w:val="22"/>
        </w:numPr>
        <w:tabs>
          <w:tab w:val="left" w:pos="851"/>
        </w:tabs>
        <w:spacing w:before="40" w:after="40" w:line="240" w:lineRule="auto"/>
        <w:ind w:left="1208" w:hanging="357"/>
        <w:rPr>
          <w:sz w:val="18"/>
        </w:rPr>
      </w:pPr>
      <w:r w:rsidRPr="0069246A">
        <w:rPr>
          <w:sz w:val="18"/>
        </w:rPr>
        <w:t>INVERTEBRADOS DE INTERESSE MÉDICO E VETORES</w:t>
      </w:r>
    </w:p>
    <w:p w:rsidR="00040F5C" w:rsidRPr="0069246A" w:rsidRDefault="00040F5C" w:rsidP="00040F5C">
      <w:pPr>
        <w:tabs>
          <w:tab w:val="left" w:pos="851"/>
        </w:tabs>
        <w:spacing w:before="40" w:after="40" w:line="240" w:lineRule="auto"/>
        <w:rPr>
          <w:sz w:val="18"/>
        </w:rPr>
      </w:pPr>
    </w:p>
    <w:p w:rsidR="00040F5C" w:rsidRPr="0069246A" w:rsidRDefault="00040F5C" w:rsidP="00431A97">
      <w:pPr>
        <w:numPr>
          <w:ilvl w:val="0"/>
          <w:numId w:val="80"/>
        </w:numPr>
        <w:spacing w:before="40" w:after="40" w:line="240" w:lineRule="auto"/>
        <w:contextualSpacing/>
        <w:rPr>
          <w:rFonts w:eastAsia="Calibri" w:cs="Arial"/>
          <w:b/>
        </w:rPr>
      </w:pPr>
      <w:r w:rsidRPr="0069246A">
        <w:rPr>
          <w:rFonts w:eastAsia="Calibri" w:cs="Arial"/>
          <w:b/>
        </w:rPr>
        <w:t>Tomo 1 - Texto (Parte 2)</w:t>
      </w:r>
    </w:p>
    <w:p w:rsidR="00040F5C" w:rsidRPr="0069246A" w:rsidRDefault="00040F5C" w:rsidP="00040F5C">
      <w:pPr>
        <w:tabs>
          <w:tab w:val="left" w:pos="851"/>
        </w:tabs>
        <w:spacing w:before="40" w:after="40" w:line="240" w:lineRule="auto"/>
        <w:ind w:left="1208"/>
        <w:rPr>
          <w:sz w:val="18"/>
        </w:rPr>
      </w:pPr>
    </w:p>
    <w:p w:rsidR="00040F5C" w:rsidRPr="0069246A" w:rsidRDefault="00040F5C" w:rsidP="00431A97">
      <w:pPr>
        <w:numPr>
          <w:ilvl w:val="0"/>
          <w:numId w:val="22"/>
        </w:numPr>
        <w:tabs>
          <w:tab w:val="left" w:pos="851"/>
        </w:tabs>
        <w:spacing w:before="40" w:after="40" w:line="240" w:lineRule="auto"/>
        <w:ind w:left="1208" w:hanging="357"/>
        <w:rPr>
          <w:sz w:val="18"/>
        </w:rPr>
      </w:pPr>
      <w:r w:rsidRPr="0069246A">
        <w:rPr>
          <w:sz w:val="18"/>
        </w:rPr>
        <w:t>ICTIOFAUNA</w:t>
      </w:r>
    </w:p>
    <w:p w:rsidR="00040F5C" w:rsidRPr="0069246A" w:rsidRDefault="00040F5C" w:rsidP="00431A97">
      <w:pPr>
        <w:numPr>
          <w:ilvl w:val="0"/>
          <w:numId w:val="22"/>
        </w:numPr>
        <w:tabs>
          <w:tab w:val="left" w:pos="851"/>
        </w:tabs>
        <w:spacing w:before="40" w:after="40" w:line="240" w:lineRule="auto"/>
        <w:ind w:left="1208" w:hanging="357"/>
        <w:rPr>
          <w:sz w:val="18"/>
        </w:rPr>
      </w:pPr>
      <w:r w:rsidRPr="0069246A">
        <w:rPr>
          <w:sz w:val="18"/>
        </w:rPr>
        <w:t>LIMNOLOGIA</w:t>
      </w:r>
    </w:p>
    <w:p w:rsidR="00040F5C" w:rsidRPr="0069246A" w:rsidRDefault="00040F5C" w:rsidP="00040F5C">
      <w:pPr>
        <w:tabs>
          <w:tab w:val="left" w:pos="851"/>
        </w:tabs>
        <w:spacing w:before="40" w:after="40" w:line="240" w:lineRule="auto"/>
        <w:rPr>
          <w:sz w:val="18"/>
        </w:rPr>
      </w:pPr>
    </w:p>
    <w:p w:rsidR="00040F5C" w:rsidRPr="0069246A" w:rsidRDefault="00040F5C" w:rsidP="00040F5C">
      <w:pPr>
        <w:tabs>
          <w:tab w:val="left" w:pos="851"/>
        </w:tabs>
        <w:spacing w:before="40" w:after="40" w:line="240" w:lineRule="auto"/>
        <w:rPr>
          <w:sz w:val="18"/>
        </w:rPr>
      </w:pPr>
    </w:p>
    <w:p w:rsidR="00040F5C" w:rsidRPr="0069246A" w:rsidRDefault="00040F5C" w:rsidP="00431A97">
      <w:pPr>
        <w:numPr>
          <w:ilvl w:val="0"/>
          <w:numId w:val="80"/>
        </w:numPr>
        <w:spacing w:before="40" w:after="40" w:line="240" w:lineRule="auto"/>
        <w:contextualSpacing/>
        <w:rPr>
          <w:rFonts w:eastAsia="Calibri" w:cs="Arial"/>
          <w:b/>
        </w:rPr>
      </w:pPr>
      <w:r w:rsidRPr="0069246A">
        <w:rPr>
          <w:rFonts w:eastAsia="Calibri" w:cs="Arial"/>
          <w:b/>
        </w:rPr>
        <w:t>Tomo 2 – Anexos e Desenhos</w:t>
      </w:r>
    </w:p>
    <w:p w:rsidR="00040F5C" w:rsidRPr="0069246A" w:rsidRDefault="00040F5C" w:rsidP="00040F5C">
      <w:pPr>
        <w:tabs>
          <w:tab w:val="left" w:pos="1701"/>
        </w:tabs>
        <w:spacing w:before="120" w:after="120" w:line="240" w:lineRule="auto"/>
        <w:rPr>
          <w:sz w:val="18"/>
        </w:rPr>
      </w:pPr>
    </w:p>
    <w:p w:rsidR="00040F5C" w:rsidRPr="0069246A" w:rsidRDefault="00040F5C" w:rsidP="00040F5C">
      <w:pPr>
        <w:tabs>
          <w:tab w:val="left" w:pos="1701"/>
        </w:tabs>
        <w:spacing w:before="120" w:after="120" w:line="240" w:lineRule="auto"/>
        <w:rPr>
          <w:sz w:val="20"/>
        </w:rPr>
      </w:pPr>
      <w:r w:rsidRPr="0069246A">
        <w:rPr>
          <w:b/>
        </w:rPr>
        <w:t>VOLUME IV - DIAGNÓSTICO AMBIENTAL DO MEIO SOCIOECONÔMICO E ANÁLISE INTEGRADA</w:t>
      </w:r>
    </w:p>
    <w:p w:rsidR="00040F5C" w:rsidRPr="0069246A" w:rsidRDefault="00040F5C" w:rsidP="00040F5C">
      <w:pPr>
        <w:tabs>
          <w:tab w:val="left" w:pos="1701"/>
        </w:tabs>
        <w:spacing w:before="120" w:after="120" w:line="240" w:lineRule="auto"/>
        <w:rPr>
          <w:b/>
        </w:rPr>
      </w:pPr>
    </w:p>
    <w:p w:rsidR="00040F5C" w:rsidRPr="0069246A" w:rsidRDefault="00040F5C" w:rsidP="00431A97">
      <w:pPr>
        <w:numPr>
          <w:ilvl w:val="0"/>
          <w:numId w:val="80"/>
        </w:numPr>
        <w:tabs>
          <w:tab w:val="left" w:pos="709"/>
        </w:tabs>
        <w:spacing w:before="120" w:after="120" w:line="240" w:lineRule="auto"/>
        <w:ind w:hanging="436"/>
        <w:rPr>
          <w:b/>
        </w:rPr>
      </w:pPr>
      <w:r w:rsidRPr="0069246A">
        <w:rPr>
          <w:b/>
        </w:rPr>
        <w:t>Tomo 1 - Texto</w:t>
      </w:r>
    </w:p>
    <w:p w:rsidR="00040F5C" w:rsidRPr="0069246A" w:rsidRDefault="00040F5C" w:rsidP="00431A97">
      <w:pPr>
        <w:numPr>
          <w:ilvl w:val="0"/>
          <w:numId w:val="23"/>
        </w:numPr>
        <w:tabs>
          <w:tab w:val="left" w:pos="851"/>
        </w:tabs>
        <w:spacing w:before="40" w:after="40" w:line="240" w:lineRule="auto"/>
        <w:ind w:left="1208" w:hanging="357"/>
        <w:rPr>
          <w:sz w:val="18"/>
        </w:rPr>
      </w:pPr>
      <w:r w:rsidRPr="0069246A">
        <w:rPr>
          <w:sz w:val="18"/>
        </w:rPr>
        <w:t>ÁREA DO CONTEXTO REGIONAL</w:t>
      </w:r>
    </w:p>
    <w:p w:rsidR="00040F5C" w:rsidRPr="0069246A" w:rsidRDefault="00040F5C" w:rsidP="00431A97">
      <w:pPr>
        <w:numPr>
          <w:ilvl w:val="0"/>
          <w:numId w:val="23"/>
        </w:numPr>
        <w:tabs>
          <w:tab w:val="left" w:pos="851"/>
        </w:tabs>
        <w:spacing w:before="40" w:after="40" w:line="240" w:lineRule="auto"/>
        <w:ind w:left="1208" w:hanging="357"/>
        <w:rPr>
          <w:sz w:val="18"/>
        </w:rPr>
      </w:pPr>
      <w:r w:rsidRPr="0069246A">
        <w:rPr>
          <w:sz w:val="18"/>
        </w:rPr>
        <w:t>ÁREA DE INFLUÊNCIA INDIRETA</w:t>
      </w:r>
    </w:p>
    <w:p w:rsidR="00040F5C" w:rsidRPr="0069246A" w:rsidRDefault="00040F5C" w:rsidP="00431A97">
      <w:pPr>
        <w:numPr>
          <w:ilvl w:val="0"/>
          <w:numId w:val="23"/>
        </w:numPr>
        <w:tabs>
          <w:tab w:val="left" w:pos="851"/>
        </w:tabs>
        <w:spacing w:before="40" w:after="40" w:line="240" w:lineRule="auto"/>
        <w:ind w:left="1208" w:hanging="357"/>
        <w:rPr>
          <w:sz w:val="18"/>
        </w:rPr>
      </w:pPr>
      <w:r w:rsidRPr="0069246A">
        <w:rPr>
          <w:sz w:val="18"/>
        </w:rPr>
        <w:t>ÁREA DE INFLUÊNCIA INDIRETA E ÁREA DIRETAMENTE AFETADA</w:t>
      </w:r>
    </w:p>
    <w:p w:rsidR="00040F5C" w:rsidRPr="0069246A" w:rsidRDefault="00040F5C" w:rsidP="00431A97">
      <w:pPr>
        <w:numPr>
          <w:ilvl w:val="0"/>
          <w:numId w:val="23"/>
        </w:numPr>
        <w:tabs>
          <w:tab w:val="left" w:pos="851"/>
        </w:tabs>
        <w:spacing w:before="40" w:after="40" w:line="240" w:lineRule="auto"/>
        <w:ind w:left="1208" w:hanging="357"/>
        <w:rPr>
          <w:sz w:val="18"/>
        </w:rPr>
      </w:pPr>
      <w:r w:rsidRPr="0069246A">
        <w:rPr>
          <w:sz w:val="18"/>
        </w:rPr>
        <w:t>PESQUISA DE CARACTERIZAÇÃO DA POPULAÇÃO AFETADA — ADA</w:t>
      </w:r>
    </w:p>
    <w:p w:rsidR="00040F5C" w:rsidRPr="0069246A" w:rsidRDefault="00040F5C" w:rsidP="00431A97">
      <w:pPr>
        <w:numPr>
          <w:ilvl w:val="0"/>
          <w:numId w:val="23"/>
        </w:numPr>
        <w:tabs>
          <w:tab w:val="left" w:pos="851"/>
        </w:tabs>
        <w:spacing w:before="40" w:after="40" w:line="240" w:lineRule="auto"/>
        <w:ind w:left="1208" w:hanging="357"/>
        <w:rPr>
          <w:sz w:val="18"/>
        </w:rPr>
      </w:pPr>
      <w:r w:rsidRPr="0069246A">
        <w:rPr>
          <w:sz w:val="18"/>
        </w:rPr>
        <w:t>RELATÓRIO DE ARQUEOLOGIA</w:t>
      </w:r>
    </w:p>
    <w:p w:rsidR="00040F5C" w:rsidRPr="0069246A" w:rsidRDefault="00040F5C" w:rsidP="00431A97">
      <w:pPr>
        <w:numPr>
          <w:ilvl w:val="0"/>
          <w:numId w:val="23"/>
        </w:numPr>
        <w:tabs>
          <w:tab w:val="left" w:pos="851"/>
        </w:tabs>
        <w:spacing w:before="40" w:after="40" w:line="240" w:lineRule="auto"/>
        <w:ind w:left="1208" w:hanging="357"/>
        <w:rPr>
          <w:sz w:val="18"/>
        </w:rPr>
      </w:pPr>
      <w:r w:rsidRPr="0069246A">
        <w:rPr>
          <w:sz w:val="18"/>
        </w:rPr>
        <w:t>ANÁLISE INTEGRADA</w:t>
      </w:r>
    </w:p>
    <w:p w:rsidR="00040F5C" w:rsidRPr="0069246A" w:rsidRDefault="00040F5C" w:rsidP="00040F5C">
      <w:pPr>
        <w:tabs>
          <w:tab w:val="left" w:pos="851"/>
        </w:tabs>
        <w:spacing w:before="40" w:after="40" w:line="240" w:lineRule="auto"/>
        <w:rPr>
          <w:sz w:val="18"/>
        </w:rPr>
      </w:pPr>
    </w:p>
    <w:p w:rsidR="00040F5C" w:rsidRPr="0069246A" w:rsidRDefault="00040F5C" w:rsidP="00431A97">
      <w:pPr>
        <w:numPr>
          <w:ilvl w:val="0"/>
          <w:numId w:val="80"/>
        </w:numPr>
        <w:spacing w:before="40" w:after="40" w:line="240" w:lineRule="auto"/>
        <w:contextualSpacing/>
        <w:rPr>
          <w:rFonts w:eastAsia="Calibri" w:cs="Arial"/>
          <w:b/>
        </w:rPr>
      </w:pPr>
      <w:r w:rsidRPr="0069246A">
        <w:rPr>
          <w:rFonts w:eastAsia="Calibri" w:cs="Arial"/>
          <w:b/>
        </w:rPr>
        <w:t>Tomo 2 – Anexos e Desenhos</w:t>
      </w:r>
    </w:p>
    <w:p w:rsidR="00040F5C" w:rsidRPr="0069246A" w:rsidRDefault="00040F5C" w:rsidP="00040F5C">
      <w:pPr>
        <w:spacing w:before="360" w:after="120" w:line="240" w:lineRule="auto"/>
        <w:rPr>
          <w:b/>
        </w:rPr>
      </w:pPr>
      <w:r w:rsidRPr="0069246A">
        <w:rPr>
          <w:b/>
        </w:rPr>
        <w:t xml:space="preserve">VOLUME V -IMPACTOS </w:t>
      </w:r>
      <w:r w:rsidR="00BC1EC1">
        <w:rPr>
          <w:b/>
        </w:rPr>
        <w:t xml:space="preserve">E PROGRAMAS </w:t>
      </w:r>
      <w:r w:rsidRPr="0069246A">
        <w:rPr>
          <w:b/>
        </w:rPr>
        <w:t>AMBIENTAIS</w:t>
      </w:r>
    </w:p>
    <w:p w:rsidR="00040F5C" w:rsidRPr="0069246A" w:rsidRDefault="00040F5C" w:rsidP="00040F5C">
      <w:pPr>
        <w:spacing w:before="360" w:after="120" w:line="240" w:lineRule="auto"/>
        <w:rPr>
          <w:b/>
          <w:sz w:val="18"/>
          <w:szCs w:val="18"/>
        </w:rPr>
      </w:pPr>
    </w:p>
    <w:p w:rsidR="00040F5C" w:rsidRPr="0069246A" w:rsidRDefault="00040F5C" w:rsidP="00431A97">
      <w:pPr>
        <w:numPr>
          <w:ilvl w:val="0"/>
          <w:numId w:val="53"/>
        </w:numPr>
        <w:spacing w:before="40" w:after="40" w:line="240" w:lineRule="auto"/>
        <w:contextualSpacing/>
        <w:rPr>
          <w:rFonts w:eastAsia="Calibri" w:cs="Arial"/>
          <w:b/>
        </w:rPr>
      </w:pPr>
      <w:r w:rsidRPr="0069246A">
        <w:rPr>
          <w:rFonts w:eastAsia="Calibri" w:cs="Arial"/>
          <w:b/>
        </w:rPr>
        <w:t>Tomo 1 - Texto</w:t>
      </w:r>
    </w:p>
    <w:p w:rsidR="00040F5C" w:rsidRPr="0069246A" w:rsidRDefault="00040F5C" w:rsidP="00431A97">
      <w:pPr>
        <w:numPr>
          <w:ilvl w:val="0"/>
          <w:numId w:val="19"/>
        </w:numPr>
        <w:tabs>
          <w:tab w:val="left" w:pos="851"/>
        </w:tabs>
        <w:spacing w:before="40" w:after="40" w:line="240" w:lineRule="auto"/>
        <w:ind w:left="1208" w:hanging="357"/>
        <w:rPr>
          <w:sz w:val="18"/>
          <w:szCs w:val="18"/>
        </w:rPr>
      </w:pPr>
      <w:r w:rsidRPr="0069246A">
        <w:rPr>
          <w:sz w:val="18"/>
          <w:szCs w:val="18"/>
        </w:rPr>
        <w:t>IDENTIFICAÇÃO E AVALIAÇÃO DOS IMPACTOS AMBIENTAIS</w:t>
      </w:r>
    </w:p>
    <w:p w:rsidR="00040F5C" w:rsidRPr="0069246A" w:rsidRDefault="00040F5C" w:rsidP="00431A97">
      <w:pPr>
        <w:numPr>
          <w:ilvl w:val="0"/>
          <w:numId w:val="19"/>
        </w:numPr>
        <w:spacing w:before="40" w:after="40" w:line="240" w:lineRule="auto"/>
        <w:ind w:left="1208" w:hanging="357"/>
        <w:rPr>
          <w:sz w:val="18"/>
          <w:szCs w:val="18"/>
        </w:rPr>
      </w:pPr>
      <w:r w:rsidRPr="0069246A">
        <w:rPr>
          <w:sz w:val="18"/>
          <w:szCs w:val="18"/>
        </w:rPr>
        <w:t>QUADRO SÍNTESE DOS IMPACTOS</w:t>
      </w:r>
    </w:p>
    <w:p w:rsidR="00040F5C" w:rsidRPr="0069246A" w:rsidRDefault="00040F5C" w:rsidP="00431A97">
      <w:pPr>
        <w:numPr>
          <w:ilvl w:val="0"/>
          <w:numId w:val="19"/>
        </w:numPr>
        <w:spacing w:before="40" w:after="40" w:line="240" w:lineRule="auto"/>
        <w:ind w:left="1208" w:hanging="357"/>
        <w:rPr>
          <w:sz w:val="18"/>
          <w:szCs w:val="18"/>
        </w:rPr>
      </w:pPr>
      <w:r w:rsidRPr="0069246A">
        <w:rPr>
          <w:sz w:val="18"/>
          <w:szCs w:val="18"/>
        </w:rPr>
        <w:t>PROGRAMAS DE MONITORAMENTO, MITIGAÇÃO E COMPENSAÇÃO AMBIENTAL</w:t>
      </w:r>
    </w:p>
    <w:p w:rsidR="00040F5C" w:rsidRPr="0069246A" w:rsidRDefault="00040F5C" w:rsidP="00431A97">
      <w:pPr>
        <w:numPr>
          <w:ilvl w:val="0"/>
          <w:numId w:val="19"/>
        </w:numPr>
        <w:tabs>
          <w:tab w:val="left" w:pos="851"/>
        </w:tabs>
        <w:spacing w:before="40" w:after="40" w:line="240" w:lineRule="auto"/>
        <w:ind w:left="1208" w:hanging="357"/>
        <w:rPr>
          <w:sz w:val="18"/>
          <w:szCs w:val="18"/>
        </w:rPr>
      </w:pPr>
      <w:r w:rsidRPr="0069246A">
        <w:rPr>
          <w:sz w:val="18"/>
          <w:szCs w:val="18"/>
        </w:rPr>
        <w:t>PROGNÓSTICO DA QUALIDADE AMBIENTAL FUTURA PROGNÓSTICO DA QUALIDADE AMBIENTAL FUTURA</w:t>
      </w:r>
    </w:p>
    <w:p w:rsidR="00040F5C" w:rsidRPr="0069246A" w:rsidRDefault="00040F5C" w:rsidP="00431A97">
      <w:pPr>
        <w:numPr>
          <w:ilvl w:val="0"/>
          <w:numId w:val="19"/>
        </w:numPr>
        <w:spacing w:before="40" w:after="40" w:line="240" w:lineRule="auto"/>
        <w:ind w:left="1208" w:hanging="357"/>
        <w:rPr>
          <w:sz w:val="18"/>
          <w:szCs w:val="18"/>
        </w:rPr>
      </w:pPr>
      <w:r w:rsidRPr="0069246A">
        <w:rPr>
          <w:sz w:val="18"/>
          <w:szCs w:val="18"/>
        </w:rPr>
        <w:t xml:space="preserve">CONCLUSSÕES e RECOMENDAÇÕES </w:t>
      </w:r>
    </w:p>
    <w:p w:rsidR="00040F5C" w:rsidRPr="0069246A" w:rsidRDefault="00040F5C" w:rsidP="00431A97">
      <w:pPr>
        <w:numPr>
          <w:ilvl w:val="0"/>
          <w:numId w:val="19"/>
        </w:numPr>
        <w:tabs>
          <w:tab w:val="left" w:pos="851"/>
        </w:tabs>
        <w:spacing w:before="40" w:after="40" w:line="240" w:lineRule="auto"/>
        <w:ind w:left="1208" w:hanging="357"/>
        <w:rPr>
          <w:sz w:val="18"/>
          <w:szCs w:val="18"/>
        </w:rPr>
      </w:pPr>
      <w:r w:rsidRPr="0069246A">
        <w:rPr>
          <w:sz w:val="18"/>
          <w:szCs w:val="18"/>
        </w:rPr>
        <w:t>EQUIPE TÉCNICA</w:t>
      </w:r>
    </w:p>
    <w:p w:rsidR="00040F5C" w:rsidRPr="0069246A" w:rsidRDefault="00040F5C" w:rsidP="00040F5C">
      <w:pPr>
        <w:rPr>
          <w:b/>
        </w:rPr>
      </w:pPr>
    </w:p>
    <w:p w:rsidR="00A167D8" w:rsidRPr="00513E81" w:rsidRDefault="00040F5C" w:rsidP="00040F5C">
      <w:pPr>
        <w:rPr>
          <w:sz w:val="18"/>
          <w:szCs w:val="18"/>
        </w:rPr>
      </w:pPr>
      <w:r w:rsidRPr="00513E81">
        <w:rPr>
          <w:sz w:val="18"/>
          <w:szCs w:val="18"/>
        </w:rPr>
        <w:t xml:space="preserve"> </w:t>
      </w:r>
    </w:p>
    <w:p w:rsidR="00A167D8" w:rsidRDefault="00A167D8" w:rsidP="00040F5C">
      <w:pPr>
        <w:jc w:val="left"/>
        <w:rPr>
          <w:b/>
          <w:highlight w:val="yellow"/>
        </w:rPr>
      </w:pPr>
    </w:p>
    <w:p w:rsidR="005F5487" w:rsidRDefault="005F5487" w:rsidP="00045770">
      <w:pPr>
        <w:jc w:val="center"/>
        <w:rPr>
          <w:b/>
          <w:highlight w:val="yellow"/>
        </w:rPr>
      </w:pPr>
      <w:r>
        <w:rPr>
          <w:b/>
          <w:highlight w:val="yellow"/>
        </w:rPr>
        <w:br w:type="page"/>
      </w:r>
    </w:p>
    <w:p w:rsidR="008E46ED" w:rsidRDefault="009E1DAB" w:rsidP="009E1DAB">
      <w:pPr>
        <w:jc w:val="center"/>
        <w:rPr>
          <w:rFonts w:cs="Arial"/>
          <w:b/>
          <w:szCs w:val="22"/>
        </w:rPr>
      </w:pPr>
      <w:r w:rsidRPr="009E1DAB">
        <w:rPr>
          <w:rFonts w:cs="Arial"/>
          <w:b/>
          <w:szCs w:val="22"/>
        </w:rPr>
        <w:lastRenderedPageBreak/>
        <w:t>ÍNDICE</w:t>
      </w:r>
    </w:p>
    <w:p w:rsidR="009E1DAB" w:rsidRPr="009E1DAB" w:rsidRDefault="009E1DAB" w:rsidP="009E1DAB">
      <w:pPr>
        <w:jc w:val="right"/>
        <w:rPr>
          <w:rFonts w:cs="Arial"/>
          <w:b/>
          <w:szCs w:val="22"/>
        </w:rPr>
      </w:pPr>
      <w:r w:rsidRPr="009E1DAB">
        <w:rPr>
          <w:rFonts w:cs="Arial"/>
          <w:b/>
          <w:szCs w:val="22"/>
        </w:rPr>
        <w:t>Pag.</w:t>
      </w:r>
    </w:p>
    <w:p w:rsidR="00DF458B" w:rsidRDefault="00B80A05" w:rsidP="00DF458B">
      <w:pPr>
        <w:pStyle w:val="Sumrio1"/>
        <w:rPr>
          <w:rFonts w:asciiTheme="minorHAnsi" w:eastAsiaTheme="minorEastAsia" w:hAnsiTheme="minorHAnsi" w:cstheme="minorBidi"/>
          <w:b w:val="0"/>
          <w:caps w:val="0"/>
          <w:szCs w:val="22"/>
        </w:rPr>
      </w:pPr>
      <w:r>
        <w:rPr>
          <w:b w:val="0"/>
        </w:rPr>
        <w:fldChar w:fldCharType="begin"/>
      </w:r>
      <w:r w:rsidR="00C168B5">
        <w:rPr>
          <w:b w:val="0"/>
        </w:rPr>
        <w:instrText xml:space="preserve"> TOC \o "1-5" \h \z \u </w:instrText>
      </w:r>
      <w:r>
        <w:rPr>
          <w:b w:val="0"/>
        </w:rPr>
        <w:fldChar w:fldCharType="separate"/>
      </w:r>
      <w:hyperlink w:anchor="_Toc419813555" w:history="1">
        <w:r w:rsidR="00DF458B" w:rsidRPr="00503D2D">
          <w:rPr>
            <w:rStyle w:val="Hyperlink"/>
          </w:rPr>
          <w:t>PREFÁCIO</w:t>
        </w:r>
        <w:r w:rsidR="00DF458B">
          <w:rPr>
            <w:webHidden/>
          </w:rPr>
          <w:tab/>
        </w:r>
        <w:r>
          <w:rPr>
            <w:webHidden/>
          </w:rPr>
          <w:fldChar w:fldCharType="begin"/>
        </w:r>
        <w:r w:rsidR="00DF458B">
          <w:rPr>
            <w:webHidden/>
          </w:rPr>
          <w:instrText xml:space="preserve"> PAGEREF _Toc419813555 \h </w:instrText>
        </w:r>
        <w:r>
          <w:rPr>
            <w:webHidden/>
          </w:rPr>
        </w:r>
        <w:r>
          <w:rPr>
            <w:webHidden/>
          </w:rPr>
          <w:fldChar w:fldCharType="separate"/>
        </w:r>
        <w:r w:rsidR="00316060">
          <w:rPr>
            <w:webHidden/>
          </w:rPr>
          <w:t>i</w:t>
        </w:r>
        <w:r>
          <w:rPr>
            <w:webHidden/>
          </w:rPr>
          <w:fldChar w:fldCharType="end"/>
        </w:r>
      </w:hyperlink>
    </w:p>
    <w:p w:rsidR="00DF458B" w:rsidRDefault="00D84387" w:rsidP="00DF458B">
      <w:pPr>
        <w:pStyle w:val="Sumrio1"/>
        <w:rPr>
          <w:rFonts w:asciiTheme="minorHAnsi" w:eastAsiaTheme="minorEastAsia" w:hAnsiTheme="minorHAnsi" w:cstheme="minorBidi"/>
          <w:b w:val="0"/>
          <w:caps w:val="0"/>
          <w:szCs w:val="22"/>
        </w:rPr>
      </w:pPr>
      <w:hyperlink w:anchor="_Toc419813556" w:history="1">
        <w:r w:rsidR="00DF458B" w:rsidRPr="00503D2D">
          <w:rPr>
            <w:rStyle w:val="Hyperlink"/>
            <w:rFonts w:eastAsia="Calibri"/>
            <w:lang w:eastAsia="en-US"/>
          </w:rPr>
          <w:t>APRESENTAÇÃO</w:t>
        </w:r>
        <w:r w:rsidR="00DF458B">
          <w:rPr>
            <w:webHidden/>
          </w:rPr>
          <w:tab/>
        </w:r>
        <w:r w:rsidR="00B80A05">
          <w:rPr>
            <w:webHidden/>
          </w:rPr>
          <w:fldChar w:fldCharType="begin"/>
        </w:r>
        <w:r w:rsidR="00DF458B">
          <w:rPr>
            <w:webHidden/>
          </w:rPr>
          <w:instrText xml:space="preserve"> PAGEREF _Toc419813556 \h </w:instrText>
        </w:r>
        <w:r w:rsidR="00B80A05">
          <w:rPr>
            <w:webHidden/>
          </w:rPr>
        </w:r>
        <w:r w:rsidR="00B80A05">
          <w:rPr>
            <w:webHidden/>
          </w:rPr>
          <w:fldChar w:fldCharType="separate"/>
        </w:r>
        <w:r w:rsidR="00316060">
          <w:rPr>
            <w:webHidden/>
          </w:rPr>
          <w:t>1</w:t>
        </w:r>
        <w:r w:rsidR="00B80A05">
          <w:rPr>
            <w:webHidden/>
          </w:rPr>
          <w:fldChar w:fldCharType="end"/>
        </w:r>
      </w:hyperlink>
    </w:p>
    <w:p w:rsidR="00DF458B" w:rsidRDefault="00D84387" w:rsidP="00DF458B">
      <w:pPr>
        <w:pStyle w:val="Sumrio1"/>
        <w:rPr>
          <w:rFonts w:asciiTheme="minorHAnsi" w:eastAsiaTheme="minorEastAsia" w:hAnsiTheme="minorHAnsi" w:cstheme="minorBidi"/>
          <w:b w:val="0"/>
          <w:caps w:val="0"/>
          <w:szCs w:val="22"/>
        </w:rPr>
      </w:pPr>
      <w:hyperlink w:anchor="_Toc419813557" w:history="1">
        <w:r w:rsidR="00DF458B" w:rsidRPr="00503D2D">
          <w:rPr>
            <w:rStyle w:val="Hyperlink"/>
          </w:rPr>
          <w:t>1.</w:t>
        </w:r>
        <w:r w:rsidR="00DF458B">
          <w:rPr>
            <w:rFonts w:asciiTheme="minorHAnsi" w:eastAsiaTheme="minorEastAsia" w:hAnsiTheme="minorHAnsi" w:cstheme="minorBidi"/>
            <w:b w:val="0"/>
            <w:caps w:val="0"/>
            <w:szCs w:val="22"/>
          </w:rPr>
          <w:tab/>
        </w:r>
        <w:r w:rsidR="00DF458B" w:rsidRPr="00503D2D">
          <w:rPr>
            <w:rStyle w:val="Hyperlink"/>
          </w:rPr>
          <w:t>IDENTIFICAÇÃO E AVALIAÇÃO DOS IMPACTOS AMBIENTAIS DAs Barragens pedreira e duas pontes</w:t>
        </w:r>
        <w:r w:rsidR="00DF458B">
          <w:rPr>
            <w:webHidden/>
          </w:rPr>
          <w:tab/>
        </w:r>
        <w:r w:rsidR="00B80A05">
          <w:rPr>
            <w:webHidden/>
          </w:rPr>
          <w:fldChar w:fldCharType="begin"/>
        </w:r>
        <w:r w:rsidR="00DF458B">
          <w:rPr>
            <w:webHidden/>
          </w:rPr>
          <w:instrText xml:space="preserve"> PAGEREF _Toc419813557 \h </w:instrText>
        </w:r>
        <w:r w:rsidR="00B80A05">
          <w:rPr>
            <w:webHidden/>
          </w:rPr>
        </w:r>
        <w:r w:rsidR="00B80A05">
          <w:rPr>
            <w:webHidden/>
          </w:rPr>
          <w:fldChar w:fldCharType="separate"/>
        </w:r>
        <w:r w:rsidR="00316060">
          <w:rPr>
            <w:webHidden/>
          </w:rPr>
          <w:t>2</w:t>
        </w:r>
        <w:r w:rsidR="00B80A05">
          <w:rPr>
            <w:webHidden/>
          </w:rPr>
          <w:fldChar w:fldCharType="end"/>
        </w:r>
      </w:hyperlink>
    </w:p>
    <w:p w:rsidR="00DF458B" w:rsidRPr="00DF458B" w:rsidRDefault="00D84387" w:rsidP="00DF458B">
      <w:pPr>
        <w:pStyle w:val="Sumrio2"/>
        <w:spacing w:before="120" w:after="120" w:line="240" w:lineRule="auto"/>
        <w:ind w:left="284"/>
        <w:rPr>
          <w:rFonts w:ascii="Arial Negrito" w:eastAsiaTheme="minorEastAsia" w:hAnsi="Arial Negrito" w:cstheme="minorBidi"/>
          <w:b w:val="0"/>
          <w:smallCaps w:val="0"/>
          <w:szCs w:val="22"/>
        </w:rPr>
      </w:pPr>
      <w:hyperlink w:anchor="_Toc419813558" w:history="1">
        <w:r w:rsidR="00DF458B" w:rsidRPr="00DF458B">
          <w:rPr>
            <w:rStyle w:val="Hyperlink"/>
            <w:rFonts w:ascii="Arial Negrito" w:hAnsi="Arial Negrito"/>
            <w:smallCaps w:val="0"/>
          </w:rPr>
          <w:t>1.1.</w:t>
        </w:r>
        <w:r w:rsidR="00DF458B" w:rsidRPr="00DF458B">
          <w:rPr>
            <w:rFonts w:ascii="Arial Negrito" w:eastAsiaTheme="minorEastAsia" w:hAnsi="Arial Negrito" w:cstheme="minorBidi"/>
            <w:b w:val="0"/>
            <w:smallCaps w:val="0"/>
            <w:szCs w:val="22"/>
          </w:rPr>
          <w:tab/>
        </w:r>
        <w:r w:rsidR="00DF458B" w:rsidRPr="00DF458B">
          <w:rPr>
            <w:rStyle w:val="Hyperlink"/>
            <w:rFonts w:ascii="Arial Negrito" w:hAnsi="Arial Negrito"/>
            <w:smallCaps w:val="0"/>
          </w:rPr>
          <w:t>Considerações Iniciais</w:t>
        </w:r>
        <w:r w:rsidR="00DF458B" w:rsidRPr="00DF458B">
          <w:rPr>
            <w:rFonts w:ascii="Arial Negrito" w:hAnsi="Arial Negrito"/>
            <w:smallCaps w:val="0"/>
            <w:webHidden/>
          </w:rPr>
          <w:tab/>
        </w:r>
        <w:r w:rsidR="00B80A05" w:rsidRPr="00DF458B">
          <w:rPr>
            <w:rFonts w:ascii="Arial Negrito" w:hAnsi="Arial Negrito"/>
            <w:smallCaps w:val="0"/>
            <w:webHidden/>
          </w:rPr>
          <w:fldChar w:fldCharType="begin"/>
        </w:r>
        <w:r w:rsidR="00DF458B" w:rsidRPr="00DF458B">
          <w:rPr>
            <w:rFonts w:ascii="Arial Negrito" w:hAnsi="Arial Negrito"/>
            <w:smallCaps w:val="0"/>
            <w:webHidden/>
          </w:rPr>
          <w:instrText xml:space="preserve"> PAGEREF _Toc419813558 \h </w:instrText>
        </w:r>
        <w:r w:rsidR="00B80A05" w:rsidRPr="00DF458B">
          <w:rPr>
            <w:rFonts w:ascii="Arial Negrito" w:hAnsi="Arial Negrito"/>
            <w:smallCaps w:val="0"/>
            <w:webHidden/>
          </w:rPr>
        </w:r>
        <w:r w:rsidR="00B80A05" w:rsidRPr="00DF458B">
          <w:rPr>
            <w:rFonts w:ascii="Arial Negrito" w:hAnsi="Arial Negrito"/>
            <w:smallCaps w:val="0"/>
            <w:webHidden/>
          </w:rPr>
          <w:fldChar w:fldCharType="separate"/>
        </w:r>
        <w:r w:rsidR="00316060">
          <w:rPr>
            <w:rFonts w:ascii="Arial Negrito" w:hAnsi="Arial Negrito"/>
            <w:smallCaps w:val="0"/>
            <w:webHidden/>
          </w:rPr>
          <w:t>2</w:t>
        </w:r>
        <w:r w:rsidR="00B80A05" w:rsidRPr="00DF458B">
          <w:rPr>
            <w:rFonts w:ascii="Arial Negrito" w:hAnsi="Arial Negrito"/>
            <w:smallCaps w:val="0"/>
            <w:webHidden/>
          </w:rPr>
          <w:fldChar w:fldCharType="end"/>
        </w:r>
      </w:hyperlink>
    </w:p>
    <w:p w:rsidR="00DF458B" w:rsidRPr="00DF458B" w:rsidRDefault="00D84387" w:rsidP="00DF458B">
      <w:pPr>
        <w:pStyle w:val="Sumrio2"/>
        <w:spacing w:before="120" w:after="120" w:line="240" w:lineRule="auto"/>
        <w:ind w:left="284"/>
        <w:rPr>
          <w:rFonts w:ascii="Arial Negrito" w:eastAsiaTheme="minorEastAsia" w:hAnsi="Arial Negrito" w:cstheme="minorBidi"/>
          <w:b w:val="0"/>
          <w:smallCaps w:val="0"/>
          <w:szCs w:val="22"/>
        </w:rPr>
      </w:pPr>
      <w:hyperlink w:anchor="_Toc419813559" w:history="1">
        <w:r w:rsidR="00DF458B" w:rsidRPr="00DF458B">
          <w:rPr>
            <w:rStyle w:val="Hyperlink"/>
            <w:rFonts w:ascii="Arial Negrito" w:hAnsi="Arial Negrito"/>
            <w:smallCaps w:val="0"/>
          </w:rPr>
          <w:t>1.2.</w:t>
        </w:r>
        <w:r w:rsidR="00DF458B" w:rsidRPr="00DF458B">
          <w:rPr>
            <w:rFonts w:ascii="Arial Negrito" w:eastAsiaTheme="minorEastAsia" w:hAnsi="Arial Negrito" w:cstheme="minorBidi"/>
            <w:b w:val="0"/>
            <w:smallCaps w:val="0"/>
            <w:szCs w:val="22"/>
          </w:rPr>
          <w:tab/>
        </w:r>
        <w:r w:rsidR="00DF458B" w:rsidRPr="00DF458B">
          <w:rPr>
            <w:rStyle w:val="Hyperlink"/>
            <w:rFonts w:ascii="Arial Negrito" w:hAnsi="Arial Negrito"/>
            <w:smallCaps w:val="0"/>
          </w:rPr>
          <w:t>Procedimentos Metodológicos</w:t>
        </w:r>
        <w:r w:rsidR="00DF458B" w:rsidRPr="00DF458B">
          <w:rPr>
            <w:rFonts w:ascii="Arial Negrito" w:hAnsi="Arial Negrito"/>
            <w:smallCaps w:val="0"/>
            <w:webHidden/>
          </w:rPr>
          <w:tab/>
        </w:r>
        <w:r w:rsidR="00B80A05" w:rsidRPr="00DF458B">
          <w:rPr>
            <w:rFonts w:ascii="Arial Negrito" w:hAnsi="Arial Negrito"/>
            <w:smallCaps w:val="0"/>
            <w:webHidden/>
          </w:rPr>
          <w:fldChar w:fldCharType="begin"/>
        </w:r>
        <w:r w:rsidR="00DF458B" w:rsidRPr="00DF458B">
          <w:rPr>
            <w:rFonts w:ascii="Arial Negrito" w:hAnsi="Arial Negrito"/>
            <w:smallCaps w:val="0"/>
            <w:webHidden/>
          </w:rPr>
          <w:instrText xml:space="preserve"> PAGEREF _Toc419813559 \h </w:instrText>
        </w:r>
        <w:r w:rsidR="00B80A05" w:rsidRPr="00DF458B">
          <w:rPr>
            <w:rFonts w:ascii="Arial Negrito" w:hAnsi="Arial Negrito"/>
            <w:smallCaps w:val="0"/>
            <w:webHidden/>
          </w:rPr>
        </w:r>
        <w:r w:rsidR="00B80A05" w:rsidRPr="00DF458B">
          <w:rPr>
            <w:rFonts w:ascii="Arial Negrito" w:hAnsi="Arial Negrito"/>
            <w:smallCaps w:val="0"/>
            <w:webHidden/>
          </w:rPr>
          <w:fldChar w:fldCharType="separate"/>
        </w:r>
        <w:r w:rsidR="00316060">
          <w:rPr>
            <w:rFonts w:ascii="Arial Negrito" w:hAnsi="Arial Negrito"/>
            <w:smallCaps w:val="0"/>
            <w:webHidden/>
          </w:rPr>
          <w:t>2</w:t>
        </w:r>
        <w:r w:rsidR="00B80A05" w:rsidRPr="00DF458B">
          <w:rPr>
            <w:rFonts w:ascii="Arial Negrito" w:hAnsi="Arial Negrito"/>
            <w:smallCaps w:val="0"/>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60" w:history="1">
        <w:r w:rsidR="00DF458B" w:rsidRPr="00503D2D">
          <w:rPr>
            <w:rStyle w:val="Hyperlink"/>
          </w:rPr>
          <w:t>1.2.1.</w:t>
        </w:r>
        <w:r w:rsidR="00DF458B">
          <w:rPr>
            <w:rStyle w:val="Hyperlink"/>
          </w:rPr>
          <w:t xml:space="preserve"> </w:t>
        </w:r>
        <w:r w:rsidR="00DF458B" w:rsidRPr="00503D2D">
          <w:rPr>
            <w:rStyle w:val="Hyperlink"/>
          </w:rPr>
          <w:t>Definição de Fatores Geradores de Impactos Ambientais</w:t>
        </w:r>
        <w:r w:rsidR="00DF458B">
          <w:rPr>
            <w:webHidden/>
          </w:rPr>
          <w:tab/>
        </w:r>
        <w:r w:rsidR="00B80A05">
          <w:rPr>
            <w:webHidden/>
          </w:rPr>
          <w:fldChar w:fldCharType="begin"/>
        </w:r>
        <w:r w:rsidR="00DF458B">
          <w:rPr>
            <w:webHidden/>
          </w:rPr>
          <w:instrText xml:space="preserve"> PAGEREF _Toc419813560 \h </w:instrText>
        </w:r>
        <w:r w:rsidR="00B80A05">
          <w:rPr>
            <w:webHidden/>
          </w:rPr>
        </w:r>
        <w:r w:rsidR="00B80A05">
          <w:rPr>
            <w:webHidden/>
          </w:rPr>
          <w:fldChar w:fldCharType="separate"/>
        </w:r>
        <w:r w:rsidR="00316060">
          <w:rPr>
            <w:webHidden/>
          </w:rPr>
          <w:t>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61" w:history="1">
        <w:r w:rsidR="00DF458B" w:rsidRPr="00503D2D">
          <w:rPr>
            <w:rStyle w:val="Hyperlink"/>
          </w:rPr>
          <w:t>1.2.2.</w:t>
        </w:r>
        <w:r w:rsidR="00DF458B">
          <w:rPr>
            <w:rStyle w:val="Hyperlink"/>
          </w:rPr>
          <w:t xml:space="preserve"> </w:t>
        </w:r>
        <w:r w:rsidR="00DF458B" w:rsidRPr="00503D2D">
          <w:rPr>
            <w:rStyle w:val="Hyperlink"/>
          </w:rPr>
          <w:t>Aspectos Ambientais Relevantes</w:t>
        </w:r>
        <w:r w:rsidR="00DF458B">
          <w:rPr>
            <w:webHidden/>
          </w:rPr>
          <w:tab/>
        </w:r>
        <w:r w:rsidR="00B80A05">
          <w:rPr>
            <w:webHidden/>
          </w:rPr>
          <w:fldChar w:fldCharType="begin"/>
        </w:r>
        <w:r w:rsidR="00DF458B">
          <w:rPr>
            <w:webHidden/>
          </w:rPr>
          <w:instrText xml:space="preserve"> PAGEREF _Toc419813561 \h </w:instrText>
        </w:r>
        <w:r w:rsidR="00B80A05">
          <w:rPr>
            <w:webHidden/>
          </w:rPr>
        </w:r>
        <w:r w:rsidR="00B80A05">
          <w:rPr>
            <w:webHidden/>
          </w:rPr>
          <w:fldChar w:fldCharType="separate"/>
        </w:r>
        <w:r w:rsidR="00316060">
          <w:rPr>
            <w:webHidden/>
          </w:rPr>
          <w:t>3</w:t>
        </w:r>
        <w:r w:rsidR="00B80A05">
          <w:rPr>
            <w:webHidden/>
          </w:rPr>
          <w:fldChar w:fldCharType="end"/>
        </w:r>
      </w:hyperlink>
    </w:p>
    <w:p w:rsidR="00DF458B" w:rsidRDefault="00D84387" w:rsidP="00DF458B">
      <w:pPr>
        <w:pStyle w:val="Sumrio4"/>
        <w:rPr>
          <w:rFonts w:asciiTheme="minorHAnsi" w:eastAsiaTheme="minorEastAsia" w:hAnsiTheme="minorHAnsi" w:cstheme="minorBidi"/>
          <w:b w:val="0"/>
          <w:szCs w:val="22"/>
        </w:rPr>
      </w:pPr>
      <w:hyperlink w:anchor="_Toc419813562" w:history="1">
        <w:r w:rsidR="00DF458B" w:rsidRPr="00503D2D">
          <w:rPr>
            <w:rStyle w:val="Hyperlink"/>
          </w:rPr>
          <w:t>1.2.2.1.</w:t>
        </w:r>
        <w:r w:rsidR="00DF458B">
          <w:rPr>
            <w:rFonts w:asciiTheme="minorHAnsi" w:eastAsiaTheme="minorEastAsia" w:hAnsiTheme="minorHAnsi" w:cstheme="minorBidi"/>
            <w:b w:val="0"/>
            <w:szCs w:val="22"/>
          </w:rPr>
          <w:tab/>
        </w:r>
        <w:r w:rsidR="00DF458B" w:rsidRPr="00503D2D">
          <w:rPr>
            <w:rStyle w:val="Hyperlink"/>
          </w:rPr>
          <w:t>Aspectos Ambientais Relevantes do Meio Físico</w:t>
        </w:r>
        <w:r w:rsidR="00DF458B">
          <w:rPr>
            <w:webHidden/>
          </w:rPr>
          <w:tab/>
        </w:r>
        <w:r w:rsidR="00B80A05">
          <w:rPr>
            <w:webHidden/>
          </w:rPr>
          <w:fldChar w:fldCharType="begin"/>
        </w:r>
        <w:r w:rsidR="00DF458B">
          <w:rPr>
            <w:webHidden/>
          </w:rPr>
          <w:instrText xml:space="preserve"> PAGEREF _Toc419813562 \h </w:instrText>
        </w:r>
        <w:r w:rsidR="00B80A05">
          <w:rPr>
            <w:webHidden/>
          </w:rPr>
        </w:r>
        <w:r w:rsidR="00B80A05">
          <w:rPr>
            <w:webHidden/>
          </w:rPr>
          <w:fldChar w:fldCharType="separate"/>
        </w:r>
        <w:r w:rsidR="00316060">
          <w:rPr>
            <w:webHidden/>
          </w:rPr>
          <w:t>4</w:t>
        </w:r>
        <w:r w:rsidR="00B80A05">
          <w:rPr>
            <w:webHidden/>
          </w:rPr>
          <w:fldChar w:fldCharType="end"/>
        </w:r>
      </w:hyperlink>
    </w:p>
    <w:p w:rsidR="00DF458B" w:rsidRDefault="00D84387" w:rsidP="00DF458B">
      <w:pPr>
        <w:pStyle w:val="Sumrio4"/>
        <w:rPr>
          <w:rFonts w:asciiTheme="minorHAnsi" w:eastAsiaTheme="minorEastAsia" w:hAnsiTheme="minorHAnsi" w:cstheme="minorBidi"/>
          <w:b w:val="0"/>
          <w:szCs w:val="22"/>
        </w:rPr>
      </w:pPr>
      <w:hyperlink w:anchor="_Toc419813563" w:history="1">
        <w:r w:rsidR="00DF458B" w:rsidRPr="00503D2D">
          <w:rPr>
            <w:rStyle w:val="Hyperlink"/>
          </w:rPr>
          <w:t>1.2.2.2.</w:t>
        </w:r>
        <w:r w:rsidR="00DF458B">
          <w:rPr>
            <w:rFonts w:asciiTheme="minorHAnsi" w:eastAsiaTheme="minorEastAsia" w:hAnsiTheme="minorHAnsi" w:cstheme="minorBidi"/>
            <w:b w:val="0"/>
            <w:szCs w:val="22"/>
          </w:rPr>
          <w:tab/>
        </w:r>
        <w:r w:rsidR="00DF458B" w:rsidRPr="00503D2D">
          <w:rPr>
            <w:rStyle w:val="Hyperlink"/>
          </w:rPr>
          <w:t>Aspectos Ambientais do Meio Biótico</w:t>
        </w:r>
        <w:r w:rsidR="00DF458B">
          <w:rPr>
            <w:webHidden/>
          </w:rPr>
          <w:tab/>
        </w:r>
        <w:r w:rsidR="00B80A05">
          <w:rPr>
            <w:webHidden/>
          </w:rPr>
          <w:fldChar w:fldCharType="begin"/>
        </w:r>
        <w:r w:rsidR="00DF458B">
          <w:rPr>
            <w:webHidden/>
          </w:rPr>
          <w:instrText xml:space="preserve"> PAGEREF _Toc419813563 \h </w:instrText>
        </w:r>
        <w:r w:rsidR="00B80A05">
          <w:rPr>
            <w:webHidden/>
          </w:rPr>
        </w:r>
        <w:r w:rsidR="00B80A05">
          <w:rPr>
            <w:webHidden/>
          </w:rPr>
          <w:fldChar w:fldCharType="separate"/>
        </w:r>
        <w:r w:rsidR="00316060">
          <w:rPr>
            <w:webHidden/>
          </w:rPr>
          <w:t>6</w:t>
        </w:r>
        <w:r w:rsidR="00B80A05">
          <w:rPr>
            <w:webHidden/>
          </w:rPr>
          <w:fldChar w:fldCharType="end"/>
        </w:r>
      </w:hyperlink>
    </w:p>
    <w:p w:rsidR="00DF458B" w:rsidRDefault="00D84387" w:rsidP="00DF458B">
      <w:pPr>
        <w:pStyle w:val="Sumrio4"/>
        <w:rPr>
          <w:rFonts w:asciiTheme="minorHAnsi" w:eastAsiaTheme="minorEastAsia" w:hAnsiTheme="minorHAnsi" w:cstheme="minorBidi"/>
          <w:b w:val="0"/>
          <w:szCs w:val="22"/>
        </w:rPr>
      </w:pPr>
      <w:hyperlink w:anchor="_Toc419813564" w:history="1">
        <w:r w:rsidR="00DF458B" w:rsidRPr="00503D2D">
          <w:rPr>
            <w:rStyle w:val="Hyperlink"/>
          </w:rPr>
          <w:t>1.2.2.3.</w:t>
        </w:r>
        <w:r w:rsidR="00DF458B">
          <w:rPr>
            <w:rFonts w:asciiTheme="minorHAnsi" w:eastAsiaTheme="minorEastAsia" w:hAnsiTheme="minorHAnsi" w:cstheme="minorBidi"/>
            <w:b w:val="0"/>
            <w:szCs w:val="22"/>
          </w:rPr>
          <w:tab/>
        </w:r>
        <w:r w:rsidR="00DF458B" w:rsidRPr="00503D2D">
          <w:rPr>
            <w:rStyle w:val="Hyperlink"/>
          </w:rPr>
          <w:t>Aspectos Ambientais do Meio Socioeconômico</w:t>
        </w:r>
        <w:r w:rsidR="00DF458B">
          <w:rPr>
            <w:webHidden/>
          </w:rPr>
          <w:tab/>
        </w:r>
        <w:r w:rsidR="00B80A05">
          <w:rPr>
            <w:webHidden/>
          </w:rPr>
          <w:fldChar w:fldCharType="begin"/>
        </w:r>
        <w:r w:rsidR="00DF458B">
          <w:rPr>
            <w:webHidden/>
          </w:rPr>
          <w:instrText xml:space="preserve"> PAGEREF _Toc419813564 \h </w:instrText>
        </w:r>
        <w:r w:rsidR="00B80A05">
          <w:rPr>
            <w:webHidden/>
          </w:rPr>
        </w:r>
        <w:r w:rsidR="00B80A05">
          <w:rPr>
            <w:webHidden/>
          </w:rPr>
          <w:fldChar w:fldCharType="separate"/>
        </w:r>
        <w:r w:rsidR="00316060">
          <w:rPr>
            <w:webHidden/>
          </w:rPr>
          <w:t>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65" w:history="1">
        <w:r w:rsidR="00DF458B" w:rsidRPr="00503D2D">
          <w:rPr>
            <w:rStyle w:val="Hyperlink"/>
          </w:rPr>
          <w:t>1.2.3.</w:t>
        </w:r>
        <w:r w:rsidR="00DF458B">
          <w:rPr>
            <w:rStyle w:val="Hyperlink"/>
          </w:rPr>
          <w:t xml:space="preserve"> </w:t>
        </w:r>
        <w:r w:rsidR="00DF458B" w:rsidRPr="00503D2D">
          <w:rPr>
            <w:rStyle w:val="Hyperlink"/>
          </w:rPr>
          <w:t>Matriz de Interação de Impactos e Listagens dos Impactos Ambientais</w:t>
        </w:r>
        <w:r w:rsidR="00DF458B">
          <w:rPr>
            <w:webHidden/>
          </w:rPr>
          <w:tab/>
        </w:r>
        <w:r w:rsidR="00B80A05">
          <w:rPr>
            <w:webHidden/>
          </w:rPr>
          <w:fldChar w:fldCharType="begin"/>
        </w:r>
        <w:r w:rsidR="00DF458B">
          <w:rPr>
            <w:webHidden/>
          </w:rPr>
          <w:instrText xml:space="preserve"> PAGEREF _Toc419813565 \h </w:instrText>
        </w:r>
        <w:r w:rsidR="00B80A05">
          <w:rPr>
            <w:webHidden/>
          </w:rPr>
        </w:r>
        <w:r w:rsidR="00B80A05">
          <w:rPr>
            <w:webHidden/>
          </w:rPr>
          <w:fldChar w:fldCharType="separate"/>
        </w:r>
        <w:r w:rsidR="00316060">
          <w:rPr>
            <w:webHidden/>
          </w:rPr>
          <w:t>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66" w:history="1">
        <w:r w:rsidR="00DF458B" w:rsidRPr="00503D2D">
          <w:rPr>
            <w:rStyle w:val="Hyperlink"/>
            <w:rFonts w:cs="Arial"/>
            <w:bCs/>
          </w:rPr>
          <w:t>1.2.4.</w:t>
        </w:r>
        <w:r w:rsidR="00DF458B">
          <w:rPr>
            <w:rStyle w:val="Hyperlink"/>
            <w:rFonts w:cs="Arial"/>
            <w:bCs/>
          </w:rPr>
          <w:t xml:space="preserve"> </w:t>
        </w:r>
        <w:r w:rsidR="00DF458B" w:rsidRPr="00503D2D">
          <w:rPr>
            <w:rStyle w:val="Hyperlink"/>
            <w:rFonts w:cs="Arial"/>
            <w:bCs/>
          </w:rPr>
          <w:t>Definição dos Atributos de Avaliação dos Potenciais Impactos Ambientais</w:t>
        </w:r>
        <w:r w:rsidR="00DF458B">
          <w:rPr>
            <w:webHidden/>
          </w:rPr>
          <w:tab/>
        </w:r>
        <w:r w:rsidR="00B80A05">
          <w:rPr>
            <w:webHidden/>
          </w:rPr>
          <w:fldChar w:fldCharType="begin"/>
        </w:r>
        <w:r w:rsidR="00DF458B">
          <w:rPr>
            <w:webHidden/>
          </w:rPr>
          <w:instrText xml:space="preserve"> PAGEREF _Toc419813566 \h </w:instrText>
        </w:r>
        <w:r w:rsidR="00B80A05">
          <w:rPr>
            <w:webHidden/>
          </w:rPr>
        </w:r>
        <w:r w:rsidR="00B80A05">
          <w:rPr>
            <w:webHidden/>
          </w:rPr>
          <w:fldChar w:fldCharType="separate"/>
        </w:r>
        <w:r w:rsidR="00316060">
          <w:rPr>
            <w:webHidden/>
          </w:rPr>
          <w:t>12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67" w:history="1">
        <w:r w:rsidR="00DF458B" w:rsidRPr="00503D2D">
          <w:rPr>
            <w:rStyle w:val="Hyperlink"/>
            <w:bCs/>
          </w:rPr>
          <w:t>1.2.5. Impactos Cumulativos e Sinérgicos</w:t>
        </w:r>
        <w:r w:rsidR="00DF458B">
          <w:rPr>
            <w:webHidden/>
          </w:rPr>
          <w:tab/>
        </w:r>
        <w:r w:rsidR="00B80A05">
          <w:rPr>
            <w:webHidden/>
          </w:rPr>
          <w:fldChar w:fldCharType="begin"/>
        </w:r>
        <w:r w:rsidR="00DF458B">
          <w:rPr>
            <w:webHidden/>
          </w:rPr>
          <w:instrText xml:space="preserve"> PAGEREF _Toc419813567 \h </w:instrText>
        </w:r>
        <w:r w:rsidR="00B80A05">
          <w:rPr>
            <w:webHidden/>
          </w:rPr>
        </w:r>
        <w:r w:rsidR="00B80A05">
          <w:rPr>
            <w:webHidden/>
          </w:rPr>
          <w:fldChar w:fldCharType="separate"/>
        </w:r>
        <w:r w:rsidR="00316060">
          <w:rPr>
            <w:webHidden/>
          </w:rPr>
          <w:t>13</w:t>
        </w:r>
        <w:r w:rsidR="00B80A05">
          <w:rPr>
            <w:webHidden/>
          </w:rPr>
          <w:fldChar w:fldCharType="end"/>
        </w:r>
      </w:hyperlink>
    </w:p>
    <w:p w:rsidR="00DF458B" w:rsidRPr="00DF458B" w:rsidRDefault="00D84387" w:rsidP="00DF458B">
      <w:pPr>
        <w:pStyle w:val="Sumrio2"/>
        <w:spacing w:before="120" w:after="120" w:line="240" w:lineRule="auto"/>
        <w:ind w:left="284"/>
        <w:rPr>
          <w:rFonts w:ascii="Arial Negrito" w:eastAsiaTheme="minorEastAsia" w:hAnsi="Arial Negrito" w:cstheme="minorBidi"/>
          <w:b w:val="0"/>
          <w:smallCaps w:val="0"/>
          <w:szCs w:val="22"/>
        </w:rPr>
      </w:pPr>
      <w:hyperlink w:anchor="_Toc419813568" w:history="1">
        <w:r w:rsidR="00DF458B" w:rsidRPr="00DF458B">
          <w:rPr>
            <w:rStyle w:val="Hyperlink"/>
            <w:rFonts w:ascii="Arial Negrito" w:hAnsi="Arial Negrito"/>
            <w:smallCaps w:val="0"/>
          </w:rPr>
          <w:t>1.3.</w:t>
        </w:r>
        <w:r w:rsidR="00DF458B" w:rsidRPr="00DF458B">
          <w:rPr>
            <w:rFonts w:ascii="Arial Negrito" w:eastAsiaTheme="minorEastAsia" w:hAnsi="Arial Negrito" w:cstheme="minorBidi"/>
            <w:b w:val="0"/>
            <w:smallCaps w:val="0"/>
            <w:szCs w:val="22"/>
          </w:rPr>
          <w:tab/>
        </w:r>
        <w:r w:rsidR="00DF458B" w:rsidRPr="00DF458B">
          <w:rPr>
            <w:rStyle w:val="Hyperlink"/>
            <w:rFonts w:ascii="Arial Negrito" w:hAnsi="Arial Negrito"/>
            <w:smallCaps w:val="0"/>
          </w:rPr>
          <w:t>Análise e Caracterização dos Impactos Ambientais das Barragens Pedreira e Duas Pontes</w:t>
        </w:r>
        <w:r w:rsidR="00DF458B" w:rsidRPr="00DF458B">
          <w:rPr>
            <w:rFonts w:ascii="Arial Negrito" w:hAnsi="Arial Negrito"/>
            <w:smallCaps w:val="0"/>
            <w:webHidden/>
          </w:rPr>
          <w:tab/>
        </w:r>
        <w:r w:rsidR="00B80A05" w:rsidRPr="00DF458B">
          <w:rPr>
            <w:rFonts w:ascii="Arial Negrito" w:hAnsi="Arial Negrito"/>
            <w:smallCaps w:val="0"/>
            <w:webHidden/>
          </w:rPr>
          <w:fldChar w:fldCharType="begin"/>
        </w:r>
        <w:r w:rsidR="00DF458B" w:rsidRPr="00DF458B">
          <w:rPr>
            <w:rFonts w:ascii="Arial Negrito" w:hAnsi="Arial Negrito"/>
            <w:smallCaps w:val="0"/>
            <w:webHidden/>
          </w:rPr>
          <w:instrText xml:space="preserve"> PAGEREF _Toc419813568 \h </w:instrText>
        </w:r>
        <w:r w:rsidR="00B80A05" w:rsidRPr="00DF458B">
          <w:rPr>
            <w:rFonts w:ascii="Arial Negrito" w:hAnsi="Arial Negrito"/>
            <w:smallCaps w:val="0"/>
            <w:webHidden/>
          </w:rPr>
        </w:r>
        <w:r w:rsidR="00B80A05" w:rsidRPr="00DF458B">
          <w:rPr>
            <w:rFonts w:ascii="Arial Negrito" w:hAnsi="Arial Negrito"/>
            <w:smallCaps w:val="0"/>
            <w:webHidden/>
          </w:rPr>
          <w:fldChar w:fldCharType="separate"/>
        </w:r>
        <w:r w:rsidR="00316060">
          <w:rPr>
            <w:rFonts w:ascii="Arial Negrito" w:hAnsi="Arial Negrito"/>
            <w:smallCaps w:val="0"/>
            <w:webHidden/>
          </w:rPr>
          <w:t>17</w:t>
        </w:r>
        <w:r w:rsidR="00B80A05" w:rsidRPr="00DF458B">
          <w:rPr>
            <w:rFonts w:ascii="Arial Negrito" w:hAnsi="Arial Negrito"/>
            <w:smallCaps w:val="0"/>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69" w:history="1">
        <w:r w:rsidR="00DF458B" w:rsidRPr="00503D2D">
          <w:rPr>
            <w:rStyle w:val="Hyperlink"/>
            <w:rFonts w:cs="Arial"/>
          </w:rPr>
          <w:t xml:space="preserve">1.3.1. </w:t>
        </w:r>
        <w:r w:rsidR="00DF458B" w:rsidRPr="00503D2D">
          <w:rPr>
            <w:rStyle w:val="Hyperlink"/>
            <w:rFonts w:ascii="Arial Negrito" w:hAnsi="Arial Negrito"/>
          </w:rPr>
          <w:t>M</w:t>
        </w:r>
        <w:r w:rsidR="00DF458B" w:rsidRPr="00503D2D">
          <w:rPr>
            <w:rStyle w:val="Hyperlink"/>
          </w:rPr>
          <w:t>eio Físico</w:t>
        </w:r>
        <w:r w:rsidR="00DF458B">
          <w:rPr>
            <w:webHidden/>
          </w:rPr>
          <w:tab/>
        </w:r>
        <w:r w:rsidR="00B80A05">
          <w:rPr>
            <w:webHidden/>
          </w:rPr>
          <w:fldChar w:fldCharType="begin"/>
        </w:r>
        <w:r w:rsidR="00DF458B">
          <w:rPr>
            <w:webHidden/>
          </w:rPr>
          <w:instrText xml:space="preserve"> PAGEREF _Toc419813569 \h </w:instrText>
        </w:r>
        <w:r w:rsidR="00B80A05">
          <w:rPr>
            <w:webHidden/>
          </w:rPr>
        </w:r>
        <w:r w:rsidR="00B80A05">
          <w:rPr>
            <w:webHidden/>
          </w:rPr>
          <w:fldChar w:fldCharType="separate"/>
        </w:r>
        <w:r w:rsidR="00316060">
          <w:rPr>
            <w:webHidden/>
          </w:rPr>
          <w:t>17</w:t>
        </w:r>
        <w:r w:rsidR="00B80A05">
          <w:rPr>
            <w:webHidden/>
          </w:rPr>
          <w:fldChar w:fldCharType="end"/>
        </w:r>
      </w:hyperlink>
    </w:p>
    <w:p w:rsidR="00DF458B" w:rsidRDefault="00D84387" w:rsidP="00DF458B">
      <w:pPr>
        <w:pStyle w:val="Sumrio4"/>
        <w:rPr>
          <w:rFonts w:asciiTheme="minorHAnsi" w:eastAsiaTheme="minorEastAsia" w:hAnsiTheme="minorHAnsi" w:cstheme="minorBidi"/>
          <w:b w:val="0"/>
          <w:szCs w:val="22"/>
        </w:rPr>
      </w:pPr>
      <w:hyperlink w:anchor="_Toc419813570" w:history="1">
        <w:r w:rsidR="00DF458B" w:rsidRPr="00503D2D">
          <w:rPr>
            <w:rStyle w:val="Hyperlink"/>
          </w:rPr>
          <w:t>1.3.1.1. Alteração no Microclima no Entorno dos Reservatórios</w:t>
        </w:r>
        <w:r w:rsidR="00DF458B">
          <w:rPr>
            <w:webHidden/>
          </w:rPr>
          <w:tab/>
        </w:r>
        <w:r w:rsidR="00B80A05">
          <w:rPr>
            <w:webHidden/>
          </w:rPr>
          <w:fldChar w:fldCharType="begin"/>
        </w:r>
        <w:r w:rsidR="00DF458B">
          <w:rPr>
            <w:webHidden/>
          </w:rPr>
          <w:instrText xml:space="preserve"> PAGEREF _Toc419813570 \h </w:instrText>
        </w:r>
        <w:r w:rsidR="00B80A05">
          <w:rPr>
            <w:webHidden/>
          </w:rPr>
        </w:r>
        <w:r w:rsidR="00B80A05">
          <w:rPr>
            <w:webHidden/>
          </w:rPr>
          <w:fldChar w:fldCharType="separate"/>
        </w:r>
        <w:r w:rsidR="00316060">
          <w:rPr>
            <w:webHidden/>
          </w:rPr>
          <w:t>17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71" w:history="1">
        <w:r w:rsidR="00DF458B" w:rsidRPr="00503D2D">
          <w:rPr>
            <w:rStyle w:val="Hyperlink"/>
          </w:rPr>
          <w:t>1.3.1.2. Alteração na Qualidade do Ar</w:t>
        </w:r>
        <w:r w:rsidR="00DF458B">
          <w:rPr>
            <w:webHidden/>
          </w:rPr>
          <w:tab/>
        </w:r>
        <w:r w:rsidR="00B80A05">
          <w:rPr>
            <w:webHidden/>
          </w:rPr>
          <w:fldChar w:fldCharType="begin"/>
        </w:r>
        <w:r w:rsidR="00DF458B">
          <w:rPr>
            <w:webHidden/>
          </w:rPr>
          <w:instrText xml:space="preserve"> PAGEREF _Toc419813571 \h </w:instrText>
        </w:r>
        <w:r w:rsidR="00B80A05">
          <w:rPr>
            <w:webHidden/>
          </w:rPr>
        </w:r>
        <w:r w:rsidR="00B80A05">
          <w:rPr>
            <w:webHidden/>
          </w:rPr>
          <w:fldChar w:fldCharType="separate"/>
        </w:r>
        <w:r w:rsidR="00316060">
          <w:rPr>
            <w:webHidden/>
          </w:rPr>
          <w:t>18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72" w:history="1">
        <w:r w:rsidR="00DF458B" w:rsidRPr="00503D2D">
          <w:rPr>
            <w:rStyle w:val="Hyperlink"/>
          </w:rPr>
          <w:t>1.3.1.3. Aumento no Nível de Ruídos</w:t>
        </w:r>
        <w:r w:rsidR="00DF458B">
          <w:rPr>
            <w:webHidden/>
          </w:rPr>
          <w:tab/>
        </w:r>
        <w:r w:rsidR="00B80A05">
          <w:rPr>
            <w:webHidden/>
          </w:rPr>
          <w:fldChar w:fldCharType="begin"/>
        </w:r>
        <w:r w:rsidR="00DF458B">
          <w:rPr>
            <w:webHidden/>
          </w:rPr>
          <w:instrText xml:space="preserve"> PAGEREF _Toc419813572 \h </w:instrText>
        </w:r>
        <w:r w:rsidR="00B80A05">
          <w:rPr>
            <w:webHidden/>
          </w:rPr>
        </w:r>
        <w:r w:rsidR="00B80A05">
          <w:rPr>
            <w:webHidden/>
          </w:rPr>
          <w:fldChar w:fldCharType="separate"/>
        </w:r>
        <w:r w:rsidR="00316060">
          <w:rPr>
            <w:webHidden/>
          </w:rPr>
          <w:t>19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73" w:history="1">
        <w:r w:rsidR="00DF458B" w:rsidRPr="00503D2D">
          <w:rPr>
            <w:rStyle w:val="Hyperlink"/>
          </w:rPr>
          <w:t>1.3.1.4. Emissão de Gases de Efeito Estufa</w:t>
        </w:r>
        <w:r w:rsidR="00DF458B">
          <w:rPr>
            <w:webHidden/>
          </w:rPr>
          <w:tab/>
        </w:r>
        <w:r w:rsidR="00B80A05">
          <w:rPr>
            <w:webHidden/>
          </w:rPr>
          <w:fldChar w:fldCharType="begin"/>
        </w:r>
        <w:r w:rsidR="00DF458B">
          <w:rPr>
            <w:webHidden/>
          </w:rPr>
          <w:instrText xml:space="preserve"> PAGEREF _Toc419813573 \h </w:instrText>
        </w:r>
        <w:r w:rsidR="00B80A05">
          <w:rPr>
            <w:webHidden/>
          </w:rPr>
        </w:r>
        <w:r w:rsidR="00B80A05">
          <w:rPr>
            <w:webHidden/>
          </w:rPr>
          <w:fldChar w:fldCharType="separate"/>
        </w:r>
        <w:r w:rsidR="00316060">
          <w:rPr>
            <w:webHidden/>
          </w:rPr>
          <w:t>20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74" w:history="1">
        <w:r w:rsidR="00DF458B" w:rsidRPr="00503D2D">
          <w:rPr>
            <w:rStyle w:val="Hyperlink"/>
          </w:rPr>
          <w:t>1.3.1.5. Alteração do Nível d’Água a Montante das Barragens</w:t>
        </w:r>
        <w:r w:rsidR="00DF458B">
          <w:rPr>
            <w:webHidden/>
          </w:rPr>
          <w:tab/>
        </w:r>
        <w:r w:rsidR="00B80A05">
          <w:rPr>
            <w:webHidden/>
          </w:rPr>
          <w:fldChar w:fldCharType="begin"/>
        </w:r>
        <w:r w:rsidR="00DF458B">
          <w:rPr>
            <w:webHidden/>
          </w:rPr>
          <w:instrText xml:space="preserve"> PAGEREF _Toc419813574 \h </w:instrText>
        </w:r>
        <w:r w:rsidR="00B80A05">
          <w:rPr>
            <w:webHidden/>
          </w:rPr>
        </w:r>
        <w:r w:rsidR="00B80A05">
          <w:rPr>
            <w:webHidden/>
          </w:rPr>
          <w:fldChar w:fldCharType="separate"/>
        </w:r>
        <w:r w:rsidR="00316060">
          <w:rPr>
            <w:webHidden/>
          </w:rPr>
          <w:t>20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75" w:history="1">
        <w:r w:rsidR="00DF458B" w:rsidRPr="00503D2D">
          <w:rPr>
            <w:rStyle w:val="Hyperlink"/>
          </w:rPr>
          <w:t>1.3.1.6. Alteração do Nível d’Água a Jusante dos Barramentos pelo Enchimento e Operação dos Reservatórios</w:t>
        </w:r>
        <w:r w:rsidR="00DF458B">
          <w:rPr>
            <w:webHidden/>
          </w:rPr>
          <w:tab/>
        </w:r>
        <w:r w:rsidR="00B80A05">
          <w:rPr>
            <w:webHidden/>
          </w:rPr>
          <w:fldChar w:fldCharType="begin"/>
        </w:r>
        <w:r w:rsidR="00DF458B">
          <w:rPr>
            <w:webHidden/>
          </w:rPr>
          <w:instrText xml:space="preserve"> PAGEREF _Toc419813575 \h </w:instrText>
        </w:r>
        <w:r w:rsidR="00B80A05">
          <w:rPr>
            <w:webHidden/>
          </w:rPr>
        </w:r>
        <w:r w:rsidR="00B80A05">
          <w:rPr>
            <w:webHidden/>
          </w:rPr>
          <w:fldChar w:fldCharType="separate"/>
        </w:r>
        <w:r w:rsidR="00316060">
          <w:rPr>
            <w:webHidden/>
          </w:rPr>
          <w:t>22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76" w:history="1">
        <w:r w:rsidR="00DF458B" w:rsidRPr="00503D2D">
          <w:rPr>
            <w:rStyle w:val="Hyperlink"/>
          </w:rPr>
          <w:t>1.3.1.7. Transformação do Regime de Escoamento dos Corpos de Água</w:t>
        </w:r>
        <w:r w:rsidR="00DF458B">
          <w:rPr>
            <w:webHidden/>
          </w:rPr>
          <w:tab/>
        </w:r>
        <w:r w:rsidR="00B80A05">
          <w:rPr>
            <w:webHidden/>
          </w:rPr>
          <w:fldChar w:fldCharType="begin"/>
        </w:r>
        <w:r w:rsidR="00DF458B">
          <w:rPr>
            <w:webHidden/>
          </w:rPr>
          <w:instrText xml:space="preserve"> PAGEREF _Toc419813576 \h </w:instrText>
        </w:r>
        <w:r w:rsidR="00B80A05">
          <w:rPr>
            <w:webHidden/>
          </w:rPr>
        </w:r>
        <w:r w:rsidR="00B80A05">
          <w:rPr>
            <w:webHidden/>
          </w:rPr>
          <w:fldChar w:fldCharType="separate"/>
        </w:r>
        <w:r w:rsidR="00316060">
          <w:rPr>
            <w:webHidden/>
          </w:rPr>
          <w:t>22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77" w:history="1">
        <w:r w:rsidR="00DF458B" w:rsidRPr="00503D2D">
          <w:rPr>
            <w:rStyle w:val="Hyperlink"/>
          </w:rPr>
          <w:t>1.3.1.8. Assoreamento dos Reservatórios</w:t>
        </w:r>
        <w:r w:rsidR="00DF458B">
          <w:rPr>
            <w:webHidden/>
          </w:rPr>
          <w:tab/>
        </w:r>
        <w:r w:rsidR="00B80A05">
          <w:rPr>
            <w:webHidden/>
          </w:rPr>
          <w:fldChar w:fldCharType="begin"/>
        </w:r>
        <w:r w:rsidR="00DF458B">
          <w:rPr>
            <w:webHidden/>
          </w:rPr>
          <w:instrText xml:space="preserve"> PAGEREF _Toc419813577 \h </w:instrText>
        </w:r>
        <w:r w:rsidR="00B80A05">
          <w:rPr>
            <w:webHidden/>
          </w:rPr>
        </w:r>
        <w:r w:rsidR="00B80A05">
          <w:rPr>
            <w:webHidden/>
          </w:rPr>
          <w:fldChar w:fldCharType="separate"/>
        </w:r>
        <w:r w:rsidR="00316060">
          <w:rPr>
            <w:webHidden/>
          </w:rPr>
          <w:t>25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78" w:history="1">
        <w:r w:rsidR="00DF458B" w:rsidRPr="00503D2D">
          <w:rPr>
            <w:rStyle w:val="Hyperlink"/>
          </w:rPr>
          <w:t>1.3.1.9. Alteração na Qualidade das Águas Superficiais</w:t>
        </w:r>
        <w:r w:rsidR="00DF458B">
          <w:rPr>
            <w:webHidden/>
          </w:rPr>
          <w:tab/>
        </w:r>
        <w:r w:rsidR="00B80A05">
          <w:rPr>
            <w:webHidden/>
          </w:rPr>
          <w:fldChar w:fldCharType="begin"/>
        </w:r>
        <w:r w:rsidR="00DF458B">
          <w:rPr>
            <w:webHidden/>
          </w:rPr>
          <w:instrText xml:space="preserve"> PAGEREF _Toc419813578 \h </w:instrText>
        </w:r>
        <w:r w:rsidR="00B80A05">
          <w:rPr>
            <w:webHidden/>
          </w:rPr>
        </w:r>
        <w:r w:rsidR="00B80A05">
          <w:rPr>
            <w:webHidden/>
          </w:rPr>
          <w:fldChar w:fldCharType="separate"/>
        </w:r>
        <w:r w:rsidR="00316060">
          <w:rPr>
            <w:webHidden/>
          </w:rPr>
          <w:t>26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80" w:history="1">
        <w:r w:rsidR="00DF458B" w:rsidRPr="00503D2D">
          <w:rPr>
            <w:rStyle w:val="Hyperlink"/>
            <w:rFonts w:ascii="Arial Negrito" w:hAnsi="Arial Negrito"/>
            <w:bCs/>
          </w:rPr>
          <w:t>1.3.1.10. Interferências em Instalações e Benfeitorias pela Elevação do Nível Freático</w:t>
        </w:r>
        <w:r w:rsidR="00DF458B">
          <w:rPr>
            <w:webHidden/>
          </w:rPr>
          <w:tab/>
        </w:r>
        <w:r w:rsidR="00B80A05">
          <w:rPr>
            <w:webHidden/>
          </w:rPr>
          <w:fldChar w:fldCharType="begin"/>
        </w:r>
        <w:r w:rsidR="00DF458B">
          <w:rPr>
            <w:webHidden/>
          </w:rPr>
          <w:instrText xml:space="preserve"> PAGEREF _Toc419813580 \h </w:instrText>
        </w:r>
        <w:r w:rsidR="00B80A05">
          <w:rPr>
            <w:webHidden/>
          </w:rPr>
        </w:r>
        <w:r w:rsidR="00B80A05">
          <w:rPr>
            <w:webHidden/>
          </w:rPr>
          <w:fldChar w:fldCharType="separate"/>
        </w:r>
        <w:r w:rsidR="00316060">
          <w:rPr>
            <w:webHidden/>
          </w:rPr>
          <w:t>41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82" w:history="1">
        <w:r w:rsidR="00DF458B" w:rsidRPr="00503D2D">
          <w:rPr>
            <w:rStyle w:val="Hyperlink"/>
            <w:rFonts w:ascii="Arial Negrito" w:hAnsi="Arial Negrito"/>
            <w:bCs/>
          </w:rPr>
          <w:t>1.3.1.11. Surgências de Água, Perenização e Formação de Novas Áreas Úmidas e Alagadas pela Elevação do Lençol Freático</w:t>
        </w:r>
        <w:r w:rsidR="00DF458B">
          <w:rPr>
            <w:webHidden/>
          </w:rPr>
          <w:tab/>
        </w:r>
        <w:r w:rsidR="00B80A05">
          <w:rPr>
            <w:webHidden/>
          </w:rPr>
          <w:fldChar w:fldCharType="begin"/>
        </w:r>
        <w:r w:rsidR="00DF458B">
          <w:rPr>
            <w:webHidden/>
          </w:rPr>
          <w:instrText xml:space="preserve"> PAGEREF _Toc419813582 \h </w:instrText>
        </w:r>
        <w:r w:rsidR="00B80A05">
          <w:rPr>
            <w:webHidden/>
          </w:rPr>
        </w:r>
        <w:r w:rsidR="00B80A05">
          <w:rPr>
            <w:webHidden/>
          </w:rPr>
          <w:fldChar w:fldCharType="separate"/>
        </w:r>
        <w:r w:rsidR="00316060">
          <w:rPr>
            <w:webHidden/>
          </w:rPr>
          <w:t>42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83" w:history="1">
        <w:r w:rsidR="00DF458B" w:rsidRPr="00503D2D">
          <w:rPr>
            <w:rStyle w:val="Hyperlink"/>
            <w:rFonts w:ascii="Arial Negrito" w:hAnsi="Arial Negrito"/>
            <w:bCs/>
          </w:rPr>
          <w:t>1.3.1.12. Perda de Poços Profundos</w:t>
        </w:r>
        <w:r w:rsidR="00DF458B">
          <w:rPr>
            <w:webHidden/>
          </w:rPr>
          <w:tab/>
        </w:r>
        <w:r w:rsidR="00B80A05">
          <w:rPr>
            <w:webHidden/>
          </w:rPr>
          <w:fldChar w:fldCharType="begin"/>
        </w:r>
        <w:r w:rsidR="00DF458B">
          <w:rPr>
            <w:webHidden/>
          </w:rPr>
          <w:instrText xml:space="preserve"> PAGEREF _Toc419813583 \h </w:instrText>
        </w:r>
        <w:r w:rsidR="00B80A05">
          <w:rPr>
            <w:webHidden/>
          </w:rPr>
        </w:r>
        <w:r w:rsidR="00B80A05">
          <w:rPr>
            <w:webHidden/>
          </w:rPr>
          <w:fldChar w:fldCharType="separate"/>
        </w:r>
        <w:r w:rsidR="00316060">
          <w:rPr>
            <w:webHidden/>
          </w:rPr>
          <w:t>43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84" w:history="1">
        <w:r w:rsidR="00DF458B" w:rsidRPr="00503D2D">
          <w:rPr>
            <w:rStyle w:val="Hyperlink"/>
            <w:rFonts w:ascii="Arial Negrito" w:hAnsi="Arial Negrito"/>
            <w:bCs/>
          </w:rPr>
          <w:t>1.3.1.13. Possibilidade da Ocorrência de Sismicidade Induzida</w:t>
        </w:r>
        <w:r w:rsidR="00DF458B">
          <w:rPr>
            <w:webHidden/>
          </w:rPr>
          <w:tab/>
        </w:r>
        <w:r w:rsidR="00B80A05">
          <w:rPr>
            <w:webHidden/>
          </w:rPr>
          <w:fldChar w:fldCharType="begin"/>
        </w:r>
        <w:r w:rsidR="00DF458B">
          <w:rPr>
            <w:webHidden/>
          </w:rPr>
          <w:instrText xml:space="preserve"> PAGEREF _Toc419813584 \h </w:instrText>
        </w:r>
        <w:r w:rsidR="00B80A05">
          <w:rPr>
            <w:webHidden/>
          </w:rPr>
        </w:r>
        <w:r w:rsidR="00B80A05">
          <w:rPr>
            <w:webHidden/>
          </w:rPr>
          <w:fldChar w:fldCharType="separate"/>
        </w:r>
        <w:r w:rsidR="00316060">
          <w:rPr>
            <w:webHidden/>
          </w:rPr>
          <w:t>44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85" w:history="1">
        <w:r w:rsidR="00DF458B" w:rsidRPr="00503D2D">
          <w:rPr>
            <w:rStyle w:val="Hyperlink"/>
            <w:rFonts w:ascii="Arial Negrito" w:hAnsi="Arial Negrito"/>
            <w:bCs/>
          </w:rPr>
          <w:t>1.3.1.14. Instalação/Aceleração de Processos Erosivos Junto às Obras</w:t>
        </w:r>
        <w:r w:rsidR="00DF458B">
          <w:rPr>
            <w:webHidden/>
          </w:rPr>
          <w:tab/>
        </w:r>
        <w:r w:rsidR="00B80A05">
          <w:rPr>
            <w:webHidden/>
          </w:rPr>
          <w:fldChar w:fldCharType="begin"/>
        </w:r>
        <w:r w:rsidR="00DF458B">
          <w:rPr>
            <w:webHidden/>
          </w:rPr>
          <w:instrText xml:space="preserve"> PAGEREF _Toc419813585 \h </w:instrText>
        </w:r>
        <w:r w:rsidR="00B80A05">
          <w:rPr>
            <w:webHidden/>
          </w:rPr>
        </w:r>
        <w:r w:rsidR="00B80A05">
          <w:rPr>
            <w:webHidden/>
          </w:rPr>
          <w:fldChar w:fldCharType="separate"/>
        </w:r>
        <w:r w:rsidR="00316060">
          <w:rPr>
            <w:webHidden/>
          </w:rPr>
          <w:t>46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86" w:history="1">
        <w:r w:rsidR="00DF458B" w:rsidRPr="00503D2D">
          <w:rPr>
            <w:rStyle w:val="Hyperlink"/>
          </w:rPr>
          <w:t>1.3.1.15. Acréscimo na Suscetibilidade a Instabilização de Encostas Marginais</w:t>
        </w:r>
        <w:r w:rsidR="00DF458B">
          <w:rPr>
            <w:webHidden/>
          </w:rPr>
          <w:tab/>
        </w:r>
        <w:r w:rsidR="00B80A05">
          <w:rPr>
            <w:webHidden/>
          </w:rPr>
          <w:fldChar w:fldCharType="begin"/>
        </w:r>
        <w:r w:rsidR="00DF458B">
          <w:rPr>
            <w:webHidden/>
          </w:rPr>
          <w:instrText xml:space="preserve"> PAGEREF _Toc419813586 \h </w:instrText>
        </w:r>
        <w:r w:rsidR="00B80A05">
          <w:rPr>
            <w:webHidden/>
          </w:rPr>
        </w:r>
        <w:r w:rsidR="00B80A05">
          <w:rPr>
            <w:webHidden/>
          </w:rPr>
          <w:fldChar w:fldCharType="separate"/>
        </w:r>
        <w:r w:rsidR="00316060">
          <w:rPr>
            <w:webHidden/>
          </w:rPr>
          <w:t>47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87" w:history="1">
        <w:r w:rsidR="00DF458B" w:rsidRPr="00503D2D">
          <w:rPr>
            <w:rStyle w:val="Hyperlink"/>
            <w:rFonts w:ascii="Arial Negrito" w:hAnsi="Arial Negrito"/>
            <w:bCs/>
          </w:rPr>
          <w:t>1.3.1.16. Risco de Contaminação do Solo</w:t>
        </w:r>
        <w:r w:rsidR="00DF458B">
          <w:rPr>
            <w:webHidden/>
          </w:rPr>
          <w:tab/>
        </w:r>
        <w:r w:rsidR="00B80A05">
          <w:rPr>
            <w:webHidden/>
          </w:rPr>
          <w:fldChar w:fldCharType="begin"/>
        </w:r>
        <w:r w:rsidR="00DF458B">
          <w:rPr>
            <w:webHidden/>
          </w:rPr>
          <w:instrText xml:space="preserve"> PAGEREF _Toc419813587 \h </w:instrText>
        </w:r>
        <w:r w:rsidR="00B80A05">
          <w:rPr>
            <w:webHidden/>
          </w:rPr>
        </w:r>
        <w:r w:rsidR="00B80A05">
          <w:rPr>
            <w:webHidden/>
          </w:rPr>
          <w:fldChar w:fldCharType="separate"/>
        </w:r>
        <w:r w:rsidR="00316060">
          <w:rPr>
            <w:webHidden/>
          </w:rPr>
          <w:t>52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88" w:history="1">
        <w:r w:rsidR="00DF458B" w:rsidRPr="00503D2D">
          <w:rPr>
            <w:rStyle w:val="Hyperlink"/>
            <w:rFonts w:ascii="Arial Negrito" w:hAnsi="Arial Negrito"/>
            <w:bCs/>
          </w:rPr>
          <w:t>1.3.1.17. Perda de Solos com Potencial Agrícola</w:t>
        </w:r>
        <w:r w:rsidR="00DF458B">
          <w:rPr>
            <w:webHidden/>
          </w:rPr>
          <w:tab/>
        </w:r>
        <w:r w:rsidR="00B80A05">
          <w:rPr>
            <w:webHidden/>
          </w:rPr>
          <w:fldChar w:fldCharType="begin"/>
        </w:r>
        <w:r w:rsidR="00DF458B">
          <w:rPr>
            <w:webHidden/>
          </w:rPr>
          <w:instrText xml:space="preserve"> PAGEREF _Toc419813588 \h </w:instrText>
        </w:r>
        <w:r w:rsidR="00B80A05">
          <w:rPr>
            <w:webHidden/>
          </w:rPr>
        </w:r>
        <w:r w:rsidR="00B80A05">
          <w:rPr>
            <w:webHidden/>
          </w:rPr>
          <w:fldChar w:fldCharType="separate"/>
        </w:r>
        <w:r w:rsidR="00316060">
          <w:rPr>
            <w:webHidden/>
          </w:rPr>
          <w:t>53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89" w:history="1">
        <w:r w:rsidR="00DF458B" w:rsidRPr="00503D2D">
          <w:rPr>
            <w:rStyle w:val="Hyperlink"/>
            <w:rFonts w:ascii="Arial Negrito" w:hAnsi="Arial Negrito"/>
            <w:bCs/>
          </w:rPr>
          <w:t>1.3.1.18. Interferência em Áreas de Pesquisa Minerária</w:t>
        </w:r>
        <w:r w:rsidR="00DF458B">
          <w:rPr>
            <w:webHidden/>
          </w:rPr>
          <w:tab/>
        </w:r>
        <w:r w:rsidR="00B80A05">
          <w:rPr>
            <w:webHidden/>
          </w:rPr>
          <w:fldChar w:fldCharType="begin"/>
        </w:r>
        <w:r w:rsidR="00DF458B">
          <w:rPr>
            <w:webHidden/>
          </w:rPr>
          <w:instrText xml:space="preserve"> PAGEREF _Toc419813589 \h </w:instrText>
        </w:r>
        <w:r w:rsidR="00B80A05">
          <w:rPr>
            <w:webHidden/>
          </w:rPr>
        </w:r>
        <w:r w:rsidR="00B80A05">
          <w:rPr>
            <w:webHidden/>
          </w:rPr>
          <w:fldChar w:fldCharType="separate"/>
        </w:r>
        <w:r w:rsidR="00316060">
          <w:rPr>
            <w:webHidden/>
          </w:rPr>
          <w:t>56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90" w:history="1">
        <w:r w:rsidR="00DF458B" w:rsidRPr="00503D2D">
          <w:rPr>
            <w:rStyle w:val="Hyperlink"/>
          </w:rPr>
          <w:t>1.3.1.19. Alteração da Paisagem com a Formação dos Reservatórios</w:t>
        </w:r>
        <w:r w:rsidR="00DF458B">
          <w:rPr>
            <w:webHidden/>
          </w:rPr>
          <w:tab/>
        </w:r>
        <w:r w:rsidR="00B80A05">
          <w:rPr>
            <w:webHidden/>
          </w:rPr>
          <w:fldChar w:fldCharType="begin"/>
        </w:r>
        <w:r w:rsidR="00DF458B">
          <w:rPr>
            <w:webHidden/>
          </w:rPr>
          <w:instrText xml:space="preserve"> PAGEREF _Toc419813590 \h </w:instrText>
        </w:r>
        <w:r w:rsidR="00B80A05">
          <w:rPr>
            <w:webHidden/>
          </w:rPr>
        </w:r>
        <w:r w:rsidR="00B80A05">
          <w:rPr>
            <w:webHidden/>
          </w:rPr>
          <w:fldChar w:fldCharType="separate"/>
        </w:r>
        <w:r w:rsidR="00316060">
          <w:rPr>
            <w:webHidden/>
          </w:rPr>
          <w:t>59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91" w:history="1">
        <w:r w:rsidR="00DF458B" w:rsidRPr="00503D2D">
          <w:rPr>
            <w:rStyle w:val="Hyperlink"/>
          </w:rPr>
          <w:t>1.3.2. Meio Biótico</w:t>
        </w:r>
        <w:r w:rsidR="00DF458B">
          <w:rPr>
            <w:webHidden/>
          </w:rPr>
          <w:tab/>
        </w:r>
        <w:r w:rsidR="00B80A05">
          <w:rPr>
            <w:webHidden/>
          </w:rPr>
          <w:fldChar w:fldCharType="begin"/>
        </w:r>
        <w:r w:rsidR="00DF458B">
          <w:rPr>
            <w:webHidden/>
          </w:rPr>
          <w:instrText xml:space="preserve"> PAGEREF _Toc419813591 \h </w:instrText>
        </w:r>
        <w:r w:rsidR="00B80A05">
          <w:rPr>
            <w:webHidden/>
          </w:rPr>
        </w:r>
        <w:r w:rsidR="00B80A05">
          <w:rPr>
            <w:webHidden/>
          </w:rPr>
          <w:fldChar w:fldCharType="separate"/>
        </w:r>
        <w:r w:rsidR="00316060">
          <w:rPr>
            <w:webHidden/>
          </w:rPr>
          <w:t>60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92" w:history="1">
        <w:r w:rsidR="00DF458B" w:rsidRPr="00503D2D">
          <w:rPr>
            <w:rStyle w:val="Hyperlink"/>
          </w:rPr>
          <w:t>1.3.2.1. Perda de Cobertura Vegetal Nativa</w:t>
        </w:r>
        <w:r w:rsidR="00DF458B">
          <w:rPr>
            <w:webHidden/>
          </w:rPr>
          <w:tab/>
        </w:r>
        <w:r w:rsidR="00B80A05">
          <w:rPr>
            <w:webHidden/>
          </w:rPr>
          <w:fldChar w:fldCharType="begin"/>
        </w:r>
        <w:r w:rsidR="00DF458B">
          <w:rPr>
            <w:webHidden/>
          </w:rPr>
          <w:instrText xml:space="preserve"> PAGEREF _Toc419813592 \h </w:instrText>
        </w:r>
        <w:r w:rsidR="00B80A05">
          <w:rPr>
            <w:webHidden/>
          </w:rPr>
        </w:r>
        <w:r w:rsidR="00B80A05">
          <w:rPr>
            <w:webHidden/>
          </w:rPr>
          <w:fldChar w:fldCharType="separate"/>
        </w:r>
        <w:r w:rsidR="00316060">
          <w:rPr>
            <w:webHidden/>
          </w:rPr>
          <w:t>60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93" w:history="1">
        <w:r w:rsidR="00DF458B" w:rsidRPr="00503D2D">
          <w:rPr>
            <w:rStyle w:val="Hyperlink"/>
            <w:rFonts w:cs="Arial"/>
          </w:rPr>
          <w:t>1.3.2.</w:t>
        </w:r>
        <w:r w:rsidR="00DF458B" w:rsidRPr="00503D2D">
          <w:rPr>
            <w:rStyle w:val="Hyperlink"/>
          </w:rPr>
          <w:t>2. Perda de Hábitat para a Fauna Silvestre</w:t>
        </w:r>
        <w:r w:rsidR="00DF458B">
          <w:rPr>
            <w:webHidden/>
          </w:rPr>
          <w:tab/>
        </w:r>
        <w:r w:rsidR="00B80A05">
          <w:rPr>
            <w:webHidden/>
          </w:rPr>
          <w:fldChar w:fldCharType="begin"/>
        </w:r>
        <w:r w:rsidR="00DF458B">
          <w:rPr>
            <w:webHidden/>
          </w:rPr>
          <w:instrText xml:space="preserve"> PAGEREF _Toc419813593 \h </w:instrText>
        </w:r>
        <w:r w:rsidR="00B80A05">
          <w:rPr>
            <w:webHidden/>
          </w:rPr>
        </w:r>
        <w:r w:rsidR="00B80A05">
          <w:rPr>
            <w:webHidden/>
          </w:rPr>
          <w:fldChar w:fldCharType="separate"/>
        </w:r>
        <w:r w:rsidR="00316060">
          <w:rPr>
            <w:webHidden/>
          </w:rPr>
          <w:t>62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94" w:history="1">
        <w:r w:rsidR="00DF458B" w:rsidRPr="00503D2D">
          <w:rPr>
            <w:rStyle w:val="Hyperlink"/>
            <w:rFonts w:cs="Arial"/>
          </w:rPr>
          <w:t>1.3.2.</w:t>
        </w:r>
        <w:r w:rsidR="00DF458B" w:rsidRPr="00503D2D">
          <w:rPr>
            <w:rStyle w:val="Hyperlink"/>
          </w:rPr>
          <w:t>3. Redução da Conectividade entre Remanescentes de Cobertura Vegetal Nativa</w:t>
        </w:r>
        <w:r w:rsidR="00DF458B">
          <w:rPr>
            <w:webHidden/>
          </w:rPr>
          <w:tab/>
        </w:r>
        <w:r w:rsidR="00DF458B">
          <w:rPr>
            <w:webHidden/>
          </w:rPr>
          <w:tab/>
        </w:r>
        <w:r w:rsidR="00B80A05">
          <w:rPr>
            <w:webHidden/>
          </w:rPr>
          <w:fldChar w:fldCharType="begin"/>
        </w:r>
        <w:r w:rsidR="00DF458B">
          <w:rPr>
            <w:webHidden/>
          </w:rPr>
          <w:instrText xml:space="preserve"> PAGEREF _Toc419813594 \h </w:instrText>
        </w:r>
        <w:r w:rsidR="00B80A05">
          <w:rPr>
            <w:webHidden/>
          </w:rPr>
        </w:r>
        <w:r w:rsidR="00B80A05">
          <w:rPr>
            <w:webHidden/>
          </w:rPr>
          <w:fldChar w:fldCharType="separate"/>
        </w:r>
        <w:r w:rsidR="00316060">
          <w:rPr>
            <w:webHidden/>
          </w:rPr>
          <w:t>64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95" w:history="1">
        <w:r w:rsidR="00DF458B" w:rsidRPr="00503D2D">
          <w:rPr>
            <w:rStyle w:val="Hyperlink"/>
            <w:rFonts w:cs="Arial"/>
          </w:rPr>
          <w:t>1.3.2.</w:t>
        </w:r>
        <w:r w:rsidR="00DF458B" w:rsidRPr="00503D2D">
          <w:rPr>
            <w:rStyle w:val="Hyperlink"/>
          </w:rPr>
          <w:t>4. Aumento dos Efeitos da Fragmentação de Hábitats da Fauna</w:t>
        </w:r>
        <w:r w:rsidR="00DF458B">
          <w:rPr>
            <w:webHidden/>
          </w:rPr>
          <w:tab/>
        </w:r>
        <w:r w:rsidR="00B80A05">
          <w:rPr>
            <w:webHidden/>
          </w:rPr>
          <w:fldChar w:fldCharType="begin"/>
        </w:r>
        <w:r w:rsidR="00DF458B">
          <w:rPr>
            <w:webHidden/>
          </w:rPr>
          <w:instrText xml:space="preserve"> PAGEREF _Toc419813595 \h </w:instrText>
        </w:r>
        <w:r w:rsidR="00B80A05">
          <w:rPr>
            <w:webHidden/>
          </w:rPr>
        </w:r>
        <w:r w:rsidR="00B80A05">
          <w:rPr>
            <w:webHidden/>
          </w:rPr>
          <w:fldChar w:fldCharType="separate"/>
        </w:r>
        <w:r w:rsidR="00316060">
          <w:rPr>
            <w:webHidden/>
          </w:rPr>
          <w:t>65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96" w:history="1">
        <w:r w:rsidR="00DF458B" w:rsidRPr="00503D2D">
          <w:rPr>
            <w:rStyle w:val="Hyperlink"/>
            <w:rFonts w:cs="Arial"/>
          </w:rPr>
          <w:t>1.3.2.</w:t>
        </w:r>
        <w:r w:rsidR="00DF458B" w:rsidRPr="00503D2D">
          <w:rPr>
            <w:rStyle w:val="Hyperlink"/>
          </w:rPr>
          <w:t>5. Afugentamento da Fauna Silvestre</w:t>
        </w:r>
        <w:r w:rsidR="00DF458B">
          <w:rPr>
            <w:webHidden/>
          </w:rPr>
          <w:tab/>
        </w:r>
        <w:r w:rsidR="00B80A05">
          <w:rPr>
            <w:webHidden/>
          </w:rPr>
          <w:fldChar w:fldCharType="begin"/>
        </w:r>
        <w:r w:rsidR="00DF458B">
          <w:rPr>
            <w:webHidden/>
          </w:rPr>
          <w:instrText xml:space="preserve"> PAGEREF _Toc419813596 \h </w:instrText>
        </w:r>
        <w:r w:rsidR="00B80A05">
          <w:rPr>
            <w:webHidden/>
          </w:rPr>
        </w:r>
        <w:r w:rsidR="00B80A05">
          <w:rPr>
            <w:webHidden/>
          </w:rPr>
          <w:fldChar w:fldCharType="separate"/>
        </w:r>
        <w:r w:rsidR="00316060">
          <w:rPr>
            <w:webHidden/>
          </w:rPr>
          <w:t>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97" w:history="1">
        <w:r w:rsidR="00DF458B" w:rsidRPr="00503D2D">
          <w:rPr>
            <w:rStyle w:val="Hyperlink"/>
          </w:rPr>
          <w:t>1.3.2.6. Aumento de Atropelamento de Indivíduos da Fauna Silvestre</w:t>
        </w:r>
        <w:r w:rsidR="00DF458B">
          <w:rPr>
            <w:webHidden/>
          </w:rPr>
          <w:tab/>
        </w:r>
        <w:r w:rsidR="00B80A05">
          <w:rPr>
            <w:webHidden/>
          </w:rPr>
          <w:fldChar w:fldCharType="begin"/>
        </w:r>
        <w:r w:rsidR="00DF458B">
          <w:rPr>
            <w:webHidden/>
          </w:rPr>
          <w:instrText xml:space="preserve"> PAGEREF _Toc419813597 \h </w:instrText>
        </w:r>
        <w:r w:rsidR="00B80A05">
          <w:rPr>
            <w:webHidden/>
          </w:rPr>
        </w:r>
        <w:r w:rsidR="00B80A05">
          <w:rPr>
            <w:webHidden/>
          </w:rPr>
          <w:fldChar w:fldCharType="separate"/>
        </w:r>
        <w:r w:rsidR="00316060">
          <w:rPr>
            <w:webHidden/>
          </w:rPr>
          <w:t>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98" w:history="1">
        <w:r w:rsidR="00DF458B" w:rsidRPr="00503D2D">
          <w:rPr>
            <w:rStyle w:val="Hyperlink"/>
          </w:rPr>
          <w:t>1.3.2.7. Interferência em Áreas Legalmente Protegidas</w:t>
        </w:r>
        <w:r w:rsidR="00DF458B">
          <w:rPr>
            <w:webHidden/>
          </w:rPr>
          <w:tab/>
        </w:r>
        <w:r w:rsidR="00B80A05">
          <w:rPr>
            <w:webHidden/>
          </w:rPr>
          <w:fldChar w:fldCharType="begin"/>
        </w:r>
        <w:r w:rsidR="00DF458B">
          <w:rPr>
            <w:webHidden/>
          </w:rPr>
          <w:instrText xml:space="preserve"> PAGEREF _Toc419813598 \h </w:instrText>
        </w:r>
        <w:r w:rsidR="00B80A05">
          <w:rPr>
            <w:webHidden/>
          </w:rPr>
        </w:r>
        <w:r w:rsidR="00B80A05">
          <w:rPr>
            <w:webHidden/>
          </w:rPr>
          <w:fldChar w:fldCharType="separate"/>
        </w:r>
        <w:r w:rsidR="00316060">
          <w:rPr>
            <w:webHidden/>
          </w:rPr>
          <w:t>70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599" w:history="1">
        <w:r w:rsidR="00DF458B" w:rsidRPr="00503D2D">
          <w:rPr>
            <w:rStyle w:val="Hyperlink"/>
            <w:rFonts w:cs="Arial"/>
          </w:rPr>
          <w:t>1.3.2.</w:t>
        </w:r>
        <w:r w:rsidR="00DF458B" w:rsidRPr="00503D2D">
          <w:rPr>
            <w:rStyle w:val="Hyperlink"/>
          </w:rPr>
          <w:t>8. Alteração nas Comunidades Aquáticas Planctônicas e Bentônicas</w:t>
        </w:r>
        <w:r w:rsidR="00DF458B">
          <w:rPr>
            <w:webHidden/>
          </w:rPr>
          <w:tab/>
        </w:r>
        <w:r w:rsidR="00B80A05">
          <w:rPr>
            <w:webHidden/>
          </w:rPr>
          <w:fldChar w:fldCharType="begin"/>
        </w:r>
        <w:r w:rsidR="00DF458B">
          <w:rPr>
            <w:webHidden/>
          </w:rPr>
          <w:instrText xml:space="preserve"> PAGEREF _Toc419813599 \h </w:instrText>
        </w:r>
        <w:r w:rsidR="00B80A05">
          <w:rPr>
            <w:webHidden/>
          </w:rPr>
        </w:r>
        <w:r w:rsidR="00B80A05">
          <w:rPr>
            <w:webHidden/>
          </w:rPr>
          <w:fldChar w:fldCharType="separate"/>
        </w:r>
        <w:r w:rsidR="00316060">
          <w:rPr>
            <w:webHidden/>
          </w:rPr>
          <w:t>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00" w:history="1">
        <w:r w:rsidR="00DF458B" w:rsidRPr="00503D2D">
          <w:rPr>
            <w:rStyle w:val="Hyperlink"/>
          </w:rPr>
          <w:t>1.3.2.9. Floração de Cianobacterias Potencialmente Tóxicas</w:t>
        </w:r>
        <w:r w:rsidR="00DF458B">
          <w:rPr>
            <w:webHidden/>
          </w:rPr>
          <w:tab/>
        </w:r>
        <w:r w:rsidR="00B80A05">
          <w:rPr>
            <w:webHidden/>
          </w:rPr>
          <w:fldChar w:fldCharType="begin"/>
        </w:r>
        <w:r w:rsidR="00DF458B">
          <w:rPr>
            <w:webHidden/>
          </w:rPr>
          <w:instrText xml:space="preserve"> PAGEREF _Toc419813600 \h </w:instrText>
        </w:r>
        <w:r w:rsidR="00B80A05">
          <w:rPr>
            <w:webHidden/>
          </w:rPr>
        </w:r>
        <w:r w:rsidR="00B80A05">
          <w:rPr>
            <w:webHidden/>
          </w:rPr>
          <w:fldChar w:fldCharType="separate"/>
        </w:r>
        <w:r w:rsidR="00316060">
          <w:rPr>
            <w:webHidden/>
          </w:rPr>
          <w:t>79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01" w:history="1">
        <w:r w:rsidR="00DF458B" w:rsidRPr="00503D2D">
          <w:rPr>
            <w:rStyle w:val="Hyperlink"/>
          </w:rPr>
          <w:t>1.3.2.10. Alteração de Hábitats e Proliferação das Macrófitas Aquáticas</w:t>
        </w:r>
        <w:r w:rsidR="00DF458B">
          <w:rPr>
            <w:webHidden/>
          </w:rPr>
          <w:tab/>
        </w:r>
        <w:r w:rsidR="00B80A05">
          <w:rPr>
            <w:webHidden/>
          </w:rPr>
          <w:fldChar w:fldCharType="begin"/>
        </w:r>
        <w:r w:rsidR="00DF458B">
          <w:rPr>
            <w:webHidden/>
          </w:rPr>
          <w:instrText xml:space="preserve"> PAGEREF _Toc419813601 \h </w:instrText>
        </w:r>
        <w:r w:rsidR="00B80A05">
          <w:rPr>
            <w:webHidden/>
          </w:rPr>
        </w:r>
        <w:r w:rsidR="00B80A05">
          <w:rPr>
            <w:webHidden/>
          </w:rPr>
          <w:fldChar w:fldCharType="separate"/>
        </w:r>
        <w:r w:rsidR="00316060">
          <w:rPr>
            <w:webHidden/>
          </w:rPr>
          <w:t>82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02" w:history="1">
        <w:r w:rsidR="00DF458B" w:rsidRPr="00503D2D">
          <w:rPr>
            <w:rStyle w:val="Hyperlink"/>
          </w:rPr>
          <w:t xml:space="preserve">1.3.2.11. </w:t>
        </w:r>
        <w:r w:rsidR="00DF458B" w:rsidRPr="00503D2D">
          <w:rPr>
            <w:rStyle w:val="Hyperlink"/>
            <w:rFonts w:eastAsia="Calibri"/>
            <w:lang w:eastAsia="en-US"/>
          </w:rPr>
          <w:t>Aumento do Potencial de Proliferação de Vetores de Doenças de Veiculação Hídrica</w:t>
        </w:r>
        <w:r w:rsidR="00DF458B">
          <w:rPr>
            <w:rStyle w:val="Hyperlink"/>
            <w:rFonts w:eastAsia="Calibri"/>
            <w:lang w:eastAsia="en-US"/>
          </w:rPr>
          <w:tab/>
        </w:r>
        <w:r w:rsidR="00DF458B">
          <w:rPr>
            <w:webHidden/>
          </w:rPr>
          <w:tab/>
        </w:r>
        <w:r w:rsidR="00B80A05">
          <w:rPr>
            <w:webHidden/>
          </w:rPr>
          <w:fldChar w:fldCharType="begin"/>
        </w:r>
        <w:r w:rsidR="00DF458B">
          <w:rPr>
            <w:webHidden/>
          </w:rPr>
          <w:instrText xml:space="preserve"> PAGEREF _Toc419813602 \h </w:instrText>
        </w:r>
        <w:r w:rsidR="00B80A05">
          <w:rPr>
            <w:webHidden/>
          </w:rPr>
        </w:r>
        <w:r w:rsidR="00B80A05">
          <w:rPr>
            <w:webHidden/>
          </w:rPr>
          <w:fldChar w:fldCharType="separate"/>
        </w:r>
        <w:r w:rsidR="00316060">
          <w:rPr>
            <w:webHidden/>
          </w:rPr>
          <w:t>84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03" w:history="1">
        <w:r w:rsidR="00DF458B" w:rsidRPr="00503D2D">
          <w:rPr>
            <w:rStyle w:val="Hyperlink"/>
          </w:rPr>
          <w:t>1.3.2.12. Alteração na Composição da Fauna de Invertebrados de Interesse Médico-Sanitário</w:t>
        </w:r>
        <w:r w:rsidR="00DF458B">
          <w:rPr>
            <w:webHidden/>
          </w:rPr>
          <w:tab/>
        </w:r>
        <w:r w:rsidR="00DF458B">
          <w:rPr>
            <w:webHidden/>
          </w:rPr>
          <w:tab/>
        </w:r>
        <w:r w:rsidR="00B80A05">
          <w:rPr>
            <w:webHidden/>
          </w:rPr>
          <w:fldChar w:fldCharType="begin"/>
        </w:r>
        <w:r w:rsidR="00DF458B">
          <w:rPr>
            <w:webHidden/>
          </w:rPr>
          <w:instrText xml:space="preserve"> PAGEREF _Toc419813603 \h </w:instrText>
        </w:r>
        <w:r w:rsidR="00B80A05">
          <w:rPr>
            <w:webHidden/>
          </w:rPr>
        </w:r>
        <w:r w:rsidR="00B80A05">
          <w:rPr>
            <w:webHidden/>
          </w:rPr>
          <w:fldChar w:fldCharType="separate"/>
        </w:r>
        <w:r w:rsidR="00316060">
          <w:rPr>
            <w:webHidden/>
          </w:rPr>
          <w:t>87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04" w:history="1">
        <w:r w:rsidR="00DF458B" w:rsidRPr="00503D2D">
          <w:rPr>
            <w:rStyle w:val="Hyperlink"/>
            <w:rFonts w:cs="Arial"/>
          </w:rPr>
          <w:t>1.3.2.1</w:t>
        </w:r>
        <w:r w:rsidR="00DF458B" w:rsidRPr="00503D2D">
          <w:rPr>
            <w:rStyle w:val="Hyperlink"/>
          </w:rPr>
          <w:t>3. Perda e Alteração de Habitats da Ictiofauna</w:t>
        </w:r>
        <w:r w:rsidR="00DF458B">
          <w:rPr>
            <w:webHidden/>
          </w:rPr>
          <w:tab/>
        </w:r>
        <w:r w:rsidR="00B80A05">
          <w:rPr>
            <w:webHidden/>
          </w:rPr>
          <w:fldChar w:fldCharType="begin"/>
        </w:r>
        <w:r w:rsidR="00DF458B">
          <w:rPr>
            <w:webHidden/>
          </w:rPr>
          <w:instrText xml:space="preserve"> PAGEREF _Toc419813604 \h </w:instrText>
        </w:r>
        <w:r w:rsidR="00B80A05">
          <w:rPr>
            <w:webHidden/>
          </w:rPr>
        </w:r>
        <w:r w:rsidR="00B80A05">
          <w:rPr>
            <w:webHidden/>
          </w:rPr>
          <w:fldChar w:fldCharType="separate"/>
        </w:r>
        <w:r w:rsidR="00316060">
          <w:rPr>
            <w:webHidden/>
          </w:rPr>
          <w:t>89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05" w:history="1">
        <w:r w:rsidR="00DF458B" w:rsidRPr="00503D2D">
          <w:rPr>
            <w:rStyle w:val="Hyperlink"/>
          </w:rPr>
          <w:t>1.3.2.14. Mudanças na Composição e Estrutura da Comunidade Ictíica</w:t>
        </w:r>
        <w:r w:rsidR="00DF458B">
          <w:rPr>
            <w:webHidden/>
          </w:rPr>
          <w:tab/>
        </w:r>
        <w:r w:rsidR="00B80A05">
          <w:rPr>
            <w:webHidden/>
          </w:rPr>
          <w:fldChar w:fldCharType="begin"/>
        </w:r>
        <w:r w:rsidR="00DF458B">
          <w:rPr>
            <w:webHidden/>
          </w:rPr>
          <w:instrText xml:space="preserve"> PAGEREF _Toc419813605 \h </w:instrText>
        </w:r>
        <w:r w:rsidR="00B80A05">
          <w:rPr>
            <w:webHidden/>
          </w:rPr>
        </w:r>
        <w:r w:rsidR="00B80A05">
          <w:rPr>
            <w:webHidden/>
          </w:rPr>
          <w:fldChar w:fldCharType="separate"/>
        </w:r>
        <w:r w:rsidR="00316060">
          <w:rPr>
            <w:webHidden/>
          </w:rPr>
          <w:t>90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06" w:history="1">
        <w:r w:rsidR="00DF458B" w:rsidRPr="00503D2D">
          <w:rPr>
            <w:rStyle w:val="Hyperlink"/>
          </w:rPr>
          <w:t>1.3.2.15. Impacto na Ictiofauna pela Implantação das Ensecadeiras</w:t>
        </w:r>
        <w:r w:rsidR="00DF458B">
          <w:rPr>
            <w:webHidden/>
          </w:rPr>
          <w:tab/>
        </w:r>
        <w:r w:rsidR="00B80A05">
          <w:rPr>
            <w:webHidden/>
          </w:rPr>
          <w:fldChar w:fldCharType="begin"/>
        </w:r>
        <w:r w:rsidR="00DF458B">
          <w:rPr>
            <w:webHidden/>
          </w:rPr>
          <w:instrText xml:space="preserve"> PAGEREF _Toc419813606 \h </w:instrText>
        </w:r>
        <w:r w:rsidR="00B80A05">
          <w:rPr>
            <w:webHidden/>
          </w:rPr>
        </w:r>
        <w:r w:rsidR="00B80A05">
          <w:rPr>
            <w:webHidden/>
          </w:rPr>
          <w:fldChar w:fldCharType="separate"/>
        </w:r>
        <w:r w:rsidR="00316060">
          <w:rPr>
            <w:webHidden/>
          </w:rPr>
          <w:t>93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07" w:history="1">
        <w:r w:rsidR="00DF458B" w:rsidRPr="00503D2D">
          <w:rPr>
            <w:rStyle w:val="Hyperlink"/>
          </w:rPr>
          <w:t>1.3.2.16. Interrupção do Fluxo Migratório das Espécies Migradoras de Longas Distâncias</w:t>
        </w:r>
        <w:r w:rsidR="00DF458B">
          <w:rPr>
            <w:webHidden/>
          </w:rPr>
          <w:tab/>
        </w:r>
        <w:r w:rsidR="00B80A05">
          <w:rPr>
            <w:webHidden/>
          </w:rPr>
          <w:fldChar w:fldCharType="begin"/>
        </w:r>
        <w:r w:rsidR="00DF458B">
          <w:rPr>
            <w:webHidden/>
          </w:rPr>
          <w:instrText xml:space="preserve"> PAGEREF _Toc419813607 \h </w:instrText>
        </w:r>
        <w:r w:rsidR="00B80A05">
          <w:rPr>
            <w:webHidden/>
          </w:rPr>
        </w:r>
        <w:r w:rsidR="00B80A05">
          <w:rPr>
            <w:webHidden/>
          </w:rPr>
          <w:fldChar w:fldCharType="separate"/>
        </w:r>
        <w:r w:rsidR="00316060">
          <w:rPr>
            <w:webHidden/>
          </w:rPr>
          <w:t>94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09" w:history="1">
        <w:r w:rsidR="00DF458B" w:rsidRPr="00503D2D">
          <w:rPr>
            <w:rStyle w:val="Hyperlink"/>
          </w:rPr>
          <w:t>1.3.3. Meio Socioeconômico</w:t>
        </w:r>
        <w:r w:rsidR="00DF458B">
          <w:rPr>
            <w:webHidden/>
          </w:rPr>
          <w:tab/>
        </w:r>
        <w:r w:rsidR="00B80A05">
          <w:rPr>
            <w:webHidden/>
          </w:rPr>
          <w:fldChar w:fldCharType="begin"/>
        </w:r>
        <w:r w:rsidR="00DF458B">
          <w:rPr>
            <w:webHidden/>
          </w:rPr>
          <w:instrText xml:space="preserve"> PAGEREF _Toc419813609 \h </w:instrText>
        </w:r>
        <w:r w:rsidR="00B80A05">
          <w:rPr>
            <w:webHidden/>
          </w:rPr>
        </w:r>
        <w:r w:rsidR="00B80A05">
          <w:rPr>
            <w:webHidden/>
          </w:rPr>
          <w:fldChar w:fldCharType="separate"/>
        </w:r>
        <w:r w:rsidR="00316060">
          <w:rPr>
            <w:webHidden/>
          </w:rPr>
          <w:t>96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10" w:history="1">
        <w:r w:rsidR="00DF458B" w:rsidRPr="00503D2D">
          <w:rPr>
            <w:rStyle w:val="Hyperlink"/>
            <w:rFonts w:cs="Arial"/>
          </w:rPr>
          <w:t>1.3.3.1</w:t>
        </w:r>
        <w:r w:rsidR="00DF458B" w:rsidRPr="00503D2D">
          <w:rPr>
            <w:rStyle w:val="Hyperlink"/>
          </w:rPr>
          <w:t>. Compatibilização com a Legislação e Políticas, Planos e Projetos Existentes</w:t>
        </w:r>
        <w:r w:rsidR="00DF458B">
          <w:rPr>
            <w:webHidden/>
          </w:rPr>
          <w:tab/>
        </w:r>
        <w:r w:rsidR="00B80A05">
          <w:rPr>
            <w:webHidden/>
          </w:rPr>
          <w:fldChar w:fldCharType="begin"/>
        </w:r>
        <w:r w:rsidR="00DF458B">
          <w:rPr>
            <w:webHidden/>
          </w:rPr>
          <w:instrText xml:space="preserve"> PAGEREF _Toc419813610 \h </w:instrText>
        </w:r>
        <w:r w:rsidR="00B80A05">
          <w:rPr>
            <w:webHidden/>
          </w:rPr>
        </w:r>
        <w:r w:rsidR="00B80A05">
          <w:rPr>
            <w:webHidden/>
          </w:rPr>
          <w:fldChar w:fldCharType="separate"/>
        </w:r>
        <w:r w:rsidR="00316060">
          <w:rPr>
            <w:webHidden/>
          </w:rPr>
          <w:t>96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11" w:history="1">
        <w:r w:rsidR="00DF458B" w:rsidRPr="00503D2D">
          <w:rPr>
            <w:rStyle w:val="Hyperlink"/>
          </w:rPr>
          <w:t>1.3.3.2. Geração de Expectativas Positivas em Relação ao Empreendimento.</w:t>
        </w:r>
        <w:r w:rsidR="00DF458B">
          <w:rPr>
            <w:webHidden/>
          </w:rPr>
          <w:tab/>
        </w:r>
        <w:r w:rsidR="00B80A05">
          <w:rPr>
            <w:webHidden/>
          </w:rPr>
          <w:fldChar w:fldCharType="begin"/>
        </w:r>
        <w:r w:rsidR="00DF458B">
          <w:rPr>
            <w:webHidden/>
          </w:rPr>
          <w:instrText xml:space="preserve"> PAGEREF _Toc419813611 \h </w:instrText>
        </w:r>
        <w:r w:rsidR="00B80A05">
          <w:rPr>
            <w:webHidden/>
          </w:rPr>
        </w:r>
        <w:r w:rsidR="00B80A05">
          <w:rPr>
            <w:webHidden/>
          </w:rPr>
          <w:fldChar w:fldCharType="separate"/>
        </w:r>
        <w:r w:rsidR="00316060">
          <w:rPr>
            <w:webHidden/>
          </w:rPr>
          <w:t>97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12" w:history="1">
        <w:r w:rsidR="00DF458B" w:rsidRPr="00503D2D">
          <w:rPr>
            <w:rStyle w:val="Hyperlink"/>
          </w:rPr>
          <w:t>1.3.3.3. Geração de Expectativas Negativas em Relação ao Empreendimento</w:t>
        </w:r>
        <w:r w:rsidR="00DF458B">
          <w:rPr>
            <w:webHidden/>
          </w:rPr>
          <w:tab/>
        </w:r>
        <w:r w:rsidR="00B80A05">
          <w:rPr>
            <w:webHidden/>
          </w:rPr>
          <w:fldChar w:fldCharType="begin"/>
        </w:r>
        <w:r w:rsidR="00DF458B">
          <w:rPr>
            <w:webHidden/>
          </w:rPr>
          <w:instrText xml:space="preserve"> PAGEREF _Toc419813612 \h </w:instrText>
        </w:r>
        <w:r w:rsidR="00B80A05">
          <w:rPr>
            <w:webHidden/>
          </w:rPr>
        </w:r>
        <w:r w:rsidR="00B80A05">
          <w:rPr>
            <w:webHidden/>
          </w:rPr>
          <w:fldChar w:fldCharType="separate"/>
        </w:r>
        <w:r w:rsidR="00316060">
          <w:rPr>
            <w:webHidden/>
          </w:rPr>
          <w:t>99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13" w:history="1">
        <w:r w:rsidR="00DF458B" w:rsidRPr="00503D2D">
          <w:rPr>
            <w:rStyle w:val="Hyperlink"/>
          </w:rPr>
          <w:t>1.3.3.4. Alteração das Relações Econômicas, Sociais e Culturais</w:t>
        </w:r>
        <w:r w:rsidR="00DF458B">
          <w:rPr>
            <w:webHidden/>
          </w:rPr>
          <w:tab/>
        </w:r>
        <w:r w:rsidR="00B80A05">
          <w:rPr>
            <w:webHidden/>
          </w:rPr>
          <w:fldChar w:fldCharType="begin"/>
        </w:r>
        <w:r w:rsidR="00DF458B">
          <w:rPr>
            <w:webHidden/>
          </w:rPr>
          <w:instrText xml:space="preserve"> PAGEREF _Toc419813613 \h </w:instrText>
        </w:r>
        <w:r w:rsidR="00B80A05">
          <w:rPr>
            <w:webHidden/>
          </w:rPr>
        </w:r>
        <w:r w:rsidR="00B80A05">
          <w:rPr>
            <w:webHidden/>
          </w:rPr>
          <w:fldChar w:fldCharType="separate"/>
        </w:r>
        <w:r w:rsidR="00316060">
          <w:rPr>
            <w:webHidden/>
          </w:rPr>
          <w:t>100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14" w:history="1">
        <w:r w:rsidR="00DF458B" w:rsidRPr="00503D2D">
          <w:rPr>
            <w:rStyle w:val="Hyperlink"/>
          </w:rPr>
          <w:t>1.3.3.5.</w:t>
        </w:r>
        <w:r w:rsidR="00DF458B">
          <w:rPr>
            <w:rFonts w:asciiTheme="minorHAnsi" w:eastAsiaTheme="minorEastAsia" w:hAnsiTheme="minorHAnsi" w:cstheme="minorBidi"/>
          </w:rPr>
          <w:tab/>
        </w:r>
        <w:r w:rsidR="00DF458B" w:rsidRPr="00503D2D">
          <w:rPr>
            <w:rStyle w:val="Hyperlink"/>
          </w:rPr>
          <w:t>Relocação da População da ADA</w:t>
        </w:r>
        <w:r w:rsidR="00DF458B">
          <w:rPr>
            <w:webHidden/>
          </w:rPr>
          <w:tab/>
        </w:r>
        <w:r w:rsidR="00B80A05">
          <w:rPr>
            <w:webHidden/>
          </w:rPr>
          <w:fldChar w:fldCharType="begin"/>
        </w:r>
        <w:r w:rsidR="00DF458B">
          <w:rPr>
            <w:webHidden/>
          </w:rPr>
          <w:instrText xml:space="preserve"> PAGEREF _Toc419813614 \h </w:instrText>
        </w:r>
        <w:r w:rsidR="00B80A05">
          <w:rPr>
            <w:webHidden/>
          </w:rPr>
        </w:r>
        <w:r w:rsidR="00B80A05">
          <w:rPr>
            <w:webHidden/>
          </w:rPr>
          <w:fldChar w:fldCharType="separate"/>
        </w:r>
        <w:r w:rsidR="00316060">
          <w:rPr>
            <w:webHidden/>
          </w:rPr>
          <w:t>101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15" w:history="1">
        <w:r w:rsidR="00DF458B" w:rsidRPr="00503D2D">
          <w:rPr>
            <w:rStyle w:val="Hyperlink"/>
          </w:rPr>
          <w:t>1.3.3.6. Especulação Imobiliária</w:t>
        </w:r>
        <w:r w:rsidR="00DF458B">
          <w:rPr>
            <w:webHidden/>
          </w:rPr>
          <w:tab/>
        </w:r>
        <w:r w:rsidR="00B80A05">
          <w:rPr>
            <w:webHidden/>
          </w:rPr>
          <w:fldChar w:fldCharType="begin"/>
        </w:r>
        <w:r w:rsidR="00DF458B">
          <w:rPr>
            <w:webHidden/>
          </w:rPr>
          <w:instrText xml:space="preserve"> PAGEREF _Toc419813615 \h </w:instrText>
        </w:r>
        <w:r w:rsidR="00B80A05">
          <w:rPr>
            <w:webHidden/>
          </w:rPr>
        </w:r>
        <w:r w:rsidR="00B80A05">
          <w:rPr>
            <w:webHidden/>
          </w:rPr>
          <w:fldChar w:fldCharType="separate"/>
        </w:r>
        <w:r w:rsidR="00316060">
          <w:rPr>
            <w:webHidden/>
          </w:rPr>
          <w:t>102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16" w:history="1">
        <w:r w:rsidR="00DF458B" w:rsidRPr="00503D2D">
          <w:rPr>
            <w:rStyle w:val="Hyperlink"/>
          </w:rPr>
          <w:t>1.3.3.7. Perda de Áreas Rurais Produtivas</w:t>
        </w:r>
        <w:r w:rsidR="00DF458B">
          <w:rPr>
            <w:webHidden/>
          </w:rPr>
          <w:tab/>
        </w:r>
        <w:r w:rsidR="00B80A05">
          <w:rPr>
            <w:webHidden/>
          </w:rPr>
          <w:fldChar w:fldCharType="begin"/>
        </w:r>
        <w:r w:rsidR="00DF458B">
          <w:rPr>
            <w:webHidden/>
          </w:rPr>
          <w:instrText xml:space="preserve"> PAGEREF _Toc419813616 \h </w:instrText>
        </w:r>
        <w:r w:rsidR="00B80A05">
          <w:rPr>
            <w:webHidden/>
          </w:rPr>
        </w:r>
        <w:r w:rsidR="00B80A05">
          <w:rPr>
            <w:webHidden/>
          </w:rPr>
          <w:fldChar w:fldCharType="separate"/>
        </w:r>
        <w:r w:rsidR="00316060">
          <w:rPr>
            <w:webHidden/>
          </w:rPr>
          <w:t>103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17" w:history="1">
        <w:r w:rsidR="00DF458B" w:rsidRPr="00503D2D">
          <w:rPr>
            <w:rStyle w:val="Hyperlink"/>
            <w:rFonts w:ascii="Arial Negrito" w:hAnsi="Arial Negrito"/>
            <w:bCs/>
          </w:rPr>
          <w:t>1.3.3.8. Perda de Instalações Industriais e Comerciais</w:t>
        </w:r>
        <w:r w:rsidR="00DF458B">
          <w:rPr>
            <w:webHidden/>
          </w:rPr>
          <w:tab/>
        </w:r>
        <w:r w:rsidR="00B80A05">
          <w:rPr>
            <w:webHidden/>
          </w:rPr>
          <w:fldChar w:fldCharType="begin"/>
        </w:r>
        <w:r w:rsidR="00DF458B">
          <w:rPr>
            <w:webHidden/>
          </w:rPr>
          <w:instrText xml:space="preserve"> PAGEREF _Toc419813617 \h </w:instrText>
        </w:r>
        <w:r w:rsidR="00B80A05">
          <w:rPr>
            <w:webHidden/>
          </w:rPr>
        </w:r>
        <w:r w:rsidR="00B80A05">
          <w:rPr>
            <w:webHidden/>
          </w:rPr>
          <w:fldChar w:fldCharType="separate"/>
        </w:r>
        <w:r w:rsidR="00316060">
          <w:rPr>
            <w:webHidden/>
          </w:rPr>
          <w:t>105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18" w:history="1">
        <w:r w:rsidR="00DF458B" w:rsidRPr="00503D2D">
          <w:rPr>
            <w:rStyle w:val="Hyperlink"/>
            <w:rFonts w:ascii="Arial Negrito" w:hAnsi="Arial Negrito"/>
            <w:bCs/>
          </w:rPr>
          <w:t>1.3.3.9. Maior Mobilidade da Sociedade Civil Organizada</w:t>
        </w:r>
        <w:r w:rsidR="00DF458B">
          <w:rPr>
            <w:webHidden/>
          </w:rPr>
          <w:tab/>
        </w:r>
        <w:r w:rsidR="00B80A05">
          <w:rPr>
            <w:webHidden/>
          </w:rPr>
          <w:fldChar w:fldCharType="begin"/>
        </w:r>
        <w:r w:rsidR="00DF458B">
          <w:rPr>
            <w:webHidden/>
          </w:rPr>
          <w:instrText xml:space="preserve"> PAGEREF _Toc419813618 \h </w:instrText>
        </w:r>
        <w:r w:rsidR="00B80A05">
          <w:rPr>
            <w:webHidden/>
          </w:rPr>
        </w:r>
        <w:r w:rsidR="00B80A05">
          <w:rPr>
            <w:webHidden/>
          </w:rPr>
          <w:fldChar w:fldCharType="separate"/>
        </w:r>
        <w:r w:rsidR="00316060">
          <w:rPr>
            <w:webHidden/>
          </w:rPr>
          <w:t>106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19" w:history="1">
        <w:r w:rsidR="00DF458B" w:rsidRPr="00503D2D">
          <w:rPr>
            <w:rStyle w:val="Hyperlink"/>
            <w:rFonts w:ascii="Arial Negrito" w:hAnsi="Arial Negrito"/>
            <w:bCs/>
          </w:rPr>
          <w:t>1.3.3.10. Aumento da Pressão sobre Serviços e Equipamentos Públicos</w:t>
        </w:r>
        <w:r w:rsidR="00DF458B">
          <w:rPr>
            <w:webHidden/>
          </w:rPr>
          <w:tab/>
        </w:r>
        <w:r w:rsidR="00B80A05">
          <w:rPr>
            <w:webHidden/>
          </w:rPr>
          <w:fldChar w:fldCharType="begin"/>
        </w:r>
        <w:r w:rsidR="00DF458B">
          <w:rPr>
            <w:webHidden/>
          </w:rPr>
          <w:instrText xml:space="preserve"> PAGEREF _Toc419813619 \h </w:instrText>
        </w:r>
        <w:r w:rsidR="00B80A05">
          <w:rPr>
            <w:webHidden/>
          </w:rPr>
        </w:r>
        <w:r w:rsidR="00B80A05">
          <w:rPr>
            <w:webHidden/>
          </w:rPr>
          <w:fldChar w:fldCharType="separate"/>
        </w:r>
        <w:r w:rsidR="00316060">
          <w:rPr>
            <w:webHidden/>
          </w:rPr>
          <w:t>108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20" w:history="1">
        <w:r w:rsidR="00DF458B" w:rsidRPr="00503D2D">
          <w:rPr>
            <w:rStyle w:val="Hyperlink"/>
            <w:rFonts w:ascii="Arial Negrito" w:hAnsi="Arial Negrito"/>
            <w:bCs/>
          </w:rPr>
          <w:t>1.3.3.11. Alteração nas Condições de Saúde na Região</w:t>
        </w:r>
        <w:r w:rsidR="00DF458B">
          <w:rPr>
            <w:webHidden/>
          </w:rPr>
          <w:tab/>
        </w:r>
        <w:r w:rsidR="00B80A05">
          <w:rPr>
            <w:webHidden/>
          </w:rPr>
          <w:fldChar w:fldCharType="begin"/>
        </w:r>
        <w:r w:rsidR="00DF458B">
          <w:rPr>
            <w:webHidden/>
          </w:rPr>
          <w:instrText xml:space="preserve"> PAGEREF _Toc419813620 \h </w:instrText>
        </w:r>
        <w:r w:rsidR="00B80A05">
          <w:rPr>
            <w:webHidden/>
          </w:rPr>
        </w:r>
        <w:r w:rsidR="00B80A05">
          <w:rPr>
            <w:webHidden/>
          </w:rPr>
          <w:fldChar w:fldCharType="separate"/>
        </w:r>
        <w:r w:rsidR="00316060">
          <w:rPr>
            <w:webHidden/>
          </w:rPr>
          <w:t>109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21" w:history="1">
        <w:r w:rsidR="00DF458B" w:rsidRPr="00503D2D">
          <w:rPr>
            <w:rStyle w:val="Hyperlink"/>
            <w:rFonts w:ascii="Arial Negrito" w:hAnsi="Arial Negrito"/>
            <w:bCs/>
          </w:rPr>
          <w:t>1.3.3.12. Incômodos à População</w:t>
        </w:r>
        <w:r w:rsidR="00DF458B">
          <w:rPr>
            <w:webHidden/>
          </w:rPr>
          <w:tab/>
        </w:r>
        <w:r w:rsidR="00B80A05">
          <w:rPr>
            <w:webHidden/>
          </w:rPr>
          <w:fldChar w:fldCharType="begin"/>
        </w:r>
        <w:r w:rsidR="00DF458B">
          <w:rPr>
            <w:webHidden/>
          </w:rPr>
          <w:instrText xml:space="preserve"> PAGEREF _Toc419813621 \h </w:instrText>
        </w:r>
        <w:r w:rsidR="00B80A05">
          <w:rPr>
            <w:webHidden/>
          </w:rPr>
        </w:r>
        <w:r w:rsidR="00B80A05">
          <w:rPr>
            <w:webHidden/>
          </w:rPr>
          <w:fldChar w:fldCharType="separate"/>
        </w:r>
        <w:r w:rsidR="00316060">
          <w:rPr>
            <w:webHidden/>
          </w:rPr>
          <w:t>110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22" w:history="1">
        <w:r w:rsidR="00DF458B" w:rsidRPr="00503D2D">
          <w:rPr>
            <w:rStyle w:val="Hyperlink"/>
            <w:rFonts w:ascii="Arial Negrito" w:hAnsi="Arial Negrito"/>
            <w:bCs/>
          </w:rPr>
          <w:t>1.3.3.13. Interferências com Infraestruturas Existentes</w:t>
        </w:r>
        <w:r w:rsidR="00DF458B">
          <w:rPr>
            <w:webHidden/>
          </w:rPr>
          <w:tab/>
        </w:r>
        <w:r w:rsidR="00B80A05">
          <w:rPr>
            <w:webHidden/>
          </w:rPr>
          <w:fldChar w:fldCharType="begin"/>
        </w:r>
        <w:r w:rsidR="00DF458B">
          <w:rPr>
            <w:webHidden/>
          </w:rPr>
          <w:instrText xml:space="preserve"> PAGEREF _Toc419813622 \h </w:instrText>
        </w:r>
        <w:r w:rsidR="00B80A05">
          <w:rPr>
            <w:webHidden/>
          </w:rPr>
        </w:r>
        <w:r w:rsidR="00B80A05">
          <w:rPr>
            <w:webHidden/>
          </w:rPr>
          <w:fldChar w:fldCharType="separate"/>
        </w:r>
        <w:r w:rsidR="00316060">
          <w:rPr>
            <w:webHidden/>
          </w:rPr>
          <w:t>113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23" w:history="1">
        <w:r w:rsidR="00DF458B" w:rsidRPr="00503D2D">
          <w:rPr>
            <w:rStyle w:val="Hyperlink"/>
            <w:rFonts w:ascii="Arial Negrito" w:hAnsi="Arial Negrito"/>
            <w:bCs/>
          </w:rPr>
          <w:t>1.3.3.14. Pressão na Infraestrutura Viária</w:t>
        </w:r>
        <w:r w:rsidR="00DF458B">
          <w:rPr>
            <w:webHidden/>
          </w:rPr>
          <w:tab/>
        </w:r>
        <w:r w:rsidR="00B80A05">
          <w:rPr>
            <w:webHidden/>
          </w:rPr>
          <w:fldChar w:fldCharType="begin"/>
        </w:r>
        <w:r w:rsidR="00DF458B">
          <w:rPr>
            <w:webHidden/>
          </w:rPr>
          <w:instrText xml:space="preserve"> PAGEREF _Toc419813623 \h </w:instrText>
        </w:r>
        <w:r w:rsidR="00B80A05">
          <w:rPr>
            <w:webHidden/>
          </w:rPr>
        </w:r>
        <w:r w:rsidR="00B80A05">
          <w:rPr>
            <w:webHidden/>
          </w:rPr>
          <w:fldChar w:fldCharType="separate"/>
        </w:r>
        <w:r w:rsidR="00316060">
          <w:rPr>
            <w:webHidden/>
          </w:rPr>
          <w:t>117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24" w:history="1">
        <w:r w:rsidR="00DF458B" w:rsidRPr="00503D2D">
          <w:rPr>
            <w:rStyle w:val="Hyperlink"/>
            <w:rFonts w:ascii="Arial Negrito" w:hAnsi="Arial Negrito"/>
            <w:bCs/>
          </w:rPr>
          <w:t>1.3.3.15. Interferências nos Usos Múltiplos da Água</w:t>
        </w:r>
        <w:r w:rsidR="00DF458B">
          <w:rPr>
            <w:webHidden/>
          </w:rPr>
          <w:tab/>
        </w:r>
        <w:r w:rsidR="00B80A05">
          <w:rPr>
            <w:webHidden/>
          </w:rPr>
          <w:fldChar w:fldCharType="begin"/>
        </w:r>
        <w:r w:rsidR="00DF458B">
          <w:rPr>
            <w:webHidden/>
          </w:rPr>
          <w:instrText xml:space="preserve"> PAGEREF _Toc419813624 \h </w:instrText>
        </w:r>
        <w:r w:rsidR="00B80A05">
          <w:rPr>
            <w:webHidden/>
          </w:rPr>
        </w:r>
        <w:r w:rsidR="00B80A05">
          <w:rPr>
            <w:webHidden/>
          </w:rPr>
          <w:fldChar w:fldCharType="separate"/>
        </w:r>
        <w:r w:rsidR="00316060">
          <w:rPr>
            <w:webHidden/>
          </w:rPr>
          <w:t>120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25" w:history="1">
        <w:r w:rsidR="00DF458B" w:rsidRPr="00503D2D">
          <w:rPr>
            <w:rStyle w:val="Hyperlink"/>
            <w:rFonts w:ascii="Arial Negrito" w:hAnsi="Arial Negrito"/>
            <w:bCs/>
          </w:rPr>
          <w:t>1.3.3.16. Aumento/Retração da Oferta de Emprego e Renda em função das obras de implantação das barragens</w:t>
        </w:r>
        <w:r w:rsidR="00DF458B">
          <w:rPr>
            <w:webHidden/>
          </w:rPr>
          <w:tab/>
        </w:r>
        <w:r w:rsidR="00B80A05">
          <w:rPr>
            <w:webHidden/>
          </w:rPr>
          <w:fldChar w:fldCharType="begin"/>
        </w:r>
        <w:r w:rsidR="00DF458B">
          <w:rPr>
            <w:webHidden/>
          </w:rPr>
          <w:instrText xml:space="preserve"> PAGEREF _Toc419813625 \h </w:instrText>
        </w:r>
        <w:r w:rsidR="00B80A05">
          <w:rPr>
            <w:webHidden/>
          </w:rPr>
        </w:r>
        <w:r w:rsidR="00B80A05">
          <w:rPr>
            <w:webHidden/>
          </w:rPr>
          <w:fldChar w:fldCharType="separate"/>
        </w:r>
        <w:r w:rsidR="00316060">
          <w:rPr>
            <w:webHidden/>
          </w:rPr>
          <w:t>122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26" w:history="1">
        <w:r w:rsidR="00DF458B" w:rsidRPr="00503D2D">
          <w:rPr>
            <w:rStyle w:val="Hyperlink"/>
            <w:rFonts w:ascii="Arial Negrito" w:hAnsi="Arial Negrito"/>
            <w:bCs/>
          </w:rPr>
          <w:t>1.3.3.17. Aumento da Arrecadação Financeira nos Municípios da AID</w:t>
        </w:r>
        <w:r w:rsidR="00DF458B">
          <w:rPr>
            <w:webHidden/>
          </w:rPr>
          <w:tab/>
        </w:r>
        <w:r w:rsidR="00B80A05">
          <w:rPr>
            <w:webHidden/>
          </w:rPr>
          <w:fldChar w:fldCharType="begin"/>
        </w:r>
        <w:r w:rsidR="00DF458B">
          <w:rPr>
            <w:webHidden/>
          </w:rPr>
          <w:instrText xml:space="preserve"> PAGEREF _Toc419813626 \h </w:instrText>
        </w:r>
        <w:r w:rsidR="00B80A05">
          <w:rPr>
            <w:webHidden/>
          </w:rPr>
        </w:r>
        <w:r w:rsidR="00B80A05">
          <w:rPr>
            <w:webHidden/>
          </w:rPr>
          <w:fldChar w:fldCharType="separate"/>
        </w:r>
        <w:r w:rsidR="00316060">
          <w:rPr>
            <w:webHidden/>
          </w:rPr>
          <w:t>124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27" w:history="1">
        <w:r w:rsidR="00DF458B" w:rsidRPr="00503D2D">
          <w:rPr>
            <w:rStyle w:val="Hyperlink"/>
            <w:rFonts w:ascii="Arial Negrito" w:hAnsi="Arial Negrito"/>
            <w:bCs/>
          </w:rPr>
          <w:t>1.3.3.18. Contribuição ao Desenvolvimento Econômico e Social Regional</w:t>
        </w:r>
        <w:r w:rsidR="00DF458B">
          <w:rPr>
            <w:webHidden/>
          </w:rPr>
          <w:tab/>
        </w:r>
        <w:r w:rsidR="00B80A05">
          <w:rPr>
            <w:webHidden/>
          </w:rPr>
          <w:fldChar w:fldCharType="begin"/>
        </w:r>
        <w:r w:rsidR="00DF458B">
          <w:rPr>
            <w:webHidden/>
          </w:rPr>
          <w:instrText xml:space="preserve"> PAGEREF _Toc419813627 \h </w:instrText>
        </w:r>
        <w:r w:rsidR="00B80A05">
          <w:rPr>
            <w:webHidden/>
          </w:rPr>
        </w:r>
        <w:r w:rsidR="00B80A05">
          <w:rPr>
            <w:webHidden/>
          </w:rPr>
          <w:fldChar w:fldCharType="separate"/>
        </w:r>
        <w:r w:rsidR="00316060">
          <w:rPr>
            <w:webHidden/>
          </w:rPr>
          <w:t>126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28" w:history="1">
        <w:r w:rsidR="00DF458B" w:rsidRPr="00503D2D">
          <w:rPr>
            <w:rStyle w:val="Hyperlink"/>
            <w:rFonts w:ascii="Arial Negrito" w:hAnsi="Arial Negrito"/>
            <w:bCs/>
          </w:rPr>
          <w:t>1.3.3.19. Interferência com o Patrimônio Histórico, Cultural e Arqueológico</w:t>
        </w:r>
        <w:r w:rsidR="00DF458B">
          <w:rPr>
            <w:webHidden/>
          </w:rPr>
          <w:tab/>
        </w:r>
        <w:r w:rsidR="00B80A05">
          <w:rPr>
            <w:webHidden/>
          </w:rPr>
          <w:fldChar w:fldCharType="begin"/>
        </w:r>
        <w:r w:rsidR="00DF458B">
          <w:rPr>
            <w:webHidden/>
          </w:rPr>
          <w:instrText xml:space="preserve"> PAGEREF _Toc419813628 \h </w:instrText>
        </w:r>
        <w:r w:rsidR="00B80A05">
          <w:rPr>
            <w:webHidden/>
          </w:rPr>
        </w:r>
        <w:r w:rsidR="00B80A05">
          <w:rPr>
            <w:webHidden/>
          </w:rPr>
          <w:fldChar w:fldCharType="separate"/>
        </w:r>
        <w:r w:rsidR="00316060">
          <w:rPr>
            <w:webHidden/>
          </w:rPr>
          <w:t>128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29" w:history="1">
        <w:r w:rsidR="00DF458B" w:rsidRPr="00503D2D">
          <w:rPr>
            <w:rStyle w:val="Hyperlink"/>
            <w:rFonts w:ascii="Arial Negrito" w:hAnsi="Arial Negrito"/>
            <w:bCs/>
          </w:rPr>
          <w:t>1.3.3.20. Regularização de Vazões dos rios Jaguari e Camanducaia</w:t>
        </w:r>
        <w:r w:rsidR="00DF458B">
          <w:rPr>
            <w:webHidden/>
          </w:rPr>
          <w:tab/>
        </w:r>
        <w:r w:rsidR="00B80A05">
          <w:rPr>
            <w:webHidden/>
          </w:rPr>
          <w:fldChar w:fldCharType="begin"/>
        </w:r>
        <w:r w:rsidR="00DF458B">
          <w:rPr>
            <w:webHidden/>
          </w:rPr>
          <w:instrText xml:space="preserve"> PAGEREF _Toc419813629 \h </w:instrText>
        </w:r>
        <w:r w:rsidR="00B80A05">
          <w:rPr>
            <w:webHidden/>
          </w:rPr>
        </w:r>
        <w:r w:rsidR="00B80A05">
          <w:rPr>
            <w:webHidden/>
          </w:rPr>
          <w:fldChar w:fldCharType="separate"/>
        </w:r>
        <w:r w:rsidR="00316060">
          <w:rPr>
            <w:webHidden/>
          </w:rPr>
          <w:t>130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30" w:history="1">
        <w:r w:rsidR="00DF458B" w:rsidRPr="00503D2D">
          <w:rPr>
            <w:rStyle w:val="Hyperlink"/>
            <w:rFonts w:ascii="Arial Negrito" w:hAnsi="Arial Negrito"/>
            <w:bCs/>
          </w:rPr>
          <w:t>1.3.3.21. Interferência na Geração de Energia Elétrica</w:t>
        </w:r>
        <w:r w:rsidR="00DF458B">
          <w:rPr>
            <w:webHidden/>
          </w:rPr>
          <w:tab/>
        </w:r>
        <w:r w:rsidR="00B80A05">
          <w:rPr>
            <w:webHidden/>
          </w:rPr>
          <w:fldChar w:fldCharType="begin"/>
        </w:r>
        <w:r w:rsidR="00DF458B">
          <w:rPr>
            <w:webHidden/>
          </w:rPr>
          <w:instrText xml:space="preserve"> PAGEREF _Toc419813630 \h </w:instrText>
        </w:r>
        <w:r w:rsidR="00B80A05">
          <w:rPr>
            <w:webHidden/>
          </w:rPr>
        </w:r>
        <w:r w:rsidR="00B80A05">
          <w:rPr>
            <w:webHidden/>
          </w:rPr>
          <w:fldChar w:fldCharType="separate"/>
        </w:r>
        <w:r w:rsidR="00316060">
          <w:rPr>
            <w:webHidden/>
          </w:rPr>
          <w:t>132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31" w:history="1">
        <w:r w:rsidR="00DF458B" w:rsidRPr="00503D2D">
          <w:rPr>
            <w:rStyle w:val="Hyperlink"/>
          </w:rPr>
          <w:t>1.4. Análise dos Impactos Cumulativos e Sinérgicos</w:t>
        </w:r>
        <w:r w:rsidR="00DF458B">
          <w:rPr>
            <w:webHidden/>
          </w:rPr>
          <w:tab/>
        </w:r>
        <w:r w:rsidR="00B80A05">
          <w:rPr>
            <w:webHidden/>
          </w:rPr>
          <w:fldChar w:fldCharType="begin"/>
        </w:r>
        <w:r w:rsidR="00DF458B">
          <w:rPr>
            <w:webHidden/>
          </w:rPr>
          <w:instrText xml:space="preserve"> PAGEREF _Toc419813631 \h </w:instrText>
        </w:r>
        <w:r w:rsidR="00B80A05">
          <w:rPr>
            <w:webHidden/>
          </w:rPr>
        </w:r>
        <w:r w:rsidR="00B80A05">
          <w:rPr>
            <w:webHidden/>
          </w:rPr>
          <w:fldChar w:fldCharType="separate"/>
        </w:r>
        <w:r w:rsidR="00316060">
          <w:rPr>
            <w:webHidden/>
          </w:rPr>
          <w:t>134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32" w:history="1">
        <w:r w:rsidR="00DF458B" w:rsidRPr="00503D2D">
          <w:rPr>
            <w:rStyle w:val="Hyperlink"/>
          </w:rPr>
          <w:t>1.4.1 Impactos Cumulativos</w:t>
        </w:r>
        <w:r w:rsidR="00DF458B">
          <w:rPr>
            <w:webHidden/>
          </w:rPr>
          <w:tab/>
        </w:r>
        <w:r w:rsidR="00B80A05">
          <w:rPr>
            <w:webHidden/>
          </w:rPr>
          <w:fldChar w:fldCharType="begin"/>
        </w:r>
        <w:r w:rsidR="00DF458B">
          <w:rPr>
            <w:webHidden/>
          </w:rPr>
          <w:instrText xml:space="preserve"> PAGEREF _Toc419813632 \h </w:instrText>
        </w:r>
        <w:r w:rsidR="00B80A05">
          <w:rPr>
            <w:webHidden/>
          </w:rPr>
        </w:r>
        <w:r w:rsidR="00B80A05">
          <w:rPr>
            <w:webHidden/>
          </w:rPr>
          <w:fldChar w:fldCharType="separate"/>
        </w:r>
        <w:r w:rsidR="00316060">
          <w:rPr>
            <w:webHidden/>
          </w:rPr>
          <w:t>134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33" w:history="1">
        <w:r w:rsidR="00DF458B" w:rsidRPr="00503D2D">
          <w:rPr>
            <w:rStyle w:val="Hyperlink"/>
            <w:rFonts w:ascii="Arial Negrito" w:hAnsi="Arial Negrito"/>
            <w:bCs/>
          </w:rPr>
          <w:t>1.4.1.1. Meio Físico e Biótico</w:t>
        </w:r>
        <w:r w:rsidR="00DF458B">
          <w:rPr>
            <w:webHidden/>
          </w:rPr>
          <w:tab/>
        </w:r>
        <w:r w:rsidR="00B80A05">
          <w:rPr>
            <w:webHidden/>
          </w:rPr>
          <w:fldChar w:fldCharType="begin"/>
        </w:r>
        <w:r w:rsidR="00DF458B">
          <w:rPr>
            <w:webHidden/>
          </w:rPr>
          <w:instrText xml:space="preserve"> PAGEREF _Toc419813633 \h </w:instrText>
        </w:r>
        <w:r w:rsidR="00B80A05">
          <w:rPr>
            <w:webHidden/>
          </w:rPr>
        </w:r>
        <w:r w:rsidR="00B80A05">
          <w:rPr>
            <w:webHidden/>
          </w:rPr>
          <w:fldChar w:fldCharType="separate"/>
        </w:r>
        <w:r w:rsidR="00316060">
          <w:rPr>
            <w:webHidden/>
          </w:rPr>
          <w:t>137</w:t>
        </w:r>
        <w:r w:rsidR="00B80A05">
          <w:rPr>
            <w:webHidden/>
          </w:rPr>
          <w:fldChar w:fldCharType="end"/>
        </w:r>
      </w:hyperlink>
    </w:p>
    <w:p w:rsidR="00DF458B" w:rsidRDefault="00D84387" w:rsidP="00DF458B">
      <w:pPr>
        <w:pStyle w:val="Sumrio4"/>
        <w:rPr>
          <w:rFonts w:asciiTheme="minorHAnsi" w:eastAsiaTheme="minorEastAsia" w:hAnsiTheme="minorHAnsi" w:cstheme="minorBidi"/>
          <w:b w:val="0"/>
          <w:szCs w:val="22"/>
        </w:rPr>
      </w:pPr>
      <w:hyperlink w:anchor="_Toc419813634" w:history="1">
        <w:r w:rsidR="00DF458B" w:rsidRPr="00503D2D">
          <w:rPr>
            <w:rStyle w:val="Hyperlink"/>
          </w:rPr>
          <w:t>1.4.1.2. Meio Socioeconômico</w:t>
        </w:r>
        <w:r w:rsidR="00DF458B">
          <w:rPr>
            <w:webHidden/>
          </w:rPr>
          <w:tab/>
        </w:r>
        <w:r w:rsidR="00B80A05">
          <w:rPr>
            <w:webHidden/>
          </w:rPr>
          <w:fldChar w:fldCharType="begin"/>
        </w:r>
        <w:r w:rsidR="00DF458B">
          <w:rPr>
            <w:webHidden/>
          </w:rPr>
          <w:instrText xml:space="preserve"> PAGEREF _Toc419813634 \h </w:instrText>
        </w:r>
        <w:r w:rsidR="00B80A05">
          <w:rPr>
            <w:webHidden/>
          </w:rPr>
        </w:r>
        <w:r w:rsidR="00B80A05">
          <w:rPr>
            <w:webHidden/>
          </w:rPr>
          <w:fldChar w:fldCharType="separate"/>
        </w:r>
        <w:r w:rsidR="00316060">
          <w:rPr>
            <w:webHidden/>
          </w:rPr>
          <w:t>139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35" w:history="1">
        <w:r w:rsidR="00DF458B" w:rsidRPr="00503D2D">
          <w:rPr>
            <w:rStyle w:val="Hyperlink"/>
          </w:rPr>
          <w:t>1.4.2. Impactos Sinérgicos</w:t>
        </w:r>
        <w:r w:rsidR="00DF458B">
          <w:rPr>
            <w:webHidden/>
          </w:rPr>
          <w:tab/>
        </w:r>
        <w:r w:rsidR="00B80A05">
          <w:rPr>
            <w:webHidden/>
          </w:rPr>
          <w:fldChar w:fldCharType="begin"/>
        </w:r>
        <w:r w:rsidR="00DF458B">
          <w:rPr>
            <w:webHidden/>
          </w:rPr>
          <w:instrText xml:space="preserve"> PAGEREF _Toc419813635 \h </w:instrText>
        </w:r>
        <w:r w:rsidR="00B80A05">
          <w:rPr>
            <w:webHidden/>
          </w:rPr>
        </w:r>
        <w:r w:rsidR="00B80A05">
          <w:rPr>
            <w:webHidden/>
          </w:rPr>
          <w:fldChar w:fldCharType="separate"/>
        </w:r>
        <w:r w:rsidR="00316060">
          <w:rPr>
            <w:webHidden/>
          </w:rPr>
          <w:t>139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36" w:history="1">
        <w:r w:rsidR="00DF458B" w:rsidRPr="00503D2D">
          <w:rPr>
            <w:rStyle w:val="Hyperlink"/>
          </w:rPr>
          <w:t>1.4.3. Quadro Síntese dos Impactos</w:t>
        </w:r>
        <w:r w:rsidR="00DF458B">
          <w:rPr>
            <w:webHidden/>
          </w:rPr>
          <w:tab/>
        </w:r>
        <w:r w:rsidR="00B80A05">
          <w:rPr>
            <w:webHidden/>
          </w:rPr>
          <w:fldChar w:fldCharType="begin"/>
        </w:r>
        <w:r w:rsidR="00DF458B">
          <w:rPr>
            <w:webHidden/>
          </w:rPr>
          <w:instrText xml:space="preserve"> PAGEREF _Toc419813636 \h </w:instrText>
        </w:r>
        <w:r w:rsidR="00B80A05">
          <w:rPr>
            <w:webHidden/>
          </w:rPr>
        </w:r>
        <w:r w:rsidR="00B80A05">
          <w:rPr>
            <w:webHidden/>
          </w:rPr>
          <w:fldChar w:fldCharType="separate"/>
        </w:r>
        <w:r w:rsidR="00316060">
          <w:rPr>
            <w:webHidden/>
          </w:rPr>
          <w:t>140</w:t>
        </w:r>
        <w:r w:rsidR="00B80A05">
          <w:rPr>
            <w:webHidden/>
          </w:rPr>
          <w:fldChar w:fldCharType="end"/>
        </w:r>
      </w:hyperlink>
    </w:p>
    <w:p w:rsidR="00DF458B" w:rsidRDefault="00D84387" w:rsidP="00DF458B">
      <w:pPr>
        <w:pStyle w:val="Sumrio1"/>
        <w:rPr>
          <w:rFonts w:asciiTheme="minorHAnsi" w:eastAsiaTheme="minorEastAsia" w:hAnsiTheme="minorHAnsi" w:cstheme="minorBidi"/>
          <w:b w:val="0"/>
          <w:caps w:val="0"/>
          <w:szCs w:val="22"/>
        </w:rPr>
      </w:pPr>
      <w:hyperlink w:anchor="_Toc419813637" w:history="1">
        <w:r w:rsidR="00DF458B" w:rsidRPr="00503D2D">
          <w:rPr>
            <w:rStyle w:val="Hyperlink"/>
          </w:rPr>
          <w:t>2.</w:t>
        </w:r>
        <w:r w:rsidR="00DF458B">
          <w:rPr>
            <w:rFonts w:asciiTheme="minorHAnsi" w:eastAsiaTheme="minorEastAsia" w:hAnsiTheme="minorHAnsi" w:cstheme="minorBidi"/>
            <w:b w:val="0"/>
            <w:caps w:val="0"/>
            <w:szCs w:val="22"/>
          </w:rPr>
          <w:tab/>
        </w:r>
        <w:r w:rsidR="00DF458B" w:rsidRPr="00503D2D">
          <w:rPr>
            <w:rStyle w:val="Hyperlink"/>
          </w:rPr>
          <w:t>PLANOS E PROGRAMAS AMBIENTAIS E DE MONITORAMENTO</w:t>
        </w:r>
        <w:r w:rsidR="00DF458B">
          <w:rPr>
            <w:webHidden/>
          </w:rPr>
          <w:tab/>
        </w:r>
        <w:r w:rsidR="00B80A05">
          <w:rPr>
            <w:webHidden/>
          </w:rPr>
          <w:fldChar w:fldCharType="begin"/>
        </w:r>
        <w:r w:rsidR="00DF458B">
          <w:rPr>
            <w:webHidden/>
          </w:rPr>
          <w:instrText xml:space="preserve"> PAGEREF _Toc419813637 \h </w:instrText>
        </w:r>
        <w:r w:rsidR="00B80A05">
          <w:rPr>
            <w:webHidden/>
          </w:rPr>
        </w:r>
        <w:r w:rsidR="00B80A05">
          <w:rPr>
            <w:webHidden/>
          </w:rPr>
          <w:fldChar w:fldCharType="separate"/>
        </w:r>
        <w:r w:rsidR="00316060">
          <w:rPr>
            <w:webHidden/>
          </w:rPr>
          <w:t>152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39" w:history="1">
        <w:r w:rsidR="00DF458B" w:rsidRPr="00503D2D">
          <w:rPr>
            <w:rStyle w:val="Hyperlink"/>
            <w:rFonts w:cs="Arial"/>
            <w:bCs/>
          </w:rPr>
          <w:t>2.1.</w:t>
        </w:r>
        <w:r w:rsidR="00DF458B">
          <w:rPr>
            <w:rFonts w:asciiTheme="minorHAnsi" w:eastAsiaTheme="minorEastAsia" w:hAnsiTheme="minorHAnsi" w:cstheme="minorBidi"/>
          </w:rPr>
          <w:tab/>
        </w:r>
        <w:r w:rsidR="00DF458B" w:rsidRPr="00503D2D">
          <w:rPr>
            <w:rStyle w:val="Hyperlink"/>
            <w:rFonts w:cs="Arial"/>
            <w:bCs/>
          </w:rPr>
          <w:t>Programa de Gestão Ambiental da Obra</w:t>
        </w:r>
        <w:r w:rsidR="00DF458B">
          <w:rPr>
            <w:webHidden/>
          </w:rPr>
          <w:tab/>
        </w:r>
        <w:r w:rsidR="00B80A05">
          <w:rPr>
            <w:webHidden/>
          </w:rPr>
          <w:fldChar w:fldCharType="begin"/>
        </w:r>
        <w:r w:rsidR="00DF458B">
          <w:rPr>
            <w:webHidden/>
          </w:rPr>
          <w:instrText xml:space="preserve"> PAGEREF _Toc419813639 \h </w:instrText>
        </w:r>
        <w:r w:rsidR="00B80A05">
          <w:rPr>
            <w:webHidden/>
          </w:rPr>
        </w:r>
        <w:r w:rsidR="00B80A05">
          <w:rPr>
            <w:webHidden/>
          </w:rPr>
          <w:fldChar w:fldCharType="separate"/>
        </w:r>
        <w:r w:rsidR="00316060">
          <w:rPr>
            <w:webHidden/>
          </w:rPr>
          <w:t>152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40" w:history="1">
        <w:r w:rsidR="00DF458B" w:rsidRPr="00503D2D">
          <w:rPr>
            <w:rStyle w:val="Hyperlink"/>
            <w:rFonts w:eastAsia="Calibri"/>
          </w:rPr>
          <w:t>2.1.1.</w:t>
        </w:r>
        <w:r w:rsidR="00DF458B">
          <w:rPr>
            <w:rStyle w:val="Hyperlink"/>
            <w:rFonts w:eastAsia="Calibri"/>
          </w:rPr>
          <w:t xml:space="preserve"> </w:t>
        </w:r>
        <w:r w:rsidR="00DF458B" w:rsidRPr="00503D2D">
          <w:rPr>
            <w:rStyle w:val="Hyperlink"/>
            <w:rFonts w:eastAsia="Calibri"/>
          </w:rPr>
          <w:t>Apresentação e Justificativas</w:t>
        </w:r>
        <w:r w:rsidR="00DF458B">
          <w:rPr>
            <w:webHidden/>
          </w:rPr>
          <w:tab/>
        </w:r>
        <w:r w:rsidR="00B80A05">
          <w:rPr>
            <w:webHidden/>
          </w:rPr>
          <w:fldChar w:fldCharType="begin"/>
        </w:r>
        <w:r w:rsidR="00DF458B">
          <w:rPr>
            <w:webHidden/>
          </w:rPr>
          <w:instrText xml:space="preserve"> PAGEREF _Toc419813640 \h </w:instrText>
        </w:r>
        <w:r w:rsidR="00B80A05">
          <w:rPr>
            <w:webHidden/>
          </w:rPr>
        </w:r>
        <w:r w:rsidR="00B80A05">
          <w:rPr>
            <w:webHidden/>
          </w:rPr>
          <w:fldChar w:fldCharType="separate"/>
        </w:r>
        <w:r w:rsidR="00316060">
          <w:rPr>
            <w:webHidden/>
          </w:rPr>
          <w:t>152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41" w:history="1">
        <w:r w:rsidR="00DF458B" w:rsidRPr="00503D2D">
          <w:rPr>
            <w:rStyle w:val="Hyperlink"/>
            <w:rFonts w:eastAsia="Calibri"/>
            <w:lang w:eastAsia="en-US"/>
          </w:rPr>
          <w:t>2.1.2.</w:t>
        </w:r>
        <w:r w:rsidR="00DF458B">
          <w:rPr>
            <w:rStyle w:val="Hyperlink"/>
            <w:rFonts w:eastAsia="Calibri"/>
            <w:lang w:eastAsia="en-US"/>
          </w:rPr>
          <w:t xml:space="preserve"> </w:t>
        </w:r>
        <w:r w:rsidR="00DF458B" w:rsidRPr="00503D2D">
          <w:rPr>
            <w:rStyle w:val="Hyperlink"/>
            <w:rFonts w:eastAsia="Calibri"/>
            <w:lang w:eastAsia="en-US"/>
          </w:rPr>
          <w:t>Objetivos</w:t>
        </w:r>
        <w:r w:rsidR="00DF458B">
          <w:rPr>
            <w:webHidden/>
          </w:rPr>
          <w:tab/>
        </w:r>
        <w:r w:rsidR="00B80A05">
          <w:rPr>
            <w:webHidden/>
          </w:rPr>
          <w:fldChar w:fldCharType="begin"/>
        </w:r>
        <w:r w:rsidR="00DF458B">
          <w:rPr>
            <w:webHidden/>
          </w:rPr>
          <w:instrText xml:space="preserve"> PAGEREF _Toc419813641 \h </w:instrText>
        </w:r>
        <w:r w:rsidR="00B80A05">
          <w:rPr>
            <w:webHidden/>
          </w:rPr>
        </w:r>
        <w:r w:rsidR="00B80A05">
          <w:rPr>
            <w:webHidden/>
          </w:rPr>
          <w:fldChar w:fldCharType="separate"/>
        </w:r>
        <w:r w:rsidR="00316060">
          <w:rPr>
            <w:webHidden/>
          </w:rPr>
          <w:t>152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42" w:history="1">
        <w:r w:rsidR="00DF458B" w:rsidRPr="00503D2D">
          <w:rPr>
            <w:rStyle w:val="Hyperlink"/>
            <w:rFonts w:eastAsia="Calibri"/>
            <w:bCs/>
            <w:lang w:eastAsia="en-US"/>
          </w:rPr>
          <w:t>2.1.3.</w:t>
        </w:r>
        <w:r w:rsidR="00DF458B">
          <w:rPr>
            <w:rStyle w:val="Hyperlink"/>
            <w:rFonts w:eastAsia="Calibri"/>
            <w:bCs/>
            <w:lang w:eastAsia="en-US"/>
          </w:rPr>
          <w:t xml:space="preserve"> </w:t>
        </w:r>
        <w:r w:rsidR="00DF458B" w:rsidRPr="00503D2D">
          <w:rPr>
            <w:rStyle w:val="Hyperlink"/>
            <w:rFonts w:eastAsia="Calibri"/>
            <w:bCs/>
            <w:lang w:eastAsia="en-US"/>
          </w:rPr>
          <w:t>Metas</w:t>
        </w:r>
        <w:r w:rsidR="00DF458B">
          <w:rPr>
            <w:webHidden/>
          </w:rPr>
          <w:tab/>
        </w:r>
        <w:r w:rsidR="00B80A05">
          <w:rPr>
            <w:webHidden/>
          </w:rPr>
          <w:fldChar w:fldCharType="begin"/>
        </w:r>
        <w:r w:rsidR="00DF458B">
          <w:rPr>
            <w:webHidden/>
          </w:rPr>
          <w:instrText xml:space="preserve"> PAGEREF _Toc419813642 \h </w:instrText>
        </w:r>
        <w:r w:rsidR="00B80A05">
          <w:rPr>
            <w:webHidden/>
          </w:rPr>
        </w:r>
        <w:r w:rsidR="00B80A05">
          <w:rPr>
            <w:webHidden/>
          </w:rPr>
          <w:fldChar w:fldCharType="separate"/>
        </w:r>
        <w:r w:rsidR="00316060">
          <w:rPr>
            <w:webHidden/>
          </w:rPr>
          <w:t>153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43" w:history="1">
        <w:r w:rsidR="00DF458B" w:rsidRPr="00503D2D">
          <w:rPr>
            <w:rStyle w:val="Hyperlink"/>
            <w:rFonts w:eastAsia="Calibri"/>
            <w:lang w:eastAsia="en-US"/>
          </w:rPr>
          <w:t>2.1.4.</w:t>
        </w:r>
        <w:r w:rsidR="00DF458B">
          <w:rPr>
            <w:rStyle w:val="Hyperlink"/>
            <w:rFonts w:eastAsia="Calibri"/>
            <w:lang w:eastAsia="en-US"/>
          </w:rPr>
          <w:t xml:space="preserve"> </w:t>
        </w:r>
        <w:r w:rsidR="00DF458B" w:rsidRPr="00503D2D">
          <w:rPr>
            <w:rStyle w:val="Hyperlink"/>
            <w:rFonts w:eastAsia="Calibri"/>
            <w:lang w:eastAsia="en-US"/>
          </w:rPr>
          <w:t>Público Alvo</w:t>
        </w:r>
        <w:r w:rsidR="00DF458B">
          <w:rPr>
            <w:webHidden/>
          </w:rPr>
          <w:tab/>
        </w:r>
        <w:r w:rsidR="00B80A05">
          <w:rPr>
            <w:webHidden/>
          </w:rPr>
          <w:fldChar w:fldCharType="begin"/>
        </w:r>
        <w:r w:rsidR="00DF458B">
          <w:rPr>
            <w:webHidden/>
          </w:rPr>
          <w:instrText xml:space="preserve"> PAGEREF _Toc419813643 \h </w:instrText>
        </w:r>
        <w:r w:rsidR="00B80A05">
          <w:rPr>
            <w:webHidden/>
          </w:rPr>
        </w:r>
        <w:r w:rsidR="00B80A05">
          <w:rPr>
            <w:webHidden/>
          </w:rPr>
          <w:fldChar w:fldCharType="separate"/>
        </w:r>
        <w:r w:rsidR="00316060">
          <w:rPr>
            <w:webHidden/>
          </w:rPr>
          <w:t>153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45" w:history="1">
        <w:r w:rsidR="00DF458B" w:rsidRPr="00503D2D">
          <w:rPr>
            <w:rStyle w:val="Hyperlink"/>
            <w:rFonts w:eastAsia="Calibri"/>
            <w:bCs/>
            <w:lang w:eastAsia="en-US"/>
          </w:rPr>
          <w:t>2.1.5.</w:t>
        </w:r>
        <w:r w:rsidR="00DF458B">
          <w:rPr>
            <w:rStyle w:val="Hyperlink"/>
            <w:rFonts w:eastAsia="Calibri"/>
            <w:bCs/>
            <w:lang w:eastAsia="en-US"/>
          </w:rPr>
          <w:t xml:space="preserve"> </w:t>
        </w:r>
        <w:r w:rsidR="00DF458B" w:rsidRPr="00503D2D">
          <w:rPr>
            <w:rStyle w:val="Hyperlink"/>
            <w:rFonts w:eastAsia="Calibri"/>
            <w:bCs/>
            <w:lang w:eastAsia="en-US"/>
          </w:rPr>
          <w:t>Métodos e Descrição do Programa</w:t>
        </w:r>
        <w:r w:rsidR="00DF458B">
          <w:rPr>
            <w:webHidden/>
          </w:rPr>
          <w:tab/>
        </w:r>
        <w:r w:rsidR="00B80A05">
          <w:rPr>
            <w:webHidden/>
          </w:rPr>
          <w:fldChar w:fldCharType="begin"/>
        </w:r>
        <w:r w:rsidR="00DF458B">
          <w:rPr>
            <w:webHidden/>
          </w:rPr>
          <w:instrText xml:space="preserve"> PAGEREF _Toc419813645 \h </w:instrText>
        </w:r>
        <w:r w:rsidR="00B80A05">
          <w:rPr>
            <w:webHidden/>
          </w:rPr>
        </w:r>
        <w:r w:rsidR="00B80A05">
          <w:rPr>
            <w:webHidden/>
          </w:rPr>
          <w:fldChar w:fldCharType="separate"/>
        </w:r>
        <w:r w:rsidR="00316060">
          <w:rPr>
            <w:webHidden/>
          </w:rPr>
          <w:t>153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46" w:history="1">
        <w:r w:rsidR="00DF458B" w:rsidRPr="00503D2D">
          <w:rPr>
            <w:rStyle w:val="Hyperlink"/>
            <w:rFonts w:eastAsia="Calibri"/>
            <w:bCs/>
            <w:lang w:eastAsia="en-US"/>
          </w:rPr>
          <w:t>2.1.6. Indicadores Ambientais</w:t>
        </w:r>
        <w:r w:rsidR="00DF458B">
          <w:rPr>
            <w:webHidden/>
          </w:rPr>
          <w:tab/>
        </w:r>
        <w:r w:rsidR="00B80A05">
          <w:rPr>
            <w:webHidden/>
          </w:rPr>
          <w:fldChar w:fldCharType="begin"/>
        </w:r>
        <w:r w:rsidR="00DF458B">
          <w:rPr>
            <w:webHidden/>
          </w:rPr>
          <w:instrText xml:space="preserve"> PAGEREF _Toc419813646 \h </w:instrText>
        </w:r>
        <w:r w:rsidR="00B80A05">
          <w:rPr>
            <w:webHidden/>
          </w:rPr>
        </w:r>
        <w:r w:rsidR="00B80A05">
          <w:rPr>
            <w:webHidden/>
          </w:rPr>
          <w:fldChar w:fldCharType="separate"/>
        </w:r>
        <w:r w:rsidR="00316060">
          <w:rPr>
            <w:webHidden/>
          </w:rPr>
          <w:t>155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47" w:history="1">
        <w:r w:rsidR="00DF458B" w:rsidRPr="00503D2D">
          <w:rPr>
            <w:rStyle w:val="Hyperlink"/>
            <w:rFonts w:ascii="Arial Negrito" w:eastAsia="Calibri" w:hAnsi="Arial Negrito"/>
            <w:bCs/>
            <w:lang w:eastAsia="en-US"/>
          </w:rPr>
          <w:t>2.1.7. Recursos Materiais e Humanos</w:t>
        </w:r>
        <w:r w:rsidR="00DF458B">
          <w:rPr>
            <w:webHidden/>
          </w:rPr>
          <w:tab/>
        </w:r>
        <w:r w:rsidR="00B80A05">
          <w:rPr>
            <w:webHidden/>
          </w:rPr>
          <w:fldChar w:fldCharType="begin"/>
        </w:r>
        <w:r w:rsidR="00DF458B">
          <w:rPr>
            <w:webHidden/>
          </w:rPr>
          <w:instrText xml:space="preserve"> PAGEREF _Toc419813647 \h </w:instrText>
        </w:r>
        <w:r w:rsidR="00B80A05">
          <w:rPr>
            <w:webHidden/>
          </w:rPr>
        </w:r>
        <w:r w:rsidR="00B80A05">
          <w:rPr>
            <w:webHidden/>
          </w:rPr>
          <w:fldChar w:fldCharType="separate"/>
        </w:r>
        <w:r w:rsidR="00316060">
          <w:rPr>
            <w:webHidden/>
          </w:rPr>
          <w:t>155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48" w:history="1">
        <w:r w:rsidR="00DF458B" w:rsidRPr="00503D2D">
          <w:rPr>
            <w:rStyle w:val="Hyperlink"/>
            <w:rFonts w:eastAsia="Calibri"/>
            <w:lang w:eastAsia="en-US"/>
          </w:rPr>
          <w:t>2.1.8. Atendimento a Requisitos Legais e/ou Outros Requisitos</w:t>
        </w:r>
        <w:r w:rsidR="00DF458B">
          <w:rPr>
            <w:webHidden/>
          </w:rPr>
          <w:tab/>
        </w:r>
        <w:r w:rsidR="00B80A05">
          <w:rPr>
            <w:webHidden/>
          </w:rPr>
          <w:fldChar w:fldCharType="begin"/>
        </w:r>
        <w:r w:rsidR="00DF458B">
          <w:rPr>
            <w:webHidden/>
          </w:rPr>
          <w:instrText xml:space="preserve"> PAGEREF _Toc419813648 \h </w:instrText>
        </w:r>
        <w:r w:rsidR="00B80A05">
          <w:rPr>
            <w:webHidden/>
          </w:rPr>
        </w:r>
        <w:r w:rsidR="00B80A05">
          <w:rPr>
            <w:webHidden/>
          </w:rPr>
          <w:fldChar w:fldCharType="separate"/>
        </w:r>
        <w:r w:rsidR="00316060">
          <w:rPr>
            <w:webHidden/>
          </w:rPr>
          <w:t>155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49" w:history="1">
        <w:r w:rsidR="00DF458B" w:rsidRPr="00503D2D">
          <w:rPr>
            <w:rStyle w:val="Hyperlink"/>
            <w:rFonts w:eastAsia="Calibri"/>
            <w:lang w:eastAsia="en-US"/>
          </w:rPr>
          <w:t>2.1.9. Inter-relação com outros Planos e Programas</w:t>
        </w:r>
        <w:r w:rsidR="00DF458B">
          <w:rPr>
            <w:webHidden/>
          </w:rPr>
          <w:tab/>
        </w:r>
        <w:r w:rsidR="00B80A05">
          <w:rPr>
            <w:webHidden/>
          </w:rPr>
          <w:fldChar w:fldCharType="begin"/>
        </w:r>
        <w:r w:rsidR="00DF458B">
          <w:rPr>
            <w:webHidden/>
          </w:rPr>
          <w:instrText xml:space="preserve"> PAGEREF _Toc419813649 \h </w:instrText>
        </w:r>
        <w:r w:rsidR="00B80A05">
          <w:rPr>
            <w:webHidden/>
          </w:rPr>
        </w:r>
        <w:r w:rsidR="00B80A05">
          <w:rPr>
            <w:webHidden/>
          </w:rPr>
          <w:fldChar w:fldCharType="separate"/>
        </w:r>
        <w:r w:rsidR="00316060">
          <w:rPr>
            <w:webHidden/>
          </w:rPr>
          <w:t>155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50" w:history="1">
        <w:r w:rsidR="00DF458B" w:rsidRPr="00503D2D">
          <w:rPr>
            <w:rStyle w:val="Hyperlink"/>
            <w:rFonts w:eastAsia="Calibri"/>
            <w:lang w:eastAsia="en-US"/>
          </w:rPr>
          <w:t>2.1.10. Etapa dos Empreendimentos</w:t>
        </w:r>
        <w:r w:rsidR="00DF458B">
          <w:rPr>
            <w:webHidden/>
          </w:rPr>
          <w:tab/>
        </w:r>
        <w:r w:rsidR="00B80A05">
          <w:rPr>
            <w:webHidden/>
          </w:rPr>
          <w:fldChar w:fldCharType="begin"/>
        </w:r>
        <w:r w:rsidR="00DF458B">
          <w:rPr>
            <w:webHidden/>
          </w:rPr>
          <w:instrText xml:space="preserve"> PAGEREF _Toc419813650 \h </w:instrText>
        </w:r>
        <w:r w:rsidR="00B80A05">
          <w:rPr>
            <w:webHidden/>
          </w:rPr>
        </w:r>
        <w:r w:rsidR="00B80A05">
          <w:rPr>
            <w:webHidden/>
          </w:rPr>
          <w:fldChar w:fldCharType="separate"/>
        </w:r>
        <w:r w:rsidR="00316060">
          <w:rPr>
            <w:webHidden/>
          </w:rPr>
          <w:t>155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51" w:history="1">
        <w:r w:rsidR="00DF458B" w:rsidRPr="00503D2D">
          <w:rPr>
            <w:rStyle w:val="Hyperlink"/>
            <w:rFonts w:eastAsia="Calibri"/>
            <w:lang w:eastAsia="en-US"/>
          </w:rPr>
          <w:t>2.1.11. Cronograma de Execução</w:t>
        </w:r>
        <w:r w:rsidR="00DF458B">
          <w:rPr>
            <w:webHidden/>
          </w:rPr>
          <w:tab/>
        </w:r>
        <w:r w:rsidR="00B80A05">
          <w:rPr>
            <w:webHidden/>
          </w:rPr>
          <w:fldChar w:fldCharType="begin"/>
        </w:r>
        <w:r w:rsidR="00DF458B">
          <w:rPr>
            <w:webHidden/>
          </w:rPr>
          <w:instrText xml:space="preserve"> PAGEREF _Toc419813651 \h </w:instrText>
        </w:r>
        <w:r w:rsidR="00B80A05">
          <w:rPr>
            <w:webHidden/>
          </w:rPr>
        </w:r>
        <w:r w:rsidR="00B80A05">
          <w:rPr>
            <w:webHidden/>
          </w:rPr>
          <w:fldChar w:fldCharType="separate"/>
        </w:r>
        <w:r w:rsidR="00316060">
          <w:rPr>
            <w:webHidden/>
          </w:rPr>
          <w:t>155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52" w:history="1">
        <w:r w:rsidR="00DF458B" w:rsidRPr="00503D2D">
          <w:rPr>
            <w:rStyle w:val="Hyperlink"/>
            <w:rFonts w:eastAsia="Calibri"/>
            <w:lang w:eastAsia="en-US"/>
          </w:rPr>
          <w:t>2.1.12. Responsável pela Implementação do Programa</w:t>
        </w:r>
        <w:r w:rsidR="00DF458B">
          <w:rPr>
            <w:webHidden/>
          </w:rPr>
          <w:tab/>
        </w:r>
        <w:r w:rsidR="00B80A05">
          <w:rPr>
            <w:webHidden/>
          </w:rPr>
          <w:fldChar w:fldCharType="begin"/>
        </w:r>
        <w:r w:rsidR="00DF458B">
          <w:rPr>
            <w:webHidden/>
          </w:rPr>
          <w:instrText xml:space="preserve"> PAGEREF _Toc419813652 \h </w:instrText>
        </w:r>
        <w:r w:rsidR="00B80A05">
          <w:rPr>
            <w:webHidden/>
          </w:rPr>
        </w:r>
        <w:r w:rsidR="00B80A05">
          <w:rPr>
            <w:webHidden/>
          </w:rPr>
          <w:fldChar w:fldCharType="separate"/>
        </w:r>
        <w:r w:rsidR="00316060">
          <w:rPr>
            <w:webHidden/>
          </w:rPr>
          <w:t>156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53" w:history="1">
        <w:r w:rsidR="00DF458B" w:rsidRPr="00503D2D">
          <w:rPr>
            <w:rStyle w:val="Hyperlink"/>
            <w:rFonts w:ascii="Arial Negrito" w:eastAsia="Calibri" w:hAnsi="Arial Negrito"/>
            <w:bCs/>
            <w:lang w:eastAsia="en-US"/>
          </w:rPr>
          <w:t>2.1.13. Sistemas de Registros</w:t>
        </w:r>
        <w:r w:rsidR="00DF458B">
          <w:rPr>
            <w:webHidden/>
          </w:rPr>
          <w:tab/>
        </w:r>
        <w:r w:rsidR="00B80A05">
          <w:rPr>
            <w:webHidden/>
          </w:rPr>
          <w:fldChar w:fldCharType="begin"/>
        </w:r>
        <w:r w:rsidR="00DF458B">
          <w:rPr>
            <w:webHidden/>
          </w:rPr>
          <w:instrText xml:space="preserve"> PAGEREF _Toc419813653 \h </w:instrText>
        </w:r>
        <w:r w:rsidR="00B80A05">
          <w:rPr>
            <w:webHidden/>
          </w:rPr>
        </w:r>
        <w:r w:rsidR="00B80A05">
          <w:rPr>
            <w:webHidden/>
          </w:rPr>
          <w:fldChar w:fldCharType="separate"/>
        </w:r>
        <w:r w:rsidR="00316060">
          <w:rPr>
            <w:webHidden/>
          </w:rPr>
          <w:t>156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54" w:history="1">
        <w:r w:rsidR="00DF458B" w:rsidRPr="00503D2D">
          <w:rPr>
            <w:rStyle w:val="Hyperlink"/>
            <w:rFonts w:ascii="Arial Negrito" w:eastAsia="Calibri" w:hAnsi="Arial Negrito"/>
            <w:bCs/>
            <w:lang w:eastAsia="en-US"/>
          </w:rPr>
          <w:t>2.1.14. Referências Bibliográficas</w:t>
        </w:r>
        <w:r w:rsidR="00DF458B">
          <w:rPr>
            <w:webHidden/>
          </w:rPr>
          <w:tab/>
        </w:r>
        <w:r w:rsidR="00B80A05">
          <w:rPr>
            <w:webHidden/>
          </w:rPr>
          <w:fldChar w:fldCharType="begin"/>
        </w:r>
        <w:r w:rsidR="00DF458B">
          <w:rPr>
            <w:webHidden/>
          </w:rPr>
          <w:instrText xml:space="preserve"> PAGEREF _Toc419813654 \h </w:instrText>
        </w:r>
        <w:r w:rsidR="00B80A05">
          <w:rPr>
            <w:webHidden/>
          </w:rPr>
        </w:r>
        <w:r w:rsidR="00B80A05">
          <w:rPr>
            <w:webHidden/>
          </w:rPr>
          <w:fldChar w:fldCharType="separate"/>
        </w:r>
        <w:r w:rsidR="00316060">
          <w:rPr>
            <w:webHidden/>
          </w:rPr>
          <w:t>156</w:t>
        </w:r>
        <w:r w:rsidR="00B80A05">
          <w:rPr>
            <w:webHidden/>
          </w:rPr>
          <w:fldChar w:fldCharType="end"/>
        </w:r>
      </w:hyperlink>
    </w:p>
    <w:p w:rsidR="00DF458B" w:rsidRDefault="00D84387" w:rsidP="00DF458B">
      <w:pPr>
        <w:pStyle w:val="Sumrio1"/>
        <w:rPr>
          <w:rFonts w:asciiTheme="minorHAnsi" w:eastAsiaTheme="minorEastAsia" w:hAnsiTheme="minorHAnsi" w:cstheme="minorBidi"/>
          <w:b w:val="0"/>
          <w:caps w:val="0"/>
          <w:szCs w:val="22"/>
        </w:rPr>
      </w:pPr>
      <w:hyperlink w:anchor="_Toc419813655" w:history="1">
        <w:r w:rsidR="00DF458B" w:rsidRPr="00503D2D">
          <w:rPr>
            <w:rStyle w:val="Hyperlink"/>
          </w:rPr>
          <w:t>3. Programa de Controle Ambiental das Obras</w:t>
        </w:r>
        <w:r w:rsidR="00DF458B">
          <w:rPr>
            <w:webHidden/>
          </w:rPr>
          <w:tab/>
        </w:r>
        <w:r w:rsidR="00B80A05">
          <w:rPr>
            <w:webHidden/>
          </w:rPr>
          <w:fldChar w:fldCharType="begin"/>
        </w:r>
        <w:r w:rsidR="00DF458B">
          <w:rPr>
            <w:webHidden/>
          </w:rPr>
          <w:instrText xml:space="preserve"> PAGEREF _Toc419813655 \h </w:instrText>
        </w:r>
        <w:r w:rsidR="00B80A05">
          <w:rPr>
            <w:webHidden/>
          </w:rPr>
        </w:r>
        <w:r w:rsidR="00B80A05">
          <w:rPr>
            <w:webHidden/>
          </w:rPr>
          <w:fldChar w:fldCharType="separate"/>
        </w:r>
        <w:r w:rsidR="00316060">
          <w:rPr>
            <w:webHidden/>
          </w:rPr>
          <w:t>157</w:t>
        </w:r>
        <w:r w:rsidR="00B80A05">
          <w:rPr>
            <w:webHidden/>
          </w:rPr>
          <w:fldChar w:fldCharType="end"/>
        </w:r>
      </w:hyperlink>
    </w:p>
    <w:p w:rsidR="00DF458B" w:rsidRPr="00DF458B" w:rsidRDefault="00D84387" w:rsidP="00DF458B">
      <w:pPr>
        <w:pStyle w:val="Sumrio2"/>
        <w:spacing w:before="120" w:after="120" w:line="240" w:lineRule="auto"/>
        <w:ind w:left="284"/>
        <w:rPr>
          <w:rFonts w:ascii="Arial Negrito" w:eastAsiaTheme="minorEastAsia" w:hAnsi="Arial Negrito" w:cstheme="minorBidi"/>
          <w:b w:val="0"/>
          <w:smallCaps w:val="0"/>
          <w:szCs w:val="22"/>
        </w:rPr>
      </w:pPr>
      <w:hyperlink w:anchor="_Toc419813656" w:history="1">
        <w:r w:rsidR="00DF458B" w:rsidRPr="00DF458B">
          <w:rPr>
            <w:rStyle w:val="Hyperlink"/>
            <w:rFonts w:ascii="Arial Negrito" w:hAnsi="Arial Negrito"/>
            <w:smallCaps w:val="0"/>
          </w:rPr>
          <w:t>3.1. Apresentação e Justificativa</w:t>
        </w:r>
        <w:r w:rsidR="00DF458B" w:rsidRPr="00DF458B">
          <w:rPr>
            <w:rFonts w:ascii="Arial Negrito" w:hAnsi="Arial Negrito"/>
            <w:smallCaps w:val="0"/>
            <w:webHidden/>
          </w:rPr>
          <w:tab/>
        </w:r>
        <w:r w:rsidR="00B80A05" w:rsidRPr="00DF458B">
          <w:rPr>
            <w:rFonts w:ascii="Arial Negrito" w:hAnsi="Arial Negrito"/>
            <w:smallCaps w:val="0"/>
            <w:webHidden/>
          </w:rPr>
          <w:fldChar w:fldCharType="begin"/>
        </w:r>
        <w:r w:rsidR="00DF458B" w:rsidRPr="00DF458B">
          <w:rPr>
            <w:rFonts w:ascii="Arial Negrito" w:hAnsi="Arial Negrito"/>
            <w:smallCaps w:val="0"/>
            <w:webHidden/>
          </w:rPr>
          <w:instrText xml:space="preserve"> PAGEREF _Toc419813656 \h </w:instrText>
        </w:r>
        <w:r w:rsidR="00B80A05" w:rsidRPr="00DF458B">
          <w:rPr>
            <w:rFonts w:ascii="Arial Negrito" w:hAnsi="Arial Negrito"/>
            <w:smallCaps w:val="0"/>
            <w:webHidden/>
          </w:rPr>
        </w:r>
        <w:r w:rsidR="00B80A05" w:rsidRPr="00DF458B">
          <w:rPr>
            <w:rFonts w:ascii="Arial Negrito" w:hAnsi="Arial Negrito"/>
            <w:smallCaps w:val="0"/>
            <w:webHidden/>
          </w:rPr>
          <w:fldChar w:fldCharType="separate"/>
        </w:r>
        <w:r w:rsidR="00316060">
          <w:rPr>
            <w:rFonts w:ascii="Arial Negrito" w:hAnsi="Arial Negrito"/>
            <w:smallCaps w:val="0"/>
            <w:webHidden/>
          </w:rPr>
          <w:t>157</w:t>
        </w:r>
        <w:r w:rsidR="00B80A05" w:rsidRPr="00DF458B">
          <w:rPr>
            <w:rFonts w:ascii="Arial Negrito" w:hAnsi="Arial Negrito"/>
            <w:smallCaps w:val="0"/>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57" w:history="1">
        <w:r w:rsidR="00DF458B" w:rsidRPr="00503D2D">
          <w:rPr>
            <w:rStyle w:val="Hyperlink"/>
          </w:rPr>
          <w:t>3.1.1. Objetivos</w:t>
        </w:r>
        <w:r w:rsidR="00DF458B">
          <w:rPr>
            <w:webHidden/>
          </w:rPr>
          <w:tab/>
        </w:r>
        <w:r w:rsidR="00B80A05">
          <w:rPr>
            <w:webHidden/>
          </w:rPr>
          <w:fldChar w:fldCharType="begin"/>
        </w:r>
        <w:r w:rsidR="00DF458B">
          <w:rPr>
            <w:webHidden/>
          </w:rPr>
          <w:instrText xml:space="preserve"> PAGEREF _Toc419813657 \h </w:instrText>
        </w:r>
        <w:r w:rsidR="00B80A05">
          <w:rPr>
            <w:webHidden/>
          </w:rPr>
        </w:r>
        <w:r w:rsidR="00B80A05">
          <w:rPr>
            <w:webHidden/>
          </w:rPr>
          <w:fldChar w:fldCharType="separate"/>
        </w:r>
        <w:r w:rsidR="00316060">
          <w:rPr>
            <w:webHidden/>
          </w:rPr>
          <w:t>157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58" w:history="1">
        <w:r w:rsidR="00DF458B" w:rsidRPr="00503D2D">
          <w:rPr>
            <w:rStyle w:val="Hyperlink"/>
          </w:rPr>
          <w:t>3.1.2. Metas</w:t>
        </w:r>
        <w:r w:rsidR="00DF458B">
          <w:rPr>
            <w:webHidden/>
          </w:rPr>
          <w:tab/>
        </w:r>
        <w:r w:rsidR="00B80A05">
          <w:rPr>
            <w:webHidden/>
          </w:rPr>
          <w:fldChar w:fldCharType="begin"/>
        </w:r>
        <w:r w:rsidR="00DF458B">
          <w:rPr>
            <w:webHidden/>
          </w:rPr>
          <w:instrText xml:space="preserve"> PAGEREF _Toc419813658 \h </w:instrText>
        </w:r>
        <w:r w:rsidR="00B80A05">
          <w:rPr>
            <w:webHidden/>
          </w:rPr>
        </w:r>
        <w:r w:rsidR="00B80A05">
          <w:rPr>
            <w:webHidden/>
          </w:rPr>
          <w:fldChar w:fldCharType="separate"/>
        </w:r>
        <w:r w:rsidR="00316060">
          <w:rPr>
            <w:webHidden/>
          </w:rPr>
          <w:t>157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59" w:history="1">
        <w:r w:rsidR="00DF458B" w:rsidRPr="00503D2D">
          <w:rPr>
            <w:rStyle w:val="Hyperlink"/>
            <w:rFonts w:ascii="Arial Negrito" w:hAnsi="Arial Negrito" w:cs="Arial"/>
            <w:bCs/>
          </w:rPr>
          <w:t>3.1.3. Público-alvo</w:t>
        </w:r>
        <w:r w:rsidR="00DF458B">
          <w:rPr>
            <w:webHidden/>
          </w:rPr>
          <w:tab/>
        </w:r>
        <w:r w:rsidR="00B80A05">
          <w:rPr>
            <w:webHidden/>
          </w:rPr>
          <w:fldChar w:fldCharType="begin"/>
        </w:r>
        <w:r w:rsidR="00DF458B">
          <w:rPr>
            <w:webHidden/>
          </w:rPr>
          <w:instrText xml:space="preserve"> PAGEREF _Toc419813659 \h </w:instrText>
        </w:r>
        <w:r w:rsidR="00B80A05">
          <w:rPr>
            <w:webHidden/>
          </w:rPr>
        </w:r>
        <w:r w:rsidR="00B80A05">
          <w:rPr>
            <w:webHidden/>
          </w:rPr>
          <w:fldChar w:fldCharType="separate"/>
        </w:r>
        <w:r w:rsidR="00316060">
          <w:rPr>
            <w:webHidden/>
          </w:rPr>
          <w:t>157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60" w:history="1">
        <w:r w:rsidR="00DF458B" w:rsidRPr="00503D2D">
          <w:rPr>
            <w:rStyle w:val="Hyperlink"/>
            <w:rFonts w:ascii="Arial Negrito" w:hAnsi="Arial Negrito" w:cs="Arial"/>
          </w:rPr>
          <w:t>3.1.4. Métodos e Descrição do Programa</w:t>
        </w:r>
        <w:r w:rsidR="00DF458B">
          <w:rPr>
            <w:webHidden/>
          </w:rPr>
          <w:tab/>
        </w:r>
        <w:r w:rsidR="00B80A05">
          <w:rPr>
            <w:webHidden/>
          </w:rPr>
          <w:fldChar w:fldCharType="begin"/>
        </w:r>
        <w:r w:rsidR="00DF458B">
          <w:rPr>
            <w:webHidden/>
          </w:rPr>
          <w:instrText xml:space="preserve"> PAGEREF _Toc419813660 \h </w:instrText>
        </w:r>
        <w:r w:rsidR="00B80A05">
          <w:rPr>
            <w:webHidden/>
          </w:rPr>
        </w:r>
        <w:r w:rsidR="00B80A05">
          <w:rPr>
            <w:webHidden/>
          </w:rPr>
          <w:fldChar w:fldCharType="separate"/>
        </w:r>
        <w:r w:rsidR="00316060">
          <w:rPr>
            <w:webHidden/>
          </w:rPr>
          <w:t>158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61" w:history="1">
        <w:r w:rsidR="00DF458B" w:rsidRPr="00503D2D">
          <w:rPr>
            <w:rStyle w:val="Hyperlink"/>
            <w:rFonts w:ascii="Arial Negrito" w:hAnsi="Arial Negrito" w:cs="Arial"/>
            <w:bCs/>
          </w:rPr>
          <w:t>3.1.5. Indicadores Ambientais</w:t>
        </w:r>
        <w:r w:rsidR="00DF458B">
          <w:rPr>
            <w:webHidden/>
          </w:rPr>
          <w:tab/>
        </w:r>
        <w:r w:rsidR="00B80A05">
          <w:rPr>
            <w:webHidden/>
          </w:rPr>
          <w:fldChar w:fldCharType="begin"/>
        </w:r>
        <w:r w:rsidR="00DF458B">
          <w:rPr>
            <w:webHidden/>
          </w:rPr>
          <w:instrText xml:space="preserve"> PAGEREF _Toc419813661 \h </w:instrText>
        </w:r>
        <w:r w:rsidR="00B80A05">
          <w:rPr>
            <w:webHidden/>
          </w:rPr>
        </w:r>
        <w:r w:rsidR="00B80A05">
          <w:rPr>
            <w:webHidden/>
          </w:rPr>
          <w:fldChar w:fldCharType="separate"/>
        </w:r>
        <w:r w:rsidR="00316060">
          <w:rPr>
            <w:webHidden/>
          </w:rPr>
          <w:t>165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62" w:history="1">
        <w:r w:rsidR="00DF458B" w:rsidRPr="00503D2D">
          <w:rPr>
            <w:rStyle w:val="Hyperlink"/>
            <w:rFonts w:ascii="Arial Negrito" w:hAnsi="Arial Negrito"/>
          </w:rPr>
          <w:t>3.1.6. Recursos Materiais e Humanos</w:t>
        </w:r>
        <w:r w:rsidR="00DF458B">
          <w:rPr>
            <w:webHidden/>
          </w:rPr>
          <w:tab/>
        </w:r>
        <w:r w:rsidR="00B80A05">
          <w:rPr>
            <w:webHidden/>
          </w:rPr>
          <w:fldChar w:fldCharType="begin"/>
        </w:r>
        <w:r w:rsidR="00DF458B">
          <w:rPr>
            <w:webHidden/>
          </w:rPr>
          <w:instrText xml:space="preserve"> PAGEREF _Toc419813662 \h </w:instrText>
        </w:r>
        <w:r w:rsidR="00B80A05">
          <w:rPr>
            <w:webHidden/>
          </w:rPr>
        </w:r>
        <w:r w:rsidR="00B80A05">
          <w:rPr>
            <w:webHidden/>
          </w:rPr>
          <w:fldChar w:fldCharType="separate"/>
        </w:r>
        <w:r w:rsidR="00316060">
          <w:rPr>
            <w:webHidden/>
          </w:rPr>
          <w:t>165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63" w:history="1">
        <w:r w:rsidR="00DF458B" w:rsidRPr="00503D2D">
          <w:rPr>
            <w:rStyle w:val="Hyperlink"/>
            <w:rFonts w:ascii="Arial Negrito" w:hAnsi="Arial Negrito"/>
            <w:bCs/>
          </w:rPr>
          <w:t>3.1.7. Atendimento a Requisitos Legais e/ou Outros Requisitos</w:t>
        </w:r>
        <w:r w:rsidR="00DF458B">
          <w:rPr>
            <w:webHidden/>
          </w:rPr>
          <w:tab/>
        </w:r>
        <w:r w:rsidR="00B80A05">
          <w:rPr>
            <w:webHidden/>
          </w:rPr>
          <w:fldChar w:fldCharType="begin"/>
        </w:r>
        <w:r w:rsidR="00DF458B">
          <w:rPr>
            <w:webHidden/>
          </w:rPr>
          <w:instrText xml:space="preserve"> PAGEREF _Toc419813663 \h </w:instrText>
        </w:r>
        <w:r w:rsidR="00B80A05">
          <w:rPr>
            <w:webHidden/>
          </w:rPr>
        </w:r>
        <w:r w:rsidR="00B80A05">
          <w:rPr>
            <w:webHidden/>
          </w:rPr>
          <w:fldChar w:fldCharType="separate"/>
        </w:r>
        <w:r w:rsidR="00316060">
          <w:rPr>
            <w:webHidden/>
          </w:rPr>
          <w:t>165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64" w:history="1">
        <w:r w:rsidR="00DF458B" w:rsidRPr="00503D2D">
          <w:rPr>
            <w:rStyle w:val="Hyperlink"/>
            <w:rFonts w:ascii="Arial Negrito" w:hAnsi="Arial Negrito"/>
            <w:bCs/>
          </w:rPr>
          <w:t>3.1.8. Inter-relação com Outros Planos e Programas</w:t>
        </w:r>
        <w:r w:rsidR="00DF458B">
          <w:rPr>
            <w:webHidden/>
          </w:rPr>
          <w:tab/>
        </w:r>
        <w:r w:rsidR="00B80A05">
          <w:rPr>
            <w:webHidden/>
          </w:rPr>
          <w:fldChar w:fldCharType="begin"/>
        </w:r>
        <w:r w:rsidR="00DF458B">
          <w:rPr>
            <w:webHidden/>
          </w:rPr>
          <w:instrText xml:space="preserve"> PAGEREF _Toc419813664 \h </w:instrText>
        </w:r>
        <w:r w:rsidR="00B80A05">
          <w:rPr>
            <w:webHidden/>
          </w:rPr>
        </w:r>
        <w:r w:rsidR="00B80A05">
          <w:rPr>
            <w:webHidden/>
          </w:rPr>
          <w:fldChar w:fldCharType="separate"/>
        </w:r>
        <w:r w:rsidR="00316060">
          <w:rPr>
            <w:webHidden/>
          </w:rPr>
          <w:t>165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65" w:history="1">
        <w:r w:rsidR="00DF458B" w:rsidRPr="00503D2D">
          <w:rPr>
            <w:rStyle w:val="Hyperlink"/>
            <w:rFonts w:ascii="Arial Negrito" w:hAnsi="Arial Negrito"/>
            <w:bCs/>
          </w:rPr>
          <w:t>3.1.9. Etapa dos Empreendimentos</w:t>
        </w:r>
        <w:r w:rsidR="00DF458B">
          <w:rPr>
            <w:webHidden/>
          </w:rPr>
          <w:tab/>
        </w:r>
        <w:r w:rsidR="00B80A05">
          <w:rPr>
            <w:webHidden/>
          </w:rPr>
          <w:fldChar w:fldCharType="begin"/>
        </w:r>
        <w:r w:rsidR="00DF458B">
          <w:rPr>
            <w:webHidden/>
          </w:rPr>
          <w:instrText xml:space="preserve"> PAGEREF _Toc419813665 \h </w:instrText>
        </w:r>
        <w:r w:rsidR="00B80A05">
          <w:rPr>
            <w:webHidden/>
          </w:rPr>
        </w:r>
        <w:r w:rsidR="00B80A05">
          <w:rPr>
            <w:webHidden/>
          </w:rPr>
          <w:fldChar w:fldCharType="separate"/>
        </w:r>
        <w:r w:rsidR="00316060">
          <w:rPr>
            <w:webHidden/>
          </w:rPr>
          <w:t>165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66" w:history="1">
        <w:r w:rsidR="00DF458B" w:rsidRPr="00503D2D">
          <w:rPr>
            <w:rStyle w:val="Hyperlink"/>
            <w:rFonts w:ascii="Arial Negrito" w:hAnsi="Arial Negrito"/>
            <w:bCs/>
          </w:rPr>
          <w:t>3.1.10. Cronograma de Execução</w:t>
        </w:r>
        <w:r w:rsidR="00DF458B">
          <w:rPr>
            <w:webHidden/>
          </w:rPr>
          <w:tab/>
        </w:r>
        <w:r w:rsidR="00B80A05">
          <w:rPr>
            <w:webHidden/>
          </w:rPr>
          <w:fldChar w:fldCharType="begin"/>
        </w:r>
        <w:r w:rsidR="00DF458B">
          <w:rPr>
            <w:webHidden/>
          </w:rPr>
          <w:instrText xml:space="preserve"> PAGEREF _Toc419813666 \h </w:instrText>
        </w:r>
        <w:r w:rsidR="00B80A05">
          <w:rPr>
            <w:webHidden/>
          </w:rPr>
        </w:r>
        <w:r w:rsidR="00B80A05">
          <w:rPr>
            <w:webHidden/>
          </w:rPr>
          <w:fldChar w:fldCharType="separate"/>
        </w:r>
        <w:r w:rsidR="00316060">
          <w:rPr>
            <w:webHidden/>
          </w:rPr>
          <w:t>166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67" w:history="1">
        <w:r w:rsidR="00DF458B" w:rsidRPr="00503D2D">
          <w:rPr>
            <w:rStyle w:val="Hyperlink"/>
            <w:rFonts w:ascii="Arial Negrito" w:hAnsi="Arial Negrito"/>
            <w:bCs/>
          </w:rPr>
          <w:t>3.1.11. Responsável pela Implementação do Programa</w:t>
        </w:r>
        <w:r w:rsidR="00DF458B">
          <w:rPr>
            <w:webHidden/>
          </w:rPr>
          <w:tab/>
        </w:r>
        <w:r w:rsidR="00B80A05">
          <w:rPr>
            <w:webHidden/>
          </w:rPr>
          <w:fldChar w:fldCharType="begin"/>
        </w:r>
        <w:r w:rsidR="00DF458B">
          <w:rPr>
            <w:webHidden/>
          </w:rPr>
          <w:instrText xml:space="preserve"> PAGEREF _Toc419813667 \h </w:instrText>
        </w:r>
        <w:r w:rsidR="00B80A05">
          <w:rPr>
            <w:webHidden/>
          </w:rPr>
        </w:r>
        <w:r w:rsidR="00B80A05">
          <w:rPr>
            <w:webHidden/>
          </w:rPr>
          <w:fldChar w:fldCharType="separate"/>
        </w:r>
        <w:r w:rsidR="00316060">
          <w:rPr>
            <w:webHidden/>
          </w:rPr>
          <w:t>166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68" w:history="1">
        <w:r w:rsidR="00DF458B" w:rsidRPr="00503D2D">
          <w:rPr>
            <w:rStyle w:val="Hyperlink"/>
            <w:rFonts w:ascii="Arial Negrito" w:hAnsi="Arial Negrito"/>
            <w:bCs/>
          </w:rPr>
          <w:t>3.1.12. Sistemas de Registros</w:t>
        </w:r>
        <w:r w:rsidR="00DF458B">
          <w:rPr>
            <w:webHidden/>
          </w:rPr>
          <w:tab/>
        </w:r>
        <w:r w:rsidR="00B80A05">
          <w:rPr>
            <w:webHidden/>
          </w:rPr>
          <w:fldChar w:fldCharType="begin"/>
        </w:r>
        <w:r w:rsidR="00DF458B">
          <w:rPr>
            <w:webHidden/>
          </w:rPr>
          <w:instrText xml:space="preserve"> PAGEREF _Toc419813668 \h </w:instrText>
        </w:r>
        <w:r w:rsidR="00B80A05">
          <w:rPr>
            <w:webHidden/>
          </w:rPr>
        </w:r>
        <w:r w:rsidR="00B80A05">
          <w:rPr>
            <w:webHidden/>
          </w:rPr>
          <w:fldChar w:fldCharType="separate"/>
        </w:r>
        <w:r w:rsidR="00316060">
          <w:rPr>
            <w:webHidden/>
          </w:rPr>
          <w:t>166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69" w:history="1">
        <w:r w:rsidR="00DF458B" w:rsidRPr="00503D2D">
          <w:rPr>
            <w:rStyle w:val="Hyperlink"/>
            <w:rFonts w:ascii="Arial Negrito" w:hAnsi="Arial Negrito"/>
            <w:bCs/>
          </w:rPr>
          <w:t>3.1.13. Referências Bibliográficas</w:t>
        </w:r>
        <w:r w:rsidR="00DF458B">
          <w:rPr>
            <w:webHidden/>
          </w:rPr>
          <w:tab/>
        </w:r>
        <w:r w:rsidR="00B80A05">
          <w:rPr>
            <w:webHidden/>
          </w:rPr>
          <w:fldChar w:fldCharType="begin"/>
        </w:r>
        <w:r w:rsidR="00DF458B">
          <w:rPr>
            <w:webHidden/>
          </w:rPr>
          <w:instrText xml:space="preserve"> PAGEREF _Toc419813669 \h </w:instrText>
        </w:r>
        <w:r w:rsidR="00B80A05">
          <w:rPr>
            <w:webHidden/>
          </w:rPr>
        </w:r>
        <w:r w:rsidR="00B80A05">
          <w:rPr>
            <w:webHidden/>
          </w:rPr>
          <w:fldChar w:fldCharType="separate"/>
        </w:r>
        <w:r w:rsidR="00316060">
          <w:rPr>
            <w:webHidden/>
          </w:rPr>
          <w:t>166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70" w:history="1">
        <w:r w:rsidR="00DF458B" w:rsidRPr="00503D2D">
          <w:rPr>
            <w:rStyle w:val="Hyperlink"/>
            <w:rFonts w:ascii="Arial Negrito" w:hAnsi="Arial Negrito" w:cs="Arial"/>
            <w:bCs/>
          </w:rPr>
          <w:t>3.2. Programas do Meio Físico</w:t>
        </w:r>
        <w:r w:rsidR="00DF458B">
          <w:rPr>
            <w:webHidden/>
          </w:rPr>
          <w:tab/>
        </w:r>
        <w:r w:rsidR="00B80A05">
          <w:rPr>
            <w:webHidden/>
          </w:rPr>
          <w:fldChar w:fldCharType="begin"/>
        </w:r>
        <w:r w:rsidR="00DF458B">
          <w:rPr>
            <w:webHidden/>
          </w:rPr>
          <w:instrText xml:space="preserve"> PAGEREF _Toc419813670 \h </w:instrText>
        </w:r>
        <w:r w:rsidR="00B80A05">
          <w:rPr>
            <w:webHidden/>
          </w:rPr>
        </w:r>
        <w:r w:rsidR="00B80A05">
          <w:rPr>
            <w:webHidden/>
          </w:rPr>
          <w:fldChar w:fldCharType="separate"/>
        </w:r>
        <w:r w:rsidR="00316060">
          <w:rPr>
            <w:webHidden/>
          </w:rPr>
          <w:t>166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71" w:history="1">
        <w:r w:rsidR="00DF458B" w:rsidRPr="00503D2D">
          <w:rPr>
            <w:rStyle w:val="Hyperlink"/>
            <w:rFonts w:ascii="Arial Negrito" w:hAnsi="Arial Negrito"/>
            <w:bCs/>
          </w:rPr>
          <w:t>3.2.1. Programa de Monitoramento do Clima Local</w:t>
        </w:r>
        <w:r w:rsidR="00DF458B">
          <w:rPr>
            <w:webHidden/>
          </w:rPr>
          <w:tab/>
        </w:r>
        <w:r w:rsidR="00B80A05">
          <w:rPr>
            <w:webHidden/>
          </w:rPr>
          <w:fldChar w:fldCharType="begin"/>
        </w:r>
        <w:r w:rsidR="00DF458B">
          <w:rPr>
            <w:webHidden/>
          </w:rPr>
          <w:instrText xml:space="preserve"> PAGEREF _Toc419813671 \h </w:instrText>
        </w:r>
        <w:r w:rsidR="00B80A05">
          <w:rPr>
            <w:webHidden/>
          </w:rPr>
        </w:r>
        <w:r w:rsidR="00B80A05">
          <w:rPr>
            <w:webHidden/>
          </w:rPr>
          <w:fldChar w:fldCharType="separate"/>
        </w:r>
        <w:r w:rsidR="00316060">
          <w:rPr>
            <w:webHidden/>
          </w:rPr>
          <w:t>166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72" w:history="1">
        <w:r w:rsidR="00DF458B" w:rsidRPr="00503D2D">
          <w:rPr>
            <w:rStyle w:val="Hyperlink"/>
            <w:rFonts w:ascii="Arial Negrito" w:hAnsi="Arial Negrito"/>
            <w:bCs/>
          </w:rPr>
          <w:t>3.2.1.1. Apresentação e Justificativas</w:t>
        </w:r>
        <w:r w:rsidR="00DF458B">
          <w:rPr>
            <w:webHidden/>
          </w:rPr>
          <w:tab/>
        </w:r>
        <w:r w:rsidR="00B80A05">
          <w:rPr>
            <w:webHidden/>
          </w:rPr>
          <w:fldChar w:fldCharType="begin"/>
        </w:r>
        <w:r w:rsidR="00DF458B">
          <w:rPr>
            <w:webHidden/>
          </w:rPr>
          <w:instrText xml:space="preserve"> PAGEREF _Toc419813672 \h </w:instrText>
        </w:r>
        <w:r w:rsidR="00B80A05">
          <w:rPr>
            <w:webHidden/>
          </w:rPr>
        </w:r>
        <w:r w:rsidR="00B80A05">
          <w:rPr>
            <w:webHidden/>
          </w:rPr>
          <w:fldChar w:fldCharType="separate"/>
        </w:r>
        <w:r w:rsidR="00316060">
          <w:rPr>
            <w:webHidden/>
          </w:rPr>
          <w:t>166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73" w:history="1">
        <w:r w:rsidR="00DF458B" w:rsidRPr="00503D2D">
          <w:rPr>
            <w:rStyle w:val="Hyperlink"/>
            <w:rFonts w:ascii="Arial Negrito" w:hAnsi="Arial Negrito"/>
            <w:bCs/>
          </w:rPr>
          <w:t>3.2.1.2. Objetivos</w:t>
        </w:r>
        <w:r w:rsidR="00DF458B">
          <w:rPr>
            <w:webHidden/>
          </w:rPr>
          <w:tab/>
        </w:r>
        <w:r w:rsidR="00B80A05">
          <w:rPr>
            <w:webHidden/>
          </w:rPr>
          <w:fldChar w:fldCharType="begin"/>
        </w:r>
        <w:r w:rsidR="00DF458B">
          <w:rPr>
            <w:webHidden/>
          </w:rPr>
          <w:instrText xml:space="preserve"> PAGEREF _Toc419813673 \h </w:instrText>
        </w:r>
        <w:r w:rsidR="00B80A05">
          <w:rPr>
            <w:webHidden/>
          </w:rPr>
        </w:r>
        <w:r w:rsidR="00B80A05">
          <w:rPr>
            <w:webHidden/>
          </w:rPr>
          <w:fldChar w:fldCharType="separate"/>
        </w:r>
        <w:r w:rsidR="00316060">
          <w:rPr>
            <w:webHidden/>
          </w:rPr>
          <w:t>166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74" w:history="1">
        <w:r w:rsidR="00DF458B" w:rsidRPr="00503D2D">
          <w:rPr>
            <w:rStyle w:val="Hyperlink"/>
            <w:rFonts w:ascii="Arial Negrito" w:hAnsi="Arial Negrito"/>
            <w:bCs/>
          </w:rPr>
          <w:t>3.2.1.3. Metas</w:t>
        </w:r>
        <w:r w:rsidR="00DF458B">
          <w:rPr>
            <w:webHidden/>
          </w:rPr>
          <w:tab/>
        </w:r>
        <w:r w:rsidR="00B80A05">
          <w:rPr>
            <w:webHidden/>
          </w:rPr>
          <w:fldChar w:fldCharType="begin"/>
        </w:r>
        <w:r w:rsidR="00DF458B">
          <w:rPr>
            <w:webHidden/>
          </w:rPr>
          <w:instrText xml:space="preserve"> PAGEREF _Toc419813674 \h </w:instrText>
        </w:r>
        <w:r w:rsidR="00B80A05">
          <w:rPr>
            <w:webHidden/>
          </w:rPr>
        </w:r>
        <w:r w:rsidR="00B80A05">
          <w:rPr>
            <w:webHidden/>
          </w:rPr>
          <w:fldChar w:fldCharType="separate"/>
        </w:r>
        <w:r w:rsidR="00316060">
          <w:rPr>
            <w:webHidden/>
          </w:rPr>
          <w:t>167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75" w:history="1">
        <w:r w:rsidR="00DF458B" w:rsidRPr="00503D2D">
          <w:rPr>
            <w:rStyle w:val="Hyperlink"/>
            <w:rFonts w:ascii="Arial Negrito" w:hAnsi="Arial Negrito"/>
            <w:bCs/>
          </w:rPr>
          <w:t>3.2.1.4. Público Alvo</w:t>
        </w:r>
        <w:r w:rsidR="00DF458B">
          <w:rPr>
            <w:webHidden/>
          </w:rPr>
          <w:tab/>
        </w:r>
        <w:r w:rsidR="00B80A05">
          <w:rPr>
            <w:webHidden/>
          </w:rPr>
          <w:fldChar w:fldCharType="begin"/>
        </w:r>
        <w:r w:rsidR="00DF458B">
          <w:rPr>
            <w:webHidden/>
          </w:rPr>
          <w:instrText xml:space="preserve"> PAGEREF _Toc419813675 \h </w:instrText>
        </w:r>
        <w:r w:rsidR="00B80A05">
          <w:rPr>
            <w:webHidden/>
          </w:rPr>
        </w:r>
        <w:r w:rsidR="00B80A05">
          <w:rPr>
            <w:webHidden/>
          </w:rPr>
          <w:fldChar w:fldCharType="separate"/>
        </w:r>
        <w:r w:rsidR="00316060">
          <w:rPr>
            <w:webHidden/>
          </w:rPr>
          <w:t>167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76" w:history="1">
        <w:r w:rsidR="00DF458B" w:rsidRPr="00503D2D">
          <w:rPr>
            <w:rStyle w:val="Hyperlink"/>
            <w:rFonts w:ascii="Arial Negrito" w:hAnsi="Arial Negrito"/>
            <w:bCs/>
          </w:rPr>
          <w:t>3.2.1.5. Procedimentos</w:t>
        </w:r>
        <w:r w:rsidR="00DF458B">
          <w:rPr>
            <w:webHidden/>
          </w:rPr>
          <w:tab/>
        </w:r>
        <w:r w:rsidR="00B80A05">
          <w:rPr>
            <w:webHidden/>
          </w:rPr>
          <w:fldChar w:fldCharType="begin"/>
        </w:r>
        <w:r w:rsidR="00DF458B">
          <w:rPr>
            <w:webHidden/>
          </w:rPr>
          <w:instrText xml:space="preserve"> PAGEREF _Toc419813676 \h </w:instrText>
        </w:r>
        <w:r w:rsidR="00B80A05">
          <w:rPr>
            <w:webHidden/>
          </w:rPr>
        </w:r>
        <w:r w:rsidR="00B80A05">
          <w:rPr>
            <w:webHidden/>
          </w:rPr>
          <w:fldChar w:fldCharType="separate"/>
        </w:r>
        <w:r w:rsidR="00316060">
          <w:rPr>
            <w:webHidden/>
          </w:rPr>
          <w:t>167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77" w:history="1">
        <w:r w:rsidR="00DF458B" w:rsidRPr="00503D2D">
          <w:rPr>
            <w:rStyle w:val="Hyperlink"/>
            <w:rFonts w:ascii="Arial Negrito" w:hAnsi="Arial Negrito"/>
            <w:bCs/>
          </w:rPr>
          <w:t>3.2.1.6. Indicadores Ambientais</w:t>
        </w:r>
        <w:r w:rsidR="00DF458B">
          <w:rPr>
            <w:webHidden/>
          </w:rPr>
          <w:tab/>
        </w:r>
        <w:r w:rsidR="00B80A05">
          <w:rPr>
            <w:webHidden/>
          </w:rPr>
          <w:fldChar w:fldCharType="begin"/>
        </w:r>
        <w:r w:rsidR="00DF458B">
          <w:rPr>
            <w:webHidden/>
          </w:rPr>
          <w:instrText xml:space="preserve"> PAGEREF _Toc419813677 \h </w:instrText>
        </w:r>
        <w:r w:rsidR="00B80A05">
          <w:rPr>
            <w:webHidden/>
          </w:rPr>
        </w:r>
        <w:r w:rsidR="00B80A05">
          <w:rPr>
            <w:webHidden/>
          </w:rPr>
          <w:fldChar w:fldCharType="separate"/>
        </w:r>
        <w:r w:rsidR="00316060">
          <w:rPr>
            <w:webHidden/>
          </w:rPr>
          <w:t>168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78" w:history="1">
        <w:r w:rsidR="00DF458B" w:rsidRPr="00503D2D">
          <w:rPr>
            <w:rStyle w:val="Hyperlink"/>
            <w:rFonts w:ascii="Arial Negrito" w:hAnsi="Arial Negrito"/>
            <w:bCs/>
          </w:rPr>
          <w:t>3.2.1.7. Recursos Materiais e Humanos</w:t>
        </w:r>
        <w:r w:rsidR="00DF458B">
          <w:rPr>
            <w:webHidden/>
          </w:rPr>
          <w:tab/>
        </w:r>
        <w:r w:rsidR="00B80A05">
          <w:rPr>
            <w:webHidden/>
          </w:rPr>
          <w:fldChar w:fldCharType="begin"/>
        </w:r>
        <w:r w:rsidR="00DF458B">
          <w:rPr>
            <w:webHidden/>
          </w:rPr>
          <w:instrText xml:space="preserve"> PAGEREF _Toc419813678 \h </w:instrText>
        </w:r>
        <w:r w:rsidR="00B80A05">
          <w:rPr>
            <w:webHidden/>
          </w:rPr>
        </w:r>
        <w:r w:rsidR="00B80A05">
          <w:rPr>
            <w:webHidden/>
          </w:rPr>
          <w:fldChar w:fldCharType="separate"/>
        </w:r>
        <w:r w:rsidR="00316060">
          <w:rPr>
            <w:webHidden/>
          </w:rPr>
          <w:t>168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79" w:history="1">
        <w:r w:rsidR="00DF458B" w:rsidRPr="00503D2D">
          <w:rPr>
            <w:rStyle w:val="Hyperlink"/>
            <w:rFonts w:ascii="Arial Negrito" w:hAnsi="Arial Negrito"/>
            <w:bCs/>
          </w:rPr>
          <w:t>3.2.1.8. Atendimento a Requisitos Legais e/ou Outros Requisitos</w:t>
        </w:r>
        <w:r w:rsidR="00DF458B">
          <w:rPr>
            <w:webHidden/>
          </w:rPr>
          <w:tab/>
        </w:r>
        <w:r w:rsidR="00B80A05">
          <w:rPr>
            <w:webHidden/>
          </w:rPr>
          <w:fldChar w:fldCharType="begin"/>
        </w:r>
        <w:r w:rsidR="00DF458B">
          <w:rPr>
            <w:webHidden/>
          </w:rPr>
          <w:instrText xml:space="preserve"> PAGEREF _Toc419813679 \h </w:instrText>
        </w:r>
        <w:r w:rsidR="00B80A05">
          <w:rPr>
            <w:webHidden/>
          </w:rPr>
        </w:r>
        <w:r w:rsidR="00B80A05">
          <w:rPr>
            <w:webHidden/>
          </w:rPr>
          <w:fldChar w:fldCharType="separate"/>
        </w:r>
        <w:r w:rsidR="00316060">
          <w:rPr>
            <w:webHidden/>
          </w:rPr>
          <w:t>168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80" w:history="1">
        <w:r w:rsidR="00DF458B" w:rsidRPr="00503D2D">
          <w:rPr>
            <w:rStyle w:val="Hyperlink"/>
            <w:rFonts w:ascii="Arial Negrito" w:hAnsi="Arial Negrito"/>
            <w:bCs/>
          </w:rPr>
          <w:t>3.2.1.9. Inter-relação com outros Planos e Programas</w:t>
        </w:r>
        <w:r w:rsidR="00DF458B">
          <w:rPr>
            <w:webHidden/>
          </w:rPr>
          <w:tab/>
        </w:r>
        <w:r w:rsidR="00B80A05">
          <w:rPr>
            <w:webHidden/>
          </w:rPr>
          <w:fldChar w:fldCharType="begin"/>
        </w:r>
        <w:r w:rsidR="00DF458B">
          <w:rPr>
            <w:webHidden/>
          </w:rPr>
          <w:instrText xml:space="preserve"> PAGEREF _Toc419813680 \h </w:instrText>
        </w:r>
        <w:r w:rsidR="00B80A05">
          <w:rPr>
            <w:webHidden/>
          </w:rPr>
        </w:r>
        <w:r w:rsidR="00B80A05">
          <w:rPr>
            <w:webHidden/>
          </w:rPr>
          <w:fldChar w:fldCharType="separate"/>
        </w:r>
        <w:r w:rsidR="00316060">
          <w:rPr>
            <w:webHidden/>
          </w:rPr>
          <w:t>168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81" w:history="1">
        <w:r w:rsidR="00DF458B" w:rsidRPr="00503D2D">
          <w:rPr>
            <w:rStyle w:val="Hyperlink"/>
            <w:rFonts w:ascii="Arial Negrito" w:hAnsi="Arial Negrito"/>
            <w:bCs/>
          </w:rPr>
          <w:t>3.2.1.10. Etapa do Empreendimento</w:t>
        </w:r>
        <w:r w:rsidR="00DF458B">
          <w:rPr>
            <w:webHidden/>
          </w:rPr>
          <w:tab/>
        </w:r>
        <w:r w:rsidR="00B80A05">
          <w:rPr>
            <w:webHidden/>
          </w:rPr>
          <w:fldChar w:fldCharType="begin"/>
        </w:r>
        <w:r w:rsidR="00DF458B">
          <w:rPr>
            <w:webHidden/>
          </w:rPr>
          <w:instrText xml:space="preserve"> PAGEREF _Toc419813681 \h </w:instrText>
        </w:r>
        <w:r w:rsidR="00B80A05">
          <w:rPr>
            <w:webHidden/>
          </w:rPr>
        </w:r>
        <w:r w:rsidR="00B80A05">
          <w:rPr>
            <w:webHidden/>
          </w:rPr>
          <w:fldChar w:fldCharType="separate"/>
        </w:r>
        <w:r w:rsidR="00316060">
          <w:rPr>
            <w:webHidden/>
          </w:rPr>
          <w:t>168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82" w:history="1">
        <w:r w:rsidR="00DF458B" w:rsidRPr="00503D2D">
          <w:rPr>
            <w:rStyle w:val="Hyperlink"/>
            <w:rFonts w:ascii="Arial Negrito" w:hAnsi="Arial Negrito"/>
            <w:bCs/>
          </w:rPr>
          <w:t>3.2.1.11. Cronograma de Execução</w:t>
        </w:r>
        <w:r w:rsidR="00DF458B">
          <w:rPr>
            <w:webHidden/>
          </w:rPr>
          <w:tab/>
        </w:r>
        <w:r w:rsidR="00B80A05">
          <w:rPr>
            <w:webHidden/>
          </w:rPr>
          <w:fldChar w:fldCharType="begin"/>
        </w:r>
        <w:r w:rsidR="00DF458B">
          <w:rPr>
            <w:webHidden/>
          </w:rPr>
          <w:instrText xml:space="preserve"> PAGEREF _Toc419813682 \h </w:instrText>
        </w:r>
        <w:r w:rsidR="00B80A05">
          <w:rPr>
            <w:webHidden/>
          </w:rPr>
        </w:r>
        <w:r w:rsidR="00B80A05">
          <w:rPr>
            <w:webHidden/>
          </w:rPr>
          <w:fldChar w:fldCharType="separate"/>
        </w:r>
        <w:r w:rsidR="00316060">
          <w:rPr>
            <w:webHidden/>
          </w:rPr>
          <w:t>168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83" w:history="1">
        <w:r w:rsidR="00DF458B" w:rsidRPr="00503D2D">
          <w:rPr>
            <w:rStyle w:val="Hyperlink"/>
            <w:rFonts w:ascii="Arial Negrito" w:hAnsi="Arial Negrito"/>
            <w:bCs/>
          </w:rPr>
          <w:t>3.2.1.12. Responsável pela Implementação</w:t>
        </w:r>
        <w:r w:rsidR="00DF458B">
          <w:rPr>
            <w:webHidden/>
          </w:rPr>
          <w:tab/>
        </w:r>
        <w:r w:rsidR="00B80A05">
          <w:rPr>
            <w:webHidden/>
          </w:rPr>
          <w:fldChar w:fldCharType="begin"/>
        </w:r>
        <w:r w:rsidR="00DF458B">
          <w:rPr>
            <w:webHidden/>
          </w:rPr>
          <w:instrText xml:space="preserve"> PAGEREF _Toc419813683 \h </w:instrText>
        </w:r>
        <w:r w:rsidR="00B80A05">
          <w:rPr>
            <w:webHidden/>
          </w:rPr>
        </w:r>
        <w:r w:rsidR="00B80A05">
          <w:rPr>
            <w:webHidden/>
          </w:rPr>
          <w:fldChar w:fldCharType="separate"/>
        </w:r>
        <w:r w:rsidR="00316060">
          <w:rPr>
            <w:webHidden/>
          </w:rPr>
          <w:t>169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84" w:history="1">
        <w:r w:rsidR="00DF458B" w:rsidRPr="00503D2D">
          <w:rPr>
            <w:rStyle w:val="Hyperlink"/>
            <w:rFonts w:ascii="Arial Negrito" w:hAnsi="Arial Negrito"/>
            <w:bCs/>
          </w:rPr>
          <w:t>3.2.1.13. Sistema de Registros</w:t>
        </w:r>
        <w:r w:rsidR="00DF458B">
          <w:rPr>
            <w:webHidden/>
          </w:rPr>
          <w:tab/>
        </w:r>
        <w:r w:rsidR="00B80A05">
          <w:rPr>
            <w:webHidden/>
          </w:rPr>
          <w:fldChar w:fldCharType="begin"/>
        </w:r>
        <w:r w:rsidR="00DF458B">
          <w:rPr>
            <w:webHidden/>
          </w:rPr>
          <w:instrText xml:space="preserve"> PAGEREF _Toc419813684 \h </w:instrText>
        </w:r>
        <w:r w:rsidR="00B80A05">
          <w:rPr>
            <w:webHidden/>
          </w:rPr>
        </w:r>
        <w:r w:rsidR="00B80A05">
          <w:rPr>
            <w:webHidden/>
          </w:rPr>
          <w:fldChar w:fldCharType="separate"/>
        </w:r>
        <w:r w:rsidR="00316060">
          <w:rPr>
            <w:webHidden/>
          </w:rPr>
          <w:t>169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85" w:history="1">
        <w:r w:rsidR="00DF458B" w:rsidRPr="00503D2D">
          <w:rPr>
            <w:rStyle w:val="Hyperlink"/>
            <w:rFonts w:ascii="Arial Negrito" w:hAnsi="Arial Negrito"/>
            <w:bCs/>
          </w:rPr>
          <w:t>3.2.1.14. Referências Bibliográficas</w:t>
        </w:r>
        <w:r w:rsidR="00DF458B">
          <w:rPr>
            <w:webHidden/>
          </w:rPr>
          <w:tab/>
        </w:r>
        <w:r w:rsidR="00B80A05">
          <w:rPr>
            <w:webHidden/>
          </w:rPr>
          <w:fldChar w:fldCharType="begin"/>
        </w:r>
        <w:r w:rsidR="00DF458B">
          <w:rPr>
            <w:webHidden/>
          </w:rPr>
          <w:instrText xml:space="preserve"> PAGEREF _Toc419813685 \h </w:instrText>
        </w:r>
        <w:r w:rsidR="00B80A05">
          <w:rPr>
            <w:webHidden/>
          </w:rPr>
        </w:r>
        <w:r w:rsidR="00B80A05">
          <w:rPr>
            <w:webHidden/>
          </w:rPr>
          <w:fldChar w:fldCharType="separate"/>
        </w:r>
        <w:r w:rsidR="00316060">
          <w:rPr>
            <w:webHidden/>
          </w:rPr>
          <w:t>169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86" w:history="1">
        <w:r w:rsidR="00DF458B" w:rsidRPr="00503D2D">
          <w:rPr>
            <w:rStyle w:val="Hyperlink"/>
            <w:rFonts w:ascii="Arial Negrito" w:hAnsi="Arial Negrito"/>
            <w:bCs/>
          </w:rPr>
          <w:t>3.3.2. Programa de Monitoramento Hidrológico</w:t>
        </w:r>
        <w:r w:rsidR="00DF458B">
          <w:rPr>
            <w:webHidden/>
          </w:rPr>
          <w:tab/>
        </w:r>
        <w:r w:rsidR="00B80A05">
          <w:rPr>
            <w:webHidden/>
          </w:rPr>
          <w:fldChar w:fldCharType="begin"/>
        </w:r>
        <w:r w:rsidR="00DF458B">
          <w:rPr>
            <w:webHidden/>
          </w:rPr>
          <w:instrText xml:space="preserve"> PAGEREF _Toc419813686 \h </w:instrText>
        </w:r>
        <w:r w:rsidR="00B80A05">
          <w:rPr>
            <w:webHidden/>
          </w:rPr>
        </w:r>
        <w:r w:rsidR="00B80A05">
          <w:rPr>
            <w:webHidden/>
          </w:rPr>
          <w:fldChar w:fldCharType="separate"/>
        </w:r>
        <w:r w:rsidR="00316060">
          <w:rPr>
            <w:webHidden/>
          </w:rPr>
          <w:t>169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87" w:history="1">
        <w:r w:rsidR="00DF458B" w:rsidRPr="00503D2D">
          <w:rPr>
            <w:rStyle w:val="Hyperlink"/>
            <w:rFonts w:ascii="Arial Negrito" w:hAnsi="Arial Negrito"/>
            <w:bCs/>
          </w:rPr>
          <w:t>3.3.2.1. Apresentação e Justificativa</w:t>
        </w:r>
        <w:r w:rsidR="00DF458B">
          <w:rPr>
            <w:webHidden/>
          </w:rPr>
          <w:tab/>
        </w:r>
        <w:r w:rsidR="00B80A05">
          <w:rPr>
            <w:webHidden/>
          </w:rPr>
          <w:fldChar w:fldCharType="begin"/>
        </w:r>
        <w:r w:rsidR="00DF458B">
          <w:rPr>
            <w:webHidden/>
          </w:rPr>
          <w:instrText xml:space="preserve"> PAGEREF _Toc419813687 \h </w:instrText>
        </w:r>
        <w:r w:rsidR="00B80A05">
          <w:rPr>
            <w:webHidden/>
          </w:rPr>
        </w:r>
        <w:r w:rsidR="00B80A05">
          <w:rPr>
            <w:webHidden/>
          </w:rPr>
          <w:fldChar w:fldCharType="separate"/>
        </w:r>
        <w:r w:rsidR="00316060">
          <w:rPr>
            <w:webHidden/>
          </w:rPr>
          <w:t>169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88" w:history="1">
        <w:r w:rsidR="00DF458B" w:rsidRPr="00503D2D">
          <w:rPr>
            <w:rStyle w:val="Hyperlink"/>
            <w:rFonts w:ascii="Arial Negrito" w:hAnsi="Arial Negrito"/>
            <w:bCs/>
          </w:rPr>
          <w:t>3.3.2.2. Objetivos</w:t>
        </w:r>
        <w:r w:rsidR="00DF458B">
          <w:rPr>
            <w:webHidden/>
          </w:rPr>
          <w:tab/>
        </w:r>
        <w:r w:rsidR="00B80A05">
          <w:rPr>
            <w:webHidden/>
          </w:rPr>
          <w:fldChar w:fldCharType="begin"/>
        </w:r>
        <w:r w:rsidR="00DF458B">
          <w:rPr>
            <w:webHidden/>
          </w:rPr>
          <w:instrText xml:space="preserve"> PAGEREF _Toc419813688 \h </w:instrText>
        </w:r>
        <w:r w:rsidR="00B80A05">
          <w:rPr>
            <w:webHidden/>
          </w:rPr>
        </w:r>
        <w:r w:rsidR="00B80A05">
          <w:rPr>
            <w:webHidden/>
          </w:rPr>
          <w:fldChar w:fldCharType="separate"/>
        </w:r>
        <w:r w:rsidR="00316060">
          <w:rPr>
            <w:webHidden/>
          </w:rPr>
          <w:t>169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89" w:history="1">
        <w:r w:rsidR="00DF458B" w:rsidRPr="00503D2D">
          <w:rPr>
            <w:rStyle w:val="Hyperlink"/>
            <w:rFonts w:ascii="Arial Negrito" w:hAnsi="Arial Negrito"/>
            <w:bCs/>
          </w:rPr>
          <w:t>3.3.2.3. Metas</w:t>
        </w:r>
        <w:r w:rsidR="00DF458B">
          <w:rPr>
            <w:webHidden/>
          </w:rPr>
          <w:tab/>
        </w:r>
        <w:r w:rsidR="00B80A05">
          <w:rPr>
            <w:webHidden/>
          </w:rPr>
          <w:fldChar w:fldCharType="begin"/>
        </w:r>
        <w:r w:rsidR="00DF458B">
          <w:rPr>
            <w:webHidden/>
          </w:rPr>
          <w:instrText xml:space="preserve"> PAGEREF _Toc419813689 \h </w:instrText>
        </w:r>
        <w:r w:rsidR="00B80A05">
          <w:rPr>
            <w:webHidden/>
          </w:rPr>
        </w:r>
        <w:r w:rsidR="00B80A05">
          <w:rPr>
            <w:webHidden/>
          </w:rPr>
          <w:fldChar w:fldCharType="separate"/>
        </w:r>
        <w:r w:rsidR="00316060">
          <w:rPr>
            <w:webHidden/>
          </w:rPr>
          <w:t>169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90" w:history="1">
        <w:r w:rsidR="00DF458B" w:rsidRPr="00503D2D">
          <w:rPr>
            <w:rStyle w:val="Hyperlink"/>
            <w:rFonts w:ascii="Arial Negrito" w:hAnsi="Arial Negrito"/>
            <w:bCs/>
          </w:rPr>
          <w:t>3.3.2.4. Público Alvo</w:t>
        </w:r>
        <w:r w:rsidR="00DF458B">
          <w:rPr>
            <w:webHidden/>
          </w:rPr>
          <w:tab/>
        </w:r>
        <w:r w:rsidR="00B80A05">
          <w:rPr>
            <w:webHidden/>
          </w:rPr>
          <w:fldChar w:fldCharType="begin"/>
        </w:r>
        <w:r w:rsidR="00DF458B">
          <w:rPr>
            <w:webHidden/>
          </w:rPr>
          <w:instrText xml:space="preserve"> PAGEREF _Toc419813690 \h </w:instrText>
        </w:r>
        <w:r w:rsidR="00B80A05">
          <w:rPr>
            <w:webHidden/>
          </w:rPr>
        </w:r>
        <w:r w:rsidR="00B80A05">
          <w:rPr>
            <w:webHidden/>
          </w:rPr>
          <w:fldChar w:fldCharType="separate"/>
        </w:r>
        <w:r w:rsidR="00316060">
          <w:rPr>
            <w:webHidden/>
          </w:rPr>
          <w:t>170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91" w:history="1">
        <w:r w:rsidR="00DF458B" w:rsidRPr="00503D2D">
          <w:rPr>
            <w:rStyle w:val="Hyperlink"/>
            <w:rFonts w:ascii="Arial Negrito" w:hAnsi="Arial Negrito"/>
            <w:bCs/>
          </w:rPr>
          <w:t>3.3.2.5. Procedimentos</w:t>
        </w:r>
        <w:r w:rsidR="00DF458B">
          <w:rPr>
            <w:webHidden/>
          </w:rPr>
          <w:tab/>
        </w:r>
        <w:r w:rsidR="00B80A05">
          <w:rPr>
            <w:webHidden/>
          </w:rPr>
          <w:fldChar w:fldCharType="begin"/>
        </w:r>
        <w:r w:rsidR="00DF458B">
          <w:rPr>
            <w:webHidden/>
          </w:rPr>
          <w:instrText xml:space="preserve"> PAGEREF _Toc419813691 \h </w:instrText>
        </w:r>
        <w:r w:rsidR="00B80A05">
          <w:rPr>
            <w:webHidden/>
          </w:rPr>
        </w:r>
        <w:r w:rsidR="00B80A05">
          <w:rPr>
            <w:webHidden/>
          </w:rPr>
          <w:fldChar w:fldCharType="separate"/>
        </w:r>
        <w:r w:rsidR="00316060">
          <w:rPr>
            <w:webHidden/>
          </w:rPr>
          <w:t>170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92" w:history="1">
        <w:r w:rsidR="00DF458B" w:rsidRPr="00503D2D">
          <w:rPr>
            <w:rStyle w:val="Hyperlink"/>
            <w:rFonts w:ascii="Arial Negrito" w:hAnsi="Arial Negrito"/>
            <w:bCs/>
          </w:rPr>
          <w:t>3.3.2.6. Indicadores Ambientais</w:t>
        </w:r>
        <w:r w:rsidR="00DF458B">
          <w:rPr>
            <w:webHidden/>
          </w:rPr>
          <w:tab/>
        </w:r>
        <w:r w:rsidR="00B80A05">
          <w:rPr>
            <w:webHidden/>
          </w:rPr>
          <w:fldChar w:fldCharType="begin"/>
        </w:r>
        <w:r w:rsidR="00DF458B">
          <w:rPr>
            <w:webHidden/>
          </w:rPr>
          <w:instrText xml:space="preserve"> PAGEREF _Toc419813692 \h </w:instrText>
        </w:r>
        <w:r w:rsidR="00B80A05">
          <w:rPr>
            <w:webHidden/>
          </w:rPr>
        </w:r>
        <w:r w:rsidR="00B80A05">
          <w:rPr>
            <w:webHidden/>
          </w:rPr>
          <w:fldChar w:fldCharType="separate"/>
        </w:r>
        <w:r w:rsidR="00316060">
          <w:rPr>
            <w:webHidden/>
          </w:rPr>
          <w:t>171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93" w:history="1">
        <w:r w:rsidR="00DF458B" w:rsidRPr="00503D2D">
          <w:rPr>
            <w:rStyle w:val="Hyperlink"/>
            <w:rFonts w:ascii="Arial Negrito" w:hAnsi="Arial Negrito"/>
            <w:bCs/>
          </w:rPr>
          <w:t>3.3.2.7. Recursos Materiais e Humanos</w:t>
        </w:r>
        <w:r w:rsidR="00DF458B">
          <w:rPr>
            <w:webHidden/>
          </w:rPr>
          <w:tab/>
        </w:r>
        <w:r w:rsidR="00B80A05">
          <w:rPr>
            <w:webHidden/>
          </w:rPr>
          <w:fldChar w:fldCharType="begin"/>
        </w:r>
        <w:r w:rsidR="00DF458B">
          <w:rPr>
            <w:webHidden/>
          </w:rPr>
          <w:instrText xml:space="preserve"> PAGEREF _Toc419813693 \h </w:instrText>
        </w:r>
        <w:r w:rsidR="00B80A05">
          <w:rPr>
            <w:webHidden/>
          </w:rPr>
        </w:r>
        <w:r w:rsidR="00B80A05">
          <w:rPr>
            <w:webHidden/>
          </w:rPr>
          <w:fldChar w:fldCharType="separate"/>
        </w:r>
        <w:r w:rsidR="00316060">
          <w:rPr>
            <w:webHidden/>
          </w:rPr>
          <w:t>171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94" w:history="1">
        <w:r w:rsidR="00DF458B" w:rsidRPr="00503D2D">
          <w:rPr>
            <w:rStyle w:val="Hyperlink"/>
            <w:rFonts w:ascii="Arial Negrito" w:hAnsi="Arial Negrito"/>
            <w:bCs/>
          </w:rPr>
          <w:t>3.3.2.8. Atendimento a Requisitos Legais e/ou Outros Requisitos</w:t>
        </w:r>
        <w:r w:rsidR="00DF458B">
          <w:rPr>
            <w:webHidden/>
          </w:rPr>
          <w:tab/>
        </w:r>
        <w:r w:rsidR="00B80A05">
          <w:rPr>
            <w:webHidden/>
          </w:rPr>
          <w:fldChar w:fldCharType="begin"/>
        </w:r>
        <w:r w:rsidR="00DF458B">
          <w:rPr>
            <w:webHidden/>
          </w:rPr>
          <w:instrText xml:space="preserve"> PAGEREF _Toc419813694 \h </w:instrText>
        </w:r>
        <w:r w:rsidR="00B80A05">
          <w:rPr>
            <w:webHidden/>
          </w:rPr>
        </w:r>
        <w:r w:rsidR="00B80A05">
          <w:rPr>
            <w:webHidden/>
          </w:rPr>
          <w:fldChar w:fldCharType="separate"/>
        </w:r>
        <w:r w:rsidR="00316060">
          <w:rPr>
            <w:webHidden/>
          </w:rPr>
          <w:t>171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95" w:history="1">
        <w:r w:rsidR="00DF458B" w:rsidRPr="00503D2D">
          <w:rPr>
            <w:rStyle w:val="Hyperlink"/>
            <w:rFonts w:ascii="Arial Negrito" w:hAnsi="Arial Negrito"/>
            <w:bCs/>
          </w:rPr>
          <w:t>3.3.2.9. Inter-Relação com outros Planos e Programas</w:t>
        </w:r>
        <w:r w:rsidR="00DF458B">
          <w:rPr>
            <w:webHidden/>
          </w:rPr>
          <w:tab/>
        </w:r>
        <w:r w:rsidR="00B80A05">
          <w:rPr>
            <w:webHidden/>
          </w:rPr>
          <w:fldChar w:fldCharType="begin"/>
        </w:r>
        <w:r w:rsidR="00DF458B">
          <w:rPr>
            <w:webHidden/>
          </w:rPr>
          <w:instrText xml:space="preserve"> PAGEREF _Toc419813695 \h </w:instrText>
        </w:r>
        <w:r w:rsidR="00B80A05">
          <w:rPr>
            <w:webHidden/>
          </w:rPr>
        </w:r>
        <w:r w:rsidR="00B80A05">
          <w:rPr>
            <w:webHidden/>
          </w:rPr>
          <w:fldChar w:fldCharType="separate"/>
        </w:r>
        <w:r w:rsidR="00316060">
          <w:rPr>
            <w:webHidden/>
          </w:rPr>
          <w:t>172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96" w:history="1">
        <w:r w:rsidR="00DF458B" w:rsidRPr="00503D2D">
          <w:rPr>
            <w:rStyle w:val="Hyperlink"/>
            <w:rFonts w:ascii="Arial Negrito" w:hAnsi="Arial Negrito"/>
            <w:bCs/>
          </w:rPr>
          <w:t>3.3.2.10. Etapa dos Empreendimentos</w:t>
        </w:r>
        <w:r w:rsidR="00DF458B">
          <w:rPr>
            <w:webHidden/>
          </w:rPr>
          <w:tab/>
        </w:r>
        <w:r w:rsidR="00B80A05">
          <w:rPr>
            <w:webHidden/>
          </w:rPr>
          <w:fldChar w:fldCharType="begin"/>
        </w:r>
        <w:r w:rsidR="00DF458B">
          <w:rPr>
            <w:webHidden/>
          </w:rPr>
          <w:instrText xml:space="preserve"> PAGEREF _Toc419813696 \h </w:instrText>
        </w:r>
        <w:r w:rsidR="00B80A05">
          <w:rPr>
            <w:webHidden/>
          </w:rPr>
        </w:r>
        <w:r w:rsidR="00B80A05">
          <w:rPr>
            <w:webHidden/>
          </w:rPr>
          <w:fldChar w:fldCharType="separate"/>
        </w:r>
        <w:r w:rsidR="00316060">
          <w:rPr>
            <w:webHidden/>
          </w:rPr>
          <w:t>172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97" w:history="1">
        <w:r w:rsidR="00DF458B" w:rsidRPr="00503D2D">
          <w:rPr>
            <w:rStyle w:val="Hyperlink"/>
            <w:rFonts w:ascii="Arial Negrito" w:hAnsi="Arial Negrito"/>
            <w:bCs/>
          </w:rPr>
          <w:t>3.3.2.11. Cronograma de Execução</w:t>
        </w:r>
        <w:r w:rsidR="00DF458B">
          <w:rPr>
            <w:webHidden/>
          </w:rPr>
          <w:tab/>
        </w:r>
        <w:r w:rsidR="00B80A05">
          <w:rPr>
            <w:webHidden/>
          </w:rPr>
          <w:fldChar w:fldCharType="begin"/>
        </w:r>
        <w:r w:rsidR="00DF458B">
          <w:rPr>
            <w:webHidden/>
          </w:rPr>
          <w:instrText xml:space="preserve"> PAGEREF _Toc419813697 \h </w:instrText>
        </w:r>
        <w:r w:rsidR="00B80A05">
          <w:rPr>
            <w:webHidden/>
          </w:rPr>
        </w:r>
        <w:r w:rsidR="00B80A05">
          <w:rPr>
            <w:webHidden/>
          </w:rPr>
          <w:fldChar w:fldCharType="separate"/>
        </w:r>
        <w:r w:rsidR="00316060">
          <w:rPr>
            <w:webHidden/>
          </w:rPr>
          <w:t>172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98" w:history="1">
        <w:r w:rsidR="00DF458B" w:rsidRPr="00503D2D">
          <w:rPr>
            <w:rStyle w:val="Hyperlink"/>
            <w:rFonts w:ascii="Arial Negrito" w:hAnsi="Arial Negrito"/>
            <w:bCs/>
          </w:rPr>
          <w:t>3.3.2.12. Responsável pela Implementação do Programa</w:t>
        </w:r>
        <w:r w:rsidR="00DF458B">
          <w:rPr>
            <w:webHidden/>
          </w:rPr>
          <w:tab/>
        </w:r>
        <w:r w:rsidR="00B80A05">
          <w:rPr>
            <w:webHidden/>
          </w:rPr>
          <w:fldChar w:fldCharType="begin"/>
        </w:r>
        <w:r w:rsidR="00DF458B">
          <w:rPr>
            <w:webHidden/>
          </w:rPr>
          <w:instrText xml:space="preserve"> PAGEREF _Toc419813698 \h </w:instrText>
        </w:r>
        <w:r w:rsidR="00B80A05">
          <w:rPr>
            <w:webHidden/>
          </w:rPr>
        </w:r>
        <w:r w:rsidR="00B80A05">
          <w:rPr>
            <w:webHidden/>
          </w:rPr>
          <w:fldChar w:fldCharType="separate"/>
        </w:r>
        <w:r w:rsidR="00316060">
          <w:rPr>
            <w:webHidden/>
          </w:rPr>
          <w:t>172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699" w:history="1">
        <w:r w:rsidR="00DF458B" w:rsidRPr="00503D2D">
          <w:rPr>
            <w:rStyle w:val="Hyperlink"/>
            <w:rFonts w:ascii="Arial Negrito" w:hAnsi="Arial Negrito"/>
            <w:bCs/>
          </w:rPr>
          <w:t>3.3.2.13. Sistemas de Registros</w:t>
        </w:r>
        <w:r w:rsidR="00DF458B">
          <w:rPr>
            <w:webHidden/>
          </w:rPr>
          <w:tab/>
        </w:r>
        <w:r w:rsidR="00B80A05">
          <w:rPr>
            <w:webHidden/>
          </w:rPr>
          <w:fldChar w:fldCharType="begin"/>
        </w:r>
        <w:r w:rsidR="00DF458B">
          <w:rPr>
            <w:webHidden/>
          </w:rPr>
          <w:instrText xml:space="preserve"> PAGEREF _Toc419813699 \h </w:instrText>
        </w:r>
        <w:r w:rsidR="00B80A05">
          <w:rPr>
            <w:webHidden/>
          </w:rPr>
        </w:r>
        <w:r w:rsidR="00B80A05">
          <w:rPr>
            <w:webHidden/>
          </w:rPr>
          <w:fldChar w:fldCharType="separate"/>
        </w:r>
        <w:r w:rsidR="00316060">
          <w:rPr>
            <w:webHidden/>
          </w:rPr>
          <w:t>172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00" w:history="1">
        <w:r w:rsidR="00DF458B" w:rsidRPr="00503D2D">
          <w:rPr>
            <w:rStyle w:val="Hyperlink"/>
            <w:rFonts w:ascii="Arial Negrito" w:hAnsi="Arial Negrito"/>
            <w:bCs/>
          </w:rPr>
          <w:t>3.3.2.14. Referências Bibliográficas</w:t>
        </w:r>
        <w:r w:rsidR="00DF458B">
          <w:rPr>
            <w:webHidden/>
          </w:rPr>
          <w:tab/>
        </w:r>
        <w:r w:rsidR="00B80A05">
          <w:rPr>
            <w:webHidden/>
          </w:rPr>
          <w:fldChar w:fldCharType="begin"/>
        </w:r>
        <w:r w:rsidR="00DF458B">
          <w:rPr>
            <w:webHidden/>
          </w:rPr>
          <w:instrText xml:space="preserve"> PAGEREF _Toc419813700 \h </w:instrText>
        </w:r>
        <w:r w:rsidR="00B80A05">
          <w:rPr>
            <w:webHidden/>
          </w:rPr>
        </w:r>
        <w:r w:rsidR="00B80A05">
          <w:rPr>
            <w:webHidden/>
          </w:rPr>
          <w:fldChar w:fldCharType="separate"/>
        </w:r>
        <w:r w:rsidR="00316060">
          <w:rPr>
            <w:webHidden/>
          </w:rPr>
          <w:t>172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01" w:history="1">
        <w:r w:rsidR="00DF458B" w:rsidRPr="00503D2D">
          <w:rPr>
            <w:rStyle w:val="Hyperlink"/>
            <w:rFonts w:ascii="Arial Negrito" w:hAnsi="Arial Negrito"/>
            <w:bCs/>
          </w:rPr>
          <w:t>3.3.3.</w:t>
        </w:r>
        <w:r w:rsidR="00DF458B">
          <w:rPr>
            <w:rStyle w:val="Hyperlink"/>
            <w:rFonts w:ascii="Arial Negrito" w:hAnsi="Arial Negrito"/>
            <w:bCs/>
          </w:rPr>
          <w:t xml:space="preserve"> </w:t>
        </w:r>
        <w:r w:rsidR="00DF458B" w:rsidRPr="00503D2D">
          <w:rPr>
            <w:rStyle w:val="Hyperlink"/>
            <w:rFonts w:ascii="Arial Negrito" w:hAnsi="Arial Negrito"/>
            <w:bCs/>
          </w:rPr>
          <w:t>Programa de Monitoramento Sedimentológico</w:t>
        </w:r>
        <w:r w:rsidR="00DF458B">
          <w:rPr>
            <w:webHidden/>
          </w:rPr>
          <w:tab/>
        </w:r>
        <w:r w:rsidR="00B80A05">
          <w:rPr>
            <w:webHidden/>
          </w:rPr>
          <w:fldChar w:fldCharType="begin"/>
        </w:r>
        <w:r w:rsidR="00DF458B">
          <w:rPr>
            <w:webHidden/>
          </w:rPr>
          <w:instrText xml:space="preserve"> PAGEREF _Toc419813701 \h </w:instrText>
        </w:r>
        <w:r w:rsidR="00B80A05">
          <w:rPr>
            <w:webHidden/>
          </w:rPr>
        </w:r>
        <w:r w:rsidR="00B80A05">
          <w:rPr>
            <w:webHidden/>
          </w:rPr>
          <w:fldChar w:fldCharType="separate"/>
        </w:r>
        <w:r w:rsidR="00316060">
          <w:rPr>
            <w:webHidden/>
          </w:rPr>
          <w:t>173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02" w:history="1">
        <w:r w:rsidR="00DF458B" w:rsidRPr="00503D2D">
          <w:rPr>
            <w:rStyle w:val="Hyperlink"/>
            <w:rFonts w:ascii="Arial Negrito" w:hAnsi="Arial Negrito"/>
            <w:bCs/>
          </w:rPr>
          <w:t>3.3.3.1.</w:t>
        </w:r>
        <w:r w:rsidR="00DF458B">
          <w:rPr>
            <w:rFonts w:asciiTheme="minorHAnsi" w:eastAsiaTheme="minorEastAsia" w:hAnsiTheme="minorHAnsi" w:cstheme="minorBidi"/>
          </w:rPr>
          <w:tab/>
        </w:r>
        <w:r w:rsidR="00DF458B" w:rsidRPr="00503D2D">
          <w:rPr>
            <w:rStyle w:val="Hyperlink"/>
            <w:rFonts w:ascii="Arial Negrito" w:hAnsi="Arial Negrito"/>
            <w:bCs/>
          </w:rPr>
          <w:t>Apresentação e Justificativa</w:t>
        </w:r>
        <w:r w:rsidR="00DF458B">
          <w:rPr>
            <w:webHidden/>
          </w:rPr>
          <w:tab/>
        </w:r>
        <w:r w:rsidR="00B80A05">
          <w:rPr>
            <w:webHidden/>
          </w:rPr>
          <w:fldChar w:fldCharType="begin"/>
        </w:r>
        <w:r w:rsidR="00DF458B">
          <w:rPr>
            <w:webHidden/>
          </w:rPr>
          <w:instrText xml:space="preserve"> PAGEREF _Toc419813702 \h </w:instrText>
        </w:r>
        <w:r w:rsidR="00B80A05">
          <w:rPr>
            <w:webHidden/>
          </w:rPr>
        </w:r>
        <w:r w:rsidR="00B80A05">
          <w:rPr>
            <w:webHidden/>
          </w:rPr>
          <w:fldChar w:fldCharType="separate"/>
        </w:r>
        <w:r w:rsidR="00316060">
          <w:rPr>
            <w:webHidden/>
          </w:rPr>
          <w:t>173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03" w:history="1">
        <w:r w:rsidR="00DF458B" w:rsidRPr="00503D2D">
          <w:rPr>
            <w:rStyle w:val="Hyperlink"/>
            <w:rFonts w:ascii="Arial Negrito" w:hAnsi="Arial Negrito"/>
            <w:bCs/>
          </w:rPr>
          <w:t>3.3.3.2.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_Toc419813703 \h </w:instrText>
        </w:r>
        <w:r w:rsidR="00B80A05">
          <w:rPr>
            <w:webHidden/>
          </w:rPr>
        </w:r>
        <w:r w:rsidR="00B80A05">
          <w:rPr>
            <w:webHidden/>
          </w:rPr>
          <w:fldChar w:fldCharType="separate"/>
        </w:r>
        <w:r w:rsidR="00316060">
          <w:rPr>
            <w:webHidden/>
          </w:rPr>
          <w:t>173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04" w:history="1">
        <w:r w:rsidR="00DF458B" w:rsidRPr="00503D2D">
          <w:rPr>
            <w:rStyle w:val="Hyperlink"/>
            <w:rFonts w:ascii="Arial Negrito" w:hAnsi="Arial Negrito"/>
            <w:bCs/>
          </w:rPr>
          <w:t>3.3.3.3. Metas</w:t>
        </w:r>
        <w:r w:rsidR="00DF458B">
          <w:rPr>
            <w:webHidden/>
          </w:rPr>
          <w:tab/>
        </w:r>
        <w:r w:rsidR="00B80A05">
          <w:rPr>
            <w:webHidden/>
          </w:rPr>
          <w:fldChar w:fldCharType="begin"/>
        </w:r>
        <w:r w:rsidR="00DF458B">
          <w:rPr>
            <w:webHidden/>
          </w:rPr>
          <w:instrText xml:space="preserve"> PAGEREF _Toc419813704 \h </w:instrText>
        </w:r>
        <w:r w:rsidR="00B80A05">
          <w:rPr>
            <w:webHidden/>
          </w:rPr>
        </w:r>
        <w:r w:rsidR="00B80A05">
          <w:rPr>
            <w:webHidden/>
          </w:rPr>
          <w:fldChar w:fldCharType="separate"/>
        </w:r>
        <w:r w:rsidR="00316060">
          <w:rPr>
            <w:webHidden/>
          </w:rPr>
          <w:t>173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05" w:history="1">
        <w:r w:rsidR="00DF458B" w:rsidRPr="00503D2D">
          <w:rPr>
            <w:rStyle w:val="Hyperlink"/>
            <w:rFonts w:ascii="Arial Negrito" w:hAnsi="Arial Negrito"/>
            <w:bCs/>
          </w:rPr>
          <w:t>3.3.3.4. Público Alvo</w:t>
        </w:r>
        <w:r w:rsidR="00DF458B">
          <w:rPr>
            <w:webHidden/>
          </w:rPr>
          <w:tab/>
        </w:r>
        <w:r w:rsidR="00B80A05">
          <w:rPr>
            <w:webHidden/>
          </w:rPr>
          <w:fldChar w:fldCharType="begin"/>
        </w:r>
        <w:r w:rsidR="00DF458B">
          <w:rPr>
            <w:webHidden/>
          </w:rPr>
          <w:instrText xml:space="preserve"> PAGEREF _Toc419813705 \h </w:instrText>
        </w:r>
        <w:r w:rsidR="00B80A05">
          <w:rPr>
            <w:webHidden/>
          </w:rPr>
        </w:r>
        <w:r w:rsidR="00B80A05">
          <w:rPr>
            <w:webHidden/>
          </w:rPr>
          <w:fldChar w:fldCharType="separate"/>
        </w:r>
        <w:r w:rsidR="00316060">
          <w:rPr>
            <w:webHidden/>
          </w:rPr>
          <w:t>173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06" w:history="1">
        <w:r w:rsidR="00DF458B" w:rsidRPr="00503D2D">
          <w:rPr>
            <w:rStyle w:val="Hyperlink"/>
            <w:rFonts w:ascii="Arial Negrito" w:hAnsi="Arial Negrito"/>
            <w:bCs/>
          </w:rPr>
          <w:t>3.3.3.5. Procedimentos</w:t>
        </w:r>
        <w:r w:rsidR="00DF458B">
          <w:rPr>
            <w:webHidden/>
          </w:rPr>
          <w:tab/>
        </w:r>
        <w:r w:rsidR="00B80A05">
          <w:rPr>
            <w:webHidden/>
          </w:rPr>
          <w:fldChar w:fldCharType="begin"/>
        </w:r>
        <w:r w:rsidR="00DF458B">
          <w:rPr>
            <w:webHidden/>
          </w:rPr>
          <w:instrText xml:space="preserve"> PAGEREF _Toc419813706 \h </w:instrText>
        </w:r>
        <w:r w:rsidR="00B80A05">
          <w:rPr>
            <w:webHidden/>
          </w:rPr>
        </w:r>
        <w:r w:rsidR="00B80A05">
          <w:rPr>
            <w:webHidden/>
          </w:rPr>
          <w:fldChar w:fldCharType="separate"/>
        </w:r>
        <w:r w:rsidR="00316060">
          <w:rPr>
            <w:webHidden/>
          </w:rPr>
          <w:t>173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07" w:history="1">
        <w:r w:rsidR="00DF458B" w:rsidRPr="00503D2D">
          <w:rPr>
            <w:rStyle w:val="Hyperlink"/>
            <w:rFonts w:ascii="Arial Negrito" w:hAnsi="Arial Negrito"/>
            <w:bCs/>
          </w:rPr>
          <w:t>3.3.3.6. Indicadores Ambientais</w:t>
        </w:r>
        <w:r w:rsidR="00DF458B">
          <w:rPr>
            <w:webHidden/>
          </w:rPr>
          <w:tab/>
        </w:r>
        <w:r w:rsidR="00B80A05">
          <w:rPr>
            <w:webHidden/>
          </w:rPr>
          <w:fldChar w:fldCharType="begin"/>
        </w:r>
        <w:r w:rsidR="00DF458B">
          <w:rPr>
            <w:webHidden/>
          </w:rPr>
          <w:instrText xml:space="preserve"> PAGEREF _Toc419813707 \h </w:instrText>
        </w:r>
        <w:r w:rsidR="00B80A05">
          <w:rPr>
            <w:webHidden/>
          </w:rPr>
        </w:r>
        <w:r w:rsidR="00B80A05">
          <w:rPr>
            <w:webHidden/>
          </w:rPr>
          <w:fldChar w:fldCharType="separate"/>
        </w:r>
        <w:r w:rsidR="00316060">
          <w:rPr>
            <w:webHidden/>
          </w:rPr>
          <w:t>174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08" w:history="1">
        <w:r w:rsidR="00DF458B" w:rsidRPr="00503D2D">
          <w:rPr>
            <w:rStyle w:val="Hyperlink"/>
            <w:rFonts w:ascii="Arial Negrito" w:hAnsi="Arial Negrito"/>
            <w:bCs/>
          </w:rPr>
          <w:t>3.3.3.7. Recursos Materiais e Humanos</w:t>
        </w:r>
        <w:r w:rsidR="00DF458B">
          <w:rPr>
            <w:webHidden/>
          </w:rPr>
          <w:tab/>
        </w:r>
        <w:r w:rsidR="00B80A05">
          <w:rPr>
            <w:webHidden/>
          </w:rPr>
          <w:fldChar w:fldCharType="begin"/>
        </w:r>
        <w:r w:rsidR="00DF458B">
          <w:rPr>
            <w:webHidden/>
          </w:rPr>
          <w:instrText xml:space="preserve"> PAGEREF _Toc419813708 \h </w:instrText>
        </w:r>
        <w:r w:rsidR="00B80A05">
          <w:rPr>
            <w:webHidden/>
          </w:rPr>
        </w:r>
        <w:r w:rsidR="00B80A05">
          <w:rPr>
            <w:webHidden/>
          </w:rPr>
          <w:fldChar w:fldCharType="separate"/>
        </w:r>
        <w:r w:rsidR="00316060">
          <w:rPr>
            <w:webHidden/>
          </w:rPr>
          <w:t>174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09" w:history="1">
        <w:r w:rsidR="00DF458B" w:rsidRPr="00503D2D">
          <w:rPr>
            <w:rStyle w:val="Hyperlink"/>
            <w:rFonts w:ascii="Arial Negrito" w:hAnsi="Arial Negrito"/>
            <w:bCs/>
          </w:rPr>
          <w:t>3.3.3.8. Atendimento a Requisitos Legais e/ou outros Requisitos</w:t>
        </w:r>
        <w:r w:rsidR="00DF458B">
          <w:rPr>
            <w:webHidden/>
          </w:rPr>
          <w:tab/>
        </w:r>
        <w:r w:rsidR="00B80A05">
          <w:rPr>
            <w:webHidden/>
          </w:rPr>
          <w:fldChar w:fldCharType="begin"/>
        </w:r>
        <w:r w:rsidR="00DF458B">
          <w:rPr>
            <w:webHidden/>
          </w:rPr>
          <w:instrText xml:space="preserve"> PAGEREF _Toc419813709 \h </w:instrText>
        </w:r>
        <w:r w:rsidR="00B80A05">
          <w:rPr>
            <w:webHidden/>
          </w:rPr>
        </w:r>
        <w:r w:rsidR="00B80A05">
          <w:rPr>
            <w:webHidden/>
          </w:rPr>
          <w:fldChar w:fldCharType="separate"/>
        </w:r>
        <w:r w:rsidR="00316060">
          <w:rPr>
            <w:webHidden/>
          </w:rPr>
          <w:t>174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10" w:history="1">
        <w:r w:rsidR="00DF458B" w:rsidRPr="00503D2D">
          <w:rPr>
            <w:rStyle w:val="Hyperlink"/>
            <w:rFonts w:ascii="Arial Negrito" w:hAnsi="Arial Negrito"/>
            <w:bCs/>
          </w:rPr>
          <w:t>3.3.3.9. Inter-Relação com outros Programas</w:t>
        </w:r>
        <w:r w:rsidR="00DF458B">
          <w:rPr>
            <w:webHidden/>
          </w:rPr>
          <w:tab/>
        </w:r>
        <w:r w:rsidR="00B80A05">
          <w:rPr>
            <w:webHidden/>
          </w:rPr>
          <w:fldChar w:fldCharType="begin"/>
        </w:r>
        <w:r w:rsidR="00DF458B">
          <w:rPr>
            <w:webHidden/>
          </w:rPr>
          <w:instrText xml:space="preserve"> PAGEREF _Toc419813710 \h </w:instrText>
        </w:r>
        <w:r w:rsidR="00B80A05">
          <w:rPr>
            <w:webHidden/>
          </w:rPr>
        </w:r>
        <w:r w:rsidR="00B80A05">
          <w:rPr>
            <w:webHidden/>
          </w:rPr>
          <w:fldChar w:fldCharType="separate"/>
        </w:r>
        <w:r w:rsidR="00316060">
          <w:rPr>
            <w:webHidden/>
          </w:rPr>
          <w:t>175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11" w:history="1">
        <w:r w:rsidR="00DF458B" w:rsidRPr="00503D2D">
          <w:rPr>
            <w:rStyle w:val="Hyperlink"/>
            <w:rFonts w:ascii="Arial Negrito" w:hAnsi="Arial Negrito"/>
            <w:bCs/>
          </w:rPr>
          <w:t>3.3.3.10. Etapa dos Empreendimentos</w:t>
        </w:r>
        <w:r w:rsidR="00DF458B">
          <w:rPr>
            <w:webHidden/>
          </w:rPr>
          <w:tab/>
        </w:r>
        <w:r w:rsidR="00B80A05">
          <w:rPr>
            <w:webHidden/>
          </w:rPr>
          <w:fldChar w:fldCharType="begin"/>
        </w:r>
        <w:r w:rsidR="00DF458B">
          <w:rPr>
            <w:webHidden/>
          </w:rPr>
          <w:instrText xml:space="preserve"> PAGEREF _Toc419813711 \h </w:instrText>
        </w:r>
        <w:r w:rsidR="00B80A05">
          <w:rPr>
            <w:webHidden/>
          </w:rPr>
        </w:r>
        <w:r w:rsidR="00B80A05">
          <w:rPr>
            <w:webHidden/>
          </w:rPr>
          <w:fldChar w:fldCharType="separate"/>
        </w:r>
        <w:r w:rsidR="00316060">
          <w:rPr>
            <w:webHidden/>
          </w:rPr>
          <w:t>175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12" w:history="1">
        <w:r w:rsidR="00DF458B" w:rsidRPr="00503D2D">
          <w:rPr>
            <w:rStyle w:val="Hyperlink"/>
            <w:rFonts w:ascii="Arial Negrito" w:hAnsi="Arial Negrito"/>
            <w:bCs/>
          </w:rPr>
          <w:t>3.3.3.11. Cronograma de Execução</w:t>
        </w:r>
        <w:r w:rsidR="00DF458B">
          <w:rPr>
            <w:webHidden/>
          </w:rPr>
          <w:tab/>
        </w:r>
        <w:r w:rsidR="00B80A05">
          <w:rPr>
            <w:webHidden/>
          </w:rPr>
          <w:fldChar w:fldCharType="begin"/>
        </w:r>
        <w:r w:rsidR="00DF458B">
          <w:rPr>
            <w:webHidden/>
          </w:rPr>
          <w:instrText xml:space="preserve"> PAGEREF _Toc419813712 \h </w:instrText>
        </w:r>
        <w:r w:rsidR="00B80A05">
          <w:rPr>
            <w:webHidden/>
          </w:rPr>
        </w:r>
        <w:r w:rsidR="00B80A05">
          <w:rPr>
            <w:webHidden/>
          </w:rPr>
          <w:fldChar w:fldCharType="separate"/>
        </w:r>
        <w:r w:rsidR="00316060">
          <w:rPr>
            <w:webHidden/>
          </w:rPr>
          <w:t>175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13" w:history="1">
        <w:r w:rsidR="00DF458B" w:rsidRPr="00503D2D">
          <w:rPr>
            <w:rStyle w:val="Hyperlink"/>
            <w:rFonts w:ascii="Arial Negrito" w:hAnsi="Arial Negrito"/>
            <w:bCs/>
          </w:rPr>
          <w:t>3.3.3.12. Responsável pela Implementação do Programa</w:t>
        </w:r>
        <w:r w:rsidR="00DF458B">
          <w:rPr>
            <w:webHidden/>
          </w:rPr>
          <w:tab/>
        </w:r>
        <w:r w:rsidR="00B80A05">
          <w:rPr>
            <w:webHidden/>
          </w:rPr>
          <w:fldChar w:fldCharType="begin"/>
        </w:r>
        <w:r w:rsidR="00DF458B">
          <w:rPr>
            <w:webHidden/>
          </w:rPr>
          <w:instrText xml:space="preserve"> PAGEREF _Toc419813713 \h </w:instrText>
        </w:r>
        <w:r w:rsidR="00B80A05">
          <w:rPr>
            <w:webHidden/>
          </w:rPr>
        </w:r>
        <w:r w:rsidR="00B80A05">
          <w:rPr>
            <w:webHidden/>
          </w:rPr>
          <w:fldChar w:fldCharType="separate"/>
        </w:r>
        <w:r w:rsidR="00316060">
          <w:rPr>
            <w:webHidden/>
          </w:rPr>
          <w:t>175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14" w:history="1">
        <w:r w:rsidR="00DF458B" w:rsidRPr="00503D2D">
          <w:rPr>
            <w:rStyle w:val="Hyperlink"/>
            <w:rFonts w:ascii="Arial Negrito" w:hAnsi="Arial Negrito"/>
            <w:bCs/>
          </w:rPr>
          <w:t>3.3.3.13. Sistemas de Registros</w:t>
        </w:r>
        <w:r w:rsidR="00DF458B">
          <w:rPr>
            <w:webHidden/>
          </w:rPr>
          <w:tab/>
        </w:r>
        <w:r w:rsidR="00B80A05">
          <w:rPr>
            <w:webHidden/>
          </w:rPr>
          <w:fldChar w:fldCharType="begin"/>
        </w:r>
        <w:r w:rsidR="00DF458B">
          <w:rPr>
            <w:webHidden/>
          </w:rPr>
          <w:instrText xml:space="preserve"> PAGEREF _Toc419813714 \h </w:instrText>
        </w:r>
        <w:r w:rsidR="00B80A05">
          <w:rPr>
            <w:webHidden/>
          </w:rPr>
        </w:r>
        <w:r w:rsidR="00B80A05">
          <w:rPr>
            <w:webHidden/>
          </w:rPr>
          <w:fldChar w:fldCharType="separate"/>
        </w:r>
        <w:r w:rsidR="00316060">
          <w:rPr>
            <w:webHidden/>
          </w:rPr>
          <w:t>175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15" w:history="1">
        <w:r w:rsidR="00DF458B" w:rsidRPr="00503D2D">
          <w:rPr>
            <w:rStyle w:val="Hyperlink"/>
            <w:rFonts w:ascii="Arial Negrito" w:hAnsi="Arial Negrito"/>
            <w:bCs/>
          </w:rPr>
          <w:t>3.3.3.14. Referências Bibliográficas</w:t>
        </w:r>
        <w:r w:rsidR="00DF458B">
          <w:rPr>
            <w:webHidden/>
          </w:rPr>
          <w:tab/>
        </w:r>
        <w:r w:rsidR="00B80A05">
          <w:rPr>
            <w:webHidden/>
          </w:rPr>
          <w:fldChar w:fldCharType="begin"/>
        </w:r>
        <w:r w:rsidR="00DF458B">
          <w:rPr>
            <w:webHidden/>
          </w:rPr>
          <w:instrText xml:space="preserve"> PAGEREF _Toc419813715 \h </w:instrText>
        </w:r>
        <w:r w:rsidR="00B80A05">
          <w:rPr>
            <w:webHidden/>
          </w:rPr>
        </w:r>
        <w:r w:rsidR="00B80A05">
          <w:rPr>
            <w:webHidden/>
          </w:rPr>
          <w:fldChar w:fldCharType="separate"/>
        </w:r>
        <w:r w:rsidR="00316060">
          <w:rPr>
            <w:webHidden/>
          </w:rPr>
          <w:t>176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16" w:history="1">
        <w:r w:rsidR="00DF458B" w:rsidRPr="00503D2D">
          <w:rPr>
            <w:rStyle w:val="Hyperlink"/>
            <w:rFonts w:ascii="Arial Negrito" w:hAnsi="Arial Negrito"/>
            <w:bCs/>
          </w:rPr>
          <w:t>3.3.4.</w:t>
        </w:r>
        <w:r w:rsidR="00DF458B">
          <w:rPr>
            <w:rStyle w:val="Hyperlink"/>
            <w:rFonts w:ascii="Arial Negrito" w:hAnsi="Arial Negrito"/>
            <w:bCs/>
          </w:rPr>
          <w:t xml:space="preserve"> </w:t>
        </w:r>
        <w:r w:rsidR="00DF458B" w:rsidRPr="00503D2D">
          <w:rPr>
            <w:rStyle w:val="Hyperlink"/>
            <w:rFonts w:ascii="Arial Negrito" w:hAnsi="Arial Negrito"/>
            <w:bCs/>
          </w:rPr>
          <w:t>Programa de Recuperação de Áreas Degradadas</w:t>
        </w:r>
        <w:r w:rsidR="00DF458B">
          <w:rPr>
            <w:webHidden/>
          </w:rPr>
          <w:tab/>
        </w:r>
        <w:r w:rsidR="00B80A05">
          <w:rPr>
            <w:webHidden/>
          </w:rPr>
          <w:fldChar w:fldCharType="begin"/>
        </w:r>
        <w:r w:rsidR="00DF458B">
          <w:rPr>
            <w:webHidden/>
          </w:rPr>
          <w:instrText xml:space="preserve"> PAGEREF _Toc419813716 \h </w:instrText>
        </w:r>
        <w:r w:rsidR="00B80A05">
          <w:rPr>
            <w:webHidden/>
          </w:rPr>
        </w:r>
        <w:r w:rsidR="00B80A05">
          <w:rPr>
            <w:webHidden/>
          </w:rPr>
          <w:fldChar w:fldCharType="separate"/>
        </w:r>
        <w:r w:rsidR="00316060">
          <w:rPr>
            <w:webHidden/>
          </w:rPr>
          <w:t>176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17" w:history="1">
        <w:r w:rsidR="00DF458B" w:rsidRPr="00503D2D">
          <w:rPr>
            <w:rStyle w:val="Hyperlink"/>
            <w:rFonts w:ascii="Arial Negrito" w:eastAsia="Batang" w:hAnsi="Arial Negrito"/>
            <w:bCs/>
            <w:lang w:eastAsia="en-US"/>
          </w:rPr>
          <w:t>3.3.4.1.</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Apresentação e Justificativa</w:t>
        </w:r>
        <w:r w:rsidR="00DF458B">
          <w:rPr>
            <w:webHidden/>
          </w:rPr>
          <w:tab/>
        </w:r>
        <w:r w:rsidR="00B80A05">
          <w:rPr>
            <w:webHidden/>
          </w:rPr>
          <w:fldChar w:fldCharType="begin"/>
        </w:r>
        <w:r w:rsidR="00DF458B">
          <w:rPr>
            <w:webHidden/>
          </w:rPr>
          <w:instrText xml:space="preserve"> PAGEREF _Toc419813717 \h </w:instrText>
        </w:r>
        <w:r w:rsidR="00B80A05">
          <w:rPr>
            <w:webHidden/>
          </w:rPr>
        </w:r>
        <w:r w:rsidR="00B80A05">
          <w:rPr>
            <w:webHidden/>
          </w:rPr>
          <w:fldChar w:fldCharType="separate"/>
        </w:r>
        <w:r w:rsidR="00316060">
          <w:rPr>
            <w:webHidden/>
          </w:rPr>
          <w:t>176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18" w:history="1">
        <w:r w:rsidR="00DF458B" w:rsidRPr="00503D2D">
          <w:rPr>
            <w:rStyle w:val="Hyperlink"/>
            <w:rFonts w:ascii="Arial Negrito" w:eastAsia="Batang" w:hAnsi="Arial Negrito"/>
            <w:bCs/>
            <w:lang w:eastAsia="en-US"/>
          </w:rPr>
          <w:t>3.3.4.2.</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Objetivos</w:t>
        </w:r>
        <w:r w:rsidR="00DF458B">
          <w:rPr>
            <w:webHidden/>
          </w:rPr>
          <w:tab/>
        </w:r>
        <w:r w:rsidR="00B80A05">
          <w:rPr>
            <w:webHidden/>
          </w:rPr>
          <w:fldChar w:fldCharType="begin"/>
        </w:r>
        <w:r w:rsidR="00DF458B">
          <w:rPr>
            <w:webHidden/>
          </w:rPr>
          <w:instrText xml:space="preserve"> PAGEREF _Toc419813718 \h </w:instrText>
        </w:r>
        <w:r w:rsidR="00B80A05">
          <w:rPr>
            <w:webHidden/>
          </w:rPr>
        </w:r>
        <w:r w:rsidR="00B80A05">
          <w:rPr>
            <w:webHidden/>
          </w:rPr>
          <w:fldChar w:fldCharType="separate"/>
        </w:r>
        <w:r w:rsidR="00316060">
          <w:rPr>
            <w:webHidden/>
          </w:rPr>
          <w:t>177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19" w:history="1">
        <w:r w:rsidR="00DF458B" w:rsidRPr="00503D2D">
          <w:rPr>
            <w:rStyle w:val="Hyperlink"/>
            <w:rFonts w:ascii="Arial Negrito" w:eastAsia="Batang" w:hAnsi="Arial Negrito"/>
            <w:bCs/>
            <w:lang w:eastAsia="en-US"/>
          </w:rPr>
          <w:t>3.3.4.3.</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Metas</w:t>
        </w:r>
        <w:r w:rsidR="00DF458B">
          <w:rPr>
            <w:webHidden/>
          </w:rPr>
          <w:tab/>
        </w:r>
        <w:r w:rsidR="00B80A05">
          <w:rPr>
            <w:webHidden/>
          </w:rPr>
          <w:fldChar w:fldCharType="begin"/>
        </w:r>
        <w:r w:rsidR="00DF458B">
          <w:rPr>
            <w:webHidden/>
          </w:rPr>
          <w:instrText xml:space="preserve"> PAGEREF _Toc419813719 \h </w:instrText>
        </w:r>
        <w:r w:rsidR="00B80A05">
          <w:rPr>
            <w:webHidden/>
          </w:rPr>
        </w:r>
        <w:r w:rsidR="00B80A05">
          <w:rPr>
            <w:webHidden/>
          </w:rPr>
          <w:fldChar w:fldCharType="separate"/>
        </w:r>
        <w:r w:rsidR="00316060">
          <w:rPr>
            <w:webHidden/>
          </w:rPr>
          <w:t>177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20" w:history="1">
        <w:r w:rsidR="00DF458B" w:rsidRPr="00503D2D">
          <w:rPr>
            <w:rStyle w:val="Hyperlink"/>
            <w:rFonts w:ascii="Arial Negrito" w:eastAsia="Batang" w:hAnsi="Arial Negrito"/>
            <w:lang w:eastAsia="en-US"/>
          </w:rPr>
          <w:t>3.3.4.4. Público-Alvo</w:t>
        </w:r>
        <w:r w:rsidR="00DF458B">
          <w:rPr>
            <w:webHidden/>
          </w:rPr>
          <w:tab/>
        </w:r>
        <w:r w:rsidR="00B80A05">
          <w:rPr>
            <w:webHidden/>
          </w:rPr>
          <w:fldChar w:fldCharType="begin"/>
        </w:r>
        <w:r w:rsidR="00DF458B">
          <w:rPr>
            <w:webHidden/>
          </w:rPr>
          <w:instrText xml:space="preserve"> PAGEREF _Toc419813720 \h </w:instrText>
        </w:r>
        <w:r w:rsidR="00B80A05">
          <w:rPr>
            <w:webHidden/>
          </w:rPr>
        </w:r>
        <w:r w:rsidR="00B80A05">
          <w:rPr>
            <w:webHidden/>
          </w:rPr>
          <w:fldChar w:fldCharType="separate"/>
        </w:r>
        <w:r w:rsidR="00316060">
          <w:rPr>
            <w:webHidden/>
          </w:rPr>
          <w:t>177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21" w:history="1">
        <w:r w:rsidR="00DF458B" w:rsidRPr="00503D2D">
          <w:rPr>
            <w:rStyle w:val="Hyperlink"/>
            <w:rFonts w:ascii="Arial Negrito" w:eastAsia="Batang" w:hAnsi="Arial Negrito"/>
            <w:bCs/>
            <w:lang w:eastAsia="en-US"/>
          </w:rPr>
          <w:t>3.3.4.5. Métodos e Descrição do Programa</w:t>
        </w:r>
        <w:r w:rsidR="00DF458B">
          <w:rPr>
            <w:webHidden/>
          </w:rPr>
          <w:tab/>
        </w:r>
        <w:r w:rsidR="00B80A05">
          <w:rPr>
            <w:webHidden/>
          </w:rPr>
          <w:fldChar w:fldCharType="begin"/>
        </w:r>
        <w:r w:rsidR="00DF458B">
          <w:rPr>
            <w:webHidden/>
          </w:rPr>
          <w:instrText xml:space="preserve"> PAGEREF _Toc419813721 \h </w:instrText>
        </w:r>
        <w:r w:rsidR="00B80A05">
          <w:rPr>
            <w:webHidden/>
          </w:rPr>
        </w:r>
        <w:r w:rsidR="00B80A05">
          <w:rPr>
            <w:webHidden/>
          </w:rPr>
          <w:fldChar w:fldCharType="separate"/>
        </w:r>
        <w:r w:rsidR="00316060">
          <w:rPr>
            <w:webHidden/>
          </w:rPr>
          <w:t>177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22" w:history="1">
        <w:r w:rsidR="00DF458B" w:rsidRPr="00503D2D">
          <w:rPr>
            <w:rStyle w:val="Hyperlink"/>
            <w:rFonts w:ascii="Arial Negrito" w:eastAsia="Batang" w:hAnsi="Arial Negrito"/>
            <w:bCs/>
            <w:lang w:eastAsia="en-US"/>
          </w:rPr>
          <w:t>3.3.4.6. Indicadores Ambientais</w:t>
        </w:r>
        <w:r w:rsidR="00DF458B">
          <w:rPr>
            <w:webHidden/>
          </w:rPr>
          <w:tab/>
        </w:r>
        <w:r w:rsidR="00B80A05">
          <w:rPr>
            <w:webHidden/>
          </w:rPr>
          <w:fldChar w:fldCharType="begin"/>
        </w:r>
        <w:r w:rsidR="00DF458B">
          <w:rPr>
            <w:webHidden/>
          </w:rPr>
          <w:instrText xml:space="preserve"> PAGEREF _Toc419813722 \h </w:instrText>
        </w:r>
        <w:r w:rsidR="00B80A05">
          <w:rPr>
            <w:webHidden/>
          </w:rPr>
        </w:r>
        <w:r w:rsidR="00B80A05">
          <w:rPr>
            <w:webHidden/>
          </w:rPr>
          <w:fldChar w:fldCharType="separate"/>
        </w:r>
        <w:r w:rsidR="00316060">
          <w:rPr>
            <w:webHidden/>
          </w:rPr>
          <w:t>177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23" w:history="1">
        <w:r w:rsidR="00DF458B" w:rsidRPr="00503D2D">
          <w:rPr>
            <w:rStyle w:val="Hyperlink"/>
            <w:rFonts w:ascii="Arial Negrito" w:eastAsia="Batang" w:hAnsi="Arial Negrito"/>
            <w:bCs/>
            <w:lang w:eastAsia="en-US"/>
          </w:rPr>
          <w:t>3.3.4.7. Recursos Materiais e Humanos</w:t>
        </w:r>
        <w:r w:rsidR="00DF458B">
          <w:rPr>
            <w:webHidden/>
          </w:rPr>
          <w:tab/>
        </w:r>
        <w:r w:rsidR="00B80A05">
          <w:rPr>
            <w:webHidden/>
          </w:rPr>
          <w:fldChar w:fldCharType="begin"/>
        </w:r>
        <w:r w:rsidR="00DF458B">
          <w:rPr>
            <w:webHidden/>
          </w:rPr>
          <w:instrText xml:space="preserve"> PAGEREF _Toc419813723 \h </w:instrText>
        </w:r>
        <w:r w:rsidR="00B80A05">
          <w:rPr>
            <w:webHidden/>
          </w:rPr>
        </w:r>
        <w:r w:rsidR="00B80A05">
          <w:rPr>
            <w:webHidden/>
          </w:rPr>
          <w:fldChar w:fldCharType="separate"/>
        </w:r>
        <w:r w:rsidR="00316060">
          <w:rPr>
            <w:webHidden/>
          </w:rPr>
          <w:t>178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24" w:history="1">
        <w:r w:rsidR="00DF458B" w:rsidRPr="00503D2D">
          <w:rPr>
            <w:rStyle w:val="Hyperlink"/>
            <w:rFonts w:ascii="Arial Negrito" w:eastAsia="Batang" w:hAnsi="Arial Negrito"/>
            <w:bCs/>
            <w:lang w:eastAsia="en-US"/>
          </w:rPr>
          <w:t>3.3.4.8. Atendimento a Requisitos Legais e/ou Outros Requisitos</w:t>
        </w:r>
        <w:r w:rsidR="00DF458B">
          <w:rPr>
            <w:webHidden/>
          </w:rPr>
          <w:tab/>
        </w:r>
        <w:r w:rsidR="00B80A05">
          <w:rPr>
            <w:webHidden/>
          </w:rPr>
          <w:fldChar w:fldCharType="begin"/>
        </w:r>
        <w:r w:rsidR="00DF458B">
          <w:rPr>
            <w:webHidden/>
          </w:rPr>
          <w:instrText xml:space="preserve"> PAGEREF _Toc419813724 \h </w:instrText>
        </w:r>
        <w:r w:rsidR="00B80A05">
          <w:rPr>
            <w:webHidden/>
          </w:rPr>
        </w:r>
        <w:r w:rsidR="00B80A05">
          <w:rPr>
            <w:webHidden/>
          </w:rPr>
          <w:fldChar w:fldCharType="separate"/>
        </w:r>
        <w:r w:rsidR="00316060">
          <w:rPr>
            <w:webHidden/>
          </w:rPr>
          <w:t>178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25" w:history="1">
        <w:r w:rsidR="00DF458B" w:rsidRPr="00503D2D">
          <w:rPr>
            <w:rStyle w:val="Hyperlink"/>
            <w:rFonts w:ascii="Arial Negrito" w:eastAsia="Batang" w:hAnsi="Arial Negrito"/>
            <w:bCs/>
            <w:lang w:eastAsia="en-US"/>
          </w:rPr>
          <w:t>3.3.4.9. Inter-relação com outros Planos e Programas</w:t>
        </w:r>
        <w:r w:rsidR="00DF458B">
          <w:rPr>
            <w:webHidden/>
          </w:rPr>
          <w:tab/>
        </w:r>
        <w:r w:rsidR="00B80A05">
          <w:rPr>
            <w:webHidden/>
          </w:rPr>
          <w:fldChar w:fldCharType="begin"/>
        </w:r>
        <w:r w:rsidR="00DF458B">
          <w:rPr>
            <w:webHidden/>
          </w:rPr>
          <w:instrText xml:space="preserve"> PAGEREF _Toc419813725 \h </w:instrText>
        </w:r>
        <w:r w:rsidR="00B80A05">
          <w:rPr>
            <w:webHidden/>
          </w:rPr>
        </w:r>
        <w:r w:rsidR="00B80A05">
          <w:rPr>
            <w:webHidden/>
          </w:rPr>
          <w:fldChar w:fldCharType="separate"/>
        </w:r>
        <w:r w:rsidR="00316060">
          <w:rPr>
            <w:webHidden/>
          </w:rPr>
          <w:t>178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26" w:history="1">
        <w:r w:rsidR="00DF458B" w:rsidRPr="00503D2D">
          <w:rPr>
            <w:rStyle w:val="Hyperlink"/>
            <w:rFonts w:ascii="Arial Negrito" w:eastAsia="Batang" w:hAnsi="Arial Negrito"/>
            <w:bCs/>
            <w:lang w:eastAsia="en-US"/>
          </w:rPr>
          <w:t>3.3.4.10. Etapa dos Empreendimentos</w:t>
        </w:r>
        <w:r w:rsidR="00DF458B">
          <w:rPr>
            <w:webHidden/>
          </w:rPr>
          <w:tab/>
        </w:r>
        <w:r w:rsidR="00B80A05">
          <w:rPr>
            <w:webHidden/>
          </w:rPr>
          <w:fldChar w:fldCharType="begin"/>
        </w:r>
        <w:r w:rsidR="00DF458B">
          <w:rPr>
            <w:webHidden/>
          </w:rPr>
          <w:instrText xml:space="preserve"> PAGEREF _Toc419813726 \h </w:instrText>
        </w:r>
        <w:r w:rsidR="00B80A05">
          <w:rPr>
            <w:webHidden/>
          </w:rPr>
        </w:r>
        <w:r w:rsidR="00B80A05">
          <w:rPr>
            <w:webHidden/>
          </w:rPr>
          <w:fldChar w:fldCharType="separate"/>
        </w:r>
        <w:r w:rsidR="00316060">
          <w:rPr>
            <w:webHidden/>
          </w:rPr>
          <w:t>178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27" w:history="1">
        <w:r w:rsidR="00DF458B" w:rsidRPr="00503D2D">
          <w:rPr>
            <w:rStyle w:val="Hyperlink"/>
            <w:rFonts w:ascii="Arial Negrito" w:eastAsia="Batang" w:hAnsi="Arial Negrito"/>
            <w:bCs/>
            <w:lang w:eastAsia="en-US"/>
          </w:rPr>
          <w:t>3.3.4.11. Cronograma de Execução</w:t>
        </w:r>
        <w:r w:rsidR="00DF458B">
          <w:rPr>
            <w:webHidden/>
          </w:rPr>
          <w:tab/>
        </w:r>
        <w:r w:rsidR="00B80A05">
          <w:rPr>
            <w:webHidden/>
          </w:rPr>
          <w:fldChar w:fldCharType="begin"/>
        </w:r>
        <w:r w:rsidR="00DF458B">
          <w:rPr>
            <w:webHidden/>
          </w:rPr>
          <w:instrText xml:space="preserve"> PAGEREF _Toc419813727 \h </w:instrText>
        </w:r>
        <w:r w:rsidR="00B80A05">
          <w:rPr>
            <w:webHidden/>
          </w:rPr>
        </w:r>
        <w:r w:rsidR="00B80A05">
          <w:rPr>
            <w:webHidden/>
          </w:rPr>
          <w:fldChar w:fldCharType="separate"/>
        </w:r>
        <w:r w:rsidR="00316060">
          <w:rPr>
            <w:webHidden/>
          </w:rPr>
          <w:t>178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28" w:history="1">
        <w:r w:rsidR="00DF458B" w:rsidRPr="00503D2D">
          <w:rPr>
            <w:rStyle w:val="Hyperlink"/>
            <w:rFonts w:ascii="Arial Negrito" w:eastAsia="Batang" w:hAnsi="Arial Negrito"/>
            <w:bCs/>
            <w:lang w:eastAsia="en-US"/>
          </w:rPr>
          <w:t>3.3.4.12. Responsável pela Implementação do Programa</w:t>
        </w:r>
        <w:r w:rsidR="00DF458B">
          <w:rPr>
            <w:webHidden/>
          </w:rPr>
          <w:tab/>
        </w:r>
        <w:r w:rsidR="00B80A05">
          <w:rPr>
            <w:webHidden/>
          </w:rPr>
          <w:fldChar w:fldCharType="begin"/>
        </w:r>
        <w:r w:rsidR="00DF458B">
          <w:rPr>
            <w:webHidden/>
          </w:rPr>
          <w:instrText xml:space="preserve"> PAGEREF _Toc419813728 \h </w:instrText>
        </w:r>
        <w:r w:rsidR="00B80A05">
          <w:rPr>
            <w:webHidden/>
          </w:rPr>
        </w:r>
        <w:r w:rsidR="00B80A05">
          <w:rPr>
            <w:webHidden/>
          </w:rPr>
          <w:fldChar w:fldCharType="separate"/>
        </w:r>
        <w:r w:rsidR="00316060">
          <w:rPr>
            <w:webHidden/>
          </w:rPr>
          <w:t>178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29" w:history="1">
        <w:r w:rsidR="00DF458B" w:rsidRPr="00503D2D">
          <w:rPr>
            <w:rStyle w:val="Hyperlink"/>
            <w:rFonts w:ascii="Arial Negrito" w:eastAsia="Batang" w:hAnsi="Arial Negrito"/>
            <w:bCs/>
            <w:lang w:eastAsia="en-US"/>
          </w:rPr>
          <w:t>3.3.4.13. Sistemas de Registros</w:t>
        </w:r>
        <w:r w:rsidR="00DF458B">
          <w:rPr>
            <w:webHidden/>
          </w:rPr>
          <w:tab/>
        </w:r>
        <w:r w:rsidR="00B80A05">
          <w:rPr>
            <w:webHidden/>
          </w:rPr>
          <w:fldChar w:fldCharType="begin"/>
        </w:r>
        <w:r w:rsidR="00DF458B">
          <w:rPr>
            <w:webHidden/>
          </w:rPr>
          <w:instrText xml:space="preserve"> PAGEREF _Toc419813729 \h </w:instrText>
        </w:r>
        <w:r w:rsidR="00B80A05">
          <w:rPr>
            <w:webHidden/>
          </w:rPr>
        </w:r>
        <w:r w:rsidR="00B80A05">
          <w:rPr>
            <w:webHidden/>
          </w:rPr>
          <w:fldChar w:fldCharType="separate"/>
        </w:r>
        <w:r w:rsidR="00316060">
          <w:rPr>
            <w:webHidden/>
          </w:rPr>
          <w:t>178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30" w:history="1">
        <w:r w:rsidR="00DF458B" w:rsidRPr="00503D2D">
          <w:rPr>
            <w:rStyle w:val="Hyperlink"/>
            <w:rFonts w:ascii="Arial Negrito" w:eastAsia="Batang" w:hAnsi="Arial Negrito"/>
            <w:bCs/>
            <w:lang w:eastAsia="en-US"/>
          </w:rPr>
          <w:t>3.3.4.14. Referências Bibliográficas</w:t>
        </w:r>
        <w:r w:rsidR="00DF458B">
          <w:rPr>
            <w:webHidden/>
          </w:rPr>
          <w:tab/>
        </w:r>
        <w:r w:rsidR="00B80A05">
          <w:rPr>
            <w:webHidden/>
          </w:rPr>
          <w:fldChar w:fldCharType="begin"/>
        </w:r>
        <w:r w:rsidR="00DF458B">
          <w:rPr>
            <w:webHidden/>
          </w:rPr>
          <w:instrText xml:space="preserve"> PAGEREF _Toc419813730 \h </w:instrText>
        </w:r>
        <w:r w:rsidR="00B80A05">
          <w:rPr>
            <w:webHidden/>
          </w:rPr>
        </w:r>
        <w:r w:rsidR="00B80A05">
          <w:rPr>
            <w:webHidden/>
          </w:rPr>
          <w:fldChar w:fldCharType="separate"/>
        </w:r>
        <w:r w:rsidR="00316060">
          <w:rPr>
            <w:webHidden/>
          </w:rPr>
          <w:t>179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31" w:history="1">
        <w:r w:rsidR="00DF458B" w:rsidRPr="00503D2D">
          <w:rPr>
            <w:rStyle w:val="Hyperlink"/>
            <w:rFonts w:ascii="Arial Negrito" w:hAnsi="Arial Negrito"/>
            <w:bCs/>
          </w:rPr>
          <w:t>3.3.5.</w:t>
        </w:r>
        <w:r w:rsidR="00DF458B">
          <w:rPr>
            <w:rFonts w:asciiTheme="minorHAnsi" w:eastAsiaTheme="minorEastAsia" w:hAnsiTheme="minorHAnsi" w:cstheme="minorBidi"/>
          </w:rPr>
          <w:tab/>
        </w:r>
        <w:r w:rsidR="00DF458B" w:rsidRPr="00503D2D">
          <w:rPr>
            <w:rStyle w:val="Hyperlink"/>
            <w:rFonts w:ascii="Arial Negrito" w:hAnsi="Arial Negrito"/>
            <w:bCs/>
          </w:rPr>
          <w:t>Programa de Monitoramento da Dinâmica das Águas Subterrâneas</w:t>
        </w:r>
        <w:r w:rsidR="00DF458B">
          <w:rPr>
            <w:webHidden/>
          </w:rPr>
          <w:tab/>
        </w:r>
        <w:r w:rsidR="00B80A05">
          <w:rPr>
            <w:webHidden/>
          </w:rPr>
          <w:fldChar w:fldCharType="begin"/>
        </w:r>
        <w:r w:rsidR="00DF458B">
          <w:rPr>
            <w:webHidden/>
          </w:rPr>
          <w:instrText xml:space="preserve"> PAGEREF _Toc419813731 \h </w:instrText>
        </w:r>
        <w:r w:rsidR="00B80A05">
          <w:rPr>
            <w:webHidden/>
          </w:rPr>
        </w:r>
        <w:r w:rsidR="00B80A05">
          <w:rPr>
            <w:webHidden/>
          </w:rPr>
          <w:fldChar w:fldCharType="separate"/>
        </w:r>
        <w:r w:rsidR="00316060">
          <w:rPr>
            <w:webHidden/>
          </w:rPr>
          <w:t>179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32" w:history="1">
        <w:r w:rsidR="00DF458B" w:rsidRPr="00503D2D">
          <w:rPr>
            <w:rStyle w:val="Hyperlink"/>
            <w:rFonts w:ascii="Arial Negrito" w:hAnsi="Arial Negrito"/>
            <w:bCs/>
          </w:rPr>
          <w:t>3.3.5.1.</w:t>
        </w:r>
        <w:r w:rsidR="00DF458B">
          <w:rPr>
            <w:rFonts w:asciiTheme="minorHAnsi" w:eastAsiaTheme="minorEastAsia" w:hAnsiTheme="minorHAnsi" w:cstheme="minorBidi"/>
          </w:rPr>
          <w:tab/>
        </w:r>
        <w:r w:rsidR="00DF458B" w:rsidRPr="00503D2D">
          <w:rPr>
            <w:rStyle w:val="Hyperlink"/>
            <w:rFonts w:ascii="Arial Negrito" w:hAnsi="Arial Negrito"/>
            <w:bCs/>
          </w:rPr>
          <w:t>Apresentação e Justificativa</w:t>
        </w:r>
        <w:r w:rsidR="00DF458B">
          <w:rPr>
            <w:webHidden/>
          </w:rPr>
          <w:tab/>
        </w:r>
        <w:r w:rsidR="00B80A05">
          <w:rPr>
            <w:webHidden/>
          </w:rPr>
          <w:fldChar w:fldCharType="begin"/>
        </w:r>
        <w:r w:rsidR="00DF458B">
          <w:rPr>
            <w:webHidden/>
          </w:rPr>
          <w:instrText xml:space="preserve"> PAGEREF _Toc419813732 \h </w:instrText>
        </w:r>
        <w:r w:rsidR="00B80A05">
          <w:rPr>
            <w:webHidden/>
          </w:rPr>
        </w:r>
        <w:r w:rsidR="00B80A05">
          <w:rPr>
            <w:webHidden/>
          </w:rPr>
          <w:fldChar w:fldCharType="separate"/>
        </w:r>
        <w:r w:rsidR="00316060">
          <w:rPr>
            <w:webHidden/>
          </w:rPr>
          <w:t>179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33" w:history="1">
        <w:r w:rsidR="00DF458B" w:rsidRPr="00503D2D">
          <w:rPr>
            <w:rStyle w:val="Hyperlink"/>
            <w:rFonts w:ascii="Arial Negrito" w:hAnsi="Arial Negrito"/>
            <w:bCs/>
          </w:rPr>
          <w:t>3.3.5.2.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_Toc419813733 \h </w:instrText>
        </w:r>
        <w:r w:rsidR="00B80A05">
          <w:rPr>
            <w:webHidden/>
          </w:rPr>
        </w:r>
        <w:r w:rsidR="00B80A05">
          <w:rPr>
            <w:webHidden/>
          </w:rPr>
          <w:fldChar w:fldCharType="separate"/>
        </w:r>
        <w:r w:rsidR="00316060">
          <w:rPr>
            <w:webHidden/>
          </w:rPr>
          <w:t>180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34" w:history="1">
        <w:r w:rsidR="00DF458B" w:rsidRPr="00503D2D">
          <w:rPr>
            <w:rStyle w:val="Hyperlink"/>
            <w:rFonts w:ascii="Arial Negrito" w:hAnsi="Arial Negrito"/>
            <w:bCs/>
          </w:rPr>
          <w:t>3.3.5.3.</w:t>
        </w:r>
        <w:r w:rsidR="00DF458B">
          <w:rPr>
            <w:rFonts w:asciiTheme="minorHAnsi" w:eastAsiaTheme="minorEastAsia" w:hAnsiTheme="minorHAnsi" w:cstheme="minorBidi"/>
          </w:rPr>
          <w:tab/>
        </w:r>
        <w:r w:rsidR="00DF458B" w:rsidRPr="00503D2D">
          <w:rPr>
            <w:rStyle w:val="Hyperlink"/>
            <w:rFonts w:ascii="Arial Negrito" w:hAnsi="Arial Negrito"/>
            <w:bCs/>
          </w:rPr>
          <w:t>Metas</w:t>
        </w:r>
        <w:r w:rsidR="00DF458B">
          <w:rPr>
            <w:webHidden/>
          </w:rPr>
          <w:tab/>
        </w:r>
        <w:r w:rsidR="00B80A05">
          <w:rPr>
            <w:webHidden/>
          </w:rPr>
          <w:fldChar w:fldCharType="begin"/>
        </w:r>
        <w:r w:rsidR="00DF458B">
          <w:rPr>
            <w:webHidden/>
          </w:rPr>
          <w:instrText xml:space="preserve"> PAGEREF _Toc419813734 \h </w:instrText>
        </w:r>
        <w:r w:rsidR="00B80A05">
          <w:rPr>
            <w:webHidden/>
          </w:rPr>
        </w:r>
        <w:r w:rsidR="00B80A05">
          <w:rPr>
            <w:webHidden/>
          </w:rPr>
          <w:fldChar w:fldCharType="separate"/>
        </w:r>
        <w:r w:rsidR="00316060">
          <w:rPr>
            <w:webHidden/>
          </w:rPr>
          <w:t>180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35" w:history="1">
        <w:r w:rsidR="00DF458B" w:rsidRPr="00503D2D">
          <w:rPr>
            <w:rStyle w:val="Hyperlink"/>
            <w:rFonts w:ascii="Arial Negrito" w:hAnsi="Arial Negrito"/>
            <w:bCs/>
          </w:rPr>
          <w:t>3.3.5.4.</w:t>
        </w:r>
        <w:r w:rsidR="00DF458B">
          <w:rPr>
            <w:rFonts w:asciiTheme="minorHAnsi" w:eastAsiaTheme="minorEastAsia" w:hAnsiTheme="minorHAnsi" w:cstheme="minorBidi"/>
          </w:rPr>
          <w:tab/>
        </w:r>
        <w:r w:rsidR="00DF458B" w:rsidRPr="00503D2D">
          <w:rPr>
            <w:rStyle w:val="Hyperlink"/>
            <w:rFonts w:ascii="Arial Negrito" w:hAnsi="Arial Negrito"/>
            <w:bCs/>
          </w:rPr>
          <w:t>Público Alvo</w:t>
        </w:r>
        <w:r w:rsidR="00DF458B">
          <w:rPr>
            <w:webHidden/>
          </w:rPr>
          <w:tab/>
        </w:r>
        <w:r w:rsidR="00B80A05">
          <w:rPr>
            <w:webHidden/>
          </w:rPr>
          <w:fldChar w:fldCharType="begin"/>
        </w:r>
        <w:r w:rsidR="00DF458B">
          <w:rPr>
            <w:webHidden/>
          </w:rPr>
          <w:instrText xml:space="preserve"> PAGEREF _Toc419813735 \h </w:instrText>
        </w:r>
        <w:r w:rsidR="00B80A05">
          <w:rPr>
            <w:webHidden/>
          </w:rPr>
        </w:r>
        <w:r w:rsidR="00B80A05">
          <w:rPr>
            <w:webHidden/>
          </w:rPr>
          <w:fldChar w:fldCharType="separate"/>
        </w:r>
        <w:r w:rsidR="00316060">
          <w:rPr>
            <w:webHidden/>
          </w:rPr>
          <w:t>180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36" w:history="1">
        <w:r w:rsidR="00DF458B" w:rsidRPr="00503D2D">
          <w:rPr>
            <w:rStyle w:val="Hyperlink"/>
            <w:rFonts w:ascii="Arial Negrito" w:hAnsi="Arial Negrito"/>
            <w:bCs/>
          </w:rPr>
          <w:t>3.3.5.5.</w:t>
        </w:r>
        <w:r w:rsidR="00DF458B">
          <w:rPr>
            <w:rFonts w:asciiTheme="minorHAnsi" w:eastAsiaTheme="minorEastAsia" w:hAnsiTheme="minorHAnsi" w:cstheme="minorBidi"/>
          </w:rPr>
          <w:tab/>
        </w:r>
        <w:r w:rsidR="00DF458B" w:rsidRPr="00503D2D">
          <w:rPr>
            <w:rStyle w:val="Hyperlink"/>
            <w:rFonts w:ascii="Arial Negrito" w:hAnsi="Arial Negrito"/>
            <w:bCs/>
          </w:rPr>
          <w:t>Procedimentos</w:t>
        </w:r>
        <w:r w:rsidR="00DF458B">
          <w:rPr>
            <w:webHidden/>
          </w:rPr>
          <w:tab/>
        </w:r>
        <w:r w:rsidR="00B80A05">
          <w:rPr>
            <w:webHidden/>
          </w:rPr>
          <w:fldChar w:fldCharType="begin"/>
        </w:r>
        <w:r w:rsidR="00DF458B">
          <w:rPr>
            <w:webHidden/>
          </w:rPr>
          <w:instrText xml:space="preserve"> PAGEREF _Toc419813736 \h </w:instrText>
        </w:r>
        <w:r w:rsidR="00B80A05">
          <w:rPr>
            <w:webHidden/>
          </w:rPr>
        </w:r>
        <w:r w:rsidR="00B80A05">
          <w:rPr>
            <w:webHidden/>
          </w:rPr>
          <w:fldChar w:fldCharType="separate"/>
        </w:r>
        <w:r w:rsidR="00316060">
          <w:rPr>
            <w:webHidden/>
          </w:rPr>
          <w:t>180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37" w:history="1">
        <w:r w:rsidR="00DF458B" w:rsidRPr="00503D2D">
          <w:rPr>
            <w:rStyle w:val="Hyperlink"/>
            <w:rFonts w:ascii="Arial Negrito" w:hAnsi="Arial Negrito"/>
            <w:bCs/>
          </w:rPr>
          <w:t>3.3.5.6.</w:t>
        </w:r>
        <w:r w:rsidR="00DF458B">
          <w:rPr>
            <w:rFonts w:asciiTheme="minorHAnsi" w:eastAsiaTheme="minorEastAsia" w:hAnsiTheme="minorHAnsi" w:cstheme="minorBidi"/>
          </w:rPr>
          <w:tab/>
        </w:r>
        <w:r w:rsidR="00DF458B" w:rsidRPr="00503D2D">
          <w:rPr>
            <w:rStyle w:val="Hyperlink"/>
            <w:rFonts w:ascii="Arial Negrito" w:hAnsi="Arial Negrito"/>
            <w:bCs/>
          </w:rPr>
          <w:t>Indicadores Ambientais</w:t>
        </w:r>
        <w:r w:rsidR="00DF458B">
          <w:rPr>
            <w:webHidden/>
          </w:rPr>
          <w:tab/>
        </w:r>
        <w:r w:rsidR="00B80A05">
          <w:rPr>
            <w:webHidden/>
          </w:rPr>
          <w:fldChar w:fldCharType="begin"/>
        </w:r>
        <w:r w:rsidR="00DF458B">
          <w:rPr>
            <w:webHidden/>
          </w:rPr>
          <w:instrText xml:space="preserve"> PAGEREF _Toc419813737 \h </w:instrText>
        </w:r>
        <w:r w:rsidR="00B80A05">
          <w:rPr>
            <w:webHidden/>
          </w:rPr>
        </w:r>
        <w:r w:rsidR="00B80A05">
          <w:rPr>
            <w:webHidden/>
          </w:rPr>
          <w:fldChar w:fldCharType="separate"/>
        </w:r>
        <w:r w:rsidR="00316060">
          <w:rPr>
            <w:webHidden/>
          </w:rPr>
          <w:t>182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38" w:history="1">
        <w:r w:rsidR="00DF458B" w:rsidRPr="00503D2D">
          <w:rPr>
            <w:rStyle w:val="Hyperlink"/>
            <w:rFonts w:ascii="Arial Negrito" w:hAnsi="Arial Negrito"/>
            <w:bCs/>
          </w:rPr>
          <w:t>3.3.5.7.</w:t>
        </w:r>
        <w:r w:rsidR="00DF458B">
          <w:rPr>
            <w:rFonts w:asciiTheme="minorHAnsi" w:eastAsiaTheme="minorEastAsia" w:hAnsiTheme="minorHAnsi" w:cstheme="minorBidi"/>
          </w:rPr>
          <w:tab/>
        </w:r>
        <w:r w:rsidR="00DF458B" w:rsidRPr="00503D2D">
          <w:rPr>
            <w:rStyle w:val="Hyperlink"/>
            <w:rFonts w:ascii="Arial Negrito" w:hAnsi="Arial Negrito"/>
            <w:bCs/>
          </w:rPr>
          <w:t>Recursos Materiais e Humanos</w:t>
        </w:r>
        <w:r w:rsidR="00DF458B">
          <w:rPr>
            <w:webHidden/>
          </w:rPr>
          <w:tab/>
        </w:r>
        <w:r w:rsidR="00B80A05">
          <w:rPr>
            <w:webHidden/>
          </w:rPr>
          <w:fldChar w:fldCharType="begin"/>
        </w:r>
        <w:r w:rsidR="00DF458B">
          <w:rPr>
            <w:webHidden/>
          </w:rPr>
          <w:instrText xml:space="preserve"> PAGEREF _Toc419813738 \h </w:instrText>
        </w:r>
        <w:r w:rsidR="00B80A05">
          <w:rPr>
            <w:webHidden/>
          </w:rPr>
        </w:r>
        <w:r w:rsidR="00B80A05">
          <w:rPr>
            <w:webHidden/>
          </w:rPr>
          <w:fldChar w:fldCharType="separate"/>
        </w:r>
        <w:r w:rsidR="00316060">
          <w:rPr>
            <w:webHidden/>
          </w:rPr>
          <w:t>182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39" w:history="1">
        <w:r w:rsidR="00DF458B" w:rsidRPr="00503D2D">
          <w:rPr>
            <w:rStyle w:val="Hyperlink"/>
            <w:rFonts w:ascii="Arial Negrito" w:hAnsi="Arial Negrito"/>
            <w:bCs/>
          </w:rPr>
          <w:t>3.3.5.8.</w:t>
        </w:r>
        <w:r w:rsidR="00DF458B">
          <w:rPr>
            <w:rFonts w:asciiTheme="minorHAnsi" w:eastAsiaTheme="minorEastAsia" w:hAnsiTheme="minorHAnsi" w:cstheme="minorBidi"/>
          </w:rPr>
          <w:tab/>
        </w:r>
        <w:r w:rsidR="00DF458B" w:rsidRPr="00503D2D">
          <w:rPr>
            <w:rStyle w:val="Hyperlink"/>
            <w:rFonts w:ascii="Arial Negrito" w:hAnsi="Arial Negrito"/>
            <w:bCs/>
          </w:rPr>
          <w:t>Atendimento a Requisitos Legais e/ou Outros Requisitos</w:t>
        </w:r>
        <w:r w:rsidR="00DF458B">
          <w:rPr>
            <w:webHidden/>
          </w:rPr>
          <w:tab/>
        </w:r>
        <w:r w:rsidR="00B80A05">
          <w:rPr>
            <w:webHidden/>
          </w:rPr>
          <w:fldChar w:fldCharType="begin"/>
        </w:r>
        <w:r w:rsidR="00DF458B">
          <w:rPr>
            <w:webHidden/>
          </w:rPr>
          <w:instrText xml:space="preserve"> PAGEREF _Toc419813739 \h </w:instrText>
        </w:r>
        <w:r w:rsidR="00B80A05">
          <w:rPr>
            <w:webHidden/>
          </w:rPr>
        </w:r>
        <w:r w:rsidR="00B80A05">
          <w:rPr>
            <w:webHidden/>
          </w:rPr>
          <w:fldChar w:fldCharType="separate"/>
        </w:r>
        <w:r w:rsidR="00316060">
          <w:rPr>
            <w:webHidden/>
          </w:rPr>
          <w:t>182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40" w:history="1">
        <w:r w:rsidR="00DF458B" w:rsidRPr="00503D2D">
          <w:rPr>
            <w:rStyle w:val="Hyperlink"/>
            <w:rFonts w:ascii="Arial Negrito" w:hAnsi="Arial Negrito"/>
            <w:bCs/>
          </w:rPr>
          <w:t>3.3.5.9.</w:t>
        </w:r>
        <w:r w:rsidR="00DF458B">
          <w:rPr>
            <w:rFonts w:asciiTheme="minorHAnsi" w:eastAsiaTheme="minorEastAsia" w:hAnsiTheme="minorHAnsi" w:cstheme="minorBidi"/>
          </w:rPr>
          <w:tab/>
        </w:r>
        <w:r w:rsidR="00DF458B" w:rsidRPr="00503D2D">
          <w:rPr>
            <w:rStyle w:val="Hyperlink"/>
            <w:rFonts w:ascii="Arial Negrito" w:hAnsi="Arial Negrito"/>
            <w:bCs/>
          </w:rPr>
          <w:t>Inter-relação com outros Planos e Programas</w:t>
        </w:r>
        <w:r w:rsidR="00DF458B">
          <w:rPr>
            <w:webHidden/>
          </w:rPr>
          <w:tab/>
        </w:r>
        <w:r w:rsidR="00B80A05">
          <w:rPr>
            <w:webHidden/>
          </w:rPr>
          <w:fldChar w:fldCharType="begin"/>
        </w:r>
        <w:r w:rsidR="00DF458B">
          <w:rPr>
            <w:webHidden/>
          </w:rPr>
          <w:instrText xml:space="preserve"> PAGEREF _Toc419813740 \h </w:instrText>
        </w:r>
        <w:r w:rsidR="00B80A05">
          <w:rPr>
            <w:webHidden/>
          </w:rPr>
        </w:r>
        <w:r w:rsidR="00B80A05">
          <w:rPr>
            <w:webHidden/>
          </w:rPr>
          <w:fldChar w:fldCharType="separate"/>
        </w:r>
        <w:r w:rsidR="00316060">
          <w:rPr>
            <w:webHidden/>
          </w:rPr>
          <w:t>182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41" w:history="1">
        <w:r w:rsidR="00DF458B" w:rsidRPr="00503D2D">
          <w:rPr>
            <w:rStyle w:val="Hyperlink"/>
            <w:rFonts w:ascii="Arial Negrito" w:hAnsi="Arial Negrito"/>
            <w:bCs/>
          </w:rPr>
          <w:t>3.3.5.10.</w:t>
        </w:r>
        <w:r w:rsidR="00DF458B">
          <w:rPr>
            <w:rFonts w:asciiTheme="minorHAnsi" w:eastAsiaTheme="minorEastAsia" w:hAnsiTheme="minorHAnsi" w:cstheme="minorBidi"/>
          </w:rPr>
          <w:tab/>
        </w:r>
        <w:r w:rsidR="00DF458B" w:rsidRPr="00503D2D">
          <w:rPr>
            <w:rStyle w:val="Hyperlink"/>
            <w:rFonts w:ascii="Arial Negrito" w:hAnsi="Arial Negrito"/>
            <w:bCs/>
          </w:rPr>
          <w:t>Etapa do Empreendimento</w:t>
        </w:r>
        <w:r w:rsidR="00DF458B">
          <w:rPr>
            <w:webHidden/>
          </w:rPr>
          <w:tab/>
        </w:r>
        <w:r w:rsidR="00B80A05">
          <w:rPr>
            <w:webHidden/>
          </w:rPr>
          <w:fldChar w:fldCharType="begin"/>
        </w:r>
        <w:r w:rsidR="00DF458B">
          <w:rPr>
            <w:webHidden/>
          </w:rPr>
          <w:instrText xml:space="preserve"> PAGEREF _Toc419813741 \h </w:instrText>
        </w:r>
        <w:r w:rsidR="00B80A05">
          <w:rPr>
            <w:webHidden/>
          </w:rPr>
        </w:r>
        <w:r w:rsidR="00B80A05">
          <w:rPr>
            <w:webHidden/>
          </w:rPr>
          <w:fldChar w:fldCharType="separate"/>
        </w:r>
        <w:r w:rsidR="00316060">
          <w:rPr>
            <w:webHidden/>
          </w:rPr>
          <w:t>183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42" w:history="1">
        <w:r w:rsidR="00DF458B" w:rsidRPr="00503D2D">
          <w:rPr>
            <w:rStyle w:val="Hyperlink"/>
            <w:rFonts w:ascii="Arial Negrito" w:hAnsi="Arial Negrito"/>
            <w:bCs/>
          </w:rPr>
          <w:t>3.3.5.11.</w:t>
        </w:r>
        <w:r w:rsidR="00DF458B">
          <w:rPr>
            <w:rFonts w:asciiTheme="minorHAnsi" w:eastAsiaTheme="minorEastAsia" w:hAnsiTheme="minorHAnsi" w:cstheme="minorBidi"/>
          </w:rPr>
          <w:tab/>
        </w:r>
        <w:r w:rsidR="00DF458B" w:rsidRPr="00503D2D">
          <w:rPr>
            <w:rStyle w:val="Hyperlink"/>
            <w:rFonts w:ascii="Arial Negrito" w:hAnsi="Arial Negrito"/>
            <w:bCs/>
          </w:rPr>
          <w:t>Cronograma de Execução</w:t>
        </w:r>
        <w:r w:rsidR="00DF458B">
          <w:rPr>
            <w:webHidden/>
          </w:rPr>
          <w:tab/>
        </w:r>
        <w:r w:rsidR="00B80A05">
          <w:rPr>
            <w:webHidden/>
          </w:rPr>
          <w:fldChar w:fldCharType="begin"/>
        </w:r>
        <w:r w:rsidR="00DF458B">
          <w:rPr>
            <w:webHidden/>
          </w:rPr>
          <w:instrText xml:space="preserve"> PAGEREF _Toc419813742 \h </w:instrText>
        </w:r>
        <w:r w:rsidR="00B80A05">
          <w:rPr>
            <w:webHidden/>
          </w:rPr>
        </w:r>
        <w:r w:rsidR="00B80A05">
          <w:rPr>
            <w:webHidden/>
          </w:rPr>
          <w:fldChar w:fldCharType="separate"/>
        </w:r>
        <w:r w:rsidR="00316060">
          <w:rPr>
            <w:webHidden/>
          </w:rPr>
          <w:t>183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43" w:history="1">
        <w:r w:rsidR="00DF458B" w:rsidRPr="00503D2D">
          <w:rPr>
            <w:rStyle w:val="Hyperlink"/>
            <w:rFonts w:ascii="Arial Negrito" w:hAnsi="Arial Negrito"/>
            <w:bCs/>
          </w:rPr>
          <w:t>3.3.5.12.</w:t>
        </w:r>
        <w:r w:rsidR="00DF458B">
          <w:rPr>
            <w:rFonts w:asciiTheme="minorHAnsi" w:eastAsiaTheme="minorEastAsia" w:hAnsiTheme="minorHAnsi" w:cstheme="minorBidi"/>
          </w:rPr>
          <w:tab/>
        </w:r>
        <w:r w:rsidR="00DF458B" w:rsidRPr="00503D2D">
          <w:rPr>
            <w:rStyle w:val="Hyperlink"/>
            <w:rFonts w:ascii="Arial Negrito" w:hAnsi="Arial Negrito"/>
            <w:bCs/>
          </w:rPr>
          <w:t>Responsável pela Implementação</w:t>
        </w:r>
        <w:r w:rsidR="00DF458B">
          <w:rPr>
            <w:webHidden/>
          </w:rPr>
          <w:tab/>
        </w:r>
        <w:r w:rsidR="00B80A05">
          <w:rPr>
            <w:webHidden/>
          </w:rPr>
          <w:fldChar w:fldCharType="begin"/>
        </w:r>
        <w:r w:rsidR="00DF458B">
          <w:rPr>
            <w:webHidden/>
          </w:rPr>
          <w:instrText xml:space="preserve"> PAGEREF _Toc419813743 \h </w:instrText>
        </w:r>
        <w:r w:rsidR="00B80A05">
          <w:rPr>
            <w:webHidden/>
          </w:rPr>
        </w:r>
        <w:r w:rsidR="00B80A05">
          <w:rPr>
            <w:webHidden/>
          </w:rPr>
          <w:fldChar w:fldCharType="separate"/>
        </w:r>
        <w:r w:rsidR="00316060">
          <w:rPr>
            <w:webHidden/>
          </w:rPr>
          <w:t>183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44" w:history="1">
        <w:r w:rsidR="00DF458B" w:rsidRPr="00503D2D">
          <w:rPr>
            <w:rStyle w:val="Hyperlink"/>
            <w:rFonts w:ascii="Arial Negrito" w:hAnsi="Arial Negrito"/>
            <w:bCs/>
          </w:rPr>
          <w:t>3.3.5.13.</w:t>
        </w:r>
        <w:r w:rsidR="00DF458B">
          <w:rPr>
            <w:rFonts w:asciiTheme="minorHAnsi" w:eastAsiaTheme="minorEastAsia" w:hAnsiTheme="minorHAnsi" w:cstheme="minorBidi"/>
          </w:rPr>
          <w:tab/>
        </w:r>
        <w:r w:rsidR="00DF458B" w:rsidRPr="00503D2D">
          <w:rPr>
            <w:rStyle w:val="Hyperlink"/>
            <w:rFonts w:ascii="Arial Negrito" w:hAnsi="Arial Negrito"/>
            <w:bCs/>
          </w:rPr>
          <w:t>Sistema de Registros</w:t>
        </w:r>
        <w:r w:rsidR="00DF458B">
          <w:rPr>
            <w:webHidden/>
          </w:rPr>
          <w:tab/>
        </w:r>
        <w:r w:rsidR="00B80A05">
          <w:rPr>
            <w:webHidden/>
          </w:rPr>
          <w:fldChar w:fldCharType="begin"/>
        </w:r>
        <w:r w:rsidR="00DF458B">
          <w:rPr>
            <w:webHidden/>
          </w:rPr>
          <w:instrText xml:space="preserve"> PAGEREF _Toc419813744 \h </w:instrText>
        </w:r>
        <w:r w:rsidR="00B80A05">
          <w:rPr>
            <w:webHidden/>
          </w:rPr>
        </w:r>
        <w:r w:rsidR="00B80A05">
          <w:rPr>
            <w:webHidden/>
          </w:rPr>
          <w:fldChar w:fldCharType="separate"/>
        </w:r>
        <w:r w:rsidR="00316060">
          <w:rPr>
            <w:webHidden/>
          </w:rPr>
          <w:t>183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45" w:history="1">
        <w:r w:rsidR="00DF458B" w:rsidRPr="00503D2D">
          <w:rPr>
            <w:rStyle w:val="Hyperlink"/>
            <w:rFonts w:ascii="Arial Negrito" w:hAnsi="Arial Negrito"/>
            <w:bCs/>
          </w:rPr>
          <w:t>3.3.5.14.</w:t>
        </w:r>
        <w:r w:rsidR="00DF458B">
          <w:rPr>
            <w:rFonts w:asciiTheme="minorHAnsi" w:eastAsiaTheme="minorEastAsia" w:hAnsiTheme="minorHAnsi" w:cstheme="minorBidi"/>
          </w:rPr>
          <w:tab/>
        </w:r>
        <w:r w:rsidR="00DF458B" w:rsidRPr="00503D2D">
          <w:rPr>
            <w:rStyle w:val="Hyperlink"/>
            <w:rFonts w:ascii="Arial Negrito" w:hAnsi="Arial Negrito"/>
            <w:bCs/>
          </w:rPr>
          <w:t>Referências Bibliográficas</w:t>
        </w:r>
        <w:r w:rsidR="00DF458B">
          <w:rPr>
            <w:webHidden/>
          </w:rPr>
          <w:tab/>
        </w:r>
        <w:r w:rsidR="00B80A05">
          <w:rPr>
            <w:webHidden/>
          </w:rPr>
          <w:fldChar w:fldCharType="begin"/>
        </w:r>
        <w:r w:rsidR="00DF458B">
          <w:rPr>
            <w:webHidden/>
          </w:rPr>
          <w:instrText xml:space="preserve"> PAGEREF _Toc419813745 \h </w:instrText>
        </w:r>
        <w:r w:rsidR="00B80A05">
          <w:rPr>
            <w:webHidden/>
          </w:rPr>
        </w:r>
        <w:r w:rsidR="00B80A05">
          <w:rPr>
            <w:webHidden/>
          </w:rPr>
          <w:fldChar w:fldCharType="separate"/>
        </w:r>
        <w:r w:rsidR="00316060">
          <w:rPr>
            <w:webHidden/>
          </w:rPr>
          <w:t>183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46" w:history="1">
        <w:r w:rsidR="00DF458B" w:rsidRPr="00503D2D">
          <w:rPr>
            <w:rStyle w:val="Hyperlink"/>
            <w:rFonts w:ascii="Arial Negrito" w:hAnsi="Arial Negrito"/>
            <w:bCs/>
          </w:rPr>
          <w:t>3.3.6.</w:t>
        </w:r>
        <w:r w:rsidR="00DF458B">
          <w:rPr>
            <w:rStyle w:val="Hyperlink"/>
            <w:rFonts w:ascii="Arial Negrito" w:hAnsi="Arial Negrito"/>
            <w:bCs/>
          </w:rPr>
          <w:t xml:space="preserve"> </w:t>
        </w:r>
        <w:r w:rsidR="00DF458B" w:rsidRPr="00503D2D">
          <w:rPr>
            <w:rStyle w:val="Hyperlink"/>
            <w:rFonts w:ascii="Arial Negrito" w:hAnsi="Arial Negrito"/>
            <w:bCs/>
          </w:rPr>
          <w:t>Programa de Monitoramento da Qualidade das Águas Superficiais e dos Sedimentos</w:t>
        </w:r>
        <w:r w:rsidR="00DF458B">
          <w:rPr>
            <w:webHidden/>
          </w:rPr>
          <w:tab/>
        </w:r>
        <w:r w:rsidR="00B80A05">
          <w:rPr>
            <w:webHidden/>
          </w:rPr>
          <w:fldChar w:fldCharType="begin"/>
        </w:r>
        <w:r w:rsidR="00DF458B">
          <w:rPr>
            <w:webHidden/>
          </w:rPr>
          <w:instrText xml:space="preserve"> PAGEREF _Toc419813746 \h </w:instrText>
        </w:r>
        <w:r w:rsidR="00B80A05">
          <w:rPr>
            <w:webHidden/>
          </w:rPr>
        </w:r>
        <w:r w:rsidR="00B80A05">
          <w:rPr>
            <w:webHidden/>
          </w:rPr>
          <w:fldChar w:fldCharType="separate"/>
        </w:r>
        <w:r w:rsidR="00316060">
          <w:rPr>
            <w:webHidden/>
          </w:rPr>
          <w:t>184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47" w:history="1">
        <w:r w:rsidR="00DF458B" w:rsidRPr="00503D2D">
          <w:rPr>
            <w:rStyle w:val="Hyperlink"/>
            <w:rFonts w:cs="Arial"/>
          </w:rPr>
          <w:t>3.3.6.1.</w:t>
        </w:r>
        <w:r w:rsidR="00DF458B">
          <w:rPr>
            <w:rFonts w:asciiTheme="minorHAnsi" w:eastAsiaTheme="minorEastAsia" w:hAnsiTheme="minorHAnsi" w:cstheme="minorBidi"/>
          </w:rPr>
          <w:tab/>
        </w:r>
        <w:r w:rsidR="00DF458B" w:rsidRPr="00503D2D">
          <w:rPr>
            <w:rStyle w:val="Hyperlink"/>
            <w:rFonts w:cs="Arial"/>
          </w:rPr>
          <w:t>Apresentação e Justificativa</w:t>
        </w:r>
        <w:r w:rsidR="00DF458B">
          <w:rPr>
            <w:webHidden/>
          </w:rPr>
          <w:tab/>
        </w:r>
        <w:r w:rsidR="00B80A05">
          <w:rPr>
            <w:webHidden/>
          </w:rPr>
          <w:fldChar w:fldCharType="begin"/>
        </w:r>
        <w:r w:rsidR="00DF458B">
          <w:rPr>
            <w:webHidden/>
          </w:rPr>
          <w:instrText xml:space="preserve"> PAGEREF _Toc419813747 \h </w:instrText>
        </w:r>
        <w:r w:rsidR="00B80A05">
          <w:rPr>
            <w:webHidden/>
          </w:rPr>
        </w:r>
        <w:r w:rsidR="00B80A05">
          <w:rPr>
            <w:webHidden/>
          </w:rPr>
          <w:fldChar w:fldCharType="separate"/>
        </w:r>
        <w:r w:rsidR="00316060">
          <w:rPr>
            <w:webHidden/>
          </w:rPr>
          <w:t>184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48" w:history="1">
        <w:r w:rsidR="00DF458B" w:rsidRPr="00503D2D">
          <w:rPr>
            <w:rStyle w:val="Hyperlink"/>
            <w:rFonts w:cs="Arial"/>
          </w:rPr>
          <w:t>3.3.6.2.</w:t>
        </w:r>
        <w:r w:rsidR="00DF458B">
          <w:rPr>
            <w:rFonts w:asciiTheme="minorHAnsi" w:eastAsiaTheme="minorEastAsia" w:hAnsiTheme="minorHAnsi" w:cstheme="minorBidi"/>
          </w:rPr>
          <w:tab/>
        </w:r>
        <w:r w:rsidR="00DF458B" w:rsidRPr="00503D2D">
          <w:rPr>
            <w:rStyle w:val="Hyperlink"/>
            <w:rFonts w:cs="Arial"/>
          </w:rPr>
          <w:t>Objetivos</w:t>
        </w:r>
        <w:r w:rsidR="00DF458B">
          <w:rPr>
            <w:webHidden/>
          </w:rPr>
          <w:tab/>
        </w:r>
        <w:r w:rsidR="00B80A05">
          <w:rPr>
            <w:webHidden/>
          </w:rPr>
          <w:fldChar w:fldCharType="begin"/>
        </w:r>
        <w:r w:rsidR="00DF458B">
          <w:rPr>
            <w:webHidden/>
          </w:rPr>
          <w:instrText xml:space="preserve"> PAGEREF _Toc419813748 \h </w:instrText>
        </w:r>
        <w:r w:rsidR="00B80A05">
          <w:rPr>
            <w:webHidden/>
          </w:rPr>
        </w:r>
        <w:r w:rsidR="00B80A05">
          <w:rPr>
            <w:webHidden/>
          </w:rPr>
          <w:fldChar w:fldCharType="separate"/>
        </w:r>
        <w:r w:rsidR="00316060">
          <w:rPr>
            <w:webHidden/>
          </w:rPr>
          <w:t>185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49" w:history="1">
        <w:r w:rsidR="00DF458B" w:rsidRPr="00503D2D">
          <w:rPr>
            <w:rStyle w:val="Hyperlink"/>
          </w:rPr>
          <w:t>3.3.6.3.</w:t>
        </w:r>
        <w:r w:rsidR="00DF458B">
          <w:rPr>
            <w:rFonts w:asciiTheme="minorHAnsi" w:eastAsiaTheme="minorEastAsia" w:hAnsiTheme="minorHAnsi" w:cstheme="minorBidi"/>
          </w:rPr>
          <w:tab/>
        </w:r>
        <w:r w:rsidR="00DF458B" w:rsidRPr="00503D2D">
          <w:rPr>
            <w:rStyle w:val="Hyperlink"/>
          </w:rPr>
          <w:t>Metas</w:t>
        </w:r>
        <w:r w:rsidR="00DF458B">
          <w:rPr>
            <w:webHidden/>
          </w:rPr>
          <w:tab/>
        </w:r>
        <w:r w:rsidR="00B80A05">
          <w:rPr>
            <w:webHidden/>
          </w:rPr>
          <w:fldChar w:fldCharType="begin"/>
        </w:r>
        <w:r w:rsidR="00DF458B">
          <w:rPr>
            <w:webHidden/>
          </w:rPr>
          <w:instrText xml:space="preserve"> PAGEREF _Toc419813749 \h </w:instrText>
        </w:r>
        <w:r w:rsidR="00B80A05">
          <w:rPr>
            <w:webHidden/>
          </w:rPr>
        </w:r>
        <w:r w:rsidR="00B80A05">
          <w:rPr>
            <w:webHidden/>
          </w:rPr>
          <w:fldChar w:fldCharType="separate"/>
        </w:r>
        <w:r w:rsidR="00316060">
          <w:rPr>
            <w:webHidden/>
          </w:rPr>
          <w:t>185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50" w:history="1">
        <w:r w:rsidR="00DF458B" w:rsidRPr="00503D2D">
          <w:rPr>
            <w:rStyle w:val="Hyperlink"/>
          </w:rPr>
          <w:t>3.3.6.4.</w:t>
        </w:r>
        <w:r w:rsidR="00DF458B">
          <w:rPr>
            <w:rFonts w:asciiTheme="minorHAnsi" w:eastAsiaTheme="minorEastAsia" w:hAnsiTheme="minorHAnsi" w:cstheme="minorBidi"/>
          </w:rPr>
          <w:tab/>
        </w:r>
        <w:r w:rsidR="00DF458B" w:rsidRPr="00503D2D">
          <w:rPr>
            <w:rStyle w:val="Hyperlink"/>
          </w:rPr>
          <w:t>Público Alvo</w:t>
        </w:r>
        <w:r w:rsidR="00DF458B">
          <w:rPr>
            <w:webHidden/>
          </w:rPr>
          <w:tab/>
        </w:r>
        <w:r w:rsidR="00B80A05">
          <w:rPr>
            <w:webHidden/>
          </w:rPr>
          <w:fldChar w:fldCharType="begin"/>
        </w:r>
        <w:r w:rsidR="00DF458B">
          <w:rPr>
            <w:webHidden/>
          </w:rPr>
          <w:instrText xml:space="preserve"> PAGEREF _Toc419813750 \h </w:instrText>
        </w:r>
        <w:r w:rsidR="00B80A05">
          <w:rPr>
            <w:webHidden/>
          </w:rPr>
        </w:r>
        <w:r w:rsidR="00B80A05">
          <w:rPr>
            <w:webHidden/>
          </w:rPr>
          <w:fldChar w:fldCharType="separate"/>
        </w:r>
        <w:r w:rsidR="00316060">
          <w:rPr>
            <w:webHidden/>
          </w:rPr>
          <w:t>185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51" w:history="1">
        <w:r w:rsidR="00DF458B" w:rsidRPr="00503D2D">
          <w:rPr>
            <w:rStyle w:val="Hyperlink"/>
          </w:rPr>
          <w:t>3.3.6.5.</w:t>
        </w:r>
        <w:r w:rsidR="00DF458B">
          <w:rPr>
            <w:rFonts w:asciiTheme="minorHAnsi" w:eastAsiaTheme="minorEastAsia" w:hAnsiTheme="minorHAnsi" w:cstheme="minorBidi"/>
          </w:rPr>
          <w:tab/>
        </w:r>
        <w:r w:rsidR="00DF458B" w:rsidRPr="00503D2D">
          <w:rPr>
            <w:rStyle w:val="Hyperlink"/>
          </w:rPr>
          <w:t>Métodos e Descrição do Programa</w:t>
        </w:r>
        <w:r w:rsidR="00DF458B">
          <w:rPr>
            <w:webHidden/>
          </w:rPr>
          <w:tab/>
        </w:r>
        <w:r w:rsidR="00B80A05">
          <w:rPr>
            <w:webHidden/>
          </w:rPr>
          <w:fldChar w:fldCharType="begin"/>
        </w:r>
        <w:r w:rsidR="00DF458B">
          <w:rPr>
            <w:webHidden/>
          </w:rPr>
          <w:instrText xml:space="preserve"> PAGEREF _Toc419813751 \h </w:instrText>
        </w:r>
        <w:r w:rsidR="00B80A05">
          <w:rPr>
            <w:webHidden/>
          </w:rPr>
        </w:r>
        <w:r w:rsidR="00B80A05">
          <w:rPr>
            <w:webHidden/>
          </w:rPr>
          <w:fldChar w:fldCharType="separate"/>
        </w:r>
        <w:r w:rsidR="00316060">
          <w:rPr>
            <w:webHidden/>
          </w:rPr>
          <w:t>185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52" w:history="1">
        <w:r w:rsidR="00DF458B" w:rsidRPr="00503D2D">
          <w:rPr>
            <w:rStyle w:val="Hyperlink"/>
          </w:rPr>
          <w:t>3.3.6.6.</w:t>
        </w:r>
        <w:r w:rsidR="00DF458B">
          <w:rPr>
            <w:rFonts w:asciiTheme="minorHAnsi" w:eastAsiaTheme="minorEastAsia" w:hAnsiTheme="minorHAnsi" w:cstheme="minorBidi"/>
          </w:rPr>
          <w:tab/>
        </w:r>
        <w:r w:rsidR="00DF458B" w:rsidRPr="00503D2D">
          <w:rPr>
            <w:rStyle w:val="Hyperlink"/>
          </w:rPr>
          <w:t>Indicadores Ambientais</w:t>
        </w:r>
        <w:r w:rsidR="00DF458B">
          <w:rPr>
            <w:webHidden/>
          </w:rPr>
          <w:tab/>
        </w:r>
        <w:r w:rsidR="00B80A05">
          <w:rPr>
            <w:webHidden/>
          </w:rPr>
          <w:fldChar w:fldCharType="begin"/>
        </w:r>
        <w:r w:rsidR="00DF458B">
          <w:rPr>
            <w:webHidden/>
          </w:rPr>
          <w:instrText xml:space="preserve"> PAGEREF _Toc419813752 \h </w:instrText>
        </w:r>
        <w:r w:rsidR="00B80A05">
          <w:rPr>
            <w:webHidden/>
          </w:rPr>
        </w:r>
        <w:r w:rsidR="00B80A05">
          <w:rPr>
            <w:webHidden/>
          </w:rPr>
          <w:fldChar w:fldCharType="separate"/>
        </w:r>
        <w:r w:rsidR="00316060">
          <w:rPr>
            <w:webHidden/>
          </w:rPr>
          <w:t>190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53" w:history="1">
        <w:r w:rsidR="00DF458B" w:rsidRPr="00503D2D">
          <w:rPr>
            <w:rStyle w:val="Hyperlink"/>
          </w:rPr>
          <w:t>3.3.6.7.</w:t>
        </w:r>
        <w:r w:rsidR="00DF458B">
          <w:rPr>
            <w:rFonts w:asciiTheme="minorHAnsi" w:eastAsiaTheme="minorEastAsia" w:hAnsiTheme="minorHAnsi" w:cstheme="minorBidi"/>
          </w:rPr>
          <w:tab/>
        </w:r>
        <w:r w:rsidR="00DF458B" w:rsidRPr="00503D2D">
          <w:rPr>
            <w:rStyle w:val="Hyperlink"/>
          </w:rPr>
          <w:t>Recursos Materiais e Humanos</w:t>
        </w:r>
        <w:r w:rsidR="00DF458B">
          <w:rPr>
            <w:webHidden/>
          </w:rPr>
          <w:tab/>
        </w:r>
        <w:r w:rsidR="00B80A05">
          <w:rPr>
            <w:webHidden/>
          </w:rPr>
          <w:fldChar w:fldCharType="begin"/>
        </w:r>
        <w:r w:rsidR="00DF458B">
          <w:rPr>
            <w:webHidden/>
          </w:rPr>
          <w:instrText xml:space="preserve"> PAGEREF _Toc419813753 \h </w:instrText>
        </w:r>
        <w:r w:rsidR="00B80A05">
          <w:rPr>
            <w:webHidden/>
          </w:rPr>
        </w:r>
        <w:r w:rsidR="00B80A05">
          <w:rPr>
            <w:webHidden/>
          </w:rPr>
          <w:fldChar w:fldCharType="separate"/>
        </w:r>
        <w:r w:rsidR="00316060">
          <w:rPr>
            <w:webHidden/>
          </w:rPr>
          <w:t>191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54" w:history="1">
        <w:r w:rsidR="00DF458B" w:rsidRPr="00503D2D">
          <w:rPr>
            <w:rStyle w:val="Hyperlink"/>
          </w:rPr>
          <w:t>3.3.6.8.</w:t>
        </w:r>
        <w:r w:rsidR="00DF458B">
          <w:rPr>
            <w:rFonts w:asciiTheme="minorHAnsi" w:eastAsiaTheme="minorEastAsia" w:hAnsiTheme="minorHAnsi" w:cstheme="minorBidi"/>
          </w:rPr>
          <w:tab/>
        </w:r>
        <w:r w:rsidR="00DF458B" w:rsidRPr="00503D2D">
          <w:rPr>
            <w:rStyle w:val="Hyperlink"/>
          </w:rPr>
          <w:t>Atendimento a Requisitos Legais e/ou Outros Requisitos</w:t>
        </w:r>
        <w:r w:rsidR="00DF458B">
          <w:rPr>
            <w:webHidden/>
          </w:rPr>
          <w:tab/>
        </w:r>
        <w:r w:rsidR="00B80A05">
          <w:rPr>
            <w:webHidden/>
          </w:rPr>
          <w:fldChar w:fldCharType="begin"/>
        </w:r>
        <w:r w:rsidR="00DF458B">
          <w:rPr>
            <w:webHidden/>
          </w:rPr>
          <w:instrText xml:space="preserve"> PAGEREF _Toc419813754 \h </w:instrText>
        </w:r>
        <w:r w:rsidR="00B80A05">
          <w:rPr>
            <w:webHidden/>
          </w:rPr>
        </w:r>
        <w:r w:rsidR="00B80A05">
          <w:rPr>
            <w:webHidden/>
          </w:rPr>
          <w:fldChar w:fldCharType="separate"/>
        </w:r>
        <w:r w:rsidR="00316060">
          <w:rPr>
            <w:webHidden/>
          </w:rPr>
          <w:t>191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55" w:history="1">
        <w:r w:rsidR="00DF458B" w:rsidRPr="00503D2D">
          <w:rPr>
            <w:rStyle w:val="Hyperlink"/>
          </w:rPr>
          <w:t>3.3.6.9.</w:t>
        </w:r>
        <w:r w:rsidR="00DF458B">
          <w:rPr>
            <w:rFonts w:asciiTheme="minorHAnsi" w:eastAsiaTheme="minorEastAsia" w:hAnsiTheme="minorHAnsi" w:cstheme="minorBidi"/>
          </w:rPr>
          <w:tab/>
        </w:r>
        <w:r w:rsidR="00DF458B" w:rsidRPr="00503D2D">
          <w:rPr>
            <w:rStyle w:val="Hyperlink"/>
          </w:rPr>
          <w:t>Inter-relação com Outros Planos e Programas</w:t>
        </w:r>
        <w:r w:rsidR="00DF458B">
          <w:rPr>
            <w:webHidden/>
          </w:rPr>
          <w:tab/>
        </w:r>
        <w:r w:rsidR="00B80A05">
          <w:rPr>
            <w:webHidden/>
          </w:rPr>
          <w:fldChar w:fldCharType="begin"/>
        </w:r>
        <w:r w:rsidR="00DF458B">
          <w:rPr>
            <w:webHidden/>
          </w:rPr>
          <w:instrText xml:space="preserve"> PAGEREF _Toc419813755 \h </w:instrText>
        </w:r>
        <w:r w:rsidR="00B80A05">
          <w:rPr>
            <w:webHidden/>
          </w:rPr>
        </w:r>
        <w:r w:rsidR="00B80A05">
          <w:rPr>
            <w:webHidden/>
          </w:rPr>
          <w:fldChar w:fldCharType="separate"/>
        </w:r>
        <w:r w:rsidR="00316060">
          <w:rPr>
            <w:webHidden/>
          </w:rPr>
          <w:t>191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56" w:history="1">
        <w:r w:rsidR="00DF458B" w:rsidRPr="00503D2D">
          <w:rPr>
            <w:rStyle w:val="Hyperlink"/>
          </w:rPr>
          <w:t>3.3.6.10.</w:t>
        </w:r>
        <w:r w:rsidR="00DF458B">
          <w:rPr>
            <w:rFonts w:asciiTheme="minorHAnsi" w:eastAsiaTheme="minorEastAsia" w:hAnsiTheme="minorHAnsi" w:cstheme="minorBidi"/>
          </w:rPr>
          <w:tab/>
        </w:r>
        <w:r w:rsidR="00DF458B" w:rsidRPr="00503D2D">
          <w:rPr>
            <w:rStyle w:val="Hyperlink"/>
          </w:rPr>
          <w:t>Etapa dos Empreendimentos</w:t>
        </w:r>
        <w:r w:rsidR="00DF458B">
          <w:rPr>
            <w:webHidden/>
          </w:rPr>
          <w:tab/>
        </w:r>
        <w:r w:rsidR="00B80A05">
          <w:rPr>
            <w:webHidden/>
          </w:rPr>
          <w:fldChar w:fldCharType="begin"/>
        </w:r>
        <w:r w:rsidR="00DF458B">
          <w:rPr>
            <w:webHidden/>
          </w:rPr>
          <w:instrText xml:space="preserve"> PAGEREF _Toc419813756 \h </w:instrText>
        </w:r>
        <w:r w:rsidR="00B80A05">
          <w:rPr>
            <w:webHidden/>
          </w:rPr>
        </w:r>
        <w:r w:rsidR="00B80A05">
          <w:rPr>
            <w:webHidden/>
          </w:rPr>
          <w:fldChar w:fldCharType="separate"/>
        </w:r>
        <w:r w:rsidR="00316060">
          <w:rPr>
            <w:webHidden/>
          </w:rPr>
          <w:t>192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57" w:history="1">
        <w:r w:rsidR="00DF458B" w:rsidRPr="00503D2D">
          <w:rPr>
            <w:rStyle w:val="Hyperlink"/>
          </w:rPr>
          <w:t>3.3.6.11.</w:t>
        </w:r>
        <w:r w:rsidR="00DF458B">
          <w:rPr>
            <w:rFonts w:asciiTheme="minorHAnsi" w:eastAsiaTheme="minorEastAsia" w:hAnsiTheme="minorHAnsi" w:cstheme="minorBidi"/>
          </w:rPr>
          <w:tab/>
        </w:r>
        <w:r w:rsidR="00DF458B" w:rsidRPr="00503D2D">
          <w:rPr>
            <w:rStyle w:val="Hyperlink"/>
          </w:rPr>
          <w:t>Cronograma de Execução</w:t>
        </w:r>
        <w:r w:rsidR="00DF458B">
          <w:rPr>
            <w:webHidden/>
          </w:rPr>
          <w:tab/>
        </w:r>
        <w:r w:rsidR="00B80A05">
          <w:rPr>
            <w:webHidden/>
          </w:rPr>
          <w:fldChar w:fldCharType="begin"/>
        </w:r>
        <w:r w:rsidR="00DF458B">
          <w:rPr>
            <w:webHidden/>
          </w:rPr>
          <w:instrText xml:space="preserve"> PAGEREF _Toc419813757 \h </w:instrText>
        </w:r>
        <w:r w:rsidR="00B80A05">
          <w:rPr>
            <w:webHidden/>
          </w:rPr>
        </w:r>
        <w:r w:rsidR="00B80A05">
          <w:rPr>
            <w:webHidden/>
          </w:rPr>
          <w:fldChar w:fldCharType="separate"/>
        </w:r>
        <w:r w:rsidR="00316060">
          <w:rPr>
            <w:webHidden/>
          </w:rPr>
          <w:t>192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58" w:history="1">
        <w:r w:rsidR="00DF458B" w:rsidRPr="00503D2D">
          <w:rPr>
            <w:rStyle w:val="Hyperlink"/>
          </w:rPr>
          <w:t>3.3.6.12.</w:t>
        </w:r>
        <w:r w:rsidR="00DF458B">
          <w:rPr>
            <w:rFonts w:asciiTheme="minorHAnsi" w:eastAsiaTheme="minorEastAsia" w:hAnsiTheme="minorHAnsi" w:cstheme="minorBidi"/>
          </w:rPr>
          <w:tab/>
        </w:r>
        <w:r w:rsidR="00DF458B" w:rsidRPr="00503D2D">
          <w:rPr>
            <w:rStyle w:val="Hyperlink"/>
          </w:rPr>
          <w:t>Responsável pela Implantação do Programa</w:t>
        </w:r>
        <w:r w:rsidR="00DF458B">
          <w:rPr>
            <w:webHidden/>
          </w:rPr>
          <w:tab/>
        </w:r>
        <w:r w:rsidR="00B80A05">
          <w:rPr>
            <w:webHidden/>
          </w:rPr>
          <w:fldChar w:fldCharType="begin"/>
        </w:r>
        <w:r w:rsidR="00DF458B">
          <w:rPr>
            <w:webHidden/>
          </w:rPr>
          <w:instrText xml:space="preserve"> PAGEREF _Toc419813758 \h </w:instrText>
        </w:r>
        <w:r w:rsidR="00B80A05">
          <w:rPr>
            <w:webHidden/>
          </w:rPr>
        </w:r>
        <w:r w:rsidR="00B80A05">
          <w:rPr>
            <w:webHidden/>
          </w:rPr>
          <w:fldChar w:fldCharType="separate"/>
        </w:r>
        <w:r w:rsidR="00316060">
          <w:rPr>
            <w:webHidden/>
          </w:rPr>
          <w:t>192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59" w:history="1">
        <w:r w:rsidR="00DF458B" w:rsidRPr="00503D2D">
          <w:rPr>
            <w:rStyle w:val="Hyperlink"/>
          </w:rPr>
          <w:t>3.3.6.13.</w:t>
        </w:r>
        <w:r w:rsidR="00DF458B">
          <w:rPr>
            <w:rFonts w:asciiTheme="minorHAnsi" w:eastAsiaTheme="minorEastAsia" w:hAnsiTheme="minorHAnsi" w:cstheme="minorBidi"/>
          </w:rPr>
          <w:tab/>
        </w:r>
        <w:r w:rsidR="00DF458B" w:rsidRPr="00503D2D">
          <w:rPr>
            <w:rStyle w:val="Hyperlink"/>
          </w:rPr>
          <w:t>Sistemas de Registro</w:t>
        </w:r>
        <w:r w:rsidR="00DF458B">
          <w:rPr>
            <w:webHidden/>
          </w:rPr>
          <w:tab/>
        </w:r>
        <w:r w:rsidR="00B80A05">
          <w:rPr>
            <w:webHidden/>
          </w:rPr>
          <w:fldChar w:fldCharType="begin"/>
        </w:r>
        <w:r w:rsidR="00DF458B">
          <w:rPr>
            <w:webHidden/>
          </w:rPr>
          <w:instrText xml:space="preserve"> PAGEREF _Toc419813759 \h </w:instrText>
        </w:r>
        <w:r w:rsidR="00B80A05">
          <w:rPr>
            <w:webHidden/>
          </w:rPr>
        </w:r>
        <w:r w:rsidR="00B80A05">
          <w:rPr>
            <w:webHidden/>
          </w:rPr>
          <w:fldChar w:fldCharType="separate"/>
        </w:r>
        <w:r w:rsidR="00316060">
          <w:rPr>
            <w:webHidden/>
          </w:rPr>
          <w:t>192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60" w:history="1">
        <w:r w:rsidR="00DF458B" w:rsidRPr="00503D2D">
          <w:rPr>
            <w:rStyle w:val="Hyperlink"/>
          </w:rPr>
          <w:t>3.3.6.14.</w:t>
        </w:r>
        <w:r w:rsidR="00DF458B">
          <w:rPr>
            <w:rFonts w:asciiTheme="minorHAnsi" w:eastAsiaTheme="minorEastAsia" w:hAnsiTheme="minorHAnsi" w:cstheme="minorBidi"/>
          </w:rPr>
          <w:tab/>
        </w:r>
        <w:r w:rsidR="00DF458B" w:rsidRPr="00503D2D">
          <w:rPr>
            <w:rStyle w:val="Hyperlink"/>
          </w:rPr>
          <w:t>Referências Bibliográficas</w:t>
        </w:r>
        <w:r w:rsidR="00DF458B">
          <w:rPr>
            <w:webHidden/>
          </w:rPr>
          <w:tab/>
        </w:r>
        <w:r w:rsidR="00B80A05">
          <w:rPr>
            <w:webHidden/>
          </w:rPr>
          <w:fldChar w:fldCharType="begin"/>
        </w:r>
        <w:r w:rsidR="00DF458B">
          <w:rPr>
            <w:webHidden/>
          </w:rPr>
          <w:instrText xml:space="preserve"> PAGEREF _Toc419813760 \h </w:instrText>
        </w:r>
        <w:r w:rsidR="00B80A05">
          <w:rPr>
            <w:webHidden/>
          </w:rPr>
        </w:r>
        <w:r w:rsidR="00B80A05">
          <w:rPr>
            <w:webHidden/>
          </w:rPr>
          <w:fldChar w:fldCharType="separate"/>
        </w:r>
        <w:r w:rsidR="00316060">
          <w:rPr>
            <w:webHidden/>
          </w:rPr>
          <w:t>193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61" w:history="1">
        <w:r w:rsidR="00DF458B" w:rsidRPr="00503D2D">
          <w:rPr>
            <w:rStyle w:val="Hyperlink"/>
          </w:rPr>
          <w:t>3.3.7.</w:t>
        </w:r>
        <w:r w:rsidR="00DF458B">
          <w:rPr>
            <w:rFonts w:asciiTheme="minorHAnsi" w:eastAsiaTheme="minorEastAsia" w:hAnsiTheme="minorHAnsi" w:cstheme="minorBidi"/>
          </w:rPr>
          <w:tab/>
        </w:r>
        <w:r w:rsidR="00DF458B" w:rsidRPr="00503D2D">
          <w:rPr>
            <w:rStyle w:val="Hyperlink"/>
          </w:rPr>
          <w:t>Programa de Acompanhamento dos Direitos Minerários</w:t>
        </w:r>
        <w:r w:rsidR="00DF458B">
          <w:rPr>
            <w:webHidden/>
          </w:rPr>
          <w:tab/>
        </w:r>
        <w:r w:rsidR="00B80A05">
          <w:rPr>
            <w:webHidden/>
          </w:rPr>
          <w:fldChar w:fldCharType="begin"/>
        </w:r>
        <w:r w:rsidR="00DF458B">
          <w:rPr>
            <w:webHidden/>
          </w:rPr>
          <w:instrText xml:space="preserve"> PAGEREF _Toc419813761 \h </w:instrText>
        </w:r>
        <w:r w:rsidR="00B80A05">
          <w:rPr>
            <w:webHidden/>
          </w:rPr>
        </w:r>
        <w:r w:rsidR="00B80A05">
          <w:rPr>
            <w:webHidden/>
          </w:rPr>
          <w:fldChar w:fldCharType="separate"/>
        </w:r>
        <w:r w:rsidR="00316060">
          <w:rPr>
            <w:webHidden/>
          </w:rPr>
          <w:t>194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62" w:history="1">
        <w:r w:rsidR="00DF458B" w:rsidRPr="00503D2D">
          <w:rPr>
            <w:rStyle w:val="Hyperlink"/>
            <w:rFonts w:eastAsia="Batang"/>
          </w:rPr>
          <w:t>3.3.7.1.</w:t>
        </w:r>
        <w:r w:rsidR="00DF458B">
          <w:rPr>
            <w:rFonts w:asciiTheme="minorHAnsi" w:eastAsiaTheme="minorEastAsia" w:hAnsiTheme="minorHAnsi" w:cstheme="minorBidi"/>
          </w:rPr>
          <w:tab/>
        </w:r>
        <w:r w:rsidR="00DF458B" w:rsidRPr="00503D2D">
          <w:rPr>
            <w:rStyle w:val="Hyperlink"/>
            <w:rFonts w:eastAsia="Batang"/>
          </w:rPr>
          <w:t>Apresentação e Justificativa</w:t>
        </w:r>
        <w:r w:rsidR="00DF458B">
          <w:rPr>
            <w:webHidden/>
          </w:rPr>
          <w:tab/>
        </w:r>
        <w:r w:rsidR="00B80A05">
          <w:rPr>
            <w:webHidden/>
          </w:rPr>
          <w:fldChar w:fldCharType="begin"/>
        </w:r>
        <w:r w:rsidR="00DF458B">
          <w:rPr>
            <w:webHidden/>
          </w:rPr>
          <w:instrText xml:space="preserve"> PAGEREF _Toc419813762 \h </w:instrText>
        </w:r>
        <w:r w:rsidR="00B80A05">
          <w:rPr>
            <w:webHidden/>
          </w:rPr>
        </w:r>
        <w:r w:rsidR="00B80A05">
          <w:rPr>
            <w:webHidden/>
          </w:rPr>
          <w:fldChar w:fldCharType="separate"/>
        </w:r>
        <w:r w:rsidR="00316060">
          <w:rPr>
            <w:webHidden/>
          </w:rPr>
          <w:t>194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63" w:history="1">
        <w:r w:rsidR="00DF458B" w:rsidRPr="00503D2D">
          <w:rPr>
            <w:rStyle w:val="Hyperlink"/>
            <w:rFonts w:ascii="Arial Negrito" w:eastAsia="Batang" w:hAnsi="Arial Negrito"/>
            <w:bCs/>
            <w:lang w:eastAsia="en-US"/>
          </w:rPr>
          <w:t>3.3.7.2.</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Objetivos</w:t>
        </w:r>
        <w:r w:rsidR="00DF458B">
          <w:rPr>
            <w:webHidden/>
          </w:rPr>
          <w:tab/>
        </w:r>
        <w:r w:rsidR="00B80A05">
          <w:rPr>
            <w:webHidden/>
          </w:rPr>
          <w:fldChar w:fldCharType="begin"/>
        </w:r>
        <w:r w:rsidR="00DF458B">
          <w:rPr>
            <w:webHidden/>
          </w:rPr>
          <w:instrText xml:space="preserve"> PAGEREF _Toc419813763 \h </w:instrText>
        </w:r>
        <w:r w:rsidR="00B80A05">
          <w:rPr>
            <w:webHidden/>
          </w:rPr>
        </w:r>
        <w:r w:rsidR="00B80A05">
          <w:rPr>
            <w:webHidden/>
          </w:rPr>
          <w:fldChar w:fldCharType="separate"/>
        </w:r>
        <w:r w:rsidR="00316060">
          <w:rPr>
            <w:webHidden/>
          </w:rPr>
          <w:t>194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64" w:history="1">
        <w:r w:rsidR="00DF458B" w:rsidRPr="00503D2D">
          <w:rPr>
            <w:rStyle w:val="Hyperlink"/>
            <w:rFonts w:ascii="Arial Negrito" w:eastAsia="Batang" w:hAnsi="Arial Negrito"/>
            <w:bCs/>
            <w:lang w:eastAsia="en-US"/>
          </w:rPr>
          <w:t>3.3.7.3.</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Metas</w:t>
        </w:r>
        <w:r w:rsidR="00DF458B">
          <w:rPr>
            <w:webHidden/>
          </w:rPr>
          <w:tab/>
        </w:r>
        <w:r w:rsidR="00B80A05">
          <w:rPr>
            <w:webHidden/>
          </w:rPr>
          <w:fldChar w:fldCharType="begin"/>
        </w:r>
        <w:r w:rsidR="00DF458B">
          <w:rPr>
            <w:webHidden/>
          </w:rPr>
          <w:instrText xml:space="preserve"> PAGEREF _Toc419813764 \h </w:instrText>
        </w:r>
        <w:r w:rsidR="00B80A05">
          <w:rPr>
            <w:webHidden/>
          </w:rPr>
        </w:r>
        <w:r w:rsidR="00B80A05">
          <w:rPr>
            <w:webHidden/>
          </w:rPr>
          <w:fldChar w:fldCharType="separate"/>
        </w:r>
        <w:r w:rsidR="00316060">
          <w:rPr>
            <w:webHidden/>
          </w:rPr>
          <w:t>194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65" w:history="1">
        <w:r w:rsidR="00DF458B" w:rsidRPr="00503D2D">
          <w:rPr>
            <w:rStyle w:val="Hyperlink"/>
            <w:rFonts w:ascii="Arial Negrito" w:eastAsia="Batang" w:hAnsi="Arial Negrito"/>
            <w:bCs/>
            <w:lang w:eastAsia="en-US"/>
          </w:rPr>
          <w:t>3.3.7.4.</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Público-alvo</w:t>
        </w:r>
        <w:r w:rsidR="00DF458B">
          <w:rPr>
            <w:webHidden/>
          </w:rPr>
          <w:tab/>
        </w:r>
        <w:r w:rsidR="00B80A05">
          <w:rPr>
            <w:webHidden/>
          </w:rPr>
          <w:fldChar w:fldCharType="begin"/>
        </w:r>
        <w:r w:rsidR="00DF458B">
          <w:rPr>
            <w:webHidden/>
          </w:rPr>
          <w:instrText xml:space="preserve"> PAGEREF _Toc419813765 \h </w:instrText>
        </w:r>
        <w:r w:rsidR="00B80A05">
          <w:rPr>
            <w:webHidden/>
          </w:rPr>
        </w:r>
        <w:r w:rsidR="00B80A05">
          <w:rPr>
            <w:webHidden/>
          </w:rPr>
          <w:fldChar w:fldCharType="separate"/>
        </w:r>
        <w:r w:rsidR="00316060">
          <w:rPr>
            <w:webHidden/>
          </w:rPr>
          <w:t>194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66" w:history="1">
        <w:r w:rsidR="00DF458B" w:rsidRPr="00503D2D">
          <w:rPr>
            <w:rStyle w:val="Hyperlink"/>
            <w:rFonts w:ascii="Arial Negrito" w:eastAsia="Batang" w:hAnsi="Arial Negrito"/>
            <w:bCs/>
            <w:lang w:eastAsia="en-US"/>
          </w:rPr>
          <w:t>3.3.7.5.</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Métodos e Descrição do Programa (Procedimentos)</w:t>
        </w:r>
        <w:r w:rsidR="00DF458B">
          <w:rPr>
            <w:webHidden/>
          </w:rPr>
          <w:tab/>
        </w:r>
        <w:r w:rsidR="00B80A05">
          <w:rPr>
            <w:webHidden/>
          </w:rPr>
          <w:fldChar w:fldCharType="begin"/>
        </w:r>
        <w:r w:rsidR="00DF458B">
          <w:rPr>
            <w:webHidden/>
          </w:rPr>
          <w:instrText xml:space="preserve"> PAGEREF _Toc419813766 \h </w:instrText>
        </w:r>
        <w:r w:rsidR="00B80A05">
          <w:rPr>
            <w:webHidden/>
          </w:rPr>
        </w:r>
        <w:r w:rsidR="00B80A05">
          <w:rPr>
            <w:webHidden/>
          </w:rPr>
          <w:fldChar w:fldCharType="separate"/>
        </w:r>
        <w:r w:rsidR="00316060">
          <w:rPr>
            <w:webHidden/>
          </w:rPr>
          <w:t>194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67" w:history="1">
        <w:r w:rsidR="00DF458B" w:rsidRPr="00503D2D">
          <w:rPr>
            <w:rStyle w:val="Hyperlink"/>
            <w:rFonts w:ascii="Arial Negrito" w:eastAsia="Batang" w:hAnsi="Arial Negrito"/>
            <w:bCs/>
            <w:lang w:eastAsia="en-US"/>
          </w:rPr>
          <w:t>3.3.7.6.</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Indicadores Ambientais</w:t>
        </w:r>
        <w:r w:rsidR="00DF458B">
          <w:rPr>
            <w:webHidden/>
          </w:rPr>
          <w:tab/>
        </w:r>
        <w:r w:rsidR="00B80A05">
          <w:rPr>
            <w:webHidden/>
          </w:rPr>
          <w:fldChar w:fldCharType="begin"/>
        </w:r>
        <w:r w:rsidR="00DF458B">
          <w:rPr>
            <w:webHidden/>
          </w:rPr>
          <w:instrText xml:space="preserve"> PAGEREF _Toc419813767 \h </w:instrText>
        </w:r>
        <w:r w:rsidR="00B80A05">
          <w:rPr>
            <w:webHidden/>
          </w:rPr>
        </w:r>
        <w:r w:rsidR="00B80A05">
          <w:rPr>
            <w:webHidden/>
          </w:rPr>
          <w:fldChar w:fldCharType="separate"/>
        </w:r>
        <w:r w:rsidR="00316060">
          <w:rPr>
            <w:webHidden/>
          </w:rPr>
          <w:t>195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68" w:history="1">
        <w:r w:rsidR="00DF458B" w:rsidRPr="00503D2D">
          <w:rPr>
            <w:rStyle w:val="Hyperlink"/>
            <w:rFonts w:ascii="Arial Negrito" w:eastAsia="Batang" w:hAnsi="Arial Negrito"/>
            <w:bCs/>
            <w:lang w:eastAsia="en-US"/>
          </w:rPr>
          <w:t>3.3.7.7.</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Recursos Materiais e Humanos</w:t>
        </w:r>
        <w:r w:rsidR="00DF458B">
          <w:rPr>
            <w:webHidden/>
          </w:rPr>
          <w:tab/>
        </w:r>
        <w:r w:rsidR="00B80A05">
          <w:rPr>
            <w:webHidden/>
          </w:rPr>
          <w:fldChar w:fldCharType="begin"/>
        </w:r>
        <w:r w:rsidR="00DF458B">
          <w:rPr>
            <w:webHidden/>
          </w:rPr>
          <w:instrText xml:space="preserve"> PAGEREF _Toc419813768 \h </w:instrText>
        </w:r>
        <w:r w:rsidR="00B80A05">
          <w:rPr>
            <w:webHidden/>
          </w:rPr>
        </w:r>
        <w:r w:rsidR="00B80A05">
          <w:rPr>
            <w:webHidden/>
          </w:rPr>
          <w:fldChar w:fldCharType="separate"/>
        </w:r>
        <w:r w:rsidR="00316060">
          <w:rPr>
            <w:webHidden/>
          </w:rPr>
          <w:t>195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69" w:history="1">
        <w:r w:rsidR="00DF458B" w:rsidRPr="00503D2D">
          <w:rPr>
            <w:rStyle w:val="Hyperlink"/>
            <w:rFonts w:ascii="Arial Negrito" w:eastAsia="Batang" w:hAnsi="Arial Negrito"/>
            <w:bCs/>
            <w:lang w:eastAsia="en-US"/>
          </w:rPr>
          <w:t>3.3.7.8.</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Atendimento a Requisitos Legais e/ou Outros Requisitos</w:t>
        </w:r>
        <w:r w:rsidR="00DF458B">
          <w:rPr>
            <w:webHidden/>
          </w:rPr>
          <w:tab/>
        </w:r>
        <w:r w:rsidR="00B80A05">
          <w:rPr>
            <w:webHidden/>
          </w:rPr>
          <w:fldChar w:fldCharType="begin"/>
        </w:r>
        <w:r w:rsidR="00DF458B">
          <w:rPr>
            <w:webHidden/>
          </w:rPr>
          <w:instrText xml:space="preserve"> PAGEREF _Toc419813769 \h </w:instrText>
        </w:r>
        <w:r w:rsidR="00B80A05">
          <w:rPr>
            <w:webHidden/>
          </w:rPr>
        </w:r>
        <w:r w:rsidR="00B80A05">
          <w:rPr>
            <w:webHidden/>
          </w:rPr>
          <w:fldChar w:fldCharType="separate"/>
        </w:r>
        <w:r w:rsidR="00316060">
          <w:rPr>
            <w:webHidden/>
          </w:rPr>
          <w:t>195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70" w:history="1">
        <w:r w:rsidR="00DF458B" w:rsidRPr="00503D2D">
          <w:rPr>
            <w:rStyle w:val="Hyperlink"/>
            <w:rFonts w:ascii="Arial Negrito" w:eastAsia="Batang" w:hAnsi="Arial Negrito"/>
            <w:bCs/>
            <w:lang w:eastAsia="en-US"/>
          </w:rPr>
          <w:t>3.3.7.9.</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Inter-relação com outros Planos e Programas</w:t>
        </w:r>
        <w:r w:rsidR="00DF458B">
          <w:rPr>
            <w:webHidden/>
          </w:rPr>
          <w:tab/>
        </w:r>
        <w:r w:rsidR="00B80A05">
          <w:rPr>
            <w:webHidden/>
          </w:rPr>
          <w:fldChar w:fldCharType="begin"/>
        </w:r>
        <w:r w:rsidR="00DF458B">
          <w:rPr>
            <w:webHidden/>
          </w:rPr>
          <w:instrText xml:space="preserve"> PAGEREF _Toc419813770 \h </w:instrText>
        </w:r>
        <w:r w:rsidR="00B80A05">
          <w:rPr>
            <w:webHidden/>
          </w:rPr>
        </w:r>
        <w:r w:rsidR="00B80A05">
          <w:rPr>
            <w:webHidden/>
          </w:rPr>
          <w:fldChar w:fldCharType="separate"/>
        </w:r>
        <w:r w:rsidR="00316060">
          <w:rPr>
            <w:webHidden/>
          </w:rPr>
          <w:t>195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71" w:history="1">
        <w:r w:rsidR="00DF458B" w:rsidRPr="00503D2D">
          <w:rPr>
            <w:rStyle w:val="Hyperlink"/>
            <w:rFonts w:ascii="Arial Negrito" w:eastAsia="Batang" w:hAnsi="Arial Negrito"/>
            <w:bCs/>
            <w:lang w:eastAsia="en-US"/>
          </w:rPr>
          <w:t>3.3.7.10.</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Etapa dos Empreendimentos</w:t>
        </w:r>
        <w:r w:rsidR="00DF458B">
          <w:rPr>
            <w:webHidden/>
          </w:rPr>
          <w:tab/>
        </w:r>
        <w:r w:rsidR="00B80A05">
          <w:rPr>
            <w:webHidden/>
          </w:rPr>
          <w:fldChar w:fldCharType="begin"/>
        </w:r>
        <w:r w:rsidR="00DF458B">
          <w:rPr>
            <w:webHidden/>
          </w:rPr>
          <w:instrText xml:space="preserve"> PAGEREF _Toc419813771 \h </w:instrText>
        </w:r>
        <w:r w:rsidR="00B80A05">
          <w:rPr>
            <w:webHidden/>
          </w:rPr>
        </w:r>
        <w:r w:rsidR="00B80A05">
          <w:rPr>
            <w:webHidden/>
          </w:rPr>
          <w:fldChar w:fldCharType="separate"/>
        </w:r>
        <w:r w:rsidR="00316060">
          <w:rPr>
            <w:webHidden/>
          </w:rPr>
          <w:t>195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72" w:history="1">
        <w:r w:rsidR="00DF458B" w:rsidRPr="00503D2D">
          <w:rPr>
            <w:rStyle w:val="Hyperlink"/>
            <w:rFonts w:ascii="Arial Negrito" w:eastAsia="Batang" w:hAnsi="Arial Negrito"/>
            <w:bCs/>
            <w:lang w:eastAsia="en-US"/>
          </w:rPr>
          <w:t>3.3.7.11.</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Cronograma de Execução</w:t>
        </w:r>
        <w:r w:rsidR="00DF458B">
          <w:rPr>
            <w:webHidden/>
          </w:rPr>
          <w:tab/>
        </w:r>
        <w:r w:rsidR="00B80A05">
          <w:rPr>
            <w:webHidden/>
          </w:rPr>
          <w:fldChar w:fldCharType="begin"/>
        </w:r>
        <w:r w:rsidR="00DF458B">
          <w:rPr>
            <w:webHidden/>
          </w:rPr>
          <w:instrText xml:space="preserve"> PAGEREF _Toc419813772 \h </w:instrText>
        </w:r>
        <w:r w:rsidR="00B80A05">
          <w:rPr>
            <w:webHidden/>
          </w:rPr>
        </w:r>
        <w:r w:rsidR="00B80A05">
          <w:rPr>
            <w:webHidden/>
          </w:rPr>
          <w:fldChar w:fldCharType="separate"/>
        </w:r>
        <w:r w:rsidR="00316060">
          <w:rPr>
            <w:webHidden/>
          </w:rPr>
          <w:t>196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73" w:history="1">
        <w:r w:rsidR="00DF458B" w:rsidRPr="00503D2D">
          <w:rPr>
            <w:rStyle w:val="Hyperlink"/>
            <w:rFonts w:ascii="Arial Negrito" w:eastAsia="Batang" w:hAnsi="Arial Negrito"/>
            <w:bCs/>
            <w:lang w:eastAsia="en-US"/>
          </w:rPr>
          <w:t>3.3.7.12.</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Responsável pela Implementação do Programa</w:t>
        </w:r>
        <w:r w:rsidR="00DF458B">
          <w:rPr>
            <w:webHidden/>
          </w:rPr>
          <w:tab/>
        </w:r>
        <w:r w:rsidR="00B80A05">
          <w:rPr>
            <w:webHidden/>
          </w:rPr>
          <w:fldChar w:fldCharType="begin"/>
        </w:r>
        <w:r w:rsidR="00DF458B">
          <w:rPr>
            <w:webHidden/>
          </w:rPr>
          <w:instrText xml:space="preserve"> PAGEREF _Toc419813773 \h </w:instrText>
        </w:r>
        <w:r w:rsidR="00B80A05">
          <w:rPr>
            <w:webHidden/>
          </w:rPr>
        </w:r>
        <w:r w:rsidR="00B80A05">
          <w:rPr>
            <w:webHidden/>
          </w:rPr>
          <w:fldChar w:fldCharType="separate"/>
        </w:r>
        <w:r w:rsidR="00316060">
          <w:rPr>
            <w:webHidden/>
          </w:rPr>
          <w:t>196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74" w:history="1">
        <w:r w:rsidR="00DF458B" w:rsidRPr="00503D2D">
          <w:rPr>
            <w:rStyle w:val="Hyperlink"/>
            <w:rFonts w:ascii="Arial Negrito" w:eastAsia="Batang" w:hAnsi="Arial Negrito"/>
            <w:bCs/>
            <w:lang w:eastAsia="en-US"/>
          </w:rPr>
          <w:t>3.3.7.13.</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Sistemas de Registros</w:t>
        </w:r>
        <w:r w:rsidR="00DF458B">
          <w:rPr>
            <w:webHidden/>
          </w:rPr>
          <w:tab/>
        </w:r>
        <w:r w:rsidR="00B80A05">
          <w:rPr>
            <w:webHidden/>
          </w:rPr>
          <w:fldChar w:fldCharType="begin"/>
        </w:r>
        <w:r w:rsidR="00DF458B">
          <w:rPr>
            <w:webHidden/>
          </w:rPr>
          <w:instrText xml:space="preserve"> PAGEREF _Toc419813774 \h </w:instrText>
        </w:r>
        <w:r w:rsidR="00B80A05">
          <w:rPr>
            <w:webHidden/>
          </w:rPr>
        </w:r>
        <w:r w:rsidR="00B80A05">
          <w:rPr>
            <w:webHidden/>
          </w:rPr>
          <w:fldChar w:fldCharType="separate"/>
        </w:r>
        <w:r w:rsidR="00316060">
          <w:rPr>
            <w:webHidden/>
          </w:rPr>
          <w:t>196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75" w:history="1">
        <w:r w:rsidR="00DF458B" w:rsidRPr="00503D2D">
          <w:rPr>
            <w:rStyle w:val="Hyperlink"/>
            <w:rFonts w:ascii="Arial Negrito" w:eastAsia="Batang" w:hAnsi="Arial Negrito"/>
            <w:bCs/>
            <w:lang w:eastAsia="en-US"/>
          </w:rPr>
          <w:t>3.3.7.14.</w:t>
        </w:r>
        <w:r w:rsidR="00DF458B">
          <w:rPr>
            <w:rFonts w:asciiTheme="minorHAnsi" w:eastAsiaTheme="minorEastAsia" w:hAnsiTheme="minorHAnsi" w:cstheme="minorBidi"/>
          </w:rPr>
          <w:tab/>
        </w:r>
        <w:r w:rsidR="00DF458B" w:rsidRPr="00503D2D">
          <w:rPr>
            <w:rStyle w:val="Hyperlink"/>
            <w:rFonts w:ascii="Arial Negrito" w:eastAsia="Batang" w:hAnsi="Arial Negrito"/>
            <w:bCs/>
            <w:lang w:eastAsia="en-US"/>
          </w:rPr>
          <w:t>Referências Bibliográficas</w:t>
        </w:r>
        <w:r w:rsidR="00DF458B">
          <w:rPr>
            <w:webHidden/>
          </w:rPr>
          <w:tab/>
        </w:r>
        <w:r w:rsidR="00B80A05">
          <w:rPr>
            <w:webHidden/>
          </w:rPr>
          <w:fldChar w:fldCharType="begin"/>
        </w:r>
        <w:r w:rsidR="00DF458B">
          <w:rPr>
            <w:webHidden/>
          </w:rPr>
          <w:instrText xml:space="preserve"> PAGEREF _Toc419813775 \h </w:instrText>
        </w:r>
        <w:r w:rsidR="00B80A05">
          <w:rPr>
            <w:webHidden/>
          </w:rPr>
        </w:r>
        <w:r w:rsidR="00B80A05">
          <w:rPr>
            <w:webHidden/>
          </w:rPr>
          <w:fldChar w:fldCharType="separate"/>
        </w:r>
        <w:r w:rsidR="00316060">
          <w:rPr>
            <w:webHidden/>
          </w:rPr>
          <w:t>196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76" w:history="1">
        <w:r w:rsidR="00DF458B" w:rsidRPr="00503D2D">
          <w:rPr>
            <w:rStyle w:val="Hyperlink"/>
            <w:rFonts w:ascii="Arial Negrito" w:hAnsi="Arial Negrito" w:cs="Arial"/>
          </w:rPr>
          <w:t>3.3.8.</w:t>
        </w:r>
        <w:r w:rsidR="00DF458B">
          <w:rPr>
            <w:rStyle w:val="Hyperlink"/>
            <w:rFonts w:ascii="Arial Negrito" w:hAnsi="Arial Negrito" w:cs="Arial"/>
          </w:rPr>
          <w:t xml:space="preserve"> </w:t>
        </w:r>
        <w:r w:rsidR="00DF458B" w:rsidRPr="00503D2D">
          <w:rPr>
            <w:rStyle w:val="Hyperlink"/>
            <w:rFonts w:ascii="Arial Negrito" w:hAnsi="Arial Negrito"/>
          </w:rPr>
          <w:t>Programa de Monitoramento da Estabilidade das Encostas Marginais e Processos</w:t>
        </w:r>
        <w:r w:rsidR="00DF458B" w:rsidRPr="00503D2D">
          <w:rPr>
            <w:rStyle w:val="Hyperlink"/>
            <w:rFonts w:ascii="Arial Negrito" w:hAnsi="Arial Negrito" w:cs="Arial"/>
          </w:rPr>
          <w:t xml:space="preserve"> Erosivos</w:t>
        </w:r>
        <w:r w:rsidR="00DF458B">
          <w:rPr>
            <w:webHidden/>
          </w:rPr>
          <w:tab/>
        </w:r>
        <w:r w:rsidR="00B80A05">
          <w:rPr>
            <w:webHidden/>
          </w:rPr>
          <w:fldChar w:fldCharType="begin"/>
        </w:r>
        <w:r w:rsidR="00DF458B">
          <w:rPr>
            <w:webHidden/>
          </w:rPr>
          <w:instrText xml:space="preserve"> PAGEREF _Toc419813776 \h </w:instrText>
        </w:r>
        <w:r w:rsidR="00B80A05">
          <w:rPr>
            <w:webHidden/>
          </w:rPr>
        </w:r>
        <w:r w:rsidR="00B80A05">
          <w:rPr>
            <w:webHidden/>
          </w:rPr>
          <w:fldChar w:fldCharType="separate"/>
        </w:r>
        <w:r w:rsidR="00316060">
          <w:rPr>
            <w:webHidden/>
          </w:rPr>
          <w:t>196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77" w:history="1">
        <w:r w:rsidR="00DF458B" w:rsidRPr="00503D2D">
          <w:rPr>
            <w:rStyle w:val="Hyperlink"/>
            <w:rFonts w:ascii="Arial Negrito" w:hAnsi="Arial Negrito"/>
          </w:rPr>
          <w:t>3.3.8.1.</w:t>
        </w:r>
        <w:r w:rsidR="00DF458B">
          <w:rPr>
            <w:rFonts w:asciiTheme="minorHAnsi" w:eastAsiaTheme="minorEastAsia" w:hAnsiTheme="minorHAnsi" w:cstheme="minorBidi"/>
          </w:rPr>
          <w:tab/>
        </w:r>
        <w:r w:rsidR="00DF458B" w:rsidRPr="00503D2D">
          <w:rPr>
            <w:rStyle w:val="Hyperlink"/>
            <w:rFonts w:ascii="Arial Negrito" w:hAnsi="Arial Negrito"/>
          </w:rPr>
          <w:t>Apresentação e Justificativa</w:t>
        </w:r>
        <w:r w:rsidR="00DF458B">
          <w:rPr>
            <w:webHidden/>
          </w:rPr>
          <w:tab/>
        </w:r>
        <w:r w:rsidR="00B80A05">
          <w:rPr>
            <w:webHidden/>
          </w:rPr>
          <w:fldChar w:fldCharType="begin"/>
        </w:r>
        <w:r w:rsidR="00DF458B">
          <w:rPr>
            <w:webHidden/>
          </w:rPr>
          <w:instrText xml:space="preserve"> PAGEREF _Toc419813777 \h </w:instrText>
        </w:r>
        <w:r w:rsidR="00B80A05">
          <w:rPr>
            <w:webHidden/>
          </w:rPr>
        </w:r>
        <w:r w:rsidR="00B80A05">
          <w:rPr>
            <w:webHidden/>
          </w:rPr>
          <w:fldChar w:fldCharType="separate"/>
        </w:r>
        <w:r w:rsidR="00316060">
          <w:rPr>
            <w:webHidden/>
          </w:rPr>
          <w:t>196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78" w:history="1">
        <w:r w:rsidR="00DF458B" w:rsidRPr="00503D2D">
          <w:rPr>
            <w:rStyle w:val="Hyperlink"/>
            <w:rFonts w:ascii="Arial Negrito" w:hAnsi="Arial Negrito"/>
          </w:rPr>
          <w:t>3.3.8.2.</w:t>
        </w:r>
        <w:r w:rsidR="00DF458B">
          <w:rPr>
            <w:rFonts w:asciiTheme="minorHAnsi" w:eastAsiaTheme="minorEastAsia" w:hAnsiTheme="minorHAnsi" w:cstheme="minorBidi"/>
          </w:rPr>
          <w:tab/>
        </w:r>
        <w:r w:rsidR="00DF458B" w:rsidRPr="00503D2D">
          <w:rPr>
            <w:rStyle w:val="Hyperlink"/>
            <w:rFonts w:ascii="Arial Negrito" w:hAnsi="Arial Negrito"/>
          </w:rPr>
          <w:t>Objetivos</w:t>
        </w:r>
        <w:r w:rsidR="00DF458B">
          <w:rPr>
            <w:webHidden/>
          </w:rPr>
          <w:tab/>
        </w:r>
        <w:r w:rsidR="00B80A05">
          <w:rPr>
            <w:webHidden/>
          </w:rPr>
          <w:fldChar w:fldCharType="begin"/>
        </w:r>
        <w:r w:rsidR="00DF458B">
          <w:rPr>
            <w:webHidden/>
          </w:rPr>
          <w:instrText xml:space="preserve"> PAGEREF _Toc419813778 \h </w:instrText>
        </w:r>
        <w:r w:rsidR="00B80A05">
          <w:rPr>
            <w:webHidden/>
          </w:rPr>
        </w:r>
        <w:r w:rsidR="00B80A05">
          <w:rPr>
            <w:webHidden/>
          </w:rPr>
          <w:fldChar w:fldCharType="separate"/>
        </w:r>
        <w:r w:rsidR="00316060">
          <w:rPr>
            <w:webHidden/>
          </w:rPr>
          <w:t>197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79" w:history="1">
        <w:r w:rsidR="00DF458B" w:rsidRPr="00503D2D">
          <w:rPr>
            <w:rStyle w:val="Hyperlink"/>
            <w:rFonts w:ascii="Arial Negrito" w:hAnsi="Arial Negrito"/>
          </w:rPr>
          <w:t>3.3.8.3.</w:t>
        </w:r>
        <w:r w:rsidR="00DF458B">
          <w:rPr>
            <w:rFonts w:asciiTheme="minorHAnsi" w:eastAsiaTheme="minorEastAsia" w:hAnsiTheme="minorHAnsi" w:cstheme="minorBidi"/>
          </w:rPr>
          <w:tab/>
        </w:r>
        <w:r w:rsidR="00DF458B" w:rsidRPr="00503D2D">
          <w:rPr>
            <w:rStyle w:val="Hyperlink"/>
            <w:rFonts w:ascii="Arial Negrito" w:hAnsi="Arial Negrito"/>
          </w:rPr>
          <w:t>Metas</w:t>
        </w:r>
        <w:r w:rsidR="00DF458B">
          <w:rPr>
            <w:webHidden/>
          </w:rPr>
          <w:tab/>
        </w:r>
        <w:r w:rsidR="00B80A05">
          <w:rPr>
            <w:webHidden/>
          </w:rPr>
          <w:fldChar w:fldCharType="begin"/>
        </w:r>
        <w:r w:rsidR="00DF458B">
          <w:rPr>
            <w:webHidden/>
          </w:rPr>
          <w:instrText xml:space="preserve"> PAGEREF _Toc419813779 \h </w:instrText>
        </w:r>
        <w:r w:rsidR="00B80A05">
          <w:rPr>
            <w:webHidden/>
          </w:rPr>
        </w:r>
        <w:r w:rsidR="00B80A05">
          <w:rPr>
            <w:webHidden/>
          </w:rPr>
          <w:fldChar w:fldCharType="separate"/>
        </w:r>
        <w:r w:rsidR="00316060">
          <w:rPr>
            <w:webHidden/>
          </w:rPr>
          <w:t>197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80" w:history="1">
        <w:r w:rsidR="00DF458B" w:rsidRPr="00503D2D">
          <w:rPr>
            <w:rStyle w:val="Hyperlink"/>
            <w:rFonts w:ascii="Arial Negrito" w:hAnsi="Arial Negrito"/>
          </w:rPr>
          <w:t>3.3.8.4.</w:t>
        </w:r>
        <w:r w:rsidR="00DF458B">
          <w:rPr>
            <w:rFonts w:asciiTheme="minorHAnsi" w:eastAsiaTheme="minorEastAsia" w:hAnsiTheme="minorHAnsi" w:cstheme="minorBidi"/>
          </w:rPr>
          <w:tab/>
        </w:r>
        <w:r w:rsidR="00DF458B" w:rsidRPr="00503D2D">
          <w:rPr>
            <w:rStyle w:val="Hyperlink"/>
            <w:rFonts w:ascii="Arial Negrito" w:hAnsi="Arial Negrito"/>
          </w:rPr>
          <w:t>Público alvo</w:t>
        </w:r>
        <w:r w:rsidR="00DF458B">
          <w:rPr>
            <w:webHidden/>
          </w:rPr>
          <w:tab/>
        </w:r>
        <w:r w:rsidR="00B80A05">
          <w:rPr>
            <w:webHidden/>
          </w:rPr>
          <w:fldChar w:fldCharType="begin"/>
        </w:r>
        <w:r w:rsidR="00DF458B">
          <w:rPr>
            <w:webHidden/>
          </w:rPr>
          <w:instrText xml:space="preserve"> PAGEREF _Toc419813780 \h </w:instrText>
        </w:r>
        <w:r w:rsidR="00B80A05">
          <w:rPr>
            <w:webHidden/>
          </w:rPr>
        </w:r>
        <w:r w:rsidR="00B80A05">
          <w:rPr>
            <w:webHidden/>
          </w:rPr>
          <w:fldChar w:fldCharType="separate"/>
        </w:r>
        <w:r w:rsidR="00316060">
          <w:rPr>
            <w:webHidden/>
          </w:rPr>
          <w:t>197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81" w:history="1">
        <w:r w:rsidR="00DF458B" w:rsidRPr="00503D2D">
          <w:rPr>
            <w:rStyle w:val="Hyperlink"/>
            <w:rFonts w:ascii="Arial Negrito" w:hAnsi="Arial Negrito"/>
          </w:rPr>
          <w:t>3.3.8.5.</w:t>
        </w:r>
        <w:r w:rsidR="00DF458B">
          <w:rPr>
            <w:rFonts w:asciiTheme="minorHAnsi" w:eastAsiaTheme="minorEastAsia" w:hAnsiTheme="minorHAnsi" w:cstheme="minorBidi"/>
          </w:rPr>
          <w:tab/>
        </w:r>
        <w:r w:rsidR="00DF458B" w:rsidRPr="00503D2D">
          <w:rPr>
            <w:rStyle w:val="Hyperlink"/>
            <w:rFonts w:ascii="Arial Negrito" w:hAnsi="Arial Negrito"/>
          </w:rPr>
          <w:t>Métodos e Descrição do Programa (Procedimentos)</w:t>
        </w:r>
        <w:r w:rsidR="00DF458B">
          <w:rPr>
            <w:webHidden/>
          </w:rPr>
          <w:tab/>
        </w:r>
        <w:r w:rsidR="00B80A05">
          <w:rPr>
            <w:webHidden/>
          </w:rPr>
          <w:fldChar w:fldCharType="begin"/>
        </w:r>
        <w:r w:rsidR="00DF458B">
          <w:rPr>
            <w:webHidden/>
          </w:rPr>
          <w:instrText xml:space="preserve"> PAGEREF _Toc419813781 \h </w:instrText>
        </w:r>
        <w:r w:rsidR="00B80A05">
          <w:rPr>
            <w:webHidden/>
          </w:rPr>
        </w:r>
        <w:r w:rsidR="00B80A05">
          <w:rPr>
            <w:webHidden/>
          </w:rPr>
          <w:fldChar w:fldCharType="separate"/>
        </w:r>
        <w:r w:rsidR="00316060">
          <w:rPr>
            <w:webHidden/>
          </w:rPr>
          <w:t>197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82" w:history="1">
        <w:r w:rsidR="00DF458B" w:rsidRPr="00503D2D">
          <w:rPr>
            <w:rStyle w:val="Hyperlink"/>
            <w:rFonts w:ascii="Arial Negrito" w:hAnsi="Arial Negrito"/>
          </w:rPr>
          <w:t>3.3.8.6.</w:t>
        </w:r>
        <w:r w:rsidR="00DF458B">
          <w:rPr>
            <w:rFonts w:asciiTheme="minorHAnsi" w:eastAsiaTheme="minorEastAsia" w:hAnsiTheme="minorHAnsi" w:cstheme="minorBidi"/>
          </w:rPr>
          <w:tab/>
        </w:r>
        <w:r w:rsidR="00DF458B" w:rsidRPr="00503D2D">
          <w:rPr>
            <w:rStyle w:val="Hyperlink"/>
            <w:rFonts w:ascii="Arial Negrito" w:hAnsi="Arial Negrito"/>
          </w:rPr>
          <w:t>Indicadores Ambientais</w:t>
        </w:r>
        <w:r w:rsidR="00DF458B">
          <w:rPr>
            <w:webHidden/>
          </w:rPr>
          <w:tab/>
        </w:r>
        <w:r w:rsidR="00B80A05">
          <w:rPr>
            <w:webHidden/>
          </w:rPr>
          <w:fldChar w:fldCharType="begin"/>
        </w:r>
        <w:r w:rsidR="00DF458B">
          <w:rPr>
            <w:webHidden/>
          </w:rPr>
          <w:instrText xml:space="preserve"> PAGEREF _Toc419813782 \h </w:instrText>
        </w:r>
        <w:r w:rsidR="00B80A05">
          <w:rPr>
            <w:webHidden/>
          </w:rPr>
        </w:r>
        <w:r w:rsidR="00B80A05">
          <w:rPr>
            <w:webHidden/>
          </w:rPr>
          <w:fldChar w:fldCharType="separate"/>
        </w:r>
        <w:r w:rsidR="00316060">
          <w:rPr>
            <w:webHidden/>
          </w:rPr>
          <w:t>199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83" w:history="1">
        <w:r w:rsidR="00DF458B" w:rsidRPr="00503D2D">
          <w:rPr>
            <w:rStyle w:val="Hyperlink"/>
            <w:rFonts w:ascii="Arial Negrito" w:hAnsi="Arial Negrito"/>
          </w:rPr>
          <w:t>3.3.8.7.</w:t>
        </w:r>
        <w:r w:rsidR="00DF458B">
          <w:rPr>
            <w:rFonts w:asciiTheme="minorHAnsi" w:eastAsiaTheme="minorEastAsia" w:hAnsiTheme="minorHAnsi" w:cstheme="minorBidi"/>
          </w:rPr>
          <w:tab/>
        </w:r>
        <w:r w:rsidR="00DF458B" w:rsidRPr="00503D2D">
          <w:rPr>
            <w:rStyle w:val="Hyperlink"/>
            <w:rFonts w:ascii="Arial Negrito" w:hAnsi="Arial Negrito"/>
          </w:rPr>
          <w:t>Recursos Materiais e Humanos</w:t>
        </w:r>
        <w:r w:rsidR="00DF458B">
          <w:rPr>
            <w:webHidden/>
          </w:rPr>
          <w:tab/>
        </w:r>
        <w:r w:rsidR="00B80A05">
          <w:rPr>
            <w:webHidden/>
          </w:rPr>
          <w:fldChar w:fldCharType="begin"/>
        </w:r>
        <w:r w:rsidR="00DF458B">
          <w:rPr>
            <w:webHidden/>
          </w:rPr>
          <w:instrText xml:space="preserve"> PAGEREF _Toc419813783 \h </w:instrText>
        </w:r>
        <w:r w:rsidR="00B80A05">
          <w:rPr>
            <w:webHidden/>
          </w:rPr>
        </w:r>
        <w:r w:rsidR="00B80A05">
          <w:rPr>
            <w:webHidden/>
          </w:rPr>
          <w:fldChar w:fldCharType="separate"/>
        </w:r>
        <w:r w:rsidR="00316060">
          <w:rPr>
            <w:webHidden/>
          </w:rPr>
          <w:t>199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84" w:history="1">
        <w:r w:rsidR="00DF458B" w:rsidRPr="00503D2D">
          <w:rPr>
            <w:rStyle w:val="Hyperlink"/>
            <w:rFonts w:ascii="Arial Negrito" w:hAnsi="Arial Negrito"/>
          </w:rPr>
          <w:t>3.3.8.8.</w:t>
        </w:r>
        <w:r w:rsidR="00DF458B">
          <w:rPr>
            <w:rFonts w:asciiTheme="minorHAnsi" w:eastAsiaTheme="minorEastAsia" w:hAnsiTheme="minorHAnsi" w:cstheme="minorBidi"/>
          </w:rPr>
          <w:tab/>
        </w:r>
        <w:r w:rsidR="00DF458B" w:rsidRPr="00503D2D">
          <w:rPr>
            <w:rStyle w:val="Hyperlink"/>
            <w:rFonts w:ascii="Arial Negrito" w:hAnsi="Arial Negrito"/>
          </w:rPr>
          <w:t>Atendimento a Requisitos Legais e/ou Outros Requisitos</w:t>
        </w:r>
        <w:r w:rsidR="00DF458B">
          <w:rPr>
            <w:webHidden/>
          </w:rPr>
          <w:tab/>
        </w:r>
        <w:r w:rsidR="00B80A05">
          <w:rPr>
            <w:webHidden/>
          </w:rPr>
          <w:fldChar w:fldCharType="begin"/>
        </w:r>
        <w:r w:rsidR="00DF458B">
          <w:rPr>
            <w:webHidden/>
          </w:rPr>
          <w:instrText xml:space="preserve"> PAGEREF _Toc419813784 \h </w:instrText>
        </w:r>
        <w:r w:rsidR="00B80A05">
          <w:rPr>
            <w:webHidden/>
          </w:rPr>
        </w:r>
        <w:r w:rsidR="00B80A05">
          <w:rPr>
            <w:webHidden/>
          </w:rPr>
          <w:fldChar w:fldCharType="separate"/>
        </w:r>
        <w:r w:rsidR="00316060">
          <w:rPr>
            <w:webHidden/>
          </w:rPr>
          <w:t>199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85" w:history="1">
        <w:r w:rsidR="00DF458B" w:rsidRPr="00503D2D">
          <w:rPr>
            <w:rStyle w:val="Hyperlink"/>
            <w:rFonts w:ascii="Arial Negrito" w:hAnsi="Arial Negrito"/>
          </w:rPr>
          <w:t>3.3.8.9.</w:t>
        </w:r>
        <w:r w:rsidR="00DF458B">
          <w:rPr>
            <w:rFonts w:asciiTheme="minorHAnsi" w:eastAsiaTheme="minorEastAsia" w:hAnsiTheme="minorHAnsi" w:cstheme="minorBidi"/>
          </w:rPr>
          <w:tab/>
        </w:r>
        <w:r w:rsidR="00DF458B" w:rsidRPr="00503D2D">
          <w:rPr>
            <w:rStyle w:val="Hyperlink"/>
            <w:rFonts w:ascii="Arial Negrito" w:hAnsi="Arial Negrito"/>
          </w:rPr>
          <w:t>Inter-relação com outros Planos e Programas</w:t>
        </w:r>
        <w:r w:rsidR="00DF458B">
          <w:rPr>
            <w:webHidden/>
          </w:rPr>
          <w:tab/>
        </w:r>
        <w:r w:rsidR="00B80A05">
          <w:rPr>
            <w:webHidden/>
          </w:rPr>
          <w:fldChar w:fldCharType="begin"/>
        </w:r>
        <w:r w:rsidR="00DF458B">
          <w:rPr>
            <w:webHidden/>
          </w:rPr>
          <w:instrText xml:space="preserve"> PAGEREF _Toc419813785 \h </w:instrText>
        </w:r>
        <w:r w:rsidR="00B80A05">
          <w:rPr>
            <w:webHidden/>
          </w:rPr>
        </w:r>
        <w:r w:rsidR="00B80A05">
          <w:rPr>
            <w:webHidden/>
          </w:rPr>
          <w:fldChar w:fldCharType="separate"/>
        </w:r>
        <w:r w:rsidR="00316060">
          <w:rPr>
            <w:webHidden/>
          </w:rPr>
          <w:t>200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86" w:history="1">
        <w:r w:rsidR="00DF458B" w:rsidRPr="00503D2D">
          <w:rPr>
            <w:rStyle w:val="Hyperlink"/>
            <w:rFonts w:ascii="Arial Negrito" w:hAnsi="Arial Negrito"/>
          </w:rPr>
          <w:t>3.3.8.10.</w:t>
        </w:r>
        <w:r w:rsidR="00DF458B">
          <w:rPr>
            <w:rFonts w:asciiTheme="minorHAnsi" w:eastAsiaTheme="minorEastAsia" w:hAnsiTheme="minorHAnsi" w:cstheme="minorBidi"/>
          </w:rPr>
          <w:tab/>
        </w:r>
        <w:r w:rsidR="00DF458B" w:rsidRPr="00503D2D">
          <w:rPr>
            <w:rStyle w:val="Hyperlink"/>
            <w:rFonts w:ascii="Arial Negrito" w:hAnsi="Arial Negrito"/>
          </w:rPr>
          <w:t>Etapa do Empreendimento</w:t>
        </w:r>
        <w:r w:rsidR="00DF458B">
          <w:rPr>
            <w:webHidden/>
          </w:rPr>
          <w:tab/>
        </w:r>
        <w:r w:rsidR="00B80A05">
          <w:rPr>
            <w:webHidden/>
          </w:rPr>
          <w:fldChar w:fldCharType="begin"/>
        </w:r>
        <w:r w:rsidR="00DF458B">
          <w:rPr>
            <w:webHidden/>
          </w:rPr>
          <w:instrText xml:space="preserve"> PAGEREF _Toc419813786 \h </w:instrText>
        </w:r>
        <w:r w:rsidR="00B80A05">
          <w:rPr>
            <w:webHidden/>
          </w:rPr>
        </w:r>
        <w:r w:rsidR="00B80A05">
          <w:rPr>
            <w:webHidden/>
          </w:rPr>
          <w:fldChar w:fldCharType="separate"/>
        </w:r>
        <w:r w:rsidR="00316060">
          <w:rPr>
            <w:webHidden/>
          </w:rPr>
          <w:t>200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87" w:history="1">
        <w:r w:rsidR="00DF458B" w:rsidRPr="00503D2D">
          <w:rPr>
            <w:rStyle w:val="Hyperlink"/>
            <w:rFonts w:ascii="Arial Negrito" w:hAnsi="Arial Negrito"/>
          </w:rPr>
          <w:t>3.3.8.11.</w:t>
        </w:r>
        <w:r w:rsidR="00DF458B">
          <w:rPr>
            <w:rFonts w:asciiTheme="minorHAnsi" w:eastAsiaTheme="minorEastAsia" w:hAnsiTheme="minorHAnsi" w:cstheme="minorBidi"/>
          </w:rPr>
          <w:tab/>
        </w:r>
        <w:r w:rsidR="00DF458B" w:rsidRPr="00503D2D">
          <w:rPr>
            <w:rStyle w:val="Hyperlink"/>
            <w:rFonts w:ascii="Arial Negrito" w:hAnsi="Arial Negrito"/>
          </w:rPr>
          <w:t>Cronograma de Execução</w:t>
        </w:r>
        <w:r w:rsidR="00DF458B">
          <w:rPr>
            <w:webHidden/>
          </w:rPr>
          <w:tab/>
        </w:r>
        <w:r w:rsidR="00B80A05">
          <w:rPr>
            <w:webHidden/>
          </w:rPr>
          <w:fldChar w:fldCharType="begin"/>
        </w:r>
        <w:r w:rsidR="00DF458B">
          <w:rPr>
            <w:webHidden/>
          </w:rPr>
          <w:instrText xml:space="preserve"> PAGEREF _Toc419813787 \h </w:instrText>
        </w:r>
        <w:r w:rsidR="00B80A05">
          <w:rPr>
            <w:webHidden/>
          </w:rPr>
        </w:r>
        <w:r w:rsidR="00B80A05">
          <w:rPr>
            <w:webHidden/>
          </w:rPr>
          <w:fldChar w:fldCharType="separate"/>
        </w:r>
        <w:r w:rsidR="00316060">
          <w:rPr>
            <w:webHidden/>
          </w:rPr>
          <w:t>200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88" w:history="1">
        <w:r w:rsidR="00DF458B" w:rsidRPr="00503D2D">
          <w:rPr>
            <w:rStyle w:val="Hyperlink"/>
            <w:rFonts w:ascii="Arial Negrito" w:hAnsi="Arial Negrito"/>
          </w:rPr>
          <w:t>3.3.8.12.</w:t>
        </w:r>
        <w:r w:rsidR="00DF458B">
          <w:rPr>
            <w:rFonts w:asciiTheme="minorHAnsi" w:eastAsiaTheme="minorEastAsia" w:hAnsiTheme="minorHAnsi" w:cstheme="minorBidi"/>
          </w:rPr>
          <w:tab/>
        </w:r>
        <w:r w:rsidR="00DF458B" w:rsidRPr="00503D2D">
          <w:rPr>
            <w:rStyle w:val="Hyperlink"/>
            <w:rFonts w:ascii="Arial Negrito" w:hAnsi="Arial Negrito"/>
          </w:rPr>
          <w:t>Responsável pela Implementação do Programa</w:t>
        </w:r>
        <w:r w:rsidR="00DF458B">
          <w:rPr>
            <w:webHidden/>
          </w:rPr>
          <w:tab/>
        </w:r>
        <w:r w:rsidR="00B80A05">
          <w:rPr>
            <w:webHidden/>
          </w:rPr>
          <w:fldChar w:fldCharType="begin"/>
        </w:r>
        <w:r w:rsidR="00DF458B">
          <w:rPr>
            <w:webHidden/>
          </w:rPr>
          <w:instrText xml:space="preserve"> PAGEREF _Toc419813788 \h </w:instrText>
        </w:r>
        <w:r w:rsidR="00B80A05">
          <w:rPr>
            <w:webHidden/>
          </w:rPr>
        </w:r>
        <w:r w:rsidR="00B80A05">
          <w:rPr>
            <w:webHidden/>
          </w:rPr>
          <w:fldChar w:fldCharType="separate"/>
        </w:r>
        <w:r w:rsidR="00316060">
          <w:rPr>
            <w:webHidden/>
          </w:rPr>
          <w:t>201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89" w:history="1">
        <w:r w:rsidR="00DF458B" w:rsidRPr="00503D2D">
          <w:rPr>
            <w:rStyle w:val="Hyperlink"/>
            <w:rFonts w:ascii="Arial Negrito" w:hAnsi="Arial Negrito"/>
          </w:rPr>
          <w:t>3.3.8.13.</w:t>
        </w:r>
        <w:r w:rsidR="00DF458B">
          <w:rPr>
            <w:rFonts w:asciiTheme="minorHAnsi" w:eastAsiaTheme="minorEastAsia" w:hAnsiTheme="minorHAnsi" w:cstheme="minorBidi"/>
          </w:rPr>
          <w:tab/>
        </w:r>
        <w:r w:rsidR="00DF458B" w:rsidRPr="00503D2D">
          <w:rPr>
            <w:rStyle w:val="Hyperlink"/>
            <w:rFonts w:ascii="Arial Negrito" w:hAnsi="Arial Negrito"/>
          </w:rPr>
          <w:t>Sistemas de Registros</w:t>
        </w:r>
        <w:r w:rsidR="00DF458B">
          <w:rPr>
            <w:webHidden/>
          </w:rPr>
          <w:tab/>
        </w:r>
        <w:r w:rsidR="00B80A05">
          <w:rPr>
            <w:webHidden/>
          </w:rPr>
          <w:fldChar w:fldCharType="begin"/>
        </w:r>
        <w:r w:rsidR="00DF458B">
          <w:rPr>
            <w:webHidden/>
          </w:rPr>
          <w:instrText xml:space="preserve"> PAGEREF _Toc419813789 \h </w:instrText>
        </w:r>
        <w:r w:rsidR="00B80A05">
          <w:rPr>
            <w:webHidden/>
          </w:rPr>
        </w:r>
        <w:r w:rsidR="00B80A05">
          <w:rPr>
            <w:webHidden/>
          </w:rPr>
          <w:fldChar w:fldCharType="separate"/>
        </w:r>
        <w:r w:rsidR="00316060">
          <w:rPr>
            <w:webHidden/>
          </w:rPr>
          <w:t>201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90" w:history="1">
        <w:r w:rsidR="00DF458B" w:rsidRPr="00503D2D">
          <w:rPr>
            <w:rStyle w:val="Hyperlink"/>
            <w:rFonts w:ascii="Arial Negrito" w:hAnsi="Arial Negrito"/>
          </w:rPr>
          <w:t>3.3.8.14.</w:t>
        </w:r>
        <w:r w:rsidR="00DF458B">
          <w:rPr>
            <w:rFonts w:asciiTheme="minorHAnsi" w:eastAsiaTheme="minorEastAsia" w:hAnsiTheme="minorHAnsi" w:cstheme="minorBidi"/>
          </w:rPr>
          <w:tab/>
        </w:r>
        <w:r w:rsidR="00DF458B" w:rsidRPr="00503D2D">
          <w:rPr>
            <w:rStyle w:val="Hyperlink"/>
            <w:rFonts w:ascii="Arial Negrito" w:hAnsi="Arial Negrito"/>
          </w:rPr>
          <w:t>Referências Bibliográficas</w:t>
        </w:r>
        <w:r w:rsidR="00DF458B">
          <w:rPr>
            <w:webHidden/>
          </w:rPr>
          <w:tab/>
        </w:r>
        <w:r w:rsidR="00B80A05">
          <w:rPr>
            <w:webHidden/>
          </w:rPr>
          <w:fldChar w:fldCharType="begin"/>
        </w:r>
        <w:r w:rsidR="00DF458B">
          <w:rPr>
            <w:webHidden/>
          </w:rPr>
          <w:instrText xml:space="preserve"> PAGEREF _Toc419813790 \h </w:instrText>
        </w:r>
        <w:r w:rsidR="00B80A05">
          <w:rPr>
            <w:webHidden/>
          </w:rPr>
        </w:r>
        <w:r w:rsidR="00B80A05">
          <w:rPr>
            <w:webHidden/>
          </w:rPr>
          <w:fldChar w:fldCharType="separate"/>
        </w:r>
        <w:r w:rsidR="00316060">
          <w:rPr>
            <w:webHidden/>
          </w:rPr>
          <w:t>201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91" w:history="1">
        <w:r w:rsidR="00DF458B" w:rsidRPr="00503D2D">
          <w:rPr>
            <w:rStyle w:val="Hyperlink"/>
            <w:rFonts w:ascii="Arial Negrito" w:hAnsi="Arial Negrito"/>
          </w:rPr>
          <w:t>3.3.9.</w:t>
        </w:r>
        <w:r w:rsidR="00DF458B">
          <w:rPr>
            <w:rFonts w:asciiTheme="minorHAnsi" w:eastAsiaTheme="minorEastAsia" w:hAnsiTheme="minorHAnsi" w:cstheme="minorBidi"/>
          </w:rPr>
          <w:tab/>
        </w:r>
        <w:r w:rsidR="00DF458B" w:rsidRPr="00503D2D">
          <w:rPr>
            <w:rStyle w:val="Hyperlink"/>
            <w:rFonts w:ascii="Arial Negrito" w:hAnsi="Arial Negrito"/>
          </w:rPr>
          <w:t>Programa de Monitoramento Sismológico</w:t>
        </w:r>
        <w:r w:rsidR="00DF458B">
          <w:rPr>
            <w:webHidden/>
          </w:rPr>
          <w:tab/>
        </w:r>
        <w:r w:rsidR="00B80A05">
          <w:rPr>
            <w:webHidden/>
          </w:rPr>
          <w:fldChar w:fldCharType="begin"/>
        </w:r>
        <w:r w:rsidR="00DF458B">
          <w:rPr>
            <w:webHidden/>
          </w:rPr>
          <w:instrText xml:space="preserve"> PAGEREF _Toc419813791 \h </w:instrText>
        </w:r>
        <w:r w:rsidR="00B80A05">
          <w:rPr>
            <w:webHidden/>
          </w:rPr>
        </w:r>
        <w:r w:rsidR="00B80A05">
          <w:rPr>
            <w:webHidden/>
          </w:rPr>
          <w:fldChar w:fldCharType="separate"/>
        </w:r>
        <w:r w:rsidR="00316060">
          <w:rPr>
            <w:webHidden/>
          </w:rPr>
          <w:t>202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92" w:history="1">
        <w:r w:rsidR="00DF458B" w:rsidRPr="00503D2D">
          <w:rPr>
            <w:rStyle w:val="Hyperlink"/>
            <w:rFonts w:ascii="Arial Negrito" w:hAnsi="Arial Negrito"/>
          </w:rPr>
          <w:t>3.3.9.1.</w:t>
        </w:r>
        <w:r w:rsidR="00DF458B">
          <w:rPr>
            <w:rFonts w:asciiTheme="minorHAnsi" w:eastAsiaTheme="minorEastAsia" w:hAnsiTheme="minorHAnsi" w:cstheme="minorBidi"/>
          </w:rPr>
          <w:tab/>
        </w:r>
        <w:r w:rsidR="00DF458B" w:rsidRPr="00503D2D">
          <w:rPr>
            <w:rStyle w:val="Hyperlink"/>
            <w:rFonts w:ascii="Arial Negrito" w:hAnsi="Arial Negrito"/>
          </w:rPr>
          <w:t>Apresentação e Justificativa</w:t>
        </w:r>
        <w:r w:rsidR="00DF458B">
          <w:rPr>
            <w:webHidden/>
          </w:rPr>
          <w:tab/>
        </w:r>
        <w:r w:rsidR="00B80A05">
          <w:rPr>
            <w:webHidden/>
          </w:rPr>
          <w:fldChar w:fldCharType="begin"/>
        </w:r>
        <w:r w:rsidR="00DF458B">
          <w:rPr>
            <w:webHidden/>
          </w:rPr>
          <w:instrText xml:space="preserve"> PAGEREF _Toc419813792 \h </w:instrText>
        </w:r>
        <w:r w:rsidR="00B80A05">
          <w:rPr>
            <w:webHidden/>
          </w:rPr>
        </w:r>
        <w:r w:rsidR="00B80A05">
          <w:rPr>
            <w:webHidden/>
          </w:rPr>
          <w:fldChar w:fldCharType="separate"/>
        </w:r>
        <w:r w:rsidR="00316060">
          <w:rPr>
            <w:webHidden/>
          </w:rPr>
          <w:t>202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93" w:history="1">
        <w:r w:rsidR="00DF458B" w:rsidRPr="00503D2D">
          <w:rPr>
            <w:rStyle w:val="Hyperlink"/>
            <w:rFonts w:ascii="Arial Negrito" w:hAnsi="Arial Negrito"/>
          </w:rPr>
          <w:t>3.3.9.2.</w:t>
        </w:r>
        <w:r w:rsidR="00DF458B">
          <w:rPr>
            <w:rFonts w:asciiTheme="minorHAnsi" w:eastAsiaTheme="minorEastAsia" w:hAnsiTheme="minorHAnsi" w:cstheme="minorBidi"/>
          </w:rPr>
          <w:tab/>
        </w:r>
        <w:r w:rsidR="00DF458B" w:rsidRPr="00503D2D">
          <w:rPr>
            <w:rStyle w:val="Hyperlink"/>
            <w:rFonts w:ascii="Arial Negrito" w:hAnsi="Arial Negrito"/>
          </w:rPr>
          <w:t>Objetivos</w:t>
        </w:r>
        <w:r w:rsidR="00DF458B">
          <w:rPr>
            <w:webHidden/>
          </w:rPr>
          <w:tab/>
        </w:r>
        <w:r w:rsidR="00B80A05">
          <w:rPr>
            <w:webHidden/>
          </w:rPr>
          <w:fldChar w:fldCharType="begin"/>
        </w:r>
        <w:r w:rsidR="00DF458B">
          <w:rPr>
            <w:webHidden/>
          </w:rPr>
          <w:instrText xml:space="preserve"> PAGEREF _Toc419813793 \h </w:instrText>
        </w:r>
        <w:r w:rsidR="00B80A05">
          <w:rPr>
            <w:webHidden/>
          </w:rPr>
        </w:r>
        <w:r w:rsidR="00B80A05">
          <w:rPr>
            <w:webHidden/>
          </w:rPr>
          <w:fldChar w:fldCharType="separate"/>
        </w:r>
        <w:r w:rsidR="00316060">
          <w:rPr>
            <w:webHidden/>
          </w:rPr>
          <w:t>202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94" w:history="1">
        <w:r w:rsidR="00DF458B" w:rsidRPr="00503D2D">
          <w:rPr>
            <w:rStyle w:val="Hyperlink"/>
            <w:rFonts w:ascii="Arial Negrito" w:hAnsi="Arial Negrito"/>
          </w:rPr>
          <w:t>3.3.9.3.</w:t>
        </w:r>
        <w:r w:rsidR="00DF458B">
          <w:rPr>
            <w:rFonts w:asciiTheme="minorHAnsi" w:eastAsiaTheme="minorEastAsia" w:hAnsiTheme="minorHAnsi" w:cstheme="minorBidi"/>
          </w:rPr>
          <w:tab/>
        </w:r>
        <w:r w:rsidR="00DF458B" w:rsidRPr="00503D2D">
          <w:rPr>
            <w:rStyle w:val="Hyperlink"/>
            <w:rFonts w:ascii="Arial Negrito" w:hAnsi="Arial Negrito"/>
          </w:rPr>
          <w:t>Metas</w:t>
        </w:r>
        <w:r w:rsidR="00DF458B">
          <w:rPr>
            <w:webHidden/>
          </w:rPr>
          <w:tab/>
        </w:r>
        <w:r w:rsidR="00B80A05">
          <w:rPr>
            <w:webHidden/>
          </w:rPr>
          <w:fldChar w:fldCharType="begin"/>
        </w:r>
        <w:r w:rsidR="00DF458B">
          <w:rPr>
            <w:webHidden/>
          </w:rPr>
          <w:instrText xml:space="preserve"> PAGEREF _Toc419813794 \h </w:instrText>
        </w:r>
        <w:r w:rsidR="00B80A05">
          <w:rPr>
            <w:webHidden/>
          </w:rPr>
        </w:r>
        <w:r w:rsidR="00B80A05">
          <w:rPr>
            <w:webHidden/>
          </w:rPr>
          <w:fldChar w:fldCharType="separate"/>
        </w:r>
        <w:r w:rsidR="00316060">
          <w:rPr>
            <w:webHidden/>
          </w:rPr>
          <w:t>202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95" w:history="1">
        <w:r w:rsidR="00DF458B" w:rsidRPr="00503D2D">
          <w:rPr>
            <w:rStyle w:val="Hyperlink"/>
            <w:rFonts w:ascii="Arial Negrito" w:hAnsi="Arial Negrito"/>
          </w:rPr>
          <w:t>3.3.9.4.</w:t>
        </w:r>
        <w:r w:rsidR="00DF458B">
          <w:rPr>
            <w:rFonts w:asciiTheme="minorHAnsi" w:eastAsiaTheme="minorEastAsia" w:hAnsiTheme="minorHAnsi" w:cstheme="minorBidi"/>
          </w:rPr>
          <w:tab/>
        </w:r>
        <w:r w:rsidR="00DF458B" w:rsidRPr="00503D2D">
          <w:rPr>
            <w:rStyle w:val="Hyperlink"/>
            <w:rFonts w:ascii="Arial Negrito" w:hAnsi="Arial Negrito"/>
          </w:rPr>
          <w:t>Público Alvo</w:t>
        </w:r>
        <w:r w:rsidR="00DF458B">
          <w:rPr>
            <w:webHidden/>
          </w:rPr>
          <w:tab/>
        </w:r>
        <w:r w:rsidR="00B80A05">
          <w:rPr>
            <w:webHidden/>
          </w:rPr>
          <w:fldChar w:fldCharType="begin"/>
        </w:r>
        <w:r w:rsidR="00DF458B">
          <w:rPr>
            <w:webHidden/>
          </w:rPr>
          <w:instrText xml:space="preserve"> PAGEREF _Toc419813795 \h </w:instrText>
        </w:r>
        <w:r w:rsidR="00B80A05">
          <w:rPr>
            <w:webHidden/>
          </w:rPr>
        </w:r>
        <w:r w:rsidR="00B80A05">
          <w:rPr>
            <w:webHidden/>
          </w:rPr>
          <w:fldChar w:fldCharType="separate"/>
        </w:r>
        <w:r w:rsidR="00316060">
          <w:rPr>
            <w:webHidden/>
          </w:rPr>
          <w:t>202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96" w:history="1">
        <w:r w:rsidR="00DF458B" w:rsidRPr="00503D2D">
          <w:rPr>
            <w:rStyle w:val="Hyperlink"/>
            <w:rFonts w:ascii="Arial Negrito" w:hAnsi="Arial Negrito"/>
          </w:rPr>
          <w:t>3.3.9.5.</w:t>
        </w:r>
        <w:r w:rsidR="00DF458B">
          <w:rPr>
            <w:rFonts w:asciiTheme="minorHAnsi" w:eastAsiaTheme="minorEastAsia" w:hAnsiTheme="minorHAnsi" w:cstheme="minorBidi"/>
          </w:rPr>
          <w:tab/>
        </w:r>
        <w:r w:rsidR="00DF458B" w:rsidRPr="00503D2D">
          <w:rPr>
            <w:rStyle w:val="Hyperlink"/>
            <w:rFonts w:ascii="Arial Negrito" w:hAnsi="Arial Negrito"/>
          </w:rPr>
          <w:t>Procedimentos</w:t>
        </w:r>
        <w:r w:rsidR="00DF458B">
          <w:rPr>
            <w:webHidden/>
          </w:rPr>
          <w:tab/>
        </w:r>
        <w:r w:rsidR="00B80A05">
          <w:rPr>
            <w:webHidden/>
          </w:rPr>
          <w:fldChar w:fldCharType="begin"/>
        </w:r>
        <w:r w:rsidR="00DF458B">
          <w:rPr>
            <w:webHidden/>
          </w:rPr>
          <w:instrText xml:space="preserve"> PAGEREF _Toc419813796 \h </w:instrText>
        </w:r>
        <w:r w:rsidR="00B80A05">
          <w:rPr>
            <w:webHidden/>
          </w:rPr>
        </w:r>
        <w:r w:rsidR="00B80A05">
          <w:rPr>
            <w:webHidden/>
          </w:rPr>
          <w:fldChar w:fldCharType="separate"/>
        </w:r>
        <w:r w:rsidR="00316060">
          <w:rPr>
            <w:webHidden/>
          </w:rPr>
          <w:t>202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97" w:history="1">
        <w:r w:rsidR="00DF458B" w:rsidRPr="00503D2D">
          <w:rPr>
            <w:rStyle w:val="Hyperlink"/>
            <w:rFonts w:ascii="Arial Negrito" w:hAnsi="Arial Negrito"/>
          </w:rPr>
          <w:t>3.3.9.6.</w:t>
        </w:r>
        <w:r w:rsidR="00DF458B">
          <w:rPr>
            <w:rFonts w:asciiTheme="minorHAnsi" w:eastAsiaTheme="minorEastAsia" w:hAnsiTheme="minorHAnsi" w:cstheme="minorBidi"/>
          </w:rPr>
          <w:tab/>
        </w:r>
        <w:r w:rsidR="00DF458B" w:rsidRPr="00503D2D">
          <w:rPr>
            <w:rStyle w:val="Hyperlink"/>
            <w:rFonts w:ascii="Arial Negrito" w:hAnsi="Arial Negrito"/>
          </w:rPr>
          <w:t>Indicadores Ambientais</w:t>
        </w:r>
        <w:r w:rsidR="00DF458B">
          <w:rPr>
            <w:webHidden/>
          </w:rPr>
          <w:tab/>
        </w:r>
        <w:r w:rsidR="00B80A05">
          <w:rPr>
            <w:webHidden/>
          </w:rPr>
          <w:fldChar w:fldCharType="begin"/>
        </w:r>
        <w:r w:rsidR="00DF458B">
          <w:rPr>
            <w:webHidden/>
          </w:rPr>
          <w:instrText xml:space="preserve"> PAGEREF _Toc419813797 \h </w:instrText>
        </w:r>
        <w:r w:rsidR="00B80A05">
          <w:rPr>
            <w:webHidden/>
          </w:rPr>
        </w:r>
        <w:r w:rsidR="00B80A05">
          <w:rPr>
            <w:webHidden/>
          </w:rPr>
          <w:fldChar w:fldCharType="separate"/>
        </w:r>
        <w:r w:rsidR="00316060">
          <w:rPr>
            <w:webHidden/>
          </w:rPr>
          <w:t>204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98" w:history="1">
        <w:r w:rsidR="00DF458B" w:rsidRPr="00503D2D">
          <w:rPr>
            <w:rStyle w:val="Hyperlink"/>
            <w:rFonts w:ascii="Arial Negrito" w:hAnsi="Arial Negrito"/>
          </w:rPr>
          <w:t>3.3.9.7.</w:t>
        </w:r>
        <w:r w:rsidR="00DF458B">
          <w:rPr>
            <w:rFonts w:asciiTheme="minorHAnsi" w:eastAsiaTheme="minorEastAsia" w:hAnsiTheme="minorHAnsi" w:cstheme="minorBidi"/>
          </w:rPr>
          <w:tab/>
        </w:r>
        <w:r w:rsidR="00DF458B" w:rsidRPr="00503D2D">
          <w:rPr>
            <w:rStyle w:val="Hyperlink"/>
            <w:rFonts w:ascii="Arial Negrito" w:hAnsi="Arial Negrito"/>
          </w:rPr>
          <w:t>Recursos Materiais e Humanos</w:t>
        </w:r>
        <w:r w:rsidR="00DF458B">
          <w:rPr>
            <w:webHidden/>
          </w:rPr>
          <w:tab/>
        </w:r>
        <w:r w:rsidR="00B80A05">
          <w:rPr>
            <w:webHidden/>
          </w:rPr>
          <w:fldChar w:fldCharType="begin"/>
        </w:r>
        <w:r w:rsidR="00DF458B">
          <w:rPr>
            <w:webHidden/>
          </w:rPr>
          <w:instrText xml:space="preserve"> PAGEREF _Toc419813798 \h </w:instrText>
        </w:r>
        <w:r w:rsidR="00B80A05">
          <w:rPr>
            <w:webHidden/>
          </w:rPr>
        </w:r>
        <w:r w:rsidR="00B80A05">
          <w:rPr>
            <w:webHidden/>
          </w:rPr>
          <w:fldChar w:fldCharType="separate"/>
        </w:r>
        <w:r w:rsidR="00316060">
          <w:rPr>
            <w:webHidden/>
          </w:rPr>
          <w:t>204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799" w:history="1">
        <w:r w:rsidR="00DF458B" w:rsidRPr="00503D2D">
          <w:rPr>
            <w:rStyle w:val="Hyperlink"/>
            <w:rFonts w:ascii="Arial Negrito" w:hAnsi="Arial Negrito"/>
          </w:rPr>
          <w:t>3.3.9.8.</w:t>
        </w:r>
        <w:r w:rsidR="00DF458B">
          <w:rPr>
            <w:rFonts w:asciiTheme="minorHAnsi" w:eastAsiaTheme="minorEastAsia" w:hAnsiTheme="minorHAnsi" w:cstheme="minorBidi"/>
          </w:rPr>
          <w:tab/>
        </w:r>
        <w:r w:rsidR="00DF458B" w:rsidRPr="00503D2D">
          <w:rPr>
            <w:rStyle w:val="Hyperlink"/>
            <w:rFonts w:ascii="Arial Negrito" w:hAnsi="Arial Negrito"/>
          </w:rPr>
          <w:t>Atendimento a Requisitos Legais e/ou Outros Requisitos</w:t>
        </w:r>
        <w:r w:rsidR="00DF458B">
          <w:rPr>
            <w:webHidden/>
          </w:rPr>
          <w:tab/>
        </w:r>
        <w:r w:rsidR="00B80A05">
          <w:rPr>
            <w:webHidden/>
          </w:rPr>
          <w:fldChar w:fldCharType="begin"/>
        </w:r>
        <w:r w:rsidR="00DF458B">
          <w:rPr>
            <w:webHidden/>
          </w:rPr>
          <w:instrText xml:space="preserve"> PAGEREF _Toc419813799 \h </w:instrText>
        </w:r>
        <w:r w:rsidR="00B80A05">
          <w:rPr>
            <w:webHidden/>
          </w:rPr>
        </w:r>
        <w:r w:rsidR="00B80A05">
          <w:rPr>
            <w:webHidden/>
          </w:rPr>
          <w:fldChar w:fldCharType="separate"/>
        </w:r>
        <w:r w:rsidR="00316060">
          <w:rPr>
            <w:webHidden/>
          </w:rPr>
          <w:t>204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00" w:history="1">
        <w:r w:rsidR="00DF458B" w:rsidRPr="00503D2D">
          <w:rPr>
            <w:rStyle w:val="Hyperlink"/>
            <w:rFonts w:ascii="Arial Negrito" w:hAnsi="Arial Negrito"/>
          </w:rPr>
          <w:t>3.3.9.9.</w:t>
        </w:r>
        <w:r w:rsidR="00DF458B">
          <w:rPr>
            <w:rFonts w:asciiTheme="minorHAnsi" w:eastAsiaTheme="minorEastAsia" w:hAnsiTheme="minorHAnsi" w:cstheme="minorBidi"/>
          </w:rPr>
          <w:tab/>
        </w:r>
        <w:r w:rsidR="00DF458B" w:rsidRPr="00503D2D">
          <w:rPr>
            <w:rStyle w:val="Hyperlink"/>
            <w:rFonts w:ascii="Arial Negrito" w:hAnsi="Arial Negrito"/>
          </w:rPr>
          <w:t>Inter-relação com outros Planos e Programas</w:t>
        </w:r>
        <w:r w:rsidR="00DF458B">
          <w:rPr>
            <w:webHidden/>
          </w:rPr>
          <w:tab/>
        </w:r>
        <w:r w:rsidR="00B80A05">
          <w:rPr>
            <w:webHidden/>
          </w:rPr>
          <w:fldChar w:fldCharType="begin"/>
        </w:r>
        <w:r w:rsidR="00DF458B">
          <w:rPr>
            <w:webHidden/>
          </w:rPr>
          <w:instrText xml:space="preserve"> PAGEREF _Toc419813800 \h </w:instrText>
        </w:r>
        <w:r w:rsidR="00B80A05">
          <w:rPr>
            <w:webHidden/>
          </w:rPr>
        </w:r>
        <w:r w:rsidR="00B80A05">
          <w:rPr>
            <w:webHidden/>
          </w:rPr>
          <w:fldChar w:fldCharType="separate"/>
        </w:r>
        <w:r w:rsidR="00316060">
          <w:rPr>
            <w:webHidden/>
          </w:rPr>
          <w:t>204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01" w:history="1">
        <w:r w:rsidR="00DF458B" w:rsidRPr="00503D2D">
          <w:rPr>
            <w:rStyle w:val="Hyperlink"/>
            <w:rFonts w:ascii="Arial Negrito" w:hAnsi="Arial Negrito"/>
          </w:rPr>
          <w:t>3.3.9.10.</w:t>
        </w:r>
        <w:r w:rsidR="00DF458B">
          <w:rPr>
            <w:rFonts w:asciiTheme="minorHAnsi" w:eastAsiaTheme="minorEastAsia" w:hAnsiTheme="minorHAnsi" w:cstheme="minorBidi"/>
          </w:rPr>
          <w:tab/>
        </w:r>
        <w:r w:rsidR="00DF458B" w:rsidRPr="00503D2D">
          <w:rPr>
            <w:rStyle w:val="Hyperlink"/>
            <w:rFonts w:ascii="Arial Negrito" w:hAnsi="Arial Negrito"/>
          </w:rPr>
          <w:t>Etapa do Empreendimento</w:t>
        </w:r>
        <w:r w:rsidR="00DF458B">
          <w:rPr>
            <w:webHidden/>
          </w:rPr>
          <w:tab/>
        </w:r>
        <w:r w:rsidR="00B80A05">
          <w:rPr>
            <w:webHidden/>
          </w:rPr>
          <w:fldChar w:fldCharType="begin"/>
        </w:r>
        <w:r w:rsidR="00DF458B">
          <w:rPr>
            <w:webHidden/>
          </w:rPr>
          <w:instrText xml:space="preserve"> PAGEREF _Toc419813801 \h </w:instrText>
        </w:r>
        <w:r w:rsidR="00B80A05">
          <w:rPr>
            <w:webHidden/>
          </w:rPr>
        </w:r>
        <w:r w:rsidR="00B80A05">
          <w:rPr>
            <w:webHidden/>
          </w:rPr>
          <w:fldChar w:fldCharType="separate"/>
        </w:r>
        <w:r w:rsidR="00316060">
          <w:rPr>
            <w:webHidden/>
          </w:rPr>
          <w:t>204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02" w:history="1">
        <w:r w:rsidR="00DF458B" w:rsidRPr="00503D2D">
          <w:rPr>
            <w:rStyle w:val="Hyperlink"/>
            <w:rFonts w:ascii="Arial Negrito" w:hAnsi="Arial Negrito"/>
          </w:rPr>
          <w:t>3.3.9.11.</w:t>
        </w:r>
        <w:r w:rsidR="00DF458B">
          <w:rPr>
            <w:rFonts w:asciiTheme="minorHAnsi" w:eastAsiaTheme="minorEastAsia" w:hAnsiTheme="minorHAnsi" w:cstheme="minorBidi"/>
          </w:rPr>
          <w:tab/>
        </w:r>
        <w:r w:rsidR="00DF458B" w:rsidRPr="00503D2D">
          <w:rPr>
            <w:rStyle w:val="Hyperlink"/>
            <w:rFonts w:ascii="Arial Negrito" w:hAnsi="Arial Negrito"/>
          </w:rPr>
          <w:t>Cronograma de Execução</w:t>
        </w:r>
        <w:r w:rsidR="00DF458B">
          <w:rPr>
            <w:webHidden/>
          </w:rPr>
          <w:tab/>
        </w:r>
        <w:r w:rsidR="00B80A05">
          <w:rPr>
            <w:webHidden/>
          </w:rPr>
          <w:fldChar w:fldCharType="begin"/>
        </w:r>
        <w:r w:rsidR="00DF458B">
          <w:rPr>
            <w:webHidden/>
          </w:rPr>
          <w:instrText xml:space="preserve"> PAGEREF _Toc419813802 \h </w:instrText>
        </w:r>
        <w:r w:rsidR="00B80A05">
          <w:rPr>
            <w:webHidden/>
          </w:rPr>
        </w:r>
        <w:r w:rsidR="00B80A05">
          <w:rPr>
            <w:webHidden/>
          </w:rPr>
          <w:fldChar w:fldCharType="separate"/>
        </w:r>
        <w:r w:rsidR="00316060">
          <w:rPr>
            <w:webHidden/>
          </w:rPr>
          <w:t>204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03" w:history="1">
        <w:r w:rsidR="00DF458B" w:rsidRPr="00503D2D">
          <w:rPr>
            <w:rStyle w:val="Hyperlink"/>
            <w:rFonts w:ascii="Arial Negrito" w:hAnsi="Arial Negrito"/>
          </w:rPr>
          <w:t>3.3.9.12.</w:t>
        </w:r>
        <w:r w:rsidR="00DF458B">
          <w:rPr>
            <w:rFonts w:asciiTheme="minorHAnsi" w:eastAsiaTheme="minorEastAsia" w:hAnsiTheme="minorHAnsi" w:cstheme="minorBidi"/>
          </w:rPr>
          <w:tab/>
        </w:r>
        <w:r w:rsidR="00DF458B" w:rsidRPr="00503D2D">
          <w:rPr>
            <w:rStyle w:val="Hyperlink"/>
            <w:rFonts w:ascii="Arial Negrito" w:hAnsi="Arial Negrito"/>
          </w:rPr>
          <w:t>Responsável pela Implementação</w:t>
        </w:r>
        <w:r w:rsidR="00DF458B">
          <w:rPr>
            <w:webHidden/>
          </w:rPr>
          <w:tab/>
        </w:r>
        <w:r w:rsidR="00B80A05">
          <w:rPr>
            <w:webHidden/>
          </w:rPr>
          <w:fldChar w:fldCharType="begin"/>
        </w:r>
        <w:r w:rsidR="00DF458B">
          <w:rPr>
            <w:webHidden/>
          </w:rPr>
          <w:instrText xml:space="preserve"> PAGEREF _Toc419813803 \h </w:instrText>
        </w:r>
        <w:r w:rsidR="00B80A05">
          <w:rPr>
            <w:webHidden/>
          </w:rPr>
        </w:r>
        <w:r w:rsidR="00B80A05">
          <w:rPr>
            <w:webHidden/>
          </w:rPr>
          <w:fldChar w:fldCharType="separate"/>
        </w:r>
        <w:r w:rsidR="00316060">
          <w:rPr>
            <w:webHidden/>
          </w:rPr>
          <w:t>205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04" w:history="1">
        <w:r w:rsidR="00DF458B" w:rsidRPr="00503D2D">
          <w:rPr>
            <w:rStyle w:val="Hyperlink"/>
            <w:rFonts w:ascii="Arial Negrito" w:hAnsi="Arial Negrito"/>
          </w:rPr>
          <w:t>3.3.9.13.</w:t>
        </w:r>
        <w:r w:rsidR="00DF458B">
          <w:rPr>
            <w:rFonts w:asciiTheme="minorHAnsi" w:eastAsiaTheme="minorEastAsia" w:hAnsiTheme="minorHAnsi" w:cstheme="minorBidi"/>
          </w:rPr>
          <w:tab/>
        </w:r>
        <w:r w:rsidR="00DF458B" w:rsidRPr="00503D2D">
          <w:rPr>
            <w:rStyle w:val="Hyperlink"/>
            <w:rFonts w:ascii="Arial Negrito" w:hAnsi="Arial Negrito"/>
          </w:rPr>
          <w:t>Sistema de Registros</w:t>
        </w:r>
        <w:r w:rsidR="00DF458B">
          <w:rPr>
            <w:webHidden/>
          </w:rPr>
          <w:tab/>
        </w:r>
        <w:r w:rsidR="00B80A05">
          <w:rPr>
            <w:webHidden/>
          </w:rPr>
          <w:fldChar w:fldCharType="begin"/>
        </w:r>
        <w:r w:rsidR="00DF458B">
          <w:rPr>
            <w:webHidden/>
          </w:rPr>
          <w:instrText xml:space="preserve"> PAGEREF _Toc419813804 \h </w:instrText>
        </w:r>
        <w:r w:rsidR="00B80A05">
          <w:rPr>
            <w:webHidden/>
          </w:rPr>
        </w:r>
        <w:r w:rsidR="00B80A05">
          <w:rPr>
            <w:webHidden/>
          </w:rPr>
          <w:fldChar w:fldCharType="separate"/>
        </w:r>
        <w:r w:rsidR="00316060">
          <w:rPr>
            <w:webHidden/>
          </w:rPr>
          <w:t>205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05" w:history="1">
        <w:r w:rsidR="00DF458B" w:rsidRPr="00503D2D">
          <w:rPr>
            <w:rStyle w:val="Hyperlink"/>
            <w:rFonts w:ascii="Arial Negrito" w:hAnsi="Arial Negrito"/>
          </w:rPr>
          <w:t>3.3.9.14.</w:t>
        </w:r>
        <w:r w:rsidR="00DF458B">
          <w:rPr>
            <w:rFonts w:asciiTheme="minorHAnsi" w:eastAsiaTheme="minorEastAsia" w:hAnsiTheme="minorHAnsi" w:cstheme="minorBidi"/>
          </w:rPr>
          <w:tab/>
        </w:r>
        <w:r w:rsidR="00DF458B" w:rsidRPr="00503D2D">
          <w:rPr>
            <w:rStyle w:val="Hyperlink"/>
            <w:rFonts w:ascii="Arial Negrito" w:hAnsi="Arial Negrito"/>
          </w:rPr>
          <w:t>Referências Bibliográficas</w:t>
        </w:r>
        <w:r w:rsidR="00DF458B">
          <w:rPr>
            <w:webHidden/>
          </w:rPr>
          <w:tab/>
        </w:r>
        <w:r w:rsidR="00B80A05">
          <w:rPr>
            <w:webHidden/>
          </w:rPr>
          <w:fldChar w:fldCharType="begin"/>
        </w:r>
        <w:r w:rsidR="00DF458B">
          <w:rPr>
            <w:webHidden/>
          </w:rPr>
          <w:instrText xml:space="preserve"> PAGEREF _Toc419813805 \h </w:instrText>
        </w:r>
        <w:r w:rsidR="00B80A05">
          <w:rPr>
            <w:webHidden/>
          </w:rPr>
        </w:r>
        <w:r w:rsidR="00B80A05">
          <w:rPr>
            <w:webHidden/>
          </w:rPr>
          <w:fldChar w:fldCharType="separate"/>
        </w:r>
        <w:r w:rsidR="00316060">
          <w:rPr>
            <w:webHidden/>
          </w:rPr>
          <w:t>205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06" w:history="1">
        <w:r w:rsidR="00DF458B" w:rsidRPr="00503D2D">
          <w:rPr>
            <w:rStyle w:val="Hyperlink"/>
            <w:rFonts w:ascii="Arial Negrito" w:hAnsi="Arial Negrito"/>
          </w:rPr>
          <w:t>3.4.</w:t>
        </w:r>
        <w:r w:rsidR="00DF458B">
          <w:rPr>
            <w:rFonts w:asciiTheme="minorHAnsi" w:eastAsiaTheme="minorEastAsia" w:hAnsiTheme="minorHAnsi" w:cstheme="minorBidi"/>
          </w:rPr>
          <w:tab/>
        </w:r>
        <w:r w:rsidR="00DF458B" w:rsidRPr="00503D2D">
          <w:rPr>
            <w:rStyle w:val="Hyperlink"/>
            <w:rFonts w:ascii="Arial Negrito" w:hAnsi="Arial Negrito"/>
          </w:rPr>
          <w:t>Programas do Meio Biótico</w:t>
        </w:r>
        <w:r w:rsidR="00DF458B">
          <w:rPr>
            <w:webHidden/>
          </w:rPr>
          <w:tab/>
        </w:r>
        <w:r w:rsidR="00B80A05">
          <w:rPr>
            <w:webHidden/>
          </w:rPr>
          <w:fldChar w:fldCharType="begin"/>
        </w:r>
        <w:r w:rsidR="00DF458B">
          <w:rPr>
            <w:webHidden/>
          </w:rPr>
          <w:instrText xml:space="preserve"> PAGEREF _Toc419813806 \h </w:instrText>
        </w:r>
        <w:r w:rsidR="00B80A05">
          <w:rPr>
            <w:webHidden/>
          </w:rPr>
        </w:r>
        <w:r w:rsidR="00B80A05">
          <w:rPr>
            <w:webHidden/>
          </w:rPr>
          <w:fldChar w:fldCharType="separate"/>
        </w:r>
        <w:r w:rsidR="00316060">
          <w:rPr>
            <w:webHidden/>
          </w:rPr>
          <w:t>206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07" w:history="1">
        <w:r w:rsidR="00DF458B" w:rsidRPr="00503D2D">
          <w:rPr>
            <w:rStyle w:val="Hyperlink"/>
            <w:rFonts w:ascii="Arial Negrito" w:hAnsi="Arial Negrito"/>
          </w:rPr>
          <w:t>3.4.1.</w:t>
        </w:r>
        <w:r w:rsidR="00DF458B">
          <w:rPr>
            <w:rFonts w:asciiTheme="minorHAnsi" w:eastAsiaTheme="minorEastAsia" w:hAnsiTheme="minorHAnsi" w:cstheme="minorBidi"/>
          </w:rPr>
          <w:tab/>
        </w:r>
        <w:r w:rsidR="00DF458B" w:rsidRPr="00503D2D">
          <w:rPr>
            <w:rStyle w:val="Hyperlink"/>
            <w:rFonts w:ascii="Arial Negrito" w:hAnsi="Arial Negrito"/>
          </w:rPr>
          <w:t>Programa de Supressão de Vegetação</w:t>
        </w:r>
        <w:r w:rsidR="00DF458B">
          <w:rPr>
            <w:webHidden/>
          </w:rPr>
          <w:tab/>
        </w:r>
        <w:r w:rsidR="00B80A05">
          <w:rPr>
            <w:webHidden/>
          </w:rPr>
          <w:fldChar w:fldCharType="begin"/>
        </w:r>
        <w:r w:rsidR="00DF458B">
          <w:rPr>
            <w:webHidden/>
          </w:rPr>
          <w:instrText xml:space="preserve"> PAGEREF _Toc419813807 \h </w:instrText>
        </w:r>
        <w:r w:rsidR="00B80A05">
          <w:rPr>
            <w:webHidden/>
          </w:rPr>
        </w:r>
        <w:r w:rsidR="00B80A05">
          <w:rPr>
            <w:webHidden/>
          </w:rPr>
          <w:fldChar w:fldCharType="separate"/>
        </w:r>
        <w:r w:rsidR="00316060">
          <w:rPr>
            <w:webHidden/>
          </w:rPr>
          <w:t>206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08" w:history="1">
        <w:r w:rsidR="00DF458B" w:rsidRPr="00503D2D">
          <w:rPr>
            <w:rStyle w:val="Hyperlink"/>
            <w:rFonts w:ascii="Arial Negrito" w:hAnsi="Arial Negrito"/>
          </w:rPr>
          <w:t>3.4.1.1.</w:t>
        </w:r>
        <w:r w:rsidR="00DF458B">
          <w:rPr>
            <w:rFonts w:asciiTheme="minorHAnsi" w:eastAsiaTheme="minorEastAsia" w:hAnsiTheme="minorHAnsi" w:cstheme="minorBidi"/>
          </w:rPr>
          <w:tab/>
        </w:r>
        <w:r w:rsidR="00DF458B" w:rsidRPr="00503D2D">
          <w:rPr>
            <w:rStyle w:val="Hyperlink"/>
            <w:rFonts w:ascii="Arial Negrito" w:hAnsi="Arial Negrito"/>
          </w:rPr>
          <w:t>Apresentação e Justificativa</w:t>
        </w:r>
        <w:r w:rsidR="00DF458B">
          <w:rPr>
            <w:webHidden/>
          </w:rPr>
          <w:tab/>
        </w:r>
        <w:r w:rsidR="00B80A05">
          <w:rPr>
            <w:webHidden/>
          </w:rPr>
          <w:fldChar w:fldCharType="begin"/>
        </w:r>
        <w:r w:rsidR="00DF458B">
          <w:rPr>
            <w:webHidden/>
          </w:rPr>
          <w:instrText xml:space="preserve"> PAGEREF _Toc419813808 \h </w:instrText>
        </w:r>
        <w:r w:rsidR="00B80A05">
          <w:rPr>
            <w:webHidden/>
          </w:rPr>
        </w:r>
        <w:r w:rsidR="00B80A05">
          <w:rPr>
            <w:webHidden/>
          </w:rPr>
          <w:fldChar w:fldCharType="separate"/>
        </w:r>
        <w:r w:rsidR="00316060">
          <w:rPr>
            <w:webHidden/>
          </w:rPr>
          <w:t>206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09" w:history="1">
        <w:r w:rsidR="00DF458B" w:rsidRPr="00503D2D">
          <w:rPr>
            <w:rStyle w:val="Hyperlink"/>
            <w:rFonts w:ascii="Arial Negrito" w:hAnsi="Arial Negrito"/>
            <w:bCs/>
          </w:rPr>
          <w:t>3.4.1.2.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_Toc419813809 \h </w:instrText>
        </w:r>
        <w:r w:rsidR="00B80A05">
          <w:rPr>
            <w:webHidden/>
          </w:rPr>
        </w:r>
        <w:r w:rsidR="00B80A05">
          <w:rPr>
            <w:webHidden/>
          </w:rPr>
          <w:fldChar w:fldCharType="separate"/>
        </w:r>
        <w:r w:rsidR="00316060">
          <w:rPr>
            <w:webHidden/>
          </w:rPr>
          <w:t>207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10" w:history="1">
        <w:r w:rsidR="00DF458B" w:rsidRPr="00503D2D">
          <w:rPr>
            <w:rStyle w:val="Hyperlink"/>
            <w:rFonts w:ascii="Arial Negrito" w:hAnsi="Arial Negrito"/>
            <w:bCs/>
          </w:rPr>
          <w:t>3.4.1.3.</w:t>
        </w:r>
        <w:r w:rsidR="00DF458B">
          <w:rPr>
            <w:rFonts w:asciiTheme="minorHAnsi" w:eastAsiaTheme="minorEastAsia" w:hAnsiTheme="minorHAnsi" w:cstheme="minorBidi"/>
          </w:rPr>
          <w:tab/>
        </w:r>
        <w:r w:rsidR="00DF458B" w:rsidRPr="00503D2D">
          <w:rPr>
            <w:rStyle w:val="Hyperlink"/>
            <w:rFonts w:ascii="Arial Negrito" w:hAnsi="Arial Negrito"/>
            <w:bCs/>
          </w:rPr>
          <w:t>Metas</w:t>
        </w:r>
        <w:r w:rsidR="00DF458B">
          <w:rPr>
            <w:webHidden/>
          </w:rPr>
          <w:tab/>
        </w:r>
        <w:r w:rsidR="00B80A05">
          <w:rPr>
            <w:webHidden/>
          </w:rPr>
          <w:fldChar w:fldCharType="begin"/>
        </w:r>
        <w:r w:rsidR="00DF458B">
          <w:rPr>
            <w:webHidden/>
          </w:rPr>
          <w:instrText xml:space="preserve"> PAGEREF _Toc419813810 \h </w:instrText>
        </w:r>
        <w:r w:rsidR="00B80A05">
          <w:rPr>
            <w:webHidden/>
          </w:rPr>
        </w:r>
        <w:r w:rsidR="00B80A05">
          <w:rPr>
            <w:webHidden/>
          </w:rPr>
          <w:fldChar w:fldCharType="separate"/>
        </w:r>
        <w:r w:rsidR="00316060">
          <w:rPr>
            <w:webHidden/>
          </w:rPr>
          <w:t>208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11" w:history="1">
        <w:r w:rsidR="00DF458B" w:rsidRPr="00503D2D">
          <w:rPr>
            <w:rStyle w:val="Hyperlink"/>
            <w:rFonts w:ascii="Arial Negrito" w:hAnsi="Arial Negrito"/>
            <w:bCs/>
          </w:rPr>
          <w:t>3.4.1.4.</w:t>
        </w:r>
        <w:r w:rsidR="00DF458B">
          <w:rPr>
            <w:rFonts w:asciiTheme="minorHAnsi" w:eastAsiaTheme="minorEastAsia" w:hAnsiTheme="minorHAnsi" w:cstheme="minorBidi"/>
          </w:rPr>
          <w:tab/>
        </w:r>
        <w:r w:rsidR="00DF458B" w:rsidRPr="00503D2D">
          <w:rPr>
            <w:rStyle w:val="Hyperlink"/>
            <w:rFonts w:ascii="Arial Negrito" w:hAnsi="Arial Negrito"/>
            <w:bCs/>
          </w:rPr>
          <w:t>Público-Alvo</w:t>
        </w:r>
        <w:r w:rsidR="00DF458B">
          <w:rPr>
            <w:webHidden/>
          </w:rPr>
          <w:tab/>
        </w:r>
        <w:r w:rsidR="00B80A05">
          <w:rPr>
            <w:webHidden/>
          </w:rPr>
          <w:fldChar w:fldCharType="begin"/>
        </w:r>
        <w:r w:rsidR="00DF458B">
          <w:rPr>
            <w:webHidden/>
          </w:rPr>
          <w:instrText xml:space="preserve"> PAGEREF _Toc419813811 \h </w:instrText>
        </w:r>
        <w:r w:rsidR="00B80A05">
          <w:rPr>
            <w:webHidden/>
          </w:rPr>
        </w:r>
        <w:r w:rsidR="00B80A05">
          <w:rPr>
            <w:webHidden/>
          </w:rPr>
          <w:fldChar w:fldCharType="separate"/>
        </w:r>
        <w:r w:rsidR="00316060">
          <w:rPr>
            <w:webHidden/>
          </w:rPr>
          <w:t>208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12" w:history="1">
        <w:r w:rsidR="00DF458B" w:rsidRPr="00503D2D">
          <w:rPr>
            <w:rStyle w:val="Hyperlink"/>
            <w:rFonts w:ascii="Arial Negrito" w:hAnsi="Arial Negrito"/>
            <w:bCs/>
          </w:rPr>
          <w:t>3.4.1.5. Atendimento a Requisitos Legais e/ou Outros Requisitos</w:t>
        </w:r>
        <w:r w:rsidR="00DF458B">
          <w:rPr>
            <w:webHidden/>
          </w:rPr>
          <w:tab/>
        </w:r>
        <w:r w:rsidR="00B80A05">
          <w:rPr>
            <w:webHidden/>
          </w:rPr>
          <w:fldChar w:fldCharType="begin"/>
        </w:r>
        <w:r w:rsidR="00DF458B">
          <w:rPr>
            <w:webHidden/>
          </w:rPr>
          <w:instrText xml:space="preserve"> PAGEREF _Toc419813812 \h </w:instrText>
        </w:r>
        <w:r w:rsidR="00B80A05">
          <w:rPr>
            <w:webHidden/>
          </w:rPr>
        </w:r>
        <w:r w:rsidR="00B80A05">
          <w:rPr>
            <w:webHidden/>
          </w:rPr>
          <w:fldChar w:fldCharType="separate"/>
        </w:r>
        <w:r w:rsidR="00316060">
          <w:rPr>
            <w:webHidden/>
          </w:rPr>
          <w:t>212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13" w:history="1">
        <w:r w:rsidR="00DF458B" w:rsidRPr="00503D2D">
          <w:rPr>
            <w:rStyle w:val="Hyperlink"/>
            <w:rFonts w:ascii="Arial Negrito" w:hAnsi="Arial Negrito"/>
          </w:rPr>
          <w:t>3.4.1.6.</w:t>
        </w:r>
        <w:r w:rsidR="00DF458B">
          <w:rPr>
            <w:rFonts w:asciiTheme="minorHAnsi" w:eastAsiaTheme="minorEastAsia" w:hAnsiTheme="minorHAnsi" w:cstheme="minorBidi"/>
          </w:rPr>
          <w:tab/>
        </w:r>
        <w:r w:rsidR="00DF458B" w:rsidRPr="00503D2D">
          <w:rPr>
            <w:rStyle w:val="Hyperlink"/>
            <w:rFonts w:ascii="Arial Negrito" w:hAnsi="Arial Negrito"/>
          </w:rPr>
          <w:t>Inter-relação com outros Planos e Programas</w:t>
        </w:r>
        <w:r w:rsidR="00DF458B">
          <w:rPr>
            <w:webHidden/>
          </w:rPr>
          <w:tab/>
        </w:r>
        <w:r w:rsidR="00B80A05">
          <w:rPr>
            <w:webHidden/>
          </w:rPr>
          <w:fldChar w:fldCharType="begin"/>
        </w:r>
        <w:r w:rsidR="00DF458B">
          <w:rPr>
            <w:webHidden/>
          </w:rPr>
          <w:instrText xml:space="preserve"> PAGEREF _Toc419813813 \h </w:instrText>
        </w:r>
        <w:r w:rsidR="00B80A05">
          <w:rPr>
            <w:webHidden/>
          </w:rPr>
        </w:r>
        <w:r w:rsidR="00B80A05">
          <w:rPr>
            <w:webHidden/>
          </w:rPr>
          <w:fldChar w:fldCharType="separate"/>
        </w:r>
        <w:r w:rsidR="00316060">
          <w:rPr>
            <w:webHidden/>
          </w:rPr>
          <w:t>213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14" w:history="1">
        <w:r w:rsidR="00DF458B" w:rsidRPr="00503D2D">
          <w:rPr>
            <w:rStyle w:val="Hyperlink"/>
            <w:rFonts w:ascii="Arial Negrito" w:hAnsi="Arial Negrito"/>
          </w:rPr>
          <w:t>3.4.1.7.</w:t>
        </w:r>
        <w:r w:rsidR="00DF458B">
          <w:rPr>
            <w:rFonts w:asciiTheme="minorHAnsi" w:eastAsiaTheme="minorEastAsia" w:hAnsiTheme="minorHAnsi" w:cstheme="minorBidi"/>
          </w:rPr>
          <w:tab/>
        </w:r>
        <w:r w:rsidR="00DF458B" w:rsidRPr="00503D2D">
          <w:rPr>
            <w:rStyle w:val="Hyperlink"/>
            <w:rFonts w:ascii="Arial Negrito" w:hAnsi="Arial Negrito"/>
          </w:rPr>
          <w:t>Etapa do Empreendimento</w:t>
        </w:r>
        <w:r w:rsidR="00DF458B">
          <w:rPr>
            <w:webHidden/>
          </w:rPr>
          <w:tab/>
        </w:r>
        <w:r w:rsidR="00B80A05">
          <w:rPr>
            <w:webHidden/>
          </w:rPr>
          <w:fldChar w:fldCharType="begin"/>
        </w:r>
        <w:r w:rsidR="00DF458B">
          <w:rPr>
            <w:webHidden/>
          </w:rPr>
          <w:instrText xml:space="preserve"> PAGEREF _Toc419813814 \h </w:instrText>
        </w:r>
        <w:r w:rsidR="00B80A05">
          <w:rPr>
            <w:webHidden/>
          </w:rPr>
        </w:r>
        <w:r w:rsidR="00B80A05">
          <w:rPr>
            <w:webHidden/>
          </w:rPr>
          <w:fldChar w:fldCharType="separate"/>
        </w:r>
        <w:r w:rsidR="00316060">
          <w:rPr>
            <w:webHidden/>
          </w:rPr>
          <w:t>213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15" w:history="1">
        <w:r w:rsidR="00DF458B" w:rsidRPr="00503D2D">
          <w:rPr>
            <w:rStyle w:val="Hyperlink"/>
            <w:rFonts w:ascii="Arial Negrito" w:hAnsi="Arial Negrito"/>
          </w:rPr>
          <w:t>3.4.1.8.</w:t>
        </w:r>
        <w:r w:rsidR="00DF458B">
          <w:rPr>
            <w:rFonts w:asciiTheme="minorHAnsi" w:eastAsiaTheme="minorEastAsia" w:hAnsiTheme="minorHAnsi" w:cstheme="minorBidi"/>
          </w:rPr>
          <w:tab/>
        </w:r>
        <w:r w:rsidR="00DF458B" w:rsidRPr="00503D2D">
          <w:rPr>
            <w:rStyle w:val="Hyperlink"/>
            <w:rFonts w:ascii="Arial Negrito" w:hAnsi="Arial Negrito"/>
          </w:rPr>
          <w:t>Cronograma de Execução</w:t>
        </w:r>
        <w:r w:rsidR="00DF458B">
          <w:rPr>
            <w:webHidden/>
          </w:rPr>
          <w:tab/>
        </w:r>
        <w:r w:rsidR="00B80A05">
          <w:rPr>
            <w:webHidden/>
          </w:rPr>
          <w:fldChar w:fldCharType="begin"/>
        </w:r>
        <w:r w:rsidR="00DF458B">
          <w:rPr>
            <w:webHidden/>
          </w:rPr>
          <w:instrText xml:space="preserve"> PAGEREF _Toc419813815 \h </w:instrText>
        </w:r>
        <w:r w:rsidR="00B80A05">
          <w:rPr>
            <w:webHidden/>
          </w:rPr>
        </w:r>
        <w:r w:rsidR="00B80A05">
          <w:rPr>
            <w:webHidden/>
          </w:rPr>
          <w:fldChar w:fldCharType="separate"/>
        </w:r>
        <w:r w:rsidR="00316060">
          <w:rPr>
            <w:webHidden/>
          </w:rPr>
          <w:t>213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16" w:history="1">
        <w:r w:rsidR="00DF458B" w:rsidRPr="00503D2D">
          <w:rPr>
            <w:rStyle w:val="Hyperlink"/>
            <w:rFonts w:ascii="Arial Negrito" w:hAnsi="Arial Negrito"/>
          </w:rPr>
          <w:t>3.4.1.9.</w:t>
        </w:r>
        <w:r w:rsidR="00DF458B">
          <w:rPr>
            <w:rFonts w:asciiTheme="minorHAnsi" w:eastAsiaTheme="minorEastAsia" w:hAnsiTheme="minorHAnsi" w:cstheme="minorBidi"/>
          </w:rPr>
          <w:tab/>
        </w:r>
        <w:r w:rsidR="00DF458B" w:rsidRPr="00503D2D">
          <w:rPr>
            <w:rStyle w:val="Hyperlink"/>
            <w:rFonts w:ascii="Arial Negrito" w:hAnsi="Arial Negrito"/>
          </w:rPr>
          <w:t>Responsável pela Implementação do Programa</w:t>
        </w:r>
        <w:r w:rsidR="00DF458B">
          <w:rPr>
            <w:webHidden/>
          </w:rPr>
          <w:tab/>
        </w:r>
        <w:r w:rsidR="00B80A05">
          <w:rPr>
            <w:webHidden/>
          </w:rPr>
          <w:fldChar w:fldCharType="begin"/>
        </w:r>
        <w:r w:rsidR="00DF458B">
          <w:rPr>
            <w:webHidden/>
          </w:rPr>
          <w:instrText xml:space="preserve"> PAGEREF _Toc419813816 \h </w:instrText>
        </w:r>
        <w:r w:rsidR="00B80A05">
          <w:rPr>
            <w:webHidden/>
          </w:rPr>
        </w:r>
        <w:r w:rsidR="00B80A05">
          <w:rPr>
            <w:webHidden/>
          </w:rPr>
          <w:fldChar w:fldCharType="separate"/>
        </w:r>
        <w:r w:rsidR="00316060">
          <w:rPr>
            <w:webHidden/>
          </w:rPr>
          <w:t>213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17" w:history="1">
        <w:r w:rsidR="00DF458B" w:rsidRPr="00503D2D">
          <w:rPr>
            <w:rStyle w:val="Hyperlink"/>
            <w:rFonts w:ascii="Arial Negrito" w:hAnsi="Arial Negrito"/>
          </w:rPr>
          <w:t>3.4.1.10.</w:t>
        </w:r>
        <w:r w:rsidR="00DF458B">
          <w:rPr>
            <w:rFonts w:asciiTheme="minorHAnsi" w:eastAsiaTheme="minorEastAsia" w:hAnsiTheme="minorHAnsi" w:cstheme="minorBidi"/>
          </w:rPr>
          <w:tab/>
        </w:r>
        <w:r w:rsidR="00DF458B" w:rsidRPr="00503D2D">
          <w:rPr>
            <w:rStyle w:val="Hyperlink"/>
            <w:rFonts w:ascii="Arial Negrito" w:hAnsi="Arial Negrito"/>
          </w:rPr>
          <w:t>Sistemas de Registros</w:t>
        </w:r>
        <w:r w:rsidR="00DF458B">
          <w:rPr>
            <w:webHidden/>
          </w:rPr>
          <w:tab/>
        </w:r>
        <w:r w:rsidR="00B80A05">
          <w:rPr>
            <w:webHidden/>
          </w:rPr>
          <w:fldChar w:fldCharType="begin"/>
        </w:r>
        <w:r w:rsidR="00DF458B">
          <w:rPr>
            <w:webHidden/>
          </w:rPr>
          <w:instrText xml:space="preserve"> PAGEREF _Toc419813817 \h </w:instrText>
        </w:r>
        <w:r w:rsidR="00B80A05">
          <w:rPr>
            <w:webHidden/>
          </w:rPr>
        </w:r>
        <w:r w:rsidR="00B80A05">
          <w:rPr>
            <w:webHidden/>
          </w:rPr>
          <w:fldChar w:fldCharType="separate"/>
        </w:r>
        <w:r w:rsidR="00316060">
          <w:rPr>
            <w:webHidden/>
          </w:rPr>
          <w:t>213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18" w:history="1">
        <w:r w:rsidR="00DF458B" w:rsidRPr="00503D2D">
          <w:rPr>
            <w:rStyle w:val="Hyperlink"/>
            <w:rFonts w:ascii="Arial Negrito" w:hAnsi="Arial Negrito"/>
          </w:rPr>
          <w:t>3.4.2.</w:t>
        </w:r>
        <w:r w:rsidR="00DF458B">
          <w:rPr>
            <w:rFonts w:asciiTheme="minorHAnsi" w:eastAsiaTheme="minorEastAsia" w:hAnsiTheme="minorHAnsi" w:cstheme="minorBidi"/>
          </w:rPr>
          <w:tab/>
        </w:r>
        <w:r w:rsidR="00DF458B" w:rsidRPr="00503D2D">
          <w:rPr>
            <w:rStyle w:val="Hyperlink"/>
            <w:rFonts w:ascii="Arial Negrito" w:hAnsi="Arial Negrito"/>
          </w:rPr>
          <w:t>Programa de Revegetação e Enriquecimento Florestal</w:t>
        </w:r>
        <w:r w:rsidR="00DF458B">
          <w:rPr>
            <w:webHidden/>
          </w:rPr>
          <w:tab/>
        </w:r>
        <w:r w:rsidR="00B80A05">
          <w:rPr>
            <w:webHidden/>
          </w:rPr>
          <w:fldChar w:fldCharType="begin"/>
        </w:r>
        <w:r w:rsidR="00DF458B">
          <w:rPr>
            <w:webHidden/>
          </w:rPr>
          <w:instrText xml:space="preserve"> PAGEREF _Toc419813818 \h </w:instrText>
        </w:r>
        <w:r w:rsidR="00B80A05">
          <w:rPr>
            <w:webHidden/>
          </w:rPr>
        </w:r>
        <w:r w:rsidR="00B80A05">
          <w:rPr>
            <w:webHidden/>
          </w:rPr>
          <w:fldChar w:fldCharType="separate"/>
        </w:r>
        <w:r w:rsidR="00316060">
          <w:rPr>
            <w:webHidden/>
          </w:rPr>
          <w:t>214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19" w:history="1">
        <w:r w:rsidR="00DF458B" w:rsidRPr="00503D2D">
          <w:rPr>
            <w:rStyle w:val="Hyperlink"/>
            <w:rFonts w:ascii="Arial Negrito" w:hAnsi="Arial Negrito"/>
          </w:rPr>
          <w:t>3.4.2.1.</w:t>
        </w:r>
        <w:r w:rsidR="00DF458B">
          <w:rPr>
            <w:rFonts w:asciiTheme="minorHAnsi" w:eastAsiaTheme="minorEastAsia" w:hAnsiTheme="minorHAnsi" w:cstheme="minorBidi"/>
          </w:rPr>
          <w:tab/>
        </w:r>
        <w:r w:rsidR="00DF458B" w:rsidRPr="00503D2D">
          <w:rPr>
            <w:rStyle w:val="Hyperlink"/>
            <w:rFonts w:ascii="Arial Negrito" w:hAnsi="Arial Negrito"/>
          </w:rPr>
          <w:t>Apresentação e Justificativa</w:t>
        </w:r>
        <w:r w:rsidR="00DF458B">
          <w:rPr>
            <w:webHidden/>
          </w:rPr>
          <w:tab/>
        </w:r>
        <w:r w:rsidR="00B80A05">
          <w:rPr>
            <w:webHidden/>
          </w:rPr>
          <w:fldChar w:fldCharType="begin"/>
        </w:r>
        <w:r w:rsidR="00DF458B">
          <w:rPr>
            <w:webHidden/>
          </w:rPr>
          <w:instrText xml:space="preserve"> PAGEREF _Toc419813819 \h </w:instrText>
        </w:r>
        <w:r w:rsidR="00B80A05">
          <w:rPr>
            <w:webHidden/>
          </w:rPr>
        </w:r>
        <w:r w:rsidR="00B80A05">
          <w:rPr>
            <w:webHidden/>
          </w:rPr>
          <w:fldChar w:fldCharType="separate"/>
        </w:r>
        <w:r w:rsidR="00316060">
          <w:rPr>
            <w:webHidden/>
          </w:rPr>
          <w:t>214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20" w:history="1">
        <w:r w:rsidR="00DF458B" w:rsidRPr="00503D2D">
          <w:rPr>
            <w:rStyle w:val="Hyperlink"/>
            <w:rFonts w:ascii="Arial Negrito" w:hAnsi="Arial Negrito"/>
          </w:rPr>
          <w:t>3.4.2.2.</w:t>
        </w:r>
        <w:r w:rsidR="00DF458B">
          <w:rPr>
            <w:rFonts w:asciiTheme="minorHAnsi" w:eastAsiaTheme="minorEastAsia" w:hAnsiTheme="minorHAnsi" w:cstheme="minorBidi"/>
          </w:rPr>
          <w:tab/>
        </w:r>
        <w:r w:rsidR="00DF458B" w:rsidRPr="00503D2D">
          <w:rPr>
            <w:rStyle w:val="Hyperlink"/>
            <w:rFonts w:ascii="Arial Negrito" w:hAnsi="Arial Negrito"/>
          </w:rPr>
          <w:t>Objetivos</w:t>
        </w:r>
        <w:r w:rsidR="00DF458B">
          <w:rPr>
            <w:webHidden/>
          </w:rPr>
          <w:tab/>
        </w:r>
        <w:r w:rsidR="00B80A05">
          <w:rPr>
            <w:webHidden/>
          </w:rPr>
          <w:fldChar w:fldCharType="begin"/>
        </w:r>
        <w:r w:rsidR="00DF458B">
          <w:rPr>
            <w:webHidden/>
          </w:rPr>
          <w:instrText xml:space="preserve"> PAGEREF _Toc419813820 \h </w:instrText>
        </w:r>
        <w:r w:rsidR="00B80A05">
          <w:rPr>
            <w:webHidden/>
          </w:rPr>
        </w:r>
        <w:r w:rsidR="00B80A05">
          <w:rPr>
            <w:webHidden/>
          </w:rPr>
          <w:fldChar w:fldCharType="separate"/>
        </w:r>
        <w:r w:rsidR="00316060">
          <w:rPr>
            <w:webHidden/>
          </w:rPr>
          <w:t>216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21" w:history="1">
        <w:r w:rsidR="00DF458B" w:rsidRPr="00503D2D">
          <w:rPr>
            <w:rStyle w:val="Hyperlink"/>
            <w:rFonts w:ascii="Arial Negrito" w:hAnsi="Arial Negrito"/>
          </w:rPr>
          <w:t>3.4.2.3.</w:t>
        </w:r>
        <w:r w:rsidR="00DF458B">
          <w:rPr>
            <w:rFonts w:asciiTheme="minorHAnsi" w:eastAsiaTheme="minorEastAsia" w:hAnsiTheme="minorHAnsi" w:cstheme="minorBidi"/>
          </w:rPr>
          <w:tab/>
        </w:r>
        <w:r w:rsidR="00DF458B" w:rsidRPr="00503D2D">
          <w:rPr>
            <w:rStyle w:val="Hyperlink"/>
            <w:rFonts w:ascii="Arial Negrito" w:hAnsi="Arial Negrito"/>
          </w:rPr>
          <w:t>Metas</w:t>
        </w:r>
        <w:r w:rsidR="00DF458B">
          <w:rPr>
            <w:webHidden/>
          </w:rPr>
          <w:tab/>
        </w:r>
        <w:r w:rsidR="00B80A05">
          <w:rPr>
            <w:webHidden/>
          </w:rPr>
          <w:fldChar w:fldCharType="begin"/>
        </w:r>
        <w:r w:rsidR="00DF458B">
          <w:rPr>
            <w:webHidden/>
          </w:rPr>
          <w:instrText xml:space="preserve"> PAGEREF _Toc419813821 \h </w:instrText>
        </w:r>
        <w:r w:rsidR="00B80A05">
          <w:rPr>
            <w:webHidden/>
          </w:rPr>
        </w:r>
        <w:r w:rsidR="00B80A05">
          <w:rPr>
            <w:webHidden/>
          </w:rPr>
          <w:fldChar w:fldCharType="separate"/>
        </w:r>
        <w:r w:rsidR="00316060">
          <w:rPr>
            <w:webHidden/>
          </w:rPr>
          <w:t>217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22" w:history="1">
        <w:r w:rsidR="00DF458B" w:rsidRPr="00503D2D">
          <w:rPr>
            <w:rStyle w:val="Hyperlink"/>
            <w:rFonts w:ascii="Arial Negrito" w:hAnsi="Arial Negrito"/>
          </w:rPr>
          <w:t>3.4.2.4.</w:t>
        </w:r>
        <w:r w:rsidR="00DF458B">
          <w:rPr>
            <w:rFonts w:asciiTheme="minorHAnsi" w:eastAsiaTheme="minorEastAsia" w:hAnsiTheme="minorHAnsi" w:cstheme="minorBidi"/>
          </w:rPr>
          <w:tab/>
        </w:r>
        <w:r w:rsidR="00DF458B" w:rsidRPr="00503D2D">
          <w:rPr>
            <w:rStyle w:val="Hyperlink"/>
            <w:rFonts w:ascii="Arial Negrito" w:hAnsi="Arial Negrito"/>
          </w:rPr>
          <w:t>Público-alvo</w:t>
        </w:r>
        <w:r w:rsidR="00DF458B">
          <w:rPr>
            <w:webHidden/>
          </w:rPr>
          <w:tab/>
        </w:r>
        <w:r w:rsidR="00B80A05">
          <w:rPr>
            <w:webHidden/>
          </w:rPr>
          <w:fldChar w:fldCharType="begin"/>
        </w:r>
        <w:r w:rsidR="00DF458B">
          <w:rPr>
            <w:webHidden/>
          </w:rPr>
          <w:instrText xml:space="preserve"> PAGEREF _Toc419813822 \h </w:instrText>
        </w:r>
        <w:r w:rsidR="00B80A05">
          <w:rPr>
            <w:webHidden/>
          </w:rPr>
        </w:r>
        <w:r w:rsidR="00B80A05">
          <w:rPr>
            <w:webHidden/>
          </w:rPr>
          <w:fldChar w:fldCharType="separate"/>
        </w:r>
        <w:r w:rsidR="00316060">
          <w:rPr>
            <w:webHidden/>
          </w:rPr>
          <w:t>217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23" w:history="1">
        <w:r w:rsidR="00DF458B" w:rsidRPr="00503D2D">
          <w:rPr>
            <w:rStyle w:val="Hyperlink"/>
            <w:rFonts w:ascii="Arial Negrito" w:hAnsi="Arial Negrito"/>
          </w:rPr>
          <w:t>3.4.2.5.</w:t>
        </w:r>
        <w:r w:rsidR="00DF458B">
          <w:rPr>
            <w:rFonts w:asciiTheme="minorHAnsi" w:eastAsiaTheme="minorEastAsia" w:hAnsiTheme="minorHAnsi" w:cstheme="minorBidi"/>
          </w:rPr>
          <w:tab/>
        </w:r>
        <w:r w:rsidR="00DF458B" w:rsidRPr="00503D2D">
          <w:rPr>
            <w:rStyle w:val="Hyperlink"/>
            <w:rFonts w:ascii="Arial Negrito" w:hAnsi="Arial Negrito"/>
          </w:rPr>
          <w:t>Subprograma de Incremento da Conectividade</w:t>
        </w:r>
        <w:r w:rsidR="00DF458B">
          <w:rPr>
            <w:webHidden/>
          </w:rPr>
          <w:tab/>
        </w:r>
        <w:r w:rsidR="00B80A05">
          <w:rPr>
            <w:webHidden/>
          </w:rPr>
          <w:fldChar w:fldCharType="begin"/>
        </w:r>
        <w:r w:rsidR="00DF458B">
          <w:rPr>
            <w:webHidden/>
          </w:rPr>
          <w:instrText xml:space="preserve"> PAGEREF _Toc419813823 \h </w:instrText>
        </w:r>
        <w:r w:rsidR="00B80A05">
          <w:rPr>
            <w:webHidden/>
          </w:rPr>
        </w:r>
        <w:r w:rsidR="00B80A05">
          <w:rPr>
            <w:webHidden/>
          </w:rPr>
          <w:fldChar w:fldCharType="separate"/>
        </w:r>
        <w:r w:rsidR="00316060">
          <w:rPr>
            <w:webHidden/>
          </w:rPr>
          <w:t>217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24" w:history="1">
        <w:r w:rsidR="00DF458B" w:rsidRPr="00503D2D">
          <w:rPr>
            <w:rStyle w:val="Hyperlink"/>
            <w:rFonts w:ascii="Arial Negrito" w:hAnsi="Arial Negrito"/>
          </w:rPr>
          <w:t>3.4.2.6.</w:t>
        </w:r>
        <w:r w:rsidR="00DF458B">
          <w:rPr>
            <w:rFonts w:asciiTheme="minorHAnsi" w:eastAsiaTheme="minorEastAsia" w:hAnsiTheme="minorHAnsi" w:cstheme="minorBidi"/>
          </w:rPr>
          <w:tab/>
        </w:r>
        <w:r w:rsidR="00DF458B" w:rsidRPr="00503D2D">
          <w:rPr>
            <w:rStyle w:val="Hyperlink"/>
            <w:rFonts w:ascii="Arial Negrito" w:hAnsi="Arial Negrito"/>
          </w:rPr>
          <w:t>Métodos e descrição do programa (procedimentos)</w:t>
        </w:r>
        <w:r w:rsidR="00DF458B">
          <w:rPr>
            <w:webHidden/>
          </w:rPr>
          <w:tab/>
        </w:r>
        <w:r w:rsidR="00B80A05">
          <w:rPr>
            <w:webHidden/>
          </w:rPr>
          <w:fldChar w:fldCharType="begin"/>
        </w:r>
        <w:r w:rsidR="00DF458B">
          <w:rPr>
            <w:webHidden/>
          </w:rPr>
          <w:instrText xml:space="preserve"> PAGEREF _Toc419813824 \h </w:instrText>
        </w:r>
        <w:r w:rsidR="00B80A05">
          <w:rPr>
            <w:webHidden/>
          </w:rPr>
        </w:r>
        <w:r w:rsidR="00B80A05">
          <w:rPr>
            <w:webHidden/>
          </w:rPr>
          <w:fldChar w:fldCharType="separate"/>
        </w:r>
        <w:r w:rsidR="00316060">
          <w:rPr>
            <w:webHidden/>
          </w:rPr>
          <w:t>217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25" w:history="1">
        <w:r w:rsidR="00DF458B" w:rsidRPr="00503D2D">
          <w:rPr>
            <w:rStyle w:val="Hyperlink"/>
            <w:rFonts w:ascii="Arial Negrito" w:hAnsi="Arial Negrito"/>
          </w:rPr>
          <w:t>3.4.2.7.</w:t>
        </w:r>
        <w:r w:rsidR="00DF458B">
          <w:rPr>
            <w:rFonts w:asciiTheme="minorHAnsi" w:eastAsiaTheme="minorEastAsia" w:hAnsiTheme="minorHAnsi" w:cstheme="minorBidi"/>
          </w:rPr>
          <w:tab/>
        </w:r>
        <w:r w:rsidR="00DF458B" w:rsidRPr="00503D2D">
          <w:rPr>
            <w:rStyle w:val="Hyperlink"/>
            <w:rFonts w:ascii="Arial Negrito" w:hAnsi="Arial Negrito"/>
          </w:rPr>
          <w:t>Indicadores Ambientais</w:t>
        </w:r>
        <w:r w:rsidR="00DF458B">
          <w:rPr>
            <w:webHidden/>
          </w:rPr>
          <w:tab/>
        </w:r>
        <w:r w:rsidR="00B80A05">
          <w:rPr>
            <w:webHidden/>
          </w:rPr>
          <w:fldChar w:fldCharType="begin"/>
        </w:r>
        <w:r w:rsidR="00DF458B">
          <w:rPr>
            <w:webHidden/>
          </w:rPr>
          <w:instrText xml:space="preserve"> PAGEREF _Toc419813825 \h </w:instrText>
        </w:r>
        <w:r w:rsidR="00B80A05">
          <w:rPr>
            <w:webHidden/>
          </w:rPr>
        </w:r>
        <w:r w:rsidR="00B80A05">
          <w:rPr>
            <w:webHidden/>
          </w:rPr>
          <w:fldChar w:fldCharType="separate"/>
        </w:r>
        <w:r w:rsidR="00316060">
          <w:rPr>
            <w:webHidden/>
          </w:rPr>
          <w:t>218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26" w:history="1">
        <w:r w:rsidR="00DF458B" w:rsidRPr="00503D2D">
          <w:rPr>
            <w:rStyle w:val="Hyperlink"/>
            <w:rFonts w:ascii="Arial Negrito" w:hAnsi="Arial Negrito"/>
          </w:rPr>
          <w:t>3.4.2.8.</w:t>
        </w:r>
        <w:r w:rsidR="00DF458B">
          <w:rPr>
            <w:rFonts w:asciiTheme="minorHAnsi" w:eastAsiaTheme="minorEastAsia" w:hAnsiTheme="minorHAnsi" w:cstheme="minorBidi"/>
          </w:rPr>
          <w:tab/>
        </w:r>
        <w:r w:rsidR="00DF458B" w:rsidRPr="00503D2D">
          <w:rPr>
            <w:rStyle w:val="Hyperlink"/>
            <w:rFonts w:ascii="Arial Negrito" w:hAnsi="Arial Negrito"/>
          </w:rPr>
          <w:t>Atendimento a Requisitos Legais e/ou Outros Requisitos</w:t>
        </w:r>
        <w:r w:rsidR="00DF458B">
          <w:rPr>
            <w:webHidden/>
          </w:rPr>
          <w:tab/>
        </w:r>
        <w:r w:rsidR="00B80A05">
          <w:rPr>
            <w:webHidden/>
          </w:rPr>
          <w:fldChar w:fldCharType="begin"/>
        </w:r>
        <w:r w:rsidR="00DF458B">
          <w:rPr>
            <w:webHidden/>
          </w:rPr>
          <w:instrText xml:space="preserve"> PAGEREF _Toc419813826 \h </w:instrText>
        </w:r>
        <w:r w:rsidR="00B80A05">
          <w:rPr>
            <w:webHidden/>
          </w:rPr>
        </w:r>
        <w:r w:rsidR="00B80A05">
          <w:rPr>
            <w:webHidden/>
          </w:rPr>
          <w:fldChar w:fldCharType="separate"/>
        </w:r>
        <w:r w:rsidR="00316060">
          <w:rPr>
            <w:webHidden/>
          </w:rPr>
          <w:t>220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27" w:history="1">
        <w:r w:rsidR="00DF458B" w:rsidRPr="00503D2D">
          <w:rPr>
            <w:rStyle w:val="Hyperlink"/>
            <w:rFonts w:ascii="Arial Negrito" w:hAnsi="Arial Negrito"/>
          </w:rPr>
          <w:t>3.4.2.9.</w:t>
        </w:r>
        <w:r w:rsidR="00DF458B">
          <w:rPr>
            <w:rFonts w:asciiTheme="minorHAnsi" w:eastAsiaTheme="minorEastAsia" w:hAnsiTheme="minorHAnsi" w:cstheme="minorBidi"/>
          </w:rPr>
          <w:tab/>
        </w:r>
        <w:r w:rsidR="00DF458B" w:rsidRPr="00503D2D">
          <w:rPr>
            <w:rStyle w:val="Hyperlink"/>
            <w:rFonts w:ascii="Arial Negrito" w:hAnsi="Arial Negrito"/>
          </w:rPr>
          <w:t>Inter-Relação com Outros Planos e Programas</w:t>
        </w:r>
        <w:r w:rsidR="00DF458B">
          <w:rPr>
            <w:webHidden/>
          </w:rPr>
          <w:tab/>
        </w:r>
        <w:r w:rsidR="00B80A05">
          <w:rPr>
            <w:webHidden/>
          </w:rPr>
          <w:fldChar w:fldCharType="begin"/>
        </w:r>
        <w:r w:rsidR="00DF458B">
          <w:rPr>
            <w:webHidden/>
          </w:rPr>
          <w:instrText xml:space="preserve"> PAGEREF _Toc419813827 \h </w:instrText>
        </w:r>
        <w:r w:rsidR="00B80A05">
          <w:rPr>
            <w:webHidden/>
          </w:rPr>
        </w:r>
        <w:r w:rsidR="00B80A05">
          <w:rPr>
            <w:webHidden/>
          </w:rPr>
          <w:fldChar w:fldCharType="separate"/>
        </w:r>
        <w:r w:rsidR="00316060">
          <w:rPr>
            <w:webHidden/>
          </w:rPr>
          <w:t>221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28" w:history="1">
        <w:r w:rsidR="00DF458B" w:rsidRPr="00503D2D">
          <w:rPr>
            <w:rStyle w:val="Hyperlink"/>
            <w:rFonts w:ascii="Arial Negrito" w:hAnsi="Arial Negrito"/>
          </w:rPr>
          <w:t>3.4.2.10.</w:t>
        </w:r>
        <w:r w:rsidR="00DF458B">
          <w:rPr>
            <w:rFonts w:asciiTheme="minorHAnsi" w:eastAsiaTheme="minorEastAsia" w:hAnsiTheme="minorHAnsi" w:cstheme="minorBidi"/>
          </w:rPr>
          <w:tab/>
        </w:r>
        <w:r w:rsidR="00DF458B" w:rsidRPr="00503D2D">
          <w:rPr>
            <w:rStyle w:val="Hyperlink"/>
            <w:rFonts w:ascii="Arial Negrito" w:hAnsi="Arial Negrito"/>
          </w:rPr>
          <w:t>Etapa dos Empreendimentos</w:t>
        </w:r>
        <w:r w:rsidR="00DF458B">
          <w:rPr>
            <w:webHidden/>
          </w:rPr>
          <w:tab/>
        </w:r>
        <w:r w:rsidR="00B80A05">
          <w:rPr>
            <w:webHidden/>
          </w:rPr>
          <w:fldChar w:fldCharType="begin"/>
        </w:r>
        <w:r w:rsidR="00DF458B">
          <w:rPr>
            <w:webHidden/>
          </w:rPr>
          <w:instrText xml:space="preserve"> PAGEREF _Toc419813828 \h </w:instrText>
        </w:r>
        <w:r w:rsidR="00B80A05">
          <w:rPr>
            <w:webHidden/>
          </w:rPr>
        </w:r>
        <w:r w:rsidR="00B80A05">
          <w:rPr>
            <w:webHidden/>
          </w:rPr>
          <w:fldChar w:fldCharType="separate"/>
        </w:r>
        <w:r w:rsidR="00316060">
          <w:rPr>
            <w:webHidden/>
          </w:rPr>
          <w:t>221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29" w:history="1">
        <w:r w:rsidR="00DF458B" w:rsidRPr="00503D2D">
          <w:rPr>
            <w:rStyle w:val="Hyperlink"/>
            <w:rFonts w:ascii="Arial Negrito" w:hAnsi="Arial Negrito"/>
            <w:bCs/>
          </w:rPr>
          <w:t>3.4.2.11.</w:t>
        </w:r>
        <w:r w:rsidR="00DF458B">
          <w:rPr>
            <w:rFonts w:asciiTheme="minorHAnsi" w:eastAsiaTheme="minorEastAsia" w:hAnsiTheme="minorHAnsi" w:cstheme="minorBidi"/>
          </w:rPr>
          <w:tab/>
        </w:r>
        <w:r w:rsidR="00DF458B" w:rsidRPr="00503D2D">
          <w:rPr>
            <w:rStyle w:val="Hyperlink"/>
            <w:rFonts w:ascii="Arial Negrito" w:hAnsi="Arial Negrito"/>
            <w:bCs/>
          </w:rPr>
          <w:t>Cronograma de Execução</w:t>
        </w:r>
        <w:r w:rsidR="00DF458B">
          <w:rPr>
            <w:webHidden/>
          </w:rPr>
          <w:tab/>
        </w:r>
        <w:r w:rsidR="00B80A05">
          <w:rPr>
            <w:webHidden/>
          </w:rPr>
          <w:fldChar w:fldCharType="begin"/>
        </w:r>
        <w:r w:rsidR="00DF458B">
          <w:rPr>
            <w:webHidden/>
          </w:rPr>
          <w:instrText xml:space="preserve"> PAGEREF _Toc419813829 \h </w:instrText>
        </w:r>
        <w:r w:rsidR="00B80A05">
          <w:rPr>
            <w:webHidden/>
          </w:rPr>
        </w:r>
        <w:r w:rsidR="00B80A05">
          <w:rPr>
            <w:webHidden/>
          </w:rPr>
          <w:fldChar w:fldCharType="separate"/>
        </w:r>
        <w:r w:rsidR="00316060">
          <w:rPr>
            <w:webHidden/>
          </w:rPr>
          <w:t>222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30" w:history="1">
        <w:r w:rsidR="00DF458B" w:rsidRPr="00503D2D">
          <w:rPr>
            <w:rStyle w:val="Hyperlink"/>
            <w:rFonts w:ascii="Arial Negrito" w:hAnsi="Arial Negrito"/>
          </w:rPr>
          <w:t>3.4.2.12.</w:t>
        </w:r>
        <w:r w:rsidR="00DF458B">
          <w:rPr>
            <w:rFonts w:asciiTheme="minorHAnsi" w:eastAsiaTheme="minorEastAsia" w:hAnsiTheme="minorHAnsi" w:cstheme="minorBidi"/>
          </w:rPr>
          <w:tab/>
        </w:r>
        <w:r w:rsidR="00DF458B" w:rsidRPr="00503D2D">
          <w:rPr>
            <w:rStyle w:val="Hyperlink"/>
            <w:rFonts w:ascii="Arial Negrito" w:hAnsi="Arial Negrito"/>
          </w:rPr>
          <w:t>Responsável pela Implementação do Programa</w:t>
        </w:r>
        <w:r w:rsidR="00DF458B">
          <w:rPr>
            <w:webHidden/>
          </w:rPr>
          <w:tab/>
        </w:r>
        <w:r w:rsidR="00B80A05">
          <w:rPr>
            <w:webHidden/>
          </w:rPr>
          <w:fldChar w:fldCharType="begin"/>
        </w:r>
        <w:r w:rsidR="00DF458B">
          <w:rPr>
            <w:webHidden/>
          </w:rPr>
          <w:instrText xml:space="preserve"> PAGEREF _Toc419813830 \h </w:instrText>
        </w:r>
        <w:r w:rsidR="00B80A05">
          <w:rPr>
            <w:webHidden/>
          </w:rPr>
        </w:r>
        <w:r w:rsidR="00B80A05">
          <w:rPr>
            <w:webHidden/>
          </w:rPr>
          <w:fldChar w:fldCharType="separate"/>
        </w:r>
        <w:r w:rsidR="00316060">
          <w:rPr>
            <w:webHidden/>
          </w:rPr>
          <w:t>222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31" w:history="1">
        <w:r w:rsidR="00DF458B" w:rsidRPr="00503D2D">
          <w:rPr>
            <w:rStyle w:val="Hyperlink"/>
            <w:rFonts w:ascii="Arial Negrito" w:hAnsi="Arial Negrito"/>
            <w:bCs/>
          </w:rPr>
          <w:t>3.4.2.13.</w:t>
        </w:r>
        <w:r w:rsidR="00DF458B">
          <w:rPr>
            <w:rFonts w:asciiTheme="minorHAnsi" w:eastAsiaTheme="minorEastAsia" w:hAnsiTheme="minorHAnsi" w:cstheme="minorBidi"/>
          </w:rPr>
          <w:tab/>
        </w:r>
        <w:r w:rsidR="00DF458B" w:rsidRPr="00503D2D">
          <w:rPr>
            <w:rStyle w:val="Hyperlink"/>
            <w:rFonts w:ascii="Arial Negrito" w:hAnsi="Arial Negrito"/>
            <w:bCs/>
          </w:rPr>
          <w:t>Sistemas de Registros</w:t>
        </w:r>
        <w:r w:rsidR="00DF458B">
          <w:rPr>
            <w:webHidden/>
          </w:rPr>
          <w:tab/>
        </w:r>
        <w:r w:rsidR="00B80A05">
          <w:rPr>
            <w:webHidden/>
          </w:rPr>
          <w:fldChar w:fldCharType="begin"/>
        </w:r>
        <w:r w:rsidR="00DF458B">
          <w:rPr>
            <w:webHidden/>
          </w:rPr>
          <w:instrText xml:space="preserve"> PAGEREF _Toc419813831 \h </w:instrText>
        </w:r>
        <w:r w:rsidR="00B80A05">
          <w:rPr>
            <w:webHidden/>
          </w:rPr>
        </w:r>
        <w:r w:rsidR="00B80A05">
          <w:rPr>
            <w:webHidden/>
          </w:rPr>
          <w:fldChar w:fldCharType="separate"/>
        </w:r>
        <w:r w:rsidR="00316060">
          <w:rPr>
            <w:webHidden/>
          </w:rPr>
          <w:t>223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32" w:history="1">
        <w:r w:rsidR="00DF458B" w:rsidRPr="00503D2D">
          <w:rPr>
            <w:rStyle w:val="Hyperlink"/>
            <w:rFonts w:ascii="Arial Negrito" w:hAnsi="Arial Negrito"/>
            <w:bCs/>
          </w:rPr>
          <w:t>3.4.3.</w:t>
        </w:r>
        <w:r w:rsidR="00DF458B">
          <w:rPr>
            <w:rFonts w:asciiTheme="minorHAnsi" w:eastAsiaTheme="minorEastAsia" w:hAnsiTheme="minorHAnsi" w:cstheme="minorBidi"/>
          </w:rPr>
          <w:tab/>
        </w:r>
        <w:r w:rsidR="00DF458B" w:rsidRPr="00503D2D">
          <w:rPr>
            <w:rStyle w:val="Hyperlink"/>
            <w:rFonts w:ascii="Arial Negrito" w:hAnsi="Arial Negrito"/>
            <w:bCs/>
          </w:rPr>
          <w:t>Programa de Monitoramento e Conservação da Fauna</w:t>
        </w:r>
        <w:r w:rsidR="00DF458B">
          <w:rPr>
            <w:webHidden/>
          </w:rPr>
          <w:tab/>
        </w:r>
        <w:r w:rsidR="00B80A05">
          <w:rPr>
            <w:webHidden/>
          </w:rPr>
          <w:fldChar w:fldCharType="begin"/>
        </w:r>
        <w:r w:rsidR="00DF458B">
          <w:rPr>
            <w:webHidden/>
          </w:rPr>
          <w:instrText xml:space="preserve"> PAGEREF _Toc419813832 \h </w:instrText>
        </w:r>
        <w:r w:rsidR="00B80A05">
          <w:rPr>
            <w:webHidden/>
          </w:rPr>
        </w:r>
        <w:r w:rsidR="00B80A05">
          <w:rPr>
            <w:webHidden/>
          </w:rPr>
          <w:fldChar w:fldCharType="separate"/>
        </w:r>
        <w:r w:rsidR="00316060">
          <w:rPr>
            <w:webHidden/>
          </w:rPr>
          <w:t>223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33" w:history="1">
        <w:r w:rsidR="00DF458B" w:rsidRPr="00503D2D">
          <w:rPr>
            <w:rStyle w:val="Hyperlink"/>
            <w:rFonts w:ascii="Arial Negrito" w:hAnsi="Arial Negrito"/>
            <w:bCs/>
          </w:rPr>
          <w:t>3.4.3.1.</w:t>
        </w:r>
        <w:r w:rsidR="00DF458B">
          <w:rPr>
            <w:rFonts w:asciiTheme="minorHAnsi" w:eastAsiaTheme="minorEastAsia" w:hAnsiTheme="minorHAnsi" w:cstheme="minorBidi"/>
          </w:rPr>
          <w:tab/>
        </w:r>
        <w:r w:rsidR="00DF458B" w:rsidRPr="00503D2D">
          <w:rPr>
            <w:rStyle w:val="Hyperlink"/>
            <w:rFonts w:ascii="Arial Negrito" w:hAnsi="Arial Negrito"/>
            <w:bCs/>
          </w:rPr>
          <w:t>Apresentação e Justificativa</w:t>
        </w:r>
        <w:r w:rsidR="00DF458B">
          <w:rPr>
            <w:webHidden/>
          </w:rPr>
          <w:tab/>
        </w:r>
        <w:r w:rsidR="00B80A05">
          <w:rPr>
            <w:webHidden/>
          </w:rPr>
          <w:fldChar w:fldCharType="begin"/>
        </w:r>
        <w:r w:rsidR="00DF458B">
          <w:rPr>
            <w:webHidden/>
          </w:rPr>
          <w:instrText xml:space="preserve"> PAGEREF _Toc419813833 \h </w:instrText>
        </w:r>
        <w:r w:rsidR="00B80A05">
          <w:rPr>
            <w:webHidden/>
          </w:rPr>
        </w:r>
        <w:r w:rsidR="00B80A05">
          <w:rPr>
            <w:webHidden/>
          </w:rPr>
          <w:fldChar w:fldCharType="separate"/>
        </w:r>
        <w:r w:rsidR="00316060">
          <w:rPr>
            <w:webHidden/>
          </w:rPr>
          <w:t>223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34" w:history="1">
        <w:r w:rsidR="00DF458B" w:rsidRPr="00503D2D">
          <w:rPr>
            <w:rStyle w:val="Hyperlink"/>
            <w:rFonts w:ascii="Arial Negrito" w:hAnsi="Arial Negrito"/>
            <w:bCs/>
          </w:rPr>
          <w:t>3.4.3.2.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_Toc419813834 \h </w:instrText>
        </w:r>
        <w:r w:rsidR="00B80A05">
          <w:rPr>
            <w:webHidden/>
          </w:rPr>
        </w:r>
        <w:r w:rsidR="00B80A05">
          <w:rPr>
            <w:webHidden/>
          </w:rPr>
          <w:fldChar w:fldCharType="separate"/>
        </w:r>
        <w:r w:rsidR="00316060">
          <w:rPr>
            <w:webHidden/>
          </w:rPr>
          <w:t>224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35" w:history="1">
        <w:r w:rsidR="00DF458B" w:rsidRPr="00503D2D">
          <w:rPr>
            <w:rStyle w:val="Hyperlink"/>
            <w:rFonts w:ascii="Arial Negrito" w:hAnsi="Arial Negrito"/>
            <w:bCs/>
          </w:rPr>
          <w:t>3.4.3.3.</w:t>
        </w:r>
        <w:r w:rsidR="00DF458B">
          <w:rPr>
            <w:rFonts w:asciiTheme="minorHAnsi" w:eastAsiaTheme="minorEastAsia" w:hAnsiTheme="minorHAnsi" w:cstheme="minorBidi"/>
          </w:rPr>
          <w:tab/>
        </w:r>
        <w:r w:rsidR="00DF458B" w:rsidRPr="00503D2D">
          <w:rPr>
            <w:rStyle w:val="Hyperlink"/>
            <w:rFonts w:ascii="Arial Negrito" w:hAnsi="Arial Negrito"/>
            <w:bCs/>
          </w:rPr>
          <w:t>Metas</w:t>
        </w:r>
        <w:r w:rsidR="00DF458B">
          <w:rPr>
            <w:webHidden/>
          </w:rPr>
          <w:tab/>
        </w:r>
        <w:r w:rsidR="00B80A05">
          <w:rPr>
            <w:webHidden/>
          </w:rPr>
          <w:fldChar w:fldCharType="begin"/>
        </w:r>
        <w:r w:rsidR="00DF458B">
          <w:rPr>
            <w:webHidden/>
          </w:rPr>
          <w:instrText xml:space="preserve"> PAGEREF _Toc419813835 \h </w:instrText>
        </w:r>
        <w:r w:rsidR="00B80A05">
          <w:rPr>
            <w:webHidden/>
          </w:rPr>
        </w:r>
        <w:r w:rsidR="00B80A05">
          <w:rPr>
            <w:webHidden/>
          </w:rPr>
          <w:fldChar w:fldCharType="separate"/>
        </w:r>
        <w:r w:rsidR="00316060">
          <w:rPr>
            <w:webHidden/>
          </w:rPr>
          <w:t>224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36" w:history="1">
        <w:r w:rsidR="00DF458B" w:rsidRPr="00503D2D">
          <w:rPr>
            <w:rStyle w:val="Hyperlink"/>
            <w:rFonts w:ascii="Arial Negrito" w:hAnsi="Arial Negrito"/>
            <w:bCs/>
          </w:rPr>
          <w:t>3.4.3.4.</w:t>
        </w:r>
        <w:r w:rsidR="00DF458B">
          <w:rPr>
            <w:rFonts w:asciiTheme="minorHAnsi" w:eastAsiaTheme="minorEastAsia" w:hAnsiTheme="minorHAnsi" w:cstheme="minorBidi"/>
          </w:rPr>
          <w:tab/>
        </w:r>
        <w:r w:rsidR="00DF458B" w:rsidRPr="00503D2D">
          <w:rPr>
            <w:rStyle w:val="Hyperlink"/>
            <w:rFonts w:ascii="Arial Negrito" w:hAnsi="Arial Negrito"/>
            <w:bCs/>
          </w:rPr>
          <w:t>Público-Alvo</w:t>
        </w:r>
        <w:r w:rsidR="00DF458B">
          <w:rPr>
            <w:webHidden/>
          </w:rPr>
          <w:tab/>
        </w:r>
        <w:r w:rsidR="00B80A05">
          <w:rPr>
            <w:webHidden/>
          </w:rPr>
          <w:fldChar w:fldCharType="begin"/>
        </w:r>
        <w:r w:rsidR="00DF458B">
          <w:rPr>
            <w:webHidden/>
          </w:rPr>
          <w:instrText xml:space="preserve"> PAGEREF _Toc419813836 \h </w:instrText>
        </w:r>
        <w:r w:rsidR="00B80A05">
          <w:rPr>
            <w:webHidden/>
          </w:rPr>
        </w:r>
        <w:r w:rsidR="00B80A05">
          <w:rPr>
            <w:webHidden/>
          </w:rPr>
          <w:fldChar w:fldCharType="separate"/>
        </w:r>
        <w:r w:rsidR="00316060">
          <w:rPr>
            <w:webHidden/>
          </w:rPr>
          <w:t>225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37" w:history="1">
        <w:r w:rsidR="00DF458B" w:rsidRPr="00503D2D">
          <w:rPr>
            <w:rStyle w:val="Hyperlink"/>
            <w:rFonts w:ascii="Arial Negrito" w:hAnsi="Arial Negrito"/>
            <w:bCs/>
          </w:rPr>
          <w:t>3.4.3.5.</w:t>
        </w:r>
        <w:r w:rsidR="00DF458B">
          <w:rPr>
            <w:rFonts w:asciiTheme="minorHAnsi" w:eastAsiaTheme="minorEastAsia" w:hAnsiTheme="minorHAnsi" w:cstheme="minorBidi"/>
          </w:rPr>
          <w:tab/>
        </w:r>
        <w:r w:rsidR="00DF458B" w:rsidRPr="00503D2D">
          <w:rPr>
            <w:rStyle w:val="Hyperlink"/>
            <w:rFonts w:ascii="Arial Negrito" w:hAnsi="Arial Negrito"/>
            <w:bCs/>
          </w:rPr>
          <w:t>Atendimento a Requisitos Legais e/ou Outros Requisitos</w:t>
        </w:r>
        <w:r w:rsidR="00DF458B">
          <w:rPr>
            <w:webHidden/>
          </w:rPr>
          <w:tab/>
        </w:r>
        <w:r w:rsidR="00B80A05">
          <w:rPr>
            <w:webHidden/>
          </w:rPr>
          <w:fldChar w:fldCharType="begin"/>
        </w:r>
        <w:r w:rsidR="00DF458B">
          <w:rPr>
            <w:webHidden/>
          </w:rPr>
          <w:instrText xml:space="preserve"> PAGEREF _Toc419813837 \h </w:instrText>
        </w:r>
        <w:r w:rsidR="00B80A05">
          <w:rPr>
            <w:webHidden/>
          </w:rPr>
        </w:r>
        <w:r w:rsidR="00B80A05">
          <w:rPr>
            <w:webHidden/>
          </w:rPr>
          <w:fldChar w:fldCharType="separate"/>
        </w:r>
        <w:r w:rsidR="00316060">
          <w:rPr>
            <w:webHidden/>
          </w:rPr>
          <w:t>230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38" w:history="1">
        <w:r w:rsidR="00DF458B" w:rsidRPr="00503D2D">
          <w:rPr>
            <w:rStyle w:val="Hyperlink"/>
            <w:rFonts w:ascii="Arial Negrito" w:hAnsi="Arial Negrito"/>
            <w:bCs/>
          </w:rPr>
          <w:t>3.4.3.6. Inter-relação com Outros Planos e Programas</w:t>
        </w:r>
        <w:r w:rsidR="00DF458B">
          <w:rPr>
            <w:webHidden/>
          </w:rPr>
          <w:tab/>
        </w:r>
        <w:r w:rsidR="00B80A05">
          <w:rPr>
            <w:webHidden/>
          </w:rPr>
          <w:fldChar w:fldCharType="begin"/>
        </w:r>
        <w:r w:rsidR="00DF458B">
          <w:rPr>
            <w:webHidden/>
          </w:rPr>
          <w:instrText xml:space="preserve"> PAGEREF _Toc419813838 \h </w:instrText>
        </w:r>
        <w:r w:rsidR="00B80A05">
          <w:rPr>
            <w:webHidden/>
          </w:rPr>
        </w:r>
        <w:r w:rsidR="00B80A05">
          <w:rPr>
            <w:webHidden/>
          </w:rPr>
          <w:fldChar w:fldCharType="separate"/>
        </w:r>
        <w:r w:rsidR="00316060">
          <w:rPr>
            <w:webHidden/>
          </w:rPr>
          <w:t>231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39" w:history="1">
        <w:r w:rsidR="00DF458B" w:rsidRPr="00503D2D">
          <w:rPr>
            <w:rStyle w:val="Hyperlink"/>
            <w:rFonts w:ascii="Arial Negrito" w:hAnsi="Arial Negrito"/>
            <w:bCs/>
          </w:rPr>
          <w:t>3.4.3.7. Etapa dos Empreendimentos</w:t>
        </w:r>
        <w:r w:rsidR="00DF458B">
          <w:rPr>
            <w:webHidden/>
          </w:rPr>
          <w:tab/>
        </w:r>
        <w:r w:rsidR="00B80A05">
          <w:rPr>
            <w:webHidden/>
          </w:rPr>
          <w:fldChar w:fldCharType="begin"/>
        </w:r>
        <w:r w:rsidR="00DF458B">
          <w:rPr>
            <w:webHidden/>
          </w:rPr>
          <w:instrText xml:space="preserve"> PAGEREF _Toc419813839 \h </w:instrText>
        </w:r>
        <w:r w:rsidR="00B80A05">
          <w:rPr>
            <w:webHidden/>
          </w:rPr>
        </w:r>
        <w:r w:rsidR="00B80A05">
          <w:rPr>
            <w:webHidden/>
          </w:rPr>
          <w:fldChar w:fldCharType="separate"/>
        </w:r>
        <w:r w:rsidR="00316060">
          <w:rPr>
            <w:webHidden/>
          </w:rPr>
          <w:t>231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40" w:history="1">
        <w:r w:rsidR="00DF458B" w:rsidRPr="00503D2D">
          <w:rPr>
            <w:rStyle w:val="Hyperlink"/>
            <w:rFonts w:ascii="Arial Negrito" w:hAnsi="Arial Negrito"/>
            <w:bCs/>
          </w:rPr>
          <w:t>3.4.3.8. Cronograma de Execução</w:t>
        </w:r>
        <w:r w:rsidR="00DF458B">
          <w:rPr>
            <w:webHidden/>
          </w:rPr>
          <w:tab/>
        </w:r>
        <w:r w:rsidR="00B80A05">
          <w:rPr>
            <w:webHidden/>
          </w:rPr>
          <w:fldChar w:fldCharType="begin"/>
        </w:r>
        <w:r w:rsidR="00DF458B">
          <w:rPr>
            <w:webHidden/>
          </w:rPr>
          <w:instrText xml:space="preserve"> PAGEREF _Toc419813840 \h </w:instrText>
        </w:r>
        <w:r w:rsidR="00B80A05">
          <w:rPr>
            <w:webHidden/>
          </w:rPr>
        </w:r>
        <w:r w:rsidR="00B80A05">
          <w:rPr>
            <w:webHidden/>
          </w:rPr>
          <w:fldChar w:fldCharType="separate"/>
        </w:r>
        <w:r w:rsidR="00316060">
          <w:rPr>
            <w:webHidden/>
          </w:rPr>
          <w:t>231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41" w:history="1">
        <w:r w:rsidR="00DF458B" w:rsidRPr="00503D2D">
          <w:rPr>
            <w:rStyle w:val="Hyperlink"/>
            <w:rFonts w:ascii="Arial Negrito" w:hAnsi="Arial Negrito"/>
            <w:bCs/>
          </w:rPr>
          <w:t>3.4.3.9. Responsável pela Implementação do Programa</w:t>
        </w:r>
        <w:r w:rsidR="00DF458B">
          <w:rPr>
            <w:webHidden/>
          </w:rPr>
          <w:tab/>
        </w:r>
        <w:r w:rsidR="00B80A05">
          <w:rPr>
            <w:webHidden/>
          </w:rPr>
          <w:fldChar w:fldCharType="begin"/>
        </w:r>
        <w:r w:rsidR="00DF458B">
          <w:rPr>
            <w:webHidden/>
          </w:rPr>
          <w:instrText xml:space="preserve"> PAGEREF _Toc419813841 \h </w:instrText>
        </w:r>
        <w:r w:rsidR="00B80A05">
          <w:rPr>
            <w:webHidden/>
          </w:rPr>
        </w:r>
        <w:r w:rsidR="00B80A05">
          <w:rPr>
            <w:webHidden/>
          </w:rPr>
          <w:fldChar w:fldCharType="separate"/>
        </w:r>
        <w:r w:rsidR="00316060">
          <w:rPr>
            <w:webHidden/>
          </w:rPr>
          <w:t>231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42" w:history="1">
        <w:r w:rsidR="00DF458B" w:rsidRPr="00503D2D">
          <w:rPr>
            <w:rStyle w:val="Hyperlink"/>
            <w:rFonts w:ascii="Arial Negrito" w:hAnsi="Arial Negrito"/>
            <w:bCs/>
          </w:rPr>
          <w:t>3.4.3.10. Sistemas de Registros</w:t>
        </w:r>
        <w:r w:rsidR="00DF458B">
          <w:rPr>
            <w:webHidden/>
          </w:rPr>
          <w:tab/>
        </w:r>
        <w:r w:rsidR="00B80A05">
          <w:rPr>
            <w:webHidden/>
          </w:rPr>
          <w:fldChar w:fldCharType="begin"/>
        </w:r>
        <w:r w:rsidR="00DF458B">
          <w:rPr>
            <w:webHidden/>
          </w:rPr>
          <w:instrText xml:space="preserve"> PAGEREF _Toc419813842 \h </w:instrText>
        </w:r>
        <w:r w:rsidR="00B80A05">
          <w:rPr>
            <w:webHidden/>
          </w:rPr>
        </w:r>
        <w:r w:rsidR="00B80A05">
          <w:rPr>
            <w:webHidden/>
          </w:rPr>
          <w:fldChar w:fldCharType="separate"/>
        </w:r>
        <w:r w:rsidR="00316060">
          <w:rPr>
            <w:webHidden/>
          </w:rPr>
          <w:t>232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43" w:history="1">
        <w:r w:rsidR="00DF458B" w:rsidRPr="00503D2D">
          <w:rPr>
            <w:rStyle w:val="Hyperlink"/>
            <w:rFonts w:ascii="Arial Negrito" w:hAnsi="Arial Negrito"/>
            <w:bCs/>
          </w:rPr>
          <w:t>3.4.4.</w:t>
        </w:r>
        <w:r w:rsidR="00DF458B">
          <w:rPr>
            <w:rFonts w:asciiTheme="minorHAnsi" w:eastAsiaTheme="minorEastAsia" w:hAnsiTheme="minorHAnsi" w:cstheme="minorBidi"/>
          </w:rPr>
          <w:tab/>
        </w:r>
        <w:r w:rsidR="00DF458B" w:rsidRPr="00503D2D">
          <w:rPr>
            <w:rStyle w:val="Hyperlink"/>
            <w:rFonts w:ascii="Arial Negrito" w:hAnsi="Arial Negrito"/>
            <w:bCs/>
          </w:rPr>
          <w:t>Programa de Monitoramento da Biota Aquática</w:t>
        </w:r>
        <w:r w:rsidR="00DF458B">
          <w:rPr>
            <w:webHidden/>
          </w:rPr>
          <w:tab/>
        </w:r>
        <w:r w:rsidR="00B80A05">
          <w:rPr>
            <w:webHidden/>
          </w:rPr>
          <w:fldChar w:fldCharType="begin"/>
        </w:r>
        <w:r w:rsidR="00DF458B">
          <w:rPr>
            <w:webHidden/>
          </w:rPr>
          <w:instrText xml:space="preserve"> PAGEREF _Toc419813843 \h </w:instrText>
        </w:r>
        <w:r w:rsidR="00B80A05">
          <w:rPr>
            <w:webHidden/>
          </w:rPr>
        </w:r>
        <w:r w:rsidR="00B80A05">
          <w:rPr>
            <w:webHidden/>
          </w:rPr>
          <w:fldChar w:fldCharType="separate"/>
        </w:r>
        <w:r w:rsidR="00316060">
          <w:rPr>
            <w:webHidden/>
          </w:rPr>
          <w:t>232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44" w:history="1">
        <w:r w:rsidR="00DF458B" w:rsidRPr="00503D2D">
          <w:rPr>
            <w:rStyle w:val="Hyperlink"/>
          </w:rPr>
          <w:t>3.4.4.1.</w:t>
        </w:r>
        <w:r w:rsidR="00DF458B">
          <w:rPr>
            <w:rFonts w:asciiTheme="minorHAnsi" w:eastAsiaTheme="minorEastAsia" w:hAnsiTheme="minorHAnsi" w:cstheme="minorBidi"/>
          </w:rPr>
          <w:tab/>
        </w:r>
        <w:r w:rsidR="00DF458B" w:rsidRPr="00503D2D">
          <w:rPr>
            <w:rStyle w:val="Hyperlink"/>
          </w:rPr>
          <w:t>Apresentação e Justificativa</w:t>
        </w:r>
        <w:r w:rsidR="00DF458B">
          <w:rPr>
            <w:webHidden/>
          </w:rPr>
          <w:tab/>
        </w:r>
        <w:r w:rsidR="00B80A05">
          <w:rPr>
            <w:webHidden/>
          </w:rPr>
          <w:fldChar w:fldCharType="begin"/>
        </w:r>
        <w:r w:rsidR="00DF458B">
          <w:rPr>
            <w:webHidden/>
          </w:rPr>
          <w:instrText xml:space="preserve"> PAGEREF _Toc419813844 \h </w:instrText>
        </w:r>
        <w:r w:rsidR="00B80A05">
          <w:rPr>
            <w:webHidden/>
          </w:rPr>
        </w:r>
        <w:r w:rsidR="00B80A05">
          <w:rPr>
            <w:webHidden/>
          </w:rPr>
          <w:fldChar w:fldCharType="separate"/>
        </w:r>
        <w:r w:rsidR="00316060">
          <w:rPr>
            <w:webHidden/>
          </w:rPr>
          <w:t>232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45" w:history="1">
        <w:r w:rsidR="00DF458B" w:rsidRPr="00503D2D">
          <w:rPr>
            <w:rStyle w:val="Hyperlink"/>
          </w:rPr>
          <w:t>3.4.4.2.</w:t>
        </w:r>
        <w:r w:rsidR="00DF458B">
          <w:rPr>
            <w:rFonts w:asciiTheme="minorHAnsi" w:eastAsiaTheme="minorEastAsia" w:hAnsiTheme="minorHAnsi" w:cstheme="minorBidi"/>
          </w:rPr>
          <w:tab/>
        </w:r>
        <w:r w:rsidR="00DF458B" w:rsidRPr="00503D2D">
          <w:rPr>
            <w:rStyle w:val="Hyperlink"/>
          </w:rPr>
          <w:t>Objetivos</w:t>
        </w:r>
        <w:r w:rsidR="00DF458B">
          <w:rPr>
            <w:webHidden/>
          </w:rPr>
          <w:tab/>
        </w:r>
        <w:r w:rsidR="00B80A05">
          <w:rPr>
            <w:webHidden/>
          </w:rPr>
          <w:fldChar w:fldCharType="begin"/>
        </w:r>
        <w:r w:rsidR="00DF458B">
          <w:rPr>
            <w:webHidden/>
          </w:rPr>
          <w:instrText xml:space="preserve"> PAGEREF _Toc419813845 \h </w:instrText>
        </w:r>
        <w:r w:rsidR="00B80A05">
          <w:rPr>
            <w:webHidden/>
          </w:rPr>
        </w:r>
        <w:r w:rsidR="00B80A05">
          <w:rPr>
            <w:webHidden/>
          </w:rPr>
          <w:fldChar w:fldCharType="separate"/>
        </w:r>
        <w:r w:rsidR="00316060">
          <w:rPr>
            <w:webHidden/>
          </w:rPr>
          <w:t>233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46" w:history="1">
        <w:r w:rsidR="00DF458B" w:rsidRPr="00503D2D">
          <w:rPr>
            <w:rStyle w:val="Hyperlink"/>
          </w:rPr>
          <w:t>3.4.4.3.</w:t>
        </w:r>
        <w:r w:rsidR="00DF458B">
          <w:rPr>
            <w:rFonts w:asciiTheme="minorHAnsi" w:eastAsiaTheme="minorEastAsia" w:hAnsiTheme="minorHAnsi" w:cstheme="minorBidi"/>
          </w:rPr>
          <w:tab/>
        </w:r>
        <w:r w:rsidR="00DF458B" w:rsidRPr="00503D2D">
          <w:rPr>
            <w:rStyle w:val="Hyperlink"/>
          </w:rPr>
          <w:t>Metas</w:t>
        </w:r>
        <w:r w:rsidR="00DF458B">
          <w:rPr>
            <w:webHidden/>
          </w:rPr>
          <w:tab/>
        </w:r>
        <w:r w:rsidR="00B80A05">
          <w:rPr>
            <w:webHidden/>
          </w:rPr>
          <w:fldChar w:fldCharType="begin"/>
        </w:r>
        <w:r w:rsidR="00DF458B">
          <w:rPr>
            <w:webHidden/>
          </w:rPr>
          <w:instrText xml:space="preserve"> PAGEREF _Toc419813846 \h </w:instrText>
        </w:r>
        <w:r w:rsidR="00B80A05">
          <w:rPr>
            <w:webHidden/>
          </w:rPr>
        </w:r>
        <w:r w:rsidR="00B80A05">
          <w:rPr>
            <w:webHidden/>
          </w:rPr>
          <w:fldChar w:fldCharType="separate"/>
        </w:r>
        <w:r w:rsidR="00316060">
          <w:rPr>
            <w:webHidden/>
          </w:rPr>
          <w:t>233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47" w:history="1">
        <w:r w:rsidR="00DF458B" w:rsidRPr="00503D2D">
          <w:rPr>
            <w:rStyle w:val="Hyperlink"/>
          </w:rPr>
          <w:t>3.4.4.4.</w:t>
        </w:r>
        <w:r w:rsidR="00DF458B">
          <w:rPr>
            <w:rFonts w:asciiTheme="minorHAnsi" w:eastAsiaTheme="minorEastAsia" w:hAnsiTheme="minorHAnsi" w:cstheme="minorBidi"/>
          </w:rPr>
          <w:tab/>
        </w:r>
        <w:r w:rsidR="00DF458B" w:rsidRPr="00503D2D">
          <w:rPr>
            <w:rStyle w:val="Hyperlink"/>
          </w:rPr>
          <w:t>Público Alvo</w:t>
        </w:r>
        <w:r w:rsidR="00DF458B">
          <w:rPr>
            <w:webHidden/>
          </w:rPr>
          <w:tab/>
        </w:r>
        <w:r w:rsidR="00B80A05">
          <w:rPr>
            <w:webHidden/>
          </w:rPr>
          <w:fldChar w:fldCharType="begin"/>
        </w:r>
        <w:r w:rsidR="00DF458B">
          <w:rPr>
            <w:webHidden/>
          </w:rPr>
          <w:instrText xml:space="preserve"> PAGEREF _Toc419813847 \h </w:instrText>
        </w:r>
        <w:r w:rsidR="00B80A05">
          <w:rPr>
            <w:webHidden/>
          </w:rPr>
        </w:r>
        <w:r w:rsidR="00B80A05">
          <w:rPr>
            <w:webHidden/>
          </w:rPr>
          <w:fldChar w:fldCharType="separate"/>
        </w:r>
        <w:r w:rsidR="00316060">
          <w:rPr>
            <w:webHidden/>
          </w:rPr>
          <w:t>233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48" w:history="1">
        <w:r w:rsidR="00DF458B" w:rsidRPr="00503D2D">
          <w:rPr>
            <w:rStyle w:val="Hyperlink"/>
          </w:rPr>
          <w:t>3.4.4.5.</w:t>
        </w:r>
        <w:r w:rsidR="00DF458B">
          <w:rPr>
            <w:rFonts w:asciiTheme="minorHAnsi" w:eastAsiaTheme="minorEastAsia" w:hAnsiTheme="minorHAnsi" w:cstheme="minorBidi"/>
          </w:rPr>
          <w:tab/>
        </w:r>
        <w:r w:rsidR="00DF458B" w:rsidRPr="00503D2D">
          <w:rPr>
            <w:rStyle w:val="Hyperlink"/>
          </w:rPr>
          <w:t>Métodos e Descrição do Programa</w:t>
        </w:r>
        <w:r w:rsidR="00DF458B">
          <w:rPr>
            <w:webHidden/>
          </w:rPr>
          <w:tab/>
        </w:r>
        <w:r w:rsidR="00B80A05">
          <w:rPr>
            <w:webHidden/>
          </w:rPr>
          <w:fldChar w:fldCharType="begin"/>
        </w:r>
        <w:r w:rsidR="00DF458B">
          <w:rPr>
            <w:webHidden/>
          </w:rPr>
          <w:instrText xml:space="preserve"> PAGEREF _Toc419813848 \h </w:instrText>
        </w:r>
        <w:r w:rsidR="00B80A05">
          <w:rPr>
            <w:webHidden/>
          </w:rPr>
        </w:r>
        <w:r w:rsidR="00B80A05">
          <w:rPr>
            <w:webHidden/>
          </w:rPr>
          <w:fldChar w:fldCharType="separate"/>
        </w:r>
        <w:r w:rsidR="00316060">
          <w:rPr>
            <w:webHidden/>
          </w:rPr>
          <w:t>234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49" w:history="1">
        <w:r w:rsidR="00DF458B" w:rsidRPr="00503D2D">
          <w:rPr>
            <w:rStyle w:val="Hyperlink"/>
          </w:rPr>
          <w:t>3.4.4.6.</w:t>
        </w:r>
        <w:r w:rsidR="00DF458B">
          <w:rPr>
            <w:rFonts w:asciiTheme="minorHAnsi" w:eastAsiaTheme="minorEastAsia" w:hAnsiTheme="minorHAnsi" w:cstheme="minorBidi"/>
          </w:rPr>
          <w:tab/>
        </w:r>
        <w:r w:rsidR="00DF458B" w:rsidRPr="00503D2D">
          <w:rPr>
            <w:rStyle w:val="Hyperlink"/>
          </w:rPr>
          <w:t>Indicadores Ambientais</w:t>
        </w:r>
        <w:r w:rsidR="00DF458B">
          <w:rPr>
            <w:webHidden/>
          </w:rPr>
          <w:tab/>
        </w:r>
        <w:r w:rsidR="00B80A05">
          <w:rPr>
            <w:webHidden/>
          </w:rPr>
          <w:fldChar w:fldCharType="begin"/>
        </w:r>
        <w:r w:rsidR="00DF458B">
          <w:rPr>
            <w:webHidden/>
          </w:rPr>
          <w:instrText xml:space="preserve"> PAGEREF _Toc419813849 \h </w:instrText>
        </w:r>
        <w:r w:rsidR="00B80A05">
          <w:rPr>
            <w:webHidden/>
          </w:rPr>
        </w:r>
        <w:r w:rsidR="00B80A05">
          <w:rPr>
            <w:webHidden/>
          </w:rPr>
          <w:fldChar w:fldCharType="separate"/>
        </w:r>
        <w:r w:rsidR="00316060">
          <w:rPr>
            <w:webHidden/>
          </w:rPr>
          <w:t>236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50" w:history="1">
        <w:r w:rsidR="00DF458B" w:rsidRPr="00503D2D">
          <w:rPr>
            <w:rStyle w:val="Hyperlink"/>
          </w:rPr>
          <w:t>3.4.4.7.</w:t>
        </w:r>
        <w:r w:rsidR="00DF458B">
          <w:rPr>
            <w:rFonts w:asciiTheme="minorHAnsi" w:eastAsiaTheme="minorEastAsia" w:hAnsiTheme="minorHAnsi" w:cstheme="minorBidi"/>
          </w:rPr>
          <w:tab/>
        </w:r>
        <w:r w:rsidR="00DF458B" w:rsidRPr="00503D2D">
          <w:rPr>
            <w:rStyle w:val="Hyperlink"/>
          </w:rPr>
          <w:t>Recursos Materiais e Humanos</w:t>
        </w:r>
        <w:r w:rsidR="00DF458B">
          <w:rPr>
            <w:webHidden/>
          </w:rPr>
          <w:tab/>
        </w:r>
        <w:r w:rsidR="00B80A05">
          <w:rPr>
            <w:webHidden/>
          </w:rPr>
          <w:fldChar w:fldCharType="begin"/>
        </w:r>
        <w:r w:rsidR="00DF458B">
          <w:rPr>
            <w:webHidden/>
          </w:rPr>
          <w:instrText xml:space="preserve"> PAGEREF _Toc419813850 \h </w:instrText>
        </w:r>
        <w:r w:rsidR="00B80A05">
          <w:rPr>
            <w:webHidden/>
          </w:rPr>
        </w:r>
        <w:r w:rsidR="00B80A05">
          <w:rPr>
            <w:webHidden/>
          </w:rPr>
          <w:fldChar w:fldCharType="separate"/>
        </w:r>
        <w:r w:rsidR="00316060">
          <w:rPr>
            <w:webHidden/>
          </w:rPr>
          <w:t>237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51" w:history="1">
        <w:r w:rsidR="00DF458B" w:rsidRPr="00503D2D">
          <w:rPr>
            <w:rStyle w:val="Hyperlink"/>
          </w:rPr>
          <w:t>3.4.4.8.</w:t>
        </w:r>
        <w:r w:rsidR="00DF458B">
          <w:rPr>
            <w:rFonts w:asciiTheme="minorHAnsi" w:eastAsiaTheme="minorEastAsia" w:hAnsiTheme="minorHAnsi" w:cstheme="minorBidi"/>
          </w:rPr>
          <w:tab/>
        </w:r>
        <w:r w:rsidR="00DF458B" w:rsidRPr="00503D2D">
          <w:rPr>
            <w:rStyle w:val="Hyperlink"/>
          </w:rPr>
          <w:t>Atendimento a Requisitos Legais e/ou Outros Requisitos</w:t>
        </w:r>
        <w:r w:rsidR="00DF458B">
          <w:rPr>
            <w:webHidden/>
          </w:rPr>
          <w:tab/>
        </w:r>
        <w:r w:rsidR="00B80A05">
          <w:rPr>
            <w:webHidden/>
          </w:rPr>
          <w:fldChar w:fldCharType="begin"/>
        </w:r>
        <w:r w:rsidR="00DF458B">
          <w:rPr>
            <w:webHidden/>
          </w:rPr>
          <w:instrText xml:space="preserve"> PAGEREF _Toc419813851 \h </w:instrText>
        </w:r>
        <w:r w:rsidR="00B80A05">
          <w:rPr>
            <w:webHidden/>
          </w:rPr>
        </w:r>
        <w:r w:rsidR="00B80A05">
          <w:rPr>
            <w:webHidden/>
          </w:rPr>
          <w:fldChar w:fldCharType="separate"/>
        </w:r>
        <w:r w:rsidR="00316060">
          <w:rPr>
            <w:webHidden/>
          </w:rPr>
          <w:t>237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52" w:history="1">
        <w:r w:rsidR="00DF458B" w:rsidRPr="00503D2D">
          <w:rPr>
            <w:rStyle w:val="Hyperlink"/>
          </w:rPr>
          <w:t>3.4.4.9.</w:t>
        </w:r>
        <w:r w:rsidR="00DF458B">
          <w:rPr>
            <w:rFonts w:asciiTheme="minorHAnsi" w:eastAsiaTheme="minorEastAsia" w:hAnsiTheme="minorHAnsi" w:cstheme="minorBidi"/>
          </w:rPr>
          <w:tab/>
        </w:r>
        <w:r w:rsidR="00DF458B" w:rsidRPr="00503D2D">
          <w:rPr>
            <w:rStyle w:val="Hyperlink"/>
          </w:rPr>
          <w:t>Inter-relação com Outros Planos e Programas</w:t>
        </w:r>
        <w:r w:rsidR="00DF458B">
          <w:rPr>
            <w:webHidden/>
          </w:rPr>
          <w:tab/>
        </w:r>
        <w:r w:rsidR="00B80A05">
          <w:rPr>
            <w:webHidden/>
          </w:rPr>
          <w:fldChar w:fldCharType="begin"/>
        </w:r>
        <w:r w:rsidR="00DF458B">
          <w:rPr>
            <w:webHidden/>
          </w:rPr>
          <w:instrText xml:space="preserve"> PAGEREF _Toc419813852 \h </w:instrText>
        </w:r>
        <w:r w:rsidR="00B80A05">
          <w:rPr>
            <w:webHidden/>
          </w:rPr>
        </w:r>
        <w:r w:rsidR="00B80A05">
          <w:rPr>
            <w:webHidden/>
          </w:rPr>
          <w:fldChar w:fldCharType="separate"/>
        </w:r>
        <w:r w:rsidR="00316060">
          <w:rPr>
            <w:webHidden/>
          </w:rPr>
          <w:t>237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53" w:history="1">
        <w:r w:rsidR="00DF458B" w:rsidRPr="00503D2D">
          <w:rPr>
            <w:rStyle w:val="Hyperlink"/>
          </w:rPr>
          <w:t>3.4.4.10.</w:t>
        </w:r>
        <w:r w:rsidR="00DF458B">
          <w:rPr>
            <w:rFonts w:asciiTheme="minorHAnsi" w:eastAsiaTheme="minorEastAsia" w:hAnsiTheme="minorHAnsi" w:cstheme="minorBidi"/>
          </w:rPr>
          <w:tab/>
        </w:r>
        <w:r w:rsidR="00DF458B" w:rsidRPr="00503D2D">
          <w:rPr>
            <w:rStyle w:val="Hyperlink"/>
          </w:rPr>
          <w:t>Etapa dos Empreendimentos</w:t>
        </w:r>
        <w:r w:rsidR="00DF458B">
          <w:rPr>
            <w:webHidden/>
          </w:rPr>
          <w:tab/>
        </w:r>
        <w:r w:rsidR="00B80A05">
          <w:rPr>
            <w:webHidden/>
          </w:rPr>
          <w:fldChar w:fldCharType="begin"/>
        </w:r>
        <w:r w:rsidR="00DF458B">
          <w:rPr>
            <w:webHidden/>
          </w:rPr>
          <w:instrText xml:space="preserve"> PAGEREF _Toc419813853 \h </w:instrText>
        </w:r>
        <w:r w:rsidR="00B80A05">
          <w:rPr>
            <w:webHidden/>
          </w:rPr>
        </w:r>
        <w:r w:rsidR="00B80A05">
          <w:rPr>
            <w:webHidden/>
          </w:rPr>
          <w:fldChar w:fldCharType="separate"/>
        </w:r>
        <w:r w:rsidR="00316060">
          <w:rPr>
            <w:webHidden/>
          </w:rPr>
          <w:t>237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54" w:history="1">
        <w:r w:rsidR="00DF458B" w:rsidRPr="00503D2D">
          <w:rPr>
            <w:rStyle w:val="Hyperlink"/>
          </w:rPr>
          <w:t>3.4.4.11.</w:t>
        </w:r>
        <w:r w:rsidR="00DF458B">
          <w:rPr>
            <w:rFonts w:asciiTheme="minorHAnsi" w:eastAsiaTheme="minorEastAsia" w:hAnsiTheme="minorHAnsi" w:cstheme="minorBidi"/>
          </w:rPr>
          <w:tab/>
        </w:r>
        <w:r w:rsidR="00DF458B" w:rsidRPr="00503D2D">
          <w:rPr>
            <w:rStyle w:val="Hyperlink"/>
          </w:rPr>
          <w:t>Cronograma de Execução</w:t>
        </w:r>
        <w:r w:rsidR="00DF458B">
          <w:rPr>
            <w:webHidden/>
          </w:rPr>
          <w:tab/>
        </w:r>
        <w:r w:rsidR="00B80A05">
          <w:rPr>
            <w:webHidden/>
          </w:rPr>
          <w:fldChar w:fldCharType="begin"/>
        </w:r>
        <w:r w:rsidR="00DF458B">
          <w:rPr>
            <w:webHidden/>
          </w:rPr>
          <w:instrText xml:space="preserve"> PAGEREF _Toc419813854 \h </w:instrText>
        </w:r>
        <w:r w:rsidR="00B80A05">
          <w:rPr>
            <w:webHidden/>
          </w:rPr>
        </w:r>
        <w:r w:rsidR="00B80A05">
          <w:rPr>
            <w:webHidden/>
          </w:rPr>
          <w:fldChar w:fldCharType="separate"/>
        </w:r>
        <w:r w:rsidR="00316060">
          <w:rPr>
            <w:webHidden/>
          </w:rPr>
          <w:t>238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55" w:history="1">
        <w:r w:rsidR="00DF458B" w:rsidRPr="00503D2D">
          <w:rPr>
            <w:rStyle w:val="Hyperlink"/>
          </w:rPr>
          <w:t>3.4.4.12.</w:t>
        </w:r>
        <w:r w:rsidR="00DF458B">
          <w:rPr>
            <w:rFonts w:asciiTheme="minorHAnsi" w:eastAsiaTheme="minorEastAsia" w:hAnsiTheme="minorHAnsi" w:cstheme="minorBidi"/>
          </w:rPr>
          <w:tab/>
        </w:r>
        <w:r w:rsidR="00DF458B" w:rsidRPr="00503D2D">
          <w:rPr>
            <w:rStyle w:val="Hyperlink"/>
          </w:rPr>
          <w:t>Responsável pela Implantação do Programa</w:t>
        </w:r>
        <w:r w:rsidR="00DF458B">
          <w:rPr>
            <w:webHidden/>
          </w:rPr>
          <w:tab/>
        </w:r>
        <w:r w:rsidR="00B80A05">
          <w:rPr>
            <w:webHidden/>
          </w:rPr>
          <w:fldChar w:fldCharType="begin"/>
        </w:r>
        <w:r w:rsidR="00DF458B">
          <w:rPr>
            <w:webHidden/>
          </w:rPr>
          <w:instrText xml:space="preserve"> PAGEREF _Toc419813855 \h </w:instrText>
        </w:r>
        <w:r w:rsidR="00B80A05">
          <w:rPr>
            <w:webHidden/>
          </w:rPr>
        </w:r>
        <w:r w:rsidR="00B80A05">
          <w:rPr>
            <w:webHidden/>
          </w:rPr>
          <w:fldChar w:fldCharType="separate"/>
        </w:r>
        <w:r w:rsidR="00316060">
          <w:rPr>
            <w:webHidden/>
          </w:rPr>
          <w:t>238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56" w:history="1">
        <w:r w:rsidR="00DF458B" w:rsidRPr="00503D2D">
          <w:rPr>
            <w:rStyle w:val="Hyperlink"/>
          </w:rPr>
          <w:t>3.4.4.13.</w:t>
        </w:r>
        <w:r w:rsidR="00DF458B">
          <w:rPr>
            <w:rFonts w:asciiTheme="minorHAnsi" w:eastAsiaTheme="minorEastAsia" w:hAnsiTheme="minorHAnsi" w:cstheme="minorBidi"/>
          </w:rPr>
          <w:tab/>
        </w:r>
        <w:r w:rsidR="00DF458B" w:rsidRPr="00503D2D">
          <w:rPr>
            <w:rStyle w:val="Hyperlink"/>
          </w:rPr>
          <w:t>Sistemas de Registro</w:t>
        </w:r>
        <w:r w:rsidR="00DF458B">
          <w:rPr>
            <w:webHidden/>
          </w:rPr>
          <w:tab/>
        </w:r>
        <w:r w:rsidR="00B80A05">
          <w:rPr>
            <w:webHidden/>
          </w:rPr>
          <w:fldChar w:fldCharType="begin"/>
        </w:r>
        <w:r w:rsidR="00DF458B">
          <w:rPr>
            <w:webHidden/>
          </w:rPr>
          <w:instrText xml:space="preserve"> PAGEREF _Toc419813856 \h </w:instrText>
        </w:r>
        <w:r w:rsidR="00B80A05">
          <w:rPr>
            <w:webHidden/>
          </w:rPr>
        </w:r>
        <w:r w:rsidR="00B80A05">
          <w:rPr>
            <w:webHidden/>
          </w:rPr>
          <w:fldChar w:fldCharType="separate"/>
        </w:r>
        <w:r w:rsidR="00316060">
          <w:rPr>
            <w:webHidden/>
          </w:rPr>
          <w:t>238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57" w:history="1">
        <w:r w:rsidR="00DF458B" w:rsidRPr="00503D2D">
          <w:rPr>
            <w:rStyle w:val="Hyperlink"/>
          </w:rPr>
          <w:t>3.4.4.14.</w:t>
        </w:r>
        <w:r w:rsidR="00DF458B">
          <w:rPr>
            <w:rFonts w:asciiTheme="minorHAnsi" w:eastAsiaTheme="minorEastAsia" w:hAnsiTheme="minorHAnsi" w:cstheme="minorBidi"/>
          </w:rPr>
          <w:tab/>
        </w:r>
        <w:r w:rsidR="00DF458B" w:rsidRPr="00503D2D">
          <w:rPr>
            <w:rStyle w:val="Hyperlink"/>
          </w:rPr>
          <w:t>Referências Bibliográficas</w:t>
        </w:r>
        <w:r w:rsidR="00DF458B">
          <w:rPr>
            <w:webHidden/>
          </w:rPr>
          <w:tab/>
        </w:r>
        <w:r w:rsidR="00B80A05">
          <w:rPr>
            <w:webHidden/>
          </w:rPr>
          <w:fldChar w:fldCharType="begin"/>
        </w:r>
        <w:r w:rsidR="00DF458B">
          <w:rPr>
            <w:webHidden/>
          </w:rPr>
          <w:instrText xml:space="preserve"> PAGEREF _Toc419813857 \h </w:instrText>
        </w:r>
        <w:r w:rsidR="00B80A05">
          <w:rPr>
            <w:webHidden/>
          </w:rPr>
        </w:r>
        <w:r w:rsidR="00B80A05">
          <w:rPr>
            <w:webHidden/>
          </w:rPr>
          <w:fldChar w:fldCharType="separate"/>
        </w:r>
        <w:r w:rsidR="00316060">
          <w:rPr>
            <w:webHidden/>
          </w:rPr>
          <w:t>239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58" w:history="1">
        <w:r w:rsidR="00DF458B" w:rsidRPr="00503D2D">
          <w:rPr>
            <w:rStyle w:val="Hyperlink"/>
            <w:rFonts w:ascii="Arial Negrito" w:hAnsi="Arial Negrito"/>
            <w:bCs/>
          </w:rPr>
          <w:t>3.4.5.</w:t>
        </w:r>
        <w:r w:rsidR="00DF458B">
          <w:rPr>
            <w:rFonts w:asciiTheme="minorHAnsi" w:eastAsiaTheme="minorEastAsia" w:hAnsiTheme="minorHAnsi" w:cstheme="minorBidi"/>
          </w:rPr>
          <w:tab/>
        </w:r>
        <w:r w:rsidR="00DF458B" w:rsidRPr="00503D2D">
          <w:rPr>
            <w:rStyle w:val="Hyperlink"/>
            <w:rFonts w:ascii="Arial Negrito" w:hAnsi="Arial Negrito"/>
            <w:bCs/>
          </w:rPr>
          <w:t>Programa de Monitoramento de Invertebrados de Interesse Médico Sanitário</w:t>
        </w:r>
        <w:r w:rsidR="00DF458B">
          <w:rPr>
            <w:webHidden/>
          </w:rPr>
          <w:tab/>
        </w:r>
        <w:r w:rsidR="00DF458B">
          <w:rPr>
            <w:webHidden/>
          </w:rPr>
          <w:tab/>
        </w:r>
        <w:r w:rsidR="00B80A05">
          <w:rPr>
            <w:webHidden/>
          </w:rPr>
          <w:fldChar w:fldCharType="begin"/>
        </w:r>
        <w:r w:rsidR="00DF458B">
          <w:rPr>
            <w:webHidden/>
          </w:rPr>
          <w:instrText xml:space="preserve"> PAGEREF _Toc419813858 \h </w:instrText>
        </w:r>
        <w:r w:rsidR="00B80A05">
          <w:rPr>
            <w:webHidden/>
          </w:rPr>
        </w:r>
        <w:r w:rsidR="00B80A05">
          <w:rPr>
            <w:webHidden/>
          </w:rPr>
          <w:fldChar w:fldCharType="separate"/>
        </w:r>
        <w:r w:rsidR="00316060">
          <w:rPr>
            <w:webHidden/>
          </w:rPr>
          <w:t>240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59" w:history="1">
        <w:r w:rsidR="00DF458B" w:rsidRPr="00503D2D">
          <w:rPr>
            <w:rStyle w:val="Hyperlink"/>
            <w:rFonts w:ascii="Arial Negrito" w:hAnsi="Arial Negrito"/>
            <w:bCs/>
          </w:rPr>
          <w:t>3.4.5.1.</w:t>
        </w:r>
        <w:r w:rsidR="00DF458B">
          <w:rPr>
            <w:rFonts w:asciiTheme="minorHAnsi" w:eastAsiaTheme="minorEastAsia" w:hAnsiTheme="minorHAnsi" w:cstheme="minorBidi"/>
          </w:rPr>
          <w:tab/>
        </w:r>
        <w:r w:rsidR="00DF458B" w:rsidRPr="00503D2D">
          <w:rPr>
            <w:rStyle w:val="Hyperlink"/>
            <w:rFonts w:ascii="Arial Negrito" w:hAnsi="Arial Negrito"/>
            <w:bCs/>
          </w:rPr>
          <w:t>Apresentação e justificativa</w:t>
        </w:r>
        <w:r w:rsidR="00DF458B">
          <w:rPr>
            <w:webHidden/>
          </w:rPr>
          <w:tab/>
        </w:r>
        <w:r w:rsidR="00B80A05">
          <w:rPr>
            <w:webHidden/>
          </w:rPr>
          <w:fldChar w:fldCharType="begin"/>
        </w:r>
        <w:r w:rsidR="00DF458B">
          <w:rPr>
            <w:webHidden/>
          </w:rPr>
          <w:instrText xml:space="preserve"> PAGEREF _Toc419813859 \h </w:instrText>
        </w:r>
        <w:r w:rsidR="00B80A05">
          <w:rPr>
            <w:webHidden/>
          </w:rPr>
        </w:r>
        <w:r w:rsidR="00B80A05">
          <w:rPr>
            <w:webHidden/>
          </w:rPr>
          <w:fldChar w:fldCharType="separate"/>
        </w:r>
        <w:r w:rsidR="00316060">
          <w:rPr>
            <w:webHidden/>
          </w:rPr>
          <w:t>240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60" w:history="1">
        <w:r w:rsidR="00DF458B" w:rsidRPr="00503D2D">
          <w:rPr>
            <w:rStyle w:val="Hyperlink"/>
            <w:rFonts w:ascii="Arial Negrito" w:hAnsi="Arial Negrito"/>
            <w:bCs/>
          </w:rPr>
          <w:t>3.4.5.2.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_Toc419813860 \h </w:instrText>
        </w:r>
        <w:r w:rsidR="00B80A05">
          <w:rPr>
            <w:webHidden/>
          </w:rPr>
        </w:r>
        <w:r w:rsidR="00B80A05">
          <w:rPr>
            <w:webHidden/>
          </w:rPr>
          <w:fldChar w:fldCharType="separate"/>
        </w:r>
        <w:r w:rsidR="00316060">
          <w:rPr>
            <w:webHidden/>
          </w:rPr>
          <w:t>240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61" w:history="1">
        <w:r w:rsidR="00DF458B" w:rsidRPr="00503D2D">
          <w:rPr>
            <w:rStyle w:val="Hyperlink"/>
            <w:rFonts w:ascii="Arial Negrito" w:hAnsi="Arial Negrito"/>
            <w:bCs/>
          </w:rPr>
          <w:t>3.4.5.3.</w:t>
        </w:r>
        <w:r w:rsidR="00DF458B">
          <w:rPr>
            <w:rFonts w:asciiTheme="minorHAnsi" w:eastAsiaTheme="minorEastAsia" w:hAnsiTheme="minorHAnsi" w:cstheme="minorBidi"/>
          </w:rPr>
          <w:tab/>
        </w:r>
        <w:r w:rsidR="00DF458B" w:rsidRPr="00503D2D">
          <w:rPr>
            <w:rStyle w:val="Hyperlink"/>
            <w:rFonts w:ascii="Arial Negrito" w:hAnsi="Arial Negrito"/>
            <w:bCs/>
          </w:rPr>
          <w:t>Metas</w:t>
        </w:r>
        <w:r w:rsidR="00DF458B">
          <w:rPr>
            <w:webHidden/>
          </w:rPr>
          <w:tab/>
        </w:r>
        <w:r w:rsidR="00B80A05">
          <w:rPr>
            <w:webHidden/>
          </w:rPr>
          <w:fldChar w:fldCharType="begin"/>
        </w:r>
        <w:r w:rsidR="00DF458B">
          <w:rPr>
            <w:webHidden/>
          </w:rPr>
          <w:instrText xml:space="preserve"> PAGEREF _Toc419813861 \h </w:instrText>
        </w:r>
        <w:r w:rsidR="00B80A05">
          <w:rPr>
            <w:webHidden/>
          </w:rPr>
        </w:r>
        <w:r w:rsidR="00B80A05">
          <w:rPr>
            <w:webHidden/>
          </w:rPr>
          <w:fldChar w:fldCharType="separate"/>
        </w:r>
        <w:r w:rsidR="00316060">
          <w:rPr>
            <w:webHidden/>
          </w:rPr>
          <w:t>240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62" w:history="1">
        <w:r w:rsidR="00DF458B" w:rsidRPr="00503D2D">
          <w:rPr>
            <w:rStyle w:val="Hyperlink"/>
            <w:rFonts w:ascii="Arial Negrito" w:hAnsi="Arial Negrito"/>
            <w:bCs/>
          </w:rPr>
          <w:t>3.4.5.4.</w:t>
        </w:r>
        <w:r w:rsidR="00DF458B">
          <w:rPr>
            <w:rFonts w:asciiTheme="minorHAnsi" w:eastAsiaTheme="minorEastAsia" w:hAnsiTheme="minorHAnsi" w:cstheme="minorBidi"/>
          </w:rPr>
          <w:tab/>
        </w:r>
        <w:r w:rsidR="00DF458B" w:rsidRPr="00503D2D">
          <w:rPr>
            <w:rStyle w:val="Hyperlink"/>
            <w:rFonts w:ascii="Arial Negrito" w:hAnsi="Arial Negrito"/>
            <w:bCs/>
          </w:rPr>
          <w:t>Público-alvo</w:t>
        </w:r>
        <w:r w:rsidR="00DF458B">
          <w:rPr>
            <w:webHidden/>
          </w:rPr>
          <w:tab/>
        </w:r>
        <w:r w:rsidR="00B80A05">
          <w:rPr>
            <w:webHidden/>
          </w:rPr>
          <w:fldChar w:fldCharType="begin"/>
        </w:r>
        <w:r w:rsidR="00DF458B">
          <w:rPr>
            <w:webHidden/>
          </w:rPr>
          <w:instrText xml:space="preserve"> PAGEREF _Toc419813862 \h </w:instrText>
        </w:r>
        <w:r w:rsidR="00B80A05">
          <w:rPr>
            <w:webHidden/>
          </w:rPr>
        </w:r>
        <w:r w:rsidR="00B80A05">
          <w:rPr>
            <w:webHidden/>
          </w:rPr>
          <w:fldChar w:fldCharType="separate"/>
        </w:r>
        <w:r w:rsidR="00316060">
          <w:rPr>
            <w:webHidden/>
          </w:rPr>
          <w:t>241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63" w:history="1">
        <w:r w:rsidR="00DF458B" w:rsidRPr="00503D2D">
          <w:rPr>
            <w:rStyle w:val="Hyperlink"/>
            <w:rFonts w:ascii="Arial Negrito" w:hAnsi="Arial Negrito"/>
            <w:bCs/>
          </w:rPr>
          <w:t>3.4.5.5.</w:t>
        </w:r>
        <w:r w:rsidR="00DF458B">
          <w:rPr>
            <w:rFonts w:asciiTheme="minorHAnsi" w:eastAsiaTheme="minorEastAsia" w:hAnsiTheme="minorHAnsi" w:cstheme="minorBidi"/>
          </w:rPr>
          <w:tab/>
        </w:r>
        <w:r w:rsidR="00DF458B" w:rsidRPr="00503D2D">
          <w:rPr>
            <w:rStyle w:val="Hyperlink"/>
            <w:rFonts w:ascii="Arial Negrito" w:hAnsi="Arial Negrito"/>
            <w:bCs/>
          </w:rPr>
          <w:t>Métodos e descrição do programa (procedimentos)</w:t>
        </w:r>
        <w:r w:rsidR="00DF458B">
          <w:rPr>
            <w:webHidden/>
          </w:rPr>
          <w:tab/>
        </w:r>
        <w:r w:rsidR="00B80A05">
          <w:rPr>
            <w:webHidden/>
          </w:rPr>
          <w:fldChar w:fldCharType="begin"/>
        </w:r>
        <w:r w:rsidR="00DF458B">
          <w:rPr>
            <w:webHidden/>
          </w:rPr>
          <w:instrText xml:space="preserve"> PAGEREF _Toc419813863 \h </w:instrText>
        </w:r>
        <w:r w:rsidR="00B80A05">
          <w:rPr>
            <w:webHidden/>
          </w:rPr>
        </w:r>
        <w:r w:rsidR="00B80A05">
          <w:rPr>
            <w:webHidden/>
          </w:rPr>
          <w:fldChar w:fldCharType="separate"/>
        </w:r>
        <w:r w:rsidR="00316060">
          <w:rPr>
            <w:webHidden/>
          </w:rPr>
          <w:t>241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64" w:history="1">
        <w:r w:rsidR="00DF458B" w:rsidRPr="00503D2D">
          <w:rPr>
            <w:rStyle w:val="Hyperlink"/>
            <w:rFonts w:ascii="Arial Negrito" w:hAnsi="Arial Negrito"/>
            <w:bCs/>
          </w:rPr>
          <w:t>3.4.5.6.</w:t>
        </w:r>
        <w:r w:rsidR="00DF458B">
          <w:rPr>
            <w:rFonts w:asciiTheme="minorHAnsi" w:eastAsiaTheme="minorEastAsia" w:hAnsiTheme="minorHAnsi" w:cstheme="minorBidi"/>
          </w:rPr>
          <w:tab/>
        </w:r>
        <w:r w:rsidR="00DF458B" w:rsidRPr="00503D2D">
          <w:rPr>
            <w:rStyle w:val="Hyperlink"/>
            <w:rFonts w:ascii="Arial Negrito" w:hAnsi="Arial Negrito"/>
            <w:bCs/>
          </w:rPr>
          <w:t>Indicadores Ambientais</w:t>
        </w:r>
        <w:r w:rsidR="00DF458B">
          <w:rPr>
            <w:webHidden/>
          </w:rPr>
          <w:tab/>
        </w:r>
        <w:r w:rsidR="00B80A05">
          <w:rPr>
            <w:webHidden/>
          </w:rPr>
          <w:fldChar w:fldCharType="begin"/>
        </w:r>
        <w:r w:rsidR="00DF458B">
          <w:rPr>
            <w:webHidden/>
          </w:rPr>
          <w:instrText xml:space="preserve"> PAGEREF _Toc419813864 \h </w:instrText>
        </w:r>
        <w:r w:rsidR="00B80A05">
          <w:rPr>
            <w:webHidden/>
          </w:rPr>
        </w:r>
        <w:r w:rsidR="00B80A05">
          <w:rPr>
            <w:webHidden/>
          </w:rPr>
          <w:fldChar w:fldCharType="separate"/>
        </w:r>
        <w:r w:rsidR="00316060">
          <w:rPr>
            <w:webHidden/>
          </w:rPr>
          <w:t>243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65" w:history="1">
        <w:r w:rsidR="00DF458B" w:rsidRPr="00503D2D">
          <w:rPr>
            <w:rStyle w:val="Hyperlink"/>
            <w:rFonts w:ascii="Arial Negrito" w:hAnsi="Arial Negrito"/>
            <w:bCs/>
          </w:rPr>
          <w:t>3.4.5.7.</w:t>
        </w:r>
        <w:r w:rsidR="00DF458B">
          <w:rPr>
            <w:rFonts w:asciiTheme="minorHAnsi" w:eastAsiaTheme="minorEastAsia" w:hAnsiTheme="minorHAnsi" w:cstheme="minorBidi"/>
          </w:rPr>
          <w:tab/>
        </w:r>
        <w:r w:rsidR="00DF458B" w:rsidRPr="00503D2D">
          <w:rPr>
            <w:rStyle w:val="Hyperlink"/>
            <w:rFonts w:ascii="Arial Negrito" w:hAnsi="Arial Negrito"/>
            <w:bCs/>
          </w:rPr>
          <w:t>Recursos materiais e Humanos</w:t>
        </w:r>
        <w:r w:rsidR="00DF458B">
          <w:rPr>
            <w:webHidden/>
          </w:rPr>
          <w:tab/>
        </w:r>
        <w:r w:rsidR="00B80A05">
          <w:rPr>
            <w:webHidden/>
          </w:rPr>
          <w:fldChar w:fldCharType="begin"/>
        </w:r>
        <w:r w:rsidR="00DF458B">
          <w:rPr>
            <w:webHidden/>
          </w:rPr>
          <w:instrText xml:space="preserve"> PAGEREF _Toc419813865 \h </w:instrText>
        </w:r>
        <w:r w:rsidR="00B80A05">
          <w:rPr>
            <w:webHidden/>
          </w:rPr>
        </w:r>
        <w:r w:rsidR="00B80A05">
          <w:rPr>
            <w:webHidden/>
          </w:rPr>
          <w:fldChar w:fldCharType="separate"/>
        </w:r>
        <w:r w:rsidR="00316060">
          <w:rPr>
            <w:webHidden/>
          </w:rPr>
          <w:t>243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66" w:history="1">
        <w:r w:rsidR="00DF458B" w:rsidRPr="00503D2D">
          <w:rPr>
            <w:rStyle w:val="Hyperlink"/>
            <w:rFonts w:ascii="Arial Negrito" w:hAnsi="Arial Negrito"/>
            <w:bCs/>
          </w:rPr>
          <w:t>3.4.5.8.</w:t>
        </w:r>
        <w:r w:rsidR="00DF458B">
          <w:rPr>
            <w:rFonts w:asciiTheme="minorHAnsi" w:eastAsiaTheme="minorEastAsia" w:hAnsiTheme="minorHAnsi" w:cstheme="minorBidi"/>
          </w:rPr>
          <w:tab/>
        </w:r>
        <w:r w:rsidR="00DF458B" w:rsidRPr="00503D2D">
          <w:rPr>
            <w:rStyle w:val="Hyperlink"/>
            <w:rFonts w:ascii="Arial Negrito" w:hAnsi="Arial Negrito"/>
            <w:bCs/>
          </w:rPr>
          <w:t>Atendimento a Requisitos Legais e/ou outros Requisitos</w:t>
        </w:r>
        <w:r w:rsidR="00DF458B">
          <w:rPr>
            <w:webHidden/>
          </w:rPr>
          <w:tab/>
        </w:r>
        <w:r w:rsidR="00B80A05">
          <w:rPr>
            <w:webHidden/>
          </w:rPr>
          <w:fldChar w:fldCharType="begin"/>
        </w:r>
        <w:r w:rsidR="00DF458B">
          <w:rPr>
            <w:webHidden/>
          </w:rPr>
          <w:instrText xml:space="preserve"> PAGEREF _Toc419813866 \h </w:instrText>
        </w:r>
        <w:r w:rsidR="00B80A05">
          <w:rPr>
            <w:webHidden/>
          </w:rPr>
        </w:r>
        <w:r w:rsidR="00B80A05">
          <w:rPr>
            <w:webHidden/>
          </w:rPr>
          <w:fldChar w:fldCharType="separate"/>
        </w:r>
        <w:r w:rsidR="00316060">
          <w:rPr>
            <w:webHidden/>
          </w:rPr>
          <w:t>244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67" w:history="1">
        <w:r w:rsidR="00DF458B" w:rsidRPr="00503D2D">
          <w:rPr>
            <w:rStyle w:val="Hyperlink"/>
            <w:rFonts w:ascii="Arial Negrito" w:hAnsi="Arial Negrito"/>
            <w:bCs/>
          </w:rPr>
          <w:t>3.4.5.9.</w:t>
        </w:r>
        <w:r w:rsidR="00DF458B">
          <w:rPr>
            <w:rFonts w:asciiTheme="minorHAnsi" w:eastAsiaTheme="minorEastAsia" w:hAnsiTheme="minorHAnsi" w:cstheme="minorBidi"/>
          </w:rPr>
          <w:tab/>
        </w:r>
        <w:r w:rsidR="00DF458B" w:rsidRPr="00503D2D">
          <w:rPr>
            <w:rStyle w:val="Hyperlink"/>
            <w:rFonts w:ascii="Arial Negrito" w:hAnsi="Arial Negrito"/>
            <w:bCs/>
          </w:rPr>
          <w:t>Inter-relação com outros Planos e Programas</w:t>
        </w:r>
        <w:r w:rsidR="00DF458B">
          <w:rPr>
            <w:webHidden/>
          </w:rPr>
          <w:tab/>
        </w:r>
        <w:r w:rsidR="00B80A05">
          <w:rPr>
            <w:webHidden/>
          </w:rPr>
          <w:fldChar w:fldCharType="begin"/>
        </w:r>
        <w:r w:rsidR="00DF458B">
          <w:rPr>
            <w:webHidden/>
          </w:rPr>
          <w:instrText xml:space="preserve"> PAGEREF _Toc419813867 \h </w:instrText>
        </w:r>
        <w:r w:rsidR="00B80A05">
          <w:rPr>
            <w:webHidden/>
          </w:rPr>
        </w:r>
        <w:r w:rsidR="00B80A05">
          <w:rPr>
            <w:webHidden/>
          </w:rPr>
          <w:fldChar w:fldCharType="separate"/>
        </w:r>
        <w:r w:rsidR="00316060">
          <w:rPr>
            <w:webHidden/>
          </w:rPr>
          <w:t>244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68" w:history="1">
        <w:r w:rsidR="00DF458B" w:rsidRPr="00503D2D">
          <w:rPr>
            <w:rStyle w:val="Hyperlink"/>
            <w:rFonts w:ascii="Arial Negrito" w:hAnsi="Arial Negrito"/>
            <w:bCs/>
          </w:rPr>
          <w:t>3.4.5.10.</w:t>
        </w:r>
        <w:r w:rsidR="00DF458B">
          <w:rPr>
            <w:rFonts w:asciiTheme="minorHAnsi" w:eastAsiaTheme="minorEastAsia" w:hAnsiTheme="minorHAnsi" w:cstheme="minorBidi"/>
          </w:rPr>
          <w:tab/>
        </w:r>
        <w:r w:rsidR="00DF458B" w:rsidRPr="00503D2D">
          <w:rPr>
            <w:rStyle w:val="Hyperlink"/>
            <w:rFonts w:ascii="Arial Negrito" w:hAnsi="Arial Negrito"/>
            <w:bCs/>
          </w:rPr>
          <w:t>Etapa dos Empreendimentos</w:t>
        </w:r>
        <w:r w:rsidR="00DF458B">
          <w:rPr>
            <w:webHidden/>
          </w:rPr>
          <w:tab/>
        </w:r>
        <w:r w:rsidR="00B80A05">
          <w:rPr>
            <w:webHidden/>
          </w:rPr>
          <w:fldChar w:fldCharType="begin"/>
        </w:r>
        <w:r w:rsidR="00DF458B">
          <w:rPr>
            <w:webHidden/>
          </w:rPr>
          <w:instrText xml:space="preserve"> PAGEREF _Toc419813868 \h </w:instrText>
        </w:r>
        <w:r w:rsidR="00B80A05">
          <w:rPr>
            <w:webHidden/>
          </w:rPr>
        </w:r>
        <w:r w:rsidR="00B80A05">
          <w:rPr>
            <w:webHidden/>
          </w:rPr>
          <w:fldChar w:fldCharType="separate"/>
        </w:r>
        <w:r w:rsidR="00316060">
          <w:rPr>
            <w:webHidden/>
          </w:rPr>
          <w:t>244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69" w:history="1">
        <w:r w:rsidR="00DF458B" w:rsidRPr="00503D2D">
          <w:rPr>
            <w:rStyle w:val="Hyperlink"/>
            <w:rFonts w:ascii="Arial Negrito" w:hAnsi="Arial Negrito"/>
            <w:bCs/>
          </w:rPr>
          <w:t>3.4.5.11.</w:t>
        </w:r>
        <w:r w:rsidR="00DF458B">
          <w:rPr>
            <w:rFonts w:asciiTheme="minorHAnsi" w:eastAsiaTheme="minorEastAsia" w:hAnsiTheme="minorHAnsi" w:cstheme="minorBidi"/>
          </w:rPr>
          <w:tab/>
        </w:r>
        <w:r w:rsidR="00DF458B" w:rsidRPr="00503D2D">
          <w:rPr>
            <w:rStyle w:val="Hyperlink"/>
            <w:rFonts w:ascii="Arial Negrito" w:hAnsi="Arial Negrito"/>
            <w:bCs/>
          </w:rPr>
          <w:t>Cronograma de Execução</w:t>
        </w:r>
        <w:r w:rsidR="00DF458B">
          <w:rPr>
            <w:webHidden/>
          </w:rPr>
          <w:tab/>
        </w:r>
        <w:r w:rsidR="00B80A05">
          <w:rPr>
            <w:webHidden/>
          </w:rPr>
          <w:fldChar w:fldCharType="begin"/>
        </w:r>
        <w:r w:rsidR="00DF458B">
          <w:rPr>
            <w:webHidden/>
          </w:rPr>
          <w:instrText xml:space="preserve"> PAGEREF _Toc419813869 \h </w:instrText>
        </w:r>
        <w:r w:rsidR="00B80A05">
          <w:rPr>
            <w:webHidden/>
          </w:rPr>
        </w:r>
        <w:r w:rsidR="00B80A05">
          <w:rPr>
            <w:webHidden/>
          </w:rPr>
          <w:fldChar w:fldCharType="separate"/>
        </w:r>
        <w:r w:rsidR="00316060">
          <w:rPr>
            <w:webHidden/>
          </w:rPr>
          <w:t>245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70" w:history="1">
        <w:r w:rsidR="00DF458B" w:rsidRPr="00503D2D">
          <w:rPr>
            <w:rStyle w:val="Hyperlink"/>
            <w:rFonts w:ascii="Arial Negrito" w:hAnsi="Arial Negrito"/>
            <w:bCs/>
          </w:rPr>
          <w:t>3.4.5.12.</w:t>
        </w:r>
        <w:r w:rsidR="00DF458B">
          <w:rPr>
            <w:rFonts w:asciiTheme="minorHAnsi" w:eastAsiaTheme="minorEastAsia" w:hAnsiTheme="minorHAnsi" w:cstheme="minorBidi"/>
          </w:rPr>
          <w:tab/>
        </w:r>
        <w:r w:rsidR="00DF458B" w:rsidRPr="00503D2D">
          <w:rPr>
            <w:rStyle w:val="Hyperlink"/>
            <w:rFonts w:ascii="Arial Negrito" w:hAnsi="Arial Negrito"/>
            <w:bCs/>
          </w:rPr>
          <w:t>Responsável pela Implementação do Programa</w:t>
        </w:r>
        <w:r w:rsidR="00DF458B">
          <w:rPr>
            <w:webHidden/>
          </w:rPr>
          <w:tab/>
        </w:r>
        <w:r w:rsidR="00B80A05">
          <w:rPr>
            <w:webHidden/>
          </w:rPr>
          <w:fldChar w:fldCharType="begin"/>
        </w:r>
        <w:r w:rsidR="00DF458B">
          <w:rPr>
            <w:webHidden/>
          </w:rPr>
          <w:instrText xml:space="preserve"> PAGEREF _Toc419813870 \h </w:instrText>
        </w:r>
        <w:r w:rsidR="00B80A05">
          <w:rPr>
            <w:webHidden/>
          </w:rPr>
        </w:r>
        <w:r w:rsidR="00B80A05">
          <w:rPr>
            <w:webHidden/>
          </w:rPr>
          <w:fldChar w:fldCharType="separate"/>
        </w:r>
        <w:r w:rsidR="00316060">
          <w:rPr>
            <w:webHidden/>
          </w:rPr>
          <w:t>245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71" w:history="1">
        <w:r w:rsidR="00DF458B" w:rsidRPr="00503D2D">
          <w:rPr>
            <w:rStyle w:val="Hyperlink"/>
            <w:rFonts w:ascii="Arial Negrito" w:hAnsi="Arial Negrito"/>
            <w:bCs/>
          </w:rPr>
          <w:t>3.4.5.13.</w:t>
        </w:r>
        <w:r w:rsidR="00DF458B">
          <w:rPr>
            <w:rFonts w:asciiTheme="minorHAnsi" w:eastAsiaTheme="minorEastAsia" w:hAnsiTheme="minorHAnsi" w:cstheme="minorBidi"/>
          </w:rPr>
          <w:tab/>
        </w:r>
        <w:r w:rsidR="00DF458B" w:rsidRPr="00503D2D">
          <w:rPr>
            <w:rStyle w:val="Hyperlink"/>
            <w:rFonts w:ascii="Arial Negrito" w:hAnsi="Arial Negrito"/>
            <w:bCs/>
          </w:rPr>
          <w:t>Sistemas de Registros</w:t>
        </w:r>
        <w:r w:rsidR="00DF458B">
          <w:rPr>
            <w:webHidden/>
          </w:rPr>
          <w:tab/>
        </w:r>
        <w:r w:rsidR="00B80A05">
          <w:rPr>
            <w:webHidden/>
          </w:rPr>
          <w:fldChar w:fldCharType="begin"/>
        </w:r>
        <w:r w:rsidR="00DF458B">
          <w:rPr>
            <w:webHidden/>
          </w:rPr>
          <w:instrText xml:space="preserve"> PAGEREF _Toc419813871 \h </w:instrText>
        </w:r>
        <w:r w:rsidR="00B80A05">
          <w:rPr>
            <w:webHidden/>
          </w:rPr>
        </w:r>
        <w:r w:rsidR="00B80A05">
          <w:rPr>
            <w:webHidden/>
          </w:rPr>
          <w:fldChar w:fldCharType="separate"/>
        </w:r>
        <w:r w:rsidR="00316060">
          <w:rPr>
            <w:webHidden/>
          </w:rPr>
          <w:t>245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72" w:history="1">
        <w:r w:rsidR="00DF458B" w:rsidRPr="00503D2D">
          <w:rPr>
            <w:rStyle w:val="Hyperlink"/>
            <w:rFonts w:ascii="Arial Negrito" w:hAnsi="Arial Negrito"/>
            <w:bCs/>
          </w:rPr>
          <w:t>3.4.</w:t>
        </w:r>
        <w:r w:rsidR="00875F02">
          <w:rPr>
            <w:rStyle w:val="Hyperlink"/>
            <w:rFonts w:ascii="Arial Negrito" w:hAnsi="Arial Negrito"/>
            <w:bCs/>
          </w:rPr>
          <w:t>5</w:t>
        </w:r>
        <w:r w:rsidR="00DF458B" w:rsidRPr="00503D2D">
          <w:rPr>
            <w:rStyle w:val="Hyperlink"/>
            <w:rFonts w:ascii="Arial Negrito" w:hAnsi="Arial Negrito"/>
            <w:bCs/>
          </w:rPr>
          <w:t>.14. Referências Bibliográficas</w:t>
        </w:r>
        <w:r w:rsidR="00DF458B">
          <w:rPr>
            <w:webHidden/>
          </w:rPr>
          <w:tab/>
        </w:r>
        <w:r w:rsidR="00B80A05">
          <w:rPr>
            <w:webHidden/>
          </w:rPr>
          <w:fldChar w:fldCharType="begin"/>
        </w:r>
        <w:r w:rsidR="00DF458B">
          <w:rPr>
            <w:webHidden/>
          </w:rPr>
          <w:instrText xml:space="preserve"> PAGEREF _Toc419813872 \h </w:instrText>
        </w:r>
        <w:r w:rsidR="00B80A05">
          <w:rPr>
            <w:webHidden/>
          </w:rPr>
        </w:r>
        <w:r w:rsidR="00B80A05">
          <w:rPr>
            <w:webHidden/>
          </w:rPr>
          <w:fldChar w:fldCharType="separate"/>
        </w:r>
        <w:r w:rsidR="00316060">
          <w:rPr>
            <w:webHidden/>
          </w:rPr>
          <w:t>246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73" w:history="1">
        <w:r w:rsidR="00DF458B" w:rsidRPr="00503D2D">
          <w:rPr>
            <w:rStyle w:val="Hyperlink"/>
            <w:rFonts w:ascii="Arial Negrito" w:hAnsi="Arial Negrito"/>
            <w:bCs/>
          </w:rPr>
          <w:t>3.4.6.</w:t>
        </w:r>
        <w:r w:rsidR="00DF458B">
          <w:rPr>
            <w:rFonts w:asciiTheme="minorHAnsi" w:eastAsiaTheme="minorEastAsia" w:hAnsiTheme="minorHAnsi" w:cstheme="minorBidi"/>
          </w:rPr>
          <w:tab/>
        </w:r>
        <w:r w:rsidR="00DF458B" w:rsidRPr="00503D2D">
          <w:rPr>
            <w:rStyle w:val="Hyperlink"/>
            <w:rFonts w:ascii="Arial Negrito" w:hAnsi="Arial Negrito"/>
            <w:bCs/>
          </w:rPr>
          <w:t>Programa de Conservação da Ictiofauna</w:t>
        </w:r>
        <w:r w:rsidR="00DF458B">
          <w:rPr>
            <w:webHidden/>
          </w:rPr>
          <w:tab/>
        </w:r>
        <w:r w:rsidR="00B80A05">
          <w:rPr>
            <w:webHidden/>
          </w:rPr>
          <w:fldChar w:fldCharType="begin"/>
        </w:r>
        <w:r w:rsidR="00DF458B">
          <w:rPr>
            <w:webHidden/>
          </w:rPr>
          <w:instrText xml:space="preserve"> PAGEREF _Toc419813873 \h </w:instrText>
        </w:r>
        <w:r w:rsidR="00B80A05">
          <w:rPr>
            <w:webHidden/>
          </w:rPr>
        </w:r>
        <w:r w:rsidR="00B80A05">
          <w:rPr>
            <w:webHidden/>
          </w:rPr>
          <w:fldChar w:fldCharType="separate"/>
        </w:r>
        <w:r w:rsidR="00316060">
          <w:rPr>
            <w:webHidden/>
          </w:rPr>
          <w:t>247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74" w:history="1">
        <w:r w:rsidR="00DF458B" w:rsidRPr="00503D2D">
          <w:rPr>
            <w:rStyle w:val="Hyperlink"/>
            <w:rFonts w:ascii="Arial Negrito" w:hAnsi="Arial Negrito"/>
            <w:bCs/>
          </w:rPr>
          <w:t>3.4.6.1.</w:t>
        </w:r>
        <w:r w:rsidR="00DF458B">
          <w:rPr>
            <w:rFonts w:asciiTheme="minorHAnsi" w:eastAsiaTheme="minorEastAsia" w:hAnsiTheme="minorHAnsi" w:cstheme="minorBidi"/>
          </w:rPr>
          <w:tab/>
        </w:r>
        <w:r w:rsidR="00DF458B" w:rsidRPr="00503D2D">
          <w:rPr>
            <w:rStyle w:val="Hyperlink"/>
            <w:rFonts w:ascii="Arial Negrito" w:hAnsi="Arial Negrito"/>
            <w:bCs/>
          </w:rPr>
          <w:t>Apresentação e Justificativa</w:t>
        </w:r>
        <w:r w:rsidR="00DF458B">
          <w:rPr>
            <w:webHidden/>
          </w:rPr>
          <w:tab/>
        </w:r>
        <w:r w:rsidR="00B80A05">
          <w:rPr>
            <w:webHidden/>
          </w:rPr>
          <w:fldChar w:fldCharType="begin"/>
        </w:r>
        <w:r w:rsidR="00DF458B">
          <w:rPr>
            <w:webHidden/>
          </w:rPr>
          <w:instrText xml:space="preserve"> PAGEREF _Toc419813874 \h </w:instrText>
        </w:r>
        <w:r w:rsidR="00B80A05">
          <w:rPr>
            <w:webHidden/>
          </w:rPr>
        </w:r>
        <w:r w:rsidR="00B80A05">
          <w:rPr>
            <w:webHidden/>
          </w:rPr>
          <w:fldChar w:fldCharType="separate"/>
        </w:r>
        <w:r w:rsidR="00316060">
          <w:rPr>
            <w:webHidden/>
          </w:rPr>
          <w:t>247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75" w:history="1">
        <w:r w:rsidR="00DF458B" w:rsidRPr="00503D2D">
          <w:rPr>
            <w:rStyle w:val="Hyperlink"/>
            <w:rFonts w:ascii="Arial Negrito" w:hAnsi="Arial Negrito"/>
            <w:bCs/>
          </w:rPr>
          <w:t>3.4.6.2.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_Toc419813875 \h </w:instrText>
        </w:r>
        <w:r w:rsidR="00B80A05">
          <w:rPr>
            <w:webHidden/>
          </w:rPr>
        </w:r>
        <w:r w:rsidR="00B80A05">
          <w:rPr>
            <w:webHidden/>
          </w:rPr>
          <w:fldChar w:fldCharType="separate"/>
        </w:r>
        <w:r w:rsidR="00316060">
          <w:rPr>
            <w:webHidden/>
          </w:rPr>
          <w:t>247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76" w:history="1">
        <w:r w:rsidR="00DF458B" w:rsidRPr="00503D2D">
          <w:rPr>
            <w:rStyle w:val="Hyperlink"/>
            <w:rFonts w:ascii="Arial Negrito" w:hAnsi="Arial Negrito"/>
            <w:bCs/>
          </w:rPr>
          <w:t>3.4.6.3.</w:t>
        </w:r>
        <w:r w:rsidR="00DF458B">
          <w:rPr>
            <w:rFonts w:asciiTheme="minorHAnsi" w:eastAsiaTheme="minorEastAsia" w:hAnsiTheme="minorHAnsi" w:cstheme="minorBidi"/>
          </w:rPr>
          <w:tab/>
        </w:r>
        <w:r w:rsidR="00DF458B" w:rsidRPr="00503D2D">
          <w:rPr>
            <w:rStyle w:val="Hyperlink"/>
            <w:rFonts w:ascii="Arial Negrito" w:hAnsi="Arial Negrito"/>
            <w:bCs/>
          </w:rPr>
          <w:t>Metas</w:t>
        </w:r>
        <w:r w:rsidR="00DF458B">
          <w:rPr>
            <w:webHidden/>
          </w:rPr>
          <w:tab/>
        </w:r>
        <w:r w:rsidR="00B80A05">
          <w:rPr>
            <w:webHidden/>
          </w:rPr>
          <w:fldChar w:fldCharType="begin"/>
        </w:r>
        <w:r w:rsidR="00DF458B">
          <w:rPr>
            <w:webHidden/>
          </w:rPr>
          <w:instrText xml:space="preserve"> PAGEREF _Toc419813876 \h </w:instrText>
        </w:r>
        <w:r w:rsidR="00B80A05">
          <w:rPr>
            <w:webHidden/>
          </w:rPr>
        </w:r>
        <w:r w:rsidR="00B80A05">
          <w:rPr>
            <w:webHidden/>
          </w:rPr>
          <w:fldChar w:fldCharType="separate"/>
        </w:r>
        <w:r w:rsidR="00316060">
          <w:rPr>
            <w:webHidden/>
          </w:rPr>
          <w:t>248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77" w:history="1">
        <w:r w:rsidR="00DF458B" w:rsidRPr="00503D2D">
          <w:rPr>
            <w:rStyle w:val="Hyperlink"/>
          </w:rPr>
          <w:t>3.4.6.4.</w:t>
        </w:r>
        <w:r w:rsidR="00DF458B">
          <w:rPr>
            <w:rFonts w:asciiTheme="minorHAnsi" w:eastAsiaTheme="minorEastAsia" w:hAnsiTheme="minorHAnsi" w:cstheme="minorBidi"/>
          </w:rPr>
          <w:tab/>
        </w:r>
        <w:r w:rsidR="00DF458B" w:rsidRPr="00503D2D">
          <w:rPr>
            <w:rStyle w:val="Hyperlink"/>
          </w:rPr>
          <w:t>Público-alvo</w:t>
        </w:r>
        <w:r w:rsidR="00DF458B">
          <w:rPr>
            <w:webHidden/>
          </w:rPr>
          <w:tab/>
        </w:r>
        <w:r w:rsidR="00B80A05">
          <w:rPr>
            <w:webHidden/>
          </w:rPr>
          <w:fldChar w:fldCharType="begin"/>
        </w:r>
        <w:r w:rsidR="00DF458B">
          <w:rPr>
            <w:webHidden/>
          </w:rPr>
          <w:instrText xml:space="preserve"> PAGEREF _Toc419813877 \h </w:instrText>
        </w:r>
        <w:r w:rsidR="00B80A05">
          <w:rPr>
            <w:webHidden/>
          </w:rPr>
        </w:r>
        <w:r w:rsidR="00B80A05">
          <w:rPr>
            <w:webHidden/>
          </w:rPr>
          <w:fldChar w:fldCharType="separate"/>
        </w:r>
        <w:r w:rsidR="00316060">
          <w:rPr>
            <w:webHidden/>
          </w:rPr>
          <w:t>248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78" w:history="1">
        <w:r w:rsidR="00DF458B" w:rsidRPr="00503D2D">
          <w:rPr>
            <w:rStyle w:val="Hyperlink"/>
            <w:rFonts w:ascii="Arial Negrito" w:hAnsi="Arial Negrito"/>
            <w:bCs/>
          </w:rPr>
          <w:t>3.4.6.5.</w:t>
        </w:r>
        <w:r w:rsidR="00DF458B">
          <w:rPr>
            <w:rFonts w:asciiTheme="minorHAnsi" w:eastAsiaTheme="minorEastAsia" w:hAnsiTheme="minorHAnsi" w:cstheme="minorBidi"/>
          </w:rPr>
          <w:tab/>
        </w:r>
        <w:r w:rsidR="00DF458B" w:rsidRPr="00503D2D">
          <w:rPr>
            <w:rStyle w:val="Hyperlink"/>
            <w:rFonts w:ascii="Arial Negrito" w:hAnsi="Arial Negrito"/>
            <w:bCs/>
          </w:rPr>
          <w:t>Metodologia e Descrição do Programa</w:t>
        </w:r>
        <w:r w:rsidR="00DF458B">
          <w:rPr>
            <w:webHidden/>
          </w:rPr>
          <w:tab/>
        </w:r>
        <w:r w:rsidR="00B80A05">
          <w:rPr>
            <w:webHidden/>
          </w:rPr>
          <w:fldChar w:fldCharType="begin"/>
        </w:r>
        <w:r w:rsidR="00DF458B">
          <w:rPr>
            <w:webHidden/>
          </w:rPr>
          <w:instrText xml:space="preserve"> PAGEREF _Toc419813878 \h </w:instrText>
        </w:r>
        <w:r w:rsidR="00B80A05">
          <w:rPr>
            <w:webHidden/>
          </w:rPr>
        </w:r>
        <w:r w:rsidR="00B80A05">
          <w:rPr>
            <w:webHidden/>
          </w:rPr>
          <w:fldChar w:fldCharType="separate"/>
        </w:r>
        <w:r w:rsidR="00316060">
          <w:rPr>
            <w:webHidden/>
          </w:rPr>
          <w:t>249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79" w:history="1">
        <w:r w:rsidR="00DF458B" w:rsidRPr="00503D2D">
          <w:rPr>
            <w:rStyle w:val="Hyperlink"/>
            <w:rFonts w:ascii="Arial Negrito" w:hAnsi="Arial Negrito"/>
            <w:bCs/>
          </w:rPr>
          <w:t>3.4.6.6.</w:t>
        </w:r>
        <w:r w:rsidR="00DF458B">
          <w:rPr>
            <w:rFonts w:asciiTheme="minorHAnsi" w:eastAsiaTheme="minorEastAsia" w:hAnsiTheme="minorHAnsi" w:cstheme="minorBidi"/>
          </w:rPr>
          <w:tab/>
        </w:r>
        <w:r w:rsidR="00DF458B" w:rsidRPr="00503D2D">
          <w:rPr>
            <w:rStyle w:val="Hyperlink"/>
            <w:rFonts w:ascii="Arial Negrito" w:hAnsi="Arial Negrito"/>
            <w:bCs/>
          </w:rPr>
          <w:t>Indicadores Ambientais</w:t>
        </w:r>
        <w:r w:rsidR="00DF458B">
          <w:rPr>
            <w:webHidden/>
          </w:rPr>
          <w:tab/>
        </w:r>
        <w:r w:rsidR="00B80A05">
          <w:rPr>
            <w:webHidden/>
          </w:rPr>
          <w:fldChar w:fldCharType="begin"/>
        </w:r>
        <w:r w:rsidR="00DF458B">
          <w:rPr>
            <w:webHidden/>
          </w:rPr>
          <w:instrText xml:space="preserve"> PAGEREF _Toc419813879 \h </w:instrText>
        </w:r>
        <w:r w:rsidR="00B80A05">
          <w:rPr>
            <w:webHidden/>
          </w:rPr>
        </w:r>
        <w:r w:rsidR="00B80A05">
          <w:rPr>
            <w:webHidden/>
          </w:rPr>
          <w:fldChar w:fldCharType="separate"/>
        </w:r>
        <w:r w:rsidR="00316060">
          <w:rPr>
            <w:webHidden/>
          </w:rPr>
          <w:t>251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80" w:history="1">
        <w:r w:rsidR="00DF458B" w:rsidRPr="00503D2D">
          <w:rPr>
            <w:rStyle w:val="Hyperlink"/>
            <w:rFonts w:ascii="Arial Negrito" w:hAnsi="Arial Negrito"/>
            <w:bCs/>
          </w:rPr>
          <w:t>3.4.6.7.</w:t>
        </w:r>
        <w:r w:rsidR="00DF458B">
          <w:rPr>
            <w:rFonts w:asciiTheme="minorHAnsi" w:eastAsiaTheme="minorEastAsia" w:hAnsiTheme="minorHAnsi" w:cstheme="minorBidi"/>
          </w:rPr>
          <w:tab/>
        </w:r>
        <w:r w:rsidR="00DF458B" w:rsidRPr="00503D2D">
          <w:rPr>
            <w:rStyle w:val="Hyperlink"/>
            <w:rFonts w:ascii="Arial Negrito" w:hAnsi="Arial Negrito"/>
            <w:bCs/>
          </w:rPr>
          <w:t>RecursosMmateriais e Humanos</w:t>
        </w:r>
        <w:r w:rsidR="00DF458B">
          <w:rPr>
            <w:webHidden/>
          </w:rPr>
          <w:tab/>
        </w:r>
        <w:r w:rsidR="00B80A05">
          <w:rPr>
            <w:webHidden/>
          </w:rPr>
          <w:fldChar w:fldCharType="begin"/>
        </w:r>
        <w:r w:rsidR="00DF458B">
          <w:rPr>
            <w:webHidden/>
          </w:rPr>
          <w:instrText xml:space="preserve"> PAGEREF _Toc419813880 \h </w:instrText>
        </w:r>
        <w:r w:rsidR="00B80A05">
          <w:rPr>
            <w:webHidden/>
          </w:rPr>
        </w:r>
        <w:r w:rsidR="00B80A05">
          <w:rPr>
            <w:webHidden/>
          </w:rPr>
          <w:fldChar w:fldCharType="separate"/>
        </w:r>
        <w:r w:rsidR="00316060">
          <w:rPr>
            <w:webHidden/>
          </w:rPr>
          <w:t>251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81" w:history="1">
        <w:r w:rsidR="00DF458B" w:rsidRPr="00503D2D">
          <w:rPr>
            <w:rStyle w:val="Hyperlink"/>
            <w:rFonts w:ascii="Arial Negrito" w:hAnsi="Arial Negrito"/>
            <w:bCs/>
          </w:rPr>
          <w:t>3.4.6.8.</w:t>
        </w:r>
        <w:r w:rsidR="00DF458B">
          <w:rPr>
            <w:rFonts w:asciiTheme="minorHAnsi" w:eastAsiaTheme="minorEastAsia" w:hAnsiTheme="minorHAnsi" w:cstheme="minorBidi"/>
          </w:rPr>
          <w:tab/>
        </w:r>
        <w:r w:rsidR="00DF458B" w:rsidRPr="00503D2D">
          <w:rPr>
            <w:rStyle w:val="Hyperlink"/>
            <w:rFonts w:ascii="Arial Negrito" w:hAnsi="Arial Negrito"/>
            <w:bCs/>
          </w:rPr>
          <w:t>Atendimento a Requisitos Legais e/ou outros Requisitos</w:t>
        </w:r>
        <w:r w:rsidR="00DF458B">
          <w:rPr>
            <w:webHidden/>
          </w:rPr>
          <w:tab/>
        </w:r>
        <w:r w:rsidR="00B80A05">
          <w:rPr>
            <w:webHidden/>
          </w:rPr>
          <w:fldChar w:fldCharType="begin"/>
        </w:r>
        <w:r w:rsidR="00DF458B">
          <w:rPr>
            <w:webHidden/>
          </w:rPr>
          <w:instrText xml:space="preserve"> PAGEREF _Toc419813881 \h </w:instrText>
        </w:r>
        <w:r w:rsidR="00B80A05">
          <w:rPr>
            <w:webHidden/>
          </w:rPr>
        </w:r>
        <w:r w:rsidR="00B80A05">
          <w:rPr>
            <w:webHidden/>
          </w:rPr>
          <w:fldChar w:fldCharType="separate"/>
        </w:r>
        <w:r w:rsidR="00316060">
          <w:rPr>
            <w:webHidden/>
          </w:rPr>
          <w:t>252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82" w:history="1">
        <w:r w:rsidR="00DF458B" w:rsidRPr="00503D2D">
          <w:rPr>
            <w:rStyle w:val="Hyperlink"/>
            <w:rFonts w:ascii="Arial Negrito" w:hAnsi="Arial Negrito"/>
            <w:bCs/>
          </w:rPr>
          <w:t>3.4.6.9.</w:t>
        </w:r>
        <w:r w:rsidR="00DF458B">
          <w:rPr>
            <w:rFonts w:asciiTheme="minorHAnsi" w:eastAsiaTheme="minorEastAsia" w:hAnsiTheme="minorHAnsi" w:cstheme="minorBidi"/>
          </w:rPr>
          <w:tab/>
        </w:r>
        <w:r w:rsidR="00DF458B" w:rsidRPr="00503D2D">
          <w:rPr>
            <w:rStyle w:val="Hyperlink"/>
            <w:rFonts w:ascii="Arial Negrito" w:hAnsi="Arial Negrito"/>
            <w:bCs/>
          </w:rPr>
          <w:t>Inter-Relação com outros Planos e Programas</w:t>
        </w:r>
        <w:r w:rsidR="00DF458B">
          <w:rPr>
            <w:webHidden/>
          </w:rPr>
          <w:tab/>
        </w:r>
        <w:r w:rsidR="00B80A05">
          <w:rPr>
            <w:webHidden/>
          </w:rPr>
          <w:fldChar w:fldCharType="begin"/>
        </w:r>
        <w:r w:rsidR="00DF458B">
          <w:rPr>
            <w:webHidden/>
          </w:rPr>
          <w:instrText xml:space="preserve"> PAGEREF _Toc419813882 \h </w:instrText>
        </w:r>
        <w:r w:rsidR="00B80A05">
          <w:rPr>
            <w:webHidden/>
          </w:rPr>
        </w:r>
        <w:r w:rsidR="00B80A05">
          <w:rPr>
            <w:webHidden/>
          </w:rPr>
          <w:fldChar w:fldCharType="separate"/>
        </w:r>
        <w:r w:rsidR="00316060">
          <w:rPr>
            <w:webHidden/>
          </w:rPr>
          <w:t>253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83" w:history="1">
        <w:r w:rsidR="00DF458B" w:rsidRPr="00503D2D">
          <w:rPr>
            <w:rStyle w:val="Hyperlink"/>
            <w:rFonts w:ascii="Arial Negrito" w:hAnsi="Arial Negrito"/>
            <w:bCs/>
          </w:rPr>
          <w:t>3.4.6.10.</w:t>
        </w:r>
        <w:r w:rsidR="00DF458B">
          <w:rPr>
            <w:rFonts w:asciiTheme="minorHAnsi" w:eastAsiaTheme="minorEastAsia" w:hAnsiTheme="minorHAnsi" w:cstheme="minorBidi"/>
          </w:rPr>
          <w:tab/>
        </w:r>
        <w:r w:rsidR="00DF458B" w:rsidRPr="00503D2D">
          <w:rPr>
            <w:rStyle w:val="Hyperlink"/>
            <w:rFonts w:ascii="Arial Negrito" w:hAnsi="Arial Negrito"/>
            <w:bCs/>
          </w:rPr>
          <w:t>Etapas do Empreendimento</w:t>
        </w:r>
        <w:r w:rsidR="00DF458B">
          <w:rPr>
            <w:webHidden/>
          </w:rPr>
          <w:tab/>
        </w:r>
        <w:r w:rsidR="00B80A05">
          <w:rPr>
            <w:webHidden/>
          </w:rPr>
          <w:fldChar w:fldCharType="begin"/>
        </w:r>
        <w:r w:rsidR="00DF458B">
          <w:rPr>
            <w:webHidden/>
          </w:rPr>
          <w:instrText xml:space="preserve"> PAGEREF _Toc419813883 \h </w:instrText>
        </w:r>
        <w:r w:rsidR="00B80A05">
          <w:rPr>
            <w:webHidden/>
          </w:rPr>
        </w:r>
        <w:r w:rsidR="00B80A05">
          <w:rPr>
            <w:webHidden/>
          </w:rPr>
          <w:fldChar w:fldCharType="separate"/>
        </w:r>
        <w:r w:rsidR="00316060">
          <w:rPr>
            <w:webHidden/>
          </w:rPr>
          <w:t>253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84" w:history="1">
        <w:r w:rsidR="00DF458B" w:rsidRPr="00503D2D">
          <w:rPr>
            <w:rStyle w:val="Hyperlink"/>
            <w:rFonts w:ascii="Arial Negrito" w:hAnsi="Arial Negrito"/>
            <w:bCs/>
          </w:rPr>
          <w:t>3.4.6.11.</w:t>
        </w:r>
        <w:r w:rsidR="00DF458B">
          <w:rPr>
            <w:rFonts w:asciiTheme="minorHAnsi" w:eastAsiaTheme="minorEastAsia" w:hAnsiTheme="minorHAnsi" w:cstheme="minorBidi"/>
          </w:rPr>
          <w:tab/>
        </w:r>
        <w:r w:rsidR="00DF458B" w:rsidRPr="00503D2D">
          <w:rPr>
            <w:rStyle w:val="Hyperlink"/>
            <w:rFonts w:ascii="Arial Negrito" w:hAnsi="Arial Negrito"/>
            <w:bCs/>
          </w:rPr>
          <w:t>Cronograma de Execução</w:t>
        </w:r>
        <w:r w:rsidR="00DF458B">
          <w:rPr>
            <w:webHidden/>
          </w:rPr>
          <w:tab/>
        </w:r>
        <w:r w:rsidR="00B80A05">
          <w:rPr>
            <w:webHidden/>
          </w:rPr>
          <w:fldChar w:fldCharType="begin"/>
        </w:r>
        <w:r w:rsidR="00DF458B">
          <w:rPr>
            <w:webHidden/>
          </w:rPr>
          <w:instrText xml:space="preserve"> PAGEREF _Toc419813884 \h </w:instrText>
        </w:r>
        <w:r w:rsidR="00B80A05">
          <w:rPr>
            <w:webHidden/>
          </w:rPr>
        </w:r>
        <w:r w:rsidR="00B80A05">
          <w:rPr>
            <w:webHidden/>
          </w:rPr>
          <w:fldChar w:fldCharType="separate"/>
        </w:r>
        <w:r w:rsidR="00316060">
          <w:rPr>
            <w:webHidden/>
          </w:rPr>
          <w:t>253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85" w:history="1">
        <w:r w:rsidR="00DF458B" w:rsidRPr="00503D2D">
          <w:rPr>
            <w:rStyle w:val="Hyperlink"/>
            <w:rFonts w:ascii="Arial Negrito" w:hAnsi="Arial Negrito"/>
            <w:bCs/>
          </w:rPr>
          <w:t>3.4.6.12.</w:t>
        </w:r>
        <w:r w:rsidR="00DF458B">
          <w:rPr>
            <w:rFonts w:asciiTheme="minorHAnsi" w:eastAsiaTheme="minorEastAsia" w:hAnsiTheme="minorHAnsi" w:cstheme="minorBidi"/>
          </w:rPr>
          <w:tab/>
        </w:r>
        <w:r w:rsidR="00DF458B" w:rsidRPr="00503D2D">
          <w:rPr>
            <w:rStyle w:val="Hyperlink"/>
            <w:rFonts w:ascii="Arial Negrito" w:hAnsi="Arial Negrito"/>
            <w:bCs/>
          </w:rPr>
          <w:t>Responsável pela Implementação do Programa</w:t>
        </w:r>
        <w:r w:rsidR="00DF458B">
          <w:rPr>
            <w:webHidden/>
          </w:rPr>
          <w:tab/>
        </w:r>
        <w:r w:rsidR="00B80A05">
          <w:rPr>
            <w:webHidden/>
          </w:rPr>
          <w:fldChar w:fldCharType="begin"/>
        </w:r>
        <w:r w:rsidR="00DF458B">
          <w:rPr>
            <w:webHidden/>
          </w:rPr>
          <w:instrText xml:space="preserve"> PAGEREF _Toc419813885 \h </w:instrText>
        </w:r>
        <w:r w:rsidR="00B80A05">
          <w:rPr>
            <w:webHidden/>
          </w:rPr>
        </w:r>
        <w:r w:rsidR="00B80A05">
          <w:rPr>
            <w:webHidden/>
          </w:rPr>
          <w:fldChar w:fldCharType="separate"/>
        </w:r>
        <w:r w:rsidR="00316060">
          <w:rPr>
            <w:webHidden/>
          </w:rPr>
          <w:t>253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86" w:history="1">
        <w:r w:rsidR="00DF458B" w:rsidRPr="00503D2D">
          <w:rPr>
            <w:rStyle w:val="Hyperlink"/>
            <w:rFonts w:ascii="Arial Negrito" w:hAnsi="Arial Negrito"/>
            <w:bCs/>
          </w:rPr>
          <w:t>3.4.6.13.</w:t>
        </w:r>
        <w:r w:rsidR="00DF458B">
          <w:rPr>
            <w:rFonts w:asciiTheme="minorHAnsi" w:eastAsiaTheme="minorEastAsia" w:hAnsiTheme="minorHAnsi" w:cstheme="minorBidi"/>
          </w:rPr>
          <w:tab/>
        </w:r>
        <w:r w:rsidR="00DF458B" w:rsidRPr="00503D2D">
          <w:rPr>
            <w:rStyle w:val="Hyperlink"/>
            <w:rFonts w:ascii="Arial Negrito" w:hAnsi="Arial Negrito"/>
            <w:bCs/>
          </w:rPr>
          <w:t>Sistemas de Registro</w:t>
        </w:r>
        <w:r w:rsidR="00DF458B">
          <w:rPr>
            <w:webHidden/>
          </w:rPr>
          <w:tab/>
        </w:r>
        <w:r w:rsidR="00B80A05">
          <w:rPr>
            <w:webHidden/>
          </w:rPr>
          <w:fldChar w:fldCharType="begin"/>
        </w:r>
        <w:r w:rsidR="00DF458B">
          <w:rPr>
            <w:webHidden/>
          </w:rPr>
          <w:instrText xml:space="preserve"> PAGEREF _Toc419813886 \h </w:instrText>
        </w:r>
        <w:r w:rsidR="00B80A05">
          <w:rPr>
            <w:webHidden/>
          </w:rPr>
        </w:r>
        <w:r w:rsidR="00B80A05">
          <w:rPr>
            <w:webHidden/>
          </w:rPr>
          <w:fldChar w:fldCharType="separate"/>
        </w:r>
        <w:r w:rsidR="00316060">
          <w:rPr>
            <w:webHidden/>
          </w:rPr>
          <w:t>253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87" w:history="1">
        <w:r w:rsidR="00DF458B" w:rsidRPr="00503D2D">
          <w:rPr>
            <w:rStyle w:val="Hyperlink"/>
            <w:rFonts w:ascii="Arial Negrito" w:hAnsi="Arial Negrito"/>
            <w:bCs/>
          </w:rPr>
          <w:t>3.4.6.14.</w:t>
        </w:r>
        <w:r w:rsidR="00DF458B">
          <w:rPr>
            <w:rFonts w:asciiTheme="minorHAnsi" w:eastAsiaTheme="minorEastAsia" w:hAnsiTheme="minorHAnsi" w:cstheme="minorBidi"/>
          </w:rPr>
          <w:tab/>
        </w:r>
        <w:r w:rsidR="00DF458B" w:rsidRPr="00503D2D">
          <w:rPr>
            <w:rStyle w:val="Hyperlink"/>
            <w:rFonts w:ascii="Arial Negrito" w:hAnsi="Arial Negrito"/>
            <w:bCs/>
          </w:rPr>
          <w:t>Referências Bibliograficas</w:t>
        </w:r>
        <w:r w:rsidR="00DF458B">
          <w:rPr>
            <w:webHidden/>
          </w:rPr>
          <w:tab/>
        </w:r>
        <w:r w:rsidR="00B80A05">
          <w:rPr>
            <w:webHidden/>
          </w:rPr>
          <w:fldChar w:fldCharType="begin"/>
        </w:r>
        <w:r w:rsidR="00DF458B">
          <w:rPr>
            <w:webHidden/>
          </w:rPr>
          <w:instrText xml:space="preserve"> PAGEREF _Toc419813887 \h </w:instrText>
        </w:r>
        <w:r w:rsidR="00B80A05">
          <w:rPr>
            <w:webHidden/>
          </w:rPr>
        </w:r>
        <w:r w:rsidR="00B80A05">
          <w:rPr>
            <w:webHidden/>
          </w:rPr>
          <w:fldChar w:fldCharType="separate"/>
        </w:r>
        <w:r w:rsidR="00316060">
          <w:rPr>
            <w:webHidden/>
          </w:rPr>
          <w:t>254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88" w:history="1">
        <w:r w:rsidR="00DF458B" w:rsidRPr="00503D2D">
          <w:rPr>
            <w:rStyle w:val="Hyperlink"/>
            <w:rFonts w:ascii="Arial Negrito" w:hAnsi="Arial Negrito"/>
            <w:bCs/>
          </w:rPr>
          <w:t>3.4.7.</w:t>
        </w:r>
        <w:r w:rsidR="00DF458B">
          <w:rPr>
            <w:rStyle w:val="Hyperlink"/>
            <w:rFonts w:ascii="Arial Negrito" w:hAnsi="Arial Negrito"/>
            <w:bCs/>
          </w:rPr>
          <w:t xml:space="preserve"> </w:t>
        </w:r>
        <w:r w:rsidR="00DF458B" w:rsidRPr="00503D2D">
          <w:rPr>
            <w:rStyle w:val="Hyperlink"/>
            <w:rFonts w:ascii="Arial Negrito" w:hAnsi="Arial Negrito"/>
            <w:bCs/>
          </w:rPr>
          <w:t>Programa de Compensação Ambiental</w:t>
        </w:r>
        <w:r w:rsidR="00DF458B">
          <w:rPr>
            <w:webHidden/>
          </w:rPr>
          <w:tab/>
        </w:r>
        <w:r w:rsidR="00B80A05">
          <w:rPr>
            <w:webHidden/>
          </w:rPr>
          <w:fldChar w:fldCharType="begin"/>
        </w:r>
        <w:r w:rsidR="00DF458B">
          <w:rPr>
            <w:webHidden/>
          </w:rPr>
          <w:instrText xml:space="preserve"> PAGEREF _Toc419813888 \h </w:instrText>
        </w:r>
        <w:r w:rsidR="00B80A05">
          <w:rPr>
            <w:webHidden/>
          </w:rPr>
        </w:r>
        <w:r w:rsidR="00B80A05">
          <w:rPr>
            <w:webHidden/>
          </w:rPr>
          <w:fldChar w:fldCharType="separate"/>
        </w:r>
        <w:r w:rsidR="00316060">
          <w:rPr>
            <w:webHidden/>
          </w:rPr>
          <w:t>256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89" w:history="1">
        <w:r w:rsidR="00DF458B" w:rsidRPr="00503D2D">
          <w:rPr>
            <w:rStyle w:val="Hyperlink"/>
            <w:rFonts w:ascii="Arial Negrito" w:hAnsi="Arial Negrito"/>
            <w:bCs/>
          </w:rPr>
          <w:t>3.4.7.1.</w:t>
        </w:r>
        <w:r w:rsidR="00DF458B">
          <w:rPr>
            <w:rFonts w:asciiTheme="minorHAnsi" w:eastAsiaTheme="minorEastAsia" w:hAnsiTheme="minorHAnsi" w:cstheme="minorBidi"/>
          </w:rPr>
          <w:tab/>
        </w:r>
        <w:r w:rsidR="00DF458B" w:rsidRPr="00503D2D">
          <w:rPr>
            <w:rStyle w:val="Hyperlink"/>
            <w:rFonts w:ascii="Arial Negrito" w:hAnsi="Arial Negrito"/>
            <w:bCs/>
          </w:rPr>
          <w:t>Apresentação e Justificativa</w:t>
        </w:r>
        <w:r w:rsidR="00DF458B">
          <w:rPr>
            <w:webHidden/>
          </w:rPr>
          <w:tab/>
        </w:r>
        <w:r w:rsidR="00B80A05">
          <w:rPr>
            <w:webHidden/>
          </w:rPr>
          <w:fldChar w:fldCharType="begin"/>
        </w:r>
        <w:r w:rsidR="00DF458B">
          <w:rPr>
            <w:webHidden/>
          </w:rPr>
          <w:instrText xml:space="preserve"> PAGEREF _Toc419813889 \h </w:instrText>
        </w:r>
        <w:r w:rsidR="00B80A05">
          <w:rPr>
            <w:webHidden/>
          </w:rPr>
        </w:r>
        <w:r w:rsidR="00B80A05">
          <w:rPr>
            <w:webHidden/>
          </w:rPr>
          <w:fldChar w:fldCharType="separate"/>
        </w:r>
        <w:r w:rsidR="00316060">
          <w:rPr>
            <w:webHidden/>
          </w:rPr>
          <w:t>256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90" w:history="1">
        <w:r w:rsidR="00DF458B" w:rsidRPr="00503D2D">
          <w:rPr>
            <w:rStyle w:val="Hyperlink"/>
            <w:rFonts w:ascii="Arial Negrito" w:hAnsi="Arial Negrito"/>
            <w:bCs/>
          </w:rPr>
          <w:t>3.4.7.2.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_Toc419813890 \h </w:instrText>
        </w:r>
        <w:r w:rsidR="00B80A05">
          <w:rPr>
            <w:webHidden/>
          </w:rPr>
        </w:r>
        <w:r w:rsidR="00B80A05">
          <w:rPr>
            <w:webHidden/>
          </w:rPr>
          <w:fldChar w:fldCharType="separate"/>
        </w:r>
        <w:r w:rsidR="00316060">
          <w:rPr>
            <w:webHidden/>
          </w:rPr>
          <w:t>257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91" w:history="1">
        <w:r w:rsidR="00DF458B" w:rsidRPr="00503D2D">
          <w:rPr>
            <w:rStyle w:val="Hyperlink"/>
            <w:rFonts w:ascii="Arial Negrito" w:hAnsi="Arial Negrito"/>
            <w:bCs/>
          </w:rPr>
          <w:t>3.4.7.3.</w:t>
        </w:r>
        <w:r w:rsidR="00DF458B">
          <w:rPr>
            <w:rFonts w:asciiTheme="minorHAnsi" w:eastAsiaTheme="minorEastAsia" w:hAnsiTheme="minorHAnsi" w:cstheme="minorBidi"/>
          </w:rPr>
          <w:tab/>
        </w:r>
        <w:r w:rsidR="00DF458B" w:rsidRPr="00503D2D">
          <w:rPr>
            <w:rStyle w:val="Hyperlink"/>
            <w:rFonts w:ascii="Arial Negrito" w:hAnsi="Arial Negrito"/>
            <w:bCs/>
          </w:rPr>
          <w:t>Metas</w:t>
        </w:r>
        <w:r w:rsidR="00DF458B">
          <w:rPr>
            <w:webHidden/>
          </w:rPr>
          <w:tab/>
        </w:r>
        <w:r w:rsidR="00B80A05">
          <w:rPr>
            <w:webHidden/>
          </w:rPr>
          <w:fldChar w:fldCharType="begin"/>
        </w:r>
        <w:r w:rsidR="00DF458B">
          <w:rPr>
            <w:webHidden/>
          </w:rPr>
          <w:instrText xml:space="preserve"> PAGEREF _Toc419813891 \h </w:instrText>
        </w:r>
        <w:r w:rsidR="00B80A05">
          <w:rPr>
            <w:webHidden/>
          </w:rPr>
        </w:r>
        <w:r w:rsidR="00B80A05">
          <w:rPr>
            <w:webHidden/>
          </w:rPr>
          <w:fldChar w:fldCharType="separate"/>
        </w:r>
        <w:r w:rsidR="00316060">
          <w:rPr>
            <w:webHidden/>
          </w:rPr>
          <w:t>257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92" w:history="1">
        <w:r w:rsidR="00DF458B" w:rsidRPr="00503D2D">
          <w:rPr>
            <w:rStyle w:val="Hyperlink"/>
            <w:rFonts w:ascii="Arial Negrito" w:hAnsi="Arial Negrito"/>
            <w:bCs/>
          </w:rPr>
          <w:t>3.4.7.4.</w:t>
        </w:r>
        <w:r w:rsidR="00DF458B">
          <w:rPr>
            <w:rFonts w:asciiTheme="minorHAnsi" w:eastAsiaTheme="minorEastAsia" w:hAnsiTheme="minorHAnsi" w:cstheme="minorBidi"/>
          </w:rPr>
          <w:tab/>
        </w:r>
        <w:r w:rsidR="00DF458B" w:rsidRPr="00503D2D">
          <w:rPr>
            <w:rStyle w:val="Hyperlink"/>
            <w:rFonts w:ascii="Arial Negrito" w:hAnsi="Arial Negrito"/>
            <w:bCs/>
          </w:rPr>
          <w:t>Público Alvo</w:t>
        </w:r>
        <w:r w:rsidR="00DF458B">
          <w:rPr>
            <w:webHidden/>
          </w:rPr>
          <w:tab/>
        </w:r>
        <w:r w:rsidR="00B80A05">
          <w:rPr>
            <w:webHidden/>
          </w:rPr>
          <w:fldChar w:fldCharType="begin"/>
        </w:r>
        <w:r w:rsidR="00DF458B">
          <w:rPr>
            <w:webHidden/>
          </w:rPr>
          <w:instrText xml:space="preserve"> PAGEREF _Toc419813892 \h </w:instrText>
        </w:r>
        <w:r w:rsidR="00B80A05">
          <w:rPr>
            <w:webHidden/>
          </w:rPr>
        </w:r>
        <w:r w:rsidR="00B80A05">
          <w:rPr>
            <w:webHidden/>
          </w:rPr>
          <w:fldChar w:fldCharType="separate"/>
        </w:r>
        <w:r w:rsidR="00316060">
          <w:rPr>
            <w:webHidden/>
          </w:rPr>
          <w:t>257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93" w:history="1">
        <w:r w:rsidR="00DF458B" w:rsidRPr="00503D2D">
          <w:rPr>
            <w:rStyle w:val="Hyperlink"/>
            <w:rFonts w:ascii="Arial Negrito" w:hAnsi="Arial Negrito"/>
            <w:bCs/>
          </w:rPr>
          <w:t>3.4.7.5.</w:t>
        </w:r>
        <w:r w:rsidR="00DF458B">
          <w:rPr>
            <w:rFonts w:asciiTheme="minorHAnsi" w:eastAsiaTheme="minorEastAsia" w:hAnsiTheme="minorHAnsi" w:cstheme="minorBidi"/>
          </w:rPr>
          <w:tab/>
        </w:r>
        <w:r w:rsidR="00DF458B" w:rsidRPr="00503D2D">
          <w:rPr>
            <w:rStyle w:val="Hyperlink"/>
            <w:rFonts w:ascii="Arial Negrito" w:hAnsi="Arial Negrito"/>
            <w:bCs/>
          </w:rPr>
          <w:t>Procedimentos</w:t>
        </w:r>
        <w:r w:rsidR="00DF458B">
          <w:rPr>
            <w:webHidden/>
          </w:rPr>
          <w:tab/>
        </w:r>
        <w:r w:rsidR="00B80A05">
          <w:rPr>
            <w:webHidden/>
          </w:rPr>
          <w:fldChar w:fldCharType="begin"/>
        </w:r>
        <w:r w:rsidR="00DF458B">
          <w:rPr>
            <w:webHidden/>
          </w:rPr>
          <w:instrText xml:space="preserve"> PAGEREF _Toc419813893 \h </w:instrText>
        </w:r>
        <w:r w:rsidR="00B80A05">
          <w:rPr>
            <w:webHidden/>
          </w:rPr>
        </w:r>
        <w:r w:rsidR="00B80A05">
          <w:rPr>
            <w:webHidden/>
          </w:rPr>
          <w:fldChar w:fldCharType="separate"/>
        </w:r>
        <w:r w:rsidR="00316060">
          <w:rPr>
            <w:webHidden/>
          </w:rPr>
          <w:t>257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94" w:history="1">
        <w:r w:rsidR="00DF458B" w:rsidRPr="00503D2D">
          <w:rPr>
            <w:rStyle w:val="Hyperlink"/>
            <w:rFonts w:ascii="Arial Negrito" w:hAnsi="Arial Negrito"/>
            <w:bCs/>
          </w:rPr>
          <w:t>3.4.7.6.</w:t>
        </w:r>
        <w:r w:rsidR="00DF458B">
          <w:rPr>
            <w:rFonts w:asciiTheme="minorHAnsi" w:eastAsiaTheme="minorEastAsia" w:hAnsiTheme="minorHAnsi" w:cstheme="minorBidi"/>
          </w:rPr>
          <w:tab/>
        </w:r>
        <w:r w:rsidR="00DF458B" w:rsidRPr="00503D2D">
          <w:rPr>
            <w:rStyle w:val="Hyperlink"/>
            <w:rFonts w:ascii="Arial Negrito" w:hAnsi="Arial Negrito"/>
            <w:bCs/>
          </w:rPr>
          <w:t>Critérios Adotados na Elaboração das Propostas de Alocação de Recursos de Compensação Ambiental</w:t>
        </w:r>
        <w:r w:rsidR="00DF458B">
          <w:rPr>
            <w:webHidden/>
          </w:rPr>
          <w:tab/>
        </w:r>
        <w:r w:rsidR="00B80A05">
          <w:rPr>
            <w:webHidden/>
          </w:rPr>
          <w:fldChar w:fldCharType="begin"/>
        </w:r>
        <w:r w:rsidR="00DF458B">
          <w:rPr>
            <w:webHidden/>
          </w:rPr>
          <w:instrText xml:space="preserve"> PAGEREF _Toc419813894 \h </w:instrText>
        </w:r>
        <w:r w:rsidR="00B80A05">
          <w:rPr>
            <w:webHidden/>
          </w:rPr>
        </w:r>
        <w:r w:rsidR="00B80A05">
          <w:rPr>
            <w:webHidden/>
          </w:rPr>
          <w:fldChar w:fldCharType="separate"/>
        </w:r>
        <w:r w:rsidR="00316060">
          <w:rPr>
            <w:webHidden/>
          </w:rPr>
          <w:t>259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95" w:history="1">
        <w:r w:rsidR="00DF458B" w:rsidRPr="00503D2D">
          <w:rPr>
            <w:rStyle w:val="Hyperlink"/>
            <w:rFonts w:ascii="Arial Negrito" w:hAnsi="Arial Negrito"/>
            <w:bCs/>
          </w:rPr>
          <w:t>3.4.7.7.</w:t>
        </w:r>
        <w:r w:rsidR="00DF458B">
          <w:rPr>
            <w:rFonts w:asciiTheme="minorHAnsi" w:eastAsiaTheme="minorEastAsia" w:hAnsiTheme="minorHAnsi" w:cstheme="minorBidi"/>
          </w:rPr>
          <w:tab/>
        </w:r>
        <w:r w:rsidR="00DF458B" w:rsidRPr="00503D2D">
          <w:rPr>
            <w:rStyle w:val="Hyperlink"/>
            <w:rFonts w:ascii="Arial Negrito" w:hAnsi="Arial Negrito"/>
            <w:bCs/>
          </w:rPr>
          <w:t>Indicadores Ambientais</w:t>
        </w:r>
        <w:r w:rsidR="00DF458B">
          <w:rPr>
            <w:webHidden/>
          </w:rPr>
          <w:tab/>
        </w:r>
        <w:r w:rsidR="00B80A05">
          <w:rPr>
            <w:webHidden/>
          </w:rPr>
          <w:fldChar w:fldCharType="begin"/>
        </w:r>
        <w:r w:rsidR="00DF458B">
          <w:rPr>
            <w:webHidden/>
          </w:rPr>
          <w:instrText xml:space="preserve"> PAGEREF _Toc419813895 \h </w:instrText>
        </w:r>
        <w:r w:rsidR="00B80A05">
          <w:rPr>
            <w:webHidden/>
          </w:rPr>
        </w:r>
        <w:r w:rsidR="00B80A05">
          <w:rPr>
            <w:webHidden/>
          </w:rPr>
          <w:fldChar w:fldCharType="separate"/>
        </w:r>
        <w:r w:rsidR="00316060">
          <w:rPr>
            <w:webHidden/>
          </w:rPr>
          <w:t>260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96" w:history="1">
        <w:r w:rsidR="00DF458B" w:rsidRPr="00503D2D">
          <w:rPr>
            <w:rStyle w:val="Hyperlink"/>
            <w:rFonts w:ascii="Arial Negrito" w:hAnsi="Arial Negrito"/>
            <w:bCs/>
          </w:rPr>
          <w:t>3.4.7.8.</w:t>
        </w:r>
        <w:r w:rsidR="00DF458B">
          <w:rPr>
            <w:rFonts w:asciiTheme="minorHAnsi" w:eastAsiaTheme="minorEastAsia" w:hAnsiTheme="minorHAnsi" w:cstheme="minorBidi"/>
          </w:rPr>
          <w:tab/>
        </w:r>
        <w:r w:rsidR="00DF458B" w:rsidRPr="00503D2D">
          <w:rPr>
            <w:rStyle w:val="Hyperlink"/>
            <w:rFonts w:ascii="Arial Negrito" w:hAnsi="Arial Negrito"/>
            <w:bCs/>
          </w:rPr>
          <w:t>Recursos Materiais e Humanos</w:t>
        </w:r>
        <w:r w:rsidR="00DF458B">
          <w:rPr>
            <w:webHidden/>
          </w:rPr>
          <w:tab/>
        </w:r>
        <w:r w:rsidR="00B80A05">
          <w:rPr>
            <w:webHidden/>
          </w:rPr>
          <w:fldChar w:fldCharType="begin"/>
        </w:r>
        <w:r w:rsidR="00DF458B">
          <w:rPr>
            <w:webHidden/>
          </w:rPr>
          <w:instrText xml:space="preserve"> PAGEREF _Toc419813896 \h </w:instrText>
        </w:r>
        <w:r w:rsidR="00B80A05">
          <w:rPr>
            <w:webHidden/>
          </w:rPr>
        </w:r>
        <w:r w:rsidR="00B80A05">
          <w:rPr>
            <w:webHidden/>
          </w:rPr>
          <w:fldChar w:fldCharType="separate"/>
        </w:r>
        <w:r w:rsidR="00316060">
          <w:rPr>
            <w:webHidden/>
          </w:rPr>
          <w:t>260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97" w:history="1">
        <w:r w:rsidR="00DF458B" w:rsidRPr="00503D2D">
          <w:rPr>
            <w:rStyle w:val="Hyperlink"/>
            <w:rFonts w:ascii="Arial Negrito" w:hAnsi="Arial Negrito"/>
            <w:bCs/>
          </w:rPr>
          <w:t>3.4.7.9.</w:t>
        </w:r>
        <w:r w:rsidR="00DF458B">
          <w:rPr>
            <w:rFonts w:asciiTheme="minorHAnsi" w:eastAsiaTheme="minorEastAsia" w:hAnsiTheme="minorHAnsi" w:cstheme="minorBidi"/>
          </w:rPr>
          <w:tab/>
        </w:r>
        <w:r w:rsidR="00DF458B" w:rsidRPr="00503D2D">
          <w:rPr>
            <w:rStyle w:val="Hyperlink"/>
            <w:rFonts w:ascii="Arial Negrito" w:hAnsi="Arial Negrito"/>
            <w:bCs/>
          </w:rPr>
          <w:t>Atendimento a Requisitos Legais e/ou Outros Requisitos</w:t>
        </w:r>
        <w:r w:rsidR="00DF458B">
          <w:rPr>
            <w:webHidden/>
          </w:rPr>
          <w:tab/>
        </w:r>
        <w:r w:rsidR="00B80A05">
          <w:rPr>
            <w:webHidden/>
          </w:rPr>
          <w:fldChar w:fldCharType="begin"/>
        </w:r>
        <w:r w:rsidR="00DF458B">
          <w:rPr>
            <w:webHidden/>
          </w:rPr>
          <w:instrText xml:space="preserve"> PAGEREF _Toc419813897 \h </w:instrText>
        </w:r>
        <w:r w:rsidR="00B80A05">
          <w:rPr>
            <w:webHidden/>
          </w:rPr>
        </w:r>
        <w:r w:rsidR="00B80A05">
          <w:rPr>
            <w:webHidden/>
          </w:rPr>
          <w:fldChar w:fldCharType="separate"/>
        </w:r>
        <w:r w:rsidR="00316060">
          <w:rPr>
            <w:webHidden/>
          </w:rPr>
          <w:t>260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98" w:history="1">
        <w:r w:rsidR="00DF458B" w:rsidRPr="00503D2D">
          <w:rPr>
            <w:rStyle w:val="Hyperlink"/>
            <w:rFonts w:ascii="Arial Negrito" w:hAnsi="Arial Negrito"/>
            <w:bCs/>
          </w:rPr>
          <w:t>3.4.7.10.</w:t>
        </w:r>
        <w:r w:rsidR="00DF458B">
          <w:rPr>
            <w:rFonts w:asciiTheme="minorHAnsi" w:eastAsiaTheme="minorEastAsia" w:hAnsiTheme="minorHAnsi" w:cstheme="minorBidi"/>
          </w:rPr>
          <w:tab/>
        </w:r>
        <w:r w:rsidR="00DF458B" w:rsidRPr="00503D2D">
          <w:rPr>
            <w:rStyle w:val="Hyperlink"/>
            <w:rFonts w:ascii="Arial Negrito" w:hAnsi="Arial Negrito"/>
            <w:bCs/>
          </w:rPr>
          <w:t>Inter-relação com outros Planos e Programas</w:t>
        </w:r>
        <w:r w:rsidR="00DF458B">
          <w:rPr>
            <w:webHidden/>
          </w:rPr>
          <w:tab/>
        </w:r>
        <w:r w:rsidR="00B80A05">
          <w:rPr>
            <w:webHidden/>
          </w:rPr>
          <w:fldChar w:fldCharType="begin"/>
        </w:r>
        <w:r w:rsidR="00DF458B">
          <w:rPr>
            <w:webHidden/>
          </w:rPr>
          <w:instrText xml:space="preserve"> PAGEREF _Toc419813898 \h </w:instrText>
        </w:r>
        <w:r w:rsidR="00B80A05">
          <w:rPr>
            <w:webHidden/>
          </w:rPr>
        </w:r>
        <w:r w:rsidR="00B80A05">
          <w:rPr>
            <w:webHidden/>
          </w:rPr>
          <w:fldChar w:fldCharType="separate"/>
        </w:r>
        <w:r w:rsidR="00316060">
          <w:rPr>
            <w:webHidden/>
          </w:rPr>
          <w:t>260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899" w:history="1">
        <w:r w:rsidR="00DF458B" w:rsidRPr="00503D2D">
          <w:rPr>
            <w:rStyle w:val="Hyperlink"/>
            <w:rFonts w:ascii="Arial Negrito" w:hAnsi="Arial Negrito"/>
            <w:bCs/>
          </w:rPr>
          <w:t>3.4.7.11.</w:t>
        </w:r>
        <w:r w:rsidR="00DF458B">
          <w:rPr>
            <w:rFonts w:asciiTheme="minorHAnsi" w:eastAsiaTheme="minorEastAsia" w:hAnsiTheme="minorHAnsi" w:cstheme="minorBidi"/>
          </w:rPr>
          <w:tab/>
        </w:r>
        <w:r w:rsidR="00DF458B" w:rsidRPr="00503D2D">
          <w:rPr>
            <w:rStyle w:val="Hyperlink"/>
            <w:rFonts w:ascii="Arial Negrito" w:hAnsi="Arial Negrito"/>
            <w:bCs/>
          </w:rPr>
          <w:t>Etapa do Empreendimento</w:t>
        </w:r>
        <w:r w:rsidR="00DF458B">
          <w:rPr>
            <w:webHidden/>
          </w:rPr>
          <w:tab/>
        </w:r>
        <w:r w:rsidR="00B80A05">
          <w:rPr>
            <w:webHidden/>
          </w:rPr>
          <w:fldChar w:fldCharType="begin"/>
        </w:r>
        <w:r w:rsidR="00DF458B">
          <w:rPr>
            <w:webHidden/>
          </w:rPr>
          <w:instrText xml:space="preserve"> PAGEREF _Toc419813899 \h </w:instrText>
        </w:r>
        <w:r w:rsidR="00B80A05">
          <w:rPr>
            <w:webHidden/>
          </w:rPr>
        </w:r>
        <w:r w:rsidR="00B80A05">
          <w:rPr>
            <w:webHidden/>
          </w:rPr>
          <w:fldChar w:fldCharType="separate"/>
        </w:r>
        <w:r w:rsidR="00316060">
          <w:rPr>
            <w:webHidden/>
          </w:rPr>
          <w:t>260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00" w:history="1">
        <w:r w:rsidR="00DF458B" w:rsidRPr="00503D2D">
          <w:rPr>
            <w:rStyle w:val="Hyperlink"/>
            <w:rFonts w:ascii="Arial Negrito" w:hAnsi="Arial Negrito"/>
            <w:bCs/>
          </w:rPr>
          <w:t>3.4.7.12.</w:t>
        </w:r>
        <w:r w:rsidR="00DF458B">
          <w:rPr>
            <w:rFonts w:asciiTheme="minorHAnsi" w:eastAsiaTheme="minorEastAsia" w:hAnsiTheme="minorHAnsi" w:cstheme="minorBidi"/>
          </w:rPr>
          <w:tab/>
        </w:r>
        <w:r w:rsidR="00DF458B" w:rsidRPr="00503D2D">
          <w:rPr>
            <w:rStyle w:val="Hyperlink"/>
            <w:rFonts w:ascii="Arial Negrito" w:hAnsi="Arial Negrito"/>
            <w:bCs/>
          </w:rPr>
          <w:t>Cronograma de Execução</w:t>
        </w:r>
        <w:r w:rsidR="00DF458B">
          <w:rPr>
            <w:webHidden/>
          </w:rPr>
          <w:tab/>
        </w:r>
        <w:r w:rsidR="00B80A05">
          <w:rPr>
            <w:webHidden/>
          </w:rPr>
          <w:fldChar w:fldCharType="begin"/>
        </w:r>
        <w:r w:rsidR="00DF458B">
          <w:rPr>
            <w:webHidden/>
          </w:rPr>
          <w:instrText xml:space="preserve"> PAGEREF _Toc419813900 \h </w:instrText>
        </w:r>
        <w:r w:rsidR="00B80A05">
          <w:rPr>
            <w:webHidden/>
          </w:rPr>
        </w:r>
        <w:r w:rsidR="00B80A05">
          <w:rPr>
            <w:webHidden/>
          </w:rPr>
          <w:fldChar w:fldCharType="separate"/>
        </w:r>
        <w:r w:rsidR="00316060">
          <w:rPr>
            <w:webHidden/>
          </w:rPr>
          <w:t>260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01" w:history="1">
        <w:r w:rsidR="00DF458B" w:rsidRPr="00503D2D">
          <w:rPr>
            <w:rStyle w:val="Hyperlink"/>
            <w:rFonts w:ascii="Arial Negrito" w:hAnsi="Arial Negrito"/>
            <w:bCs/>
          </w:rPr>
          <w:t>3.4.7.13.</w:t>
        </w:r>
        <w:r w:rsidR="00DF458B">
          <w:rPr>
            <w:rFonts w:asciiTheme="minorHAnsi" w:eastAsiaTheme="minorEastAsia" w:hAnsiTheme="minorHAnsi" w:cstheme="minorBidi"/>
          </w:rPr>
          <w:tab/>
        </w:r>
        <w:r w:rsidR="00DF458B" w:rsidRPr="00503D2D">
          <w:rPr>
            <w:rStyle w:val="Hyperlink"/>
            <w:rFonts w:ascii="Arial Negrito" w:hAnsi="Arial Negrito"/>
            <w:bCs/>
          </w:rPr>
          <w:t>Responsável pela Implementação</w:t>
        </w:r>
        <w:r w:rsidR="00DF458B">
          <w:rPr>
            <w:webHidden/>
          </w:rPr>
          <w:tab/>
        </w:r>
        <w:r w:rsidR="00B80A05">
          <w:rPr>
            <w:webHidden/>
          </w:rPr>
          <w:fldChar w:fldCharType="begin"/>
        </w:r>
        <w:r w:rsidR="00DF458B">
          <w:rPr>
            <w:webHidden/>
          </w:rPr>
          <w:instrText xml:space="preserve"> PAGEREF _Toc419813901 \h </w:instrText>
        </w:r>
        <w:r w:rsidR="00B80A05">
          <w:rPr>
            <w:webHidden/>
          </w:rPr>
        </w:r>
        <w:r w:rsidR="00B80A05">
          <w:rPr>
            <w:webHidden/>
          </w:rPr>
          <w:fldChar w:fldCharType="separate"/>
        </w:r>
        <w:r w:rsidR="00316060">
          <w:rPr>
            <w:webHidden/>
          </w:rPr>
          <w:t>260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02" w:history="1">
        <w:r w:rsidR="00DF458B" w:rsidRPr="00503D2D">
          <w:rPr>
            <w:rStyle w:val="Hyperlink"/>
            <w:rFonts w:ascii="Arial Negrito" w:hAnsi="Arial Negrito"/>
            <w:bCs/>
          </w:rPr>
          <w:t>3.4.7.14.</w:t>
        </w:r>
        <w:r w:rsidR="00DF458B">
          <w:rPr>
            <w:rFonts w:asciiTheme="minorHAnsi" w:eastAsiaTheme="minorEastAsia" w:hAnsiTheme="minorHAnsi" w:cstheme="minorBidi"/>
          </w:rPr>
          <w:tab/>
        </w:r>
        <w:r w:rsidR="00DF458B" w:rsidRPr="00503D2D">
          <w:rPr>
            <w:rStyle w:val="Hyperlink"/>
            <w:rFonts w:ascii="Arial Negrito" w:hAnsi="Arial Negrito"/>
            <w:bCs/>
          </w:rPr>
          <w:t>Sistema de Registros</w:t>
        </w:r>
        <w:r w:rsidR="00DF458B">
          <w:rPr>
            <w:webHidden/>
          </w:rPr>
          <w:tab/>
        </w:r>
        <w:r w:rsidR="00B80A05">
          <w:rPr>
            <w:webHidden/>
          </w:rPr>
          <w:fldChar w:fldCharType="begin"/>
        </w:r>
        <w:r w:rsidR="00DF458B">
          <w:rPr>
            <w:webHidden/>
          </w:rPr>
          <w:instrText xml:space="preserve"> PAGEREF _Toc419813902 \h </w:instrText>
        </w:r>
        <w:r w:rsidR="00B80A05">
          <w:rPr>
            <w:webHidden/>
          </w:rPr>
        </w:r>
        <w:r w:rsidR="00B80A05">
          <w:rPr>
            <w:webHidden/>
          </w:rPr>
          <w:fldChar w:fldCharType="separate"/>
        </w:r>
        <w:r w:rsidR="00316060">
          <w:rPr>
            <w:webHidden/>
          </w:rPr>
          <w:t>260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03" w:history="1">
        <w:r w:rsidR="00DF458B" w:rsidRPr="00503D2D">
          <w:rPr>
            <w:rStyle w:val="Hyperlink"/>
            <w:rFonts w:ascii="Arial Negrito" w:hAnsi="Arial Negrito"/>
            <w:bCs/>
          </w:rPr>
          <w:t>3.5.</w:t>
        </w:r>
        <w:r w:rsidR="00DF458B">
          <w:rPr>
            <w:rFonts w:asciiTheme="minorHAnsi" w:eastAsiaTheme="minorEastAsia" w:hAnsiTheme="minorHAnsi" w:cstheme="minorBidi"/>
          </w:rPr>
          <w:tab/>
        </w:r>
        <w:r w:rsidR="00DF458B" w:rsidRPr="00503D2D">
          <w:rPr>
            <w:rStyle w:val="Hyperlink"/>
            <w:rFonts w:ascii="Arial Negrito" w:hAnsi="Arial Negrito"/>
            <w:bCs/>
          </w:rPr>
          <w:t>Programas do Meio Socioeconômico</w:t>
        </w:r>
        <w:r w:rsidR="00DF458B">
          <w:rPr>
            <w:webHidden/>
          </w:rPr>
          <w:tab/>
        </w:r>
        <w:r w:rsidR="00B80A05">
          <w:rPr>
            <w:webHidden/>
          </w:rPr>
          <w:fldChar w:fldCharType="begin"/>
        </w:r>
        <w:r w:rsidR="00DF458B">
          <w:rPr>
            <w:webHidden/>
          </w:rPr>
          <w:instrText xml:space="preserve"> PAGEREF _Toc419813903 \h </w:instrText>
        </w:r>
        <w:r w:rsidR="00B80A05">
          <w:rPr>
            <w:webHidden/>
          </w:rPr>
        </w:r>
        <w:r w:rsidR="00B80A05">
          <w:rPr>
            <w:webHidden/>
          </w:rPr>
          <w:fldChar w:fldCharType="separate"/>
        </w:r>
        <w:r w:rsidR="00316060">
          <w:rPr>
            <w:webHidden/>
          </w:rPr>
          <w:t>261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04" w:history="1">
        <w:r w:rsidR="007211B7">
          <w:rPr>
            <w:rStyle w:val="Hyperlink"/>
            <w:rFonts w:ascii="Arial Negrito" w:hAnsi="Arial Negrito"/>
            <w:bCs/>
          </w:rPr>
          <w:t>3.5.1</w:t>
        </w:r>
        <w:r w:rsidR="00DF458B" w:rsidRPr="00503D2D">
          <w:rPr>
            <w:rStyle w:val="Hyperlink"/>
            <w:rFonts w:ascii="Arial Negrito" w:hAnsi="Arial Negrito"/>
            <w:bCs/>
          </w:rPr>
          <w:t>.</w:t>
        </w:r>
        <w:r w:rsidR="00DF458B">
          <w:rPr>
            <w:rFonts w:asciiTheme="minorHAnsi" w:eastAsiaTheme="minorEastAsia" w:hAnsiTheme="minorHAnsi" w:cstheme="minorBidi"/>
          </w:rPr>
          <w:tab/>
        </w:r>
        <w:r w:rsidR="00DF458B" w:rsidRPr="00503D2D">
          <w:rPr>
            <w:rStyle w:val="Hyperlink"/>
            <w:rFonts w:ascii="Arial Negrito" w:hAnsi="Arial Negrito"/>
            <w:bCs/>
          </w:rPr>
          <w:t>Programa de Comunicação e Interação Social</w:t>
        </w:r>
        <w:r w:rsidR="00DF458B">
          <w:rPr>
            <w:webHidden/>
          </w:rPr>
          <w:tab/>
        </w:r>
        <w:r w:rsidR="00B80A05">
          <w:rPr>
            <w:webHidden/>
          </w:rPr>
          <w:fldChar w:fldCharType="begin"/>
        </w:r>
        <w:r w:rsidR="00DF458B">
          <w:rPr>
            <w:webHidden/>
          </w:rPr>
          <w:instrText xml:space="preserve"> PAGEREF _Toc419813904 \h </w:instrText>
        </w:r>
        <w:r w:rsidR="00B80A05">
          <w:rPr>
            <w:webHidden/>
          </w:rPr>
        </w:r>
        <w:r w:rsidR="00B80A05">
          <w:rPr>
            <w:webHidden/>
          </w:rPr>
          <w:fldChar w:fldCharType="separate"/>
        </w:r>
        <w:r w:rsidR="00316060">
          <w:rPr>
            <w:webHidden/>
          </w:rPr>
          <w:t>261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05" w:history="1">
        <w:r w:rsidR="007211B7">
          <w:rPr>
            <w:rStyle w:val="Hyperlink"/>
            <w:rFonts w:ascii="Arial Negrito" w:hAnsi="Arial Negrito"/>
            <w:bCs/>
          </w:rPr>
          <w:t>3.5.1</w:t>
        </w:r>
        <w:r w:rsidR="00DF458B" w:rsidRPr="00503D2D">
          <w:rPr>
            <w:rStyle w:val="Hyperlink"/>
            <w:rFonts w:ascii="Arial Negrito" w:hAnsi="Arial Negrito"/>
            <w:bCs/>
          </w:rPr>
          <w:t>.1.</w:t>
        </w:r>
        <w:r w:rsidR="00DF458B">
          <w:rPr>
            <w:rFonts w:asciiTheme="minorHAnsi" w:eastAsiaTheme="minorEastAsia" w:hAnsiTheme="minorHAnsi" w:cstheme="minorBidi"/>
          </w:rPr>
          <w:tab/>
        </w:r>
        <w:r w:rsidR="00DF458B" w:rsidRPr="00503D2D">
          <w:rPr>
            <w:rStyle w:val="Hyperlink"/>
            <w:rFonts w:ascii="Arial Negrito" w:hAnsi="Arial Negrito"/>
            <w:bCs/>
          </w:rPr>
          <w:t>Apresentação e Justificativas</w:t>
        </w:r>
        <w:r w:rsidR="00DF458B">
          <w:rPr>
            <w:webHidden/>
          </w:rPr>
          <w:tab/>
        </w:r>
        <w:r w:rsidR="00B80A05">
          <w:rPr>
            <w:webHidden/>
          </w:rPr>
          <w:fldChar w:fldCharType="begin"/>
        </w:r>
        <w:r w:rsidR="00DF458B">
          <w:rPr>
            <w:webHidden/>
          </w:rPr>
          <w:instrText xml:space="preserve"> PAGEREF _Toc419813905 \h </w:instrText>
        </w:r>
        <w:r w:rsidR="00B80A05">
          <w:rPr>
            <w:webHidden/>
          </w:rPr>
        </w:r>
        <w:r w:rsidR="00B80A05">
          <w:rPr>
            <w:webHidden/>
          </w:rPr>
          <w:fldChar w:fldCharType="separate"/>
        </w:r>
        <w:r w:rsidR="00316060">
          <w:rPr>
            <w:webHidden/>
          </w:rPr>
          <w:t>261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06" w:history="1">
        <w:r w:rsidR="007211B7">
          <w:rPr>
            <w:rStyle w:val="Hyperlink"/>
            <w:rFonts w:ascii="Arial Negrito" w:hAnsi="Arial Negrito"/>
            <w:bCs/>
          </w:rPr>
          <w:t>3.5.1</w:t>
        </w:r>
        <w:r w:rsidR="00DF458B" w:rsidRPr="00503D2D">
          <w:rPr>
            <w:rStyle w:val="Hyperlink"/>
            <w:rFonts w:ascii="Arial Negrito" w:hAnsi="Arial Negrito"/>
            <w:bCs/>
          </w:rPr>
          <w:t>.2.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_Toc419813906 \h </w:instrText>
        </w:r>
        <w:r w:rsidR="00B80A05">
          <w:rPr>
            <w:webHidden/>
          </w:rPr>
        </w:r>
        <w:r w:rsidR="00B80A05">
          <w:rPr>
            <w:webHidden/>
          </w:rPr>
          <w:fldChar w:fldCharType="separate"/>
        </w:r>
        <w:r w:rsidR="00316060">
          <w:rPr>
            <w:webHidden/>
          </w:rPr>
          <w:t>261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07" w:history="1">
        <w:r w:rsidR="007211B7">
          <w:rPr>
            <w:rStyle w:val="Hyperlink"/>
            <w:rFonts w:ascii="Arial Negrito" w:hAnsi="Arial Negrito"/>
            <w:bCs/>
          </w:rPr>
          <w:t>3.5.1</w:t>
        </w:r>
        <w:r w:rsidR="00DF458B" w:rsidRPr="00503D2D">
          <w:rPr>
            <w:rStyle w:val="Hyperlink"/>
            <w:rFonts w:ascii="Arial Negrito" w:hAnsi="Arial Negrito"/>
            <w:bCs/>
          </w:rPr>
          <w:t>.3.</w:t>
        </w:r>
        <w:r w:rsidR="00DF458B">
          <w:rPr>
            <w:rFonts w:asciiTheme="minorHAnsi" w:eastAsiaTheme="minorEastAsia" w:hAnsiTheme="minorHAnsi" w:cstheme="minorBidi"/>
          </w:rPr>
          <w:tab/>
        </w:r>
        <w:r w:rsidR="00DF458B" w:rsidRPr="00503D2D">
          <w:rPr>
            <w:rStyle w:val="Hyperlink"/>
            <w:rFonts w:ascii="Arial Negrito" w:hAnsi="Arial Negrito"/>
            <w:bCs/>
          </w:rPr>
          <w:t>Metas</w:t>
        </w:r>
        <w:r w:rsidR="00DF458B">
          <w:rPr>
            <w:webHidden/>
          </w:rPr>
          <w:tab/>
        </w:r>
        <w:r w:rsidR="00B80A05">
          <w:rPr>
            <w:webHidden/>
          </w:rPr>
          <w:fldChar w:fldCharType="begin"/>
        </w:r>
        <w:r w:rsidR="00DF458B">
          <w:rPr>
            <w:webHidden/>
          </w:rPr>
          <w:instrText xml:space="preserve"> PAGEREF _Toc419813907 \h </w:instrText>
        </w:r>
        <w:r w:rsidR="00B80A05">
          <w:rPr>
            <w:webHidden/>
          </w:rPr>
        </w:r>
        <w:r w:rsidR="00B80A05">
          <w:rPr>
            <w:webHidden/>
          </w:rPr>
          <w:fldChar w:fldCharType="separate"/>
        </w:r>
        <w:r w:rsidR="00316060">
          <w:rPr>
            <w:webHidden/>
          </w:rPr>
          <w:t>262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08" w:history="1">
        <w:r w:rsidR="007211B7">
          <w:rPr>
            <w:rStyle w:val="Hyperlink"/>
            <w:rFonts w:ascii="Arial Negrito" w:hAnsi="Arial Negrito"/>
            <w:bCs/>
          </w:rPr>
          <w:t>3.5.1</w:t>
        </w:r>
        <w:r w:rsidR="00DF458B" w:rsidRPr="00503D2D">
          <w:rPr>
            <w:rStyle w:val="Hyperlink"/>
            <w:rFonts w:ascii="Arial Negrito" w:hAnsi="Arial Negrito"/>
            <w:bCs/>
          </w:rPr>
          <w:t>.4.</w:t>
        </w:r>
        <w:r w:rsidR="00DF458B">
          <w:rPr>
            <w:rFonts w:asciiTheme="minorHAnsi" w:eastAsiaTheme="minorEastAsia" w:hAnsiTheme="minorHAnsi" w:cstheme="minorBidi"/>
          </w:rPr>
          <w:tab/>
        </w:r>
        <w:r w:rsidR="00DF458B" w:rsidRPr="00503D2D">
          <w:rPr>
            <w:rStyle w:val="Hyperlink"/>
            <w:rFonts w:ascii="Arial Negrito" w:hAnsi="Arial Negrito"/>
            <w:bCs/>
          </w:rPr>
          <w:t>Público Alvo</w:t>
        </w:r>
        <w:r w:rsidR="00DF458B">
          <w:rPr>
            <w:webHidden/>
          </w:rPr>
          <w:tab/>
        </w:r>
        <w:r w:rsidR="00B80A05">
          <w:rPr>
            <w:webHidden/>
          </w:rPr>
          <w:fldChar w:fldCharType="begin"/>
        </w:r>
        <w:r w:rsidR="00DF458B">
          <w:rPr>
            <w:webHidden/>
          </w:rPr>
          <w:instrText xml:space="preserve"> PAGEREF _Toc419813908 \h </w:instrText>
        </w:r>
        <w:r w:rsidR="00B80A05">
          <w:rPr>
            <w:webHidden/>
          </w:rPr>
        </w:r>
        <w:r w:rsidR="00B80A05">
          <w:rPr>
            <w:webHidden/>
          </w:rPr>
          <w:fldChar w:fldCharType="separate"/>
        </w:r>
        <w:r w:rsidR="00316060">
          <w:rPr>
            <w:webHidden/>
          </w:rPr>
          <w:t>262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09" w:history="1">
        <w:r w:rsidR="007211B7">
          <w:rPr>
            <w:rStyle w:val="Hyperlink"/>
            <w:rFonts w:ascii="Arial Negrito" w:hAnsi="Arial Negrito"/>
            <w:bCs/>
          </w:rPr>
          <w:t>3.5.1</w:t>
        </w:r>
        <w:r w:rsidR="00DF458B" w:rsidRPr="00503D2D">
          <w:rPr>
            <w:rStyle w:val="Hyperlink"/>
            <w:rFonts w:ascii="Arial Negrito" w:hAnsi="Arial Negrito"/>
            <w:bCs/>
          </w:rPr>
          <w:t>.5.</w:t>
        </w:r>
        <w:r w:rsidR="00DF458B">
          <w:rPr>
            <w:rFonts w:asciiTheme="minorHAnsi" w:eastAsiaTheme="minorEastAsia" w:hAnsiTheme="minorHAnsi" w:cstheme="minorBidi"/>
          </w:rPr>
          <w:tab/>
        </w:r>
        <w:r w:rsidR="00DF458B" w:rsidRPr="00503D2D">
          <w:rPr>
            <w:rStyle w:val="Hyperlink"/>
            <w:rFonts w:ascii="Arial Negrito" w:hAnsi="Arial Negrito"/>
            <w:bCs/>
          </w:rPr>
          <w:t>Métodos e Descrição do Programa</w:t>
        </w:r>
        <w:r w:rsidR="00DF458B">
          <w:rPr>
            <w:webHidden/>
          </w:rPr>
          <w:tab/>
        </w:r>
        <w:r w:rsidR="00B80A05">
          <w:rPr>
            <w:webHidden/>
          </w:rPr>
          <w:fldChar w:fldCharType="begin"/>
        </w:r>
        <w:r w:rsidR="00DF458B">
          <w:rPr>
            <w:webHidden/>
          </w:rPr>
          <w:instrText xml:space="preserve"> PAGEREF _Toc419813909 \h </w:instrText>
        </w:r>
        <w:r w:rsidR="00B80A05">
          <w:rPr>
            <w:webHidden/>
          </w:rPr>
        </w:r>
        <w:r w:rsidR="00B80A05">
          <w:rPr>
            <w:webHidden/>
          </w:rPr>
          <w:fldChar w:fldCharType="separate"/>
        </w:r>
        <w:r w:rsidR="00316060">
          <w:rPr>
            <w:webHidden/>
          </w:rPr>
          <w:t>264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10" w:history="1">
        <w:r w:rsidR="007211B7">
          <w:rPr>
            <w:rStyle w:val="Hyperlink"/>
            <w:rFonts w:ascii="Arial Negrito" w:hAnsi="Arial Negrito"/>
            <w:bCs/>
          </w:rPr>
          <w:t>3.5.1</w:t>
        </w:r>
        <w:r w:rsidR="00DF458B" w:rsidRPr="00503D2D">
          <w:rPr>
            <w:rStyle w:val="Hyperlink"/>
            <w:rFonts w:ascii="Arial Negrito" w:hAnsi="Arial Negrito"/>
            <w:bCs/>
          </w:rPr>
          <w:t>.6.</w:t>
        </w:r>
        <w:r w:rsidR="00DF458B">
          <w:rPr>
            <w:rFonts w:asciiTheme="minorHAnsi" w:eastAsiaTheme="minorEastAsia" w:hAnsiTheme="minorHAnsi" w:cstheme="minorBidi"/>
          </w:rPr>
          <w:tab/>
        </w:r>
        <w:r w:rsidR="00DF458B" w:rsidRPr="00503D2D">
          <w:rPr>
            <w:rStyle w:val="Hyperlink"/>
            <w:rFonts w:ascii="Arial Negrito" w:hAnsi="Arial Negrito"/>
            <w:bCs/>
          </w:rPr>
          <w:t>Indicadores Ambientais</w:t>
        </w:r>
        <w:r w:rsidR="00DF458B">
          <w:rPr>
            <w:webHidden/>
          </w:rPr>
          <w:tab/>
        </w:r>
        <w:r w:rsidR="00B80A05">
          <w:rPr>
            <w:webHidden/>
          </w:rPr>
          <w:fldChar w:fldCharType="begin"/>
        </w:r>
        <w:r w:rsidR="00DF458B">
          <w:rPr>
            <w:webHidden/>
          </w:rPr>
          <w:instrText xml:space="preserve"> PAGEREF _Toc419813910 \h </w:instrText>
        </w:r>
        <w:r w:rsidR="00B80A05">
          <w:rPr>
            <w:webHidden/>
          </w:rPr>
        </w:r>
        <w:r w:rsidR="00B80A05">
          <w:rPr>
            <w:webHidden/>
          </w:rPr>
          <w:fldChar w:fldCharType="separate"/>
        </w:r>
        <w:r w:rsidR="00316060">
          <w:rPr>
            <w:webHidden/>
          </w:rPr>
          <w:t>266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11" w:history="1">
        <w:r w:rsidR="00DF458B" w:rsidRPr="00503D2D">
          <w:rPr>
            <w:rStyle w:val="Hyperlink"/>
            <w:rFonts w:ascii="Arial Negrito" w:hAnsi="Arial Negrito"/>
            <w:bCs/>
          </w:rPr>
          <w:t>3.5.1.7. Recursos Materiais e Humanos</w:t>
        </w:r>
        <w:r w:rsidR="00DF458B">
          <w:rPr>
            <w:webHidden/>
          </w:rPr>
          <w:tab/>
        </w:r>
        <w:r w:rsidR="00B80A05">
          <w:rPr>
            <w:webHidden/>
          </w:rPr>
          <w:fldChar w:fldCharType="begin"/>
        </w:r>
        <w:r w:rsidR="00DF458B">
          <w:rPr>
            <w:webHidden/>
          </w:rPr>
          <w:instrText xml:space="preserve"> PAGEREF _Toc419813911 \h </w:instrText>
        </w:r>
        <w:r w:rsidR="00B80A05">
          <w:rPr>
            <w:webHidden/>
          </w:rPr>
        </w:r>
        <w:r w:rsidR="00B80A05">
          <w:rPr>
            <w:webHidden/>
          </w:rPr>
          <w:fldChar w:fldCharType="separate"/>
        </w:r>
        <w:r w:rsidR="00316060">
          <w:rPr>
            <w:webHidden/>
          </w:rPr>
          <w:t>266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12" w:history="1">
        <w:r w:rsidR="00DF458B" w:rsidRPr="00503D2D">
          <w:rPr>
            <w:rStyle w:val="Hyperlink"/>
            <w:rFonts w:ascii="Arial Negrito" w:hAnsi="Arial Negrito"/>
            <w:bCs/>
          </w:rPr>
          <w:t>3.5.1.8. Atendimento a Requisitos Legais e/ou Outros Requisitos</w:t>
        </w:r>
        <w:r w:rsidR="00DF458B">
          <w:rPr>
            <w:webHidden/>
          </w:rPr>
          <w:tab/>
        </w:r>
        <w:r w:rsidR="00B80A05">
          <w:rPr>
            <w:webHidden/>
          </w:rPr>
          <w:fldChar w:fldCharType="begin"/>
        </w:r>
        <w:r w:rsidR="00DF458B">
          <w:rPr>
            <w:webHidden/>
          </w:rPr>
          <w:instrText xml:space="preserve"> PAGEREF _Toc419813912 \h </w:instrText>
        </w:r>
        <w:r w:rsidR="00B80A05">
          <w:rPr>
            <w:webHidden/>
          </w:rPr>
        </w:r>
        <w:r w:rsidR="00B80A05">
          <w:rPr>
            <w:webHidden/>
          </w:rPr>
          <w:fldChar w:fldCharType="separate"/>
        </w:r>
        <w:r w:rsidR="00316060">
          <w:rPr>
            <w:webHidden/>
          </w:rPr>
          <w:t>266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13" w:history="1">
        <w:r w:rsidR="00DF458B" w:rsidRPr="00503D2D">
          <w:rPr>
            <w:rStyle w:val="Hyperlink"/>
            <w:rFonts w:ascii="Arial Negrito" w:hAnsi="Arial Negrito"/>
            <w:bCs/>
          </w:rPr>
          <w:t>3.5.1.9. Inter-relação com outros Planos e Programas</w:t>
        </w:r>
        <w:r w:rsidR="00DF458B">
          <w:rPr>
            <w:webHidden/>
          </w:rPr>
          <w:tab/>
        </w:r>
        <w:r w:rsidR="00B80A05">
          <w:rPr>
            <w:webHidden/>
          </w:rPr>
          <w:fldChar w:fldCharType="begin"/>
        </w:r>
        <w:r w:rsidR="00DF458B">
          <w:rPr>
            <w:webHidden/>
          </w:rPr>
          <w:instrText xml:space="preserve"> PAGEREF _Toc419813913 \h </w:instrText>
        </w:r>
        <w:r w:rsidR="00B80A05">
          <w:rPr>
            <w:webHidden/>
          </w:rPr>
        </w:r>
        <w:r w:rsidR="00B80A05">
          <w:rPr>
            <w:webHidden/>
          </w:rPr>
          <w:fldChar w:fldCharType="separate"/>
        </w:r>
        <w:r w:rsidR="00316060">
          <w:rPr>
            <w:webHidden/>
          </w:rPr>
          <w:t>266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14" w:history="1">
        <w:r w:rsidR="00DF458B" w:rsidRPr="00503D2D">
          <w:rPr>
            <w:rStyle w:val="Hyperlink"/>
            <w:rFonts w:ascii="Arial Negrito" w:hAnsi="Arial Negrito"/>
            <w:bCs/>
          </w:rPr>
          <w:t>3.5.1.10. Etapa dos Empreendimentos</w:t>
        </w:r>
        <w:r w:rsidR="00DF458B">
          <w:rPr>
            <w:webHidden/>
          </w:rPr>
          <w:tab/>
        </w:r>
        <w:r w:rsidR="00B80A05">
          <w:rPr>
            <w:webHidden/>
          </w:rPr>
          <w:fldChar w:fldCharType="begin"/>
        </w:r>
        <w:r w:rsidR="00DF458B">
          <w:rPr>
            <w:webHidden/>
          </w:rPr>
          <w:instrText xml:space="preserve"> PAGEREF _Toc419813914 \h </w:instrText>
        </w:r>
        <w:r w:rsidR="00B80A05">
          <w:rPr>
            <w:webHidden/>
          </w:rPr>
        </w:r>
        <w:r w:rsidR="00B80A05">
          <w:rPr>
            <w:webHidden/>
          </w:rPr>
          <w:fldChar w:fldCharType="separate"/>
        </w:r>
        <w:r w:rsidR="00316060">
          <w:rPr>
            <w:webHidden/>
          </w:rPr>
          <w:t>267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15" w:history="1">
        <w:r w:rsidR="00DF458B" w:rsidRPr="00503D2D">
          <w:rPr>
            <w:rStyle w:val="Hyperlink"/>
            <w:rFonts w:ascii="Arial Negrito" w:hAnsi="Arial Negrito"/>
            <w:bCs/>
          </w:rPr>
          <w:t>3.5.1.11. Cronograma de Execução</w:t>
        </w:r>
        <w:r w:rsidR="00DF458B">
          <w:rPr>
            <w:webHidden/>
          </w:rPr>
          <w:tab/>
        </w:r>
        <w:r w:rsidR="00B80A05">
          <w:rPr>
            <w:webHidden/>
          </w:rPr>
          <w:fldChar w:fldCharType="begin"/>
        </w:r>
        <w:r w:rsidR="00DF458B">
          <w:rPr>
            <w:webHidden/>
          </w:rPr>
          <w:instrText xml:space="preserve"> PAGEREF _Toc419813915 \h </w:instrText>
        </w:r>
        <w:r w:rsidR="00B80A05">
          <w:rPr>
            <w:webHidden/>
          </w:rPr>
        </w:r>
        <w:r w:rsidR="00B80A05">
          <w:rPr>
            <w:webHidden/>
          </w:rPr>
          <w:fldChar w:fldCharType="separate"/>
        </w:r>
        <w:r w:rsidR="00316060">
          <w:rPr>
            <w:webHidden/>
          </w:rPr>
          <w:t>267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16" w:history="1">
        <w:r w:rsidR="00DF458B" w:rsidRPr="00503D2D">
          <w:rPr>
            <w:rStyle w:val="Hyperlink"/>
            <w:rFonts w:ascii="Arial Negrito" w:hAnsi="Arial Negrito"/>
            <w:bCs/>
          </w:rPr>
          <w:t>3.5.1.12. Responsável pela Implementação do Programa</w:t>
        </w:r>
        <w:r w:rsidR="00DF458B">
          <w:rPr>
            <w:webHidden/>
          </w:rPr>
          <w:tab/>
        </w:r>
        <w:r w:rsidR="00B80A05">
          <w:rPr>
            <w:webHidden/>
          </w:rPr>
          <w:fldChar w:fldCharType="begin"/>
        </w:r>
        <w:r w:rsidR="00DF458B">
          <w:rPr>
            <w:webHidden/>
          </w:rPr>
          <w:instrText xml:space="preserve"> PAGEREF _Toc419813916 \h </w:instrText>
        </w:r>
        <w:r w:rsidR="00B80A05">
          <w:rPr>
            <w:webHidden/>
          </w:rPr>
        </w:r>
        <w:r w:rsidR="00B80A05">
          <w:rPr>
            <w:webHidden/>
          </w:rPr>
          <w:fldChar w:fldCharType="separate"/>
        </w:r>
        <w:r w:rsidR="00316060">
          <w:rPr>
            <w:webHidden/>
          </w:rPr>
          <w:t>267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17" w:history="1">
        <w:r w:rsidR="00DF458B" w:rsidRPr="00503D2D">
          <w:rPr>
            <w:rStyle w:val="Hyperlink"/>
            <w:rFonts w:ascii="Arial Negrito" w:hAnsi="Arial Negrito"/>
            <w:bCs/>
          </w:rPr>
          <w:t>3.5.1.13. Sistemas de Registros</w:t>
        </w:r>
        <w:r w:rsidR="00DF458B">
          <w:rPr>
            <w:webHidden/>
          </w:rPr>
          <w:tab/>
        </w:r>
        <w:r w:rsidR="00B80A05">
          <w:rPr>
            <w:webHidden/>
          </w:rPr>
          <w:fldChar w:fldCharType="begin"/>
        </w:r>
        <w:r w:rsidR="00DF458B">
          <w:rPr>
            <w:webHidden/>
          </w:rPr>
          <w:instrText xml:space="preserve"> PAGEREF _Toc419813917 \h </w:instrText>
        </w:r>
        <w:r w:rsidR="00B80A05">
          <w:rPr>
            <w:webHidden/>
          </w:rPr>
        </w:r>
        <w:r w:rsidR="00B80A05">
          <w:rPr>
            <w:webHidden/>
          </w:rPr>
          <w:fldChar w:fldCharType="separate"/>
        </w:r>
        <w:r w:rsidR="00316060">
          <w:rPr>
            <w:webHidden/>
          </w:rPr>
          <w:t>267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18" w:history="1">
        <w:r w:rsidR="00DF458B" w:rsidRPr="00503D2D">
          <w:rPr>
            <w:rStyle w:val="Hyperlink"/>
            <w:rFonts w:ascii="Arial Negrito" w:hAnsi="Arial Negrito"/>
            <w:bCs/>
          </w:rPr>
          <w:t>3.5.1.14. Referências Bibliográficas</w:t>
        </w:r>
        <w:r w:rsidR="00DF458B">
          <w:rPr>
            <w:webHidden/>
          </w:rPr>
          <w:tab/>
        </w:r>
        <w:r w:rsidR="00B80A05">
          <w:rPr>
            <w:webHidden/>
          </w:rPr>
          <w:fldChar w:fldCharType="begin"/>
        </w:r>
        <w:r w:rsidR="00DF458B">
          <w:rPr>
            <w:webHidden/>
          </w:rPr>
          <w:instrText xml:space="preserve"> PAGEREF _Toc419813918 \h </w:instrText>
        </w:r>
        <w:r w:rsidR="00B80A05">
          <w:rPr>
            <w:webHidden/>
          </w:rPr>
        </w:r>
        <w:r w:rsidR="00B80A05">
          <w:rPr>
            <w:webHidden/>
          </w:rPr>
          <w:fldChar w:fldCharType="separate"/>
        </w:r>
        <w:r w:rsidR="00316060">
          <w:rPr>
            <w:webHidden/>
          </w:rPr>
          <w:t>267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19" w:history="1">
        <w:r w:rsidR="00DF458B" w:rsidRPr="00503D2D">
          <w:rPr>
            <w:rStyle w:val="Hyperlink"/>
            <w:rFonts w:ascii="Arial Negrito" w:hAnsi="Arial Negrito"/>
            <w:bCs/>
          </w:rPr>
          <w:t>3.5.2. Programa de Educação Ambiental</w:t>
        </w:r>
        <w:r w:rsidR="00DF458B">
          <w:rPr>
            <w:webHidden/>
          </w:rPr>
          <w:tab/>
        </w:r>
        <w:r w:rsidR="00B80A05">
          <w:rPr>
            <w:webHidden/>
          </w:rPr>
          <w:fldChar w:fldCharType="begin"/>
        </w:r>
        <w:r w:rsidR="00DF458B">
          <w:rPr>
            <w:webHidden/>
          </w:rPr>
          <w:instrText xml:space="preserve"> PAGEREF _Toc419813919 \h </w:instrText>
        </w:r>
        <w:r w:rsidR="00B80A05">
          <w:rPr>
            <w:webHidden/>
          </w:rPr>
        </w:r>
        <w:r w:rsidR="00B80A05">
          <w:rPr>
            <w:webHidden/>
          </w:rPr>
          <w:fldChar w:fldCharType="separate"/>
        </w:r>
        <w:r w:rsidR="00316060">
          <w:rPr>
            <w:webHidden/>
          </w:rPr>
          <w:t>267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20" w:history="1">
        <w:r w:rsidR="00DF458B" w:rsidRPr="00503D2D">
          <w:rPr>
            <w:rStyle w:val="Hyperlink"/>
            <w:rFonts w:ascii="Arial Negrito" w:hAnsi="Arial Negrito"/>
            <w:bCs/>
          </w:rPr>
          <w:t>3.5.2.1.</w:t>
        </w:r>
        <w:r w:rsidR="00DF458B">
          <w:rPr>
            <w:rFonts w:asciiTheme="minorHAnsi" w:eastAsiaTheme="minorEastAsia" w:hAnsiTheme="minorHAnsi" w:cstheme="minorBidi"/>
          </w:rPr>
          <w:tab/>
        </w:r>
        <w:r w:rsidR="00DF458B" w:rsidRPr="00503D2D">
          <w:rPr>
            <w:rStyle w:val="Hyperlink"/>
            <w:rFonts w:ascii="Arial Negrito" w:hAnsi="Arial Negrito"/>
            <w:bCs/>
          </w:rPr>
          <w:t>Apresentação e Justificativas</w:t>
        </w:r>
        <w:r w:rsidR="00DF458B">
          <w:rPr>
            <w:webHidden/>
          </w:rPr>
          <w:tab/>
        </w:r>
        <w:r w:rsidR="00B80A05">
          <w:rPr>
            <w:webHidden/>
          </w:rPr>
          <w:fldChar w:fldCharType="begin"/>
        </w:r>
        <w:r w:rsidR="00DF458B">
          <w:rPr>
            <w:webHidden/>
          </w:rPr>
          <w:instrText xml:space="preserve"> PAGEREF _Toc419813920 \h </w:instrText>
        </w:r>
        <w:r w:rsidR="00B80A05">
          <w:rPr>
            <w:webHidden/>
          </w:rPr>
        </w:r>
        <w:r w:rsidR="00B80A05">
          <w:rPr>
            <w:webHidden/>
          </w:rPr>
          <w:fldChar w:fldCharType="separate"/>
        </w:r>
        <w:r w:rsidR="00316060">
          <w:rPr>
            <w:webHidden/>
          </w:rPr>
          <w:t>267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21" w:history="1">
        <w:r w:rsidR="00DF458B" w:rsidRPr="00503D2D">
          <w:rPr>
            <w:rStyle w:val="Hyperlink"/>
            <w:rFonts w:ascii="Arial Negrito" w:hAnsi="Arial Negrito"/>
            <w:bCs/>
          </w:rPr>
          <w:t>3.5.2.2.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_Toc419813921 \h </w:instrText>
        </w:r>
        <w:r w:rsidR="00B80A05">
          <w:rPr>
            <w:webHidden/>
          </w:rPr>
        </w:r>
        <w:r w:rsidR="00B80A05">
          <w:rPr>
            <w:webHidden/>
          </w:rPr>
          <w:fldChar w:fldCharType="separate"/>
        </w:r>
        <w:r w:rsidR="00316060">
          <w:rPr>
            <w:webHidden/>
          </w:rPr>
          <w:t>268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22" w:history="1">
        <w:r w:rsidR="00DF458B" w:rsidRPr="00503D2D">
          <w:rPr>
            <w:rStyle w:val="Hyperlink"/>
            <w:rFonts w:ascii="Arial Negrito" w:hAnsi="Arial Negrito"/>
            <w:bCs/>
          </w:rPr>
          <w:t>3.5.2.3.</w:t>
        </w:r>
        <w:r w:rsidR="00DF458B">
          <w:rPr>
            <w:rFonts w:asciiTheme="minorHAnsi" w:eastAsiaTheme="minorEastAsia" w:hAnsiTheme="minorHAnsi" w:cstheme="minorBidi"/>
          </w:rPr>
          <w:tab/>
        </w:r>
        <w:r w:rsidR="00DF458B" w:rsidRPr="00503D2D">
          <w:rPr>
            <w:rStyle w:val="Hyperlink"/>
            <w:rFonts w:ascii="Arial Negrito" w:hAnsi="Arial Negrito"/>
            <w:bCs/>
          </w:rPr>
          <w:t>Metas</w:t>
        </w:r>
        <w:r w:rsidR="00DF458B">
          <w:rPr>
            <w:webHidden/>
          </w:rPr>
          <w:tab/>
        </w:r>
        <w:r w:rsidR="00B80A05">
          <w:rPr>
            <w:webHidden/>
          </w:rPr>
          <w:fldChar w:fldCharType="begin"/>
        </w:r>
        <w:r w:rsidR="00DF458B">
          <w:rPr>
            <w:webHidden/>
          </w:rPr>
          <w:instrText xml:space="preserve"> PAGEREF _Toc419813922 \h </w:instrText>
        </w:r>
        <w:r w:rsidR="00B80A05">
          <w:rPr>
            <w:webHidden/>
          </w:rPr>
        </w:r>
        <w:r w:rsidR="00B80A05">
          <w:rPr>
            <w:webHidden/>
          </w:rPr>
          <w:fldChar w:fldCharType="separate"/>
        </w:r>
        <w:r w:rsidR="00316060">
          <w:rPr>
            <w:webHidden/>
          </w:rPr>
          <w:t>268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23" w:history="1">
        <w:r w:rsidR="00DF458B" w:rsidRPr="00503D2D">
          <w:rPr>
            <w:rStyle w:val="Hyperlink"/>
            <w:rFonts w:ascii="Arial Negrito" w:hAnsi="Arial Negrito"/>
            <w:bCs/>
          </w:rPr>
          <w:t>3.5.2.4.</w:t>
        </w:r>
        <w:r w:rsidR="00DF458B">
          <w:rPr>
            <w:rFonts w:asciiTheme="minorHAnsi" w:eastAsiaTheme="minorEastAsia" w:hAnsiTheme="minorHAnsi" w:cstheme="minorBidi"/>
          </w:rPr>
          <w:tab/>
        </w:r>
        <w:r w:rsidR="00DF458B" w:rsidRPr="00503D2D">
          <w:rPr>
            <w:rStyle w:val="Hyperlink"/>
            <w:rFonts w:ascii="Arial Negrito" w:hAnsi="Arial Negrito"/>
            <w:bCs/>
          </w:rPr>
          <w:t>Público Alvo</w:t>
        </w:r>
        <w:r w:rsidR="00DF458B">
          <w:rPr>
            <w:webHidden/>
          </w:rPr>
          <w:tab/>
        </w:r>
        <w:r w:rsidR="00B80A05">
          <w:rPr>
            <w:webHidden/>
          </w:rPr>
          <w:fldChar w:fldCharType="begin"/>
        </w:r>
        <w:r w:rsidR="00DF458B">
          <w:rPr>
            <w:webHidden/>
          </w:rPr>
          <w:instrText xml:space="preserve"> PAGEREF _Toc419813923 \h </w:instrText>
        </w:r>
        <w:r w:rsidR="00B80A05">
          <w:rPr>
            <w:webHidden/>
          </w:rPr>
        </w:r>
        <w:r w:rsidR="00B80A05">
          <w:rPr>
            <w:webHidden/>
          </w:rPr>
          <w:fldChar w:fldCharType="separate"/>
        </w:r>
        <w:r w:rsidR="00316060">
          <w:rPr>
            <w:webHidden/>
          </w:rPr>
          <w:t>268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24" w:history="1">
        <w:r w:rsidR="00DF458B" w:rsidRPr="00503D2D">
          <w:rPr>
            <w:rStyle w:val="Hyperlink"/>
            <w:rFonts w:ascii="Arial Negrito" w:hAnsi="Arial Negrito"/>
            <w:bCs/>
          </w:rPr>
          <w:t>3.5.2.5.</w:t>
        </w:r>
        <w:r w:rsidR="00DF458B">
          <w:rPr>
            <w:rFonts w:asciiTheme="minorHAnsi" w:eastAsiaTheme="minorEastAsia" w:hAnsiTheme="minorHAnsi" w:cstheme="minorBidi"/>
          </w:rPr>
          <w:tab/>
        </w:r>
        <w:r w:rsidR="00DF458B" w:rsidRPr="00503D2D">
          <w:rPr>
            <w:rStyle w:val="Hyperlink"/>
            <w:rFonts w:ascii="Arial Negrito" w:hAnsi="Arial Negrito"/>
            <w:bCs/>
          </w:rPr>
          <w:t>Métodos e Descrição do Programa</w:t>
        </w:r>
        <w:r w:rsidR="00DF458B">
          <w:rPr>
            <w:webHidden/>
          </w:rPr>
          <w:tab/>
        </w:r>
        <w:r w:rsidR="00B80A05">
          <w:rPr>
            <w:webHidden/>
          </w:rPr>
          <w:fldChar w:fldCharType="begin"/>
        </w:r>
        <w:r w:rsidR="00DF458B">
          <w:rPr>
            <w:webHidden/>
          </w:rPr>
          <w:instrText xml:space="preserve"> PAGEREF _Toc419813924 \h </w:instrText>
        </w:r>
        <w:r w:rsidR="00B80A05">
          <w:rPr>
            <w:webHidden/>
          </w:rPr>
        </w:r>
        <w:r w:rsidR="00B80A05">
          <w:rPr>
            <w:webHidden/>
          </w:rPr>
          <w:fldChar w:fldCharType="separate"/>
        </w:r>
        <w:r w:rsidR="00316060">
          <w:rPr>
            <w:webHidden/>
          </w:rPr>
          <w:t>268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25" w:history="1">
        <w:r w:rsidR="00DF458B" w:rsidRPr="00503D2D">
          <w:rPr>
            <w:rStyle w:val="Hyperlink"/>
            <w:rFonts w:ascii="Arial Negrito" w:hAnsi="Arial Negrito"/>
            <w:bCs/>
          </w:rPr>
          <w:t>3.5.2.6.</w:t>
        </w:r>
        <w:r w:rsidR="00DF458B">
          <w:rPr>
            <w:rFonts w:asciiTheme="minorHAnsi" w:eastAsiaTheme="minorEastAsia" w:hAnsiTheme="minorHAnsi" w:cstheme="minorBidi"/>
          </w:rPr>
          <w:tab/>
        </w:r>
        <w:r w:rsidR="00DF458B" w:rsidRPr="00503D2D">
          <w:rPr>
            <w:rStyle w:val="Hyperlink"/>
            <w:rFonts w:ascii="Arial Negrito" w:hAnsi="Arial Negrito"/>
            <w:bCs/>
          </w:rPr>
          <w:t>Indicadores Ambientais</w:t>
        </w:r>
        <w:r w:rsidR="00DF458B">
          <w:rPr>
            <w:webHidden/>
          </w:rPr>
          <w:tab/>
        </w:r>
        <w:r w:rsidR="00B80A05">
          <w:rPr>
            <w:webHidden/>
          </w:rPr>
          <w:fldChar w:fldCharType="begin"/>
        </w:r>
        <w:r w:rsidR="00DF458B">
          <w:rPr>
            <w:webHidden/>
          </w:rPr>
          <w:instrText xml:space="preserve"> PAGEREF _Toc419813925 \h </w:instrText>
        </w:r>
        <w:r w:rsidR="00B80A05">
          <w:rPr>
            <w:webHidden/>
          </w:rPr>
        </w:r>
        <w:r w:rsidR="00B80A05">
          <w:rPr>
            <w:webHidden/>
          </w:rPr>
          <w:fldChar w:fldCharType="separate"/>
        </w:r>
        <w:r w:rsidR="00316060">
          <w:rPr>
            <w:webHidden/>
          </w:rPr>
          <w:t>269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26" w:history="1">
        <w:r w:rsidR="00DF458B" w:rsidRPr="00503D2D">
          <w:rPr>
            <w:rStyle w:val="Hyperlink"/>
            <w:rFonts w:ascii="Arial Negrito" w:hAnsi="Arial Negrito"/>
            <w:bCs/>
          </w:rPr>
          <w:t>3.5.2.7.</w:t>
        </w:r>
        <w:r w:rsidR="00DF458B">
          <w:rPr>
            <w:rFonts w:asciiTheme="minorHAnsi" w:eastAsiaTheme="minorEastAsia" w:hAnsiTheme="minorHAnsi" w:cstheme="minorBidi"/>
          </w:rPr>
          <w:tab/>
        </w:r>
        <w:r w:rsidR="00DF458B" w:rsidRPr="00503D2D">
          <w:rPr>
            <w:rStyle w:val="Hyperlink"/>
            <w:rFonts w:ascii="Arial Negrito" w:hAnsi="Arial Negrito"/>
            <w:bCs/>
          </w:rPr>
          <w:t>Recursos Materiais e Humanos</w:t>
        </w:r>
        <w:r w:rsidR="00DF458B">
          <w:rPr>
            <w:webHidden/>
          </w:rPr>
          <w:tab/>
        </w:r>
        <w:r w:rsidR="00B80A05">
          <w:rPr>
            <w:webHidden/>
          </w:rPr>
          <w:fldChar w:fldCharType="begin"/>
        </w:r>
        <w:r w:rsidR="00DF458B">
          <w:rPr>
            <w:webHidden/>
          </w:rPr>
          <w:instrText xml:space="preserve"> PAGEREF _Toc419813926 \h </w:instrText>
        </w:r>
        <w:r w:rsidR="00B80A05">
          <w:rPr>
            <w:webHidden/>
          </w:rPr>
        </w:r>
        <w:r w:rsidR="00B80A05">
          <w:rPr>
            <w:webHidden/>
          </w:rPr>
          <w:fldChar w:fldCharType="separate"/>
        </w:r>
        <w:r w:rsidR="00316060">
          <w:rPr>
            <w:webHidden/>
          </w:rPr>
          <w:t>269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27" w:history="1">
        <w:r w:rsidR="00DF458B" w:rsidRPr="00503D2D">
          <w:rPr>
            <w:rStyle w:val="Hyperlink"/>
            <w:rFonts w:ascii="Arial Negrito" w:hAnsi="Arial Negrito"/>
            <w:bCs/>
          </w:rPr>
          <w:t>3.5.2.8.</w:t>
        </w:r>
        <w:r w:rsidR="00DF458B">
          <w:rPr>
            <w:rFonts w:asciiTheme="minorHAnsi" w:eastAsiaTheme="minorEastAsia" w:hAnsiTheme="minorHAnsi" w:cstheme="minorBidi"/>
          </w:rPr>
          <w:tab/>
        </w:r>
        <w:r w:rsidR="00DF458B" w:rsidRPr="00503D2D">
          <w:rPr>
            <w:rStyle w:val="Hyperlink"/>
            <w:rFonts w:ascii="Arial Negrito" w:hAnsi="Arial Negrito"/>
            <w:bCs/>
          </w:rPr>
          <w:t>Atendimento a Requisitos Legais e/ou Outros Requisitos</w:t>
        </w:r>
        <w:r w:rsidR="00DF458B">
          <w:rPr>
            <w:webHidden/>
          </w:rPr>
          <w:tab/>
        </w:r>
        <w:r w:rsidR="00B80A05">
          <w:rPr>
            <w:webHidden/>
          </w:rPr>
          <w:fldChar w:fldCharType="begin"/>
        </w:r>
        <w:r w:rsidR="00DF458B">
          <w:rPr>
            <w:webHidden/>
          </w:rPr>
          <w:instrText xml:space="preserve"> PAGEREF _Toc419813927 \h </w:instrText>
        </w:r>
        <w:r w:rsidR="00B80A05">
          <w:rPr>
            <w:webHidden/>
          </w:rPr>
        </w:r>
        <w:r w:rsidR="00B80A05">
          <w:rPr>
            <w:webHidden/>
          </w:rPr>
          <w:fldChar w:fldCharType="separate"/>
        </w:r>
        <w:r w:rsidR="00316060">
          <w:rPr>
            <w:webHidden/>
          </w:rPr>
          <w:t>269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28" w:history="1">
        <w:r w:rsidR="00DF458B" w:rsidRPr="00503D2D">
          <w:rPr>
            <w:rStyle w:val="Hyperlink"/>
            <w:rFonts w:ascii="Arial Negrito" w:hAnsi="Arial Negrito"/>
            <w:bCs/>
          </w:rPr>
          <w:t>3.5.2.9.</w:t>
        </w:r>
        <w:r w:rsidR="00DF458B">
          <w:rPr>
            <w:rFonts w:asciiTheme="minorHAnsi" w:eastAsiaTheme="minorEastAsia" w:hAnsiTheme="minorHAnsi" w:cstheme="minorBidi"/>
          </w:rPr>
          <w:tab/>
        </w:r>
        <w:r w:rsidR="00DF458B" w:rsidRPr="00503D2D">
          <w:rPr>
            <w:rStyle w:val="Hyperlink"/>
            <w:rFonts w:ascii="Arial Negrito" w:hAnsi="Arial Negrito"/>
            <w:bCs/>
          </w:rPr>
          <w:t>Inter-relação com outros Planos e Programas</w:t>
        </w:r>
        <w:r w:rsidR="00DF458B">
          <w:rPr>
            <w:webHidden/>
          </w:rPr>
          <w:tab/>
        </w:r>
        <w:r w:rsidR="00B80A05">
          <w:rPr>
            <w:webHidden/>
          </w:rPr>
          <w:fldChar w:fldCharType="begin"/>
        </w:r>
        <w:r w:rsidR="00DF458B">
          <w:rPr>
            <w:webHidden/>
          </w:rPr>
          <w:instrText xml:space="preserve"> PAGEREF _Toc419813928 \h </w:instrText>
        </w:r>
        <w:r w:rsidR="00B80A05">
          <w:rPr>
            <w:webHidden/>
          </w:rPr>
        </w:r>
        <w:r w:rsidR="00B80A05">
          <w:rPr>
            <w:webHidden/>
          </w:rPr>
          <w:fldChar w:fldCharType="separate"/>
        </w:r>
        <w:r w:rsidR="00316060">
          <w:rPr>
            <w:webHidden/>
          </w:rPr>
          <w:t>269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29" w:history="1">
        <w:r w:rsidR="00DF458B" w:rsidRPr="00503D2D">
          <w:rPr>
            <w:rStyle w:val="Hyperlink"/>
            <w:rFonts w:ascii="Arial Negrito" w:hAnsi="Arial Negrito"/>
            <w:bCs/>
          </w:rPr>
          <w:t>3.5.2.10.</w:t>
        </w:r>
        <w:r w:rsidR="00DF458B">
          <w:rPr>
            <w:rFonts w:asciiTheme="minorHAnsi" w:eastAsiaTheme="minorEastAsia" w:hAnsiTheme="minorHAnsi" w:cstheme="minorBidi"/>
          </w:rPr>
          <w:tab/>
        </w:r>
        <w:r w:rsidR="00DF458B" w:rsidRPr="00503D2D">
          <w:rPr>
            <w:rStyle w:val="Hyperlink"/>
            <w:rFonts w:ascii="Arial Negrito" w:hAnsi="Arial Negrito"/>
            <w:bCs/>
          </w:rPr>
          <w:t>Etapa dos Empreendimentos</w:t>
        </w:r>
        <w:r w:rsidR="00DF458B">
          <w:rPr>
            <w:webHidden/>
          </w:rPr>
          <w:tab/>
        </w:r>
        <w:r w:rsidR="00B80A05">
          <w:rPr>
            <w:webHidden/>
          </w:rPr>
          <w:fldChar w:fldCharType="begin"/>
        </w:r>
        <w:r w:rsidR="00DF458B">
          <w:rPr>
            <w:webHidden/>
          </w:rPr>
          <w:instrText xml:space="preserve"> PAGEREF _Toc419813929 \h </w:instrText>
        </w:r>
        <w:r w:rsidR="00B80A05">
          <w:rPr>
            <w:webHidden/>
          </w:rPr>
        </w:r>
        <w:r w:rsidR="00B80A05">
          <w:rPr>
            <w:webHidden/>
          </w:rPr>
          <w:fldChar w:fldCharType="separate"/>
        </w:r>
        <w:r w:rsidR="00316060">
          <w:rPr>
            <w:webHidden/>
          </w:rPr>
          <w:t>269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30" w:history="1">
        <w:r w:rsidR="00DF458B" w:rsidRPr="00503D2D">
          <w:rPr>
            <w:rStyle w:val="Hyperlink"/>
            <w:rFonts w:ascii="Arial Negrito" w:hAnsi="Arial Negrito"/>
            <w:bCs/>
          </w:rPr>
          <w:t>3.5.2.11.</w:t>
        </w:r>
        <w:r w:rsidR="00DF458B">
          <w:rPr>
            <w:rFonts w:asciiTheme="minorHAnsi" w:eastAsiaTheme="minorEastAsia" w:hAnsiTheme="minorHAnsi" w:cstheme="minorBidi"/>
          </w:rPr>
          <w:tab/>
        </w:r>
        <w:r w:rsidR="00DF458B" w:rsidRPr="00503D2D">
          <w:rPr>
            <w:rStyle w:val="Hyperlink"/>
            <w:rFonts w:ascii="Arial Negrito" w:hAnsi="Arial Negrito"/>
            <w:bCs/>
          </w:rPr>
          <w:t>Cronograma de Execução</w:t>
        </w:r>
        <w:r w:rsidR="00DF458B">
          <w:rPr>
            <w:webHidden/>
          </w:rPr>
          <w:tab/>
        </w:r>
        <w:r w:rsidR="00B80A05">
          <w:rPr>
            <w:webHidden/>
          </w:rPr>
          <w:fldChar w:fldCharType="begin"/>
        </w:r>
        <w:r w:rsidR="00DF458B">
          <w:rPr>
            <w:webHidden/>
          </w:rPr>
          <w:instrText xml:space="preserve"> PAGEREF _Toc419813930 \h </w:instrText>
        </w:r>
        <w:r w:rsidR="00B80A05">
          <w:rPr>
            <w:webHidden/>
          </w:rPr>
        </w:r>
        <w:r w:rsidR="00B80A05">
          <w:rPr>
            <w:webHidden/>
          </w:rPr>
          <w:fldChar w:fldCharType="separate"/>
        </w:r>
        <w:r w:rsidR="00316060">
          <w:rPr>
            <w:webHidden/>
          </w:rPr>
          <w:t>270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31" w:history="1">
        <w:r w:rsidR="00DF458B" w:rsidRPr="00503D2D">
          <w:rPr>
            <w:rStyle w:val="Hyperlink"/>
            <w:rFonts w:ascii="Arial Negrito" w:hAnsi="Arial Negrito"/>
            <w:bCs/>
          </w:rPr>
          <w:t>3.5.2.12.</w:t>
        </w:r>
        <w:r w:rsidR="00DF458B">
          <w:rPr>
            <w:rFonts w:asciiTheme="minorHAnsi" w:eastAsiaTheme="minorEastAsia" w:hAnsiTheme="minorHAnsi" w:cstheme="minorBidi"/>
          </w:rPr>
          <w:tab/>
        </w:r>
        <w:r w:rsidR="00DF458B" w:rsidRPr="00503D2D">
          <w:rPr>
            <w:rStyle w:val="Hyperlink"/>
            <w:rFonts w:ascii="Arial Negrito" w:hAnsi="Arial Negrito"/>
            <w:bCs/>
          </w:rPr>
          <w:t>Responsável pela Implementação do Programa</w:t>
        </w:r>
        <w:r w:rsidR="00DF458B">
          <w:rPr>
            <w:webHidden/>
          </w:rPr>
          <w:tab/>
        </w:r>
        <w:r w:rsidR="00B80A05">
          <w:rPr>
            <w:webHidden/>
          </w:rPr>
          <w:fldChar w:fldCharType="begin"/>
        </w:r>
        <w:r w:rsidR="00DF458B">
          <w:rPr>
            <w:webHidden/>
          </w:rPr>
          <w:instrText xml:space="preserve"> PAGEREF _Toc419813931 \h </w:instrText>
        </w:r>
        <w:r w:rsidR="00B80A05">
          <w:rPr>
            <w:webHidden/>
          </w:rPr>
        </w:r>
        <w:r w:rsidR="00B80A05">
          <w:rPr>
            <w:webHidden/>
          </w:rPr>
          <w:fldChar w:fldCharType="separate"/>
        </w:r>
        <w:r w:rsidR="00316060">
          <w:rPr>
            <w:webHidden/>
          </w:rPr>
          <w:t>270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32" w:history="1">
        <w:r w:rsidR="00DF458B" w:rsidRPr="00503D2D">
          <w:rPr>
            <w:rStyle w:val="Hyperlink"/>
            <w:rFonts w:ascii="Arial Negrito" w:hAnsi="Arial Negrito"/>
            <w:bCs/>
          </w:rPr>
          <w:t>3.5.2.13.</w:t>
        </w:r>
        <w:r w:rsidR="00DF458B">
          <w:rPr>
            <w:rFonts w:asciiTheme="minorHAnsi" w:eastAsiaTheme="minorEastAsia" w:hAnsiTheme="minorHAnsi" w:cstheme="minorBidi"/>
          </w:rPr>
          <w:tab/>
        </w:r>
        <w:r w:rsidR="00DF458B" w:rsidRPr="00503D2D">
          <w:rPr>
            <w:rStyle w:val="Hyperlink"/>
            <w:rFonts w:ascii="Arial Negrito" w:hAnsi="Arial Negrito"/>
            <w:bCs/>
          </w:rPr>
          <w:t>Sistemas de Registros</w:t>
        </w:r>
        <w:r w:rsidR="00DF458B">
          <w:rPr>
            <w:webHidden/>
          </w:rPr>
          <w:tab/>
        </w:r>
        <w:r w:rsidR="00B80A05">
          <w:rPr>
            <w:webHidden/>
          </w:rPr>
          <w:fldChar w:fldCharType="begin"/>
        </w:r>
        <w:r w:rsidR="00DF458B">
          <w:rPr>
            <w:webHidden/>
          </w:rPr>
          <w:instrText xml:space="preserve"> PAGEREF _Toc419813932 \h </w:instrText>
        </w:r>
        <w:r w:rsidR="00B80A05">
          <w:rPr>
            <w:webHidden/>
          </w:rPr>
        </w:r>
        <w:r w:rsidR="00B80A05">
          <w:rPr>
            <w:webHidden/>
          </w:rPr>
          <w:fldChar w:fldCharType="separate"/>
        </w:r>
        <w:r w:rsidR="00316060">
          <w:rPr>
            <w:webHidden/>
          </w:rPr>
          <w:t>270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33" w:history="1">
        <w:r w:rsidR="00DF458B" w:rsidRPr="00503D2D">
          <w:rPr>
            <w:rStyle w:val="Hyperlink"/>
            <w:rFonts w:ascii="Arial Negrito" w:hAnsi="Arial Negrito"/>
            <w:bCs/>
          </w:rPr>
          <w:t>3.5.2.14.</w:t>
        </w:r>
        <w:r w:rsidR="00DF458B">
          <w:rPr>
            <w:rFonts w:asciiTheme="minorHAnsi" w:eastAsiaTheme="minorEastAsia" w:hAnsiTheme="minorHAnsi" w:cstheme="minorBidi"/>
          </w:rPr>
          <w:tab/>
        </w:r>
        <w:r w:rsidR="00DF458B" w:rsidRPr="00503D2D">
          <w:rPr>
            <w:rStyle w:val="Hyperlink"/>
            <w:rFonts w:ascii="Arial Negrito" w:hAnsi="Arial Negrito"/>
            <w:bCs/>
          </w:rPr>
          <w:t>Referências Bibliográficas</w:t>
        </w:r>
        <w:r w:rsidR="00DF458B">
          <w:rPr>
            <w:webHidden/>
          </w:rPr>
          <w:tab/>
        </w:r>
        <w:r w:rsidR="00B80A05">
          <w:rPr>
            <w:webHidden/>
          </w:rPr>
          <w:fldChar w:fldCharType="begin"/>
        </w:r>
        <w:r w:rsidR="00DF458B">
          <w:rPr>
            <w:webHidden/>
          </w:rPr>
          <w:instrText xml:space="preserve"> PAGEREF _Toc419813933 \h </w:instrText>
        </w:r>
        <w:r w:rsidR="00B80A05">
          <w:rPr>
            <w:webHidden/>
          </w:rPr>
        </w:r>
        <w:r w:rsidR="00B80A05">
          <w:rPr>
            <w:webHidden/>
          </w:rPr>
          <w:fldChar w:fldCharType="separate"/>
        </w:r>
        <w:r w:rsidR="00316060">
          <w:rPr>
            <w:webHidden/>
          </w:rPr>
          <w:t>270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34" w:history="1">
        <w:r w:rsidR="00DF458B" w:rsidRPr="00503D2D">
          <w:rPr>
            <w:rStyle w:val="Hyperlink"/>
            <w:rFonts w:ascii="Arial Negrito" w:hAnsi="Arial Negrito"/>
            <w:bCs/>
          </w:rPr>
          <w:t>3.5.3.</w:t>
        </w:r>
        <w:r w:rsidR="00DF458B">
          <w:rPr>
            <w:rStyle w:val="Hyperlink"/>
            <w:rFonts w:ascii="Arial Negrito" w:hAnsi="Arial Negrito"/>
            <w:bCs/>
          </w:rPr>
          <w:t xml:space="preserve"> </w:t>
        </w:r>
        <w:r w:rsidR="00DF458B" w:rsidRPr="00503D2D">
          <w:rPr>
            <w:rStyle w:val="Hyperlink"/>
            <w:rFonts w:ascii="Arial Negrito" w:hAnsi="Arial Negrito"/>
            <w:bCs/>
          </w:rPr>
          <w:t>Programa de Desapropriação, Indenização e Relocação da População</w:t>
        </w:r>
        <w:r w:rsidR="00DF458B">
          <w:rPr>
            <w:webHidden/>
          </w:rPr>
          <w:tab/>
        </w:r>
        <w:r w:rsidR="00B80A05">
          <w:rPr>
            <w:webHidden/>
          </w:rPr>
          <w:fldChar w:fldCharType="begin"/>
        </w:r>
        <w:r w:rsidR="00DF458B">
          <w:rPr>
            <w:webHidden/>
          </w:rPr>
          <w:instrText xml:space="preserve"> PAGEREF _Toc419813934 \h </w:instrText>
        </w:r>
        <w:r w:rsidR="00B80A05">
          <w:rPr>
            <w:webHidden/>
          </w:rPr>
        </w:r>
        <w:r w:rsidR="00B80A05">
          <w:rPr>
            <w:webHidden/>
          </w:rPr>
          <w:fldChar w:fldCharType="separate"/>
        </w:r>
        <w:r w:rsidR="00316060">
          <w:rPr>
            <w:webHidden/>
          </w:rPr>
          <w:t>270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35" w:history="1">
        <w:r w:rsidR="00DF458B" w:rsidRPr="00503D2D">
          <w:rPr>
            <w:rStyle w:val="Hyperlink"/>
            <w:rFonts w:ascii="Arial Negrito" w:hAnsi="Arial Negrito"/>
            <w:bCs/>
          </w:rPr>
          <w:t>3.5.3.1.</w:t>
        </w:r>
        <w:r w:rsidR="00DF458B">
          <w:rPr>
            <w:rFonts w:asciiTheme="minorHAnsi" w:eastAsiaTheme="minorEastAsia" w:hAnsiTheme="minorHAnsi" w:cstheme="minorBidi"/>
          </w:rPr>
          <w:tab/>
        </w:r>
        <w:r w:rsidR="00DF458B" w:rsidRPr="00503D2D">
          <w:rPr>
            <w:rStyle w:val="Hyperlink"/>
            <w:rFonts w:ascii="Arial Negrito" w:hAnsi="Arial Negrito"/>
            <w:bCs/>
          </w:rPr>
          <w:t>Apresentação e Justificativas</w:t>
        </w:r>
        <w:r w:rsidR="00DF458B">
          <w:rPr>
            <w:webHidden/>
          </w:rPr>
          <w:tab/>
        </w:r>
        <w:r w:rsidR="00B80A05">
          <w:rPr>
            <w:webHidden/>
          </w:rPr>
          <w:fldChar w:fldCharType="begin"/>
        </w:r>
        <w:r w:rsidR="00DF458B">
          <w:rPr>
            <w:webHidden/>
          </w:rPr>
          <w:instrText xml:space="preserve"> PAGEREF _Toc419813935 \h </w:instrText>
        </w:r>
        <w:r w:rsidR="00B80A05">
          <w:rPr>
            <w:webHidden/>
          </w:rPr>
        </w:r>
        <w:r w:rsidR="00B80A05">
          <w:rPr>
            <w:webHidden/>
          </w:rPr>
          <w:fldChar w:fldCharType="separate"/>
        </w:r>
        <w:r w:rsidR="00316060">
          <w:rPr>
            <w:webHidden/>
          </w:rPr>
          <w:t>270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36" w:history="1">
        <w:r w:rsidR="00DF458B" w:rsidRPr="00503D2D">
          <w:rPr>
            <w:rStyle w:val="Hyperlink"/>
            <w:rFonts w:ascii="Arial Negrito" w:hAnsi="Arial Negrito"/>
            <w:bCs/>
          </w:rPr>
          <w:t>3.5.3.2.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_Toc419813936 \h </w:instrText>
        </w:r>
        <w:r w:rsidR="00B80A05">
          <w:rPr>
            <w:webHidden/>
          </w:rPr>
        </w:r>
        <w:r w:rsidR="00B80A05">
          <w:rPr>
            <w:webHidden/>
          </w:rPr>
          <w:fldChar w:fldCharType="separate"/>
        </w:r>
        <w:r w:rsidR="00316060">
          <w:rPr>
            <w:webHidden/>
          </w:rPr>
          <w:t>271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37" w:history="1">
        <w:r w:rsidR="00DF458B" w:rsidRPr="00503D2D">
          <w:rPr>
            <w:rStyle w:val="Hyperlink"/>
            <w:rFonts w:ascii="Arial Negrito" w:hAnsi="Arial Negrito"/>
            <w:bCs/>
          </w:rPr>
          <w:t>3.5.3.3.</w:t>
        </w:r>
        <w:r w:rsidR="00DF458B">
          <w:rPr>
            <w:rFonts w:asciiTheme="minorHAnsi" w:eastAsiaTheme="minorEastAsia" w:hAnsiTheme="minorHAnsi" w:cstheme="minorBidi"/>
          </w:rPr>
          <w:tab/>
        </w:r>
        <w:r w:rsidR="00DF458B" w:rsidRPr="00503D2D">
          <w:rPr>
            <w:rStyle w:val="Hyperlink"/>
            <w:rFonts w:ascii="Arial Negrito" w:hAnsi="Arial Negrito"/>
            <w:bCs/>
          </w:rPr>
          <w:t>Metas</w:t>
        </w:r>
        <w:r w:rsidR="00DF458B">
          <w:rPr>
            <w:webHidden/>
          </w:rPr>
          <w:tab/>
        </w:r>
        <w:r w:rsidR="00B80A05">
          <w:rPr>
            <w:webHidden/>
          </w:rPr>
          <w:fldChar w:fldCharType="begin"/>
        </w:r>
        <w:r w:rsidR="00DF458B">
          <w:rPr>
            <w:webHidden/>
          </w:rPr>
          <w:instrText xml:space="preserve"> PAGEREF _Toc419813937 \h </w:instrText>
        </w:r>
        <w:r w:rsidR="00B80A05">
          <w:rPr>
            <w:webHidden/>
          </w:rPr>
        </w:r>
        <w:r w:rsidR="00B80A05">
          <w:rPr>
            <w:webHidden/>
          </w:rPr>
          <w:fldChar w:fldCharType="separate"/>
        </w:r>
        <w:r w:rsidR="00316060">
          <w:rPr>
            <w:webHidden/>
          </w:rPr>
          <w:t>271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38" w:history="1">
        <w:r w:rsidR="00DF458B" w:rsidRPr="00503D2D">
          <w:rPr>
            <w:rStyle w:val="Hyperlink"/>
            <w:rFonts w:ascii="Arial Negrito" w:hAnsi="Arial Negrito"/>
            <w:bCs/>
          </w:rPr>
          <w:t>3.5.3.4.</w:t>
        </w:r>
        <w:r w:rsidR="00DF458B">
          <w:rPr>
            <w:rFonts w:asciiTheme="minorHAnsi" w:eastAsiaTheme="minorEastAsia" w:hAnsiTheme="minorHAnsi" w:cstheme="minorBidi"/>
          </w:rPr>
          <w:tab/>
        </w:r>
        <w:r w:rsidR="00DF458B" w:rsidRPr="00503D2D">
          <w:rPr>
            <w:rStyle w:val="Hyperlink"/>
            <w:rFonts w:ascii="Arial Negrito" w:hAnsi="Arial Negrito"/>
            <w:bCs/>
          </w:rPr>
          <w:t>Público Alvo</w:t>
        </w:r>
        <w:r w:rsidR="00DF458B">
          <w:rPr>
            <w:webHidden/>
          </w:rPr>
          <w:tab/>
        </w:r>
        <w:r w:rsidR="00B80A05">
          <w:rPr>
            <w:webHidden/>
          </w:rPr>
          <w:fldChar w:fldCharType="begin"/>
        </w:r>
        <w:r w:rsidR="00DF458B">
          <w:rPr>
            <w:webHidden/>
          </w:rPr>
          <w:instrText xml:space="preserve"> PAGEREF _Toc419813938 \h </w:instrText>
        </w:r>
        <w:r w:rsidR="00B80A05">
          <w:rPr>
            <w:webHidden/>
          </w:rPr>
        </w:r>
        <w:r w:rsidR="00B80A05">
          <w:rPr>
            <w:webHidden/>
          </w:rPr>
          <w:fldChar w:fldCharType="separate"/>
        </w:r>
        <w:r w:rsidR="00316060">
          <w:rPr>
            <w:webHidden/>
          </w:rPr>
          <w:t>271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39" w:history="1">
        <w:r w:rsidR="00DF458B" w:rsidRPr="00503D2D">
          <w:rPr>
            <w:rStyle w:val="Hyperlink"/>
            <w:rFonts w:ascii="Arial Negrito" w:hAnsi="Arial Negrito"/>
            <w:bCs/>
          </w:rPr>
          <w:t>3.5.3.5.</w:t>
        </w:r>
        <w:r w:rsidR="00DF458B">
          <w:rPr>
            <w:rFonts w:asciiTheme="minorHAnsi" w:eastAsiaTheme="minorEastAsia" w:hAnsiTheme="minorHAnsi" w:cstheme="minorBidi"/>
          </w:rPr>
          <w:tab/>
        </w:r>
        <w:r w:rsidR="00DF458B" w:rsidRPr="00503D2D">
          <w:rPr>
            <w:rStyle w:val="Hyperlink"/>
            <w:rFonts w:ascii="Arial Negrito" w:hAnsi="Arial Negrito"/>
            <w:bCs/>
          </w:rPr>
          <w:t>Métodos e Descrição do Programa</w:t>
        </w:r>
        <w:r w:rsidR="00DF458B">
          <w:rPr>
            <w:webHidden/>
          </w:rPr>
          <w:tab/>
        </w:r>
        <w:r w:rsidR="00B80A05">
          <w:rPr>
            <w:webHidden/>
          </w:rPr>
          <w:fldChar w:fldCharType="begin"/>
        </w:r>
        <w:r w:rsidR="00DF458B">
          <w:rPr>
            <w:webHidden/>
          </w:rPr>
          <w:instrText xml:space="preserve"> PAGEREF _Toc419813939 \h </w:instrText>
        </w:r>
        <w:r w:rsidR="00B80A05">
          <w:rPr>
            <w:webHidden/>
          </w:rPr>
        </w:r>
        <w:r w:rsidR="00B80A05">
          <w:rPr>
            <w:webHidden/>
          </w:rPr>
          <w:fldChar w:fldCharType="separate"/>
        </w:r>
        <w:r w:rsidR="00316060">
          <w:rPr>
            <w:webHidden/>
          </w:rPr>
          <w:t>271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40" w:history="1">
        <w:r w:rsidR="00DF458B" w:rsidRPr="00503D2D">
          <w:rPr>
            <w:rStyle w:val="Hyperlink"/>
            <w:rFonts w:ascii="Arial Negrito" w:hAnsi="Arial Negrito"/>
            <w:bCs/>
          </w:rPr>
          <w:t>3.5.3.6.</w:t>
        </w:r>
        <w:r w:rsidR="00DF458B">
          <w:rPr>
            <w:rFonts w:asciiTheme="minorHAnsi" w:eastAsiaTheme="minorEastAsia" w:hAnsiTheme="minorHAnsi" w:cstheme="minorBidi"/>
          </w:rPr>
          <w:tab/>
        </w:r>
        <w:r w:rsidR="00DF458B" w:rsidRPr="00503D2D">
          <w:rPr>
            <w:rStyle w:val="Hyperlink"/>
            <w:rFonts w:ascii="Arial Negrito" w:hAnsi="Arial Negrito"/>
            <w:bCs/>
          </w:rPr>
          <w:t>Indicadores Ambientais</w:t>
        </w:r>
        <w:r w:rsidR="00DF458B">
          <w:rPr>
            <w:webHidden/>
          </w:rPr>
          <w:tab/>
        </w:r>
        <w:r w:rsidR="00B80A05">
          <w:rPr>
            <w:webHidden/>
          </w:rPr>
          <w:fldChar w:fldCharType="begin"/>
        </w:r>
        <w:r w:rsidR="00DF458B">
          <w:rPr>
            <w:webHidden/>
          </w:rPr>
          <w:instrText xml:space="preserve"> PAGEREF _Toc419813940 \h </w:instrText>
        </w:r>
        <w:r w:rsidR="00B80A05">
          <w:rPr>
            <w:webHidden/>
          </w:rPr>
        </w:r>
        <w:r w:rsidR="00B80A05">
          <w:rPr>
            <w:webHidden/>
          </w:rPr>
          <w:fldChar w:fldCharType="separate"/>
        </w:r>
        <w:r w:rsidR="00316060">
          <w:rPr>
            <w:webHidden/>
          </w:rPr>
          <w:t>272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41" w:history="1">
        <w:r w:rsidR="00DF458B" w:rsidRPr="00503D2D">
          <w:rPr>
            <w:rStyle w:val="Hyperlink"/>
            <w:rFonts w:ascii="Arial Negrito" w:hAnsi="Arial Negrito"/>
            <w:bCs/>
          </w:rPr>
          <w:t>3.5.3.7.</w:t>
        </w:r>
        <w:r w:rsidR="00DF458B">
          <w:rPr>
            <w:rFonts w:asciiTheme="minorHAnsi" w:eastAsiaTheme="minorEastAsia" w:hAnsiTheme="minorHAnsi" w:cstheme="minorBidi"/>
          </w:rPr>
          <w:tab/>
        </w:r>
        <w:r w:rsidR="00DF458B" w:rsidRPr="00503D2D">
          <w:rPr>
            <w:rStyle w:val="Hyperlink"/>
            <w:rFonts w:ascii="Arial Negrito" w:hAnsi="Arial Negrito"/>
            <w:bCs/>
          </w:rPr>
          <w:t>Recursos Materiais e Humanos</w:t>
        </w:r>
        <w:r w:rsidR="00DF458B">
          <w:rPr>
            <w:webHidden/>
          </w:rPr>
          <w:tab/>
        </w:r>
        <w:r w:rsidR="00B80A05">
          <w:rPr>
            <w:webHidden/>
          </w:rPr>
          <w:fldChar w:fldCharType="begin"/>
        </w:r>
        <w:r w:rsidR="00DF458B">
          <w:rPr>
            <w:webHidden/>
          </w:rPr>
          <w:instrText xml:space="preserve"> PAGEREF _Toc419813941 \h </w:instrText>
        </w:r>
        <w:r w:rsidR="00B80A05">
          <w:rPr>
            <w:webHidden/>
          </w:rPr>
        </w:r>
        <w:r w:rsidR="00B80A05">
          <w:rPr>
            <w:webHidden/>
          </w:rPr>
          <w:fldChar w:fldCharType="separate"/>
        </w:r>
        <w:r w:rsidR="00316060">
          <w:rPr>
            <w:webHidden/>
          </w:rPr>
          <w:t>272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42" w:history="1">
        <w:r w:rsidR="00DF458B" w:rsidRPr="00503D2D">
          <w:rPr>
            <w:rStyle w:val="Hyperlink"/>
            <w:rFonts w:ascii="Arial Negrito" w:hAnsi="Arial Negrito"/>
            <w:bCs/>
          </w:rPr>
          <w:t>3.5.3.8.</w:t>
        </w:r>
        <w:r w:rsidR="00DF458B">
          <w:rPr>
            <w:rFonts w:asciiTheme="minorHAnsi" w:eastAsiaTheme="minorEastAsia" w:hAnsiTheme="minorHAnsi" w:cstheme="minorBidi"/>
          </w:rPr>
          <w:tab/>
        </w:r>
        <w:r w:rsidR="00DF458B" w:rsidRPr="00503D2D">
          <w:rPr>
            <w:rStyle w:val="Hyperlink"/>
            <w:rFonts w:ascii="Arial Negrito" w:hAnsi="Arial Negrito"/>
            <w:bCs/>
          </w:rPr>
          <w:t>Atendimento a Requisitos Legais e Outros Requisitos</w:t>
        </w:r>
        <w:r w:rsidR="00DF458B">
          <w:rPr>
            <w:webHidden/>
          </w:rPr>
          <w:tab/>
        </w:r>
        <w:r w:rsidR="00B80A05">
          <w:rPr>
            <w:webHidden/>
          </w:rPr>
          <w:fldChar w:fldCharType="begin"/>
        </w:r>
        <w:r w:rsidR="00DF458B">
          <w:rPr>
            <w:webHidden/>
          </w:rPr>
          <w:instrText xml:space="preserve"> PAGEREF _Toc419813942 \h </w:instrText>
        </w:r>
        <w:r w:rsidR="00B80A05">
          <w:rPr>
            <w:webHidden/>
          </w:rPr>
        </w:r>
        <w:r w:rsidR="00B80A05">
          <w:rPr>
            <w:webHidden/>
          </w:rPr>
          <w:fldChar w:fldCharType="separate"/>
        </w:r>
        <w:r w:rsidR="00316060">
          <w:rPr>
            <w:webHidden/>
          </w:rPr>
          <w:t>273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43" w:history="1">
        <w:r w:rsidR="00DF458B" w:rsidRPr="00503D2D">
          <w:rPr>
            <w:rStyle w:val="Hyperlink"/>
            <w:rFonts w:ascii="Arial Negrito" w:hAnsi="Arial Negrito"/>
            <w:bCs/>
          </w:rPr>
          <w:t>3.5.3.9.</w:t>
        </w:r>
        <w:r w:rsidR="00DF458B">
          <w:rPr>
            <w:rFonts w:asciiTheme="minorHAnsi" w:eastAsiaTheme="minorEastAsia" w:hAnsiTheme="minorHAnsi" w:cstheme="minorBidi"/>
          </w:rPr>
          <w:tab/>
        </w:r>
        <w:r w:rsidR="00DF458B" w:rsidRPr="00503D2D">
          <w:rPr>
            <w:rStyle w:val="Hyperlink"/>
            <w:rFonts w:ascii="Arial Negrito" w:hAnsi="Arial Negrito"/>
            <w:bCs/>
          </w:rPr>
          <w:t>Inter-relação com outros Planos e Programas</w:t>
        </w:r>
        <w:r w:rsidR="00DF458B">
          <w:rPr>
            <w:webHidden/>
          </w:rPr>
          <w:tab/>
        </w:r>
        <w:r w:rsidR="00B80A05">
          <w:rPr>
            <w:webHidden/>
          </w:rPr>
          <w:fldChar w:fldCharType="begin"/>
        </w:r>
        <w:r w:rsidR="00DF458B">
          <w:rPr>
            <w:webHidden/>
          </w:rPr>
          <w:instrText xml:space="preserve"> PAGEREF _Toc419813943 \h </w:instrText>
        </w:r>
        <w:r w:rsidR="00B80A05">
          <w:rPr>
            <w:webHidden/>
          </w:rPr>
        </w:r>
        <w:r w:rsidR="00B80A05">
          <w:rPr>
            <w:webHidden/>
          </w:rPr>
          <w:fldChar w:fldCharType="separate"/>
        </w:r>
        <w:r w:rsidR="00316060">
          <w:rPr>
            <w:webHidden/>
          </w:rPr>
          <w:t>273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44" w:history="1">
        <w:r w:rsidR="00DF458B" w:rsidRPr="00503D2D">
          <w:rPr>
            <w:rStyle w:val="Hyperlink"/>
            <w:rFonts w:ascii="Arial Negrito" w:hAnsi="Arial Negrito"/>
            <w:bCs/>
          </w:rPr>
          <w:t>3.5.3.10.</w:t>
        </w:r>
        <w:r w:rsidR="00DF458B">
          <w:rPr>
            <w:rFonts w:asciiTheme="minorHAnsi" w:eastAsiaTheme="minorEastAsia" w:hAnsiTheme="minorHAnsi" w:cstheme="minorBidi"/>
          </w:rPr>
          <w:tab/>
        </w:r>
        <w:r w:rsidR="00DF458B" w:rsidRPr="00503D2D">
          <w:rPr>
            <w:rStyle w:val="Hyperlink"/>
            <w:rFonts w:ascii="Arial Negrito" w:hAnsi="Arial Negrito"/>
            <w:bCs/>
          </w:rPr>
          <w:t>Etapa dos Empreendimentos</w:t>
        </w:r>
        <w:r w:rsidR="00DF458B">
          <w:rPr>
            <w:webHidden/>
          </w:rPr>
          <w:tab/>
        </w:r>
        <w:r w:rsidR="00B80A05">
          <w:rPr>
            <w:webHidden/>
          </w:rPr>
          <w:fldChar w:fldCharType="begin"/>
        </w:r>
        <w:r w:rsidR="00DF458B">
          <w:rPr>
            <w:webHidden/>
          </w:rPr>
          <w:instrText xml:space="preserve"> PAGEREF _Toc419813944 \h </w:instrText>
        </w:r>
        <w:r w:rsidR="00B80A05">
          <w:rPr>
            <w:webHidden/>
          </w:rPr>
        </w:r>
        <w:r w:rsidR="00B80A05">
          <w:rPr>
            <w:webHidden/>
          </w:rPr>
          <w:fldChar w:fldCharType="separate"/>
        </w:r>
        <w:r w:rsidR="00316060">
          <w:rPr>
            <w:webHidden/>
          </w:rPr>
          <w:t>273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45" w:history="1">
        <w:r w:rsidR="00DF458B" w:rsidRPr="00503D2D">
          <w:rPr>
            <w:rStyle w:val="Hyperlink"/>
            <w:rFonts w:ascii="Arial Negrito" w:hAnsi="Arial Negrito"/>
            <w:bCs/>
          </w:rPr>
          <w:t>3.5.3.11.</w:t>
        </w:r>
        <w:r w:rsidR="00DF458B">
          <w:rPr>
            <w:rFonts w:asciiTheme="minorHAnsi" w:eastAsiaTheme="minorEastAsia" w:hAnsiTheme="minorHAnsi" w:cstheme="minorBidi"/>
          </w:rPr>
          <w:tab/>
        </w:r>
        <w:r w:rsidR="00DF458B" w:rsidRPr="00503D2D">
          <w:rPr>
            <w:rStyle w:val="Hyperlink"/>
            <w:rFonts w:ascii="Arial Negrito" w:hAnsi="Arial Negrito"/>
            <w:bCs/>
          </w:rPr>
          <w:t>Cronograma de Execução</w:t>
        </w:r>
        <w:r w:rsidR="00DF458B">
          <w:rPr>
            <w:webHidden/>
          </w:rPr>
          <w:tab/>
        </w:r>
        <w:r w:rsidR="00B80A05">
          <w:rPr>
            <w:webHidden/>
          </w:rPr>
          <w:fldChar w:fldCharType="begin"/>
        </w:r>
        <w:r w:rsidR="00DF458B">
          <w:rPr>
            <w:webHidden/>
          </w:rPr>
          <w:instrText xml:space="preserve"> PAGEREF _Toc419813945 \h </w:instrText>
        </w:r>
        <w:r w:rsidR="00B80A05">
          <w:rPr>
            <w:webHidden/>
          </w:rPr>
        </w:r>
        <w:r w:rsidR="00B80A05">
          <w:rPr>
            <w:webHidden/>
          </w:rPr>
          <w:fldChar w:fldCharType="separate"/>
        </w:r>
        <w:r w:rsidR="00316060">
          <w:rPr>
            <w:webHidden/>
          </w:rPr>
          <w:t>273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46" w:history="1">
        <w:r w:rsidR="00DF458B" w:rsidRPr="00503D2D">
          <w:rPr>
            <w:rStyle w:val="Hyperlink"/>
            <w:rFonts w:ascii="Arial Negrito" w:hAnsi="Arial Negrito"/>
            <w:bCs/>
          </w:rPr>
          <w:t>3.5.3.12.</w:t>
        </w:r>
        <w:r w:rsidR="00DF458B">
          <w:rPr>
            <w:rFonts w:asciiTheme="minorHAnsi" w:eastAsiaTheme="minorEastAsia" w:hAnsiTheme="minorHAnsi" w:cstheme="minorBidi"/>
          </w:rPr>
          <w:tab/>
        </w:r>
        <w:r w:rsidR="00DF458B" w:rsidRPr="00503D2D">
          <w:rPr>
            <w:rStyle w:val="Hyperlink"/>
            <w:rFonts w:ascii="Arial Negrito" w:hAnsi="Arial Negrito"/>
            <w:bCs/>
          </w:rPr>
          <w:t>Responsável pela Implementação do Programa</w:t>
        </w:r>
        <w:r w:rsidR="00DF458B">
          <w:rPr>
            <w:webHidden/>
          </w:rPr>
          <w:tab/>
        </w:r>
        <w:r w:rsidR="00B80A05">
          <w:rPr>
            <w:webHidden/>
          </w:rPr>
          <w:fldChar w:fldCharType="begin"/>
        </w:r>
        <w:r w:rsidR="00DF458B">
          <w:rPr>
            <w:webHidden/>
          </w:rPr>
          <w:instrText xml:space="preserve"> PAGEREF _Toc419813946 \h </w:instrText>
        </w:r>
        <w:r w:rsidR="00B80A05">
          <w:rPr>
            <w:webHidden/>
          </w:rPr>
        </w:r>
        <w:r w:rsidR="00B80A05">
          <w:rPr>
            <w:webHidden/>
          </w:rPr>
          <w:fldChar w:fldCharType="separate"/>
        </w:r>
        <w:r w:rsidR="00316060">
          <w:rPr>
            <w:webHidden/>
          </w:rPr>
          <w:t>273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47" w:history="1">
        <w:r w:rsidR="00DF458B" w:rsidRPr="00503D2D">
          <w:rPr>
            <w:rStyle w:val="Hyperlink"/>
            <w:rFonts w:ascii="Arial Negrito" w:hAnsi="Arial Negrito"/>
            <w:bCs/>
          </w:rPr>
          <w:t>3.5.3.13.</w:t>
        </w:r>
        <w:r w:rsidR="00DF458B">
          <w:rPr>
            <w:rFonts w:asciiTheme="minorHAnsi" w:eastAsiaTheme="minorEastAsia" w:hAnsiTheme="minorHAnsi" w:cstheme="minorBidi"/>
          </w:rPr>
          <w:tab/>
        </w:r>
        <w:r w:rsidR="00DF458B" w:rsidRPr="00503D2D">
          <w:rPr>
            <w:rStyle w:val="Hyperlink"/>
            <w:rFonts w:ascii="Arial Negrito" w:hAnsi="Arial Negrito"/>
            <w:bCs/>
          </w:rPr>
          <w:t>Sistemas de Registros</w:t>
        </w:r>
        <w:r w:rsidR="00DF458B">
          <w:rPr>
            <w:webHidden/>
          </w:rPr>
          <w:tab/>
        </w:r>
        <w:r w:rsidR="00B80A05">
          <w:rPr>
            <w:webHidden/>
          </w:rPr>
          <w:fldChar w:fldCharType="begin"/>
        </w:r>
        <w:r w:rsidR="00DF458B">
          <w:rPr>
            <w:webHidden/>
          </w:rPr>
          <w:instrText xml:space="preserve"> PAGEREF _Toc419813947 \h </w:instrText>
        </w:r>
        <w:r w:rsidR="00B80A05">
          <w:rPr>
            <w:webHidden/>
          </w:rPr>
        </w:r>
        <w:r w:rsidR="00B80A05">
          <w:rPr>
            <w:webHidden/>
          </w:rPr>
          <w:fldChar w:fldCharType="separate"/>
        </w:r>
        <w:r w:rsidR="00316060">
          <w:rPr>
            <w:webHidden/>
          </w:rPr>
          <w:t>273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48" w:history="1">
        <w:r w:rsidR="00DF458B" w:rsidRPr="00503D2D">
          <w:rPr>
            <w:rStyle w:val="Hyperlink"/>
            <w:rFonts w:ascii="Arial Negrito" w:hAnsi="Arial Negrito"/>
            <w:bCs/>
          </w:rPr>
          <w:t>3.5.3.14.</w:t>
        </w:r>
        <w:r w:rsidR="00DF458B">
          <w:rPr>
            <w:rFonts w:asciiTheme="minorHAnsi" w:eastAsiaTheme="minorEastAsia" w:hAnsiTheme="minorHAnsi" w:cstheme="minorBidi"/>
          </w:rPr>
          <w:tab/>
        </w:r>
        <w:r w:rsidR="00DF458B" w:rsidRPr="00503D2D">
          <w:rPr>
            <w:rStyle w:val="Hyperlink"/>
            <w:rFonts w:ascii="Arial Negrito" w:hAnsi="Arial Negrito"/>
            <w:bCs/>
          </w:rPr>
          <w:t>Referências Bibliográficas</w:t>
        </w:r>
        <w:r w:rsidR="00DF458B">
          <w:rPr>
            <w:webHidden/>
          </w:rPr>
          <w:tab/>
        </w:r>
        <w:r w:rsidR="00B80A05">
          <w:rPr>
            <w:webHidden/>
          </w:rPr>
          <w:fldChar w:fldCharType="begin"/>
        </w:r>
        <w:r w:rsidR="00DF458B">
          <w:rPr>
            <w:webHidden/>
          </w:rPr>
          <w:instrText xml:space="preserve"> PAGEREF _Toc419813948 \h </w:instrText>
        </w:r>
        <w:r w:rsidR="00B80A05">
          <w:rPr>
            <w:webHidden/>
          </w:rPr>
        </w:r>
        <w:r w:rsidR="00B80A05">
          <w:rPr>
            <w:webHidden/>
          </w:rPr>
          <w:fldChar w:fldCharType="separate"/>
        </w:r>
        <w:r w:rsidR="00316060">
          <w:rPr>
            <w:webHidden/>
          </w:rPr>
          <w:t>273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49" w:history="1">
        <w:r w:rsidR="00DF458B" w:rsidRPr="00503D2D">
          <w:rPr>
            <w:rStyle w:val="Hyperlink"/>
            <w:rFonts w:ascii="Arial Negrito" w:hAnsi="Arial Negrito"/>
            <w:bCs/>
          </w:rPr>
          <w:t>3.5.4.</w:t>
        </w:r>
        <w:r w:rsidR="00DF458B">
          <w:rPr>
            <w:rStyle w:val="Hyperlink"/>
            <w:rFonts w:ascii="Arial Negrito" w:hAnsi="Arial Negrito"/>
            <w:bCs/>
          </w:rPr>
          <w:t xml:space="preserve"> </w:t>
        </w:r>
        <w:r w:rsidR="00DF458B" w:rsidRPr="00503D2D">
          <w:rPr>
            <w:rStyle w:val="Hyperlink"/>
            <w:rFonts w:ascii="Arial Negrito" w:hAnsi="Arial Negrito"/>
            <w:bCs/>
          </w:rPr>
          <w:t>Programa de Mobilização e Desmobilização da Mão de Obra</w:t>
        </w:r>
        <w:r w:rsidR="00DF458B">
          <w:rPr>
            <w:webHidden/>
          </w:rPr>
          <w:tab/>
        </w:r>
        <w:r w:rsidR="00B80A05">
          <w:rPr>
            <w:webHidden/>
          </w:rPr>
          <w:fldChar w:fldCharType="begin"/>
        </w:r>
        <w:r w:rsidR="00DF458B">
          <w:rPr>
            <w:webHidden/>
          </w:rPr>
          <w:instrText xml:space="preserve"> PAGEREF _Toc419813949 \h </w:instrText>
        </w:r>
        <w:r w:rsidR="00B80A05">
          <w:rPr>
            <w:webHidden/>
          </w:rPr>
        </w:r>
        <w:r w:rsidR="00B80A05">
          <w:rPr>
            <w:webHidden/>
          </w:rPr>
          <w:fldChar w:fldCharType="separate"/>
        </w:r>
        <w:r w:rsidR="00316060">
          <w:rPr>
            <w:webHidden/>
          </w:rPr>
          <w:t>273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50" w:history="1">
        <w:r w:rsidR="00DF458B" w:rsidRPr="00503D2D">
          <w:rPr>
            <w:rStyle w:val="Hyperlink"/>
            <w:rFonts w:ascii="Arial Negrito" w:hAnsi="Arial Negrito"/>
            <w:bCs/>
          </w:rPr>
          <w:t>3.5.4.1.</w:t>
        </w:r>
        <w:r w:rsidR="00CA765A">
          <w:rPr>
            <w:rFonts w:asciiTheme="minorHAnsi" w:eastAsiaTheme="minorEastAsia" w:hAnsiTheme="minorHAnsi" w:cstheme="minorBidi"/>
          </w:rPr>
          <w:t xml:space="preserve"> </w:t>
        </w:r>
        <w:r w:rsidR="00DF458B" w:rsidRPr="00503D2D">
          <w:rPr>
            <w:rStyle w:val="Hyperlink"/>
            <w:rFonts w:ascii="Arial Negrito" w:hAnsi="Arial Negrito"/>
            <w:bCs/>
          </w:rPr>
          <w:t>Apresentação e Justificativas</w:t>
        </w:r>
        <w:r w:rsidR="00DF458B">
          <w:rPr>
            <w:webHidden/>
          </w:rPr>
          <w:tab/>
        </w:r>
        <w:r w:rsidR="00B80A05">
          <w:rPr>
            <w:webHidden/>
          </w:rPr>
          <w:fldChar w:fldCharType="begin"/>
        </w:r>
        <w:r w:rsidR="00DF458B">
          <w:rPr>
            <w:webHidden/>
          </w:rPr>
          <w:instrText xml:space="preserve"> PAGEREF _Toc419813950 \h </w:instrText>
        </w:r>
        <w:r w:rsidR="00B80A05">
          <w:rPr>
            <w:webHidden/>
          </w:rPr>
        </w:r>
        <w:r w:rsidR="00B80A05">
          <w:rPr>
            <w:webHidden/>
          </w:rPr>
          <w:fldChar w:fldCharType="separate"/>
        </w:r>
        <w:r w:rsidR="00316060">
          <w:rPr>
            <w:webHidden/>
          </w:rPr>
          <w:t>273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51" w:history="1">
        <w:r w:rsidR="00DF458B" w:rsidRPr="00503D2D">
          <w:rPr>
            <w:rStyle w:val="Hyperlink"/>
            <w:rFonts w:ascii="Arial Negrito" w:hAnsi="Arial Negrito"/>
            <w:bCs/>
          </w:rPr>
          <w:t>3.5.4.2.</w:t>
        </w:r>
        <w:r w:rsidR="00CA765A">
          <w:rPr>
            <w:rFonts w:asciiTheme="minorHAnsi" w:eastAsiaTheme="minorEastAsia" w:hAnsiTheme="minorHAnsi" w:cstheme="minorBidi"/>
          </w:rPr>
          <w:t xml:space="preserve"> </w:t>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_Toc419813951 \h </w:instrText>
        </w:r>
        <w:r w:rsidR="00B80A05">
          <w:rPr>
            <w:webHidden/>
          </w:rPr>
        </w:r>
        <w:r w:rsidR="00B80A05">
          <w:rPr>
            <w:webHidden/>
          </w:rPr>
          <w:fldChar w:fldCharType="separate"/>
        </w:r>
        <w:r w:rsidR="00316060">
          <w:rPr>
            <w:webHidden/>
          </w:rPr>
          <w:t>274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52" w:history="1">
        <w:r w:rsidR="00DF458B" w:rsidRPr="00503D2D">
          <w:rPr>
            <w:rStyle w:val="Hyperlink"/>
            <w:rFonts w:ascii="Arial Negrito" w:hAnsi="Arial Negrito"/>
            <w:bCs/>
          </w:rPr>
          <w:t>3.5.4.3. Metas</w:t>
        </w:r>
        <w:r w:rsidR="00DF458B">
          <w:rPr>
            <w:webHidden/>
          </w:rPr>
          <w:tab/>
        </w:r>
        <w:r w:rsidR="00B80A05">
          <w:rPr>
            <w:webHidden/>
          </w:rPr>
          <w:fldChar w:fldCharType="begin"/>
        </w:r>
        <w:r w:rsidR="00DF458B">
          <w:rPr>
            <w:webHidden/>
          </w:rPr>
          <w:instrText xml:space="preserve"> PAGEREF _Toc419813952 \h </w:instrText>
        </w:r>
        <w:r w:rsidR="00B80A05">
          <w:rPr>
            <w:webHidden/>
          </w:rPr>
        </w:r>
        <w:r w:rsidR="00B80A05">
          <w:rPr>
            <w:webHidden/>
          </w:rPr>
          <w:fldChar w:fldCharType="separate"/>
        </w:r>
        <w:r w:rsidR="00316060">
          <w:rPr>
            <w:webHidden/>
          </w:rPr>
          <w:t>275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53" w:history="1">
        <w:r w:rsidR="00DF458B" w:rsidRPr="00503D2D">
          <w:rPr>
            <w:rStyle w:val="Hyperlink"/>
            <w:rFonts w:ascii="Arial Negrito" w:hAnsi="Arial Negrito"/>
            <w:bCs/>
          </w:rPr>
          <w:t>3.5.4.4. Público Alvo</w:t>
        </w:r>
        <w:r w:rsidR="00DF458B">
          <w:rPr>
            <w:webHidden/>
          </w:rPr>
          <w:tab/>
        </w:r>
        <w:r w:rsidR="00B80A05">
          <w:rPr>
            <w:webHidden/>
          </w:rPr>
          <w:fldChar w:fldCharType="begin"/>
        </w:r>
        <w:r w:rsidR="00DF458B">
          <w:rPr>
            <w:webHidden/>
          </w:rPr>
          <w:instrText xml:space="preserve"> PAGEREF _Toc419813953 \h </w:instrText>
        </w:r>
        <w:r w:rsidR="00B80A05">
          <w:rPr>
            <w:webHidden/>
          </w:rPr>
        </w:r>
        <w:r w:rsidR="00B80A05">
          <w:rPr>
            <w:webHidden/>
          </w:rPr>
          <w:fldChar w:fldCharType="separate"/>
        </w:r>
        <w:r w:rsidR="00316060">
          <w:rPr>
            <w:webHidden/>
          </w:rPr>
          <w:t>275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54" w:history="1">
        <w:r w:rsidR="00DF458B" w:rsidRPr="00503D2D">
          <w:rPr>
            <w:rStyle w:val="Hyperlink"/>
            <w:rFonts w:ascii="Arial Negrito" w:hAnsi="Arial Negrito"/>
            <w:bCs/>
          </w:rPr>
          <w:t>3.5.4.5. Métodos e Descrição do Programa</w:t>
        </w:r>
        <w:r w:rsidR="00DF458B">
          <w:rPr>
            <w:webHidden/>
          </w:rPr>
          <w:tab/>
        </w:r>
        <w:r w:rsidR="00B80A05">
          <w:rPr>
            <w:webHidden/>
          </w:rPr>
          <w:fldChar w:fldCharType="begin"/>
        </w:r>
        <w:r w:rsidR="00DF458B">
          <w:rPr>
            <w:webHidden/>
          </w:rPr>
          <w:instrText xml:space="preserve"> PAGEREF _Toc419813954 \h </w:instrText>
        </w:r>
        <w:r w:rsidR="00B80A05">
          <w:rPr>
            <w:webHidden/>
          </w:rPr>
        </w:r>
        <w:r w:rsidR="00B80A05">
          <w:rPr>
            <w:webHidden/>
          </w:rPr>
          <w:fldChar w:fldCharType="separate"/>
        </w:r>
        <w:r w:rsidR="00316060">
          <w:rPr>
            <w:webHidden/>
          </w:rPr>
          <w:t>275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55" w:history="1">
        <w:r w:rsidR="00DF458B" w:rsidRPr="00503D2D">
          <w:rPr>
            <w:rStyle w:val="Hyperlink"/>
            <w:rFonts w:ascii="Arial Negrito" w:hAnsi="Arial Negrito"/>
            <w:bCs/>
          </w:rPr>
          <w:t>3.5.4.6. Indicadores Ambientais</w:t>
        </w:r>
        <w:r w:rsidR="00DF458B">
          <w:rPr>
            <w:webHidden/>
          </w:rPr>
          <w:tab/>
        </w:r>
        <w:r w:rsidR="00B80A05">
          <w:rPr>
            <w:webHidden/>
          </w:rPr>
          <w:fldChar w:fldCharType="begin"/>
        </w:r>
        <w:r w:rsidR="00DF458B">
          <w:rPr>
            <w:webHidden/>
          </w:rPr>
          <w:instrText xml:space="preserve"> PAGEREF _Toc419813955 \h </w:instrText>
        </w:r>
        <w:r w:rsidR="00B80A05">
          <w:rPr>
            <w:webHidden/>
          </w:rPr>
        </w:r>
        <w:r w:rsidR="00B80A05">
          <w:rPr>
            <w:webHidden/>
          </w:rPr>
          <w:fldChar w:fldCharType="separate"/>
        </w:r>
        <w:r w:rsidR="00316060">
          <w:rPr>
            <w:webHidden/>
          </w:rPr>
          <w:t>276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56" w:history="1">
        <w:r w:rsidR="00DF458B" w:rsidRPr="00503D2D">
          <w:rPr>
            <w:rStyle w:val="Hyperlink"/>
            <w:rFonts w:ascii="Arial Negrito" w:hAnsi="Arial Negrito"/>
            <w:bCs/>
          </w:rPr>
          <w:t>3.5.4.7. Recursos Materiais e Humanos</w:t>
        </w:r>
        <w:r w:rsidR="00DF458B">
          <w:rPr>
            <w:webHidden/>
          </w:rPr>
          <w:tab/>
        </w:r>
        <w:r w:rsidR="00B80A05">
          <w:rPr>
            <w:webHidden/>
          </w:rPr>
          <w:fldChar w:fldCharType="begin"/>
        </w:r>
        <w:r w:rsidR="00DF458B">
          <w:rPr>
            <w:webHidden/>
          </w:rPr>
          <w:instrText xml:space="preserve"> PAGEREF _Toc419813956 \h </w:instrText>
        </w:r>
        <w:r w:rsidR="00B80A05">
          <w:rPr>
            <w:webHidden/>
          </w:rPr>
        </w:r>
        <w:r w:rsidR="00B80A05">
          <w:rPr>
            <w:webHidden/>
          </w:rPr>
          <w:fldChar w:fldCharType="separate"/>
        </w:r>
        <w:r w:rsidR="00316060">
          <w:rPr>
            <w:webHidden/>
          </w:rPr>
          <w:t>276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57" w:history="1">
        <w:r w:rsidR="00DF458B" w:rsidRPr="00503D2D">
          <w:rPr>
            <w:rStyle w:val="Hyperlink"/>
            <w:rFonts w:ascii="Arial Negrito" w:hAnsi="Arial Negrito"/>
            <w:bCs/>
          </w:rPr>
          <w:t>3.5.4.8. Atendimento a Requisitos Legais e Outros Requisitos</w:t>
        </w:r>
        <w:r w:rsidR="00DF458B">
          <w:rPr>
            <w:webHidden/>
          </w:rPr>
          <w:tab/>
        </w:r>
        <w:r w:rsidR="00B80A05">
          <w:rPr>
            <w:webHidden/>
          </w:rPr>
          <w:fldChar w:fldCharType="begin"/>
        </w:r>
        <w:r w:rsidR="00DF458B">
          <w:rPr>
            <w:webHidden/>
          </w:rPr>
          <w:instrText xml:space="preserve"> PAGEREF _Toc419813957 \h </w:instrText>
        </w:r>
        <w:r w:rsidR="00B80A05">
          <w:rPr>
            <w:webHidden/>
          </w:rPr>
        </w:r>
        <w:r w:rsidR="00B80A05">
          <w:rPr>
            <w:webHidden/>
          </w:rPr>
          <w:fldChar w:fldCharType="separate"/>
        </w:r>
        <w:r w:rsidR="00316060">
          <w:rPr>
            <w:webHidden/>
          </w:rPr>
          <w:t>276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58" w:history="1">
        <w:r w:rsidR="00DF458B" w:rsidRPr="00503D2D">
          <w:rPr>
            <w:rStyle w:val="Hyperlink"/>
            <w:rFonts w:ascii="Arial Negrito" w:hAnsi="Arial Negrito"/>
            <w:bCs/>
          </w:rPr>
          <w:t>3.5.4.9. Inter-relação com outros Planos e Programas</w:t>
        </w:r>
        <w:r w:rsidR="00DF458B">
          <w:rPr>
            <w:webHidden/>
          </w:rPr>
          <w:tab/>
        </w:r>
        <w:r w:rsidR="00B80A05">
          <w:rPr>
            <w:webHidden/>
          </w:rPr>
          <w:fldChar w:fldCharType="begin"/>
        </w:r>
        <w:r w:rsidR="00DF458B">
          <w:rPr>
            <w:webHidden/>
          </w:rPr>
          <w:instrText xml:space="preserve"> PAGEREF _Toc419813958 \h </w:instrText>
        </w:r>
        <w:r w:rsidR="00B80A05">
          <w:rPr>
            <w:webHidden/>
          </w:rPr>
        </w:r>
        <w:r w:rsidR="00B80A05">
          <w:rPr>
            <w:webHidden/>
          </w:rPr>
          <w:fldChar w:fldCharType="separate"/>
        </w:r>
        <w:r w:rsidR="00316060">
          <w:rPr>
            <w:webHidden/>
          </w:rPr>
          <w:t>276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59" w:history="1">
        <w:r w:rsidR="00DF458B" w:rsidRPr="00503D2D">
          <w:rPr>
            <w:rStyle w:val="Hyperlink"/>
            <w:rFonts w:ascii="Arial Negrito" w:hAnsi="Arial Negrito"/>
            <w:bCs/>
          </w:rPr>
          <w:t>3.5.4.10. Etapa dos Empreendimentos</w:t>
        </w:r>
        <w:r w:rsidR="00DF458B">
          <w:rPr>
            <w:webHidden/>
          </w:rPr>
          <w:tab/>
        </w:r>
        <w:r w:rsidR="00B80A05">
          <w:rPr>
            <w:webHidden/>
          </w:rPr>
          <w:fldChar w:fldCharType="begin"/>
        </w:r>
        <w:r w:rsidR="00DF458B">
          <w:rPr>
            <w:webHidden/>
          </w:rPr>
          <w:instrText xml:space="preserve"> PAGEREF _Toc419813959 \h </w:instrText>
        </w:r>
        <w:r w:rsidR="00B80A05">
          <w:rPr>
            <w:webHidden/>
          </w:rPr>
        </w:r>
        <w:r w:rsidR="00B80A05">
          <w:rPr>
            <w:webHidden/>
          </w:rPr>
          <w:fldChar w:fldCharType="separate"/>
        </w:r>
        <w:r w:rsidR="00316060">
          <w:rPr>
            <w:webHidden/>
          </w:rPr>
          <w:t>276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60" w:history="1">
        <w:r w:rsidR="00DF458B" w:rsidRPr="00503D2D">
          <w:rPr>
            <w:rStyle w:val="Hyperlink"/>
            <w:rFonts w:ascii="Arial Negrito" w:hAnsi="Arial Negrito"/>
            <w:bCs/>
          </w:rPr>
          <w:t>3.5.4.11. Cronograma de Execução</w:t>
        </w:r>
        <w:r w:rsidR="00DF458B">
          <w:rPr>
            <w:webHidden/>
          </w:rPr>
          <w:tab/>
        </w:r>
        <w:r w:rsidR="00B80A05">
          <w:rPr>
            <w:webHidden/>
          </w:rPr>
          <w:fldChar w:fldCharType="begin"/>
        </w:r>
        <w:r w:rsidR="00DF458B">
          <w:rPr>
            <w:webHidden/>
          </w:rPr>
          <w:instrText xml:space="preserve"> PAGEREF _Toc419813960 \h </w:instrText>
        </w:r>
        <w:r w:rsidR="00B80A05">
          <w:rPr>
            <w:webHidden/>
          </w:rPr>
        </w:r>
        <w:r w:rsidR="00B80A05">
          <w:rPr>
            <w:webHidden/>
          </w:rPr>
          <w:fldChar w:fldCharType="separate"/>
        </w:r>
        <w:r w:rsidR="00316060">
          <w:rPr>
            <w:webHidden/>
          </w:rPr>
          <w:t>276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61" w:history="1">
        <w:r w:rsidR="00DF458B" w:rsidRPr="00503D2D">
          <w:rPr>
            <w:rStyle w:val="Hyperlink"/>
            <w:rFonts w:ascii="Arial Negrito" w:hAnsi="Arial Negrito"/>
            <w:bCs/>
          </w:rPr>
          <w:t>3.5.4.12. Responsável pela Implementação do Programa</w:t>
        </w:r>
        <w:r w:rsidR="00DF458B">
          <w:rPr>
            <w:webHidden/>
          </w:rPr>
          <w:tab/>
        </w:r>
        <w:r w:rsidR="00B80A05">
          <w:rPr>
            <w:webHidden/>
          </w:rPr>
          <w:fldChar w:fldCharType="begin"/>
        </w:r>
        <w:r w:rsidR="00DF458B">
          <w:rPr>
            <w:webHidden/>
          </w:rPr>
          <w:instrText xml:space="preserve"> PAGEREF _Toc419813961 \h </w:instrText>
        </w:r>
        <w:r w:rsidR="00B80A05">
          <w:rPr>
            <w:webHidden/>
          </w:rPr>
        </w:r>
        <w:r w:rsidR="00B80A05">
          <w:rPr>
            <w:webHidden/>
          </w:rPr>
          <w:fldChar w:fldCharType="separate"/>
        </w:r>
        <w:r w:rsidR="00316060">
          <w:rPr>
            <w:webHidden/>
          </w:rPr>
          <w:t>276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62" w:history="1">
        <w:r w:rsidR="00DF458B" w:rsidRPr="00503D2D">
          <w:rPr>
            <w:rStyle w:val="Hyperlink"/>
            <w:rFonts w:ascii="Arial Negrito" w:hAnsi="Arial Negrito"/>
            <w:bCs/>
          </w:rPr>
          <w:t>3.5.4.13. Sistemas de Registros</w:t>
        </w:r>
        <w:r w:rsidR="00DF458B">
          <w:rPr>
            <w:webHidden/>
          </w:rPr>
          <w:tab/>
        </w:r>
        <w:r w:rsidR="00B80A05">
          <w:rPr>
            <w:webHidden/>
          </w:rPr>
          <w:fldChar w:fldCharType="begin"/>
        </w:r>
        <w:r w:rsidR="00DF458B">
          <w:rPr>
            <w:webHidden/>
          </w:rPr>
          <w:instrText xml:space="preserve"> PAGEREF _Toc419813962 \h </w:instrText>
        </w:r>
        <w:r w:rsidR="00B80A05">
          <w:rPr>
            <w:webHidden/>
          </w:rPr>
        </w:r>
        <w:r w:rsidR="00B80A05">
          <w:rPr>
            <w:webHidden/>
          </w:rPr>
          <w:fldChar w:fldCharType="separate"/>
        </w:r>
        <w:r w:rsidR="00316060">
          <w:rPr>
            <w:webHidden/>
          </w:rPr>
          <w:t>276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63" w:history="1">
        <w:r w:rsidR="00DF458B" w:rsidRPr="00503D2D">
          <w:rPr>
            <w:rStyle w:val="Hyperlink"/>
            <w:rFonts w:ascii="Arial Negrito" w:hAnsi="Arial Negrito"/>
            <w:bCs/>
          </w:rPr>
          <w:t>3.5.4.14. Referências Bibliográficas</w:t>
        </w:r>
        <w:r w:rsidR="00DF458B">
          <w:rPr>
            <w:webHidden/>
          </w:rPr>
          <w:tab/>
        </w:r>
        <w:r w:rsidR="00B80A05">
          <w:rPr>
            <w:webHidden/>
          </w:rPr>
          <w:fldChar w:fldCharType="begin"/>
        </w:r>
        <w:r w:rsidR="00DF458B">
          <w:rPr>
            <w:webHidden/>
          </w:rPr>
          <w:instrText xml:space="preserve"> PAGEREF _Toc419813963 \h </w:instrText>
        </w:r>
        <w:r w:rsidR="00B80A05">
          <w:rPr>
            <w:webHidden/>
          </w:rPr>
        </w:r>
        <w:r w:rsidR="00B80A05">
          <w:rPr>
            <w:webHidden/>
          </w:rPr>
          <w:fldChar w:fldCharType="separate"/>
        </w:r>
        <w:r w:rsidR="00316060">
          <w:rPr>
            <w:webHidden/>
          </w:rPr>
          <w:t>277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64" w:history="1">
        <w:r w:rsidR="00DF458B" w:rsidRPr="00503D2D">
          <w:rPr>
            <w:rStyle w:val="Hyperlink"/>
            <w:rFonts w:ascii="Arial Negrito" w:hAnsi="Arial Negrito"/>
            <w:bCs/>
          </w:rPr>
          <w:t>3.5.5.</w:t>
        </w:r>
        <w:r w:rsidR="00DF458B">
          <w:rPr>
            <w:rStyle w:val="Hyperlink"/>
            <w:rFonts w:ascii="Arial Negrito" w:hAnsi="Arial Negrito"/>
            <w:bCs/>
          </w:rPr>
          <w:t xml:space="preserve"> </w:t>
        </w:r>
        <w:r w:rsidR="00DF458B" w:rsidRPr="00503D2D">
          <w:rPr>
            <w:rStyle w:val="Hyperlink"/>
            <w:rFonts w:ascii="Arial Negrito" w:hAnsi="Arial Negrito"/>
            <w:bCs/>
          </w:rPr>
          <w:t>Programa de Controle de Saúde Pública</w:t>
        </w:r>
        <w:r w:rsidR="00DF458B">
          <w:rPr>
            <w:webHidden/>
          </w:rPr>
          <w:tab/>
        </w:r>
        <w:r w:rsidR="00B80A05">
          <w:rPr>
            <w:webHidden/>
          </w:rPr>
          <w:fldChar w:fldCharType="begin"/>
        </w:r>
        <w:r w:rsidR="00DF458B">
          <w:rPr>
            <w:webHidden/>
          </w:rPr>
          <w:instrText xml:space="preserve"> PAGEREF _Toc419813964 \h </w:instrText>
        </w:r>
        <w:r w:rsidR="00B80A05">
          <w:rPr>
            <w:webHidden/>
          </w:rPr>
        </w:r>
        <w:r w:rsidR="00B80A05">
          <w:rPr>
            <w:webHidden/>
          </w:rPr>
          <w:fldChar w:fldCharType="separate"/>
        </w:r>
        <w:r w:rsidR="00316060">
          <w:rPr>
            <w:webHidden/>
          </w:rPr>
          <w:t>277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65" w:history="1">
        <w:r w:rsidR="00DF458B" w:rsidRPr="00503D2D">
          <w:rPr>
            <w:rStyle w:val="Hyperlink"/>
            <w:rFonts w:ascii="Arial Negrito" w:hAnsi="Arial Negrito"/>
            <w:bCs/>
          </w:rPr>
          <w:t>3.5.5.1.</w:t>
        </w:r>
        <w:r w:rsidR="00DF458B">
          <w:rPr>
            <w:rFonts w:asciiTheme="minorHAnsi" w:eastAsiaTheme="minorEastAsia" w:hAnsiTheme="minorHAnsi" w:cstheme="minorBidi"/>
          </w:rPr>
          <w:tab/>
        </w:r>
        <w:r w:rsidR="00DF458B" w:rsidRPr="00503D2D">
          <w:rPr>
            <w:rStyle w:val="Hyperlink"/>
            <w:rFonts w:ascii="Arial Negrito" w:hAnsi="Arial Negrito"/>
            <w:bCs/>
          </w:rPr>
          <w:t>Apresentação e Justificativas</w:t>
        </w:r>
        <w:r w:rsidR="00DF458B">
          <w:rPr>
            <w:webHidden/>
          </w:rPr>
          <w:tab/>
        </w:r>
        <w:r w:rsidR="00B80A05">
          <w:rPr>
            <w:webHidden/>
          </w:rPr>
          <w:fldChar w:fldCharType="begin"/>
        </w:r>
        <w:r w:rsidR="00DF458B">
          <w:rPr>
            <w:webHidden/>
          </w:rPr>
          <w:instrText xml:space="preserve"> PAGEREF _Toc419813965 \h </w:instrText>
        </w:r>
        <w:r w:rsidR="00B80A05">
          <w:rPr>
            <w:webHidden/>
          </w:rPr>
        </w:r>
        <w:r w:rsidR="00B80A05">
          <w:rPr>
            <w:webHidden/>
          </w:rPr>
          <w:fldChar w:fldCharType="separate"/>
        </w:r>
        <w:r w:rsidR="00316060">
          <w:rPr>
            <w:webHidden/>
          </w:rPr>
          <w:t>277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66" w:history="1">
        <w:r w:rsidR="00DF458B" w:rsidRPr="00503D2D">
          <w:rPr>
            <w:rStyle w:val="Hyperlink"/>
            <w:rFonts w:ascii="Arial Negrito" w:hAnsi="Arial Negrito"/>
            <w:bCs/>
          </w:rPr>
          <w:t>3.5.5.2.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_Toc419813966 \h </w:instrText>
        </w:r>
        <w:r w:rsidR="00B80A05">
          <w:rPr>
            <w:webHidden/>
          </w:rPr>
        </w:r>
        <w:r w:rsidR="00B80A05">
          <w:rPr>
            <w:webHidden/>
          </w:rPr>
          <w:fldChar w:fldCharType="separate"/>
        </w:r>
        <w:r w:rsidR="00316060">
          <w:rPr>
            <w:webHidden/>
          </w:rPr>
          <w:t>277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67" w:history="1">
        <w:r w:rsidR="00DF458B" w:rsidRPr="00503D2D">
          <w:rPr>
            <w:rStyle w:val="Hyperlink"/>
            <w:rFonts w:ascii="Arial Negrito" w:hAnsi="Arial Negrito"/>
            <w:bCs/>
          </w:rPr>
          <w:t>3.5.5.3.</w:t>
        </w:r>
        <w:r w:rsidR="00DF458B">
          <w:rPr>
            <w:rFonts w:asciiTheme="minorHAnsi" w:eastAsiaTheme="minorEastAsia" w:hAnsiTheme="minorHAnsi" w:cstheme="minorBidi"/>
          </w:rPr>
          <w:tab/>
        </w:r>
        <w:r w:rsidR="00DF458B" w:rsidRPr="00503D2D">
          <w:rPr>
            <w:rStyle w:val="Hyperlink"/>
            <w:rFonts w:ascii="Arial Negrito" w:hAnsi="Arial Negrito"/>
            <w:bCs/>
          </w:rPr>
          <w:t>Metas</w:t>
        </w:r>
        <w:r w:rsidR="00DF458B">
          <w:rPr>
            <w:webHidden/>
          </w:rPr>
          <w:tab/>
        </w:r>
        <w:r w:rsidR="00B80A05">
          <w:rPr>
            <w:webHidden/>
          </w:rPr>
          <w:fldChar w:fldCharType="begin"/>
        </w:r>
        <w:r w:rsidR="00DF458B">
          <w:rPr>
            <w:webHidden/>
          </w:rPr>
          <w:instrText xml:space="preserve"> PAGEREF _Toc419813967 \h </w:instrText>
        </w:r>
        <w:r w:rsidR="00B80A05">
          <w:rPr>
            <w:webHidden/>
          </w:rPr>
        </w:r>
        <w:r w:rsidR="00B80A05">
          <w:rPr>
            <w:webHidden/>
          </w:rPr>
          <w:fldChar w:fldCharType="separate"/>
        </w:r>
        <w:r w:rsidR="00316060">
          <w:rPr>
            <w:webHidden/>
          </w:rPr>
          <w:t>277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68" w:history="1">
        <w:r w:rsidR="00DF458B" w:rsidRPr="00503D2D">
          <w:rPr>
            <w:rStyle w:val="Hyperlink"/>
            <w:rFonts w:ascii="Arial Negrito" w:hAnsi="Arial Negrito"/>
            <w:bCs/>
          </w:rPr>
          <w:t>3.5.5.4.</w:t>
        </w:r>
        <w:r w:rsidR="00DF458B">
          <w:rPr>
            <w:rFonts w:asciiTheme="minorHAnsi" w:eastAsiaTheme="minorEastAsia" w:hAnsiTheme="minorHAnsi" w:cstheme="minorBidi"/>
          </w:rPr>
          <w:tab/>
        </w:r>
        <w:r w:rsidR="00DF458B" w:rsidRPr="00503D2D">
          <w:rPr>
            <w:rStyle w:val="Hyperlink"/>
            <w:rFonts w:ascii="Arial Negrito" w:hAnsi="Arial Negrito"/>
            <w:bCs/>
          </w:rPr>
          <w:t>Público-Alvo</w:t>
        </w:r>
        <w:r w:rsidR="00DF458B">
          <w:rPr>
            <w:webHidden/>
          </w:rPr>
          <w:tab/>
        </w:r>
        <w:r w:rsidR="00B80A05">
          <w:rPr>
            <w:webHidden/>
          </w:rPr>
          <w:fldChar w:fldCharType="begin"/>
        </w:r>
        <w:r w:rsidR="00DF458B">
          <w:rPr>
            <w:webHidden/>
          </w:rPr>
          <w:instrText xml:space="preserve"> PAGEREF _Toc419813968 \h </w:instrText>
        </w:r>
        <w:r w:rsidR="00B80A05">
          <w:rPr>
            <w:webHidden/>
          </w:rPr>
        </w:r>
        <w:r w:rsidR="00B80A05">
          <w:rPr>
            <w:webHidden/>
          </w:rPr>
          <w:fldChar w:fldCharType="separate"/>
        </w:r>
        <w:r w:rsidR="00316060">
          <w:rPr>
            <w:webHidden/>
          </w:rPr>
          <w:t>277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69" w:history="1">
        <w:r w:rsidR="00DF458B" w:rsidRPr="00503D2D">
          <w:rPr>
            <w:rStyle w:val="Hyperlink"/>
            <w:rFonts w:ascii="Arial Negrito" w:hAnsi="Arial Negrito"/>
            <w:bCs/>
          </w:rPr>
          <w:t>3.5.5.5.</w:t>
        </w:r>
        <w:r w:rsidR="00DF458B">
          <w:rPr>
            <w:rFonts w:asciiTheme="minorHAnsi" w:eastAsiaTheme="minorEastAsia" w:hAnsiTheme="minorHAnsi" w:cstheme="minorBidi"/>
          </w:rPr>
          <w:tab/>
        </w:r>
        <w:r w:rsidR="00DF458B" w:rsidRPr="00503D2D">
          <w:rPr>
            <w:rStyle w:val="Hyperlink"/>
            <w:rFonts w:ascii="Arial Negrito" w:hAnsi="Arial Negrito"/>
            <w:bCs/>
          </w:rPr>
          <w:t>Métodos e Descrição do Programa</w:t>
        </w:r>
        <w:r w:rsidR="00DF458B">
          <w:rPr>
            <w:webHidden/>
          </w:rPr>
          <w:tab/>
        </w:r>
        <w:r w:rsidR="00B80A05">
          <w:rPr>
            <w:webHidden/>
          </w:rPr>
          <w:fldChar w:fldCharType="begin"/>
        </w:r>
        <w:r w:rsidR="00DF458B">
          <w:rPr>
            <w:webHidden/>
          </w:rPr>
          <w:instrText xml:space="preserve"> PAGEREF _Toc419813969 \h </w:instrText>
        </w:r>
        <w:r w:rsidR="00B80A05">
          <w:rPr>
            <w:webHidden/>
          </w:rPr>
        </w:r>
        <w:r w:rsidR="00B80A05">
          <w:rPr>
            <w:webHidden/>
          </w:rPr>
          <w:fldChar w:fldCharType="separate"/>
        </w:r>
        <w:r w:rsidR="00316060">
          <w:rPr>
            <w:webHidden/>
          </w:rPr>
          <w:t>277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70" w:history="1">
        <w:r w:rsidR="00DF458B" w:rsidRPr="00503D2D">
          <w:rPr>
            <w:rStyle w:val="Hyperlink"/>
            <w:rFonts w:ascii="Arial Negrito" w:hAnsi="Arial Negrito"/>
            <w:bCs/>
          </w:rPr>
          <w:t>3.5.5.6.</w:t>
        </w:r>
        <w:r w:rsidR="00DF458B">
          <w:rPr>
            <w:rFonts w:asciiTheme="minorHAnsi" w:eastAsiaTheme="minorEastAsia" w:hAnsiTheme="minorHAnsi" w:cstheme="minorBidi"/>
          </w:rPr>
          <w:tab/>
        </w:r>
        <w:r w:rsidR="00DF458B" w:rsidRPr="00503D2D">
          <w:rPr>
            <w:rStyle w:val="Hyperlink"/>
            <w:rFonts w:ascii="Arial Negrito" w:hAnsi="Arial Negrito"/>
            <w:bCs/>
          </w:rPr>
          <w:t>Indicadores Ambientais</w:t>
        </w:r>
        <w:r w:rsidR="00DF458B">
          <w:rPr>
            <w:webHidden/>
          </w:rPr>
          <w:tab/>
        </w:r>
        <w:r w:rsidR="00B80A05">
          <w:rPr>
            <w:webHidden/>
          </w:rPr>
          <w:fldChar w:fldCharType="begin"/>
        </w:r>
        <w:r w:rsidR="00DF458B">
          <w:rPr>
            <w:webHidden/>
          </w:rPr>
          <w:instrText xml:space="preserve"> PAGEREF _Toc419813970 \h </w:instrText>
        </w:r>
        <w:r w:rsidR="00B80A05">
          <w:rPr>
            <w:webHidden/>
          </w:rPr>
        </w:r>
        <w:r w:rsidR="00B80A05">
          <w:rPr>
            <w:webHidden/>
          </w:rPr>
          <w:fldChar w:fldCharType="separate"/>
        </w:r>
        <w:r w:rsidR="00316060">
          <w:rPr>
            <w:webHidden/>
          </w:rPr>
          <w:t>278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71" w:history="1">
        <w:r w:rsidR="00DF458B" w:rsidRPr="00503D2D">
          <w:rPr>
            <w:rStyle w:val="Hyperlink"/>
            <w:rFonts w:ascii="Arial Negrito" w:hAnsi="Arial Negrito"/>
            <w:bCs/>
          </w:rPr>
          <w:t>3.5.5.7.</w:t>
        </w:r>
        <w:r w:rsidR="00DF458B">
          <w:rPr>
            <w:rFonts w:asciiTheme="minorHAnsi" w:eastAsiaTheme="minorEastAsia" w:hAnsiTheme="minorHAnsi" w:cstheme="minorBidi"/>
          </w:rPr>
          <w:tab/>
        </w:r>
        <w:r w:rsidR="00DF458B" w:rsidRPr="00503D2D">
          <w:rPr>
            <w:rStyle w:val="Hyperlink"/>
            <w:rFonts w:ascii="Arial Negrito" w:hAnsi="Arial Negrito"/>
            <w:bCs/>
          </w:rPr>
          <w:t>Recursos Materiais e Humanos</w:t>
        </w:r>
        <w:r w:rsidR="00DF458B">
          <w:rPr>
            <w:webHidden/>
          </w:rPr>
          <w:tab/>
        </w:r>
        <w:r w:rsidR="00B80A05">
          <w:rPr>
            <w:webHidden/>
          </w:rPr>
          <w:fldChar w:fldCharType="begin"/>
        </w:r>
        <w:r w:rsidR="00DF458B">
          <w:rPr>
            <w:webHidden/>
          </w:rPr>
          <w:instrText xml:space="preserve"> PAGEREF _Toc419813971 \h </w:instrText>
        </w:r>
        <w:r w:rsidR="00B80A05">
          <w:rPr>
            <w:webHidden/>
          </w:rPr>
        </w:r>
        <w:r w:rsidR="00B80A05">
          <w:rPr>
            <w:webHidden/>
          </w:rPr>
          <w:fldChar w:fldCharType="separate"/>
        </w:r>
        <w:r w:rsidR="00316060">
          <w:rPr>
            <w:webHidden/>
          </w:rPr>
          <w:t>278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72" w:history="1">
        <w:r w:rsidR="00DF458B" w:rsidRPr="00503D2D">
          <w:rPr>
            <w:rStyle w:val="Hyperlink"/>
            <w:rFonts w:ascii="Arial Negrito" w:hAnsi="Arial Negrito"/>
            <w:bCs/>
          </w:rPr>
          <w:t>3.5.5.8.</w:t>
        </w:r>
        <w:r w:rsidR="00DF458B">
          <w:rPr>
            <w:rFonts w:asciiTheme="minorHAnsi" w:eastAsiaTheme="minorEastAsia" w:hAnsiTheme="minorHAnsi" w:cstheme="minorBidi"/>
          </w:rPr>
          <w:tab/>
        </w:r>
        <w:r w:rsidR="00DF458B" w:rsidRPr="00503D2D">
          <w:rPr>
            <w:rStyle w:val="Hyperlink"/>
            <w:rFonts w:ascii="Arial Negrito" w:hAnsi="Arial Negrito"/>
            <w:bCs/>
          </w:rPr>
          <w:t>Atendimento a Requisitos Legais e/ou Outros Requisitos</w:t>
        </w:r>
        <w:r w:rsidR="00DF458B">
          <w:rPr>
            <w:webHidden/>
          </w:rPr>
          <w:tab/>
        </w:r>
        <w:r w:rsidR="00B80A05">
          <w:rPr>
            <w:webHidden/>
          </w:rPr>
          <w:fldChar w:fldCharType="begin"/>
        </w:r>
        <w:r w:rsidR="00DF458B">
          <w:rPr>
            <w:webHidden/>
          </w:rPr>
          <w:instrText xml:space="preserve"> PAGEREF _Toc419813972 \h </w:instrText>
        </w:r>
        <w:r w:rsidR="00B80A05">
          <w:rPr>
            <w:webHidden/>
          </w:rPr>
        </w:r>
        <w:r w:rsidR="00B80A05">
          <w:rPr>
            <w:webHidden/>
          </w:rPr>
          <w:fldChar w:fldCharType="separate"/>
        </w:r>
        <w:r w:rsidR="00316060">
          <w:rPr>
            <w:webHidden/>
          </w:rPr>
          <w:t>278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73" w:history="1">
        <w:r w:rsidR="00DF458B" w:rsidRPr="00503D2D">
          <w:rPr>
            <w:rStyle w:val="Hyperlink"/>
            <w:rFonts w:ascii="Arial Negrito" w:hAnsi="Arial Negrito"/>
            <w:bCs/>
          </w:rPr>
          <w:t>3.5.5.9.</w:t>
        </w:r>
        <w:r w:rsidR="00DF458B">
          <w:rPr>
            <w:rFonts w:asciiTheme="minorHAnsi" w:eastAsiaTheme="minorEastAsia" w:hAnsiTheme="minorHAnsi" w:cstheme="minorBidi"/>
          </w:rPr>
          <w:tab/>
        </w:r>
        <w:r w:rsidR="00DF458B" w:rsidRPr="00503D2D">
          <w:rPr>
            <w:rStyle w:val="Hyperlink"/>
            <w:rFonts w:ascii="Arial Negrito" w:hAnsi="Arial Negrito"/>
            <w:bCs/>
          </w:rPr>
          <w:t>Inter-relação com outros Planos e Programas</w:t>
        </w:r>
        <w:r w:rsidR="00DF458B">
          <w:rPr>
            <w:webHidden/>
          </w:rPr>
          <w:tab/>
        </w:r>
        <w:r w:rsidR="00B80A05">
          <w:rPr>
            <w:webHidden/>
          </w:rPr>
          <w:fldChar w:fldCharType="begin"/>
        </w:r>
        <w:r w:rsidR="00DF458B">
          <w:rPr>
            <w:webHidden/>
          </w:rPr>
          <w:instrText xml:space="preserve"> PAGEREF _Toc419813973 \h </w:instrText>
        </w:r>
        <w:r w:rsidR="00B80A05">
          <w:rPr>
            <w:webHidden/>
          </w:rPr>
        </w:r>
        <w:r w:rsidR="00B80A05">
          <w:rPr>
            <w:webHidden/>
          </w:rPr>
          <w:fldChar w:fldCharType="separate"/>
        </w:r>
        <w:r w:rsidR="00316060">
          <w:rPr>
            <w:webHidden/>
          </w:rPr>
          <w:t>278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74" w:history="1">
        <w:r w:rsidR="00DF458B" w:rsidRPr="00503D2D">
          <w:rPr>
            <w:rStyle w:val="Hyperlink"/>
            <w:rFonts w:ascii="Arial Negrito" w:hAnsi="Arial Negrito"/>
            <w:bCs/>
          </w:rPr>
          <w:t>3.5.5.10. Etapa dos Empreendimentos</w:t>
        </w:r>
        <w:r w:rsidR="00DF458B">
          <w:rPr>
            <w:webHidden/>
          </w:rPr>
          <w:tab/>
        </w:r>
        <w:r w:rsidR="00B80A05">
          <w:rPr>
            <w:webHidden/>
          </w:rPr>
          <w:fldChar w:fldCharType="begin"/>
        </w:r>
        <w:r w:rsidR="00DF458B">
          <w:rPr>
            <w:webHidden/>
          </w:rPr>
          <w:instrText xml:space="preserve"> PAGEREF _Toc419813974 \h </w:instrText>
        </w:r>
        <w:r w:rsidR="00B80A05">
          <w:rPr>
            <w:webHidden/>
          </w:rPr>
        </w:r>
        <w:r w:rsidR="00B80A05">
          <w:rPr>
            <w:webHidden/>
          </w:rPr>
          <w:fldChar w:fldCharType="separate"/>
        </w:r>
        <w:r w:rsidR="00316060">
          <w:rPr>
            <w:webHidden/>
          </w:rPr>
          <w:t>278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75" w:history="1">
        <w:r w:rsidR="00DF458B" w:rsidRPr="00503D2D">
          <w:rPr>
            <w:rStyle w:val="Hyperlink"/>
            <w:rFonts w:ascii="Arial Negrito" w:hAnsi="Arial Negrito"/>
            <w:bCs/>
          </w:rPr>
          <w:t>3.5.5.11. Cronograma de Execução</w:t>
        </w:r>
        <w:r w:rsidR="00DF458B">
          <w:rPr>
            <w:webHidden/>
          </w:rPr>
          <w:tab/>
        </w:r>
        <w:r w:rsidR="00B80A05">
          <w:rPr>
            <w:webHidden/>
          </w:rPr>
          <w:fldChar w:fldCharType="begin"/>
        </w:r>
        <w:r w:rsidR="00DF458B">
          <w:rPr>
            <w:webHidden/>
          </w:rPr>
          <w:instrText xml:space="preserve"> PAGEREF _Toc419813975 \h </w:instrText>
        </w:r>
        <w:r w:rsidR="00B80A05">
          <w:rPr>
            <w:webHidden/>
          </w:rPr>
        </w:r>
        <w:r w:rsidR="00B80A05">
          <w:rPr>
            <w:webHidden/>
          </w:rPr>
          <w:fldChar w:fldCharType="separate"/>
        </w:r>
        <w:r w:rsidR="00316060">
          <w:rPr>
            <w:webHidden/>
          </w:rPr>
          <w:t>278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76" w:history="1">
        <w:r w:rsidR="00DF458B" w:rsidRPr="00503D2D">
          <w:rPr>
            <w:rStyle w:val="Hyperlink"/>
            <w:rFonts w:ascii="Arial Negrito" w:hAnsi="Arial Negrito"/>
            <w:bCs/>
          </w:rPr>
          <w:t>3.5.5.12. Responsável pela Implementação do Programa</w:t>
        </w:r>
        <w:r w:rsidR="00DF458B">
          <w:rPr>
            <w:webHidden/>
          </w:rPr>
          <w:tab/>
        </w:r>
        <w:r w:rsidR="00B80A05">
          <w:rPr>
            <w:webHidden/>
          </w:rPr>
          <w:fldChar w:fldCharType="begin"/>
        </w:r>
        <w:r w:rsidR="00DF458B">
          <w:rPr>
            <w:webHidden/>
          </w:rPr>
          <w:instrText xml:space="preserve"> PAGEREF _Toc419813976 \h </w:instrText>
        </w:r>
        <w:r w:rsidR="00B80A05">
          <w:rPr>
            <w:webHidden/>
          </w:rPr>
        </w:r>
        <w:r w:rsidR="00B80A05">
          <w:rPr>
            <w:webHidden/>
          </w:rPr>
          <w:fldChar w:fldCharType="separate"/>
        </w:r>
        <w:r w:rsidR="00316060">
          <w:rPr>
            <w:webHidden/>
          </w:rPr>
          <w:t>279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77" w:history="1">
        <w:r w:rsidR="00DF458B" w:rsidRPr="00503D2D">
          <w:rPr>
            <w:rStyle w:val="Hyperlink"/>
            <w:rFonts w:ascii="Arial Negrito" w:hAnsi="Arial Negrito"/>
            <w:bCs/>
          </w:rPr>
          <w:t>3.5.5.13. Sistemas de Registros</w:t>
        </w:r>
        <w:r w:rsidR="00DF458B">
          <w:rPr>
            <w:webHidden/>
          </w:rPr>
          <w:tab/>
        </w:r>
        <w:r w:rsidR="00B80A05">
          <w:rPr>
            <w:webHidden/>
          </w:rPr>
          <w:fldChar w:fldCharType="begin"/>
        </w:r>
        <w:r w:rsidR="00DF458B">
          <w:rPr>
            <w:webHidden/>
          </w:rPr>
          <w:instrText xml:space="preserve"> PAGEREF _Toc419813977 \h </w:instrText>
        </w:r>
        <w:r w:rsidR="00B80A05">
          <w:rPr>
            <w:webHidden/>
          </w:rPr>
        </w:r>
        <w:r w:rsidR="00B80A05">
          <w:rPr>
            <w:webHidden/>
          </w:rPr>
          <w:fldChar w:fldCharType="separate"/>
        </w:r>
        <w:r w:rsidR="00316060">
          <w:rPr>
            <w:webHidden/>
          </w:rPr>
          <w:t>279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78" w:history="1">
        <w:r w:rsidR="00DF458B" w:rsidRPr="00503D2D">
          <w:rPr>
            <w:rStyle w:val="Hyperlink"/>
            <w:rFonts w:ascii="Arial Negrito" w:hAnsi="Arial Negrito"/>
            <w:bCs/>
          </w:rPr>
          <w:t>3.5.5.14. Referências Bibliográficas</w:t>
        </w:r>
        <w:r w:rsidR="00DF458B">
          <w:rPr>
            <w:webHidden/>
          </w:rPr>
          <w:tab/>
        </w:r>
        <w:r w:rsidR="00B80A05">
          <w:rPr>
            <w:webHidden/>
          </w:rPr>
          <w:fldChar w:fldCharType="begin"/>
        </w:r>
        <w:r w:rsidR="00DF458B">
          <w:rPr>
            <w:webHidden/>
          </w:rPr>
          <w:instrText xml:space="preserve"> PAGEREF _Toc419813978 \h </w:instrText>
        </w:r>
        <w:r w:rsidR="00B80A05">
          <w:rPr>
            <w:webHidden/>
          </w:rPr>
        </w:r>
        <w:r w:rsidR="00B80A05">
          <w:rPr>
            <w:webHidden/>
          </w:rPr>
          <w:fldChar w:fldCharType="separate"/>
        </w:r>
        <w:r w:rsidR="00316060">
          <w:rPr>
            <w:webHidden/>
          </w:rPr>
          <w:t>279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79" w:history="1">
        <w:r w:rsidR="00DF458B" w:rsidRPr="00503D2D">
          <w:rPr>
            <w:rStyle w:val="Hyperlink"/>
            <w:rFonts w:ascii="Arial Negrito" w:hAnsi="Arial Negrito"/>
            <w:bCs/>
          </w:rPr>
          <w:t>3.5.6.</w:t>
        </w:r>
        <w:r w:rsidR="00DF458B">
          <w:rPr>
            <w:rStyle w:val="Hyperlink"/>
            <w:rFonts w:ascii="Arial Negrito" w:hAnsi="Arial Negrito"/>
            <w:bCs/>
          </w:rPr>
          <w:t xml:space="preserve"> </w:t>
        </w:r>
        <w:r w:rsidR="00DF458B" w:rsidRPr="00503D2D">
          <w:rPr>
            <w:rStyle w:val="Hyperlink"/>
            <w:rFonts w:ascii="Arial Negrito" w:hAnsi="Arial Negrito"/>
            <w:bCs/>
          </w:rPr>
          <w:t>Programa de Recomposição da Infraestrutura</w:t>
        </w:r>
        <w:r w:rsidR="00DF458B">
          <w:rPr>
            <w:webHidden/>
          </w:rPr>
          <w:tab/>
        </w:r>
        <w:r w:rsidR="00B80A05">
          <w:rPr>
            <w:webHidden/>
          </w:rPr>
          <w:fldChar w:fldCharType="begin"/>
        </w:r>
        <w:r w:rsidR="00DF458B">
          <w:rPr>
            <w:webHidden/>
          </w:rPr>
          <w:instrText xml:space="preserve"> PAGEREF _Toc419813979 \h </w:instrText>
        </w:r>
        <w:r w:rsidR="00B80A05">
          <w:rPr>
            <w:webHidden/>
          </w:rPr>
        </w:r>
        <w:r w:rsidR="00B80A05">
          <w:rPr>
            <w:webHidden/>
          </w:rPr>
          <w:fldChar w:fldCharType="separate"/>
        </w:r>
        <w:r w:rsidR="00316060">
          <w:rPr>
            <w:webHidden/>
          </w:rPr>
          <w:t>279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80" w:history="1">
        <w:r w:rsidR="00DF458B" w:rsidRPr="00503D2D">
          <w:rPr>
            <w:rStyle w:val="Hyperlink"/>
            <w:rFonts w:ascii="Arial Negrito" w:hAnsi="Arial Negrito"/>
            <w:bCs/>
          </w:rPr>
          <w:t>3.5.6.1.</w:t>
        </w:r>
        <w:r w:rsidR="00DF458B">
          <w:rPr>
            <w:rFonts w:asciiTheme="minorHAnsi" w:eastAsiaTheme="minorEastAsia" w:hAnsiTheme="minorHAnsi" w:cstheme="minorBidi"/>
          </w:rPr>
          <w:tab/>
        </w:r>
        <w:r w:rsidR="00DF458B" w:rsidRPr="00503D2D">
          <w:rPr>
            <w:rStyle w:val="Hyperlink"/>
            <w:rFonts w:ascii="Arial Negrito" w:hAnsi="Arial Negrito"/>
            <w:bCs/>
          </w:rPr>
          <w:t>Apresentação e Justificativa</w:t>
        </w:r>
        <w:r w:rsidR="00DF458B">
          <w:rPr>
            <w:webHidden/>
          </w:rPr>
          <w:tab/>
        </w:r>
        <w:r w:rsidR="00B80A05">
          <w:rPr>
            <w:webHidden/>
          </w:rPr>
          <w:fldChar w:fldCharType="begin"/>
        </w:r>
        <w:r w:rsidR="00DF458B">
          <w:rPr>
            <w:webHidden/>
          </w:rPr>
          <w:instrText xml:space="preserve"> PAGEREF _Toc419813980 \h </w:instrText>
        </w:r>
        <w:r w:rsidR="00B80A05">
          <w:rPr>
            <w:webHidden/>
          </w:rPr>
        </w:r>
        <w:r w:rsidR="00B80A05">
          <w:rPr>
            <w:webHidden/>
          </w:rPr>
          <w:fldChar w:fldCharType="separate"/>
        </w:r>
        <w:r w:rsidR="00316060">
          <w:rPr>
            <w:webHidden/>
          </w:rPr>
          <w:t>279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81" w:history="1">
        <w:r w:rsidR="00DF458B" w:rsidRPr="00503D2D">
          <w:rPr>
            <w:rStyle w:val="Hyperlink"/>
            <w:rFonts w:ascii="Arial Negrito" w:hAnsi="Arial Negrito"/>
            <w:bCs/>
          </w:rPr>
          <w:t>3.5.6.2.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_Toc419813981 \h </w:instrText>
        </w:r>
        <w:r w:rsidR="00B80A05">
          <w:rPr>
            <w:webHidden/>
          </w:rPr>
        </w:r>
        <w:r w:rsidR="00B80A05">
          <w:rPr>
            <w:webHidden/>
          </w:rPr>
          <w:fldChar w:fldCharType="separate"/>
        </w:r>
        <w:r w:rsidR="00316060">
          <w:rPr>
            <w:webHidden/>
          </w:rPr>
          <w:t>280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82" w:history="1">
        <w:r w:rsidR="00DF458B" w:rsidRPr="00503D2D">
          <w:rPr>
            <w:rStyle w:val="Hyperlink"/>
            <w:rFonts w:ascii="Arial Negrito" w:hAnsi="Arial Negrito"/>
            <w:bCs/>
          </w:rPr>
          <w:t>3.5.6.3.</w:t>
        </w:r>
        <w:r w:rsidR="00DF458B">
          <w:rPr>
            <w:rFonts w:asciiTheme="minorHAnsi" w:eastAsiaTheme="minorEastAsia" w:hAnsiTheme="minorHAnsi" w:cstheme="minorBidi"/>
          </w:rPr>
          <w:tab/>
        </w:r>
        <w:r w:rsidR="00DF458B" w:rsidRPr="00503D2D">
          <w:rPr>
            <w:rStyle w:val="Hyperlink"/>
            <w:rFonts w:ascii="Arial Negrito" w:hAnsi="Arial Negrito"/>
            <w:bCs/>
          </w:rPr>
          <w:t>Metas</w:t>
        </w:r>
        <w:r w:rsidR="00DF458B">
          <w:rPr>
            <w:webHidden/>
          </w:rPr>
          <w:tab/>
        </w:r>
        <w:r w:rsidR="00B80A05">
          <w:rPr>
            <w:webHidden/>
          </w:rPr>
          <w:fldChar w:fldCharType="begin"/>
        </w:r>
        <w:r w:rsidR="00DF458B">
          <w:rPr>
            <w:webHidden/>
          </w:rPr>
          <w:instrText xml:space="preserve"> PAGEREF _Toc419813982 \h </w:instrText>
        </w:r>
        <w:r w:rsidR="00B80A05">
          <w:rPr>
            <w:webHidden/>
          </w:rPr>
        </w:r>
        <w:r w:rsidR="00B80A05">
          <w:rPr>
            <w:webHidden/>
          </w:rPr>
          <w:fldChar w:fldCharType="separate"/>
        </w:r>
        <w:r w:rsidR="00316060">
          <w:rPr>
            <w:webHidden/>
          </w:rPr>
          <w:t>280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83" w:history="1">
        <w:r w:rsidR="00DF458B" w:rsidRPr="00503D2D">
          <w:rPr>
            <w:rStyle w:val="Hyperlink"/>
            <w:rFonts w:ascii="Arial Negrito" w:hAnsi="Arial Negrito"/>
            <w:bCs/>
          </w:rPr>
          <w:t>3.5.6.4.</w:t>
        </w:r>
        <w:r w:rsidR="00DF458B">
          <w:rPr>
            <w:rFonts w:asciiTheme="minorHAnsi" w:eastAsiaTheme="minorEastAsia" w:hAnsiTheme="minorHAnsi" w:cstheme="minorBidi"/>
          </w:rPr>
          <w:tab/>
        </w:r>
        <w:r w:rsidR="00DF458B" w:rsidRPr="00503D2D">
          <w:rPr>
            <w:rStyle w:val="Hyperlink"/>
            <w:rFonts w:ascii="Arial Negrito" w:hAnsi="Arial Negrito"/>
            <w:bCs/>
          </w:rPr>
          <w:t>Público-alvo</w:t>
        </w:r>
        <w:r w:rsidR="00DF458B">
          <w:rPr>
            <w:webHidden/>
          </w:rPr>
          <w:tab/>
        </w:r>
        <w:r w:rsidR="00B80A05">
          <w:rPr>
            <w:webHidden/>
          </w:rPr>
          <w:fldChar w:fldCharType="begin"/>
        </w:r>
        <w:r w:rsidR="00DF458B">
          <w:rPr>
            <w:webHidden/>
          </w:rPr>
          <w:instrText xml:space="preserve"> PAGEREF _Toc419813983 \h </w:instrText>
        </w:r>
        <w:r w:rsidR="00B80A05">
          <w:rPr>
            <w:webHidden/>
          </w:rPr>
        </w:r>
        <w:r w:rsidR="00B80A05">
          <w:rPr>
            <w:webHidden/>
          </w:rPr>
          <w:fldChar w:fldCharType="separate"/>
        </w:r>
        <w:r w:rsidR="00316060">
          <w:rPr>
            <w:webHidden/>
          </w:rPr>
          <w:t>280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84" w:history="1">
        <w:r w:rsidR="00DF458B" w:rsidRPr="00503D2D">
          <w:rPr>
            <w:rStyle w:val="Hyperlink"/>
            <w:rFonts w:ascii="Arial Negrito" w:hAnsi="Arial Negrito"/>
            <w:bCs/>
          </w:rPr>
          <w:t>3.5.6.5.</w:t>
        </w:r>
        <w:r w:rsidR="00DF458B">
          <w:rPr>
            <w:rFonts w:asciiTheme="minorHAnsi" w:eastAsiaTheme="minorEastAsia" w:hAnsiTheme="minorHAnsi" w:cstheme="minorBidi"/>
          </w:rPr>
          <w:tab/>
        </w:r>
        <w:r w:rsidR="00DF458B" w:rsidRPr="00503D2D">
          <w:rPr>
            <w:rStyle w:val="Hyperlink"/>
            <w:rFonts w:ascii="Arial Negrito" w:hAnsi="Arial Negrito"/>
            <w:bCs/>
          </w:rPr>
          <w:t>Métodos e Descrição do Programa</w:t>
        </w:r>
        <w:r w:rsidR="00DF458B">
          <w:rPr>
            <w:webHidden/>
          </w:rPr>
          <w:tab/>
        </w:r>
        <w:r w:rsidR="00B80A05">
          <w:rPr>
            <w:webHidden/>
          </w:rPr>
          <w:fldChar w:fldCharType="begin"/>
        </w:r>
        <w:r w:rsidR="00DF458B">
          <w:rPr>
            <w:webHidden/>
          </w:rPr>
          <w:instrText xml:space="preserve"> PAGEREF _Toc419813984 \h </w:instrText>
        </w:r>
        <w:r w:rsidR="00B80A05">
          <w:rPr>
            <w:webHidden/>
          </w:rPr>
        </w:r>
        <w:r w:rsidR="00B80A05">
          <w:rPr>
            <w:webHidden/>
          </w:rPr>
          <w:fldChar w:fldCharType="separate"/>
        </w:r>
        <w:r w:rsidR="00316060">
          <w:rPr>
            <w:webHidden/>
          </w:rPr>
          <w:t>281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85" w:history="1">
        <w:r w:rsidR="00DF458B" w:rsidRPr="00503D2D">
          <w:rPr>
            <w:rStyle w:val="Hyperlink"/>
            <w:rFonts w:ascii="Arial Negrito" w:hAnsi="Arial Negrito"/>
            <w:bCs/>
          </w:rPr>
          <w:t>3.5.6.6.</w:t>
        </w:r>
        <w:r w:rsidR="00DF458B">
          <w:rPr>
            <w:rFonts w:asciiTheme="minorHAnsi" w:eastAsiaTheme="minorEastAsia" w:hAnsiTheme="minorHAnsi" w:cstheme="minorBidi"/>
          </w:rPr>
          <w:tab/>
        </w:r>
        <w:r w:rsidR="00DF458B" w:rsidRPr="00503D2D">
          <w:rPr>
            <w:rStyle w:val="Hyperlink"/>
            <w:rFonts w:ascii="Arial Negrito" w:hAnsi="Arial Negrito"/>
            <w:bCs/>
          </w:rPr>
          <w:t>Indicadores Ambientais</w:t>
        </w:r>
        <w:r w:rsidR="00DF458B">
          <w:rPr>
            <w:webHidden/>
          </w:rPr>
          <w:tab/>
        </w:r>
        <w:r w:rsidR="00B80A05">
          <w:rPr>
            <w:webHidden/>
          </w:rPr>
          <w:fldChar w:fldCharType="begin"/>
        </w:r>
        <w:r w:rsidR="00DF458B">
          <w:rPr>
            <w:webHidden/>
          </w:rPr>
          <w:instrText xml:space="preserve"> PAGEREF _Toc419813985 \h </w:instrText>
        </w:r>
        <w:r w:rsidR="00B80A05">
          <w:rPr>
            <w:webHidden/>
          </w:rPr>
        </w:r>
        <w:r w:rsidR="00B80A05">
          <w:rPr>
            <w:webHidden/>
          </w:rPr>
          <w:fldChar w:fldCharType="separate"/>
        </w:r>
        <w:r w:rsidR="00316060">
          <w:rPr>
            <w:webHidden/>
          </w:rPr>
          <w:t>281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86" w:history="1">
        <w:r w:rsidR="00DF458B" w:rsidRPr="00503D2D">
          <w:rPr>
            <w:rStyle w:val="Hyperlink"/>
            <w:rFonts w:ascii="Arial Negrito" w:hAnsi="Arial Negrito"/>
            <w:bCs/>
          </w:rPr>
          <w:t>3.5.6.7.</w:t>
        </w:r>
        <w:r w:rsidR="00DF458B">
          <w:rPr>
            <w:rFonts w:asciiTheme="minorHAnsi" w:eastAsiaTheme="minorEastAsia" w:hAnsiTheme="minorHAnsi" w:cstheme="minorBidi"/>
          </w:rPr>
          <w:tab/>
        </w:r>
        <w:r w:rsidR="00DF458B" w:rsidRPr="00503D2D">
          <w:rPr>
            <w:rStyle w:val="Hyperlink"/>
            <w:rFonts w:ascii="Arial Negrito" w:hAnsi="Arial Negrito"/>
            <w:bCs/>
          </w:rPr>
          <w:t>Recursos Materiais e Humanos</w:t>
        </w:r>
        <w:r w:rsidR="00DF458B">
          <w:rPr>
            <w:webHidden/>
          </w:rPr>
          <w:tab/>
        </w:r>
        <w:r w:rsidR="00B80A05">
          <w:rPr>
            <w:webHidden/>
          </w:rPr>
          <w:fldChar w:fldCharType="begin"/>
        </w:r>
        <w:r w:rsidR="00DF458B">
          <w:rPr>
            <w:webHidden/>
          </w:rPr>
          <w:instrText xml:space="preserve"> PAGEREF _Toc419813986 \h </w:instrText>
        </w:r>
        <w:r w:rsidR="00B80A05">
          <w:rPr>
            <w:webHidden/>
          </w:rPr>
        </w:r>
        <w:r w:rsidR="00B80A05">
          <w:rPr>
            <w:webHidden/>
          </w:rPr>
          <w:fldChar w:fldCharType="separate"/>
        </w:r>
        <w:r w:rsidR="00316060">
          <w:rPr>
            <w:webHidden/>
          </w:rPr>
          <w:t>282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87" w:history="1">
        <w:r w:rsidR="00DF458B" w:rsidRPr="00503D2D">
          <w:rPr>
            <w:rStyle w:val="Hyperlink"/>
            <w:rFonts w:ascii="Arial Negrito" w:hAnsi="Arial Negrito"/>
            <w:bCs/>
          </w:rPr>
          <w:t>3.5.6.8.</w:t>
        </w:r>
        <w:r w:rsidR="00DF458B">
          <w:rPr>
            <w:rFonts w:asciiTheme="minorHAnsi" w:eastAsiaTheme="minorEastAsia" w:hAnsiTheme="minorHAnsi" w:cstheme="minorBidi"/>
          </w:rPr>
          <w:tab/>
        </w:r>
        <w:r w:rsidR="00DF458B" w:rsidRPr="00503D2D">
          <w:rPr>
            <w:rStyle w:val="Hyperlink"/>
            <w:rFonts w:ascii="Arial Negrito" w:hAnsi="Arial Negrito"/>
            <w:bCs/>
          </w:rPr>
          <w:t>Atendimento a Requisitos Legais e/ou Outros Requisitos</w:t>
        </w:r>
        <w:r w:rsidR="00DF458B">
          <w:rPr>
            <w:webHidden/>
          </w:rPr>
          <w:tab/>
        </w:r>
        <w:r w:rsidR="00B80A05">
          <w:rPr>
            <w:webHidden/>
          </w:rPr>
          <w:fldChar w:fldCharType="begin"/>
        </w:r>
        <w:r w:rsidR="00DF458B">
          <w:rPr>
            <w:webHidden/>
          </w:rPr>
          <w:instrText xml:space="preserve"> PAGEREF _Toc419813987 \h </w:instrText>
        </w:r>
        <w:r w:rsidR="00B80A05">
          <w:rPr>
            <w:webHidden/>
          </w:rPr>
        </w:r>
        <w:r w:rsidR="00B80A05">
          <w:rPr>
            <w:webHidden/>
          </w:rPr>
          <w:fldChar w:fldCharType="separate"/>
        </w:r>
        <w:r w:rsidR="00316060">
          <w:rPr>
            <w:webHidden/>
          </w:rPr>
          <w:t>282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88" w:history="1">
        <w:r w:rsidR="00DF458B" w:rsidRPr="00503D2D">
          <w:rPr>
            <w:rStyle w:val="Hyperlink"/>
            <w:rFonts w:ascii="Arial Negrito" w:hAnsi="Arial Negrito"/>
            <w:bCs/>
          </w:rPr>
          <w:t>3.5.6.9.</w:t>
        </w:r>
        <w:r w:rsidR="00DF458B">
          <w:rPr>
            <w:rFonts w:asciiTheme="minorHAnsi" w:eastAsiaTheme="minorEastAsia" w:hAnsiTheme="minorHAnsi" w:cstheme="minorBidi"/>
          </w:rPr>
          <w:tab/>
        </w:r>
        <w:r w:rsidR="00DF458B" w:rsidRPr="00503D2D">
          <w:rPr>
            <w:rStyle w:val="Hyperlink"/>
            <w:rFonts w:ascii="Arial Negrito" w:hAnsi="Arial Negrito"/>
            <w:bCs/>
          </w:rPr>
          <w:t>Inter-relação com Outros Planos e Programas</w:t>
        </w:r>
        <w:r w:rsidR="00DF458B">
          <w:rPr>
            <w:webHidden/>
          </w:rPr>
          <w:tab/>
        </w:r>
        <w:r w:rsidR="00B80A05">
          <w:rPr>
            <w:webHidden/>
          </w:rPr>
          <w:fldChar w:fldCharType="begin"/>
        </w:r>
        <w:r w:rsidR="00DF458B">
          <w:rPr>
            <w:webHidden/>
          </w:rPr>
          <w:instrText xml:space="preserve"> PAGEREF _Toc419813988 \h </w:instrText>
        </w:r>
        <w:r w:rsidR="00B80A05">
          <w:rPr>
            <w:webHidden/>
          </w:rPr>
        </w:r>
        <w:r w:rsidR="00B80A05">
          <w:rPr>
            <w:webHidden/>
          </w:rPr>
          <w:fldChar w:fldCharType="separate"/>
        </w:r>
        <w:r w:rsidR="00316060">
          <w:rPr>
            <w:webHidden/>
          </w:rPr>
          <w:t>282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89" w:history="1">
        <w:r w:rsidR="00DF458B" w:rsidRPr="00503D2D">
          <w:rPr>
            <w:rStyle w:val="Hyperlink"/>
            <w:rFonts w:ascii="Arial Negrito" w:hAnsi="Arial Negrito"/>
            <w:bCs/>
          </w:rPr>
          <w:t>3.5.6.10.</w:t>
        </w:r>
        <w:r w:rsidR="00DF458B">
          <w:rPr>
            <w:rFonts w:asciiTheme="minorHAnsi" w:eastAsiaTheme="minorEastAsia" w:hAnsiTheme="minorHAnsi" w:cstheme="minorBidi"/>
          </w:rPr>
          <w:tab/>
        </w:r>
        <w:r w:rsidR="00DF458B" w:rsidRPr="00503D2D">
          <w:rPr>
            <w:rStyle w:val="Hyperlink"/>
            <w:rFonts w:ascii="Arial Negrito" w:hAnsi="Arial Negrito"/>
            <w:bCs/>
          </w:rPr>
          <w:t>Etapa dos Empreendimentos</w:t>
        </w:r>
        <w:r w:rsidR="00DF458B">
          <w:rPr>
            <w:webHidden/>
          </w:rPr>
          <w:tab/>
        </w:r>
        <w:r w:rsidR="00B80A05">
          <w:rPr>
            <w:webHidden/>
          </w:rPr>
          <w:fldChar w:fldCharType="begin"/>
        </w:r>
        <w:r w:rsidR="00DF458B">
          <w:rPr>
            <w:webHidden/>
          </w:rPr>
          <w:instrText xml:space="preserve"> PAGEREF _Toc419813989 \h </w:instrText>
        </w:r>
        <w:r w:rsidR="00B80A05">
          <w:rPr>
            <w:webHidden/>
          </w:rPr>
        </w:r>
        <w:r w:rsidR="00B80A05">
          <w:rPr>
            <w:webHidden/>
          </w:rPr>
          <w:fldChar w:fldCharType="separate"/>
        </w:r>
        <w:r w:rsidR="00316060">
          <w:rPr>
            <w:webHidden/>
          </w:rPr>
          <w:t>282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90" w:history="1">
        <w:r w:rsidR="00DF458B" w:rsidRPr="00503D2D">
          <w:rPr>
            <w:rStyle w:val="Hyperlink"/>
            <w:rFonts w:ascii="Arial Negrito" w:hAnsi="Arial Negrito"/>
            <w:bCs/>
          </w:rPr>
          <w:t>3.5.6.11.</w:t>
        </w:r>
        <w:r w:rsidR="00DF458B">
          <w:rPr>
            <w:rFonts w:asciiTheme="minorHAnsi" w:eastAsiaTheme="minorEastAsia" w:hAnsiTheme="minorHAnsi" w:cstheme="minorBidi"/>
          </w:rPr>
          <w:tab/>
        </w:r>
        <w:r w:rsidR="00DF458B" w:rsidRPr="00503D2D">
          <w:rPr>
            <w:rStyle w:val="Hyperlink"/>
            <w:rFonts w:ascii="Arial Negrito" w:hAnsi="Arial Negrito"/>
            <w:bCs/>
          </w:rPr>
          <w:t>Cronograma de Execução</w:t>
        </w:r>
        <w:r w:rsidR="00DF458B">
          <w:rPr>
            <w:webHidden/>
          </w:rPr>
          <w:tab/>
        </w:r>
        <w:r w:rsidR="00B80A05">
          <w:rPr>
            <w:webHidden/>
          </w:rPr>
          <w:fldChar w:fldCharType="begin"/>
        </w:r>
        <w:r w:rsidR="00DF458B">
          <w:rPr>
            <w:webHidden/>
          </w:rPr>
          <w:instrText xml:space="preserve"> PAGEREF _Toc419813990 \h </w:instrText>
        </w:r>
        <w:r w:rsidR="00B80A05">
          <w:rPr>
            <w:webHidden/>
          </w:rPr>
        </w:r>
        <w:r w:rsidR="00B80A05">
          <w:rPr>
            <w:webHidden/>
          </w:rPr>
          <w:fldChar w:fldCharType="separate"/>
        </w:r>
        <w:r w:rsidR="00316060">
          <w:rPr>
            <w:webHidden/>
          </w:rPr>
          <w:t>282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91" w:history="1">
        <w:r w:rsidR="00DF458B" w:rsidRPr="00503D2D">
          <w:rPr>
            <w:rStyle w:val="Hyperlink"/>
            <w:rFonts w:ascii="Arial Negrito" w:hAnsi="Arial Negrito"/>
            <w:bCs/>
          </w:rPr>
          <w:t>3.5.6.12.</w:t>
        </w:r>
        <w:r w:rsidR="00DF458B">
          <w:rPr>
            <w:rFonts w:asciiTheme="minorHAnsi" w:eastAsiaTheme="minorEastAsia" w:hAnsiTheme="minorHAnsi" w:cstheme="minorBidi"/>
          </w:rPr>
          <w:tab/>
        </w:r>
        <w:r w:rsidR="00DF458B" w:rsidRPr="00503D2D">
          <w:rPr>
            <w:rStyle w:val="Hyperlink"/>
            <w:rFonts w:ascii="Arial Negrito" w:hAnsi="Arial Negrito"/>
            <w:bCs/>
          </w:rPr>
          <w:t>Responsável pela Implementação do Programa</w:t>
        </w:r>
        <w:r w:rsidR="00DF458B">
          <w:rPr>
            <w:webHidden/>
          </w:rPr>
          <w:tab/>
        </w:r>
        <w:r w:rsidR="00B80A05">
          <w:rPr>
            <w:webHidden/>
          </w:rPr>
          <w:fldChar w:fldCharType="begin"/>
        </w:r>
        <w:r w:rsidR="00DF458B">
          <w:rPr>
            <w:webHidden/>
          </w:rPr>
          <w:instrText xml:space="preserve"> PAGEREF _Toc419813991 \h </w:instrText>
        </w:r>
        <w:r w:rsidR="00B80A05">
          <w:rPr>
            <w:webHidden/>
          </w:rPr>
        </w:r>
        <w:r w:rsidR="00B80A05">
          <w:rPr>
            <w:webHidden/>
          </w:rPr>
          <w:fldChar w:fldCharType="separate"/>
        </w:r>
        <w:r w:rsidR="00316060">
          <w:rPr>
            <w:webHidden/>
          </w:rPr>
          <w:t>282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92" w:history="1">
        <w:r w:rsidR="00DF458B" w:rsidRPr="00503D2D">
          <w:rPr>
            <w:rStyle w:val="Hyperlink"/>
            <w:rFonts w:ascii="Arial Negrito" w:hAnsi="Arial Negrito"/>
            <w:bCs/>
          </w:rPr>
          <w:t>3.5.6.13.</w:t>
        </w:r>
        <w:r w:rsidR="00DF458B">
          <w:rPr>
            <w:rFonts w:asciiTheme="minorHAnsi" w:eastAsiaTheme="minorEastAsia" w:hAnsiTheme="minorHAnsi" w:cstheme="minorBidi"/>
          </w:rPr>
          <w:tab/>
        </w:r>
        <w:r w:rsidR="00DF458B" w:rsidRPr="00503D2D">
          <w:rPr>
            <w:rStyle w:val="Hyperlink"/>
            <w:rFonts w:ascii="Arial Negrito" w:hAnsi="Arial Negrito"/>
            <w:bCs/>
          </w:rPr>
          <w:t>Sistemas de Registros</w:t>
        </w:r>
        <w:r w:rsidR="00DF458B">
          <w:rPr>
            <w:webHidden/>
          </w:rPr>
          <w:tab/>
        </w:r>
        <w:r w:rsidR="00B80A05">
          <w:rPr>
            <w:webHidden/>
          </w:rPr>
          <w:fldChar w:fldCharType="begin"/>
        </w:r>
        <w:r w:rsidR="00DF458B">
          <w:rPr>
            <w:webHidden/>
          </w:rPr>
          <w:instrText xml:space="preserve"> PAGEREF _Toc419813992 \h </w:instrText>
        </w:r>
        <w:r w:rsidR="00B80A05">
          <w:rPr>
            <w:webHidden/>
          </w:rPr>
        </w:r>
        <w:r w:rsidR="00B80A05">
          <w:rPr>
            <w:webHidden/>
          </w:rPr>
          <w:fldChar w:fldCharType="separate"/>
        </w:r>
        <w:r w:rsidR="00316060">
          <w:rPr>
            <w:webHidden/>
          </w:rPr>
          <w:t>282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93" w:history="1">
        <w:r w:rsidR="00DF458B" w:rsidRPr="00503D2D">
          <w:rPr>
            <w:rStyle w:val="Hyperlink"/>
            <w:rFonts w:ascii="Arial Negrito" w:hAnsi="Arial Negrito"/>
            <w:bCs/>
          </w:rPr>
          <w:t>3.5.7.</w:t>
        </w:r>
        <w:r w:rsidR="00DF458B">
          <w:rPr>
            <w:rStyle w:val="Hyperlink"/>
            <w:rFonts w:ascii="Arial Negrito" w:hAnsi="Arial Negrito"/>
            <w:bCs/>
          </w:rPr>
          <w:t xml:space="preserve"> </w:t>
        </w:r>
        <w:r w:rsidR="00DF458B" w:rsidRPr="00503D2D">
          <w:rPr>
            <w:rStyle w:val="Hyperlink"/>
            <w:rFonts w:ascii="Arial Negrito" w:hAnsi="Arial Negrito"/>
            <w:bCs/>
          </w:rPr>
          <w:t>Programa de Limpeza da Área de Inundação</w:t>
        </w:r>
        <w:r w:rsidR="00DF458B">
          <w:rPr>
            <w:webHidden/>
          </w:rPr>
          <w:tab/>
        </w:r>
        <w:r w:rsidR="00B80A05">
          <w:rPr>
            <w:webHidden/>
          </w:rPr>
          <w:fldChar w:fldCharType="begin"/>
        </w:r>
        <w:r w:rsidR="00DF458B">
          <w:rPr>
            <w:webHidden/>
          </w:rPr>
          <w:instrText xml:space="preserve"> PAGEREF _Toc419813993 \h </w:instrText>
        </w:r>
        <w:r w:rsidR="00B80A05">
          <w:rPr>
            <w:webHidden/>
          </w:rPr>
        </w:r>
        <w:r w:rsidR="00B80A05">
          <w:rPr>
            <w:webHidden/>
          </w:rPr>
          <w:fldChar w:fldCharType="separate"/>
        </w:r>
        <w:r w:rsidR="00316060">
          <w:rPr>
            <w:webHidden/>
          </w:rPr>
          <w:t>283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94" w:history="1">
        <w:r w:rsidR="00DF458B" w:rsidRPr="00503D2D">
          <w:rPr>
            <w:rStyle w:val="Hyperlink"/>
            <w:rFonts w:ascii="Arial Negrito" w:hAnsi="Arial Negrito"/>
            <w:bCs/>
          </w:rPr>
          <w:t>3.5.7.1.</w:t>
        </w:r>
        <w:r w:rsidR="00DF458B">
          <w:rPr>
            <w:rFonts w:asciiTheme="minorHAnsi" w:eastAsiaTheme="minorEastAsia" w:hAnsiTheme="minorHAnsi" w:cstheme="minorBidi"/>
          </w:rPr>
          <w:tab/>
        </w:r>
        <w:r w:rsidR="00DF458B" w:rsidRPr="00503D2D">
          <w:rPr>
            <w:rStyle w:val="Hyperlink"/>
            <w:rFonts w:ascii="Arial Negrito" w:hAnsi="Arial Negrito"/>
            <w:bCs/>
          </w:rPr>
          <w:t>Apresentação e Justificativa</w:t>
        </w:r>
        <w:r w:rsidR="00DF458B">
          <w:rPr>
            <w:webHidden/>
          </w:rPr>
          <w:tab/>
        </w:r>
        <w:r w:rsidR="00B80A05">
          <w:rPr>
            <w:webHidden/>
          </w:rPr>
          <w:fldChar w:fldCharType="begin"/>
        </w:r>
        <w:r w:rsidR="00DF458B">
          <w:rPr>
            <w:webHidden/>
          </w:rPr>
          <w:instrText xml:space="preserve"> PAGEREF _Toc419813994 \h </w:instrText>
        </w:r>
        <w:r w:rsidR="00B80A05">
          <w:rPr>
            <w:webHidden/>
          </w:rPr>
        </w:r>
        <w:r w:rsidR="00B80A05">
          <w:rPr>
            <w:webHidden/>
          </w:rPr>
          <w:fldChar w:fldCharType="separate"/>
        </w:r>
        <w:r w:rsidR="00316060">
          <w:rPr>
            <w:webHidden/>
          </w:rPr>
          <w:t>283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95" w:history="1">
        <w:r w:rsidR="00DF458B" w:rsidRPr="00503D2D">
          <w:rPr>
            <w:rStyle w:val="Hyperlink"/>
            <w:rFonts w:ascii="Arial Negrito" w:hAnsi="Arial Negrito"/>
            <w:bCs/>
          </w:rPr>
          <w:t>3.5.7.2.</w:t>
        </w:r>
        <w:r w:rsidR="00DF458B">
          <w:rPr>
            <w:rFonts w:asciiTheme="minorHAnsi" w:eastAsiaTheme="minorEastAsia" w:hAnsiTheme="minorHAnsi" w:cstheme="minorBidi"/>
          </w:rPr>
          <w:tab/>
        </w:r>
        <w:r w:rsidR="00DF458B" w:rsidRPr="00503D2D">
          <w:rPr>
            <w:rStyle w:val="Hyperlink"/>
            <w:rFonts w:ascii="Arial Negrito" w:hAnsi="Arial Negrito"/>
            <w:bCs/>
          </w:rPr>
          <w:t>Objetivos</w:t>
        </w:r>
        <w:r w:rsidR="00DF458B">
          <w:rPr>
            <w:webHidden/>
          </w:rPr>
          <w:tab/>
        </w:r>
        <w:r w:rsidR="00B80A05">
          <w:rPr>
            <w:webHidden/>
          </w:rPr>
          <w:fldChar w:fldCharType="begin"/>
        </w:r>
        <w:r w:rsidR="00DF458B">
          <w:rPr>
            <w:webHidden/>
          </w:rPr>
          <w:instrText xml:space="preserve"> PAGEREF _Toc419813995 \h </w:instrText>
        </w:r>
        <w:r w:rsidR="00B80A05">
          <w:rPr>
            <w:webHidden/>
          </w:rPr>
        </w:r>
        <w:r w:rsidR="00B80A05">
          <w:rPr>
            <w:webHidden/>
          </w:rPr>
          <w:fldChar w:fldCharType="separate"/>
        </w:r>
        <w:r w:rsidR="00316060">
          <w:rPr>
            <w:webHidden/>
          </w:rPr>
          <w:t>283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96" w:history="1">
        <w:r w:rsidR="00DF458B" w:rsidRPr="00503D2D">
          <w:rPr>
            <w:rStyle w:val="Hyperlink"/>
            <w:rFonts w:ascii="Arial Negrito" w:hAnsi="Arial Negrito"/>
            <w:bCs/>
          </w:rPr>
          <w:t>3.5.7.3.</w:t>
        </w:r>
        <w:r w:rsidR="00DF458B">
          <w:rPr>
            <w:rFonts w:asciiTheme="minorHAnsi" w:eastAsiaTheme="minorEastAsia" w:hAnsiTheme="minorHAnsi" w:cstheme="minorBidi"/>
          </w:rPr>
          <w:tab/>
        </w:r>
        <w:r w:rsidR="00DF458B" w:rsidRPr="00503D2D">
          <w:rPr>
            <w:rStyle w:val="Hyperlink"/>
            <w:rFonts w:ascii="Arial Negrito" w:hAnsi="Arial Negrito"/>
            <w:bCs/>
          </w:rPr>
          <w:t>Metas</w:t>
        </w:r>
        <w:r w:rsidR="00DF458B">
          <w:rPr>
            <w:webHidden/>
          </w:rPr>
          <w:tab/>
        </w:r>
        <w:r w:rsidR="00B80A05">
          <w:rPr>
            <w:webHidden/>
          </w:rPr>
          <w:fldChar w:fldCharType="begin"/>
        </w:r>
        <w:r w:rsidR="00DF458B">
          <w:rPr>
            <w:webHidden/>
          </w:rPr>
          <w:instrText xml:space="preserve"> PAGEREF _Toc419813996 \h </w:instrText>
        </w:r>
        <w:r w:rsidR="00B80A05">
          <w:rPr>
            <w:webHidden/>
          </w:rPr>
        </w:r>
        <w:r w:rsidR="00B80A05">
          <w:rPr>
            <w:webHidden/>
          </w:rPr>
          <w:fldChar w:fldCharType="separate"/>
        </w:r>
        <w:r w:rsidR="00316060">
          <w:rPr>
            <w:webHidden/>
          </w:rPr>
          <w:t>283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97" w:history="1">
        <w:r w:rsidR="00DF458B" w:rsidRPr="00503D2D">
          <w:rPr>
            <w:rStyle w:val="Hyperlink"/>
            <w:rFonts w:ascii="Arial Negrito" w:hAnsi="Arial Negrito"/>
            <w:bCs/>
          </w:rPr>
          <w:t>3.5.7.4.</w:t>
        </w:r>
        <w:r w:rsidR="00DF458B">
          <w:rPr>
            <w:rFonts w:asciiTheme="minorHAnsi" w:eastAsiaTheme="minorEastAsia" w:hAnsiTheme="minorHAnsi" w:cstheme="minorBidi"/>
          </w:rPr>
          <w:tab/>
        </w:r>
        <w:r w:rsidR="00DF458B" w:rsidRPr="00503D2D">
          <w:rPr>
            <w:rStyle w:val="Hyperlink"/>
            <w:rFonts w:ascii="Arial Negrito" w:hAnsi="Arial Negrito"/>
            <w:bCs/>
          </w:rPr>
          <w:t>Público-alvo</w:t>
        </w:r>
        <w:r w:rsidR="00DF458B">
          <w:rPr>
            <w:webHidden/>
          </w:rPr>
          <w:tab/>
        </w:r>
        <w:r w:rsidR="00B80A05">
          <w:rPr>
            <w:webHidden/>
          </w:rPr>
          <w:fldChar w:fldCharType="begin"/>
        </w:r>
        <w:r w:rsidR="00DF458B">
          <w:rPr>
            <w:webHidden/>
          </w:rPr>
          <w:instrText xml:space="preserve"> PAGEREF _Toc419813997 \h </w:instrText>
        </w:r>
        <w:r w:rsidR="00B80A05">
          <w:rPr>
            <w:webHidden/>
          </w:rPr>
        </w:r>
        <w:r w:rsidR="00B80A05">
          <w:rPr>
            <w:webHidden/>
          </w:rPr>
          <w:fldChar w:fldCharType="separate"/>
        </w:r>
        <w:r w:rsidR="00316060">
          <w:rPr>
            <w:webHidden/>
          </w:rPr>
          <w:t>283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98" w:history="1">
        <w:r w:rsidR="00DF458B" w:rsidRPr="00503D2D">
          <w:rPr>
            <w:rStyle w:val="Hyperlink"/>
            <w:rFonts w:ascii="Arial Negrito" w:hAnsi="Arial Negrito"/>
            <w:bCs/>
          </w:rPr>
          <w:t>3.5.7.5.</w:t>
        </w:r>
        <w:r w:rsidR="00DF458B">
          <w:rPr>
            <w:rFonts w:asciiTheme="minorHAnsi" w:eastAsiaTheme="minorEastAsia" w:hAnsiTheme="minorHAnsi" w:cstheme="minorBidi"/>
          </w:rPr>
          <w:tab/>
        </w:r>
        <w:r w:rsidR="00DF458B" w:rsidRPr="00503D2D">
          <w:rPr>
            <w:rStyle w:val="Hyperlink"/>
            <w:rFonts w:ascii="Arial Negrito" w:hAnsi="Arial Negrito"/>
            <w:bCs/>
          </w:rPr>
          <w:t>Métodos e descrição do programa (procedimentos)</w:t>
        </w:r>
        <w:r w:rsidR="00DF458B">
          <w:rPr>
            <w:webHidden/>
          </w:rPr>
          <w:tab/>
        </w:r>
        <w:r w:rsidR="00B80A05">
          <w:rPr>
            <w:webHidden/>
          </w:rPr>
          <w:fldChar w:fldCharType="begin"/>
        </w:r>
        <w:r w:rsidR="00DF458B">
          <w:rPr>
            <w:webHidden/>
          </w:rPr>
          <w:instrText xml:space="preserve"> PAGEREF _Toc419813998 \h </w:instrText>
        </w:r>
        <w:r w:rsidR="00B80A05">
          <w:rPr>
            <w:webHidden/>
          </w:rPr>
        </w:r>
        <w:r w:rsidR="00B80A05">
          <w:rPr>
            <w:webHidden/>
          </w:rPr>
          <w:fldChar w:fldCharType="separate"/>
        </w:r>
        <w:r w:rsidR="00316060">
          <w:rPr>
            <w:webHidden/>
          </w:rPr>
          <w:t>283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3999" w:history="1">
        <w:r w:rsidR="00DF458B" w:rsidRPr="00503D2D">
          <w:rPr>
            <w:rStyle w:val="Hyperlink"/>
            <w:rFonts w:ascii="Arial Negrito" w:hAnsi="Arial Negrito"/>
            <w:bCs/>
          </w:rPr>
          <w:t>3.5.7.6.</w:t>
        </w:r>
        <w:r w:rsidR="00DF458B">
          <w:rPr>
            <w:rFonts w:asciiTheme="minorHAnsi" w:eastAsiaTheme="minorEastAsia" w:hAnsiTheme="minorHAnsi" w:cstheme="minorBidi"/>
          </w:rPr>
          <w:tab/>
        </w:r>
        <w:r w:rsidR="00DF458B" w:rsidRPr="00503D2D">
          <w:rPr>
            <w:rStyle w:val="Hyperlink"/>
            <w:rFonts w:ascii="Arial Negrito" w:hAnsi="Arial Negrito"/>
            <w:bCs/>
          </w:rPr>
          <w:t>Indicadores Ambientais</w:t>
        </w:r>
        <w:r w:rsidR="00DF458B">
          <w:rPr>
            <w:webHidden/>
          </w:rPr>
          <w:tab/>
        </w:r>
        <w:r w:rsidR="00B80A05">
          <w:rPr>
            <w:webHidden/>
          </w:rPr>
          <w:fldChar w:fldCharType="begin"/>
        </w:r>
        <w:r w:rsidR="00DF458B">
          <w:rPr>
            <w:webHidden/>
          </w:rPr>
          <w:instrText xml:space="preserve"> PAGEREF _Toc419813999 \h </w:instrText>
        </w:r>
        <w:r w:rsidR="00B80A05">
          <w:rPr>
            <w:webHidden/>
          </w:rPr>
        </w:r>
        <w:r w:rsidR="00B80A05">
          <w:rPr>
            <w:webHidden/>
          </w:rPr>
          <w:fldChar w:fldCharType="separate"/>
        </w:r>
        <w:r w:rsidR="00316060">
          <w:rPr>
            <w:webHidden/>
          </w:rPr>
          <w:t>284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00" w:history="1">
        <w:r w:rsidR="00DF458B" w:rsidRPr="00503D2D">
          <w:rPr>
            <w:rStyle w:val="Hyperlink"/>
            <w:rFonts w:ascii="Arial Negrito" w:hAnsi="Arial Negrito"/>
            <w:bCs/>
          </w:rPr>
          <w:t>3.5.7.7.</w:t>
        </w:r>
        <w:r w:rsidR="00DF458B">
          <w:rPr>
            <w:rFonts w:asciiTheme="minorHAnsi" w:eastAsiaTheme="minorEastAsia" w:hAnsiTheme="minorHAnsi" w:cstheme="minorBidi"/>
          </w:rPr>
          <w:tab/>
        </w:r>
        <w:r w:rsidR="00DF458B" w:rsidRPr="00503D2D">
          <w:rPr>
            <w:rStyle w:val="Hyperlink"/>
            <w:rFonts w:ascii="Arial Negrito" w:hAnsi="Arial Negrito"/>
            <w:bCs/>
          </w:rPr>
          <w:t>Recursos Materiais e Humanos</w:t>
        </w:r>
        <w:r w:rsidR="00DF458B">
          <w:rPr>
            <w:webHidden/>
          </w:rPr>
          <w:tab/>
        </w:r>
        <w:r w:rsidR="00B80A05">
          <w:rPr>
            <w:webHidden/>
          </w:rPr>
          <w:fldChar w:fldCharType="begin"/>
        </w:r>
        <w:r w:rsidR="00DF458B">
          <w:rPr>
            <w:webHidden/>
          </w:rPr>
          <w:instrText xml:space="preserve"> PAGEREF _Toc419814000 \h </w:instrText>
        </w:r>
        <w:r w:rsidR="00B80A05">
          <w:rPr>
            <w:webHidden/>
          </w:rPr>
        </w:r>
        <w:r w:rsidR="00B80A05">
          <w:rPr>
            <w:webHidden/>
          </w:rPr>
          <w:fldChar w:fldCharType="separate"/>
        </w:r>
        <w:r w:rsidR="00316060">
          <w:rPr>
            <w:webHidden/>
          </w:rPr>
          <w:t>284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01" w:history="1">
        <w:r w:rsidR="00DF458B" w:rsidRPr="00503D2D">
          <w:rPr>
            <w:rStyle w:val="Hyperlink"/>
            <w:rFonts w:ascii="Arial Negrito" w:hAnsi="Arial Negrito"/>
            <w:bCs/>
          </w:rPr>
          <w:t>3.5.7.8.</w:t>
        </w:r>
        <w:r w:rsidR="00DF458B">
          <w:rPr>
            <w:rFonts w:asciiTheme="minorHAnsi" w:eastAsiaTheme="minorEastAsia" w:hAnsiTheme="minorHAnsi" w:cstheme="minorBidi"/>
          </w:rPr>
          <w:tab/>
        </w:r>
        <w:r w:rsidR="00DF458B" w:rsidRPr="00503D2D">
          <w:rPr>
            <w:rStyle w:val="Hyperlink"/>
            <w:rFonts w:ascii="Arial Negrito" w:hAnsi="Arial Negrito"/>
            <w:bCs/>
          </w:rPr>
          <w:t>Atendimento a Requisitos Legais e/ou Outros Requisitos</w:t>
        </w:r>
        <w:r w:rsidR="00DF458B">
          <w:rPr>
            <w:webHidden/>
          </w:rPr>
          <w:tab/>
        </w:r>
        <w:r w:rsidR="00B80A05">
          <w:rPr>
            <w:webHidden/>
          </w:rPr>
          <w:fldChar w:fldCharType="begin"/>
        </w:r>
        <w:r w:rsidR="00DF458B">
          <w:rPr>
            <w:webHidden/>
          </w:rPr>
          <w:instrText xml:space="preserve"> PAGEREF _Toc419814001 \h </w:instrText>
        </w:r>
        <w:r w:rsidR="00B80A05">
          <w:rPr>
            <w:webHidden/>
          </w:rPr>
        </w:r>
        <w:r w:rsidR="00B80A05">
          <w:rPr>
            <w:webHidden/>
          </w:rPr>
          <w:fldChar w:fldCharType="separate"/>
        </w:r>
        <w:r w:rsidR="00316060">
          <w:rPr>
            <w:webHidden/>
          </w:rPr>
          <w:t>284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02" w:history="1">
        <w:r w:rsidR="00DF458B" w:rsidRPr="00503D2D">
          <w:rPr>
            <w:rStyle w:val="Hyperlink"/>
            <w:rFonts w:ascii="Arial Negrito" w:hAnsi="Arial Negrito"/>
            <w:bCs/>
          </w:rPr>
          <w:t>3.5.7.9.</w:t>
        </w:r>
        <w:r w:rsidR="00DF458B">
          <w:rPr>
            <w:rFonts w:asciiTheme="minorHAnsi" w:eastAsiaTheme="minorEastAsia" w:hAnsiTheme="minorHAnsi" w:cstheme="minorBidi"/>
          </w:rPr>
          <w:tab/>
        </w:r>
        <w:r w:rsidR="00DF458B" w:rsidRPr="00503D2D">
          <w:rPr>
            <w:rStyle w:val="Hyperlink"/>
            <w:rFonts w:ascii="Arial Negrito" w:hAnsi="Arial Negrito"/>
            <w:bCs/>
          </w:rPr>
          <w:t>Inter-relação com Outros Planos e Programas</w:t>
        </w:r>
        <w:r w:rsidR="00DF458B">
          <w:rPr>
            <w:webHidden/>
          </w:rPr>
          <w:tab/>
        </w:r>
        <w:r w:rsidR="00B80A05">
          <w:rPr>
            <w:webHidden/>
          </w:rPr>
          <w:fldChar w:fldCharType="begin"/>
        </w:r>
        <w:r w:rsidR="00DF458B">
          <w:rPr>
            <w:webHidden/>
          </w:rPr>
          <w:instrText xml:space="preserve"> PAGEREF _Toc419814002 \h </w:instrText>
        </w:r>
        <w:r w:rsidR="00B80A05">
          <w:rPr>
            <w:webHidden/>
          </w:rPr>
        </w:r>
        <w:r w:rsidR="00B80A05">
          <w:rPr>
            <w:webHidden/>
          </w:rPr>
          <w:fldChar w:fldCharType="separate"/>
        </w:r>
        <w:r w:rsidR="00316060">
          <w:rPr>
            <w:webHidden/>
          </w:rPr>
          <w:t>284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03" w:history="1">
        <w:r w:rsidR="00DF458B" w:rsidRPr="00503D2D">
          <w:rPr>
            <w:rStyle w:val="Hyperlink"/>
            <w:rFonts w:ascii="Arial Negrito" w:hAnsi="Arial Negrito"/>
            <w:bCs/>
          </w:rPr>
          <w:t>3.5.7.10.</w:t>
        </w:r>
        <w:r w:rsidR="00DF458B">
          <w:rPr>
            <w:rFonts w:asciiTheme="minorHAnsi" w:eastAsiaTheme="minorEastAsia" w:hAnsiTheme="minorHAnsi" w:cstheme="minorBidi"/>
          </w:rPr>
          <w:tab/>
        </w:r>
        <w:r w:rsidR="00DF458B" w:rsidRPr="00503D2D">
          <w:rPr>
            <w:rStyle w:val="Hyperlink"/>
            <w:rFonts w:ascii="Arial Negrito" w:hAnsi="Arial Negrito"/>
            <w:bCs/>
          </w:rPr>
          <w:t>Etapa dos Empreendimentos</w:t>
        </w:r>
        <w:r w:rsidR="00DF458B">
          <w:rPr>
            <w:webHidden/>
          </w:rPr>
          <w:tab/>
        </w:r>
        <w:r w:rsidR="00B80A05">
          <w:rPr>
            <w:webHidden/>
          </w:rPr>
          <w:fldChar w:fldCharType="begin"/>
        </w:r>
        <w:r w:rsidR="00DF458B">
          <w:rPr>
            <w:webHidden/>
          </w:rPr>
          <w:instrText xml:space="preserve"> PAGEREF _Toc419814003 \h </w:instrText>
        </w:r>
        <w:r w:rsidR="00B80A05">
          <w:rPr>
            <w:webHidden/>
          </w:rPr>
        </w:r>
        <w:r w:rsidR="00B80A05">
          <w:rPr>
            <w:webHidden/>
          </w:rPr>
          <w:fldChar w:fldCharType="separate"/>
        </w:r>
        <w:r w:rsidR="00316060">
          <w:rPr>
            <w:webHidden/>
          </w:rPr>
          <w:t>284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04" w:history="1">
        <w:r w:rsidR="00DF458B" w:rsidRPr="00503D2D">
          <w:rPr>
            <w:rStyle w:val="Hyperlink"/>
            <w:rFonts w:ascii="Arial Negrito" w:hAnsi="Arial Negrito"/>
            <w:bCs/>
          </w:rPr>
          <w:t>3.5.7.11.</w:t>
        </w:r>
        <w:r w:rsidR="00DF458B">
          <w:rPr>
            <w:rFonts w:asciiTheme="minorHAnsi" w:eastAsiaTheme="minorEastAsia" w:hAnsiTheme="minorHAnsi" w:cstheme="minorBidi"/>
          </w:rPr>
          <w:tab/>
        </w:r>
        <w:r w:rsidR="00DF458B" w:rsidRPr="00503D2D">
          <w:rPr>
            <w:rStyle w:val="Hyperlink"/>
            <w:rFonts w:ascii="Arial Negrito" w:hAnsi="Arial Negrito"/>
            <w:bCs/>
          </w:rPr>
          <w:t>Cronograma de Execução</w:t>
        </w:r>
        <w:r w:rsidR="00DF458B">
          <w:rPr>
            <w:webHidden/>
          </w:rPr>
          <w:tab/>
        </w:r>
        <w:r w:rsidR="00B80A05">
          <w:rPr>
            <w:webHidden/>
          </w:rPr>
          <w:fldChar w:fldCharType="begin"/>
        </w:r>
        <w:r w:rsidR="00DF458B">
          <w:rPr>
            <w:webHidden/>
          </w:rPr>
          <w:instrText xml:space="preserve"> PAGEREF _Toc419814004 \h </w:instrText>
        </w:r>
        <w:r w:rsidR="00B80A05">
          <w:rPr>
            <w:webHidden/>
          </w:rPr>
        </w:r>
        <w:r w:rsidR="00B80A05">
          <w:rPr>
            <w:webHidden/>
          </w:rPr>
          <w:fldChar w:fldCharType="separate"/>
        </w:r>
        <w:r w:rsidR="00316060">
          <w:rPr>
            <w:webHidden/>
          </w:rPr>
          <w:t>285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05" w:history="1">
        <w:r w:rsidR="00DF458B" w:rsidRPr="00503D2D">
          <w:rPr>
            <w:rStyle w:val="Hyperlink"/>
            <w:rFonts w:ascii="Arial Negrito" w:hAnsi="Arial Negrito"/>
            <w:bCs/>
          </w:rPr>
          <w:t>3.5.7.12.</w:t>
        </w:r>
        <w:r w:rsidR="00DF458B">
          <w:rPr>
            <w:rFonts w:asciiTheme="minorHAnsi" w:eastAsiaTheme="minorEastAsia" w:hAnsiTheme="minorHAnsi" w:cstheme="minorBidi"/>
          </w:rPr>
          <w:tab/>
        </w:r>
        <w:r w:rsidR="00DF458B" w:rsidRPr="00503D2D">
          <w:rPr>
            <w:rStyle w:val="Hyperlink"/>
            <w:rFonts w:ascii="Arial Negrito" w:hAnsi="Arial Negrito"/>
            <w:bCs/>
          </w:rPr>
          <w:t>Responsável pela Implementação do Programa</w:t>
        </w:r>
        <w:r w:rsidR="00DF458B">
          <w:rPr>
            <w:webHidden/>
          </w:rPr>
          <w:tab/>
        </w:r>
        <w:r w:rsidR="00B80A05">
          <w:rPr>
            <w:webHidden/>
          </w:rPr>
          <w:fldChar w:fldCharType="begin"/>
        </w:r>
        <w:r w:rsidR="00DF458B">
          <w:rPr>
            <w:webHidden/>
          </w:rPr>
          <w:instrText xml:space="preserve"> PAGEREF _Toc419814005 \h </w:instrText>
        </w:r>
        <w:r w:rsidR="00B80A05">
          <w:rPr>
            <w:webHidden/>
          </w:rPr>
        </w:r>
        <w:r w:rsidR="00B80A05">
          <w:rPr>
            <w:webHidden/>
          </w:rPr>
          <w:fldChar w:fldCharType="separate"/>
        </w:r>
        <w:r w:rsidR="00316060">
          <w:rPr>
            <w:webHidden/>
          </w:rPr>
          <w:t>285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06" w:history="1">
        <w:r w:rsidR="00DF458B" w:rsidRPr="00503D2D">
          <w:rPr>
            <w:rStyle w:val="Hyperlink"/>
            <w:rFonts w:ascii="Arial Negrito" w:hAnsi="Arial Negrito"/>
            <w:bCs/>
          </w:rPr>
          <w:t>3.5.7.13.</w:t>
        </w:r>
        <w:r w:rsidR="00DF458B">
          <w:rPr>
            <w:rFonts w:asciiTheme="minorHAnsi" w:eastAsiaTheme="minorEastAsia" w:hAnsiTheme="minorHAnsi" w:cstheme="minorBidi"/>
          </w:rPr>
          <w:tab/>
        </w:r>
        <w:r w:rsidR="00DF458B" w:rsidRPr="00503D2D">
          <w:rPr>
            <w:rStyle w:val="Hyperlink"/>
            <w:rFonts w:ascii="Arial Negrito" w:hAnsi="Arial Negrito"/>
            <w:bCs/>
          </w:rPr>
          <w:t>Sistemas de Registros</w:t>
        </w:r>
        <w:r w:rsidR="00DF458B">
          <w:rPr>
            <w:webHidden/>
          </w:rPr>
          <w:tab/>
        </w:r>
        <w:r w:rsidR="00B80A05">
          <w:rPr>
            <w:webHidden/>
          </w:rPr>
          <w:fldChar w:fldCharType="begin"/>
        </w:r>
        <w:r w:rsidR="00DF458B">
          <w:rPr>
            <w:webHidden/>
          </w:rPr>
          <w:instrText xml:space="preserve"> PAGEREF _Toc419814006 \h </w:instrText>
        </w:r>
        <w:r w:rsidR="00B80A05">
          <w:rPr>
            <w:webHidden/>
          </w:rPr>
        </w:r>
        <w:r w:rsidR="00B80A05">
          <w:rPr>
            <w:webHidden/>
          </w:rPr>
          <w:fldChar w:fldCharType="separate"/>
        </w:r>
        <w:r w:rsidR="00316060">
          <w:rPr>
            <w:webHidden/>
          </w:rPr>
          <w:t>285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07" w:history="1">
        <w:r w:rsidR="00DF458B" w:rsidRPr="00503D2D">
          <w:rPr>
            <w:rStyle w:val="Hyperlink"/>
            <w:rFonts w:ascii="Arial Negrito" w:hAnsi="Arial Negrito"/>
            <w:bCs/>
          </w:rPr>
          <w:t>3.5.8.</w:t>
        </w:r>
        <w:r w:rsidR="00DF458B">
          <w:rPr>
            <w:rStyle w:val="Hyperlink"/>
            <w:rFonts w:ascii="Arial Negrito" w:hAnsi="Arial Negrito"/>
            <w:bCs/>
          </w:rPr>
          <w:t xml:space="preserve"> </w:t>
        </w:r>
        <w:r w:rsidR="00DF458B" w:rsidRPr="00503D2D">
          <w:rPr>
            <w:rStyle w:val="Hyperlink"/>
            <w:rFonts w:ascii="Arial Negrito" w:hAnsi="Arial Negrito"/>
            <w:bCs/>
          </w:rPr>
          <w:t>Programa Ambiental de Conservação e Uso do Entorno do Reservatório</w:t>
        </w:r>
        <w:r w:rsidR="00DF458B">
          <w:rPr>
            <w:webHidden/>
          </w:rPr>
          <w:tab/>
        </w:r>
        <w:r w:rsidR="00B80A05">
          <w:rPr>
            <w:webHidden/>
          </w:rPr>
          <w:fldChar w:fldCharType="begin"/>
        </w:r>
        <w:r w:rsidR="00DF458B">
          <w:rPr>
            <w:webHidden/>
          </w:rPr>
          <w:instrText xml:space="preserve"> PAGEREF _Toc419814007 \h </w:instrText>
        </w:r>
        <w:r w:rsidR="00B80A05">
          <w:rPr>
            <w:webHidden/>
          </w:rPr>
        </w:r>
        <w:r w:rsidR="00B80A05">
          <w:rPr>
            <w:webHidden/>
          </w:rPr>
          <w:fldChar w:fldCharType="separate"/>
        </w:r>
        <w:r w:rsidR="00316060">
          <w:rPr>
            <w:webHidden/>
          </w:rPr>
          <w:t>285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08" w:history="1">
        <w:r w:rsidR="00DF458B" w:rsidRPr="00503D2D">
          <w:rPr>
            <w:rStyle w:val="Hyperlink"/>
            <w:rFonts w:ascii="Arial Negrito" w:hAnsi="Arial Negrito"/>
            <w:bCs/>
          </w:rPr>
          <w:t>3.5.8.1. Apresentação e Justificativa</w:t>
        </w:r>
        <w:r w:rsidR="00DF458B">
          <w:rPr>
            <w:webHidden/>
          </w:rPr>
          <w:tab/>
        </w:r>
        <w:r w:rsidR="00B80A05">
          <w:rPr>
            <w:webHidden/>
          </w:rPr>
          <w:fldChar w:fldCharType="begin"/>
        </w:r>
        <w:r w:rsidR="00DF458B">
          <w:rPr>
            <w:webHidden/>
          </w:rPr>
          <w:instrText xml:space="preserve"> PAGEREF _Toc419814008 \h </w:instrText>
        </w:r>
        <w:r w:rsidR="00B80A05">
          <w:rPr>
            <w:webHidden/>
          </w:rPr>
        </w:r>
        <w:r w:rsidR="00B80A05">
          <w:rPr>
            <w:webHidden/>
          </w:rPr>
          <w:fldChar w:fldCharType="separate"/>
        </w:r>
        <w:r w:rsidR="00316060">
          <w:rPr>
            <w:webHidden/>
          </w:rPr>
          <w:t>285</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09" w:history="1">
        <w:r w:rsidR="00DF458B" w:rsidRPr="00503D2D">
          <w:rPr>
            <w:rStyle w:val="Hyperlink"/>
            <w:rFonts w:ascii="Arial Negrito" w:hAnsi="Arial Negrito"/>
            <w:bCs/>
          </w:rPr>
          <w:t>3.5.8.2. Objetivos</w:t>
        </w:r>
        <w:r w:rsidR="00DF458B">
          <w:rPr>
            <w:webHidden/>
          </w:rPr>
          <w:tab/>
        </w:r>
        <w:r w:rsidR="00B80A05">
          <w:rPr>
            <w:webHidden/>
          </w:rPr>
          <w:fldChar w:fldCharType="begin"/>
        </w:r>
        <w:r w:rsidR="00DF458B">
          <w:rPr>
            <w:webHidden/>
          </w:rPr>
          <w:instrText xml:space="preserve"> PAGEREF _Toc419814009 \h </w:instrText>
        </w:r>
        <w:r w:rsidR="00B80A05">
          <w:rPr>
            <w:webHidden/>
          </w:rPr>
        </w:r>
        <w:r w:rsidR="00B80A05">
          <w:rPr>
            <w:webHidden/>
          </w:rPr>
          <w:fldChar w:fldCharType="separate"/>
        </w:r>
        <w:r w:rsidR="00316060">
          <w:rPr>
            <w:webHidden/>
          </w:rPr>
          <w:t>286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10" w:history="1">
        <w:r w:rsidR="00DF458B" w:rsidRPr="00503D2D">
          <w:rPr>
            <w:rStyle w:val="Hyperlink"/>
            <w:rFonts w:ascii="Arial Negrito" w:hAnsi="Arial Negrito"/>
            <w:bCs/>
          </w:rPr>
          <w:t>3.5.8.3. Metas</w:t>
        </w:r>
        <w:r w:rsidR="00DF458B">
          <w:rPr>
            <w:webHidden/>
          </w:rPr>
          <w:tab/>
        </w:r>
        <w:r w:rsidR="00B80A05">
          <w:rPr>
            <w:webHidden/>
          </w:rPr>
          <w:fldChar w:fldCharType="begin"/>
        </w:r>
        <w:r w:rsidR="00DF458B">
          <w:rPr>
            <w:webHidden/>
          </w:rPr>
          <w:instrText xml:space="preserve"> PAGEREF _Toc419814010 \h </w:instrText>
        </w:r>
        <w:r w:rsidR="00B80A05">
          <w:rPr>
            <w:webHidden/>
          </w:rPr>
        </w:r>
        <w:r w:rsidR="00B80A05">
          <w:rPr>
            <w:webHidden/>
          </w:rPr>
          <w:fldChar w:fldCharType="separate"/>
        </w:r>
        <w:r w:rsidR="00316060">
          <w:rPr>
            <w:webHidden/>
          </w:rPr>
          <w:t>287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11" w:history="1">
        <w:r w:rsidR="00DF458B" w:rsidRPr="00503D2D">
          <w:rPr>
            <w:rStyle w:val="Hyperlink"/>
            <w:rFonts w:ascii="Arial Negrito" w:hAnsi="Arial Negrito"/>
            <w:bCs/>
          </w:rPr>
          <w:t>3.5.8.4. Público-alvo</w:t>
        </w:r>
        <w:r w:rsidR="00DF458B">
          <w:rPr>
            <w:webHidden/>
          </w:rPr>
          <w:tab/>
        </w:r>
        <w:r w:rsidR="00B80A05">
          <w:rPr>
            <w:webHidden/>
          </w:rPr>
          <w:fldChar w:fldCharType="begin"/>
        </w:r>
        <w:r w:rsidR="00DF458B">
          <w:rPr>
            <w:webHidden/>
          </w:rPr>
          <w:instrText xml:space="preserve"> PAGEREF _Toc419814011 \h </w:instrText>
        </w:r>
        <w:r w:rsidR="00B80A05">
          <w:rPr>
            <w:webHidden/>
          </w:rPr>
        </w:r>
        <w:r w:rsidR="00B80A05">
          <w:rPr>
            <w:webHidden/>
          </w:rPr>
          <w:fldChar w:fldCharType="separate"/>
        </w:r>
        <w:r w:rsidR="00316060">
          <w:rPr>
            <w:webHidden/>
          </w:rPr>
          <w:t>287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12" w:history="1">
        <w:r w:rsidR="00DF458B" w:rsidRPr="00503D2D">
          <w:rPr>
            <w:rStyle w:val="Hyperlink"/>
            <w:rFonts w:ascii="Arial Negrito" w:hAnsi="Arial Negrito"/>
            <w:bCs/>
          </w:rPr>
          <w:t>3.5.8.5. Métodos e Descrição do Programa</w:t>
        </w:r>
        <w:r w:rsidR="00DF458B">
          <w:rPr>
            <w:webHidden/>
          </w:rPr>
          <w:tab/>
        </w:r>
        <w:r w:rsidR="00B80A05">
          <w:rPr>
            <w:webHidden/>
          </w:rPr>
          <w:fldChar w:fldCharType="begin"/>
        </w:r>
        <w:r w:rsidR="00DF458B">
          <w:rPr>
            <w:webHidden/>
          </w:rPr>
          <w:instrText xml:space="preserve"> PAGEREF _Toc419814012 \h </w:instrText>
        </w:r>
        <w:r w:rsidR="00B80A05">
          <w:rPr>
            <w:webHidden/>
          </w:rPr>
        </w:r>
        <w:r w:rsidR="00B80A05">
          <w:rPr>
            <w:webHidden/>
          </w:rPr>
          <w:fldChar w:fldCharType="separate"/>
        </w:r>
        <w:r w:rsidR="00316060">
          <w:rPr>
            <w:webHidden/>
          </w:rPr>
          <w:t>287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13" w:history="1">
        <w:r w:rsidR="00DF458B" w:rsidRPr="00503D2D">
          <w:rPr>
            <w:rStyle w:val="Hyperlink"/>
            <w:rFonts w:ascii="Arial Negrito" w:hAnsi="Arial Negrito"/>
            <w:bCs/>
          </w:rPr>
          <w:t>3.5.8.6. Indicadores Ambientais</w:t>
        </w:r>
        <w:r w:rsidR="00DF458B">
          <w:rPr>
            <w:webHidden/>
          </w:rPr>
          <w:tab/>
        </w:r>
        <w:r w:rsidR="00B80A05">
          <w:rPr>
            <w:webHidden/>
          </w:rPr>
          <w:fldChar w:fldCharType="begin"/>
        </w:r>
        <w:r w:rsidR="00DF458B">
          <w:rPr>
            <w:webHidden/>
          </w:rPr>
          <w:instrText xml:space="preserve"> PAGEREF _Toc419814013 \h </w:instrText>
        </w:r>
        <w:r w:rsidR="00B80A05">
          <w:rPr>
            <w:webHidden/>
          </w:rPr>
        </w:r>
        <w:r w:rsidR="00B80A05">
          <w:rPr>
            <w:webHidden/>
          </w:rPr>
          <w:fldChar w:fldCharType="separate"/>
        </w:r>
        <w:r w:rsidR="00316060">
          <w:rPr>
            <w:webHidden/>
          </w:rPr>
          <w:t>289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14" w:history="1">
        <w:r w:rsidR="00DF458B" w:rsidRPr="00503D2D">
          <w:rPr>
            <w:rStyle w:val="Hyperlink"/>
            <w:rFonts w:ascii="Arial Negrito" w:hAnsi="Arial Negrito"/>
            <w:bCs/>
          </w:rPr>
          <w:t>3.5.8.7. Recursos Materiais e Humanos</w:t>
        </w:r>
        <w:r w:rsidR="00DF458B">
          <w:rPr>
            <w:webHidden/>
          </w:rPr>
          <w:tab/>
        </w:r>
        <w:r w:rsidR="00B80A05">
          <w:rPr>
            <w:webHidden/>
          </w:rPr>
          <w:fldChar w:fldCharType="begin"/>
        </w:r>
        <w:r w:rsidR="00DF458B">
          <w:rPr>
            <w:webHidden/>
          </w:rPr>
          <w:instrText xml:space="preserve"> PAGEREF _Toc419814014 \h </w:instrText>
        </w:r>
        <w:r w:rsidR="00B80A05">
          <w:rPr>
            <w:webHidden/>
          </w:rPr>
        </w:r>
        <w:r w:rsidR="00B80A05">
          <w:rPr>
            <w:webHidden/>
          </w:rPr>
          <w:fldChar w:fldCharType="separate"/>
        </w:r>
        <w:r w:rsidR="00316060">
          <w:rPr>
            <w:webHidden/>
          </w:rPr>
          <w:t>289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15" w:history="1">
        <w:r w:rsidR="00DF458B" w:rsidRPr="00503D2D">
          <w:rPr>
            <w:rStyle w:val="Hyperlink"/>
            <w:rFonts w:ascii="Arial Negrito" w:hAnsi="Arial Negrito"/>
            <w:bCs/>
          </w:rPr>
          <w:t>3.5.8.8. Atendimento a Requisitos Legais e/ou outros Requisitos</w:t>
        </w:r>
        <w:r w:rsidR="00DF458B">
          <w:rPr>
            <w:webHidden/>
          </w:rPr>
          <w:tab/>
        </w:r>
        <w:r w:rsidR="00B80A05">
          <w:rPr>
            <w:webHidden/>
          </w:rPr>
          <w:fldChar w:fldCharType="begin"/>
        </w:r>
        <w:r w:rsidR="00DF458B">
          <w:rPr>
            <w:webHidden/>
          </w:rPr>
          <w:instrText xml:space="preserve"> PAGEREF _Toc419814015 \h </w:instrText>
        </w:r>
        <w:r w:rsidR="00B80A05">
          <w:rPr>
            <w:webHidden/>
          </w:rPr>
        </w:r>
        <w:r w:rsidR="00B80A05">
          <w:rPr>
            <w:webHidden/>
          </w:rPr>
          <w:fldChar w:fldCharType="separate"/>
        </w:r>
        <w:r w:rsidR="00316060">
          <w:rPr>
            <w:webHidden/>
          </w:rPr>
          <w:t>289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16" w:history="1">
        <w:r w:rsidR="00DF458B" w:rsidRPr="00503D2D">
          <w:rPr>
            <w:rStyle w:val="Hyperlink"/>
            <w:rFonts w:ascii="Arial Negrito" w:hAnsi="Arial Negrito"/>
            <w:bCs/>
          </w:rPr>
          <w:t>3.5.8.9. Inter-relação com outros Planos e Programas</w:t>
        </w:r>
        <w:r w:rsidR="00DF458B">
          <w:rPr>
            <w:webHidden/>
          </w:rPr>
          <w:tab/>
        </w:r>
        <w:r w:rsidR="00B80A05">
          <w:rPr>
            <w:webHidden/>
          </w:rPr>
          <w:fldChar w:fldCharType="begin"/>
        </w:r>
        <w:r w:rsidR="00DF458B">
          <w:rPr>
            <w:webHidden/>
          </w:rPr>
          <w:instrText xml:space="preserve"> PAGEREF _Toc419814016 \h </w:instrText>
        </w:r>
        <w:r w:rsidR="00B80A05">
          <w:rPr>
            <w:webHidden/>
          </w:rPr>
        </w:r>
        <w:r w:rsidR="00B80A05">
          <w:rPr>
            <w:webHidden/>
          </w:rPr>
          <w:fldChar w:fldCharType="separate"/>
        </w:r>
        <w:r w:rsidR="00316060">
          <w:rPr>
            <w:webHidden/>
          </w:rPr>
          <w:t>289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17" w:history="1">
        <w:r w:rsidR="00DF458B" w:rsidRPr="00503D2D">
          <w:rPr>
            <w:rStyle w:val="Hyperlink"/>
            <w:rFonts w:ascii="Arial Negrito" w:hAnsi="Arial Negrito"/>
            <w:bCs/>
          </w:rPr>
          <w:t>3.5.8.10. Etapa dos Empreendimentos</w:t>
        </w:r>
        <w:r w:rsidR="00DF458B">
          <w:rPr>
            <w:webHidden/>
          </w:rPr>
          <w:tab/>
        </w:r>
        <w:r w:rsidR="00B80A05">
          <w:rPr>
            <w:webHidden/>
          </w:rPr>
          <w:fldChar w:fldCharType="begin"/>
        </w:r>
        <w:r w:rsidR="00DF458B">
          <w:rPr>
            <w:webHidden/>
          </w:rPr>
          <w:instrText xml:space="preserve"> PAGEREF _Toc419814017 \h </w:instrText>
        </w:r>
        <w:r w:rsidR="00B80A05">
          <w:rPr>
            <w:webHidden/>
          </w:rPr>
        </w:r>
        <w:r w:rsidR="00B80A05">
          <w:rPr>
            <w:webHidden/>
          </w:rPr>
          <w:fldChar w:fldCharType="separate"/>
        </w:r>
        <w:r w:rsidR="00316060">
          <w:rPr>
            <w:webHidden/>
          </w:rPr>
          <w:t>289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18" w:history="1">
        <w:r w:rsidR="00DF458B" w:rsidRPr="00503D2D">
          <w:rPr>
            <w:rStyle w:val="Hyperlink"/>
            <w:rFonts w:ascii="Arial Negrito" w:hAnsi="Arial Negrito"/>
            <w:bCs/>
          </w:rPr>
          <w:t>3.5.8.11. Cronograma de Execução</w:t>
        </w:r>
        <w:r w:rsidR="00DF458B">
          <w:rPr>
            <w:webHidden/>
          </w:rPr>
          <w:tab/>
        </w:r>
        <w:r w:rsidR="00B80A05">
          <w:rPr>
            <w:webHidden/>
          </w:rPr>
          <w:fldChar w:fldCharType="begin"/>
        </w:r>
        <w:r w:rsidR="00DF458B">
          <w:rPr>
            <w:webHidden/>
          </w:rPr>
          <w:instrText xml:space="preserve"> PAGEREF _Toc419814018 \h </w:instrText>
        </w:r>
        <w:r w:rsidR="00B80A05">
          <w:rPr>
            <w:webHidden/>
          </w:rPr>
        </w:r>
        <w:r w:rsidR="00B80A05">
          <w:rPr>
            <w:webHidden/>
          </w:rPr>
          <w:fldChar w:fldCharType="separate"/>
        </w:r>
        <w:r w:rsidR="00316060">
          <w:rPr>
            <w:webHidden/>
          </w:rPr>
          <w:t>289</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19" w:history="1">
        <w:r w:rsidR="00DF458B" w:rsidRPr="00503D2D">
          <w:rPr>
            <w:rStyle w:val="Hyperlink"/>
            <w:rFonts w:ascii="Arial Negrito" w:hAnsi="Arial Negrito"/>
            <w:bCs/>
          </w:rPr>
          <w:t>3.5.8.12. Responsável pela Implementação do Programa</w:t>
        </w:r>
        <w:r w:rsidR="00DF458B">
          <w:rPr>
            <w:webHidden/>
          </w:rPr>
          <w:tab/>
        </w:r>
        <w:r w:rsidR="00B80A05">
          <w:rPr>
            <w:webHidden/>
          </w:rPr>
          <w:fldChar w:fldCharType="begin"/>
        </w:r>
        <w:r w:rsidR="00DF458B">
          <w:rPr>
            <w:webHidden/>
          </w:rPr>
          <w:instrText xml:space="preserve"> PAGEREF _Toc419814019 \h </w:instrText>
        </w:r>
        <w:r w:rsidR="00B80A05">
          <w:rPr>
            <w:webHidden/>
          </w:rPr>
        </w:r>
        <w:r w:rsidR="00B80A05">
          <w:rPr>
            <w:webHidden/>
          </w:rPr>
          <w:fldChar w:fldCharType="separate"/>
        </w:r>
        <w:r w:rsidR="00316060">
          <w:rPr>
            <w:webHidden/>
          </w:rPr>
          <w:t>290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20" w:history="1">
        <w:r w:rsidR="00DF458B" w:rsidRPr="00503D2D">
          <w:rPr>
            <w:rStyle w:val="Hyperlink"/>
            <w:rFonts w:ascii="Arial Negrito" w:hAnsi="Arial Negrito"/>
            <w:bCs/>
          </w:rPr>
          <w:t>3.5.8.13. Sistemas de Registros</w:t>
        </w:r>
        <w:r w:rsidR="00DF458B">
          <w:rPr>
            <w:webHidden/>
          </w:rPr>
          <w:tab/>
        </w:r>
        <w:r w:rsidR="00B80A05">
          <w:rPr>
            <w:webHidden/>
          </w:rPr>
          <w:fldChar w:fldCharType="begin"/>
        </w:r>
        <w:r w:rsidR="00DF458B">
          <w:rPr>
            <w:webHidden/>
          </w:rPr>
          <w:instrText xml:space="preserve"> PAGEREF _Toc419814020 \h </w:instrText>
        </w:r>
        <w:r w:rsidR="00B80A05">
          <w:rPr>
            <w:webHidden/>
          </w:rPr>
        </w:r>
        <w:r w:rsidR="00B80A05">
          <w:rPr>
            <w:webHidden/>
          </w:rPr>
          <w:fldChar w:fldCharType="separate"/>
        </w:r>
        <w:r w:rsidR="00316060">
          <w:rPr>
            <w:webHidden/>
          </w:rPr>
          <w:t>290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21" w:history="1">
        <w:r w:rsidR="00DF458B" w:rsidRPr="00503D2D">
          <w:rPr>
            <w:rStyle w:val="Hyperlink"/>
            <w:rFonts w:ascii="Arial Negrito" w:hAnsi="Arial Negrito"/>
            <w:bCs/>
          </w:rPr>
          <w:t>3.5.8.14. Referências Bibliográficas</w:t>
        </w:r>
        <w:r w:rsidR="00DF458B">
          <w:rPr>
            <w:webHidden/>
          </w:rPr>
          <w:tab/>
        </w:r>
        <w:r w:rsidR="00B80A05">
          <w:rPr>
            <w:webHidden/>
          </w:rPr>
          <w:fldChar w:fldCharType="begin"/>
        </w:r>
        <w:r w:rsidR="00DF458B">
          <w:rPr>
            <w:webHidden/>
          </w:rPr>
          <w:instrText xml:space="preserve"> PAGEREF _Toc419814021 \h </w:instrText>
        </w:r>
        <w:r w:rsidR="00B80A05">
          <w:rPr>
            <w:webHidden/>
          </w:rPr>
        </w:r>
        <w:r w:rsidR="00B80A05">
          <w:rPr>
            <w:webHidden/>
          </w:rPr>
          <w:fldChar w:fldCharType="separate"/>
        </w:r>
        <w:r w:rsidR="00316060">
          <w:rPr>
            <w:webHidden/>
          </w:rPr>
          <w:t>290</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22" w:history="1">
        <w:r w:rsidR="00DF458B" w:rsidRPr="00503D2D">
          <w:rPr>
            <w:rStyle w:val="Hyperlink"/>
            <w:rFonts w:ascii="Arial Negrito" w:hAnsi="Arial Negrito"/>
            <w:bCs/>
          </w:rPr>
          <w:t>3.5.9. Programa de Prospecção, Resgate Arqueológico e Preservação do Patrimônio Arqueológico, Histórico e Cultural</w:t>
        </w:r>
        <w:r w:rsidR="00DF458B">
          <w:rPr>
            <w:webHidden/>
          </w:rPr>
          <w:tab/>
        </w:r>
        <w:r w:rsidR="00B80A05">
          <w:rPr>
            <w:webHidden/>
          </w:rPr>
          <w:fldChar w:fldCharType="begin"/>
        </w:r>
        <w:r w:rsidR="00DF458B">
          <w:rPr>
            <w:webHidden/>
          </w:rPr>
          <w:instrText xml:space="preserve"> PAGEREF _Toc419814022 \h </w:instrText>
        </w:r>
        <w:r w:rsidR="00B80A05">
          <w:rPr>
            <w:webHidden/>
          </w:rPr>
        </w:r>
        <w:r w:rsidR="00B80A05">
          <w:rPr>
            <w:webHidden/>
          </w:rPr>
          <w:fldChar w:fldCharType="separate"/>
        </w:r>
        <w:r w:rsidR="00316060">
          <w:rPr>
            <w:webHidden/>
          </w:rPr>
          <w:t>291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23" w:history="1">
        <w:r w:rsidR="00DF458B" w:rsidRPr="00503D2D">
          <w:rPr>
            <w:rStyle w:val="Hyperlink"/>
            <w:rFonts w:ascii="Arial Negrito" w:hAnsi="Arial Negrito"/>
            <w:bCs/>
          </w:rPr>
          <w:t>3.5.9.1. Apresentação e Justificativas</w:t>
        </w:r>
        <w:r w:rsidR="00DF458B">
          <w:rPr>
            <w:webHidden/>
          </w:rPr>
          <w:tab/>
        </w:r>
        <w:r w:rsidR="00B80A05">
          <w:rPr>
            <w:webHidden/>
          </w:rPr>
          <w:fldChar w:fldCharType="begin"/>
        </w:r>
        <w:r w:rsidR="00DF458B">
          <w:rPr>
            <w:webHidden/>
          </w:rPr>
          <w:instrText xml:space="preserve"> PAGEREF _Toc419814023 \h </w:instrText>
        </w:r>
        <w:r w:rsidR="00B80A05">
          <w:rPr>
            <w:webHidden/>
          </w:rPr>
        </w:r>
        <w:r w:rsidR="00B80A05">
          <w:rPr>
            <w:webHidden/>
          </w:rPr>
          <w:fldChar w:fldCharType="separate"/>
        </w:r>
        <w:r w:rsidR="00316060">
          <w:rPr>
            <w:webHidden/>
          </w:rPr>
          <w:t>291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24" w:history="1">
        <w:r w:rsidR="00DF458B" w:rsidRPr="00503D2D">
          <w:rPr>
            <w:rStyle w:val="Hyperlink"/>
          </w:rPr>
          <w:t>3.5.9.2. Objetivos</w:t>
        </w:r>
        <w:r w:rsidR="00DF458B">
          <w:rPr>
            <w:webHidden/>
          </w:rPr>
          <w:tab/>
        </w:r>
        <w:r w:rsidR="00B80A05">
          <w:rPr>
            <w:webHidden/>
          </w:rPr>
          <w:fldChar w:fldCharType="begin"/>
        </w:r>
        <w:r w:rsidR="00DF458B">
          <w:rPr>
            <w:webHidden/>
          </w:rPr>
          <w:instrText xml:space="preserve"> PAGEREF _Toc419814024 \h </w:instrText>
        </w:r>
        <w:r w:rsidR="00B80A05">
          <w:rPr>
            <w:webHidden/>
          </w:rPr>
        </w:r>
        <w:r w:rsidR="00B80A05">
          <w:rPr>
            <w:webHidden/>
          </w:rPr>
          <w:fldChar w:fldCharType="separate"/>
        </w:r>
        <w:r w:rsidR="00316060">
          <w:rPr>
            <w:webHidden/>
          </w:rPr>
          <w:t>292</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25" w:history="1">
        <w:r w:rsidR="00DF458B" w:rsidRPr="00503D2D">
          <w:rPr>
            <w:rStyle w:val="Hyperlink"/>
          </w:rPr>
          <w:t>3.5.9.3. Metas</w:t>
        </w:r>
        <w:r w:rsidR="00DF458B">
          <w:rPr>
            <w:webHidden/>
          </w:rPr>
          <w:tab/>
        </w:r>
        <w:r w:rsidR="00B80A05">
          <w:rPr>
            <w:webHidden/>
          </w:rPr>
          <w:fldChar w:fldCharType="begin"/>
        </w:r>
        <w:r w:rsidR="00DF458B">
          <w:rPr>
            <w:webHidden/>
          </w:rPr>
          <w:instrText xml:space="preserve"> PAGEREF _Toc419814025 \h </w:instrText>
        </w:r>
        <w:r w:rsidR="00B80A05">
          <w:rPr>
            <w:webHidden/>
          </w:rPr>
        </w:r>
        <w:r w:rsidR="00B80A05">
          <w:rPr>
            <w:webHidden/>
          </w:rPr>
          <w:fldChar w:fldCharType="separate"/>
        </w:r>
        <w:r w:rsidR="00316060">
          <w:rPr>
            <w:webHidden/>
          </w:rPr>
          <w:t>293</w:t>
        </w:r>
        <w:r w:rsidR="00B80A05">
          <w:rPr>
            <w:webHidden/>
          </w:rPr>
          <w:fldChar w:fldCharType="end"/>
        </w:r>
      </w:hyperlink>
    </w:p>
    <w:p w:rsidR="00DF458B" w:rsidRDefault="00D84387" w:rsidP="00DF458B">
      <w:pPr>
        <w:pStyle w:val="Sumrio4"/>
        <w:rPr>
          <w:rFonts w:asciiTheme="minorHAnsi" w:eastAsiaTheme="minorEastAsia" w:hAnsiTheme="minorHAnsi" w:cstheme="minorBidi"/>
          <w:b w:val="0"/>
          <w:szCs w:val="22"/>
        </w:rPr>
      </w:pPr>
      <w:hyperlink w:anchor="_Toc419814026" w:history="1">
        <w:r w:rsidR="00DF458B" w:rsidRPr="00503D2D">
          <w:rPr>
            <w:rStyle w:val="Hyperlink"/>
          </w:rPr>
          <w:t>3.5.9.4. Público Alvo</w:t>
        </w:r>
        <w:r w:rsidR="00DF458B">
          <w:rPr>
            <w:webHidden/>
          </w:rPr>
          <w:tab/>
        </w:r>
        <w:r w:rsidR="00B80A05">
          <w:rPr>
            <w:webHidden/>
          </w:rPr>
          <w:fldChar w:fldCharType="begin"/>
        </w:r>
        <w:r w:rsidR="00DF458B">
          <w:rPr>
            <w:webHidden/>
          </w:rPr>
          <w:instrText xml:space="preserve"> PAGEREF _Toc419814026 \h </w:instrText>
        </w:r>
        <w:r w:rsidR="00B80A05">
          <w:rPr>
            <w:webHidden/>
          </w:rPr>
        </w:r>
        <w:r w:rsidR="00B80A05">
          <w:rPr>
            <w:webHidden/>
          </w:rPr>
          <w:fldChar w:fldCharType="separate"/>
        </w:r>
        <w:r w:rsidR="00316060">
          <w:rPr>
            <w:webHidden/>
          </w:rPr>
          <w:t>293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27" w:history="1">
        <w:r w:rsidR="00DF458B" w:rsidRPr="00503D2D">
          <w:rPr>
            <w:rStyle w:val="Hyperlink"/>
          </w:rPr>
          <w:t>3.5.9.5. Métodos e Descrição do Programa (Procedimentos)</w:t>
        </w:r>
        <w:r w:rsidR="00DF458B">
          <w:rPr>
            <w:webHidden/>
          </w:rPr>
          <w:tab/>
        </w:r>
        <w:r w:rsidR="00B80A05">
          <w:rPr>
            <w:webHidden/>
          </w:rPr>
          <w:fldChar w:fldCharType="begin"/>
        </w:r>
        <w:r w:rsidR="00DF458B">
          <w:rPr>
            <w:webHidden/>
          </w:rPr>
          <w:instrText xml:space="preserve"> PAGEREF _Toc419814027 \h </w:instrText>
        </w:r>
        <w:r w:rsidR="00B80A05">
          <w:rPr>
            <w:webHidden/>
          </w:rPr>
        </w:r>
        <w:r w:rsidR="00B80A05">
          <w:rPr>
            <w:webHidden/>
          </w:rPr>
          <w:fldChar w:fldCharType="separate"/>
        </w:r>
        <w:r w:rsidR="00316060">
          <w:rPr>
            <w:webHidden/>
          </w:rPr>
          <w:t>293</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28" w:history="1">
        <w:r w:rsidR="00DF458B" w:rsidRPr="00503D2D">
          <w:rPr>
            <w:rStyle w:val="Hyperlink"/>
          </w:rPr>
          <w:t>3.5.9.6. Indicadores Ambientais</w:t>
        </w:r>
        <w:r w:rsidR="00DF458B">
          <w:rPr>
            <w:webHidden/>
          </w:rPr>
          <w:tab/>
        </w:r>
        <w:r w:rsidR="00B80A05">
          <w:rPr>
            <w:webHidden/>
          </w:rPr>
          <w:fldChar w:fldCharType="begin"/>
        </w:r>
        <w:r w:rsidR="00DF458B">
          <w:rPr>
            <w:webHidden/>
          </w:rPr>
          <w:instrText xml:space="preserve"> PAGEREF _Toc419814028 \h </w:instrText>
        </w:r>
        <w:r w:rsidR="00B80A05">
          <w:rPr>
            <w:webHidden/>
          </w:rPr>
        </w:r>
        <w:r w:rsidR="00B80A05">
          <w:rPr>
            <w:webHidden/>
          </w:rPr>
          <w:fldChar w:fldCharType="separate"/>
        </w:r>
        <w:r w:rsidR="00316060">
          <w:rPr>
            <w:webHidden/>
          </w:rPr>
          <w:t>294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29" w:history="1">
        <w:r w:rsidR="00DF458B" w:rsidRPr="00503D2D">
          <w:rPr>
            <w:rStyle w:val="Hyperlink"/>
          </w:rPr>
          <w:t>3.5.9.7. Recursos Materiais e Humanos</w:t>
        </w:r>
        <w:r w:rsidR="00DF458B">
          <w:rPr>
            <w:webHidden/>
          </w:rPr>
          <w:tab/>
        </w:r>
        <w:r w:rsidR="00B80A05">
          <w:rPr>
            <w:webHidden/>
          </w:rPr>
          <w:fldChar w:fldCharType="begin"/>
        </w:r>
        <w:r w:rsidR="00DF458B">
          <w:rPr>
            <w:webHidden/>
          </w:rPr>
          <w:instrText xml:space="preserve"> PAGEREF _Toc419814029 \h </w:instrText>
        </w:r>
        <w:r w:rsidR="00B80A05">
          <w:rPr>
            <w:webHidden/>
          </w:rPr>
        </w:r>
        <w:r w:rsidR="00B80A05">
          <w:rPr>
            <w:webHidden/>
          </w:rPr>
          <w:fldChar w:fldCharType="separate"/>
        </w:r>
        <w:r w:rsidR="00316060">
          <w:rPr>
            <w:webHidden/>
          </w:rPr>
          <w:t>294</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30" w:history="1">
        <w:r w:rsidR="00DF458B" w:rsidRPr="00503D2D">
          <w:rPr>
            <w:rStyle w:val="Hyperlink"/>
          </w:rPr>
          <w:t>3.5.9.8. Atendimento a Requisitos Legais</w:t>
        </w:r>
        <w:r w:rsidR="00DF458B">
          <w:rPr>
            <w:webHidden/>
          </w:rPr>
          <w:tab/>
        </w:r>
        <w:r w:rsidR="00B80A05">
          <w:rPr>
            <w:webHidden/>
          </w:rPr>
          <w:fldChar w:fldCharType="begin"/>
        </w:r>
        <w:r w:rsidR="00DF458B">
          <w:rPr>
            <w:webHidden/>
          </w:rPr>
          <w:instrText xml:space="preserve"> PAGEREF _Toc419814030 \h </w:instrText>
        </w:r>
        <w:r w:rsidR="00B80A05">
          <w:rPr>
            <w:webHidden/>
          </w:rPr>
        </w:r>
        <w:r w:rsidR="00B80A05">
          <w:rPr>
            <w:webHidden/>
          </w:rPr>
          <w:fldChar w:fldCharType="separate"/>
        </w:r>
        <w:r w:rsidR="00316060">
          <w:rPr>
            <w:webHidden/>
          </w:rPr>
          <w:t>296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31" w:history="1">
        <w:r w:rsidR="00DF458B" w:rsidRPr="00503D2D">
          <w:rPr>
            <w:rStyle w:val="Hyperlink"/>
          </w:rPr>
          <w:t>3.5.9.9. Inter-relação com outros Planos e Programas</w:t>
        </w:r>
        <w:r w:rsidR="00DF458B">
          <w:rPr>
            <w:webHidden/>
          </w:rPr>
          <w:tab/>
        </w:r>
        <w:r w:rsidR="00B80A05">
          <w:rPr>
            <w:webHidden/>
          </w:rPr>
          <w:fldChar w:fldCharType="begin"/>
        </w:r>
        <w:r w:rsidR="00DF458B">
          <w:rPr>
            <w:webHidden/>
          </w:rPr>
          <w:instrText xml:space="preserve"> PAGEREF _Toc419814031 \h </w:instrText>
        </w:r>
        <w:r w:rsidR="00B80A05">
          <w:rPr>
            <w:webHidden/>
          </w:rPr>
        </w:r>
        <w:r w:rsidR="00B80A05">
          <w:rPr>
            <w:webHidden/>
          </w:rPr>
          <w:fldChar w:fldCharType="separate"/>
        </w:r>
        <w:r w:rsidR="00316060">
          <w:rPr>
            <w:webHidden/>
          </w:rPr>
          <w:t>296</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32" w:history="1">
        <w:r w:rsidR="00DF458B" w:rsidRPr="00503D2D">
          <w:rPr>
            <w:rStyle w:val="Hyperlink"/>
          </w:rPr>
          <w:t>3.5.9.10. Etapa dos Empreendimentos</w:t>
        </w:r>
        <w:r w:rsidR="00DF458B">
          <w:rPr>
            <w:webHidden/>
          </w:rPr>
          <w:tab/>
        </w:r>
        <w:r w:rsidR="00B80A05">
          <w:rPr>
            <w:webHidden/>
          </w:rPr>
          <w:fldChar w:fldCharType="begin"/>
        </w:r>
        <w:r w:rsidR="00DF458B">
          <w:rPr>
            <w:webHidden/>
          </w:rPr>
          <w:instrText xml:space="preserve"> PAGEREF _Toc419814032 \h </w:instrText>
        </w:r>
        <w:r w:rsidR="00B80A05">
          <w:rPr>
            <w:webHidden/>
          </w:rPr>
        </w:r>
        <w:r w:rsidR="00B80A05">
          <w:rPr>
            <w:webHidden/>
          </w:rPr>
          <w:fldChar w:fldCharType="separate"/>
        </w:r>
        <w:r w:rsidR="00316060">
          <w:rPr>
            <w:webHidden/>
          </w:rPr>
          <w:t>297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33" w:history="1">
        <w:r w:rsidR="00DF458B" w:rsidRPr="00503D2D">
          <w:rPr>
            <w:rStyle w:val="Hyperlink"/>
          </w:rPr>
          <w:t>3.5.9.11. Cronograma de Execução</w:t>
        </w:r>
        <w:r w:rsidR="00DF458B">
          <w:rPr>
            <w:webHidden/>
          </w:rPr>
          <w:tab/>
        </w:r>
        <w:r w:rsidR="00B80A05">
          <w:rPr>
            <w:webHidden/>
          </w:rPr>
          <w:fldChar w:fldCharType="begin"/>
        </w:r>
        <w:r w:rsidR="00DF458B">
          <w:rPr>
            <w:webHidden/>
          </w:rPr>
          <w:instrText xml:space="preserve"> PAGEREF _Toc419814033 \h </w:instrText>
        </w:r>
        <w:r w:rsidR="00B80A05">
          <w:rPr>
            <w:webHidden/>
          </w:rPr>
        </w:r>
        <w:r w:rsidR="00B80A05">
          <w:rPr>
            <w:webHidden/>
          </w:rPr>
          <w:fldChar w:fldCharType="separate"/>
        </w:r>
        <w:r w:rsidR="00316060">
          <w:rPr>
            <w:webHidden/>
          </w:rPr>
          <w:t>297</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34" w:history="1">
        <w:r w:rsidR="00DF458B" w:rsidRPr="00503D2D">
          <w:rPr>
            <w:rStyle w:val="Hyperlink"/>
          </w:rPr>
          <w:t>3.5.9.12. Responsável pela Implementação</w:t>
        </w:r>
        <w:r w:rsidR="00DF458B">
          <w:rPr>
            <w:webHidden/>
          </w:rPr>
          <w:tab/>
        </w:r>
        <w:r w:rsidR="00B80A05">
          <w:rPr>
            <w:webHidden/>
          </w:rPr>
          <w:fldChar w:fldCharType="begin"/>
        </w:r>
        <w:r w:rsidR="00DF458B">
          <w:rPr>
            <w:webHidden/>
          </w:rPr>
          <w:instrText xml:space="preserve"> PAGEREF _Toc419814034 \h </w:instrText>
        </w:r>
        <w:r w:rsidR="00B80A05">
          <w:rPr>
            <w:webHidden/>
          </w:rPr>
        </w:r>
        <w:r w:rsidR="00B80A05">
          <w:rPr>
            <w:webHidden/>
          </w:rPr>
          <w:fldChar w:fldCharType="separate"/>
        </w:r>
        <w:r w:rsidR="00316060">
          <w:rPr>
            <w:webHidden/>
          </w:rPr>
          <w:t>298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35" w:history="1">
        <w:r w:rsidR="00DF458B" w:rsidRPr="00503D2D">
          <w:rPr>
            <w:rStyle w:val="Hyperlink"/>
          </w:rPr>
          <w:t>3.5.9.13. Sistemas de Registros</w:t>
        </w:r>
        <w:r w:rsidR="00DF458B">
          <w:rPr>
            <w:webHidden/>
          </w:rPr>
          <w:tab/>
        </w:r>
        <w:r w:rsidR="00B80A05">
          <w:rPr>
            <w:webHidden/>
          </w:rPr>
          <w:fldChar w:fldCharType="begin"/>
        </w:r>
        <w:r w:rsidR="00DF458B">
          <w:rPr>
            <w:webHidden/>
          </w:rPr>
          <w:instrText xml:space="preserve"> PAGEREF _Toc419814035 \h </w:instrText>
        </w:r>
        <w:r w:rsidR="00B80A05">
          <w:rPr>
            <w:webHidden/>
          </w:rPr>
        </w:r>
        <w:r w:rsidR="00B80A05">
          <w:rPr>
            <w:webHidden/>
          </w:rPr>
          <w:fldChar w:fldCharType="separate"/>
        </w:r>
        <w:r w:rsidR="00316060">
          <w:rPr>
            <w:webHidden/>
          </w:rPr>
          <w:t>298</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36" w:history="1">
        <w:r w:rsidR="00DF458B" w:rsidRPr="00503D2D">
          <w:rPr>
            <w:rStyle w:val="Hyperlink"/>
          </w:rPr>
          <w:t>3.5.9.14. Referências Bibliográficas</w:t>
        </w:r>
        <w:r w:rsidR="00DF458B">
          <w:rPr>
            <w:webHidden/>
          </w:rPr>
          <w:tab/>
        </w:r>
        <w:r w:rsidR="00B80A05">
          <w:rPr>
            <w:webHidden/>
          </w:rPr>
          <w:fldChar w:fldCharType="begin"/>
        </w:r>
        <w:r w:rsidR="00DF458B">
          <w:rPr>
            <w:webHidden/>
          </w:rPr>
          <w:instrText xml:space="preserve"> PAGEREF _Toc419814036 \h </w:instrText>
        </w:r>
        <w:r w:rsidR="00B80A05">
          <w:rPr>
            <w:webHidden/>
          </w:rPr>
        </w:r>
        <w:r w:rsidR="00B80A05">
          <w:rPr>
            <w:webHidden/>
          </w:rPr>
          <w:fldChar w:fldCharType="separate"/>
        </w:r>
        <w:r w:rsidR="00316060">
          <w:rPr>
            <w:webHidden/>
          </w:rPr>
          <w:t>299</w:t>
        </w:r>
        <w:r w:rsidR="00B80A05">
          <w:rPr>
            <w:webHidden/>
          </w:rPr>
          <w:fldChar w:fldCharType="end"/>
        </w:r>
      </w:hyperlink>
    </w:p>
    <w:p w:rsidR="00DF458B" w:rsidRDefault="00D84387" w:rsidP="00DF458B">
      <w:pPr>
        <w:pStyle w:val="Sumrio1"/>
        <w:rPr>
          <w:rFonts w:asciiTheme="minorHAnsi" w:eastAsiaTheme="minorEastAsia" w:hAnsiTheme="minorHAnsi" w:cstheme="minorBidi"/>
          <w:b w:val="0"/>
          <w:caps w:val="0"/>
          <w:szCs w:val="22"/>
        </w:rPr>
      </w:pPr>
      <w:hyperlink w:anchor="_Toc419814037" w:history="1">
        <w:r w:rsidR="00DF458B" w:rsidRPr="00503D2D">
          <w:rPr>
            <w:rStyle w:val="Hyperlink"/>
            <w:rFonts w:eastAsia="Calibri"/>
            <w:lang w:eastAsia="en-US"/>
          </w:rPr>
          <w:t>4. PROGNÓSTICO DA QUALIDADE AMBIENTAL FUTURA</w:t>
        </w:r>
        <w:r w:rsidR="00DF458B">
          <w:rPr>
            <w:webHidden/>
          </w:rPr>
          <w:tab/>
        </w:r>
        <w:r w:rsidR="00B80A05">
          <w:rPr>
            <w:webHidden/>
          </w:rPr>
          <w:fldChar w:fldCharType="begin"/>
        </w:r>
        <w:r w:rsidR="00DF458B">
          <w:rPr>
            <w:webHidden/>
          </w:rPr>
          <w:instrText xml:space="preserve"> PAGEREF _Toc419814037 \h </w:instrText>
        </w:r>
        <w:r w:rsidR="00B80A05">
          <w:rPr>
            <w:webHidden/>
          </w:rPr>
        </w:r>
        <w:r w:rsidR="00B80A05">
          <w:rPr>
            <w:webHidden/>
          </w:rPr>
          <w:fldChar w:fldCharType="separate"/>
        </w:r>
        <w:r w:rsidR="00316060">
          <w:rPr>
            <w:webHidden/>
          </w:rPr>
          <w:t>301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38" w:history="1">
        <w:r w:rsidR="00DF458B" w:rsidRPr="00503D2D">
          <w:rPr>
            <w:rStyle w:val="Hyperlink"/>
            <w:rFonts w:ascii="Arial Negrito" w:hAnsi="Arial Negrito"/>
            <w:bCs/>
          </w:rPr>
          <w:t>4.1. Cenário sem o Empreendimento</w:t>
        </w:r>
        <w:r w:rsidR="00DF458B">
          <w:rPr>
            <w:webHidden/>
          </w:rPr>
          <w:tab/>
        </w:r>
        <w:r w:rsidR="00B80A05">
          <w:rPr>
            <w:webHidden/>
          </w:rPr>
          <w:fldChar w:fldCharType="begin"/>
        </w:r>
        <w:r w:rsidR="00DF458B">
          <w:rPr>
            <w:webHidden/>
          </w:rPr>
          <w:instrText xml:space="preserve"> PAGEREF _Toc419814038 \h </w:instrText>
        </w:r>
        <w:r w:rsidR="00B80A05">
          <w:rPr>
            <w:webHidden/>
          </w:rPr>
        </w:r>
        <w:r w:rsidR="00B80A05">
          <w:rPr>
            <w:webHidden/>
          </w:rPr>
          <w:fldChar w:fldCharType="separate"/>
        </w:r>
        <w:r w:rsidR="00316060">
          <w:rPr>
            <w:webHidden/>
          </w:rPr>
          <w:t>301</w:t>
        </w:r>
        <w:r w:rsidR="00B80A05">
          <w:rPr>
            <w:webHidden/>
          </w:rPr>
          <w:fldChar w:fldCharType="end"/>
        </w:r>
      </w:hyperlink>
    </w:p>
    <w:p w:rsidR="00DF458B" w:rsidRDefault="00D84387" w:rsidP="00DF458B">
      <w:pPr>
        <w:pStyle w:val="Sumrio3"/>
        <w:rPr>
          <w:rFonts w:asciiTheme="minorHAnsi" w:eastAsiaTheme="minorEastAsia" w:hAnsiTheme="minorHAnsi" w:cstheme="minorBidi"/>
        </w:rPr>
      </w:pPr>
      <w:hyperlink w:anchor="_Toc419814039" w:history="1">
        <w:r w:rsidR="00DF458B" w:rsidRPr="00503D2D">
          <w:rPr>
            <w:rStyle w:val="Hyperlink"/>
            <w:rFonts w:ascii="Arial Negrito" w:hAnsi="Arial Negrito"/>
            <w:bCs/>
          </w:rPr>
          <w:t>4.2.</w:t>
        </w:r>
        <w:r w:rsidR="00DF458B">
          <w:rPr>
            <w:rFonts w:asciiTheme="minorHAnsi" w:eastAsiaTheme="minorEastAsia" w:hAnsiTheme="minorHAnsi" w:cstheme="minorBidi"/>
          </w:rPr>
          <w:tab/>
        </w:r>
        <w:r w:rsidR="00DF458B" w:rsidRPr="00503D2D">
          <w:rPr>
            <w:rStyle w:val="Hyperlink"/>
            <w:rFonts w:ascii="Arial Negrito" w:hAnsi="Arial Negrito"/>
            <w:bCs/>
          </w:rPr>
          <w:t>Cenário com o Empreendimento</w:t>
        </w:r>
        <w:r w:rsidR="00DF458B">
          <w:rPr>
            <w:webHidden/>
          </w:rPr>
          <w:tab/>
        </w:r>
        <w:r w:rsidR="00B80A05">
          <w:rPr>
            <w:webHidden/>
          </w:rPr>
          <w:fldChar w:fldCharType="begin"/>
        </w:r>
        <w:r w:rsidR="00DF458B">
          <w:rPr>
            <w:webHidden/>
          </w:rPr>
          <w:instrText xml:space="preserve"> PAGEREF _Toc419814039 \h </w:instrText>
        </w:r>
        <w:r w:rsidR="00B80A05">
          <w:rPr>
            <w:webHidden/>
          </w:rPr>
        </w:r>
        <w:r w:rsidR="00B80A05">
          <w:rPr>
            <w:webHidden/>
          </w:rPr>
          <w:fldChar w:fldCharType="separate"/>
        </w:r>
        <w:r w:rsidR="00316060">
          <w:rPr>
            <w:webHidden/>
          </w:rPr>
          <w:t>304</w:t>
        </w:r>
        <w:r w:rsidR="00B80A05">
          <w:rPr>
            <w:webHidden/>
          </w:rPr>
          <w:fldChar w:fldCharType="end"/>
        </w:r>
      </w:hyperlink>
    </w:p>
    <w:p w:rsidR="00DF458B" w:rsidRDefault="00D84387" w:rsidP="00DF458B">
      <w:pPr>
        <w:pStyle w:val="Sumrio1"/>
        <w:rPr>
          <w:rFonts w:asciiTheme="minorHAnsi" w:eastAsiaTheme="minorEastAsia" w:hAnsiTheme="minorHAnsi" w:cstheme="minorBidi"/>
          <w:b w:val="0"/>
          <w:caps w:val="0"/>
          <w:szCs w:val="22"/>
        </w:rPr>
      </w:pPr>
      <w:hyperlink w:anchor="_Toc419814040" w:history="1">
        <w:r w:rsidR="00DF458B" w:rsidRPr="00503D2D">
          <w:rPr>
            <w:rStyle w:val="Hyperlink"/>
            <w:rFonts w:eastAsia="Calibri"/>
            <w:lang w:eastAsia="en-US"/>
          </w:rPr>
          <w:t>5. CONCLUSÕES E RECOMENDAÇÕES</w:t>
        </w:r>
        <w:r w:rsidR="00DF458B">
          <w:rPr>
            <w:webHidden/>
          </w:rPr>
          <w:tab/>
        </w:r>
        <w:r w:rsidR="00B80A05">
          <w:rPr>
            <w:webHidden/>
          </w:rPr>
          <w:fldChar w:fldCharType="begin"/>
        </w:r>
        <w:r w:rsidR="00DF458B">
          <w:rPr>
            <w:webHidden/>
          </w:rPr>
          <w:instrText xml:space="preserve"> PAGEREF _Toc419814040 \h </w:instrText>
        </w:r>
        <w:r w:rsidR="00B80A05">
          <w:rPr>
            <w:webHidden/>
          </w:rPr>
        </w:r>
        <w:r w:rsidR="00B80A05">
          <w:rPr>
            <w:webHidden/>
          </w:rPr>
          <w:fldChar w:fldCharType="separate"/>
        </w:r>
        <w:r w:rsidR="00316060">
          <w:rPr>
            <w:webHidden/>
          </w:rPr>
          <w:t>305</w:t>
        </w:r>
        <w:r w:rsidR="00B80A05">
          <w:rPr>
            <w:webHidden/>
          </w:rPr>
          <w:fldChar w:fldCharType="end"/>
        </w:r>
      </w:hyperlink>
    </w:p>
    <w:p w:rsidR="00DF458B" w:rsidRDefault="00D84387" w:rsidP="00DF458B">
      <w:pPr>
        <w:pStyle w:val="Sumrio1"/>
        <w:rPr>
          <w:rFonts w:asciiTheme="minorHAnsi" w:eastAsiaTheme="minorEastAsia" w:hAnsiTheme="minorHAnsi" w:cstheme="minorBidi"/>
          <w:b w:val="0"/>
          <w:caps w:val="0"/>
          <w:szCs w:val="22"/>
        </w:rPr>
      </w:pPr>
      <w:hyperlink w:anchor="_Toc419814041" w:history="1">
        <w:r w:rsidR="00DF458B" w:rsidRPr="00503D2D">
          <w:rPr>
            <w:rStyle w:val="Hyperlink"/>
            <w:rFonts w:eastAsia="Calibri"/>
            <w:lang w:eastAsia="en-US"/>
          </w:rPr>
          <w:t>6. EQUIPE TÉCNICA</w:t>
        </w:r>
        <w:r w:rsidR="00DF458B">
          <w:rPr>
            <w:webHidden/>
          </w:rPr>
          <w:tab/>
        </w:r>
        <w:r w:rsidR="00B80A05">
          <w:rPr>
            <w:webHidden/>
          </w:rPr>
          <w:fldChar w:fldCharType="begin"/>
        </w:r>
        <w:r w:rsidR="00DF458B">
          <w:rPr>
            <w:webHidden/>
          </w:rPr>
          <w:instrText xml:space="preserve"> PAGEREF _Toc419814041 \h </w:instrText>
        </w:r>
        <w:r w:rsidR="00B80A05">
          <w:rPr>
            <w:webHidden/>
          </w:rPr>
        </w:r>
        <w:r w:rsidR="00B80A05">
          <w:rPr>
            <w:webHidden/>
          </w:rPr>
          <w:fldChar w:fldCharType="separate"/>
        </w:r>
        <w:r w:rsidR="00316060">
          <w:rPr>
            <w:webHidden/>
          </w:rPr>
          <w:t>307</w:t>
        </w:r>
        <w:r w:rsidR="00B80A05">
          <w:rPr>
            <w:webHidden/>
          </w:rPr>
          <w:fldChar w:fldCharType="end"/>
        </w:r>
      </w:hyperlink>
    </w:p>
    <w:p w:rsidR="00431A97" w:rsidRDefault="00B80A05" w:rsidP="00DF458B">
      <w:pPr>
        <w:tabs>
          <w:tab w:val="left" w:pos="567"/>
          <w:tab w:val="left" w:pos="880"/>
          <w:tab w:val="right" w:leader="dot" w:pos="9345"/>
        </w:tabs>
        <w:spacing w:before="120" w:after="120" w:line="240" w:lineRule="auto"/>
        <w:rPr>
          <w:b/>
          <w:noProof/>
        </w:rPr>
      </w:pPr>
      <w:r>
        <w:rPr>
          <w:b/>
          <w:noProof/>
        </w:rPr>
        <w:fldChar w:fldCharType="end"/>
      </w:r>
      <w:r w:rsidR="00431A97">
        <w:rPr>
          <w:b/>
          <w:noProof/>
        </w:rPr>
        <w:br w:type="page"/>
      </w:r>
    </w:p>
    <w:p w:rsidR="00DF458B" w:rsidRDefault="00431A97" w:rsidP="00FF254D">
      <w:pPr>
        <w:tabs>
          <w:tab w:val="left" w:pos="567"/>
          <w:tab w:val="left" w:pos="880"/>
          <w:tab w:val="right" w:leader="dot" w:pos="9345"/>
        </w:tabs>
        <w:spacing w:before="80" w:after="80" w:line="240" w:lineRule="auto"/>
        <w:rPr>
          <w:b/>
          <w:noProof/>
        </w:rPr>
      </w:pPr>
      <w:r>
        <w:rPr>
          <w:b/>
          <w:noProof/>
        </w:rPr>
        <w:lastRenderedPageBreak/>
        <w:t>RELAÇÃO DE QUADROS APRESENTADOS</w:t>
      </w:r>
    </w:p>
    <w:p w:rsidR="00AB7576" w:rsidRPr="00AB7576" w:rsidRDefault="00B80A05" w:rsidP="00AB7576">
      <w:pPr>
        <w:pStyle w:val="ndicedeilustraes"/>
        <w:tabs>
          <w:tab w:val="right" w:leader="dot" w:pos="9345"/>
        </w:tabs>
        <w:spacing w:before="80" w:after="80" w:line="240" w:lineRule="auto"/>
        <w:ind w:left="0" w:firstLine="0"/>
        <w:rPr>
          <w:rFonts w:eastAsiaTheme="minorEastAsia" w:cs="Arial"/>
          <w:smallCaps w:val="0"/>
          <w:noProof/>
          <w:sz w:val="20"/>
        </w:rPr>
      </w:pPr>
      <w:r w:rsidRPr="008A5821">
        <w:rPr>
          <w:noProof/>
          <w:sz w:val="20"/>
        </w:rPr>
        <w:fldChar w:fldCharType="begin"/>
      </w:r>
      <w:r w:rsidR="00F056DF" w:rsidRPr="008A5821">
        <w:rPr>
          <w:noProof/>
          <w:sz w:val="20"/>
        </w:rPr>
        <w:instrText xml:space="preserve"> TOC \h \z \c "Quadro" </w:instrText>
      </w:r>
      <w:r w:rsidRPr="008A5821">
        <w:rPr>
          <w:noProof/>
          <w:sz w:val="20"/>
        </w:rPr>
        <w:fldChar w:fldCharType="separate"/>
      </w:r>
      <w:hyperlink w:anchor="_Toc420316438" w:history="1">
        <w:r w:rsidR="00AB7576" w:rsidRPr="00AB7576">
          <w:rPr>
            <w:rStyle w:val="Hyperlink"/>
            <w:rFonts w:cs="Arial"/>
            <w:noProof/>
            <w:sz w:val="20"/>
          </w:rPr>
          <w:t>Quadro 1.2.1 - Fatores Geradores de Impacto no planejamento, implantação e operação das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_Toc420316438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39" w:history="1">
        <w:r w:rsidR="00AB7576" w:rsidRPr="00AB7576">
          <w:rPr>
            <w:rStyle w:val="Hyperlink"/>
            <w:rFonts w:cs="Arial"/>
            <w:noProof/>
            <w:sz w:val="20"/>
          </w:rPr>
          <w:t>Quadro 1.2.2. - Aspectos Ambientais Relevantes das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_Toc420316439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4</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40" w:history="1">
        <w:r w:rsidR="00AB7576" w:rsidRPr="00AB7576">
          <w:rPr>
            <w:rStyle w:val="Hyperlink"/>
            <w:rFonts w:cs="Arial"/>
            <w:noProof/>
            <w:sz w:val="20"/>
          </w:rPr>
          <w:t xml:space="preserve">Quadro 1.2.3. - </w:t>
        </w:r>
        <w:r w:rsidR="00AB7576" w:rsidRPr="00AB7576">
          <w:rPr>
            <w:rStyle w:val="Hyperlink"/>
            <w:rFonts w:cs="Arial"/>
            <w:bCs/>
            <w:noProof/>
            <w:sz w:val="20"/>
          </w:rPr>
          <w:t>Matriz de Interação dos Impactos: Barragem Pedreira/Rio Jaguari e Barragem Duas Pontes/Rio Camanducaia – (de acordo com a numeração do impacto do Quadro 1.2.4)</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_Toc420316440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10</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41" w:history="1">
        <w:r w:rsidR="00AB7576" w:rsidRPr="00AB7576">
          <w:rPr>
            <w:rStyle w:val="Hyperlink"/>
            <w:rFonts w:cs="Arial"/>
            <w:noProof/>
            <w:sz w:val="20"/>
          </w:rPr>
          <w:t xml:space="preserve">Quadro 1.2.4. - </w:t>
        </w:r>
        <w:r w:rsidR="00AB7576" w:rsidRPr="00AB7576">
          <w:rPr>
            <w:rStyle w:val="Hyperlink"/>
            <w:rFonts w:cs="Arial"/>
            <w:bCs/>
            <w:noProof/>
            <w:sz w:val="20"/>
          </w:rPr>
          <w:t>Listagem Impactos Barragem Pedreira e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_Toc420316441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42" w:history="1">
        <w:r w:rsidR="00AB7576" w:rsidRPr="00AB7576">
          <w:rPr>
            <w:rStyle w:val="Hyperlink"/>
            <w:rFonts w:cs="Arial"/>
            <w:noProof/>
            <w:sz w:val="20"/>
          </w:rPr>
          <w:t xml:space="preserve">Quadro 1.2.5. - </w:t>
        </w:r>
        <w:r w:rsidR="00AB7576" w:rsidRPr="00AB7576">
          <w:rPr>
            <w:rStyle w:val="Hyperlink"/>
            <w:rFonts w:eastAsia="Calibri" w:cs="Arial"/>
            <w:noProof/>
            <w:sz w:val="20"/>
            <w:lang w:eastAsia="en-US"/>
          </w:rPr>
          <w:t>Referenciais de Avaliação de Impacto Ambiental</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_Toc420316442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12</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43" w:history="1">
        <w:r w:rsidR="00AB7576" w:rsidRPr="00AB7576">
          <w:rPr>
            <w:rStyle w:val="Hyperlink"/>
            <w:rFonts w:cs="Arial"/>
            <w:noProof/>
            <w:sz w:val="20"/>
          </w:rPr>
          <w:t xml:space="preserve">Quadro 1.2.6. - </w:t>
        </w:r>
        <w:r w:rsidR="00AB7576" w:rsidRPr="00AB7576">
          <w:rPr>
            <w:rStyle w:val="Hyperlink"/>
            <w:rFonts w:cs="Arial"/>
            <w:bCs/>
            <w:noProof/>
            <w:sz w:val="20"/>
          </w:rPr>
          <w:t>Quadro Preliminar das Relações entre as Barragens Pedreira e Duas Pontes e os Projetos, Ações e Empreendimentos Locais para definição dos Potenciais Impactos Cumulativos Resultantes.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_Toc420316443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44" w:history="1">
        <w:r w:rsidR="00AB7576" w:rsidRPr="00AB7576">
          <w:rPr>
            <w:rStyle w:val="Hyperlink"/>
            <w:rFonts w:cs="Arial"/>
            <w:noProof/>
            <w:sz w:val="20"/>
          </w:rPr>
          <w:t xml:space="preserve">Quadro 1.3.1. - </w:t>
        </w:r>
        <w:r w:rsidR="00AB7576" w:rsidRPr="00AB7576">
          <w:rPr>
            <w:rStyle w:val="Hyperlink"/>
            <w:rFonts w:cs="Arial"/>
            <w:bCs/>
            <w:noProof/>
            <w:sz w:val="20"/>
          </w:rPr>
          <w:t xml:space="preserve">Caracterização do Impacto - </w:t>
        </w:r>
        <w:r w:rsidR="00AB7576" w:rsidRPr="00AB7576">
          <w:rPr>
            <w:rStyle w:val="Hyperlink"/>
            <w:rFonts w:cs="Arial"/>
            <w:noProof/>
            <w:sz w:val="20"/>
          </w:rPr>
          <w:t>Alteração no Microclima no Entorno dos Reservatórios</w:t>
        </w:r>
        <w:r w:rsidR="00AB7576" w:rsidRPr="00AB7576">
          <w:rPr>
            <w:rStyle w:val="Hyperlink"/>
            <w:rFonts w:cs="Arial"/>
            <w:bCs/>
            <w:noProof/>
            <w:sz w:val="20"/>
          </w:rPr>
          <w:t xml:space="preserve">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_Toc420316444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18</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45" w:history="1">
        <w:r w:rsidR="00AB7576" w:rsidRPr="00AB7576">
          <w:rPr>
            <w:rStyle w:val="Hyperlink"/>
            <w:rFonts w:cs="Arial"/>
            <w:noProof/>
            <w:sz w:val="20"/>
          </w:rPr>
          <w:t xml:space="preserve">Quadro 1.3.2. - </w:t>
        </w:r>
        <w:r w:rsidR="00AB7576" w:rsidRPr="00AB7576">
          <w:rPr>
            <w:rStyle w:val="Hyperlink"/>
            <w:rFonts w:cs="Arial"/>
            <w:bCs/>
            <w:noProof/>
            <w:sz w:val="20"/>
          </w:rPr>
          <w:t>Caracterização do Impacto - Alteração da Qualidade do Ar</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_Toc420316445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18</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46" w:history="1">
        <w:r w:rsidR="00AB7576" w:rsidRPr="00AB7576">
          <w:rPr>
            <w:rStyle w:val="Hyperlink"/>
            <w:rFonts w:cs="Arial"/>
            <w:noProof/>
            <w:sz w:val="20"/>
          </w:rPr>
          <w:t xml:space="preserve">Quadro 1.3.3. - </w:t>
        </w:r>
        <w:r w:rsidR="00AB7576" w:rsidRPr="00AB7576">
          <w:rPr>
            <w:rStyle w:val="Hyperlink"/>
            <w:rFonts w:cs="Arial"/>
            <w:bCs/>
            <w:noProof/>
            <w:sz w:val="20"/>
          </w:rPr>
          <w:t>Caracterização do Impacto – Aumento no Nível de Ruído</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_Toc420316446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19</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47" w:history="1">
        <w:r w:rsidR="00AB7576" w:rsidRPr="00AB7576">
          <w:rPr>
            <w:rStyle w:val="Hyperlink"/>
            <w:rFonts w:cs="Arial"/>
            <w:noProof/>
            <w:sz w:val="20"/>
          </w:rPr>
          <w:t xml:space="preserve">Quadro 1.3.4. - </w:t>
        </w:r>
        <w:r w:rsidR="00AB7576" w:rsidRPr="00AB7576">
          <w:rPr>
            <w:rStyle w:val="Hyperlink"/>
            <w:rFonts w:cs="Arial"/>
            <w:bCs/>
            <w:noProof/>
            <w:sz w:val="20"/>
          </w:rPr>
          <w:t>Caracterização do Impacto – Emissão de Gases Efeito Estufa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_Toc420316447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20</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48" w:history="1">
        <w:r w:rsidR="00AB7576" w:rsidRPr="00AB7576">
          <w:rPr>
            <w:rStyle w:val="Hyperlink"/>
            <w:rFonts w:cs="Arial"/>
            <w:noProof/>
            <w:sz w:val="20"/>
          </w:rPr>
          <w:t xml:space="preserve">Quadro 1.3.5. - </w:t>
        </w:r>
        <w:r w:rsidR="00AB7576" w:rsidRPr="00AB7576">
          <w:rPr>
            <w:rStyle w:val="Hyperlink"/>
            <w:rFonts w:cs="Arial"/>
            <w:bCs/>
            <w:noProof/>
            <w:sz w:val="20"/>
          </w:rPr>
          <w:t>Caracterização do Impacto - Alteração do Nível d’Água a Montante</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_Toc420316448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21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49" w:history="1">
        <w:r w:rsidR="00AB7576" w:rsidRPr="00AB7576">
          <w:rPr>
            <w:rStyle w:val="Hyperlink"/>
            <w:rFonts w:cs="Arial"/>
            <w:noProof/>
            <w:sz w:val="20"/>
          </w:rPr>
          <w:t xml:space="preserve">Quadro 1.3.6. - </w:t>
        </w:r>
        <w:r w:rsidR="00AB7576" w:rsidRPr="00AB7576">
          <w:rPr>
            <w:rStyle w:val="Hyperlink"/>
            <w:rFonts w:cs="Arial"/>
            <w:bCs/>
            <w:noProof/>
            <w:sz w:val="20"/>
          </w:rPr>
          <w:t>Caracterização do Impacto – Alteração do Nível d’Água a Jusante dos Barramentos pelo Enchimento e Operação dos Reservatórios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_Toc420316449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22</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50" w:history="1">
        <w:r w:rsidR="00AB7576" w:rsidRPr="00AB7576">
          <w:rPr>
            <w:rStyle w:val="Hyperlink"/>
            <w:rFonts w:cs="Arial"/>
            <w:noProof/>
            <w:sz w:val="20"/>
          </w:rPr>
          <w:t>Quadro 1.3.7. - Caracterização Comparativa das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_Toc420316450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23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51" w:history="1">
        <w:r w:rsidR="00AB7576" w:rsidRPr="00AB7576">
          <w:rPr>
            <w:rStyle w:val="Hyperlink"/>
            <w:rFonts w:cs="Arial"/>
            <w:noProof/>
            <w:sz w:val="20"/>
          </w:rPr>
          <w:t>Quadro 1.3.8. - Caracterização do Impacto - Transformação do Regime de Escoamento dos Corpos de Água -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_Toc420316451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24</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52" w:history="1">
        <w:r w:rsidR="00AB7576" w:rsidRPr="00AB7576">
          <w:rPr>
            <w:rStyle w:val="Hyperlink"/>
            <w:rFonts w:cs="Arial"/>
            <w:noProof/>
            <w:sz w:val="20"/>
          </w:rPr>
          <w:t>Quadro 1.3.9. - Caracterização do Impacto - Transformação do Regime de Escoamento dos Corpos de Água -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_Toc420316452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25</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53" w:history="1">
        <w:r w:rsidR="00AB7576" w:rsidRPr="00AB7576">
          <w:rPr>
            <w:rStyle w:val="Hyperlink"/>
            <w:rFonts w:cs="Arial"/>
            <w:noProof/>
            <w:sz w:val="20"/>
          </w:rPr>
          <w:t xml:space="preserve">Quadro 1.3.10. - </w:t>
        </w:r>
        <w:r w:rsidR="00AB7576" w:rsidRPr="00AB7576">
          <w:rPr>
            <w:rStyle w:val="Hyperlink"/>
            <w:rFonts w:cs="Arial"/>
            <w:bCs/>
            <w:noProof/>
            <w:sz w:val="20"/>
          </w:rPr>
          <w:t>Caracterização do Impacto – Assoreamento dos Reservatórios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_Toc420316453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26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54" w:history="1">
        <w:r w:rsidR="00AB7576" w:rsidRPr="00AB7576">
          <w:rPr>
            <w:rStyle w:val="Hyperlink"/>
            <w:rFonts w:cs="Arial"/>
            <w:noProof/>
            <w:sz w:val="20"/>
          </w:rPr>
          <w:t xml:space="preserve">Quadro 1.3.11. - </w:t>
        </w:r>
        <w:r w:rsidR="00AB7576" w:rsidRPr="00AB7576">
          <w:rPr>
            <w:rStyle w:val="Hyperlink"/>
            <w:rFonts w:cs="Arial"/>
            <w:noProof/>
            <w:spacing w:val="-2"/>
            <w:sz w:val="20"/>
          </w:rPr>
          <w:t xml:space="preserve">Caracterização do Impacto - Alteração na Qualidade das Águas Superficiais e dos Sedimentos pelo Aporte de Cargas Difusas - Barragem </w:t>
        </w:r>
        <w:r w:rsidR="00AB7576" w:rsidRPr="00AB7576">
          <w:rPr>
            <w:rStyle w:val="Hyperlink"/>
            <w:rFonts w:cs="Arial"/>
            <w:bCs/>
            <w:noProof/>
            <w:spacing w:val="-2"/>
            <w:sz w:val="20"/>
          </w:rPr>
          <w:t>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_Toc420316454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28</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55" w:history="1">
        <w:r w:rsidR="00AB7576" w:rsidRPr="00AB7576">
          <w:rPr>
            <w:rStyle w:val="Hyperlink"/>
            <w:rFonts w:cs="Arial"/>
            <w:noProof/>
            <w:sz w:val="20"/>
          </w:rPr>
          <w:t xml:space="preserve">Quadro 1.3.12. - </w:t>
        </w:r>
        <w:r w:rsidR="00AB7576" w:rsidRPr="00AB7576">
          <w:rPr>
            <w:rStyle w:val="Hyperlink"/>
            <w:rFonts w:cs="Arial"/>
            <w:bCs/>
            <w:noProof/>
            <w:spacing w:val="-2"/>
            <w:sz w:val="20"/>
          </w:rPr>
          <w:t xml:space="preserve">Caracterização do Impacto - </w:t>
        </w:r>
        <w:r w:rsidR="00AB7576" w:rsidRPr="00AB7576">
          <w:rPr>
            <w:rStyle w:val="Hyperlink"/>
            <w:rFonts w:cs="Arial"/>
            <w:noProof/>
            <w:spacing w:val="-2"/>
            <w:sz w:val="20"/>
          </w:rPr>
          <w:t xml:space="preserve">Alteração na Qualidade das Águas Superficiais e dos Sedimentos pelo Aporte de Cargas Difusas – </w:t>
        </w:r>
        <w:r w:rsidR="00AB7576" w:rsidRPr="00AB7576">
          <w:rPr>
            <w:rStyle w:val="Hyperlink"/>
            <w:rFonts w:cs="Arial"/>
            <w:bCs/>
            <w:noProof/>
            <w:spacing w:val="-2"/>
            <w:sz w:val="20"/>
          </w:rPr>
          <w:t>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_Toc420316455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28</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56" w:history="1">
        <w:r w:rsidR="00AB7576" w:rsidRPr="00AB7576">
          <w:rPr>
            <w:rStyle w:val="Hyperlink"/>
            <w:rFonts w:cs="Arial"/>
            <w:noProof/>
            <w:sz w:val="20"/>
          </w:rPr>
          <w:t xml:space="preserve">Quadro 1.3.13. - </w:t>
        </w:r>
        <w:r w:rsidR="00AB7576" w:rsidRPr="00AB7576">
          <w:rPr>
            <w:rStyle w:val="Hyperlink"/>
            <w:rFonts w:cs="Arial"/>
            <w:bCs/>
            <w:noProof/>
            <w:sz w:val="20"/>
          </w:rPr>
          <w:t xml:space="preserve">Caracterização do Impacto - </w:t>
        </w:r>
        <w:r w:rsidR="00AB7576" w:rsidRPr="00AB7576">
          <w:rPr>
            <w:rStyle w:val="Hyperlink"/>
            <w:rFonts w:cs="Arial"/>
            <w:noProof/>
            <w:sz w:val="20"/>
          </w:rPr>
          <w:t xml:space="preserve">Alteração na Qualidade das Águas Superficiais e dos Sedimentos pelo Aporte de Cargas Pontuais - </w:t>
        </w:r>
        <w:r w:rsidR="00AB7576" w:rsidRPr="00AB7576">
          <w:rPr>
            <w:rStyle w:val="Hyperlink"/>
            <w:rFonts w:cs="Arial"/>
            <w:bCs/>
            <w:noProof/>
            <w:sz w:val="20"/>
          </w:rPr>
          <w:t>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_Toc420316456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30</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57" w:history="1">
        <w:r w:rsidR="00AB7576" w:rsidRPr="00AB7576">
          <w:rPr>
            <w:rStyle w:val="Hyperlink"/>
            <w:rFonts w:cs="Arial"/>
            <w:noProof/>
            <w:sz w:val="20"/>
          </w:rPr>
          <w:t xml:space="preserve">Quadro 1.3.14. - </w:t>
        </w:r>
        <w:r w:rsidR="00AB7576" w:rsidRPr="00AB7576">
          <w:rPr>
            <w:rStyle w:val="Hyperlink"/>
            <w:rFonts w:cs="Arial"/>
            <w:bCs/>
            <w:noProof/>
            <w:sz w:val="20"/>
          </w:rPr>
          <w:t xml:space="preserve">Caracterização do Impacto - </w:t>
        </w:r>
        <w:r w:rsidR="00AB7576" w:rsidRPr="00AB7576">
          <w:rPr>
            <w:rStyle w:val="Hyperlink"/>
            <w:rFonts w:cs="Arial"/>
            <w:noProof/>
            <w:sz w:val="20"/>
          </w:rPr>
          <w:t xml:space="preserve">Alteração na Qualidade das Águas Superficiais e dos Sedimentos pelo Aporte de Cargas Pontuais – </w:t>
        </w:r>
        <w:r w:rsidR="00AB7576" w:rsidRPr="00AB7576">
          <w:rPr>
            <w:rStyle w:val="Hyperlink"/>
            <w:rFonts w:cs="Arial"/>
            <w:bCs/>
            <w:noProof/>
            <w:sz w:val="20"/>
          </w:rPr>
          <w:t>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_Toc420316457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30</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58" w:history="1">
        <w:r w:rsidR="00AB7576" w:rsidRPr="00AB7576">
          <w:rPr>
            <w:rStyle w:val="Hyperlink"/>
            <w:rFonts w:cs="Arial"/>
            <w:noProof/>
            <w:sz w:val="20"/>
          </w:rPr>
          <w:t>Quadro 1.3.15. - Classificação do Estado Trófico para Reservatórios.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_Toc420316458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33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59" w:history="1">
        <w:r w:rsidR="00AB7576" w:rsidRPr="00AB7576">
          <w:rPr>
            <w:rStyle w:val="Hyperlink"/>
            <w:rFonts w:cs="Arial"/>
            <w:noProof/>
            <w:sz w:val="20"/>
          </w:rPr>
          <w:t xml:space="preserve">Para a classificação do estado trófico das águas do reservatório da Barragem Duas Pontes adotaram-se também os critérios indicados pela CETESB (2014) para fósforo total, conforme faixas de valores apresentadas anteriormente no </w:t>
        </w:r>
        <w:r w:rsidR="00AB7576" w:rsidRPr="00AB7576">
          <w:rPr>
            <w:rStyle w:val="Hyperlink"/>
            <w:rFonts w:cs="Arial"/>
            <w:b/>
            <w:noProof/>
            <w:sz w:val="20"/>
          </w:rPr>
          <w:t>Quadro 1.3.15.</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_Toc420316459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35</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60" w:history="1">
        <w:r w:rsidR="00AB7576" w:rsidRPr="00AB7576">
          <w:rPr>
            <w:rStyle w:val="Hyperlink"/>
            <w:rFonts w:cs="Arial"/>
            <w:noProof/>
            <w:sz w:val="20"/>
          </w:rPr>
          <w:t xml:space="preserve">Quadro 1.3.16. - </w:t>
        </w:r>
        <w:r w:rsidR="00AB7576" w:rsidRPr="00AB7576">
          <w:rPr>
            <w:rStyle w:val="Hyperlink"/>
            <w:rFonts w:cs="Arial"/>
            <w:bCs/>
            <w:noProof/>
            <w:sz w:val="20"/>
          </w:rPr>
          <w:t xml:space="preserve">Caracterização do Impacto - </w:t>
        </w:r>
        <w:r w:rsidR="00AB7576" w:rsidRPr="00AB7576">
          <w:rPr>
            <w:rStyle w:val="Hyperlink"/>
            <w:rFonts w:cs="Arial"/>
            <w:noProof/>
            <w:sz w:val="20"/>
          </w:rPr>
          <w:t xml:space="preserve">Alteração na Qualidade das Águas Superficiais e dos Sedimentos pela Formação do Reservatório - </w:t>
        </w:r>
        <w:r w:rsidR="00AB7576" w:rsidRPr="00AB7576">
          <w:rPr>
            <w:rStyle w:val="Hyperlink"/>
            <w:rFonts w:cs="Arial"/>
            <w:bCs/>
            <w:noProof/>
            <w:sz w:val="20"/>
          </w:rPr>
          <w:t>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_Toc420316460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36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61" w:history="1">
        <w:r w:rsidR="00AB7576" w:rsidRPr="00AB7576">
          <w:rPr>
            <w:rStyle w:val="Hyperlink"/>
            <w:rFonts w:cs="Arial"/>
            <w:noProof/>
            <w:sz w:val="20"/>
          </w:rPr>
          <w:t xml:space="preserve">Quadro 1.3.17. - </w:t>
        </w:r>
        <w:r w:rsidR="00AB7576" w:rsidRPr="00AB7576">
          <w:rPr>
            <w:rStyle w:val="Hyperlink"/>
            <w:rFonts w:cs="Arial"/>
            <w:bCs/>
            <w:noProof/>
            <w:sz w:val="20"/>
          </w:rPr>
          <w:t xml:space="preserve">Caracterização do Impacto - </w:t>
        </w:r>
        <w:r w:rsidR="00AB7576" w:rsidRPr="00AB7576">
          <w:rPr>
            <w:rStyle w:val="Hyperlink"/>
            <w:rFonts w:cs="Arial"/>
            <w:noProof/>
            <w:sz w:val="20"/>
          </w:rPr>
          <w:t xml:space="preserve">Alteração na Qualidade das Águas Superficiais e dos Sedimentos pela Formação do Reservatório – </w:t>
        </w:r>
        <w:r w:rsidR="00AB7576" w:rsidRPr="00AB7576">
          <w:rPr>
            <w:rStyle w:val="Hyperlink"/>
            <w:rFonts w:cs="Arial"/>
            <w:bCs/>
            <w:noProof/>
            <w:sz w:val="20"/>
          </w:rPr>
          <w:t>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_Toc420316461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36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62" w:history="1">
        <w:r w:rsidR="00AB7576" w:rsidRPr="00AB7576">
          <w:rPr>
            <w:rStyle w:val="Hyperlink"/>
            <w:rFonts w:cs="Arial"/>
            <w:noProof/>
            <w:sz w:val="20"/>
          </w:rPr>
          <w:t xml:space="preserve">Quadro 1.3.18. - </w:t>
        </w:r>
        <w:r w:rsidR="00AB7576" w:rsidRPr="00AB7576">
          <w:rPr>
            <w:rStyle w:val="Hyperlink"/>
            <w:rFonts w:cs="Arial"/>
            <w:bCs/>
            <w:noProof/>
            <w:sz w:val="20"/>
          </w:rPr>
          <w:t xml:space="preserve">Caracterização do Impacto – </w:t>
        </w:r>
        <w:r w:rsidR="00AB7576" w:rsidRPr="00AB7576">
          <w:rPr>
            <w:rStyle w:val="Hyperlink"/>
            <w:rFonts w:cs="Arial"/>
            <w:noProof/>
            <w:sz w:val="20"/>
          </w:rPr>
          <w:t xml:space="preserve">Alteração na Qualidade das Águas Superficiais e dos Sedimentos na Fase de Operação - </w:t>
        </w:r>
        <w:r w:rsidR="00AB7576" w:rsidRPr="00AB7576">
          <w:rPr>
            <w:rStyle w:val="Hyperlink"/>
            <w:rFonts w:cs="Arial"/>
            <w:bCs/>
            <w:noProof/>
            <w:sz w:val="20"/>
          </w:rPr>
          <w:t>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_Toc420316462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40</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63" w:history="1">
        <w:r w:rsidR="00AB7576" w:rsidRPr="00AB7576">
          <w:rPr>
            <w:rStyle w:val="Hyperlink"/>
            <w:rFonts w:cs="Arial"/>
            <w:noProof/>
            <w:sz w:val="20"/>
          </w:rPr>
          <w:t xml:space="preserve">Quadro 1.3.19. - </w:t>
        </w:r>
        <w:r w:rsidR="00AB7576" w:rsidRPr="00AB7576">
          <w:rPr>
            <w:rStyle w:val="Hyperlink"/>
            <w:rFonts w:cs="Arial"/>
            <w:bCs/>
            <w:noProof/>
            <w:sz w:val="20"/>
          </w:rPr>
          <w:t>Caracterização do Impacto - Alteração na Qualidade das Águas Superficiais e dos Sedimentos na Fase de Operação –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_Toc420316463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41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64" w:history="1">
        <w:r w:rsidR="00AB7576" w:rsidRPr="00AB7576">
          <w:rPr>
            <w:rStyle w:val="Hyperlink"/>
            <w:rFonts w:cs="Arial"/>
            <w:noProof/>
            <w:sz w:val="20"/>
          </w:rPr>
          <w:t xml:space="preserve">Quadro 1.3.20. - </w:t>
        </w:r>
        <w:r w:rsidR="00AB7576" w:rsidRPr="00AB7576">
          <w:rPr>
            <w:rStyle w:val="Hyperlink"/>
            <w:rFonts w:cs="Arial"/>
            <w:bCs/>
            <w:noProof/>
            <w:sz w:val="20"/>
          </w:rPr>
          <w:t xml:space="preserve">Caracterização do Impacto – </w:t>
        </w:r>
        <w:r w:rsidR="00AB7576" w:rsidRPr="00AB7576">
          <w:rPr>
            <w:rStyle w:val="Hyperlink"/>
            <w:rFonts w:cs="Arial"/>
            <w:noProof/>
            <w:sz w:val="20"/>
          </w:rPr>
          <w:t xml:space="preserve">Interferências em Instalações e Benfeitorias pela Elevação do Nível Freático - </w:t>
        </w:r>
        <w:r w:rsidR="00AB7576" w:rsidRPr="00AB7576">
          <w:rPr>
            <w:rStyle w:val="Hyperlink"/>
            <w:rFonts w:cs="Arial"/>
            <w:bCs/>
            <w:noProof/>
            <w:sz w:val="20"/>
          </w:rPr>
          <w:t>Barragens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_Toc420316464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42</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65" w:history="1">
        <w:r w:rsidR="00AB7576" w:rsidRPr="00AB7576">
          <w:rPr>
            <w:rStyle w:val="Hyperlink"/>
            <w:rFonts w:cs="Arial"/>
            <w:noProof/>
            <w:sz w:val="20"/>
          </w:rPr>
          <w:t xml:space="preserve">Quadro 1.3.21. - </w:t>
        </w:r>
        <w:r w:rsidR="00AB7576" w:rsidRPr="00AB7576">
          <w:rPr>
            <w:rStyle w:val="Hyperlink"/>
            <w:rFonts w:cs="Arial"/>
            <w:bCs/>
            <w:noProof/>
            <w:sz w:val="20"/>
          </w:rPr>
          <w:t xml:space="preserve">Caracterização do Impacto – </w:t>
        </w:r>
        <w:r w:rsidR="00AB7576" w:rsidRPr="00AB7576">
          <w:rPr>
            <w:rStyle w:val="Hyperlink"/>
            <w:rFonts w:cs="Arial"/>
            <w:noProof/>
            <w:sz w:val="20"/>
          </w:rPr>
          <w:t>Surgências de Água, Perenização e Formação de Novas Áreas Úmidas e Alagadas pela Elevação do Lençol Freático</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_Toc420316465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43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66" w:history="1">
        <w:r w:rsidR="00AB7576" w:rsidRPr="00AB7576">
          <w:rPr>
            <w:rStyle w:val="Hyperlink"/>
            <w:rFonts w:cs="Arial"/>
            <w:noProof/>
            <w:sz w:val="20"/>
          </w:rPr>
          <w:t xml:space="preserve">Quadro 1.3.22. - </w:t>
        </w:r>
        <w:r w:rsidR="00AB7576" w:rsidRPr="00AB7576">
          <w:rPr>
            <w:rStyle w:val="Hyperlink"/>
            <w:rFonts w:cs="Arial"/>
            <w:bCs/>
            <w:noProof/>
            <w:sz w:val="20"/>
          </w:rPr>
          <w:t xml:space="preserve">Caracterização do Impacto – </w:t>
        </w:r>
        <w:r w:rsidR="00AB7576" w:rsidRPr="00AB7576">
          <w:rPr>
            <w:rStyle w:val="Hyperlink"/>
            <w:rFonts w:cs="Arial"/>
            <w:noProof/>
            <w:sz w:val="20"/>
          </w:rPr>
          <w:t>Perda de Poços Profundos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_Toc420316466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44</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67" w:history="1">
        <w:r w:rsidR="00AB7576" w:rsidRPr="00AB7576">
          <w:rPr>
            <w:rStyle w:val="Hyperlink"/>
            <w:rFonts w:cs="Arial"/>
            <w:noProof/>
            <w:sz w:val="20"/>
          </w:rPr>
          <w:t xml:space="preserve">Quadro 1.3.23. - </w:t>
        </w:r>
        <w:r w:rsidR="00AB7576" w:rsidRPr="00AB7576">
          <w:rPr>
            <w:rStyle w:val="Hyperlink"/>
            <w:rFonts w:cs="Arial"/>
            <w:bCs/>
            <w:noProof/>
            <w:sz w:val="20"/>
          </w:rPr>
          <w:t xml:space="preserve">Caracterização do Impacto – </w:t>
        </w:r>
        <w:r w:rsidR="00AB7576" w:rsidRPr="00AB7576">
          <w:rPr>
            <w:rStyle w:val="Hyperlink"/>
            <w:rFonts w:cs="Arial"/>
            <w:noProof/>
            <w:sz w:val="20"/>
          </w:rPr>
          <w:t>Possibilidade da Ocorrência de Sismicidade Induzida</w:t>
        </w:r>
        <w:r w:rsidR="00AB7576" w:rsidRPr="00AB7576">
          <w:rPr>
            <w:rStyle w:val="Hyperlink"/>
            <w:rFonts w:cs="Arial"/>
            <w:bCs/>
            <w:noProof/>
            <w:sz w:val="20"/>
          </w:rPr>
          <w:t xml:space="preserve">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_Toc420316467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46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68" w:history="1">
        <w:r w:rsidR="00AB7576" w:rsidRPr="00AB7576">
          <w:rPr>
            <w:rStyle w:val="Hyperlink"/>
            <w:rFonts w:cs="Arial"/>
            <w:noProof/>
            <w:sz w:val="20"/>
          </w:rPr>
          <w:t xml:space="preserve">Quadro 1.3.24. - </w:t>
        </w:r>
        <w:r w:rsidR="00AB7576" w:rsidRPr="00AB7576">
          <w:rPr>
            <w:rStyle w:val="Hyperlink"/>
            <w:rFonts w:eastAsia="Calibri" w:cs="Arial"/>
            <w:noProof/>
            <w:sz w:val="20"/>
            <w:lang w:eastAsia="en-US"/>
          </w:rPr>
          <w:t>Caracterização do Impacto - Instalação/Aceleração de Processos Erosivos Junto às Obras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_Toc420316468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47</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69" w:history="1">
        <w:r w:rsidR="00AB7576" w:rsidRPr="00AB7576">
          <w:rPr>
            <w:rStyle w:val="Hyperlink"/>
            <w:rFonts w:cs="Arial"/>
            <w:noProof/>
            <w:sz w:val="20"/>
          </w:rPr>
          <w:t xml:space="preserve">Quadro 1.3.25. - </w:t>
        </w:r>
        <w:r w:rsidR="00AB7576" w:rsidRPr="00AB7576">
          <w:rPr>
            <w:rStyle w:val="Hyperlink"/>
            <w:rFonts w:eastAsia="Calibri" w:cs="Arial"/>
            <w:noProof/>
            <w:sz w:val="20"/>
          </w:rPr>
          <w:t>Processos e mecanismos de instabilização das encostas marginais, graus de suscetibilidade e % de ocorrência ao longo do reservatório da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_Toc420316469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50</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70" w:history="1">
        <w:r w:rsidR="00AB7576" w:rsidRPr="00AB7576">
          <w:rPr>
            <w:rStyle w:val="Hyperlink"/>
            <w:rFonts w:cs="Arial"/>
            <w:noProof/>
            <w:sz w:val="20"/>
          </w:rPr>
          <w:t xml:space="preserve">Quadro 1.3.26. - </w:t>
        </w:r>
        <w:r w:rsidR="00AB7576" w:rsidRPr="00AB7576">
          <w:rPr>
            <w:rStyle w:val="Hyperlink"/>
            <w:rFonts w:eastAsia="Calibri" w:cs="Arial"/>
            <w:bCs/>
            <w:noProof/>
            <w:sz w:val="20"/>
          </w:rPr>
          <w:t>Processos e mecanismos de instabilização das encostas marginais, graus de suscetibilidade e % de ocorrência ao longo do reservatório da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_Toc420316470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71" w:history="1">
        <w:r w:rsidR="00AB7576" w:rsidRPr="00AB7576">
          <w:rPr>
            <w:rStyle w:val="Hyperlink"/>
            <w:rFonts w:cs="Arial"/>
            <w:noProof/>
            <w:sz w:val="20"/>
          </w:rPr>
          <w:t>Quadro 1.3.27. -</w:t>
        </w:r>
        <w:r w:rsidR="00AB7576" w:rsidRPr="00AB7576">
          <w:rPr>
            <w:rStyle w:val="Hyperlink"/>
            <w:rFonts w:eastAsia="Calibri" w:cs="Arial"/>
            <w:noProof/>
            <w:sz w:val="20"/>
            <w:lang w:eastAsia="en-US"/>
          </w:rPr>
          <w:t xml:space="preserve"> Caracterização do Impacto - </w:t>
        </w:r>
        <w:r w:rsidR="00AB7576" w:rsidRPr="00AB7576">
          <w:rPr>
            <w:rStyle w:val="Hyperlink"/>
            <w:rFonts w:cs="Arial"/>
            <w:noProof/>
            <w:sz w:val="20"/>
          </w:rPr>
          <w:t xml:space="preserve">Acréscimo na Suscetibilidade a Instabilização de Encostas Marginais </w:t>
        </w:r>
        <w:r w:rsidR="00AB7576" w:rsidRPr="00AB7576">
          <w:rPr>
            <w:rStyle w:val="Hyperlink"/>
            <w:rFonts w:eastAsia="Calibri" w:cs="Arial"/>
            <w:noProof/>
            <w:sz w:val="20"/>
            <w:lang w:eastAsia="en-US"/>
          </w:rPr>
          <w:t>-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_Toc420316471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52</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72" w:history="1">
        <w:r w:rsidR="00AB7576" w:rsidRPr="00AB7576">
          <w:rPr>
            <w:rStyle w:val="Hyperlink"/>
            <w:rFonts w:cs="Arial"/>
            <w:noProof/>
            <w:sz w:val="20"/>
          </w:rPr>
          <w:t xml:space="preserve">Quadro 1.3.28. - </w:t>
        </w:r>
        <w:r w:rsidR="00AB7576" w:rsidRPr="00AB7576">
          <w:rPr>
            <w:rStyle w:val="Hyperlink"/>
            <w:rFonts w:eastAsia="Calibri" w:cs="Arial"/>
            <w:bCs/>
            <w:noProof/>
            <w:sz w:val="20"/>
            <w:lang w:eastAsia="en-US"/>
          </w:rPr>
          <w:t>Caracterização do</w:t>
        </w:r>
        <w:r w:rsidR="00AB7576" w:rsidRPr="00AB7576">
          <w:rPr>
            <w:rStyle w:val="Hyperlink"/>
            <w:rFonts w:cs="Arial"/>
            <w:bCs/>
            <w:noProof/>
            <w:sz w:val="20"/>
          </w:rPr>
          <w:t xml:space="preserve"> Impacto - Risco de Contaminação do Solo</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_Toc420316472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73" w:history="1">
        <w:r w:rsidR="00AB7576" w:rsidRPr="00AB7576">
          <w:rPr>
            <w:rStyle w:val="Hyperlink"/>
            <w:rFonts w:cs="Arial"/>
            <w:noProof/>
            <w:sz w:val="20"/>
          </w:rPr>
          <w:t>Quadro 1.3.29. - Vegetação e Uso do Solo do Reservatório, da Área de Preservação Permanente (APP) e da Área Diretamente Afetada (ADA) -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_Toc420316473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54</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74" w:history="1">
        <w:r w:rsidR="00AB7576" w:rsidRPr="00AB7576">
          <w:rPr>
            <w:rStyle w:val="Hyperlink"/>
            <w:rFonts w:cs="Arial"/>
            <w:noProof/>
            <w:sz w:val="20"/>
          </w:rPr>
          <w:t>Quadro 1.3.30. - Capacidade de Uso das Terras do Reservatório, da APP e da ADA da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_Toc420316474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54</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75" w:history="1">
        <w:r w:rsidR="00AB7576" w:rsidRPr="00AB7576">
          <w:rPr>
            <w:rStyle w:val="Hyperlink"/>
            <w:rFonts w:cs="Arial"/>
            <w:noProof/>
            <w:sz w:val="20"/>
          </w:rPr>
          <w:t>Quadro 1.3.31. - Vegetação e Uso do Solo do Reservatório e da ADA –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_Toc420316475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55</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76" w:history="1">
        <w:r w:rsidR="00AB7576" w:rsidRPr="00AB7576">
          <w:rPr>
            <w:rStyle w:val="Hyperlink"/>
            <w:rFonts w:cs="Arial"/>
            <w:noProof/>
            <w:sz w:val="20"/>
          </w:rPr>
          <w:t>Quadro 1.3.32. - Capacidade de Uso das Terras do Reservatório, da APP e ADA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_Toc420316476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55</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77" w:history="1">
        <w:r w:rsidR="00AB7576" w:rsidRPr="00AB7576">
          <w:rPr>
            <w:rStyle w:val="Hyperlink"/>
            <w:rFonts w:cs="Arial"/>
            <w:noProof/>
            <w:sz w:val="20"/>
          </w:rPr>
          <w:t xml:space="preserve">Quadro 1.3.33. - </w:t>
        </w:r>
        <w:r w:rsidR="00AB7576" w:rsidRPr="00AB7576">
          <w:rPr>
            <w:rStyle w:val="Hyperlink"/>
            <w:rFonts w:eastAsia="Calibri" w:cs="Arial"/>
            <w:bCs/>
            <w:noProof/>
            <w:sz w:val="20"/>
            <w:lang w:eastAsia="en-US"/>
          </w:rPr>
          <w:t>Caracterização do</w:t>
        </w:r>
        <w:r w:rsidR="00AB7576" w:rsidRPr="00AB7576">
          <w:rPr>
            <w:rStyle w:val="Hyperlink"/>
            <w:rFonts w:cs="Arial"/>
            <w:bCs/>
            <w:noProof/>
            <w:sz w:val="20"/>
          </w:rPr>
          <w:t xml:space="preserve"> Impacto - Perda de Solos com Potencial Agrícola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_Toc420316477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78" w:history="1">
        <w:r w:rsidR="00AB7576" w:rsidRPr="00AB7576">
          <w:rPr>
            <w:rStyle w:val="Hyperlink"/>
            <w:rFonts w:cs="Arial"/>
            <w:noProof/>
            <w:sz w:val="20"/>
          </w:rPr>
          <w:t xml:space="preserve">Quadro 1.3.34. - </w:t>
        </w:r>
        <w:r w:rsidR="00AB7576" w:rsidRPr="00AB7576">
          <w:rPr>
            <w:rStyle w:val="Hyperlink"/>
            <w:rFonts w:eastAsia="Calibri" w:cs="Arial"/>
            <w:bCs/>
            <w:noProof/>
            <w:sz w:val="20"/>
            <w:lang w:eastAsia="en-US"/>
          </w:rPr>
          <w:t>Caracterização do</w:t>
        </w:r>
        <w:r w:rsidR="00AB7576" w:rsidRPr="00AB7576">
          <w:rPr>
            <w:rStyle w:val="Hyperlink"/>
            <w:rFonts w:cs="Arial"/>
            <w:bCs/>
            <w:noProof/>
            <w:sz w:val="20"/>
          </w:rPr>
          <w:t xml:space="preserve"> Impacto - Perda de Solos com Potencial Agrícola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_Toc420316478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79" w:history="1">
        <w:r w:rsidR="00AB7576" w:rsidRPr="00AB7576">
          <w:rPr>
            <w:rStyle w:val="Hyperlink"/>
            <w:rFonts w:cs="Arial"/>
            <w:noProof/>
            <w:sz w:val="20"/>
          </w:rPr>
          <w:t>Quadro 1.3.35. - Títulos Minerários na ADA da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_Toc420316479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57</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80" w:history="1">
        <w:r w:rsidR="00AB7576" w:rsidRPr="00AB7576">
          <w:rPr>
            <w:rStyle w:val="Hyperlink"/>
            <w:rFonts w:cs="Arial"/>
            <w:noProof/>
            <w:sz w:val="20"/>
          </w:rPr>
          <w:t>Quadro 1.3.36. - Títulos Minerários associados à ADA da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_Toc420316480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58</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81" w:history="1">
        <w:r w:rsidR="00AB7576" w:rsidRPr="00AB7576">
          <w:rPr>
            <w:rStyle w:val="Hyperlink"/>
            <w:rFonts w:cs="Arial"/>
            <w:noProof/>
            <w:sz w:val="20"/>
          </w:rPr>
          <w:t xml:space="preserve">Quadro 1.3.37. - </w:t>
        </w:r>
        <w:r w:rsidR="00AB7576" w:rsidRPr="00AB7576">
          <w:rPr>
            <w:rStyle w:val="Hyperlink"/>
            <w:rFonts w:eastAsia="Calibri" w:cs="Arial"/>
            <w:bCs/>
            <w:noProof/>
            <w:sz w:val="20"/>
            <w:lang w:eastAsia="en-US"/>
          </w:rPr>
          <w:t>Caracterização do Impacto - Interferência em Áreas de Pesquisa Minerária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_Toc420316481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58</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82" w:history="1">
        <w:r w:rsidR="00AB7576" w:rsidRPr="00AB7576">
          <w:rPr>
            <w:rStyle w:val="Hyperlink"/>
            <w:rFonts w:cs="Arial"/>
            <w:noProof/>
            <w:sz w:val="20"/>
          </w:rPr>
          <w:t xml:space="preserve">Quadro 1.3.38. - </w:t>
        </w:r>
        <w:r w:rsidR="00AB7576" w:rsidRPr="00AB7576">
          <w:rPr>
            <w:rStyle w:val="Hyperlink"/>
            <w:rFonts w:eastAsia="Calibri" w:cs="Arial"/>
            <w:bCs/>
            <w:noProof/>
            <w:sz w:val="20"/>
            <w:lang w:eastAsia="en-US"/>
          </w:rPr>
          <w:t xml:space="preserve">Caracterização do Impacto - </w:t>
        </w:r>
        <w:r w:rsidR="00AB7576" w:rsidRPr="00AB7576">
          <w:rPr>
            <w:rStyle w:val="Hyperlink"/>
            <w:rFonts w:cs="Arial"/>
            <w:noProof/>
            <w:sz w:val="20"/>
          </w:rPr>
          <w:t>Alteração da Paisagem com a Formação dos Reservatórios das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_Toc420316482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59</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83" w:history="1">
        <w:r w:rsidR="00AB7576" w:rsidRPr="00AB7576">
          <w:rPr>
            <w:rStyle w:val="Hyperlink"/>
            <w:rFonts w:cs="Arial"/>
            <w:noProof/>
            <w:sz w:val="20"/>
          </w:rPr>
          <w:t>Quadro 1.3.39. - Áreas das diferentes fitofisionomias a serem suprimidas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_Toc420316483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60</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84" w:history="1">
        <w:r w:rsidR="00AB7576" w:rsidRPr="00AB7576">
          <w:rPr>
            <w:rStyle w:val="Hyperlink"/>
            <w:rFonts w:cs="Arial"/>
            <w:noProof/>
            <w:sz w:val="20"/>
          </w:rPr>
          <w:t>Quadro 1.3.40. - Áreas das diferentes fitofisionomias a serem suprimidas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_Toc420316484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85" w:history="1">
        <w:r w:rsidR="00AB7576" w:rsidRPr="00AB7576">
          <w:rPr>
            <w:rStyle w:val="Hyperlink"/>
            <w:rFonts w:cs="Arial"/>
            <w:noProof/>
            <w:sz w:val="20"/>
          </w:rPr>
          <w:t xml:space="preserve">Quadro 1.3.41. - </w:t>
        </w:r>
        <w:r w:rsidR="00AB7576" w:rsidRPr="00AB7576">
          <w:rPr>
            <w:rStyle w:val="Hyperlink"/>
            <w:rFonts w:cs="Arial"/>
            <w:bCs/>
            <w:noProof/>
            <w:sz w:val="20"/>
          </w:rPr>
          <w:t>Caracterização do Impacto – Perda de Cobertura Vegetal Nativa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_Toc420316485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86" w:history="1">
        <w:r w:rsidR="00AB7576" w:rsidRPr="00AB7576">
          <w:rPr>
            <w:rStyle w:val="Hyperlink"/>
            <w:rFonts w:cs="Arial"/>
            <w:noProof/>
            <w:sz w:val="20"/>
          </w:rPr>
          <w:t xml:space="preserve">Quadro 1.3.42. - </w:t>
        </w:r>
        <w:r w:rsidR="00AB7576" w:rsidRPr="00AB7576">
          <w:rPr>
            <w:rStyle w:val="Hyperlink"/>
            <w:rFonts w:cs="Arial"/>
            <w:bCs/>
            <w:noProof/>
            <w:sz w:val="20"/>
          </w:rPr>
          <w:t>Caracterização do Impacto - Perda de Cobertura Vegetal Nativa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_Toc420316486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62</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87" w:history="1">
        <w:r w:rsidR="00AB7576" w:rsidRPr="00AB7576">
          <w:rPr>
            <w:rStyle w:val="Hyperlink"/>
            <w:rFonts w:cs="Arial"/>
            <w:noProof/>
            <w:sz w:val="20"/>
          </w:rPr>
          <w:t>Quadro 1.3.43. -</w:t>
        </w:r>
        <w:r w:rsidR="00AB7576" w:rsidRPr="00AB7576">
          <w:rPr>
            <w:rStyle w:val="Hyperlink"/>
            <w:rFonts w:cs="Arial"/>
            <w:bCs/>
            <w:noProof/>
            <w:sz w:val="20"/>
          </w:rPr>
          <w:t xml:space="preserve"> Caracterização do Impacto - </w:t>
        </w:r>
        <w:r w:rsidR="00AB7576" w:rsidRPr="00AB7576">
          <w:rPr>
            <w:rStyle w:val="Hyperlink"/>
            <w:rFonts w:cs="Arial"/>
            <w:noProof/>
            <w:sz w:val="20"/>
          </w:rPr>
          <w:t>Perda de Hábitat para a Fauna Silvestre</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_Toc420316487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88" w:history="1">
        <w:r w:rsidR="00AB7576" w:rsidRPr="00AB7576">
          <w:rPr>
            <w:rStyle w:val="Hyperlink"/>
            <w:rFonts w:cs="Arial"/>
            <w:noProof/>
            <w:sz w:val="20"/>
          </w:rPr>
          <w:t>Quadro 1.3.44. -</w:t>
        </w:r>
        <w:r w:rsidR="00AB7576" w:rsidRPr="00AB7576">
          <w:rPr>
            <w:rStyle w:val="Hyperlink"/>
            <w:rFonts w:cs="Arial"/>
            <w:bCs/>
            <w:noProof/>
            <w:sz w:val="20"/>
          </w:rPr>
          <w:t xml:space="preserve"> Caracterização do Impacto - </w:t>
        </w:r>
        <w:r w:rsidR="00AB7576" w:rsidRPr="00AB7576">
          <w:rPr>
            <w:rStyle w:val="Hyperlink"/>
            <w:rFonts w:cs="Arial"/>
            <w:noProof/>
            <w:sz w:val="20"/>
          </w:rPr>
          <w:t>Perda de Hábitat para a Fauna Silvestre</w:t>
        </w:r>
        <w:r w:rsidR="00AB7576" w:rsidRPr="00AB7576">
          <w:rPr>
            <w:rStyle w:val="Hyperlink"/>
            <w:rFonts w:cs="Arial"/>
            <w:bCs/>
            <w:noProof/>
            <w:sz w:val="20"/>
          </w:rPr>
          <w:t xml:space="preserve"> -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_Toc420316488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89" w:history="1">
        <w:r w:rsidR="00AB7576" w:rsidRPr="00AB7576">
          <w:rPr>
            <w:rStyle w:val="Hyperlink"/>
            <w:rFonts w:cs="Arial"/>
            <w:noProof/>
            <w:sz w:val="20"/>
          </w:rPr>
          <w:t xml:space="preserve">Quadro 1.3.45. - </w:t>
        </w:r>
        <w:r w:rsidR="00AB7576" w:rsidRPr="00AB7576">
          <w:rPr>
            <w:rStyle w:val="Hyperlink"/>
            <w:rFonts w:cs="Arial"/>
            <w:bCs/>
            <w:noProof/>
            <w:sz w:val="20"/>
          </w:rPr>
          <w:t>Caracterização do Impacto – Redução de Conectividade entre Remanescentes de Cobertura Vegetal Nativa –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_Toc420316489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64</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90" w:history="1">
        <w:r w:rsidR="00AB7576" w:rsidRPr="00AB7576">
          <w:rPr>
            <w:rStyle w:val="Hyperlink"/>
            <w:rFonts w:cs="Arial"/>
            <w:noProof/>
            <w:sz w:val="20"/>
          </w:rPr>
          <w:t xml:space="preserve">Quadro 1.3.46. - </w:t>
        </w:r>
        <w:r w:rsidR="00AB7576" w:rsidRPr="00AB7576">
          <w:rPr>
            <w:rStyle w:val="Hyperlink"/>
            <w:rFonts w:cs="Arial"/>
            <w:bCs/>
            <w:noProof/>
            <w:sz w:val="20"/>
          </w:rPr>
          <w:t>Caracterização do Impacto - Redução de Conectividade entre Remanescentes de Cobertura Vegetal Nativa -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_Toc420316490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65</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91" w:history="1">
        <w:r w:rsidR="00AB7576" w:rsidRPr="00AB7576">
          <w:rPr>
            <w:rStyle w:val="Hyperlink"/>
            <w:rFonts w:cs="Arial"/>
            <w:noProof/>
            <w:sz w:val="20"/>
          </w:rPr>
          <w:t xml:space="preserve">Quadro 1.3.47. - </w:t>
        </w:r>
        <w:r w:rsidR="00AB7576" w:rsidRPr="00AB7576">
          <w:rPr>
            <w:rStyle w:val="Hyperlink"/>
            <w:rFonts w:cs="Arial"/>
            <w:bCs/>
            <w:noProof/>
            <w:sz w:val="20"/>
          </w:rPr>
          <w:t xml:space="preserve">Caracterização do Impacto - </w:t>
        </w:r>
        <w:r w:rsidR="00AB7576" w:rsidRPr="00AB7576">
          <w:rPr>
            <w:rStyle w:val="Hyperlink"/>
            <w:rFonts w:cs="Arial"/>
            <w:noProof/>
            <w:sz w:val="20"/>
          </w:rPr>
          <w:t xml:space="preserve">Aumento dos Efeitos da Fragmentação de Hábitats de Fauna </w:t>
        </w:r>
        <w:r w:rsidR="00AB7576" w:rsidRPr="00AB7576">
          <w:rPr>
            <w:rStyle w:val="Hyperlink"/>
            <w:rFonts w:cs="Arial"/>
            <w:bCs/>
            <w:noProof/>
            <w:sz w:val="20"/>
          </w:rPr>
          <w:t>–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_Toc420316491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92" w:history="1">
        <w:r w:rsidR="00AB7576" w:rsidRPr="00AB7576">
          <w:rPr>
            <w:rStyle w:val="Hyperlink"/>
            <w:rFonts w:cs="Arial"/>
            <w:noProof/>
            <w:sz w:val="20"/>
          </w:rPr>
          <w:t xml:space="preserve">Quadro 1.3.48. - </w:t>
        </w:r>
        <w:r w:rsidR="00AB7576" w:rsidRPr="00AB7576">
          <w:rPr>
            <w:rStyle w:val="Hyperlink"/>
            <w:rFonts w:cs="Arial"/>
            <w:bCs/>
            <w:noProof/>
            <w:sz w:val="20"/>
          </w:rPr>
          <w:t xml:space="preserve">Caracterização do Impacto - </w:t>
        </w:r>
        <w:r w:rsidR="00AB7576" w:rsidRPr="00AB7576">
          <w:rPr>
            <w:rStyle w:val="Hyperlink"/>
            <w:rFonts w:cs="Arial"/>
            <w:noProof/>
            <w:sz w:val="20"/>
          </w:rPr>
          <w:t xml:space="preserve">Aumento dos Efeitos da Fragmentação de Hábitats de Fauna </w:t>
        </w:r>
        <w:r w:rsidR="00AB7576" w:rsidRPr="00AB7576">
          <w:rPr>
            <w:rStyle w:val="Hyperlink"/>
            <w:rFonts w:cs="Arial"/>
            <w:bCs/>
            <w:noProof/>
            <w:sz w:val="20"/>
          </w:rPr>
          <w:t>-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_Toc420316492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93" w:history="1">
        <w:r w:rsidR="00AB7576" w:rsidRPr="00AB7576">
          <w:rPr>
            <w:rStyle w:val="Hyperlink"/>
            <w:rFonts w:cs="Arial"/>
            <w:noProof/>
            <w:sz w:val="20"/>
          </w:rPr>
          <w:t xml:space="preserve">Quadro 1.3.49. - </w:t>
        </w:r>
        <w:r w:rsidR="00AB7576" w:rsidRPr="00AB7576">
          <w:rPr>
            <w:rStyle w:val="Hyperlink"/>
            <w:rFonts w:cs="Arial"/>
            <w:bCs/>
            <w:noProof/>
            <w:sz w:val="20"/>
          </w:rPr>
          <w:t>Caracterização do Impacto – Afugentamento de Fauna Silvestre devido a Supressão da Cobertura Vegetal –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_Toc420316493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67</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94" w:history="1">
        <w:r w:rsidR="00AB7576" w:rsidRPr="00AB7576">
          <w:rPr>
            <w:rStyle w:val="Hyperlink"/>
            <w:rFonts w:cs="Arial"/>
            <w:noProof/>
            <w:sz w:val="20"/>
          </w:rPr>
          <w:t xml:space="preserve">Quadro 1.3.50. - </w:t>
        </w:r>
        <w:r w:rsidR="00AB7576" w:rsidRPr="00AB7576">
          <w:rPr>
            <w:rStyle w:val="Hyperlink"/>
            <w:rFonts w:cs="Arial"/>
            <w:bCs/>
            <w:noProof/>
            <w:sz w:val="20"/>
          </w:rPr>
          <w:t>Caracterização do Impacto - Afugentamento de Fauna Silvestre devido a Supressão da Cobertura Vegetal -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_Toc420316494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68</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95" w:history="1">
        <w:r w:rsidR="00AB7576" w:rsidRPr="00AB7576">
          <w:rPr>
            <w:rStyle w:val="Hyperlink"/>
            <w:rFonts w:cs="Arial"/>
            <w:noProof/>
            <w:sz w:val="20"/>
          </w:rPr>
          <w:t xml:space="preserve">Quadro 1.3.51. - </w:t>
        </w:r>
        <w:r w:rsidR="00AB7576" w:rsidRPr="00AB7576">
          <w:rPr>
            <w:rStyle w:val="Hyperlink"/>
            <w:rFonts w:cs="Arial"/>
            <w:bCs/>
            <w:noProof/>
            <w:sz w:val="20"/>
          </w:rPr>
          <w:t>Caracterização do Impacto - Afugentamento de Fauna Silvestre devido ao Aumento de Ruído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_Toc420316495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68</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96" w:history="1">
        <w:r w:rsidR="00AB7576" w:rsidRPr="00AB7576">
          <w:rPr>
            <w:rStyle w:val="Hyperlink"/>
            <w:rFonts w:cs="Arial"/>
            <w:noProof/>
            <w:sz w:val="20"/>
          </w:rPr>
          <w:t xml:space="preserve">Quadro 1.3.52. - </w:t>
        </w:r>
        <w:r w:rsidR="00AB7576" w:rsidRPr="00AB7576">
          <w:rPr>
            <w:rStyle w:val="Hyperlink"/>
            <w:rFonts w:cs="Arial"/>
            <w:bCs/>
            <w:noProof/>
            <w:sz w:val="20"/>
          </w:rPr>
          <w:t>Caracterização do Impacto – Aumento do Atropelamento de Indivíduos da Fauna Silvestre – Barragem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_Toc420316496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69</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97" w:history="1">
        <w:r w:rsidR="00AB7576" w:rsidRPr="00AB7576">
          <w:rPr>
            <w:rStyle w:val="Hyperlink"/>
            <w:rFonts w:cs="Arial"/>
            <w:noProof/>
            <w:sz w:val="20"/>
          </w:rPr>
          <w:t>Quadro 1.3.53. -Unidades de Conservação Atingidas pela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_Toc420316497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71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98" w:history="1">
        <w:r w:rsidR="00AB7576" w:rsidRPr="00AB7576">
          <w:rPr>
            <w:rStyle w:val="Hyperlink"/>
            <w:rFonts w:cs="Arial"/>
            <w:noProof/>
            <w:sz w:val="20"/>
          </w:rPr>
          <w:t>Quadro 1.3.54. - Unidades de Conservação Atingidas pelas Barragens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_Toc420316498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71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499" w:history="1">
        <w:r w:rsidR="00AB7576" w:rsidRPr="00AB7576">
          <w:rPr>
            <w:rStyle w:val="Hyperlink"/>
            <w:rFonts w:cs="Arial"/>
            <w:noProof/>
            <w:sz w:val="20"/>
          </w:rPr>
          <w:t>Quadro 1.3.55. -</w:t>
        </w:r>
        <w:r w:rsidR="00AB7576" w:rsidRPr="00AB7576">
          <w:rPr>
            <w:rStyle w:val="Hyperlink"/>
            <w:rFonts w:cs="Arial"/>
            <w:bCs/>
            <w:noProof/>
            <w:sz w:val="20"/>
          </w:rPr>
          <w:t xml:space="preserve"> Caracterização do Impacto – Interferências em Áreas de Proteção Ambiental (APA)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_Toc420316499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71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00" w:history="1">
        <w:r w:rsidR="00AB7576" w:rsidRPr="00AB7576">
          <w:rPr>
            <w:rStyle w:val="Hyperlink"/>
            <w:rFonts w:cs="Arial"/>
            <w:noProof/>
            <w:sz w:val="20"/>
          </w:rPr>
          <w:t>Quadro 1.3.56. - Caracterização dos principais usos nas APPs atuais a serem alagadas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_Toc420316500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72</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01" w:history="1">
        <w:r w:rsidR="00AB7576" w:rsidRPr="00AB7576">
          <w:rPr>
            <w:rStyle w:val="Hyperlink"/>
            <w:rFonts w:cs="Arial"/>
            <w:noProof/>
            <w:sz w:val="20"/>
          </w:rPr>
          <w:t xml:space="preserve">Quadro 1.3.57. - </w:t>
        </w:r>
        <w:r w:rsidR="00AB7576" w:rsidRPr="00AB7576">
          <w:rPr>
            <w:rStyle w:val="Hyperlink"/>
            <w:rFonts w:cs="Arial"/>
            <w:bCs/>
            <w:noProof/>
            <w:sz w:val="20"/>
          </w:rPr>
          <w:t>Caracterização do Impacto – Interferências em Áreas de Preservação Permanente (APP)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_Toc420316501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73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02" w:history="1">
        <w:r w:rsidR="00AB7576" w:rsidRPr="00AB7576">
          <w:rPr>
            <w:rStyle w:val="Hyperlink"/>
            <w:rFonts w:cs="Arial"/>
            <w:noProof/>
            <w:sz w:val="20"/>
          </w:rPr>
          <w:t xml:space="preserve">Quadro 1.3.58. - </w:t>
        </w:r>
        <w:r w:rsidR="00AB7576" w:rsidRPr="00AB7576">
          <w:rPr>
            <w:rStyle w:val="Hyperlink"/>
            <w:rFonts w:cs="Arial"/>
            <w:bCs/>
            <w:iCs/>
            <w:noProof/>
            <w:sz w:val="20"/>
          </w:rPr>
          <w:t>Caracterização do Impacto - Alteração nas Comunidades Aquáticas Planctônicas e Bentônicas na Fase de Implantação -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_Toc420316502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76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03" w:history="1">
        <w:r w:rsidR="00AB7576" w:rsidRPr="00AB7576">
          <w:rPr>
            <w:rStyle w:val="Hyperlink"/>
            <w:rFonts w:cs="Arial"/>
            <w:noProof/>
            <w:sz w:val="20"/>
          </w:rPr>
          <w:t xml:space="preserve">Quadro 1.3.59. - </w:t>
        </w:r>
        <w:r w:rsidR="00AB7576" w:rsidRPr="00AB7576">
          <w:rPr>
            <w:rStyle w:val="Hyperlink"/>
            <w:rFonts w:cs="Arial"/>
            <w:bCs/>
            <w:iCs/>
            <w:noProof/>
            <w:sz w:val="20"/>
          </w:rPr>
          <w:t>Caracterização do Impacto - Alteração nas Comunidades Aquáticas Planctônicas e Bentônicas na Fase de Implantação -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_Toc420316503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77</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04" w:history="1">
        <w:r w:rsidR="00AB7576" w:rsidRPr="00AB7576">
          <w:rPr>
            <w:rStyle w:val="Hyperlink"/>
            <w:rFonts w:cs="Arial"/>
            <w:noProof/>
            <w:sz w:val="20"/>
          </w:rPr>
          <w:t xml:space="preserve">Quadro 1.3.60. - </w:t>
        </w:r>
        <w:r w:rsidR="00AB7576" w:rsidRPr="00AB7576">
          <w:rPr>
            <w:rStyle w:val="Hyperlink"/>
            <w:rFonts w:cs="Arial"/>
            <w:bCs/>
            <w:noProof/>
            <w:spacing w:val="-2"/>
            <w:sz w:val="20"/>
          </w:rPr>
          <w:t>Caracterização do Impacto - Alteração nas Comunidades Aquáticas Planctônicas e Bentônicas na Fase de Operação -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_Toc420316504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79</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05" w:history="1">
        <w:r w:rsidR="00AB7576" w:rsidRPr="00AB7576">
          <w:rPr>
            <w:rStyle w:val="Hyperlink"/>
            <w:rFonts w:cs="Arial"/>
            <w:noProof/>
            <w:sz w:val="20"/>
          </w:rPr>
          <w:t xml:space="preserve">Quadro 1.3.61. - </w:t>
        </w:r>
        <w:r w:rsidR="00AB7576" w:rsidRPr="00AB7576">
          <w:rPr>
            <w:rStyle w:val="Hyperlink"/>
            <w:rFonts w:cs="Arial"/>
            <w:bCs/>
            <w:noProof/>
            <w:sz w:val="20"/>
          </w:rPr>
          <w:t>Caracterização do Impacto - Alteração nas Comunidades Aquáticas Planctônicas e Bentônicas na Fase de Operação -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_Toc420316505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79</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06" w:history="1">
        <w:r w:rsidR="00AB7576" w:rsidRPr="00AB7576">
          <w:rPr>
            <w:rStyle w:val="Hyperlink"/>
            <w:rFonts w:cs="Arial"/>
            <w:noProof/>
            <w:sz w:val="20"/>
          </w:rPr>
          <w:t xml:space="preserve">Quadro 1.3.62. - </w:t>
        </w:r>
        <w:r w:rsidR="00AB7576" w:rsidRPr="00AB7576">
          <w:rPr>
            <w:rStyle w:val="Hyperlink"/>
            <w:rFonts w:eastAsia="Calibri" w:cs="Arial"/>
            <w:noProof/>
            <w:sz w:val="20"/>
          </w:rPr>
          <w:t>Caracterização do Impacto - Floração de Cianobactérias Potencialmente Tóxicas -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_Toc420316506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81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07" w:history="1">
        <w:r w:rsidR="00AB7576" w:rsidRPr="00AB7576">
          <w:rPr>
            <w:rStyle w:val="Hyperlink"/>
            <w:rFonts w:cs="Arial"/>
            <w:noProof/>
            <w:sz w:val="20"/>
          </w:rPr>
          <w:t xml:space="preserve">Quadro 1.3.63. - </w:t>
        </w:r>
        <w:r w:rsidR="00AB7576" w:rsidRPr="00AB7576">
          <w:rPr>
            <w:rStyle w:val="Hyperlink"/>
            <w:rFonts w:eastAsia="Calibri" w:cs="Arial"/>
            <w:noProof/>
            <w:sz w:val="20"/>
          </w:rPr>
          <w:t>Caracterização do Impacto - Floração de Cianobactérias Potencialmente Tóxicas -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_Toc420316507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81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08" w:history="1">
        <w:r w:rsidR="00AB7576" w:rsidRPr="00AB7576">
          <w:rPr>
            <w:rStyle w:val="Hyperlink"/>
            <w:rFonts w:cs="Arial"/>
            <w:noProof/>
            <w:sz w:val="20"/>
          </w:rPr>
          <w:t>Quadro 1.3.64. - Caracterização do Impacto - Alteração de Hábitats e Proliferação das Macrófitas Aquáticas na Fase de Implantação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_Toc420316508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83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09" w:history="1">
        <w:r w:rsidR="00AB7576" w:rsidRPr="00AB7576">
          <w:rPr>
            <w:rStyle w:val="Hyperlink"/>
            <w:rFonts w:cs="Arial"/>
            <w:noProof/>
            <w:sz w:val="20"/>
          </w:rPr>
          <w:t xml:space="preserve">Quadro 1.3.65. - </w:t>
        </w:r>
        <w:r w:rsidR="00AB7576" w:rsidRPr="00AB7576">
          <w:rPr>
            <w:rStyle w:val="Hyperlink"/>
            <w:rFonts w:eastAsia="Calibri" w:cs="Arial"/>
            <w:noProof/>
            <w:sz w:val="20"/>
            <w:lang w:eastAsia="en-US"/>
          </w:rPr>
          <w:t>Caracterização do Impacto - Alteração de Hábitats e Proliferação das Macrófitas Aquáticas na Fase de Operação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_Toc420316509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84</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10" w:history="1">
        <w:r w:rsidR="00AB7576" w:rsidRPr="00AB7576">
          <w:rPr>
            <w:rStyle w:val="Hyperlink"/>
            <w:rFonts w:cs="Arial"/>
            <w:noProof/>
            <w:sz w:val="20"/>
          </w:rPr>
          <w:t xml:space="preserve">Quadro 1.3.66. - </w:t>
        </w:r>
        <w:r w:rsidR="00AB7576" w:rsidRPr="00AB7576">
          <w:rPr>
            <w:rStyle w:val="Hyperlink"/>
            <w:rFonts w:eastAsia="Calibri" w:cs="Arial"/>
            <w:noProof/>
            <w:sz w:val="20"/>
            <w:lang w:eastAsia="en-US"/>
          </w:rPr>
          <w:t xml:space="preserve">Caracterização do Impacto - Aumento do Potencial de Proliferação de Vetores de Doenças de Veiculação Hídrica - </w:t>
        </w:r>
        <w:r w:rsidR="00AB7576" w:rsidRPr="00AB7576">
          <w:rPr>
            <w:rStyle w:val="Hyperlink"/>
            <w:rFonts w:cs="Arial"/>
            <w:noProof/>
            <w:sz w:val="20"/>
          </w:rPr>
          <w:t>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_Toc420316510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86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11" w:history="1">
        <w:r w:rsidR="00AB7576" w:rsidRPr="00AB7576">
          <w:rPr>
            <w:rStyle w:val="Hyperlink"/>
            <w:rFonts w:cs="Arial"/>
            <w:noProof/>
            <w:sz w:val="20"/>
          </w:rPr>
          <w:t xml:space="preserve">Quadro 1.3.67. - </w:t>
        </w:r>
        <w:r w:rsidR="00AB7576" w:rsidRPr="00AB7576">
          <w:rPr>
            <w:rStyle w:val="Hyperlink"/>
            <w:rFonts w:eastAsia="Calibri" w:cs="Arial"/>
            <w:noProof/>
            <w:sz w:val="20"/>
            <w:lang w:eastAsia="en-US"/>
          </w:rPr>
          <w:t xml:space="preserve">Caracterização do Impacto - </w:t>
        </w:r>
        <w:r w:rsidR="00AB7576" w:rsidRPr="00AB7576">
          <w:rPr>
            <w:rStyle w:val="Hyperlink"/>
            <w:rFonts w:cs="Arial"/>
            <w:noProof/>
            <w:sz w:val="20"/>
          </w:rPr>
          <w:t xml:space="preserve">Alteração na Composição da Fauna de Invertebrados de Interesse Médico-Sanitário </w:t>
        </w:r>
        <w:r w:rsidR="00AB7576" w:rsidRPr="00AB7576">
          <w:rPr>
            <w:rStyle w:val="Hyperlink"/>
            <w:rFonts w:cs="Arial"/>
            <w:bCs/>
            <w:noProof/>
            <w:sz w:val="20"/>
          </w:rPr>
          <w:t>– Barragem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_Toc420316511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88</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12" w:history="1">
        <w:r w:rsidR="00AB7576" w:rsidRPr="00AB7576">
          <w:rPr>
            <w:rStyle w:val="Hyperlink"/>
            <w:rFonts w:cs="Arial"/>
            <w:noProof/>
            <w:sz w:val="20"/>
          </w:rPr>
          <w:t>Quadro 1.3.68. - Caracterização do Impacto – Perda e Alteração de Habitats da Ictiofauna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_Toc420316512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90</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13" w:history="1">
        <w:r w:rsidR="00AB7576" w:rsidRPr="00AB7576">
          <w:rPr>
            <w:rStyle w:val="Hyperlink"/>
            <w:rFonts w:cs="Arial"/>
            <w:noProof/>
            <w:sz w:val="20"/>
          </w:rPr>
          <w:t xml:space="preserve">Quadro 1.3.69. - Caracterização do Impacto – Processos associados às Alterações na Qualidade da Água sobre a Ictiofauna  </w:t>
        </w:r>
        <w:r w:rsidR="00AB7576" w:rsidRPr="00AB7576">
          <w:rPr>
            <w:rStyle w:val="Hyperlink"/>
            <w:rFonts w:cs="Arial"/>
            <w:bCs/>
            <w:noProof/>
            <w:sz w:val="20"/>
          </w:rPr>
          <w:t>–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_Toc420316513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92</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14" w:history="1">
        <w:r w:rsidR="00AB7576" w:rsidRPr="00AB7576">
          <w:rPr>
            <w:rStyle w:val="Hyperlink"/>
            <w:rFonts w:cs="Arial"/>
            <w:noProof/>
            <w:sz w:val="20"/>
          </w:rPr>
          <w:t xml:space="preserve">Quadro 1.3.70. - Caracterização do Impacto – Processos Associados à Supressão da Vegetação sobre a Ictiofauna </w:t>
        </w:r>
        <w:r w:rsidR="00AB7576" w:rsidRPr="00AB7576">
          <w:rPr>
            <w:rStyle w:val="Hyperlink"/>
            <w:rFonts w:cs="Arial"/>
            <w:bCs/>
            <w:noProof/>
            <w:sz w:val="20"/>
          </w:rPr>
          <w:t>–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_Toc420316514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93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15" w:history="1">
        <w:r w:rsidR="00AB7576" w:rsidRPr="00AB7576">
          <w:rPr>
            <w:rStyle w:val="Hyperlink"/>
            <w:rFonts w:cs="Arial"/>
            <w:noProof/>
            <w:sz w:val="20"/>
          </w:rPr>
          <w:t xml:space="preserve">Quadro 1.3.71. - Caracterização do Impacto – Impacto na Ictiofauna pela Implantação das Ensecadeiras </w:t>
        </w:r>
        <w:r w:rsidR="00AB7576" w:rsidRPr="00AB7576">
          <w:rPr>
            <w:rStyle w:val="Hyperlink"/>
            <w:rFonts w:cs="Arial"/>
            <w:bCs/>
            <w:noProof/>
            <w:sz w:val="20"/>
          </w:rPr>
          <w:t>– Barragem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_Toc420316515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94</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16" w:history="1">
        <w:r w:rsidR="00AB7576" w:rsidRPr="00AB7576">
          <w:rPr>
            <w:rStyle w:val="Hyperlink"/>
            <w:rFonts w:cs="Arial"/>
            <w:noProof/>
            <w:sz w:val="20"/>
          </w:rPr>
          <w:t xml:space="preserve">Quadro 1.3.72. - Caracterização do Impacto – Interrupção do Fluxo Migratório das Espécies Migradoras de Longas Distâncias </w:t>
        </w:r>
        <w:r w:rsidR="00AB7576" w:rsidRPr="00AB7576">
          <w:rPr>
            <w:rStyle w:val="Hyperlink"/>
            <w:rFonts w:cs="Arial"/>
            <w:bCs/>
            <w:noProof/>
            <w:sz w:val="20"/>
          </w:rPr>
          <w:t>–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_Toc420316516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95</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17" w:history="1">
        <w:r w:rsidR="00AB7576" w:rsidRPr="00AB7576">
          <w:rPr>
            <w:rStyle w:val="Hyperlink"/>
            <w:rFonts w:cs="Arial"/>
            <w:noProof/>
            <w:sz w:val="20"/>
          </w:rPr>
          <w:t>Quadro 1.3.73. - Caracterização do Impacto - Compatibilização com a Legislação e Políticas, Planos e Projetos Existentes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_Toc420316517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97</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18" w:history="1">
        <w:r w:rsidR="00AB7576" w:rsidRPr="00AB7576">
          <w:rPr>
            <w:rStyle w:val="Hyperlink"/>
            <w:rFonts w:cs="Arial"/>
            <w:noProof/>
            <w:sz w:val="20"/>
          </w:rPr>
          <w:t>Quadro 1.3.74. - Caracterização do Impacto - Geração de Expectativas Positivas em Relação ao Empreendimento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_Toc420316518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98</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19" w:history="1">
        <w:r w:rsidR="00AB7576" w:rsidRPr="00AB7576">
          <w:rPr>
            <w:rStyle w:val="Hyperlink"/>
            <w:rFonts w:cs="Arial"/>
            <w:noProof/>
            <w:sz w:val="20"/>
          </w:rPr>
          <w:t xml:space="preserve">Quadro 1.3.75. - </w:t>
        </w:r>
        <w:r w:rsidR="00AB7576" w:rsidRPr="00AB7576">
          <w:rPr>
            <w:rStyle w:val="Hyperlink"/>
            <w:rFonts w:eastAsia="Calibri" w:cs="Arial"/>
            <w:noProof/>
            <w:sz w:val="20"/>
            <w:lang w:eastAsia="en-US"/>
          </w:rPr>
          <w:t xml:space="preserve">Caracterização do Impacto - Geração de Expectativas Negativas em Relação ao Empreendimento </w:t>
        </w:r>
        <w:r w:rsidR="00AB7576" w:rsidRPr="00AB7576">
          <w:rPr>
            <w:rStyle w:val="Hyperlink"/>
            <w:rFonts w:cs="Arial"/>
            <w:bCs/>
            <w:noProof/>
            <w:sz w:val="20"/>
          </w:rPr>
          <w:t>– Barragem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_Toc420316519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99</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20" w:history="1">
        <w:r w:rsidR="00AB7576" w:rsidRPr="00AB7576">
          <w:rPr>
            <w:rStyle w:val="Hyperlink"/>
            <w:rFonts w:cs="Arial"/>
            <w:noProof/>
            <w:sz w:val="20"/>
          </w:rPr>
          <w:t xml:space="preserve">Quadro 1.3.76. - </w:t>
        </w:r>
        <w:r w:rsidR="00AB7576" w:rsidRPr="00AB7576">
          <w:rPr>
            <w:rStyle w:val="Hyperlink"/>
            <w:rFonts w:eastAsia="Calibri" w:cs="Arial"/>
            <w:noProof/>
            <w:sz w:val="20"/>
            <w:lang w:eastAsia="en-US"/>
          </w:rPr>
          <w:t xml:space="preserve">Caracterização do Impacto - Alteração das Relações Econômicas, Sociais e Culturais - </w:t>
        </w:r>
        <w:r w:rsidR="00AB7576" w:rsidRPr="00AB7576">
          <w:rPr>
            <w:rStyle w:val="Hyperlink"/>
            <w:rFonts w:cs="Arial"/>
            <w:bCs/>
            <w:noProof/>
            <w:sz w:val="20"/>
          </w:rPr>
          <w:t>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_Toc420316520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100</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21" w:history="1">
        <w:r w:rsidR="00AB7576" w:rsidRPr="00AB7576">
          <w:rPr>
            <w:rStyle w:val="Hyperlink"/>
            <w:rFonts w:cs="Arial"/>
            <w:noProof/>
            <w:sz w:val="20"/>
          </w:rPr>
          <w:t>Quadro 1.3.77. - Famílias Residentes na Área Diretamente Afetada (ADA)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_Toc420316521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101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22" w:history="1">
        <w:r w:rsidR="00AB7576" w:rsidRPr="00AB7576">
          <w:rPr>
            <w:rStyle w:val="Hyperlink"/>
            <w:rFonts w:cs="Arial"/>
            <w:noProof/>
            <w:sz w:val="20"/>
          </w:rPr>
          <w:t xml:space="preserve">Quadro 1.3.78. - </w:t>
        </w:r>
        <w:r w:rsidR="00AB7576" w:rsidRPr="00AB7576">
          <w:rPr>
            <w:rStyle w:val="Hyperlink"/>
            <w:rFonts w:eastAsia="Calibri" w:cs="Arial"/>
            <w:noProof/>
            <w:sz w:val="20"/>
            <w:lang w:eastAsia="en-US"/>
          </w:rPr>
          <w:t>Caracterização do Impacto - Relocação da População da ADA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_Toc420316522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102</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23" w:history="1">
        <w:r w:rsidR="00AB7576" w:rsidRPr="00AB7576">
          <w:rPr>
            <w:rStyle w:val="Hyperlink"/>
            <w:rFonts w:cs="Arial"/>
            <w:noProof/>
            <w:sz w:val="20"/>
          </w:rPr>
          <w:t>Quadro 1.3.79. - Caracterização do Impacto - Especulação Imobiliária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_Toc420316523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103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24" w:history="1">
        <w:r w:rsidR="00AB7576" w:rsidRPr="00AB7576">
          <w:rPr>
            <w:rStyle w:val="Hyperlink"/>
            <w:rFonts w:cs="Arial"/>
            <w:noProof/>
            <w:sz w:val="20"/>
          </w:rPr>
          <w:t>Quadro 1.3.80. - Barragem Pedreira – Usos do Solo</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_Toc420316524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104</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25" w:history="1">
        <w:r w:rsidR="00AB7576" w:rsidRPr="00AB7576">
          <w:rPr>
            <w:rStyle w:val="Hyperlink"/>
            <w:rFonts w:cs="Arial"/>
            <w:noProof/>
            <w:sz w:val="20"/>
          </w:rPr>
          <w:t>Quadro 1.3.81. - Barragem Duas Pontes – Usos do Solo</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_Toc420316525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104</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26" w:history="1">
        <w:r w:rsidR="00AB7576" w:rsidRPr="00AB7576">
          <w:rPr>
            <w:rStyle w:val="Hyperlink"/>
            <w:rFonts w:cs="Arial"/>
            <w:noProof/>
            <w:sz w:val="20"/>
          </w:rPr>
          <w:t xml:space="preserve">Quadro 1.3.82. - </w:t>
        </w:r>
        <w:r w:rsidR="00AB7576" w:rsidRPr="00AB7576">
          <w:rPr>
            <w:rStyle w:val="Hyperlink"/>
            <w:rFonts w:cs="Arial"/>
            <w:bCs/>
            <w:noProof/>
            <w:sz w:val="20"/>
          </w:rPr>
          <w:t>Caracterização do Impacto – Perda de Áreas Rurais Produtivas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_Toc420316526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105</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27" w:history="1">
        <w:r w:rsidR="00AB7576" w:rsidRPr="00AB7576">
          <w:rPr>
            <w:rStyle w:val="Hyperlink"/>
            <w:rFonts w:cs="Arial"/>
            <w:noProof/>
            <w:sz w:val="20"/>
          </w:rPr>
          <w:t xml:space="preserve">Quadro 1.3.83. - </w:t>
        </w:r>
        <w:r w:rsidR="00AB7576" w:rsidRPr="00AB7576">
          <w:rPr>
            <w:rStyle w:val="Hyperlink"/>
            <w:rFonts w:cs="Arial"/>
            <w:bCs/>
            <w:noProof/>
            <w:sz w:val="20"/>
          </w:rPr>
          <w:t>Caracterização do Impacto – Perda de Instalações Industriais e Comerciais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_Toc420316527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106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28" w:history="1">
        <w:r w:rsidR="00AB7576" w:rsidRPr="00AB7576">
          <w:rPr>
            <w:rStyle w:val="Hyperlink"/>
            <w:rFonts w:cs="Arial"/>
            <w:noProof/>
            <w:sz w:val="20"/>
          </w:rPr>
          <w:t xml:space="preserve">Quadro 1.3.84. - </w:t>
        </w:r>
        <w:r w:rsidR="00AB7576" w:rsidRPr="00AB7576">
          <w:rPr>
            <w:rStyle w:val="Hyperlink"/>
            <w:rFonts w:eastAsia="Calibri" w:cs="Arial"/>
            <w:bCs/>
            <w:noProof/>
            <w:sz w:val="20"/>
            <w:lang w:eastAsia="en-US"/>
          </w:rPr>
          <w:t xml:space="preserve">Caracterização do Impacto – </w:t>
        </w:r>
        <w:r w:rsidR="00AB7576" w:rsidRPr="00AB7576">
          <w:rPr>
            <w:rStyle w:val="Hyperlink"/>
            <w:rFonts w:cs="Arial"/>
            <w:noProof/>
            <w:sz w:val="20"/>
          </w:rPr>
          <w:t>Maior Mobilidade da Sociedade Civil Organizada</w:t>
        </w:r>
        <w:r w:rsidR="00AB7576" w:rsidRPr="00AB7576">
          <w:rPr>
            <w:rStyle w:val="Hyperlink"/>
            <w:rFonts w:eastAsia="Calibri" w:cs="Arial"/>
            <w:bCs/>
            <w:noProof/>
            <w:sz w:val="20"/>
            <w:lang w:eastAsia="en-US"/>
          </w:rPr>
          <w:t xml:space="preserve">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_Toc420316528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107</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29" w:history="1">
        <w:r w:rsidR="00AB7576" w:rsidRPr="00AB7576">
          <w:rPr>
            <w:rStyle w:val="Hyperlink"/>
            <w:rFonts w:cs="Arial"/>
            <w:noProof/>
            <w:sz w:val="20"/>
          </w:rPr>
          <w:t xml:space="preserve">Quadro 1.3.85. - </w:t>
        </w:r>
        <w:r w:rsidR="00AB7576" w:rsidRPr="00AB7576">
          <w:rPr>
            <w:rStyle w:val="Hyperlink"/>
            <w:rFonts w:cs="Arial"/>
            <w:bCs/>
            <w:noProof/>
            <w:sz w:val="20"/>
          </w:rPr>
          <w:t xml:space="preserve">Caracterização do Impacto – </w:t>
        </w:r>
        <w:r w:rsidR="00AB7576" w:rsidRPr="00AB7576">
          <w:rPr>
            <w:rStyle w:val="Hyperlink"/>
            <w:rFonts w:cs="Arial"/>
            <w:noProof/>
            <w:sz w:val="20"/>
          </w:rPr>
          <w:t>Aumento da Pressão sobre Serviços e Equipamento Públicos</w:t>
        </w:r>
        <w:r w:rsidR="00AB7576" w:rsidRPr="00AB7576">
          <w:rPr>
            <w:rStyle w:val="Hyperlink"/>
            <w:rFonts w:cs="Arial"/>
            <w:bCs/>
            <w:noProof/>
            <w:sz w:val="20"/>
          </w:rPr>
          <w:t xml:space="preserve"> — </w:t>
        </w:r>
        <w:r w:rsidR="00AB7576" w:rsidRPr="00AB7576">
          <w:rPr>
            <w:rStyle w:val="Hyperlink"/>
            <w:rFonts w:cs="Arial"/>
            <w:noProof/>
            <w:sz w:val="20"/>
          </w:rPr>
          <w:t>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_Toc420316529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108</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30" w:history="1">
        <w:r w:rsidR="00AB7576" w:rsidRPr="00AB7576">
          <w:rPr>
            <w:rStyle w:val="Hyperlink"/>
            <w:rFonts w:cs="Arial"/>
            <w:noProof/>
            <w:sz w:val="20"/>
          </w:rPr>
          <w:t>Quadro 1.3.86. - Caracterização do Impacto – Alteração nas Condições de Saúde na Região</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_Toc420316530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109</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31" w:history="1">
        <w:r w:rsidR="00AB7576" w:rsidRPr="00AB7576">
          <w:rPr>
            <w:rStyle w:val="Hyperlink"/>
            <w:rFonts w:cs="Arial"/>
            <w:noProof/>
            <w:sz w:val="20"/>
          </w:rPr>
          <w:t>Quadro 1.3.87. - Nível Sonoro Previsto vis-a-vis a Distância das Obras.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_Toc420316531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110</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32" w:history="1">
        <w:r w:rsidR="00AB7576" w:rsidRPr="00AB7576">
          <w:rPr>
            <w:rStyle w:val="Hyperlink"/>
            <w:rFonts w:cs="Arial"/>
            <w:noProof/>
            <w:sz w:val="20"/>
          </w:rPr>
          <w:t xml:space="preserve">Quadro 1.3.88. - </w:t>
        </w:r>
        <w:r w:rsidR="00AB7576" w:rsidRPr="00AB7576">
          <w:rPr>
            <w:rStyle w:val="Hyperlink"/>
            <w:rFonts w:cs="Arial"/>
            <w:bCs/>
            <w:noProof/>
            <w:sz w:val="20"/>
          </w:rPr>
          <w:t xml:space="preserve">Caracterização do Impacto – </w:t>
        </w:r>
        <w:r w:rsidR="00AB7576" w:rsidRPr="00AB7576">
          <w:rPr>
            <w:rStyle w:val="Hyperlink"/>
            <w:rFonts w:cs="Arial"/>
            <w:noProof/>
            <w:sz w:val="20"/>
          </w:rPr>
          <w:t>Incômodos devido à Alteração nos Níveis de Ruído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_Toc420316532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111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33" w:history="1">
        <w:r w:rsidR="00AB7576" w:rsidRPr="00AB7576">
          <w:rPr>
            <w:rStyle w:val="Hyperlink"/>
            <w:rFonts w:cs="Arial"/>
            <w:noProof/>
            <w:sz w:val="20"/>
          </w:rPr>
          <w:t xml:space="preserve">Quadro 1.3.89. - </w:t>
        </w:r>
        <w:r w:rsidR="00AB7576" w:rsidRPr="00AB7576">
          <w:rPr>
            <w:rStyle w:val="Hyperlink"/>
            <w:rFonts w:cs="Arial"/>
            <w:bCs/>
            <w:noProof/>
            <w:sz w:val="20"/>
          </w:rPr>
          <w:t xml:space="preserve">Caracterização do Impacto – </w:t>
        </w:r>
        <w:r w:rsidR="00AB7576" w:rsidRPr="00AB7576">
          <w:rPr>
            <w:rStyle w:val="Hyperlink"/>
            <w:rFonts w:cs="Arial"/>
            <w:noProof/>
            <w:sz w:val="20"/>
          </w:rPr>
          <w:t xml:space="preserve">Incômodos devido à Disposição Inadequada de Resíduos Sólidos </w:t>
        </w:r>
        <w:r w:rsidR="00AB7576" w:rsidRPr="00AB7576">
          <w:rPr>
            <w:rStyle w:val="Hyperlink"/>
            <w:rFonts w:cs="Arial"/>
            <w:bCs/>
            <w:noProof/>
            <w:sz w:val="20"/>
          </w:rPr>
          <w:t xml:space="preserve">— </w:t>
        </w:r>
        <w:r w:rsidR="00AB7576" w:rsidRPr="00AB7576">
          <w:rPr>
            <w:rStyle w:val="Hyperlink"/>
            <w:rFonts w:cs="Arial"/>
            <w:noProof/>
            <w:sz w:val="20"/>
          </w:rPr>
          <w:t>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_Toc420316533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112</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34" w:history="1">
        <w:r w:rsidR="00AB7576" w:rsidRPr="00AB7576">
          <w:rPr>
            <w:rStyle w:val="Hyperlink"/>
            <w:rFonts w:cs="Arial"/>
            <w:noProof/>
            <w:sz w:val="20"/>
          </w:rPr>
          <w:t xml:space="preserve">Quadro 1.3.90. - </w:t>
        </w:r>
        <w:r w:rsidR="00AB7576" w:rsidRPr="00AB7576">
          <w:rPr>
            <w:rStyle w:val="Hyperlink"/>
            <w:rFonts w:cs="Arial"/>
            <w:bCs/>
            <w:noProof/>
            <w:sz w:val="20"/>
          </w:rPr>
          <w:t xml:space="preserve">Caracterização do Impacto – </w:t>
        </w:r>
        <w:r w:rsidR="00AB7576" w:rsidRPr="00AB7576">
          <w:rPr>
            <w:rStyle w:val="Hyperlink"/>
            <w:rFonts w:cs="Arial"/>
            <w:noProof/>
            <w:sz w:val="20"/>
          </w:rPr>
          <w:t xml:space="preserve">Incômodos devido ao Lançamento de Efluentes Líquidos Nefastos </w:t>
        </w:r>
        <w:r w:rsidR="00AB7576" w:rsidRPr="00AB7576">
          <w:rPr>
            <w:rStyle w:val="Hyperlink"/>
            <w:rFonts w:cs="Arial"/>
            <w:bCs/>
            <w:noProof/>
            <w:sz w:val="20"/>
          </w:rPr>
          <w:t xml:space="preserve">— </w:t>
        </w:r>
        <w:r w:rsidR="00AB7576" w:rsidRPr="00AB7576">
          <w:rPr>
            <w:rStyle w:val="Hyperlink"/>
            <w:rFonts w:cs="Arial"/>
            <w:noProof/>
            <w:sz w:val="20"/>
          </w:rPr>
          <w:t>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_Toc420316534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113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35" w:history="1">
        <w:r w:rsidR="00AB7576" w:rsidRPr="00AB7576">
          <w:rPr>
            <w:rStyle w:val="Hyperlink"/>
            <w:rFonts w:cs="Arial"/>
            <w:noProof/>
            <w:sz w:val="20"/>
          </w:rPr>
          <w:t>Quadro 1.3.91. - Caracterização do Impacto - Interferências com a Infraestrutura Viária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_Toc420316535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115</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36" w:history="1">
        <w:r w:rsidR="00AB7576" w:rsidRPr="00AB7576">
          <w:rPr>
            <w:rStyle w:val="Hyperlink"/>
            <w:rFonts w:cs="Arial"/>
            <w:noProof/>
            <w:sz w:val="20"/>
          </w:rPr>
          <w:t>Quadro 1.3.92. - Caracterização do Impacto - Interferências com Linhas de Transmissão e Rede de Distribuição de Energia Elétrica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_Toc420316536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117</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37" w:history="1">
        <w:r w:rsidR="00AB7576" w:rsidRPr="00AB7576">
          <w:rPr>
            <w:rStyle w:val="Hyperlink"/>
            <w:rFonts w:cs="Arial"/>
            <w:noProof/>
            <w:sz w:val="20"/>
          </w:rPr>
          <w:t xml:space="preserve">Quadro 1.3.93. - </w:t>
        </w:r>
        <w:r w:rsidR="00AB7576" w:rsidRPr="00AB7576">
          <w:rPr>
            <w:rStyle w:val="Hyperlink"/>
            <w:rFonts w:eastAsia="Calibri" w:cs="Arial"/>
            <w:noProof/>
            <w:sz w:val="20"/>
            <w:lang w:eastAsia="en-US"/>
          </w:rPr>
          <w:t>Tráfego das principais rodovias da região de Pedreira e Amparo</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_Toc420316537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118</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38" w:history="1">
        <w:r w:rsidR="00AB7576" w:rsidRPr="00AB7576">
          <w:rPr>
            <w:rStyle w:val="Hyperlink"/>
            <w:rFonts w:cs="Arial"/>
            <w:noProof/>
            <w:sz w:val="20"/>
          </w:rPr>
          <w:t xml:space="preserve">Quadro 1.3.94. - </w:t>
        </w:r>
        <w:r w:rsidR="00AB7576" w:rsidRPr="00AB7576">
          <w:rPr>
            <w:rStyle w:val="Hyperlink"/>
            <w:rFonts w:eastAsia="Calibri" w:cs="Arial"/>
            <w:bCs/>
            <w:noProof/>
            <w:sz w:val="20"/>
            <w:lang w:eastAsia="en-US"/>
          </w:rPr>
          <w:t>Caracterização do Impacto – Pressão na Infraestrutura Viária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_Toc420316538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119</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39" w:history="1">
        <w:r w:rsidR="00AB7576" w:rsidRPr="00AB7576">
          <w:rPr>
            <w:rStyle w:val="Hyperlink"/>
            <w:rFonts w:cs="Arial"/>
            <w:noProof/>
            <w:sz w:val="20"/>
          </w:rPr>
          <w:t xml:space="preserve">Quadro 1.3.95. - </w:t>
        </w:r>
        <w:r w:rsidR="00AB7576" w:rsidRPr="00AB7576">
          <w:rPr>
            <w:rStyle w:val="Hyperlink"/>
            <w:rFonts w:eastAsia="Calibri" w:cs="Arial"/>
            <w:bCs/>
            <w:noProof/>
            <w:sz w:val="20"/>
          </w:rPr>
          <w:t>Caracterização do Impacto – Interferências nos Usos Múltiplos da Água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_Toc420316539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121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40" w:history="1">
        <w:r w:rsidR="00AB7576" w:rsidRPr="00AB7576">
          <w:rPr>
            <w:rStyle w:val="Hyperlink"/>
            <w:rFonts w:cs="Arial"/>
            <w:noProof/>
            <w:sz w:val="20"/>
          </w:rPr>
          <w:t xml:space="preserve">Quadro 1.3.96. - </w:t>
        </w:r>
        <w:r w:rsidR="00AB7576" w:rsidRPr="00AB7576">
          <w:rPr>
            <w:rStyle w:val="Hyperlink"/>
            <w:rFonts w:eastAsia="Calibri" w:cs="Arial"/>
            <w:bCs/>
            <w:noProof/>
            <w:sz w:val="20"/>
          </w:rPr>
          <w:t>Caracterização do Impacto – Incremento dos Usos Múltiplos da Água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_Toc420316540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121</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41" w:history="1">
        <w:r w:rsidR="00AB7576" w:rsidRPr="00AB7576">
          <w:rPr>
            <w:rStyle w:val="Hyperlink"/>
            <w:rFonts w:cs="Arial"/>
            <w:noProof/>
            <w:sz w:val="20"/>
          </w:rPr>
          <w:t xml:space="preserve">Quadro 1.3.97. - </w:t>
        </w:r>
        <w:r w:rsidR="00AB7576" w:rsidRPr="00AB7576">
          <w:rPr>
            <w:rStyle w:val="Hyperlink"/>
            <w:rFonts w:eastAsia="Calibri" w:cs="Arial"/>
            <w:bCs/>
            <w:noProof/>
            <w:sz w:val="20"/>
          </w:rPr>
          <w:t>Caracterização do Impacto – Interferências nos Usos Múltiplos da Água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_Toc420316541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122</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42" w:history="1">
        <w:r w:rsidR="00AB7576" w:rsidRPr="00AB7576">
          <w:rPr>
            <w:rStyle w:val="Hyperlink"/>
            <w:rFonts w:cs="Arial"/>
            <w:noProof/>
            <w:sz w:val="20"/>
          </w:rPr>
          <w:t xml:space="preserve">Quadro 1.3.98. - </w:t>
        </w:r>
        <w:r w:rsidR="00AB7576" w:rsidRPr="00AB7576">
          <w:rPr>
            <w:rStyle w:val="Hyperlink"/>
            <w:rFonts w:eastAsia="Calibri" w:cs="Arial"/>
            <w:bCs/>
            <w:noProof/>
            <w:sz w:val="20"/>
          </w:rPr>
          <w:t>Caracterização do Impacto – Incremento dos Usos Múltiplos da Água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_Toc420316542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122</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43" w:history="1">
        <w:r w:rsidR="00AB7576" w:rsidRPr="00AB7576">
          <w:rPr>
            <w:rStyle w:val="Hyperlink"/>
            <w:rFonts w:cs="Arial"/>
            <w:noProof/>
            <w:sz w:val="20"/>
          </w:rPr>
          <w:t xml:space="preserve">Quadro 1.3.99. - </w:t>
        </w:r>
        <w:r w:rsidR="00AB7576" w:rsidRPr="00AB7576">
          <w:rPr>
            <w:rStyle w:val="Hyperlink"/>
            <w:rFonts w:cs="Arial"/>
            <w:bCs/>
            <w:noProof/>
            <w:sz w:val="20"/>
          </w:rPr>
          <w:t xml:space="preserve">Caracterização do Impacto </w:t>
        </w:r>
        <w:r w:rsidR="00AB7576" w:rsidRPr="00AB7576">
          <w:rPr>
            <w:rStyle w:val="Hyperlink"/>
            <w:rFonts w:cs="Arial"/>
            <w:noProof/>
            <w:sz w:val="20"/>
          </w:rPr>
          <w:t>Aumento/Retração da Oferta de Emprego e Renda em função das obras de implantação das barragens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_Toc420316543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123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44" w:history="1">
        <w:r w:rsidR="00AB7576" w:rsidRPr="00AB7576">
          <w:rPr>
            <w:rStyle w:val="Hyperlink"/>
            <w:rFonts w:cs="Arial"/>
            <w:noProof/>
            <w:sz w:val="20"/>
          </w:rPr>
          <w:t xml:space="preserve">Quadro 1.3.100. - </w:t>
        </w:r>
        <w:r w:rsidR="00AB7576" w:rsidRPr="00AB7576">
          <w:rPr>
            <w:rStyle w:val="Hyperlink"/>
            <w:rFonts w:cs="Arial"/>
            <w:bCs/>
            <w:noProof/>
            <w:sz w:val="20"/>
          </w:rPr>
          <w:t xml:space="preserve">Caracterização do Impacto – </w:t>
        </w:r>
        <w:r w:rsidR="00AB7576" w:rsidRPr="00AB7576">
          <w:rPr>
            <w:rStyle w:val="Hyperlink"/>
            <w:rFonts w:cs="Arial"/>
            <w:noProof/>
            <w:sz w:val="20"/>
          </w:rPr>
          <w:t>Aumento da Arrecadação Financeira nos Municípios da AID</w:t>
        </w:r>
        <w:r w:rsidR="00AB7576" w:rsidRPr="00AB7576">
          <w:rPr>
            <w:rStyle w:val="Hyperlink"/>
            <w:rFonts w:cs="Arial"/>
            <w:bCs/>
            <w:noProof/>
            <w:sz w:val="20"/>
          </w:rPr>
          <w:t xml:space="preserve"> — Fase de Implantação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_Toc420316544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125</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45" w:history="1">
        <w:r w:rsidR="00AB7576" w:rsidRPr="00AB7576">
          <w:rPr>
            <w:rStyle w:val="Hyperlink"/>
            <w:rFonts w:cs="Arial"/>
            <w:noProof/>
            <w:sz w:val="20"/>
          </w:rPr>
          <w:t xml:space="preserve">Quadro 1.3.101. - </w:t>
        </w:r>
        <w:r w:rsidR="00AB7576" w:rsidRPr="00AB7576">
          <w:rPr>
            <w:rStyle w:val="Hyperlink"/>
            <w:rFonts w:cs="Arial"/>
            <w:bCs/>
            <w:noProof/>
            <w:sz w:val="20"/>
          </w:rPr>
          <w:t xml:space="preserve">Caracterização do Impacto – </w:t>
        </w:r>
        <w:r w:rsidR="00AB7576" w:rsidRPr="00AB7576">
          <w:rPr>
            <w:rStyle w:val="Hyperlink"/>
            <w:rFonts w:cs="Arial"/>
            <w:noProof/>
            <w:sz w:val="20"/>
          </w:rPr>
          <w:t>Aumento da Arrecadação Financeira nos Municípios da AID</w:t>
        </w:r>
        <w:r w:rsidR="00AB7576" w:rsidRPr="00AB7576">
          <w:rPr>
            <w:rStyle w:val="Hyperlink"/>
            <w:rFonts w:cs="Arial"/>
            <w:bCs/>
            <w:noProof/>
            <w:sz w:val="20"/>
          </w:rPr>
          <w:t xml:space="preserve"> – Fase Operação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_Toc420316545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125</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46" w:history="1">
        <w:r w:rsidR="00AB7576" w:rsidRPr="00AB7576">
          <w:rPr>
            <w:rStyle w:val="Hyperlink"/>
            <w:rFonts w:cs="Arial"/>
            <w:noProof/>
            <w:sz w:val="20"/>
          </w:rPr>
          <w:t>Quadro 1.3.102. - Caracterização do Impacto – Contribuição ao Desenvolvimento Econômico e Social Regional - Fase Implantação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_Toc420316546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126</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47" w:history="1">
        <w:r w:rsidR="00AB7576" w:rsidRPr="00AB7576">
          <w:rPr>
            <w:rStyle w:val="Hyperlink"/>
            <w:rFonts w:cs="Arial"/>
            <w:noProof/>
            <w:sz w:val="20"/>
          </w:rPr>
          <w:t xml:space="preserve">Quadro 1.3.103. - </w:t>
        </w:r>
        <w:r w:rsidR="00AB7576" w:rsidRPr="00AB7576">
          <w:rPr>
            <w:rStyle w:val="Hyperlink"/>
            <w:rFonts w:cs="Arial"/>
            <w:bCs/>
            <w:noProof/>
            <w:sz w:val="20"/>
          </w:rPr>
          <w:t>Caracterização do Impacto – Contribuição ao Desenvolvimento Econômico e Social Regional Fase Operação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_Toc420316547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127</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48" w:history="1">
        <w:r w:rsidR="00AB7576" w:rsidRPr="00AB7576">
          <w:rPr>
            <w:rStyle w:val="Hyperlink"/>
            <w:rFonts w:cs="Arial"/>
            <w:noProof/>
            <w:sz w:val="20"/>
          </w:rPr>
          <w:t>Quadro 1.3.104. - Bens Culturais a serem Impactados pela Barragem Pedreira</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_Toc420316548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129</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49" w:history="1">
        <w:r w:rsidR="00AB7576" w:rsidRPr="00AB7576">
          <w:rPr>
            <w:rStyle w:val="Hyperlink"/>
            <w:rFonts w:cs="Arial"/>
            <w:noProof/>
            <w:sz w:val="20"/>
          </w:rPr>
          <w:t>Quadro 1.3.105. - Bens Culturais a serem Impactados pela Barragem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_Toc420316549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130</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50" w:history="1">
        <w:r w:rsidR="00AB7576" w:rsidRPr="00AB7576">
          <w:rPr>
            <w:rStyle w:val="Hyperlink"/>
            <w:rFonts w:cs="Arial"/>
            <w:noProof/>
            <w:sz w:val="20"/>
          </w:rPr>
          <w:t>Quadro 1.3.106. - Caracterização do Impacto - Interferência com o Patrimônio Histórico, Cultural e Arqueológico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_Toc420316550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130</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51" w:history="1">
        <w:r w:rsidR="00AB7576" w:rsidRPr="00AB7576">
          <w:rPr>
            <w:rStyle w:val="Hyperlink"/>
            <w:rFonts w:cs="Arial"/>
            <w:noProof/>
            <w:sz w:val="20"/>
          </w:rPr>
          <w:t xml:space="preserve">Quadro 1.3.107. - </w:t>
        </w:r>
        <w:r w:rsidR="00AB7576" w:rsidRPr="00AB7576">
          <w:rPr>
            <w:rStyle w:val="Hyperlink"/>
            <w:rFonts w:cs="Arial"/>
            <w:bCs/>
            <w:noProof/>
            <w:sz w:val="20"/>
          </w:rPr>
          <w:t>Caracterização do Impacto – Regularização das Vazões dos rios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_Toc420316551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132</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52" w:history="1">
        <w:r w:rsidR="00AB7576" w:rsidRPr="00AB7576">
          <w:rPr>
            <w:rStyle w:val="Hyperlink"/>
            <w:rFonts w:cs="Arial"/>
            <w:noProof/>
            <w:sz w:val="20"/>
          </w:rPr>
          <w:t xml:space="preserve">Quadro 1.3.108. - </w:t>
        </w:r>
        <w:r w:rsidR="00AB7576" w:rsidRPr="00AB7576">
          <w:rPr>
            <w:rStyle w:val="Hyperlink"/>
            <w:rFonts w:eastAsia="Calibri" w:cs="Arial"/>
            <w:bCs/>
            <w:noProof/>
            <w:sz w:val="20"/>
            <w:lang w:eastAsia="en-US"/>
          </w:rPr>
          <w:t>Caracterização do Impacto – Interferência com a Geração de Energia Hidrelétrica – Fase Implantação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_Toc420316552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133</w:t>
        </w:r>
        <w:r w:rsidR="00AB7576" w:rsidRPr="00AB7576">
          <w:rPr>
            <w:rFonts w:cs="Arial"/>
            <w:noProof/>
            <w:webHidden/>
            <w:sz w:val="20"/>
          </w:rPr>
          <w:fldChar w:fldCharType="end"/>
        </w:r>
      </w:hyperlink>
    </w:p>
    <w:p w:rsidR="00AB7576" w:rsidRPr="00AB7576" w:rsidRDefault="00D84387" w:rsidP="00AB7576">
      <w:pPr>
        <w:pStyle w:val="ndicedeilustraes"/>
        <w:tabs>
          <w:tab w:val="right" w:leader="dot" w:pos="9345"/>
        </w:tabs>
        <w:spacing w:before="80" w:after="80" w:line="240" w:lineRule="auto"/>
        <w:ind w:left="0" w:firstLine="0"/>
        <w:rPr>
          <w:rFonts w:eastAsiaTheme="minorEastAsia" w:cs="Arial"/>
          <w:smallCaps w:val="0"/>
          <w:noProof/>
          <w:sz w:val="20"/>
        </w:rPr>
      </w:pPr>
      <w:hyperlink w:anchor="_Toc420316553" w:history="1">
        <w:r w:rsidR="00AB7576" w:rsidRPr="00AB7576">
          <w:rPr>
            <w:rStyle w:val="Hyperlink"/>
            <w:rFonts w:cs="Arial"/>
            <w:noProof/>
            <w:sz w:val="20"/>
          </w:rPr>
          <w:t xml:space="preserve">Quadro 1.3.109. - </w:t>
        </w:r>
        <w:r w:rsidR="00AB7576" w:rsidRPr="00AB7576">
          <w:rPr>
            <w:rStyle w:val="Hyperlink"/>
            <w:rFonts w:eastAsia="Calibri" w:cs="Arial"/>
            <w:bCs/>
            <w:noProof/>
            <w:sz w:val="20"/>
            <w:lang w:eastAsia="en-US"/>
          </w:rPr>
          <w:t>Caracterização do Impacto – Interferência com a Geração de Energia Hidrelétrica – Fase Operação - Barragens Pedreira e Duas Pontes</w:t>
        </w:r>
        <w:r w:rsidR="00AB7576" w:rsidRPr="00AB7576">
          <w:rPr>
            <w:rFonts w:cs="Arial"/>
            <w:noProof/>
            <w:webHidden/>
            <w:sz w:val="20"/>
          </w:rPr>
          <w:tab/>
        </w:r>
        <w:r w:rsidR="00AB7576" w:rsidRPr="00AB7576">
          <w:rPr>
            <w:rFonts w:cs="Arial"/>
            <w:noProof/>
            <w:webHidden/>
            <w:sz w:val="20"/>
          </w:rPr>
          <w:fldChar w:fldCharType="begin"/>
        </w:r>
        <w:r w:rsidR="00AB7576" w:rsidRPr="00AB7576">
          <w:rPr>
            <w:rFonts w:cs="Arial"/>
            <w:noProof/>
            <w:webHidden/>
            <w:sz w:val="20"/>
          </w:rPr>
          <w:instrText xml:space="preserve"> PAGEREF _Toc420316553 \h </w:instrText>
        </w:r>
        <w:r w:rsidR="00AB7576" w:rsidRPr="00AB7576">
          <w:rPr>
            <w:rFonts w:cs="Arial"/>
            <w:noProof/>
            <w:webHidden/>
            <w:sz w:val="20"/>
          </w:rPr>
        </w:r>
        <w:r w:rsidR="00AB7576" w:rsidRPr="00AB7576">
          <w:rPr>
            <w:rFonts w:cs="Arial"/>
            <w:noProof/>
            <w:webHidden/>
            <w:sz w:val="20"/>
          </w:rPr>
          <w:fldChar w:fldCharType="separate"/>
        </w:r>
        <w:r w:rsidR="00316060">
          <w:rPr>
            <w:rFonts w:cs="Arial"/>
            <w:noProof/>
            <w:webHidden/>
            <w:sz w:val="20"/>
          </w:rPr>
          <w:t>134</w:t>
        </w:r>
        <w:r w:rsidR="00AB7576" w:rsidRPr="00AB7576">
          <w:rPr>
            <w:rFonts w:cs="Arial"/>
            <w:noProof/>
            <w:webHidden/>
            <w:sz w:val="20"/>
          </w:rPr>
          <w:fldChar w:fldCharType="end"/>
        </w:r>
      </w:hyperlink>
    </w:p>
    <w:p w:rsidR="00F056DF" w:rsidRPr="008A5821" w:rsidRDefault="00B80A05" w:rsidP="00AB7576">
      <w:pPr>
        <w:tabs>
          <w:tab w:val="left" w:pos="567"/>
          <w:tab w:val="left" w:pos="880"/>
          <w:tab w:val="right" w:leader="dot" w:pos="9356"/>
        </w:tabs>
        <w:spacing w:before="80" w:after="80" w:line="240" w:lineRule="auto"/>
        <w:rPr>
          <w:rFonts w:asciiTheme="minorHAnsi" w:eastAsiaTheme="minorEastAsia" w:hAnsiTheme="minorHAnsi" w:cstheme="minorBidi"/>
          <w:smallCaps/>
          <w:noProof/>
          <w:sz w:val="20"/>
        </w:rPr>
      </w:pPr>
      <w:r w:rsidRPr="008A5821">
        <w:rPr>
          <w:noProof/>
          <w:sz w:val="20"/>
        </w:rPr>
        <w:fldChar w:fldCharType="end"/>
      </w:r>
      <w:r w:rsidRPr="008A5821">
        <w:rPr>
          <w:smallCaps/>
          <w:noProof/>
          <w:sz w:val="20"/>
        </w:rPr>
        <w:fldChar w:fldCharType="begin"/>
      </w:r>
      <w:r w:rsidR="00F056DF" w:rsidRPr="008A5821">
        <w:rPr>
          <w:smallCaps/>
          <w:noProof/>
          <w:sz w:val="20"/>
        </w:rPr>
        <w:instrText xml:space="preserve"> TOC \h \z \c "Quadro 1.4." </w:instrText>
      </w:r>
      <w:r w:rsidRPr="008A5821">
        <w:rPr>
          <w:smallCaps/>
          <w:noProof/>
          <w:sz w:val="20"/>
        </w:rPr>
        <w:fldChar w:fldCharType="separate"/>
      </w:r>
      <w:hyperlink w:anchor="_Toc419814599" w:history="1">
        <w:r w:rsidR="00F056DF" w:rsidRPr="008A5821">
          <w:rPr>
            <w:rStyle w:val="Hyperlink"/>
            <w:smallCaps/>
            <w:noProof/>
            <w:sz w:val="20"/>
          </w:rPr>
          <w:t xml:space="preserve">Quadro 1.4.1. </w:t>
        </w:r>
        <w:r w:rsidR="00F056DF" w:rsidRPr="008A5821">
          <w:rPr>
            <w:rStyle w:val="Hyperlink"/>
            <w:rFonts w:cs="Arial"/>
            <w:bCs/>
            <w:smallCaps/>
            <w:noProof/>
            <w:sz w:val="20"/>
          </w:rPr>
          <w:t>- Análise das Relações entre as Barragens Pedreira e Duas Pontes e os Projetos, Ações e Empreendimentos Locais e os Potenciais Impactos Cumulativos Resultantes.</w:t>
        </w:r>
        <w:r w:rsidR="00F056DF" w:rsidRPr="008A5821">
          <w:rPr>
            <w:smallCaps/>
            <w:noProof/>
            <w:webHidden/>
            <w:sz w:val="20"/>
          </w:rPr>
          <w:tab/>
        </w:r>
        <w:r w:rsidRPr="008A5821">
          <w:rPr>
            <w:smallCaps/>
            <w:noProof/>
            <w:webHidden/>
            <w:sz w:val="20"/>
          </w:rPr>
          <w:fldChar w:fldCharType="begin"/>
        </w:r>
        <w:r w:rsidR="00F056DF" w:rsidRPr="008A5821">
          <w:rPr>
            <w:smallCaps/>
            <w:noProof/>
            <w:webHidden/>
            <w:sz w:val="20"/>
          </w:rPr>
          <w:instrText xml:space="preserve"> PAGEREF _Toc419814599 \h </w:instrText>
        </w:r>
        <w:r w:rsidRPr="008A5821">
          <w:rPr>
            <w:smallCaps/>
            <w:noProof/>
            <w:webHidden/>
            <w:sz w:val="20"/>
          </w:rPr>
        </w:r>
        <w:r w:rsidRPr="008A5821">
          <w:rPr>
            <w:smallCaps/>
            <w:noProof/>
            <w:webHidden/>
            <w:sz w:val="20"/>
          </w:rPr>
          <w:fldChar w:fldCharType="separate"/>
        </w:r>
        <w:r w:rsidR="00316060">
          <w:rPr>
            <w:smallCaps/>
            <w:noProof/>
            <w:webHidden/>
            <w:sz w:val="20"/>
          </w:rPr>
          <w:t>136</w:t>
        </w:r>
        <w:r w:rsidRPr="008A5821">
          <w:rPr>
            <w:smallCaps/>
            <w:noProof/>
            <w:webHidden/>
            <w:sz w:val="20"/>
          </w:rPr>
          <w:fldChar w:fldCharType="end"/>
        </w:r>
      </w:hyperlink>
    </w:p>
    <w:p w:rsidR="00F056DF" w:rsidRPr="008A5821" w:rsidRDefault="00D84387" w:rsidP="00FF254D">
      <w:pPr>
        <w:pStyle w:val="ndicedeilustraes"/>
        <w:tabs>
          <w:tab w:val="right" w:leader="dot" w:pos="9345"/>
        </w:tabs>
        <w:spacing w:before="80" w:after="80" w:line="240" w:lineRule="auto"/>
        <w:ind w:left="0" w:firstLine="0"/>
        <w:rPr>
          <w:rFonts w:asciiTheme="minorHAnsi" w:eastAsiaTheme="minorEastAsia" w:hAnsiTheme="minorHAnsi" w:cstheme="minorBidi"/>
          <w:smallCaps w:val="0"/>
          <w:noProof/>
          <w:sz w:val="20"/>
        </w:rPr>
      </w:pPr>
      <w:hyperlink w:anchor="_Toc419814600" w:history="1">
        <w:r w:rsidR="00F056DF" w:rsidRPr="008A5821">
          <w:rPr>
            <w:rStyle w:val="Hyperlink"/>
            <w:noProof/>
            <w:sz w:val="20"/>
          </w:rPr>
          <w:t>Quadro 1.4.2. - Potenciais Sinergias Relacionadas aos Impactos Identificados</w:t>
        </w:r>
        <w:r w:rsidR="00F056DF" w:rsidRPr="008A5821">
          <w:rPr>
            <w:noProof/>
            <w:webHidden/>
            <w:sz w:val="20"/>
          </w:rPr>
          <w:tab/>
        </w:r>
        <w:r w:rsidR="00B80A05" w:rsidRPr="008A5821">
          <w:rPr>
            <w:noProof/>
            <w:webHidden/>
            <w:sz w:val="20"/>
          </w:rPr>
          <w:fldChar w:fldCharType="begin"/>
        </w:r>
        <w:r w:rsidR="00F056DF" w:rsidRPr="008A5821">
          <w:rPr>
            <w:noProof/>
            <w:webHidden/>
            <w:sz w:val="20"/>
          </w:rPr>
          <w:instrText xml:space="preserve"> PAGEREF _Toc419814600 \h </w:instrText>
        </w:r>
        <w:r w:rsidR="00B80A05" w:rsidRPr="008A5821">
          <w:rPr>
            <w:noProof/>
            <w:webHidden/>
            <w:sz w:val="20"/>
          </w:rPr>
        </w:r>
        <w:r w:rsidR="00B80A05" w:rsidRPr="008A5821">
          <w:rPr>
            <w:noProof/>
            <w:webHidden/>
            <w:sz w:val="20"/>
          </w:rPr>
          <w:fldChar w:fldCharType="separate"/>
        </w:r>
        <w:r w:rsidR="00316060">
          <w:rPr>
            <w:noProof/>
            <w:webHidden/>
            <w:sz w:val="20"/>
          </w:rPr>
          <w:t>140</w:t>
        </w:r>
        <w:r w:rsidR="00B80A05" w:rsidRPr="008A5821">
          <w:rPr>
            <w:noProof/>
            <w:webHidden/>
            <w:sz w:val="20"/>
          </w:rPr>
          <w:fldChar w:fldCharType="end"/>
        </w:r>
      </w:hyperlink>
    </w:p>
    <w:p w:rsidR="00F056DF" w:rsidRPr="008A5821" w:rsidRDefault="00D84387" w:rsidP="00FF254D">
      <w:pPr>
        <w:pStyle w:val="ndicedeilustraes"/>
        <w:tabs>
          <w:tab w:val="right" w:leader="dot" w:pos="9345"/>
        </w:tabs>
        <w:spacing w:before="80" w:after="80" w:line="240" w:lineRule="auto"/>
        <w:ind w:left="0" w:firstLine="0"/>
        <w:rPr>
          <w:rStyle w:val="Hyperlink"/>
          <w:noProof/>
          <w:color w:val="auto"/>
          <w:sz w:val="20"/>
        </w:rPr>
      </w:pPr>
      <w:hyperlink w:anchor="_Toc419814601" w:history="1">
        <w:r w:rsidR="00F056DF" w:rsidRPr="008A5821">
          <w:rPr>
            <w:rStyle w:val="Hyperlink"/>
            <w:noProof/>
            <w:color w:val="auto"/>
            <w:sz w:val="20"/>
          </w:rPr>
          <w:t xml:space="preserve">Quadro 1.4.3. - </w:t>
        </w:r>
        <w:r w:rsidR="00F056DF" w:rsidRPr="008A5821">
          <w:rPr>
            <w:rStyle w:val="Hyperlink"/>
            <w:rFonts w:cs="Arial"/>
            <w:noProof/>
            <w:color w:val="auto"/>
            <w:sz w:val="20"/>
          </w:rPr>
          <w:t>Caracterização Impactos Barragens Pedreira (PE) e Duas Pontes (DP)</w:t>
        </w:r>
        <w:r w:rsidR="00F056DF" w:rsidRPr="008A5821">
          <w:rPr>
            <w:noProof/>
            <w:webHidden/>
            <w:sz w:val="20"/>
          </w:rPr>
          <w:tab/>
        </w:r>
        <w:r w:rsidR="00B80A05" w:rsidRPr="008A5821">
          <w:rPr>
            <w:noProof/>
            <w:webHidden/>
            <w:sz w:val="20"/>
          </w:rPr>
          <w:fldChar w:fldCharType="begin"/>
        </w:r>
        <w:r w:rsidR="00F056DF" w:rsidRPr="008A5821">
          <w:rPr>
            <w:noProof/>
            <w:webHidden/>
            <w:sz w:val="20"/>
          </w:rPr>
          <w:instrText xml:space="preserve"> PAGEREF _Toc419814601 \h </w:instrText>
        </w:r>
        <w:r w:rsidR="00B80A05" w:rsidRPr="008A5821">
          <w:rPr>
            <w:noProof/>
            <w:webHidden/>
            <w:sz w:val="20"/>
          </w:rPr>
        </w:r>
        <w:r w:rsidR="00B80A05" w:rsidRPr="008A5821">
          <w:rPr>
            <w:noProof/>
            <w:webHidden/>
            <w:sz w:val="20"/>
          </w:rPr>
          <w:fldChar w:fldCharType="separate"/>
        </w:r>
        <w:r w:rsidR="00316060">
          <w:rPr>
            <w:noProof/>
            <w:webHidden/>
            <w:sz w:val="20"/>
          </w:rPr>
          <w:t>141</w:t>
        </w:r>
        <w:r w:rsidR="00B80A05" w:rsidRPr="008A5821">
          <w:rPr>
            <w:noProof/>
            <w:webHidden/>
            <w:sz w:val="20"/>
          </w:rPr>
          <w:fldChar w:fldCharType="end"/>
        </w:r>
      </w:hyperlink>
    </w:p>
    <w:p w:rsidR="009812B0" w:rsidRPr="008A5821" w:rsidRDefault="009812B0" w:rsidP="00FF254D">
      <w:pPr>
        <w:pStyle w:val="Legenda"/>
        <w:spacing w:before="80" w:after="80" w:line="240" w:lineRule="auto"/>
        <w:jc w:val="left"/>
        <w:rPr>
          <w:rFonts w:cs="Arial"/>
          <w:b w:val="0"/>
          <w:i w:val="0"/>
          <w:smallCaps/>
          <w:noProof/>
          <w:sz w:val="20"/>
        </w:rPr>
      </w:pPr>
      <w:r w:rsidRPr="008A5821">
        <w:rPr>
          <w:b w:val="0"/>
          <w:i w:val="0"/>
          <w:smallCaps/>
          <w:noProof/>
          <w:sz w:val="20"/>
        </w:rPr>
        <w:t>Quadro 3.3.6.</w:t>
      </w:r>
      <w:r w:rsidR="00B80A05" w:rsidRPr="008A5821">
        <w:rPr>
          <w:b w:val="0"/>
          <w:i w:val="0"/>
          <w:smallCaps/>
          <w:noProof/>
          <w:sz w:val="20"/>
        </w:rPr>
        <w:fldChar w:fldCharType="begin"/>
      </w:r>
      <w:r w:rsidRPr="008A5821">
        <w:rPr>
          <w:b w:val="0"/>
          <w:i w:val="0"/>
          <w:smallCaps/>
          <w:noProof/>
          <w:sz w:val="20"/>
        </w:rPr>
        <w:instrText xml:space="preserve"> SEQ Quadro_3.3.6 \* ARABIC </w:instrText>
      </w:r>
      <w:r w:rsidR="00B80A05" w:rsidRPr="008A5821">
        <w:rPr>
          <w:b w:val="0"/>
          <w:i w:val="0"/>
          <w:smallCaps/>
          <w:noProof/>
          <w:sz w:val="20"/>
        </w:rPr>
        <w:fldChar w:fldCharType="separate"/>
      </w:r>
      <w:r w:rsidR="00316060">
        <w:rPr>
          <w:b w:val="0"/>
          <w:i w:val="0"/>
          <w:smallCaps/>
          <w:noProof/>
          <w:sz w:val="20"/>
        </w:rPr>
        <w:t>1</w:t>
      </w:r>
      <w:r w:rsidR="00B80A05" w:rsidRPr="008A5821">
        <w:rPr>
          <w:b w:val="0"/>
          <w:i w:val="0"/>
          <w:smallCaps/>
          <w:noProof/>
          <w:sz w:val="20"/>
        </w:rPr>
        <w:fldChar w:fldCharType="end"/>
      </w:r>
      <w:r w:rsidRPr="008A5821">
        <w:rPr>
          <w:b w:val="0"/>
          <w:i w:val="0"/>
          <w:smallCaps/>
          <w:noProof/>
          <w:sz w:val="20"/>
        </w:rPr>
        <w:t xml:space="preserve">. - </w:t>
      </w:r>
      <w:r w:rsidRPr="008A5821">
        <w:rPr>
          <w:rFonts w:cs="Arial"/>
          <w:b w:val="0"/>
          <w:i w:val="0"/>
          <w:smallCaps/>
          <w:noProof/>
          <w:sz w:val="20"/>
        </w:rPr>
        <w:t>Rede de Amostragem do Programa de Monitoramento da Qualidade das Águas Superficiais e dos Sedimentos - Barragem Pedreira ..........................................................................184.</w:t>
      </w:r>
    </w:p>
    <w:p w:rsidR="009812B0" w:rsidRPr="008A5821" w:rsidRDefault="009812B0" w:rsidP="00FF254D">
      <w:pPr>
        <w:pStyle w:val="Legenda"/>
        <w:spacing w:before="80" w:after="80" w:line="240" w:lineRule="auto"/>
        <w:rPr>
          <w:rStyle w:val="CorpodetextoChar"/>
          <w:rFonts w:cs="Arial"/>
          <w:b w:val="0"/>
          <w:bCs/>
          <w:i w:val="0"/>
          <w:smallCaps/>
          <w:noProof/>
          <w:sz w:val="20"/>
        </w:rPr>
      </w:pPr>
      <w:r w:rsidRPr="008A5821">
        <w:rPr>
          <w:b w:val="0"/>
          <w:i w:val="0"/>
          <w:smallCaps/>
          <w:noProof/>
          <w:sz w:val="20"/>
        </w:rPr>
        <w:t>Quadro 3.3.6.</w:t>
      </w:r>
      <w:r w:rsidR="00B80A05" w:rsidRPr="008A5821">
        <w:rPr>
          <w:b w:val="0"/>
          <w:i w:val="0"/>
          <w:smallCaps/>
          <w:noProof/>
          <w:sz w:val="20"/>
        </w:rPr>
        <w:fldChar w:fldCharType="begin"/>
      </w:r>
      <w:r w:rsidRPr="008A5821">
        <w:rPr>
          <w:b w:val="0"/>
          <w:i w:val="0"/>
          <w:smallCaps/>
          <w:noProof/>
          <w:sz w:val="20"/>
        </w:rPr>
        <w:instrText xml:space="preserve"> SEQ Quadro_3.3.6 \* ARABIC </w:instrText>
      </w:r>
      <w:r w:rsidR="00B80A05" w:rsidRPr="008A5821">
        <w:rPr>
          <w:b w:val="0"/>
          <w:i w:val="0"/>
          <w:smallCaps/>
          <w:noProof/>
          <w:sz w:val="20"/>
        </w:rPr>
        <w:fldChar w:fldCharType="separate"/>
      </w:r>
      <w:r w:rsidR="00316060">
        <w:rPr>
          <w:b w:val="0"/>
          <w:i w:val="0"/>
          <w:smallCaps/>
          <w:noProof/>
          <w:sz w:val="20"/>
        </w:rPr>
        <w:t>2</w:t>
      </w:r>
      <w:r w:rsidR="00B80A05" w:rsidRPr="008A5821">
        <w:rPr>
          <w:b w:val="0"/>
          <w:i w:val="0"/>
          <w:smallCaps/>
          <w:noProof/>
          <w:sz w:val="20"/>
        </w:rPr>
        <w:fldChar w:fldCharType="end"/>
      </w:r>
      <w:r w:rsidRPr="008A5821">
        <w:rPr>
          <w:b w:val="0"/>
          <w:i w:val="0"/>
          <w:smallCaps/>
          <w:noProof/>
          <w:sz w:val="20"/>
        </w:rPr>
        <w:t xml:space="preserve">. - </w:t>
      </w:r>
      <w:r w:rsidRPr="008A5821">
        <w:rPr>
          <w:rStyle w:val="CorpodetextoChar"/>
          <w:rFonts w:cs="Arial"/>
          <w:b w:val="0"/>
          <w:bCs/>
          <w:i w:val="0"/>
          <w:smallCaps/>
          <w:noProof/>
          <w:sz w:val="20"/>
        </w:rPr>
        <w:t xml:space="preserve">Rede de Amostragem do </w:t>
      </w:r>
      <w:r w:rsidRPr="008A5821">
        <w:rPr>
          <w:rStyle w:val="CorpodetextoChar"/>
          <w:b w:val="0"/>
          <w:bCs/>
          <w:i w:val="0"/>
          <w:smallCaps/>
          <w:noProof/>
          <w:sz w:val="20"/>
        </w:rPr>
        <w:t xml:space="preserve">Programa de Monitoramento da Qualidade das Águas Superficiais e dos Sedimentos </w:t>
      </w:r>
      <w:r w:rsidRPr="008A5821">
        <w:rPr>
          <w:rStyle w:val="CorpodetextoChar"/>
          <w:rFonts w:cs="Arial"/>
          <w:b w:val="0"/>
          <w:bCs/>
          <w:i w:val="0"/>
          <w:smallCaps/>
          <w:noProof/>
          <w:sz w:val="20"/>
        </w:rPr>
        <w:t>- Barragem Duas Pontes..............................................................185</w:t>
      </w:r>
    </w:p>
    <w:p w:rsidR="009812B0" w:rsidRPr="008A5821" w:rsidRDefault="009812B0" w:rsidP="00FF254D">
      <w:pPr>
        <w:pStyle w:val="Legenda"/>
        <w:spacing w:before="80" w:after="80" w:line="240" w:lineRule="auto"/>
        <w:rPr>
          <w:rFonts w:cs="Arial"/>
          <w:b w:val="0"/>
          <w:i w:val="0"/>
          <w:smallCaps/>
          <w:noProof/>
          <w:sz w:val="20"/>
        </w:rPr>
      </w:pPr>
      <w:r w:rsidRPr="008A5821">
        <w:rPr>
          <w:b w:val="0"/>
          <w:i w:val="0"/>
          <w:smallCaps/>
          <w:noProof/>
          <w:sz w:val="20"/>
        </w:rPr>
        <w:lastRenderedPageBreak/>
        <w:t>Quadro 3.3.6.</w:t>
      </w:r>
      <w:r w:rsidR="00B80A05" w:rsidRPr="008A5821">
        <w:rPr>
          <w:b w:val="0"/>
          <w:i w:val="0"/>
          <w:smallCaps/>
          <w:noProof/>
          <w:sz w:val="20"/>
        </w:rPr>
        <w:fldChar w:fldCharType="begin"/>
      </w:r>
      <w:r w:rsidRPr="008A5821">
        <w:rPr>
          <w:b w:val="0"/>
          <w:i w:val="0"/>
          <w:smallCaps/>
          <w:noProof/>
          <w:sz w:val="20"/>
        </w:rPr>
        <w:instrText xml:space="preserve"> SEQ Quadro_3.3.6 \* ARABIC </w:instrText>
      </w:r>
      <w:r w:rsidR="00B80A05" w:rsidRPr="008A5821">
        <w:rPr>
          <w:b w:val="0"/>
          <w:i w:val="0"/>
          <w:smallCaps/>
          <w:noProof/>
          <w:sz w:val="20"/>
        </w:rPr>
        <w:fldChar w:fldCharType="separate"/>
      </w:r>
      <w:r w:rsidR="00316060">
        <w:rPr>
          <w:b w:val="0"/>
          <w:i w:val="0"/>
          <w:smallCaps/>
          <w:noProof/>
          <w:sz w:val="20"/>
        </w:rPr>
        <w:t>3</w:t>
      </w:r>
      <w:r w:rsidR="00B80A05" w:rsidRPr="008A5821">
        <w:rPr>
          <w:b w:val="0"/>
          <w:i w:val="0"/>
          <w:smallCaps/>
          <w:noProof/>
          <w:sz w:val="20"/>
        </w:rPr>
        <w:fldChar w:fldCharType="end"/>
      </w:r>
      <w:r w:rsidRPr="008A5821">
        <w:rPr>
          <w:b w:val="0"/>
          <w:i w:val="0"/>
          <w:smallCaps/>
          <w:noProof/>
          <w:sz w:val="20"/>
        </w:rPr>
        <w:t xml:space="preserve">. - </w:t>
      </w:r>
      <w:r w:rsidRPr="008A5821">
        <w:rPr>
          <w:rFonts w:cs="Arial"/>
          <w:b w:val="0"/>
          <w:i w:val="0"/>
          <w:smallCaps/>
          <w:noProof/>
          <w:sz w:val="20"/>
        </w:rPr>
        <w:t>Parâmetros Selecionados para a Caracterização da Qualidade das Águas Superficiais - Barragens Pedreira e Duas Pontes......................................................................</w:t>
      </w:r>
      <w:r w:rsidR="00343892">
        <w:rPr>
          <w:rFonts w:cs="Arial"/>
          <w:b w:val="0"/>
          <w:i w:val="0"/>
          <w:smallCaps/>
          <w:noProof/>
          <w:sz w:val="20"/>
        </w:rPr>
        <w:t>.........</w:t>
      </w:r>
      <w:r w:rsidRPr="008A5821">
        <w:rPr>
          <w:rFonts w:cs="Arial"/>
          <w:b w:val="0"/>
          <w:i w:val="0"/>
          <w:smallCaps/>
          <w:noProof/>
          <w:sz w:val="20"/>
        </w:rPr>
        <w:t>185</w:t>
      </w:r>
    </w:p>
    <w:p w:rsidR="009812B0" w:rsidRPr="008A5821" w:rsidRDefault="009812B0" w:rsidP="00FF254D">
      <w:pPr>
        <w:pStyle w:val="Legenda"/>
        <w:spacing w:before="80" w:after="80" w:line="240" w:lineRule="auto"/>
        <w:rPr>
          <w:rFonts w:cs="Arial"/>
          <w:b w:val="0"/>
          <w:i w:val="0"/>
          <w:smallCaps/>
          <w:noProof/>
          <w:sz w:val="20"/>
        </w:rPr>
      </w:pPr>
      <w:r w:rsidRPr="008A5821">
        <w:rPr>
          <w:b w:val="0"/>
          <w:i w:val="0"/>
          <w:smallCaps/>
          <w:noProof/>
          <w:sz w:val="20"/>
        </w:rPr>
        <w:t>Quadro 3.3.6.</w:t>
      </w:r>
      <w:r w:rsidR="00B80A05" w:rsidRPr="008A5821">
        <w:rPr>
          <w:b w:val="0"/>
          <w:i w:val="0"/>
          <w:smallCaps/>
          <w:noProof/>
          <w:sz w:val="20"/>
        </w:rPr>
        <w:fldChar w:fldCharType="begin"/>
      </w:r>
      <w:r w:rsidRPr="008A5821">
        <w:rPr>
          <w:b w:val="0"/>
          <w:i w:val="0"/>
          <w:smallCaps/>
          <w:noProof/>
          <w:sz w:val="20"/>
        </w:rPr>
        <w:instrText xml:space="preserve"> SEQ Quadro_3.3.6 \* ARABIC </w:instrText>
      </w:r>
      <w:r w:rsidR="00B80A05" w:rsidRPr="008A5821">
        <w:rPr>
          <w:b w:val="0"/>
          <w:i w:val="0"/>
          <w:smallCaps/>
          <w:noProof/>
          <w:sz w:val="20"/>
        </w:rPr>
        <w:fldChar w:fldCharType="separate"/>
      </w:r>
      <w:r w:rsidR="00316060">
        <w:rPr>
          <w:b w:val="0"/>
          <w:i w:val="0"/>
          <w:smallCaps/>
          <w:noProof/>
          <w:sz w:val="20"/>
        </w:rPr>
        <w:t>4</w:t>
      </w:r>
      <w:r w:rsidR="00B80A05" w:rsidRPr="008A5821">
        <w:rPr>
          <w:b w:val="0"/>
          <w:i w:val="0"/>
          <w:smallCaps/>
          <w:noProof/>
          <w:sz w:val="20"/>
        </w:rPr>
        <w:fldChar w:fldCharType="end"/>
      </w:r>
      <w:r w:rsidRPr="008A5821">
        <w:rPr>
          <w:b w:val="0"/>
          <w:i w:val="0"/>
          <w:smallCaps/>
          <w:noProof/>
          <w:sz w:val="20"/>
        </w:rPr>
        <w:t xml:space="preserve">. - </w:t>
      </w:r>
      <w:r w:rsidRPr="008A5821">
        <w:rPr>
          <w:rFonts w:cs="Arial"/>
          <w:b w:val="0"/>
          <w:i w:val="0"/>
          <w:smallCaps/>
          <w:noProof/>
          <w:sz w:val="20"/>
        </w:rPr>
        <w:t>Parâmetros Selecionados para a Caracterização da Qualidade dos Sedimentos – Barragens Pedreira e Duas Pontes................................................................................................</w:t>
      </w:r>
      <w:r w:rsidR="00343892">
        <w:rPr>
          <w:rFonts w:cs="Arial"/>
          <w:b w:val="0"/>
          <w:i w:val="0"/>
          <w:smallCaps/>
          <w:noProof/>
          <w:sz w:val="20"/>
        </w:rPr>
        <w:t>.....</w:t>
      </w:r>
      <w:r w:rsidRPr="008A5821">
        <w:rPr>
          <w:rFonts w:cs="Arial"/>
          <w:b w:val="0"/>
          <w:i w:val="0"/>
          <w:smallCaps/>
          <w:noProof/>
          <w:sz w:val="20"/>
        </w:rPr>
        <w:t>.187</w:t>
      </w:r>
    </w:p>
    <w:p w:rsidR="00D94BB1" w:rsidRPr="008A5821" w:rsidRDefault="00D94BB1" w:rsidP="00FF254D">
      <w:pPr>
        <w:pStyle w:val="Legenda"/>
        <w:tabs>
          <w:tab w:val="left" w:pos="0"/>
        </w:tabs>
        <w:spacing w:before="80" w:after="80" w:line="240" w:lineRule="auto"/>
        <w:jc w:val="left"/>
        <w:rPr>
          <w:rFonts w:cs="Arial"/>
          <w:b w:val="0"/>
          <w:i w:val="0"/>
          <w:smallCaps/>
          <w:noProof/>
          <w:sz w:val="20"/>
        </w:rPr>
      </w:pPr>
      <w:r w:rsidRPr="008A5821">
        <w:rPr>
          <w:b w:val="0"/>
          <w:i w:val="0"/>
          <w:smallCaps/>
          <w:noProof/>
          <w:sz w:val="20"/>
        </w:rPr>
        <w:t>Quadro 3.3.6.</w:t>
      </w:r>
      <w:r w:rsidR="00B80A05" w:rsidRPr="008A5821">
        <w:rPr>
          <w:b w:val="0"/>
          <w:i w:val="0"/>
          <w:smallCaps/>
          <w:noProof/>
          <w:sz w:val="20"/>
        </w:rPr>
        <w:fldChar w:fldCharType="begin"/>
      </w:r>
      <w:r w:rsidRPr="008A5821">
        <w:rPr>
          <w:b w:val="0"/>
          <w:i w:val="0"/>
          <w:smallCaps/>
          <w:noProof/>
          <w:sz w:val="20"/>
        </w:rPr>
        <w:instrText xml:space="preserve"> SEQ Quadro_3.3.6 \* ARABIC </w:instrText>
      </w:r>
      <w:r w:rsidR="00B80A05" w:rsidRPr="008A5821">
        <w:rPr>
          <w:b w:val="0"/>
          <w:i w:val="0"/>
          <w:smallCaps/>
          <w:noProof/>
          <w:sz w:val="20"/>
        </w:rPr>
        <w:fldChar w:fldCharType="separate"/>
      </w:r>
      <w:r w:rsidR="00316060">
        <w:rPr>
          <w:b w:val="0"/>
          <w:i w:val="0"/>
          <w:smallCaps/>
          <w:noProof/>
          <w:sz w:val="20"/>
        </w:rPr>
        <w:t>5</w:t>
      </w:r>
      <w:r w:rsidR="00B80A05" w:rsidRPr="008A5821">
        <w:rPr>
          <w:b w:val="0"/>
          <w:i w:val="0"/>
          <w:smallCaps/>
          <w:noProof/>
          <w:sz w:val="20"/>
        </w:rPr>
        <w:fldChar w:fldCharType="end"/>
      </w:r>
      <w:r w:rsidRPr="008A5821">
        <w:rPr>
          <w:b w:val="0"/>
          <w:i w:val="0"/>
          <w:smallCaps/>
          <w:noProof/>
          <w:sz w:val="20"/>
        </w:rPr>
        <w:t xml:space="preserve">. - </w:t>
      </w:r>
      <w:r w:rsidRPr="008A5821">
        <w:rPr>
          <w:rFonts w:cs="Arial"/>
          <w:b w:val="0"/>
          <w:i w:val="0"/>
          <w:smallCaps/>
          <w:noProof/>
          <w:sz w:val="20"/>
        </w:rPr>
        <w:t>Cronograma de Atividades do Programa de Monitoramento de Qualidade das Águas Superficiais e dos Sedimentos - Barragens Pedreira e Duas Pontes.....................................190</w:t>
      </w:r>
    </w:p>
    <w:p w:rsidR="00D94BB1" w:rsidRPr="008A5821" w:rsidRDefault="00D94BB1" w:rsidP="00FF254D">
      <w:pPr>
        <w:pStyle w:val="Legenda"/>
        <w:spacing w:before="80" w:after="80" w:line="240" w:lineRule="auto"/>
        <w:rPr>
          <w:b w:val="0"/>
          <w:i w:val="0"/>
          <w:smallCaps/>
          <w:noProof/>
          <w:sz w:val="20"/>
        </w:rPr>
      </w:pPr>
      <w:r w:rsidRPr="008A5821">
        <w:rPr>
          <w:b w:val="0"/>
          <w:i w:val="0"/>
          <w:smallCaps/>
          <w:noProof/>
          <w:sz w:val="20"/>
        </w:rPr>
        <w:t>Quadro 3.4.</w:t>
      </w:r>
      <w:r w:rsidR="00B80A05" w:rsidRPr="008A5821">
        <w:rPr>
          <w:b w:val="0"/>
          <w:i w:val="0"/>
          <w:smallCaps/>
          <w:noProof/>
          <w:sz w:val="20"/>
        </w:rPr>
        <w:fldChar w:fldCharType="begin"/>
      </w:r>
      <w:r w:rsidRPr="008A5821">
        <w:rPr>
          <w:b w:val="0"/>
          <w:i w:val="0"/>
          <w:smallCaps/>
          <w:noProof/>
          <w:sz w:val="20"/>
        </w:rPr>
        <w:instrText xml:space="preserve"> SEQ Quadro_3.4. \* ARABIC </w:instrText>
      </w:r>
      <w:r w:rsidR="00B80A05" w:rsidRPr="008A5821">
        <w:rPr>
          <w:b w:val="0"/>
          <w:i w:val="0"/>
          <w:smallCaps/>
          <w:noProof/>
          <w:sz w:val="20"/>
        </w:rPr>
        <w:fldChar w:fldCharType="separate"/>
      </w:r>
      <w:r w:rsidR="00316060">
        <w:rPr>
          <w:b w:val="0"/>
          <w:i w:val="0"/>
          <w:smallCaps/>
          <w:noProof/>
          <w:sz w:val="20"/>
        </w:rPr>
        <w:t>1</w:t>
      </w:r>
      <w:r w:rsidR="00B80A05" w:rsidRPr="008A5821">
        <w:rPr>
          <w:b w:val="0"/>
          <w:i w:val="0"/>
          <w:smallCaps/>
          <w:noProof/>
          <w:sz w:val="20"/>
        </w:rPr>
        <w:fldChar w:fldCharType="end"/>
      </w:r>
      <w:r w:rsidRPr="008A5821">
        <w:rPr>
          <w:b w:val="0"/>
          <w:i w:val="0"/>
          <w:smallCaps/>
          <w:noProof/>
          <w:sz w:val="20"/>
        </w:rPr>
        <w:t>. - Quantitativos das diferentes fitofisionomias existentes serem suprimidas para a implantação do empreendimento Barragem Pedreira...................................................................</w:t>
      </w:r>
      <w:r w:rsidR="00343892">
        <w:rPr>
          <w:b w:val="0"/>
          <w:i w:val="0"/>
          <w:smallCaps/>
          <w:noProof/>
          <w:sz w:val="20"/>
        </w:rPr>
        <w:t>.......</w:t>
      </w:r>
      <w:r w:rsidRPr="008A5821">
        <w:rPr>
          <w:b w:val="0"/>
          <w:i w:val="0"/>
          <w:smallCaps/>
          <w:noProof/>
          <w:sz w:val="20"/>
        </w:rPr>
        <w:t>204</w:t>
      </w:r>
    </w:p>
    <w:p w:rsidR="00D94BB1" w:rsidRPr="008A5821" w:rsidRDefault="00D94BB1" w:rsidP="00FF254D">
      <w:pPr>
        <w:pStyle w:val="Legenda"/>
        <w:spacing w:before="80" w:after="80" w:line="240" w:lineRule="auto"/>
        <w:rPr>
          <w:b w:val="0"/>
          <w:i w:val="0"/>
          <w:smallCaps/>
          <w:noProof/>
          <w:sz w:val="20"/>
        </w:rPr>
      </w:pPr>
      <w:r w:rsidRPr="008A5821">
        <w:rPr>
          <w:b w:val="0"/>
          <w:i w:val="0"/>
          <w:smallCaps/>
          <w:noProof/>
          <w:sz w:val="20"/>
        </w:rPr>
        <w:t>Quadro 3.4.</w:t>
      </w:r>
      <w:r w:rsidR="00B80A05" w:rsidRPr="008A5821">
        <w:rPr>
          <w:b w:val="0"/>
          <w:i w:val="0"/>
          <w:smallCaps/>
          <w:noProof/>
          <w:sz w:val="20"/>
        </w:rPr>
        <w:fldChar w:fldCharType="begin"/>
      </w:r>
      <w:r w:rsidRPr="008A5821">
        <w:rPr>
          <w:b w:val="0"/>
          <w:i w:val="0"/>
          <w:smallCaps/>
          <w:noProof/>
          <w:sz w:val="20"/>
        </w:rPr>
        <w:instrText xml:space="preserve"> SEQ Quadro_3.4. \* ARABIC </w:instrText>
      </w:r>
      <w:r w:rsidR="00B80A05" w:rsidRPr="008A5821">
        <w:rPr>
          <w:b w:val="0"/>
          <w:i w:val="0"/>
          <w:smallCaps/>
          <w:noProof/>
          <w:sz w:val="20"/>
        </w:rPr>
        <w:fldChar w:fldCharType="separate"/>
      </w:r>
      <w:r w:rsidR="00316060">
        <w:rPr>
          <w:b w:val="0"/>
          <w:i w:val="0"/>
          <w:smallCaps/>
          <w:noProof/>
          <w:sz w:val="20"/>
        </w:rPr>
        <w:t>2</w:t>
      </w:r>
      <w:r w:rsidR="00B80A05" w:rsidRPr="008A5821">
        <w:rPr>
          <w:b w:val="0"/>
          <w:i w:val="0"/>
          <w:smallCaps/>
          <w:noProof/>
          <w:sz w:val="20"/>
        </w:rPr>
        <w:fldChar w:fldCharType="end"/>
      </w:r>
      <w:r w:rsidRPr="008A5821">
        <w:rPr>
          <w:b w:val="0"/>
          <w:i w:val="0"/>
          <w:smallCaps/>
          <w:noProof/>
          <w:sz w:val="20"/>
        </w:rPr>
        <w:t>. - Quantitativos das diferentes fitofisionomias existentes serem suprimidas para a implantação do empreendimento - Barragem Duas Pontes...........................................................</w:t>
      </w:r>
      <w:r w:rsidR="00343892">
        <w:rPr>
          <w:b w:val="0"/>
          <w:i w:val="0"/>
          <w:smallCaps/>
          <w:noProof/>
          <w:sz w:val="20"/>
        </w:rPr>
        <w:t>......</w:t>
      </w:r>
      <w:r w:rsidRPr="008A5821">
        <w:rPr>
          <w:b w:val="0"/>
          <w:i w:val="0"/>
          <w:smallCaps/>
          <w:noProof/>
          <w:sz w:val="20"/>
        </w:rPr>
        <w:t>.205</w:t>
      </w:r>
    </w:p>
    <w:p w:rsidR="00D94BB1" w:rsidRPr="008A5821" w:rsidRDefault="00D94BB1" w:rsidP="00FF254D">
      <w:pPr>
        <w:pStyle w:val="Legenda"/>
        <w:spacing w:before="80" w:after="80" w:line="240" w:lineRule="auto"/>
        <w:rPr>
          <w:rFonts w:cs="Arial"/>
          <w:b w:val="0"/>
          <w:i w:val="0"/>
          <w:smallCaps/>
          <w:noProof/>
          <w:sz w:val="20"/>
        </w:rPr>
      </w:pPr>
      <w:r w:rsidRPr="008A5821">
        <w:rPr>
          <w:b w:val="0"/>
          <w:i w:val="0"/>
          <w:smallCaps/>
          <w:noProof/>
          <w:sz w:val="20"/>
        </w:rPr>
        <w:t>Quadro 3.4.</w:t>
      </w:r>
      <w:r w:rsidR="00B80A05" w:rsidRPr="008A5821">
        <w:rPr>
          <w:b w:val="0"/>
          <w:i w:val="0"/>
          <w:smallCaps/>
          <w:noProof/>
          <w:sz w:val="20"/>
        </w:rPr>
        <w:fldChar w:fldCharType="begin"/>
      </w:r>
      <w:r w:rsidRPr="008A5821">
        <w:rPr>
          <w:b w:val="0"/>
          <w:i w:val="0"/>
          <w:smallCaps/>
          <w:noProof/>
          <w:sz w:val="20"/>
        </w:rPr>
        <w:instrText xml:space="preserve"> SEQ Quadro_3.4. \* ARABIC </w:instrText>
      </w:r>
      <w:r w:rsidR="00B80A05" w:rsidRPr="008A5821">
        <w:rPr>
          <w:b w:val="0"/>
          <w:i w:val="0"/>
          <w:smallCaps/>
          <w:noProof/>
          <w:sz w:val="20"/>
        </w:rPr>
        <w:fldChar w:fldCharType="separate"/>
      </w:r>
      <w:r w:rsidR="00316060">
        <w:rPr>
          <w:b w:val="0"/>
          <w:i w:val="0"/>
          <w:smallCaps/>
          <w:noProof/>
          <w:sz w:val="20"/>
        </w:rPr>
        <w:t>3</w:t>
      </w:r>
      <w:r w:rsidR="00B80A05" w:rsidRPr="008A5821">
        <w:rPr>
          <w:b w:val="0"/>
          <w:i w:val="0"/>
          <w:smallCaps/>
          <w:noProof/>
          <w:sz w:val="20"/>
        </w:rPr>
        <w:fldChar w:fldCharType="end"/>
      </w:r>
      <w:r w:rsidRPr="008A5821">
        <w:rPr>
          <w:b w:val="0"/>
          <w:i w:val="0"/>
          <w:smallCaps/>
          <w:noProof/>
          <w:sz w:val="20"/>
        </w:rPr>
        <w:t xml:space="preserve">. - </w:t>
      </w:r>
      <w:r w:rsidRPr="008A5821">
        <w:rPr>
          <w:rFonts w:cs="Arial"/>
          <w:b w:val="0"/>
          <w:i w:val="0"/>
          <w:smallCaps/>
          <w:noProof/>
          <w:sz w:val="20"/>
        </w:rPr>
        <w:t>Modelo para Ficha de Registro de Animais Atropelados......................................</w:t>
      </w:r>
      <w:r w:rsidR="00343892">
        <w:rPr>
          <w:rFonts w:cs="Arial"/>
          <w:b w:val="0"/>
          <w:i w:val="0"/>
          <w:smallCaps/>
          <w:noProof/>
          <w:sz w:val="20"/>
        </w:rPr>
        <w:t>..</w:t>
      </w:r>
      <w:r w:rsidRPr="008A5821">
        <w:rPr>
          <w:rFonts w:cs="Arial"/>
          <w:b w:val="0"/>
          <w:i w:val="0"/>
          <w:smallCaps/>
          <w:noProof/>
          <w:sz w:val="20"/>
        </w:rPr>
        <w:t>.</w:t>
      </w:r>
      <w:r w:rsidR="00343892">
        <w:rPr>
          <w:rFonts w:cs="Arial"/>
          <w:b w:val="0"/>
          <w:i w:val="0"/>
          <w:smallCaps/>
          <w:noProof/>
          <w:sz w:val="20"/>
        </w:rPr>
        <w:t>.</w:t>
      </w:r>
      <w:r w:rsidRPr="008A5821">
        <w:rPr>
          <w:rFonts w:cs="Arial"/>
          <w:b w:val="0"/>
          <w:i w:val="0"/>
          <w:smallCaps/>
          <w:noProof/>
          <w:sz w:val="20"/>
        </w:rPr>
        <w:t>228</w:t>
      </w:r>
    </w:p>
    <w:p w:rsidR="00D94BB1" w:rsidRPr="008A5821" w:rsidRDefault="00D94BB1" w:rsidP="00FF254D">
      <w:pPr>
        <w:pStyle w:val="Legenda"/>
        <w:spacing w:before="80" w:after="80" w:line="240" w:lineRule="auto"/>
        <w:rPr>
          <w:rFonts w:cs="Arial"/>
          <w:b w:val="0"/>
          <w:i w:val="0"/>
          <w:smallCaps/>
          <w:noProof/>
          <w:sz w:val="20"/>
        </w:rPr>
      </w:pPr>
      <w:r w:rsidRPr="008A5821">
        <w:rPr>
          <w:b w:val="0"/>
          <w:i w:val="0"/>
          <w:smallCaps/>
          <w:noProof/>
          <w:sz w:val="20"/>
        </w:rPr>
        <w:t>Quadro 3.4.</w:t>
      </w:r>
      <w:r w:rsidR="00B80A05" w:rsidRPr="008A5821">
        <w:rPr>
          <w:b w:val="0"/>
          <w:i w:val="0"/>
          <w:smallCaps/>
          <w:noProof/>
          <w:sz w:val="20"/>
        </w:rPr>
        <w:fldChar w:fldCharType="begin"/>
      </w:r>
      <w:r w:rsidRPr="008A5821">
        <w:rPr>
          <w:b w:val="0"/>
          <w:i w:val="0"/>
          <w:smallCaps/>
          <w:noProof/>
          <w:sz w:val="20"/>
        </w:rPr>
        <w:instrText xml:space="preserve"> SEQ Quadro_3.4. \* ARABIC </w:instrText>
      </w:r>
      <w:r w:rsidR="00B80A05" w:rsidRPr="008A5821">
        <w:rPr>
          <w:b w:val="0"/>
          <w:i w:val="0"/>
          <w:smallCaps/>
          <w:noProof/>
          <w:sz w:val="20"/>
        </w:rPr>
        <w:fldChar w:fldCharType="separate"/>
      </w:r>
      <w:r w:rsidR="00316060">
        <w:rPr>
          <w:b w:val="0"/>
          <w:i w:val="0"/>
          <w:smallCaps/>
          <w:noProof/>
          <w:sz w:val="20"/>
        </w:rPr>
        <w:t>4</w:t>
      </w:r>
      <w:r w:rsidR="00B80A05" w:rsidRPr="008A5821">
        <w:rPr>
          <w:b w:val="0"/>
          <w:i w:val="0"/>
          <w:smallCaps/>
          <w:noProof/>
          <w:sz w:val="20"/>
        </w:rPr>
        <w:fldChar w:fldCharType="end"/>
      </w:r>
      <w:r w:rsidRPr="008A5821">
        <w:rPr>
          <w:b w:val="0"/>
          <w:i w:val="0"/>
          <w:smallCaps/>
          <w:noProof/>
          <w:sz w:val="20"/>
        </w:rPr>
        <w:t xml:space="preserve">. - </w:t>
      </w:r>
      <w:r w:rsidRPr="008A5821">
        <w:rPr>
          <w:rFonts w:cs="Arial"/>
          <w:b w:val="0"/>
          <w:i w:val="0"/>
          <w:smallCaps/>
          <w:noProof/>
          <w:sz w:val="20"/>
        </w:rPr>
        <w:t>Rede de Amostragem do Programa de Monitoramento da Biota Aquática - Barragem Pedreira........................................................................................................................................</w:t>
      </w:r>
      <w:r w:rsidR="00343892">
        <w:rPr>
          <w:rFonts w:cs="Arial"/>
          <w:b w:val="0"/>
          <w:i w:val="0"/>
          <w:smallCaps/>
          <w:noProof/>
          <w:sz w:val="20"/>
        </w:rPr>
        <w:t>...........</w:t>
      </w:r>
      <w:r w:rsidRPr="008A5821">
        <w:rPr>
          <w:rFonts w:cs="Arial"/>
          <w:b w:val="0"/>
          <w:i w:val="0"/>
          <w:smallCaps/>
          <w:noProof/>
          <w:sz w:val="20"/>
        </w:rPr>
        <w:t>232</w:t>
      </w:r>
    </w:p>
    <w:p w:rsidR="00D94BB1" w:rsidRPr="008A5821" w:rsidRDefault="00D94BB1" w:rsidP="00FF254D">
      <w:pPr>
        <w:pStyle w:val="Legenda"/>
        <w:spacing w:before="80" w:after="80" w:line="240" w:lineRule="auto"/>
        <w:rPr>
          <w:b w:val="0"/>
          <w:i w:val="0"/>
          <w:smallCaps/>
          <w:noProof/>
          <w:sz w:val="20"/>
        </w:rPr>
      </w:pPr>
      <w:r w:rsidRPr="008A5821">
        <w:rPr>
          <w:b w:val="0"/>
          <w:i w:val="0"/>
          <w:smallCaps/>
          <w:noProof/>
          <w:sz w:val="20"/>
        </w:rPr>
        <w:t>Quadro 3.4.</w:t>
      </w:r>
      <w:r w:rsidR="00B80A05" w:rsidRPr="008A5821">
        <w:rPr>
          <w:b w:val="0"/>
          <w:i w:val="0"/>
          <w:smallCaps/>
          <w:noProof/>
          <w:sz w:val="20"/>
        </w:rPr>
        <w:fldChar w:fldCharType="begin"/>
      </w:r>
      <w:r w:rsidRPr="008A5821">
        <w:rPr>
          <w:b w:val="0"/>
          <w:i w:val="0"/>
          <w:smallCaps/>
          <w:noProof/>
          <w:sz w:val="20"/>
        </w:rPr>
        <w:instrText xml:space="preserve"> SEQ Quadro_3.4. \* ARABIC </w:instrText>
      </w:r>
      <w:r w:rsidR="00B80A05" w:rsidRPr="008A5821">
        <w:rPr>
          <w:b w:val="0"/>
          <w:i w:val="0"/>
          <w:smallCaps/>
          <w:noProof/>
          <w:sz w:val="20"/>
        </w:rPr>
        <w:fldChar w:fldCharType="separate"/>
      </w:r>
      <w:r w:rsidR="00316060">
        <w:rPr>
          <w:b w:val="0"/>
          <w:i w:val="0"/>
          <w:smallCaps/>
          <w:noProof/>
          <w:sz w:val="20"/>
        </w:rPr>
        <w:t>5</w:t>
      </w:r>
      <w:r w:rsidR="00B80A05" w:rsidRPr="008A5821">
        <w:rPr>
          <w:b w:val="0"/>
          <w:i w:val="0"/>
          <w:smallCaps/>
          <w:noProof/>
          <w:sz w:val="20"/>
        </w:rPr>
        <w:fldChar w:fldCharType="end"/>
      </w:r>
      <w:r w:rsidRPr="008A5821">
        <w:rPr>
          <w:b w:val="0"/>
          <w:i w:val="0"/>
          <w:smallCaps/>
          <w:noProof/>
          <w:sz w:val="20"/>
        </w:rPr>
        <w:t xml:space="preserve">. - </w:t>
      </w:r>
      <w:r w:rsidRPr="008A5821">
        <w:rPr>
          <w:rStyle w:val="CorpodetextoChar"/>
          <w:rFonts w:cs="Arial"/>
          <w:b w:val="0"/>
          <w:bCs/>
          <w:i w:val="0"/>
          <w:smallCaps/>
          <w:noProof/>
          <w:sz w:val="20"/>
        </w:rPr>
        <w:t xml:space="preserve">Rede de </w:t>
      </w:r>
      <w:r w:rsidRPr="008A5821">
        <w:rPr>
          <w:b w:val="0"/>
          <w:i w:val="0"/>
          <w:smallCaps/>
          <w:noProof/>
          <w:sz w:val="20"/>
        </w:rPr>
        <w:t xml:space="preserve">Amostragem do </w:t>
      </w:r>
      <w:r w:rsidRPr="008A5821">
        <w:rPr>
          <w:rFonts w:cs="Arial"/>
          <w:b w:val="0"/>
          <w:i w:val="0"/>
          <w:smallCaps/>
          <w:noProof/>
          <w:sz w:val="20"/>
        </w:rPr>
        <w:t xml:space="preserve">Programa de Monitoramento da Biota Aquática </w:t>
      </w:r>
      <w:r w:rsidRPr="008A5821">
        <w:rPr>
          <w:b w:val="0"/>
          <w:i w:val="0"/>
          <w:smallCaps/>
          <w:noProof/>
          <w:sz w:val="20"/>
        </w:rPr>
        <w:t>- Barragem Duas Pontes..................................................................................................................................</w:t>
      </w:r>
      <w:r w:rsidR="00343892">
        <w:rPr>
          <w:b w:val="0"/>
          <w:i w:val="0"/>
          <w:smallCaps/>
          <w:noProof/>
          <w:sz w:val="20"/>
        </w:rPr>
        <w:t>..........</w:t>
      </w:r>
      <w:r w:rsidRPr="008A5821">
        <w:rPr>
          <w:b w:val="0"/>
          <w:i w:val="0"/>
          <w:smallCaps/>
          <w:noProof/>
          <w:sz w:val="20"/>
        </w:rPr>
        <w:t>233</w:t>
      </w:r>
    </w:p>
    <w:p w:rsidR="00D94BB1" w:rsidRPr="008A5821" w:rsidRDefault="00D94BB1" w:rsidP="00FF254D">
      <w:pPr>
        <w:pStyle w:val="Legenda"/>
        <w:spacing w:before="80" w:after="80" w:line="240" w:lineRule="auto"/>
        <w:rPr>
          <w:rFonts w:cs="Arial"/>
          <w:b w:val="0"/>
          <w:i w:val="0"/>
          <w:smallCaps/>
          <w:noProof/>
          <w:sz w:val="20"/>
        </w:rPr>
      </w:pPr>
      <w:r w:rsidRPr="008A5821">
        <w:rPr>
          <w:b w:val="0"/>
          <w:i w:val="0"/>
          <w:smallCaps/>
          <w:noProof/>
          <w:sz w:val="20"/>
        </w:rPr>
        <w:t>Quadro 3.4.</w:t>
      </w:r>
      <w:r w:rsidR="00B80A05" w:rsidRPr="008A5821">
        <w:rPr>
          <w:b w:val="0"/>
          <w:i w:val="0"/>
          <w:smallCaps/>
          <w:noProof/>
          <w:sz w:val="20"/>
        </w:rPr>
        <w:fldChar w:fldCharType="begin"/>
      </w:r>
      <w:r w:rsidRPr="008A5821">
        <w:rPr>
          <w:b w:val="0"/>
          <w:i w:val="0"/>
          <w:smallCaps/>
          <w:noProof/>
          <w:sz w:val="20"/>
        </w:rPr>
        <w:instrText xml:space="preserve"> SEQ Quadro_3.4. \* ARABIC </w:instrText>
      </w:r>
      <w:r w:rsidR="00B80A05" w:rsidRPr="008A5821">
        <w:rPr>
          <w:b w:val="0"/>
          <w:i w:val="0"/>
          <w:smallCaps/>
          <w:noProof/>
          <w:sz w:val="20"/>
        </w:rPr>
        <w:fldChar w:fldCharType="separate"/>
      </w:r>
      <w:r w:rsidR="00316060">
        <w:rPr>
          <w:b w:val="0"/>
          <w:i w:val="0"/>
          <w:smallCaps/>
          <w:noProof/>
          <w:sz w:val="20"/>
        </w:rPr>
        <w:t>6</w:t>
      </w:r>
      <w:r w:rsidR="00B80A05" w:rsidRPr="008A5821">
        <w:rPr>
          <w:b w:val="0"/>
          <w:i w:val="0"/>
          <w:smallCaps/>
          <w:noProof/>
          <w:sz w:val="20"/>
        </w:rPr>
        <w:fldChar w:fldCharType="end"/>
      </w:r>
      <w:r w:rsidRPr="008A5821">
        <w:rPr>
          <w:b w:val="0"/>
          <w:i w:val="0"/>
          <w:smallCaps/>
          <w:noProof/>
          <w:sz w:val="20"/>
        </w:rPr>
        <w:t>. -</w:t>
      </w:r>
      <w:r w:rsidRPr="008A5821">
        <w:rPr>
          <w:rFonts w:cs="Arial"/>
          <w:b w:val="0"/>
          <w:i w:val="0"/>
          <w:smallCaps/>
          <w:noProof/>
          <w:sz w:val="20"/>
        </w:rPr>
        <w:t xml:space="preserve"> Cronograma de Atividades do Programa de Monitoramento da Biota Aquática - Barragens Pedreira e Duas Pontes..............................................................................................</w:t>
      </w:r>
      <w:r w:rsidR="00343892">
        <w:rPr>
          <w:rFonts w:cs="Arial"/>
          <w:b w:val="0"/>
          <w:i w:val="0"/>
          <w:smallCaps/>
          <w:noProof/>
          <w:sz w:val="20"/>
        </w:rPr>
        <w:t>........</w:t>
      </w:r>
      <w:r w:rsidRPr="008A5821">
        <w:rPr>
          <w:rFonts w:cs="Arial"/>
          <w:b w:val="0"/>
          <w:i w:val="0"/>
          <w:smallCaps/>
          <w:noProof/>
          <w:sz w:val="20"/>
        </w:rPr>
        <w:t>236</w:t>
      </w:r>
    </w:p>
    <w:p w:rsidR="00D94BB1" w:rsidRPr="008A5821" w:rsidRDefault="00D94BB1" w:rsidP="00FF254D">
      <w:pPr>
        <w:pStyle w:val="Legenda"/>
        <w:spacing w:before="80" w:after="80" w:line="240" w:lineRule="auto"/>
        <w:rPr>
          <w:b w:val="0"/>
          <w:i w:val="0"/>
          <w:smallCaps/>
          <w:noProof/>
          <w:sz w:val="20"/>
        </w:rPr>
      </w:pPr>
      <w:r w:rsidRPr="008A5821">
        <w:rPr>
          <w:b w:val="0"/>
          <w:i w:val="0"/>
          <w:smallCaps/>
          <w:noProof/>
          <w:sz w:val="20"/>
        </w:rPr>
        <w:t>Quadro 3.4.</w:t>
      </w:r>
      <w:r w:rsidR="00B80A05" w:rsidRPr="008A5821">
        <w:rPr>
          <w:b w:val="0"/>
          <w:i w:val="0"/>
          <w:smallCaps/>
          <w:noProof/>
          <w:sz w:val="20"/>
        </w:rPr>
        <w:fldChar w:fldCharType="begin"/>
      </w:r>
      <w:r w:rsidRPr="008A5821">
        <w:rPr>
          <w:b w:val="0"/>
          <w:i w:val="0"/>
          <w:smallCaps/>
          <w:noProof/>
          <w:sz w:val="20"/>
        </w:rPr>
        <w:instrText xml:space="preserve"> SEQ Quadro_3.4. \* ARABIC </w:instrText>
      </w:r>
      <w:r w:rsidR="00B80A05" w:rsidRPr="008A5821">
        <w:rPr>
          <w:b w:val="0"/>
          <w:i w:val="0"/>
          <w:smallCaps/>
          <w:noProof/>
          <w:sz w:val="20"/>
        </w:rPr>
        <w:fldChar w:fldCharType="separate"/>
      </w:r>
      <w:r w:rsidR="00316060">
        <w:rPr>
          <w:b w:val="0"/>
          <w:i w:val="0"/>
          <w:smallCaps/>
          <w:noProof/>
          <w:sz w:val="20"/>
        </w:rPr>
        <w:t>7</w:t>
      </w:r>
      <w:r w:rsidR="00B80A05" w:rsidRPr="008A5821">
        <w:rPr>
          <w:b w:val="0"/>
          <w:i w:val="0"/>
          <w:smallCaps/>
          <w:noProof/>
          <w:sz w:val="20"/>
        </w:rPr>
        <w:fldChar w:fldCharType="end"/>
      </w:r>
      <w:r w:rsidRPr="008A5821">
        <w:rPr>
          <w:b w:val="0"/>
          <w:i w:val="0"/>
          <w:smallCaps/>
          <w:noProof/>
          <w:sz w:val="20"/>
        </w:rPr>
        <w:t>. -  Relação de Unidades de Conservação (UCs) nas áreas de influência...................256</w:t>
      </w:r>
    </w:p>
    <w:p w:rsidR="00D94BB1" w:rsidRPr="008A5821" w:rsidRDefault="00D94BB1" w:rsidP="00FF254D">
      <w:pPr>
        <w:pStyle w:val="Legenda"/>
        <w:spacing w:before="80" w:after="80" w:line="240" w:lineRule="auto"/>
        <w:rPr>
          <w:rFonts w:cs="Arial"/>
          <w:b w:val="0"/>
          <w:i w:val="0"/>
          <w:smallCaps/>
          <w:noProof/>
          <w:sz w:val="20"/>
        </w:rPr>
      </w:pPr>
      <w:r w:rsidRPr="008A5821">
        <w:rPr>
          <w:b w:val="0"/>
          <w:i w:val="0"/>
          <w:smallCaps/>
          <w:noProof/>
          <w:sz w:val="20"/>
        </w:rPr>
        <w:t>Quadro 3.5.</w:t>
      </w:r>
      <w:r w:rsidR="00B80A05" w:rsidRPr="008A5821">
        <w:rPr>
          <w:b w:val="0"/>
          <w:i w:val="0"/>
          <w:smallCaps/>
          <w:noProof/>
          <w:sz w:val="20"/>
        </w:rPr>
        <w:fldChar w:fldCharType="begin"/>
      </w:r>
      <w:r w:rsidRPr="008A5821">
        <w:rPr>
          <w:b w:val="0"/>
          <w:i w:val="0"/>
          <w:smallCaps/>
          <w:noProof/>
          <w:sz w:val="20"/>
        </w:rPr>
        <w:instrText xml:space="preserve"> SEQ Quadro_3.5. \* ARABIC </w:instrText>
      </w:r>
      <w:r w:rsidR="00B80A05" w:rsidRPr="008A5821">
        <w:rPr>
          <w:b w:val="0"/>
          <w:i w:val="0"/>
          <w:smallCaps/>
          <w:noProof/>
          <w:sz w:val="20"/>
        </w:rPr>
        <w:fldChar w:fldCharType="separate"/>
      </w:r>
      <w:r w:rsidR="00316060">
        <w:rPr>
          <w:b w:val="0"/>
          <w:i w:val="0"/>
          <w:smallCaps/>
          <w:noProof/>
          <w:sz w:val="20"/>
        </w:rPr>
        <w:t>1</w:t>
      </w:r>
      <w:r w:rsidR="00B80A05" w:rsidRPr="008A5821">
        <w:rPr>
          <w:b w:val="0"/>
          <w:i w:val="0"/>
          <w:smallCaps/>
          <w:noProof/>
          <w:sz w:val="20"/>
        </w:rPr>
        <w:fldChar w:fldCharType="end"/>
      </w:r>
      <w:r w:rsidRPr="008A5821">
        <w:rPr>
          <w:b w:val="0"/>
          <w:i w:val="0"/>
          <w:smallCaps/>
          <w:noProof/>
          <w:sz w:val="20"/>
        </w:rPr>
        <w:t xml:space="preserve">. - </w:t>
      </w:r>
      <w:r w:rsidRPr="008A5821">
        <w:rPr>
          <w:rFonts w:cs="Arial"/>
          <w:b w:val="0"/>
          <w:i w:val="0"/>
          <w:smallCaps/>
          <w:noProof/>
          <w:sz w:val="20"/>
        </w:rPr>
        <w:t>Barragem Duas Pontes - Distribuição dos Trabalhadores Contratados...</w:t>
      </w:r>
      <w:r w:rsidR="008A5821" w:rsidRPr="008A5821">
        <w:rPr>
          <w:rFonts w:cs="Arial"/>
          <w:b w:val="0"/>
          <w:i w:val="0"/>
          <w:smallCaps/>
          <w:noProof/>
          <w:sz w:val="20"/>
        </w:rPr>
        <w:t>........</w:t>
      </w:r>
      <w:r w:rsidR="00343892">
        <w:rPr>
          <w:rFonts w:cs="Arial"/>
          <w:b w:val="0"/>
          <w:i w:val="0"/>
          <w:smallCaps/>
          <w:noProof/>
          <w:sz w:val="20"/>
        </w:rPr>
        <w:t>...</w:t>
      </w:r>
      <w:r w:rsidRPr="008A5821">
        <w:rPr>
          <w:rFonts w:cs="Arial"/>
          <w:b w:val="0"/>
          <w:i w:val="0"/>
          <w:smallCaps/>
          <w:noProof/>
          <w:sz w:val="20"/>
        </w:rPr>
        <w:t>.272</w:t>
      </w:r>
    </w:p>
    <w:p w:rsidR="008A5821" w:rsidRPr="008A5821" w:rsidRDefault="008A5821" w:rsidP="00FF254D">
      <w:pPr>
        <w:pStyle w:val="Legenda"/>
        <w:spacing w:before="80" w:after="80" w:line="240" w:lineRule="auto"/>
        <w:rPr>
          <w:rFonts w:cs="Arial"/>
          <w:b w:val="0"/>
          <w:i w:val="0"/>
          <w:smallCaps/>
          <w:noProof/>
          <w:sz w:val="20"/>
        </w:rPr>
      </w:pPr>
      <w:r w:rsidRPr="008A5821">
        <w:rPr>
          <w:b w:val="0"/>
          <w:i w:val="0"/>
          <w:smallCaps/>
          <w:noProof/>
          <w:sz w:val="20"/>
        </w:rPr>
        <w:t>Quadro 3.5.</w:t>
      </w:r>
      <w:r w:rsidR="00B80A05" w:rsidRPr="008A5821">
        <w:rPr>
          <w:b w:val="0"/>
          <w:i w:val="0"/>
          <w:smallCaps/>
          <w:noProof/>
          <w:sz w:val="20"/>
        </w:rPr>
        <w:fldChar w:fldCharType="begin"/>
      </w:r>
      <w:r w:rsidRPr="008A5821">
        <w:rPr>
          <w:b w:val="0"/>
          <w:i w:val="0"/>
          <w:smallCaps/>
          <w:noProof/>
          <w:sz w:val="20"/>
        </w:rPr>
        <w:instrText xml:space="preserve"> SEQ Quadro_3.5. \* ARABIC </w:instrText>
      </w:r>
      <w:r w:rsidR="00B80A05" w:rsidRPr="008A5821">
        <w:rPr>
          <w:b w:val="0"/>
          <w:i w:val="0"/>
          <w:smallCaps/>
          <w:noProof/>
          <w:sz w:val="20"/>
        </w:rPr>
        <w:fldChar w:fldCharType="separate"/>
      </w:r>
      <w:r w:rsidR="00316060">
        <w:rPr>
          <w:b w:val="0"/>
          <w:i w:val="0"/>
          <w:smallCaps/>
          <w:noProof/>
          <w:sz w:val="20"/>
        </w:rPr>
        <w:t>2</w:t>
      </w:r>
      <w:r w:rsidR="00B80A05" w:rsidRPr="008A5821">
        <w:rPr>
          <w:b w:val="0"/>
          <w:i w:val="0"/>
          <w:smallCaps/>
          <w:noProof/>
          <w:sz w:val="20"/>
        </w:rPr>
        <w:fldChar w:fldCharType="end"/>
      </w:r>
      <w:r w:rsidRPr="008A5821">
        <w:rPr>
          <w:b w:val="0"/>
          <w:i w:val="0"/>
          <w:smallCaps/>
          <w:noProof/>
          <w:sz w:val="20"/>
        </w:rPr>
        <w:t xml:space="preserve">. - </w:t>
      </w:r>
      <w:r w:rsidRPr="008A5821">
        <w:rPr>
          <w:rFonts w:cs="Arial"/>
          <w:b w:val="0"/>
          <w:i w:val="0"/>
          <w:smallCaps/>
          <w:noProof/>
          <w:sz w:val="20"/>
        </w:rPr>
        <w:t>Barragem Pedreira - Distribuição dos Trabalhadores Contratados ..................</w:t>
      </w:r>
      <w:r w:rsidR="00343892">
        <w:rPr>
          <w:rFonts w:cs="Arial"/>
          <w:b w:val="0"/>
          <w:i w:val="0"/>
          <w:smallCaps/>
          <w:noProof/>
          <w:sz w:val="20"/>
        </w:rPr>
        <w:t>...</w:t>
      </w:r>
      <w:r w:rsidRPr="008A5821">
        <w:rPr>
          <w:rFonts w:cs="Arial"/>
          <w:b w:val="0"/>
          <w:i w:val="0"/>
          <w:smallCaps/>
          <w:noProof/>
          <w:sz w:val="20"/>
        </w:rPr>
        <w:t>272</w:t>
      </w:r>
    </w:p>
    <w:p w:rsidR="008A5821" w:rsidRPr="008A5821" w:rsidRDefault="008A5821" w:rsidP="00FF254D">
      <w:pPr>
        <w:pStyle w:val="Legenda"/>
        <w:spacing w:before="80" w:after="80" w:line="240" w:lineRule="auto"/>
        <w:rPr>
          <w:b w:val="0"/>
          <w:i w:val="0"/>
          <w:smallCaps/>
          <w:noProof/>
          <w:sz w:val="20"/>
        </w:rPr>
      </w:pPr>
      <w:r w:rsidRPr="008A5821">
        <w:rPr>
          <w:b w:val="0"/>
          <w:i w:val="0"/>
          <w:smallCaps/>
          <w:noProof/>
          <w:sz w:val="20"/>
        </w:rPr>
        <w:t>Quadro 3.5.</w:t>
      </w:r>
      <w:r w:rsidR="00B80A05" w:rsidRPr="008A5821">
        <w:rPr>
          <w:b w:val="0"/>
          <w:i w:val="0"/>
          <w:smallCaps/>
          <w:noProof/>
          <w:sz w:val="20"/>
        </w:rPr>
        <w:fldChar w:fldCharType="begin"/>
      </w:r>
      <w:r w:rsidRPr="008A5821">
        <w:rPr>
          <w:b w:val="0"/>
          <w:i w:val="0"/>
          <w:smallCaps/>
          <w:noProof/>
          <w:sz w:val="20"/>
        </w:rPr>
        <w:instrText xml:space="preserve"> SEQ Quadro_3.5. \* ARABIC </w:instrText>
      </w:r>
      <w:r w:rsidR="00B80A05" w:rsidRPr="008A5821">
        <w:rPr>
          <w:b w:val="0"/>
          <w:i w:val="0"/>
          <w:smallCaps/>
          <w:noProof/>
          <w:sz w:val="20"/>
        </w:rPr>
        <w:fldChar w:fldCharType="separate"/>
      </w:r>
      <w:r w:rsidR="00316060">
        <w:rPr>
          <w:b w:val="0"/>
          <w:i w:val="0"/>
          <w:smallCaps/>
          <w:noProof/>
          <w:sz w:val="20"/>
        </w:rPr>
        <w:t>3</w:t>
      </w:r>
      <w:r w:rsidR="00B80A05" w:rsidRPr="008A5821">
        <w:rPr>
          <w:b w:val="0"/>
          <w:i w:val="0"/>
          <w:smallCaps/>
          <w:noProof/>
          <w:sz w:val="20"/>
        </w:rPr>
        <w:fldChar w:fldCharType="end"/>
      </w:r>
      <w:r w:rsidRPr="008A5821">
        <w:rPr>
          <w:b w:val="0"/>
          <w:i w:val="0"/>
          <w:smallCaps/>
          <w:noProof/>
          <w:sz w:val="20"/>
        </w:rPr>
        <w:t>. - Lista de Equipamentos necessários e respectivas aplicações ..............................</w:t>
      </w:r>
      <w:r w:rsidR="00343892">
        <w:rPr>
          <w:b w:val="0"/>
          <w:i w:val="0"/>
          <w:smallCaps/>
          <w:noProof/>
          <w:sz w:val="20"/>
        </w:rPr>
        <w:t>...</w:t>
      </w:r>
      <w:r w:rsidRPr="008A5821">
        <w:rPr>
          <w:b w:val="0"/>
          <w:i w:val="0"/>
          <w:smallCaps/>
          <w:noProof/>
          <w:sz w:val="20"/>
        </w:rPr>
        <w:t>293</w:t>
      </w:r>
    </w:p>
    <w:p w:rsidR="008A5821" w:rsidRPr="008A5821" w:rsidRDefault="008A5821" w:rsidP="00FF254D">
      <w:pPr>
        <w:pStyle w:val="Legenda"/>
        <w:spacing w:before="80" w:after="80" w:line="240" w:lineRule="auto"/>
        <w:rPr>
          <w:b w:val="0"/>
          <w:i w:val="0"/>
          <w:smallCaps/>
          <w:noProof/>
          <w:sz w:val="20"/>
        </w:rPr>
      </w:pPr>
      <w:r w:rsidRPr="008A5821">
        <w:rPr>
          <w:b w:val="0"/>
          <w:i w:val="0"/>
          <w:smallCaps/>
          <w:noProof/>
          <w:sz w:val="20"/>
        </w:rPr>
        <w:t>Quadro 3.5.</w:t>
      </w:r>
      <w:r w:rsidR="00B80A05" w:rsidRPr="008A5821">
        <w:rPr>
          <w:b w:val="0"/>
          <w:i w:val="0"/>
          <w:smallCaps/>
          <w:noProof/>
          <w:sz w:val="20"/>
        </w:rPr>
        <w:fldChar w:fldCharType="begin"/>
      </w:r>
      <w:r w:rsidRPr="008A5821">
        <w:rPr>
          <w:b w:val="0"/>
          <w:i w:val="0"/>
          <w:smallCaps/>
          <w:noProof/>
          <w:sz w:val="20"/>
        </w:rPr>
        <w:instrText xml:space="preserve"> SEQ Quadro_3.5. \* ARABIC </w:instrText>
      </w:r>
      <w:r w:rsidR="00B80A05" w:rsidRPr="008A5821">
        <w:rPr>
          <w:b w:val="0"/>
          <w:i w:val="0"/>
          <w:smallCaps/>
          <w:noProof/>
          <w:sz w:val="20"/>
        </w:rPr>
        <w:fldChar w:fldCharType="separate"/>
      </w:r>
      <w:r w:rsidR="00316060">
        <w:rPr>
          <w:b w:val="0"/>
          <w:i w:val="0"/>
          <w:smallCaps/>
          <w:noProof/>
          <w:sz w:val="20"/>
        </w:rPr>
        <w:t>4</w:t>
      </w:r>
      <w:r w:rsidR="00B80A05" w:rsidRPr="008A5821">
        <w:rPr>
          <w:b w:val="0"/>
          <w:i w:val="0"/>
          <w:smallCaps/>
          <w:noProof/>
          <w:sz w:val="20"/>
        </w:rPr>
        <w:fldChar w:fldCharType="end"/>
      </w:r>
      <w:r w:rsidRPr="008A5821">
        <w:rPr>
          <w:b w:val="0"/>
          <w:i w:val="0"/>
          <w:smallCaps/>
          <w:noProof/>
          <w:sz w:val="20"/>
        </w:rPr>
        <w:t>. - Cronograma das Atividades ..................................................................................</w:t>
      </w:r>
      <w:r w:rsidR="00343892">
        <w:rPr>
          <w:b w:val="0"/>
          <w:i w:val="0"/>
          <w:smallCaps/>
          <w:noProof/>
          <w:sz w:val="20"/>
        </w:rPr>
        <w:t>......</w:t>
      </w:r>
      <w:r w:rsidRPr="008A5821">
        <w:rPr>
          <w:b w:val="0"/>
          <w:i w:val="0"/>
          <w:smallCaps/>
          <w:noProof/>
          <w:sz w:val="20"/>
        </w:rPr>
        <w:t>295</w:t>
      </w:r>
    </w:p>
    <w:p w:rsidR="00747712" w:rsidRPr="008A5821" w:rsidRDefault="00747712" w:rsidP="00FF254D">
      <w:pPr>
        <w:spacing w:before="80" w:after="80" w:line="240" w:lineRule="auto"/>
        <w:rPr>
          <w:smallCaps/>
          <w:noProof/>
          <w:sz w:val="20"/>
        </w:rPr>
      </w:pPr>
      <w:r w:rsidRPr="008A5821">
        <w:rPr>
          <w:smallCaps/>
          <w:noProof/>
          <w:sz w:val="20"/>
        </w:rPr>
        <w:t>Q</w:t>
      </w:r>
      <w:r w:rsidR="008A5821" w:rsidRPr="008A5821">
        <w:rPr>
          <w:smallCaps/>
          <w:noProof/>
          <w:sz w:val="20"/>
        </w:rPr>
        <w:t>uadro</w:t>
      </w:r>
      <w:r w:rsidRPr="008A5821">
        <w:rPr>
          <w:smallCaps/>
          <w:noProof/>
          <w:sz w:val="20"/>
        </w:rPr>
        <w:t xml:space="preserve"> 4.1. Demandas projetadas para 2014 e 2020 na região das Bacias dos Rios Piracicaba, Capivari e Jundiaí (PCJ).</w:t>
      </w:r>
      <w:r w:rsidRPr="008A5821">
        <w:rPr>
          <w:smallCaps/>
          <w:noProof/>
          <w:sz w:val="20"/>
        </w:rPr>
        <w:tab/>
        <w:t>...................................................................................................................</w:t>
      </w:r>
      <w:r w:rsidR="00343892">
        <w:rPr>
          <w:smallCaps/>
          <w:noProof/>
          <w:sz w:val="20"/>
        </w:rPr>
        <w:t>......</w:t>
      </w:r>
      <w:r w:rsidRPr="008A5821">
        <w:rPr>
          <w:smallCaps/>
          <w:noProof/>
          <w:sz w:val="20"/>
        </w:rPr>
        <w:t>30</w:t>
      </w:r>
      <w:r w:rsidR="008A5821" w:rsidRPr="008A5821">
        <w:rPr>
          <w:smallCaps/>
          <w:noProof/>
          <w:sz w:val="20"/>
        </w:rPr>
        <w:t>0</w:t>
      </w:r>
    </w:p>
    <w:p w:rsidR="009812B0" w:rsidRPr="008A5821" w:rsidRDefault="009812B0" w:rsidP="00FF254D">
      <w:pPr>
        <w:spacing w:before="80" w:after="80" w:line="240" w:lineRule="auto"/>
        <w:rPr>
          <w:noProof/>
          <w:sz w:val="20"/>
        </w:rPr>
      </w:pPr>
    </w:p>
    <w:p w:rsidR="00431A97" w:rsidRDefault="00B80A05" w:rsidP="00FF254D">
      <w:pPr>
        <w:tabs>
          <w:tab w:val="left" w:pos="567"/>
          <w:tab w:val="left" w:pos="880"/>
          <w:tab w:val="right" w:leader="dot" w:pos="9345"/>
        </w:tabs>
        <w:spacing w:before="80" w:after="80" w:line="240" w:lineRule="auto"/>
        <w:rPr>
          <w:b/>
          <w:noProof/>
        </w:rPr>
      </w:pPr>
      <w:r w:rsidRPr="008A5821">
        <w:rPr>
          <w:smallCaps/>
          <w:noProof/>
          <w:sz w:val="20"/>
        </w:rPr>
        <w:fldChar w:fldCharType="end"/>
      </w:r>
      <w:r w:rsidR="00431A97">
        <w:rPr>
          <w:b/>
          <w:noProof/>
        </w:rPr>
        <w:t>RELAÇÃO DE FIGURAS APRESENTADAS</w:t>
      </w:r>
    </w:p>
    <w:p w:rsidR="002B2DAA" w:rsidRPr="002B2DAA" w:rsidRDefault="00B80A05" w:rsidP="002B2DAA">
      <w:pPr>
        <w:pStyle w:val="ndicedeilustraes"/>
        <w:tabs>
          <w:tab w:val="right" w:leader="dot" w:pos="9345"/>
        </w:tabs>
        <w:ind w:left="0" w:firstLine="0"/>
        <w:rPr>
          <w:rFonts w:asciiTheme="minorHAnsi" w:eastAsiaTheme="minorEastAsia" w:hAnsiTheme="minorHAnsi" w:cstheme="minorBidi"/>
          <w:smallCaps w:val="0"/>
          <w:noProof/>
          <w:sz w:val="20"/>
        </w:rPr>
      </w:pPr>
      <w:r w:rsidRPr="002B2DAA">
        <w:rPr>
          <w:b/>
          <w:noProof/>
          <w:sz w:val="20"/>
        </w:rPr>
        <w:fldChar w:fldCharType="begin"/>
      </w:r>
      <w:r w:rsidR="00F056DF" w:rsidRPr="002B2DAA">
        <w:rPr>
          <w:b/>
          <w:noProof/>
          <w:sz w:val="20"/>
        </w:rPr>
        <w:instrText xml:space="preserve"> TOC \h \z \c "Figura 1.3." </w:instrText>
      </w:r>
      <w:r w:rsidRPr="002B2DAA">
        <w:rPr>
          <w:b/>
          <w:noProof/>
          <w:sz w:val="20"/>
        </w:rPr>
        <w:fldChar w:fldCharType="separate"/>
      </w:r>
      <w:hyperlink w:anchor="_Toc420332062" w:history="1">
        <w:r w:rsidR="002B2DAA" w:rsidRPr="002B2DAA">
          <w:rPr>
            <w:rStyle w:val="Hyperlink"/>
            <w:noProof/>
            <w:sz w:val="20"/>
          </w:rPr>
          <w:t>Figura 1.3.1. - Esquema de Compartimentação do Reservatório da Barragem Pedreira.</w:t>
        </w:r>
        <w:r w:rsidR="002B2DAA" w:rsidRPr="002B2DAA">
          <w:rPr>
            <w:noProof/>
            <w:webHidden/>
            <w:sz w:val="20"/>
          </w:rPr>
          <w:tab/>
        </w:r>
        <w:r w:rsidR="002B2DAA" w:rsidRPr="002B2DAA">
          <w:rPr>
            <w:noProof/>
            <w:webHidden/>
            <w:sz w:val="20"/>
          </w:rPr>
          <w:fldChar w:fldCharType="begin"/>
        </w:r>
        <w:r w:rsidR="002B2DAA" w:rsidRPr="002B2DAA">
          <w:rPr>
            <w:noProof/>
            <w:webHidden/>
            <w:sz w:val="20"/>
          </w:rPr>
          <w:instrText xml:space="preserve"> PAGEREF _Toc420332062 \h </w:instrText>
        </w:r>
        <w:r w:rsidR="002B2DAA" w:rsidRPr="002B2DAA">
          <w:rPr>
            <w:noProof/>
            <w:webHidden/>
            <w:sz w:val="20"/>
          </w:rPr>
        </w:r>
        <w:r w:rsidR="002B2DAA" w:rsidRPr="002B2DAA">
          <w:rPr>
            <w:noProof/>
            <w:webHidden/>
            <w:sz w:val="20"/>
          </w:rPr>
          <w:fldChar w:fldCharType="separate"/>
        </w:r>
        <w:r w:rsidR="00316060">
          <w:rPr>
            <w:noProof/>
            <w:webHidden/>
            <w:sz w:val="20"/>
          </w:rPr>
          <w:t>32</w:t>
        </w:r>
        <w:r w:rsidR="002B2DAA" w:rsidRPr="002B2DAA">
          <w:rPr>
            <w:noProof/>
            <w:webHidden/>
            <w:sz w:val="20"/>
          </w:rPr>
          <w:fldChar w:fldCharType="end"/>
        </w:r>
      </w:hyperlink>
    </w:p>
    <w:p w:rsidR="002B2DAA" w:rsidRPr="002B2DAA" w:rsidRDefault="00D84387" w:rsidP="002B2DAA">
      <w:pPr>
        <w:pStyle w:val="ndicedeilustraes"/>
        <w:tabs>
          <w:tab w:val="right" w:leader="dot" w:pos="9345"/>
        </w:tabs>
        <w:ind w:left="0" w:firstLine="0"/>
        <w:rPr>
          <w:rFonts w:asciiTheme="minorHAnsi" w:eastAsiaTheme="minorEastAsia" w:hAnsiTheme="minorHAnsi" w:cstheme="minorBidi"/>
          <w:smallCaps w:val="0"/>
          <w:noProof/>
          <w:sz w:val="20"/>
        </w:rPr>
      </w:pPr>
      <w:hyperlink w:anchor="_Toc420332063" w:history="1">
        <w:r w:rsidR="002B2DAA" w:rsidRPr="002B2DAA">
          <w:rPr>
            <w:rStyle w:val="Hyperlink"/>
            <w:noProof/>
            <w:sz w:val="20"/>
          </w:rPr>
          <w:t>Figura 1.3.2. - Esquema de Compartimentação do Reservatório da Barragem Duas Pontes.</w:t>
        </w:r>
        <w:r w:rsidR="002B2DAA" w:rsidRPr="002B2DAA">
          <w:rPr>
            <w:noProof/>
            <w:webHidden/>
            <w:sz w:val="20"/>
          </w:rPr>
          <w:tab/>
        </w:r>
        <w:r w:rsidR="002B2DAA" w:rsidRPr="002B2DAA">
          <w:rPr>
            <w:noProof/>
            <w:webHidden/>
            <w:sz w:val="20"/>
          </w:rPr>
          <w:fldChar w:fldCharType="begin"/>
        </w:r>
        <w:r w:rsidR="002B2DAA" w:rsidRPr="002B2DAA">
          <w:rPr>
            <w:noProof/>
            <w:webHidden/>
            <w:sz w:val="20"/>
          </w:rPr>
          <w:instrText xml:space="preserve"> PAGEREF _Toc420332063 \h </w:instrText>
        </w:r>
        <w:r w:rsidR="002B2DAA" w:rsidRPr="002B2DAA">
          <w:rPr>
            <w:noProof/>
            <w:webHidden/>
            <w:sz w:val="20"/>
          </w:rPr>
        </w:r>
        <w:r w:rsidR="002B2DAA" w:rsidRPr="002B2DAA">
          <w:rPr>
            <w:noProof/>
            <w:webHidden/>
            <w:sz w:val="20"/>
          </w:rPr>
          <w:fldChar w:fldCharType="separate"/>
        </w:r>
        <w:r w:rsidR="00316060">
          <w:rPr>
            <w:noProof/>
            <w:webHidden/>
            <w:sz w:val="20"/>
          </w:rPr>
          <w:t>34</w:t>
        </w:r>
        <w:r w:rsidR="002B2DAA" w:rsidRPr="002B2DAA">
          <w:rPr>
            <w:noProof/>
            <w:webHidden/>
            <w:sz w:val="20"/>
          </w:rPr>
          <w:fldChar w:fldCharType="end"/>
        </w:r>
      </w:hyperlink>
    </w:p>
    <w:p w:rsidR="002B2DAA" w:rsidRPr="002B2DAA" w:rsidRDefault="00D84387" w:rsidP="002B2DAA">
      <w:pPr>
        <w:pStyle w:val="ndicedeilustraes"/>
        <w:tabs>
          <w:tab w:val="right" w:leader="dot" w:pos="9345"/>
        </w:tabs>
        <w:ind w:left="0" w:firstLine="0"/>
        <w:rPr>
          <w:rFonts w:asciiTheme="minorHAnsi" w:eastAsiaTheme="minorEastAsia" w:hAnsiTheme="minorHAnsi" w:cstheme="minorBidi"/>
          <w:smallCaps w:val="0"/>
          <w:noProof/>
          <w:sz w:val="20"/>
        </w:rPr>
      </w:pPr>
      <w:hyperlink w:anchor="_Toc420332064" w:history="1">
        <w:r w:rsidR="002B2DAA" w:rsidRPr="002B2DAA">
          <w:rPr>
            <w:rStyle w:val="Hyperlink"/>
            <w:noProof/>
            <w:sz w:val="20"/>
          </w:rPr>
          <w:t>Figura 1.3.3. - Limite das Soluções locais ou integradas nas Bacias PCJ e Região Metropolitana de Campinas</w:t>
        </w:r>
        <w:r w:rsidR="002B2DAA" w:rsidRPr="002B2DAA">
          <w:rPr>
            <w:noProof/>
            <w:webHidden/>
            <w:sz w:val="20"/>
          </w:rPr>
          <w:tab/>
        </w:r>
        <w:r w:rsidR="002B2DAA" w:rsidRPr="002B2DAA">
          <w:rPr>
            <w:noProof/>
            <w:webHidden/>
            <w:sz w:val="20"/>
          </w:rPr>
          <w:fldChar w:fldCharType="begin"/>
        </w:r>
        <w:r w:rsidR="002B2DAA" w:rsidRPr="002B2DAA">
          <w:rPr>
            <w:noProof/>
            <w:webHidden/>
            <w:sz w:val="20"/>
          </w:rPr>
          <w:instrText xml:space="preserve"> PAGEREF _Toc420332064 \h </w:instrText>
        </w:r>
        <w:r w:rsidR="002B2DAA" w:rsidRPr="002B2DAA">
          <w:rPr>
            <w:noProof/>
            <w:webHidden/>
            <w:sz w:val="20"/>
          </w:rPr>
        </w:r>
        <w:r w:rsidR="002B2DAA" w:rsidRPr="002B2DAA">
          <w:rPr>
            <w:noProof/>
            <w:webHidden/>
            <w:sz w:val="20"/>
          </w:rPr>
          <w:fldChar w:fldCharType="separate"/>
        </w:r>
        <w:r w:rsidR="00316060">
          <w:rPr>
            <w:noProof/>
            <w:webHidden/>
            <w:sz w:val="20"/>
          </w:rPr>
          <w:t>131</w:t>
        </w:r>
        <w:r w:rsidR="002B2DAA" w:rsidRPr="002B2DAA">
          <w:rPr>
            <w:noProof/>
            <w:webHidden/>
            <w:sz w:val="20"/>
          </w:rPr>
          <w:fldChar w:fldCharType="end"/>
        </w:r>
      </w:hyperlink>
    </w:p>
    <w:p w:rsidR="00E82283" w:rsidRDefault="00B80A05" w:rsidP="002B2DAA">
      <w:pPr>
        <w:tabs>
          <w:tab w:val="left" w:pos="567"/>
          <w:tab w:val="left" w:pos="880"/>
          <w:tab w:val="right" w:leader="dot" w:pos="9345"/>
        </w:tabs>
        <w:spacing w:before="80" w:after="80" w:line="240" w:lineRule="auto"/>
        <w:rPr>
          <w:b/>
          <w:noProof/>
        </w:rPr>
      </w:pPr>
      <w:r w:rsidRPr="002B2DAA">
        <w:rPr>
          <w:b/>
          <w:noProof/>
          <w:sz w:val="20"/>
        </w:rPr>
        <w:fldChar w:fldCharType="end"/>
      </w:r>
    </w:p>
    <w:p w:rsidR="006E430C" w:rsidRDefault="006E430C">
      <w:pPr>
        <w:spacing w:line="240" w:lineRule="auto"/>
        <w:jc w:val="left"/>
        <w:rPr>
          <w:b/>
          <w:noProof/>
        </w:rPr>
      </w:pPr>
      <w:r>
        <w:rPr>
          <w:b/>
          <w:noProof/>
        </w:rPr>
        <w:br w:type="page"/>
      </w:r>
    </w:p>
    <w:p w:rsidR="006E430C" w:rsidRDefault="006E430C" w:rsidP="006E430C">
      <w:pPr>
        <w:autoSpaceDE w:val="0"/>
        <w:autoSpaceDN w:val="0"/>
        <w:adjustRightInd w:val="0"/>
        <w:spacing w:before="120" w:after="120" w:line="240" w:lineRule="auto"/>
        <w:jc w:val="left"/>
        <w:rPr>
          <w:rFonts w:cs="Arial"/>
          <w:b/>
          <w:szCs w:val="22"/>
        </w:rPr>
      </w:pPr>
      <w:r>
        <w:rPr>
          <w:rFonts w:cs="Arial"/>
          <w:b/>
          <w:szCs w:val="22"/>
        </w:rPr>
        <w:lastRenderedPageBreak/>
        <w:t xml:space="preserve">RELAÇÃO DE </w:t>
      </w:r>
      <w:r w:rsidRPr="00A703D8">
        <w:rPr>
          <w:rFonts w:cs="Arial"/>
          <w:b/>
          <w:szCs w:val="22"/>
        </w:rPr>
        <w:t>DESENHOS</w:t>
      </w:r>
      <w:r>
        <w:rPr>
          <w:rFonts w:cs="Arial"/>
          <w:b/>
          <w:szCs w:val="22"/>
        </w:rPr>
        <w:t xml:space="preserve"> APRESENTADOS</w:t>
      </w:r>
    </w:p>
    <w:p w:rsidR="006E430C" w:rsidRPr="00A703D8" w:rsidRDefault="006E430C" w:rsidP="006E430C">
      <w:pPr>
        <w:autoSpaceDE w:val="0"/>
        <w:autoSpaceDN w:val="0"/>
        <w:adjustRightInd w:val="0"/>
        <w:spacing w:before="120" w:after="120" w:line="240" w:lineRule="auto"/>
        <w:jc w:val="left"/>
        <w:rPr>
          <w:rFonts w:cs="Arial"/>
          <w:b/>
          <w:szCs w:val="22"/>
        </w:rPr>
      </w:pPr>
    </w:p>
    <w:p w:rsidR="006E430C" w:rsidRDefault="0079329A" w:rsidP="0079329A">
      <w:pPr>
        <w:autoSpaceDE w:val="0"/>
        <w:autoSpaceDN w:val="0"/>
        <w:adjustRightInd w:val="0"/>
        <w:spacing w:before="120" w:after="120" w:line="240" w:lineRule="auto"/>
        <w:rPr>
          <w:rFonts w:cs="Arial"/>
          <w:szCs w:val="22"/>
        </w:rPr>
      </w:pPr>
      <w:r>
        <w:rPr>
          <w:rFonts w:cs="Arial"/>
          <w:szCs w:val="22"/>
        </w:rPr>
        <w:t>n</w:t>
      </w:r>
      <w:r>
        <w:rPr>
          <w:rFonts w:cs="Arial"/>
          <w:szCs w:val="22"/>
          <w:u w:val="single"/>
          <w:vertAlign w:val="superscript"/>
        </w:rPr>
        <w:t>o</w:t>
      </w:r>
      <w:r>
        <w:rPr>
          <w:rFonts w:cs="Arial"/>
          <w:szCs w:val="22"/>
        </w:rPr>
        <w:t xml:space="preserve"> </w:t>
      </w:r>
      <w:r w:rsidR="006E430C">
        <w:rPr>
          <w:rFonts w:cs="Arial"/>
          <w:szCs w:val="22"/>
        </w:rPr>
        <w:t>7188-45-GL-810-DE-00159</w:t>
      </w:r>
      <w:r>
        <w:rPr>
          <w:rFonts w:cs="Arial"/>
          <w:szCs w:val="22"/>
        </w:rPr>
        <w:tab/>
      </w:r>
      <w:r w:rsidR="006E430C">
        <w:rPr>
          <w:rFonts w:cs="Arial"/>
          <w:szCs w:val="22"/>
        </w:rPr>
        <w:t xml:space="preserve">Estudo de Relocação das Estradas de Terra ADA </w:t>
      </w:r>
      <w:r>
        <w:rPr>
          <w:rFonts w:cs="Arial"/>
          <w:szCs w:val="22"/>
        </w:rPr>
        <w:t>-</w:t>
      </w:r>
      <w:r w:rsidR="006E430C">
        <w:rPr>
          <w:rFonts w:cs="Arial"/>
          <w:szCs w:val="22"/>
        </w:rPr>
        <w:t xml:space="preserve"> Pedreira</w:t>
      </w:r>
    </w:p>
    <w:p w:rsidR="006E430C" w:rsidRDefault="0079329A" w:rsidP="0079329A">
      <w:pPr>
        <w:autoSpaceDE w:val="0"/>
        <w:autoSpaceDN w:val="0"/>
        <w:adjustRightInd w:val="0"/>
        <w:spacing w:before="120" w:after="120" w:line="240" w:lineRule="auto"/>
        <w:ind w:left="3402" w:hanging="3402"/>
        <w:rPr>
          <w:rFonts w:cs="Arial"/>
          <w:szCs w:val="22"/>
        </w:rPr>
      </w:pPr>
      <w:r>
        <w:rPr>
          <w:rFonts w:cs="Arial"/>
          <w:szCs w:val="22"/>
        </w:rPr>
        <w:t>n</w:t>
      </w:r>
      <w:r>
        <w:rPr>
          <w:rFonts w:cs="Arial"/>
          <w:szCs w:val="22"/>
          <w:u w:val="single"/>
          <w:vertAlign w:val="superscript"/>
        </w:rPr>
        <w:t>o</w:t>
      </w:r>
      <w:r>
        <w:rPr>
          <w:rFonts w:cs="Arial"/>
          <w:szCs w:val="22"/>
        </w:rPr>
        <w:t xml:space="preserve"> </w:t>
      </w:r>
      <w:r w:rsidR="006E430C">
        <w:rPr>
          <w:rFonts w:cs="Arial"/>
          <w:szCs w:val="22"/>
        </w:rPr>
        <w:t>7188-45-GL-810-DE-00160</w:t>
      </w:r>
      <w:r>
        <w:rPr>
          <w:rFonts w:cs="Arial"/>
          <w:szCs w:val="22"/>
        </w:rPr>
        <w:tab/>
      </w:r>
      <w:r w:rsidR="006E430C">
        <w:rPr>
          <w:rFonts w:cs="Arial"/>
          <w:szCs w:val="22"/>
        </w:rPr>
        <w:t xml:space="preserve">Estudo de Relocação das Estradas de Terra ADA </w:t>
      </w:r>
      <w:r>
        <w:rPr>
          <w:rFonts w:cs="Arial"/>
          <w:szCs w:val="22"/>
        </w:rPr>
        <w:t>-</w:t>
      </w:r>
      <w:r w:rsidR="006E430C">
        <w:rPr>
          <w:rFonts w:cs="Arial"/>
          <w:szCs w:val="22"/>
        </w:rPr>
        <w:t xml:space="preserve"> Duas Pontes</w:t>
      </w:r>
    </w:p>
    <w:p w:rsidR="006E430C" w:rsidRDefault="0079329A" w:rsidP="0079329A">
      <w:pPr>
        <w:autoSpaceDE w:val="0"/>
        <w:autoSpaceDN w:val="0"/>
        <w:adjustRightInd w:val="0"/>
        <w:spacing w:before="120" w:after="120" w:line="240" w:lineRule="auto"/>
        <w:ind w:left="3402" w:hanging="3402"/>
        <w:rPr>
          <w:rFonts w:cs="Arial"/>
          <w:szCs w:val="22"/>
        </w:rPr>
      </w:pPr>
      <w:r>
        <w:rPr>
          <w:rFonts w:cs="Arial"/>
          <w:szCs w:val="22"/>
        </w:rPr>
        <w:t>n</w:t>
      </w:r>
      <w:r>
        <w:rPr>
          <w:rFonts w:cs="Arial"/>
          <w:szCs w:val="22"/>
          <w:u w:val="single"/>
          <w:vertAlign w:val="superscript"/>
        </w:rPr>
        <w:t>o</w:t>
      </w:r>
      <w:r>
        <w:rPr>
          <w:rFonts w:cs="Arial"/>
          <w:szCs w:val="22"/>
        </w:rPr>
        <w:t xml:space="preserve"> </w:t>
      </w:r>
      <w:r w:rsidR="006E430C">
        <w:rPr>
          <w:rFonts w:cs="Arial"/>
          <w:szCs w:val="22"/>
        </w:rPr>
        <w:t>7188-45-GL-810-DE-00161</w:t>
      </w:r>
      <w:r>
        <w:rPr>
          <w:rFonts w:cs="Arial"/>
          <w:szCs w:val="22"/>
        </w:rPr>
        <w:tab/>
      </w:r>
      <w:r w:rsidR="006E430C">
        <w:rPr>
          <w:rFonts w:cs="Arial"/>
          <w:szCs w:val="22"/>
        </w:rPr>
        <w:t xml:space="preserve">Estudo de Implantação e Remanejamento das Redes Elétricas  ADA </w:t>
      </w:r>
      <w:r>
        <w:rPr>
          <w:rFonts w:cs="Arial"/>
          <w:szCs w:val="22"/>
        </w:rPr>
        <w:t>-</w:t>
      </w:r>
      <w:r w:rsidR="006E430C">
        <w:rPr>
          <w:rFonts w:cs="Arial"/>
          <w:szCs w:val="22"/>
        </w:rPr>
        <w:t xml:space="preserve"> Pedreira </w:t>
      </w:r>
    </w:p>
    <w:p w:rsidR="006E430C" w:rsidRPr="00B25511" w:rsidRDefault="0079329A" w:rsidP="0079329A">
      <w:pPr>
        <w:autoSpaceDE w:val="0"/>
        <w:autoSpaceDN w:val="0"/>
        <w:adjustRightInd w:val="0"/>
        <w:spacing w:before="120" w:after="120" w:line="240" w:lineRule="auto"/>
        <w:ind w:left="3402" w:hanging="3402"/>
        <w:rPr>
          <w:rFonts w:cs="Arial"/>
          <w:szCs w:val="22"/>
        </w:rPr>
      </w:pPr>
      <w:r>
        <w:rPr>
          <w:rFonts w:cs="Arial"/>
          <w:szCs w:val="22"/>
        </w:rPr>
        <w:t>n</w:t>
      </w:r>
      <w:r>
        <w:rPr>
          <w:rFonts w:cs="Arial"/>
          <w:szCs w:val="22"/>
          <w:u w:val="single"/>
          <w:vertAlign w:val="superscript"/>
        </w:rPr>
        <w:t>o</w:t>
      </w:r>
      <w:r>
        <w:rPr>
          <w:rFonts w:cs="Arial"/>
          <w:szCs w:val="22"/>
        </w:rPr>
        <w:t xml:space="preserve"> </w:t>
      </w:r>
      <w:r w:rsidR="006E430C">
        <w:rPr>
          <w:rFonts w:cs="Arial"/>
          <w:szCs w:val="22"/>
        </w:rPr>
        <w:t>7188-45-GL-810-DE-00162</w:t>
      </w:r>
      <w:r>
        <w:rPr>
          <w:rFonts w:cs="Arial"/>
          <w:szCs w:val="22"/>
        </w:rPr>
        <w:tab/>
      </w:r>
      <w:r w:rsidR="006E430C">
        <w:rPr>
          <w:rFonts w:cs="Arial"/>
          <w:szCs w:val="22"/>
        </w:rPr>
        <w:t xml:space="preserve">Estudo de Implantação e Remanejamento das Redes Elétricas  ADA </w:t>
      </w:r>
      <w:r>
        <w:rPr>
          <w:rFonts w:cs="Arial"/>
          <w:szCs w:val="22"/>
        </w:rPr>
        <w:t>-</w:t>
      </w:r>
      <w:r w:rsidR="006E430C">
        <w:rPr>
          <w:rFonts w:cs="Arial"/>
          <w:szCs w:val="22"/>
        </w:rPr>
        <w:t xml:space="preserve"> Duas Pontes</w:t>
      </w:r>
    </w:p>
    <w:p w:rsidR="006E430C" w:rsidRDefault="0079329A" w:rsidP="0079329A">
      <w:pPr>
        <w:autoSpaceDE w:val="0"/>
        <w:autoSpaceDN w:val="0"/>
        <w:adjustRightInd w:val="0"/>
        <w:spacing w:before="120" w:after="120" w:line="240" w:lineRule="auto"/>
        <w:rPr>
          <w:rFonts w:cs="Arial"/>
          <w:szCs w:val="22"/>
        </w:rPr>
      </w:pPr>
      <w:r>
        <w:rPr>
          <w:rFonts w:cs="Arial"/>
          <w:szCs w:val="22"/>
        </w:rPr>
        <w:t>n</w:t>
      </w:r>
      <w:r>
        <w:rPr>
          <w:rFonts w:cs="Arial"/>
          <w:szCs w:val="22"/>
          <w:u w:val="single"/>
          <w:vertAlign w:val="superscript"/>
        </w:rPr>
        <w:t>o</w:t>
      </w:r>
      <w:r>
        <w:rPr>
          <w:rFonts w:cs="Arial"/>
          <w:szCs w:val="22"/>
        </w:rPr>
        <w:t xml:space="preserve"> </w:t>
      </w:r>
      <w:r w:rsidR="006E430C">
        <w:rPr>
          <w:rFonts w:cs="Arial"/>
          <w:szCs w:val="22"/>
        </w:rPr>
        <w:t>7188-46-GL-830-DE-00341</w:t>
      </w:r>
      <w:r>
        <w:rPr>
          <w:rFonts w:cs="Arial"/>
          <w:szCs w:val="22"/>
        </w:rPr>
        <w:tab/>
      </w:r>
      <w:r w:rsidR="006E430C">
        <w:rPr>
          <w:rFonts w:cs="Arial"/>
          <w:szCs w:val="22"/>
        </w:rPr>
        <w:t>Acesso as Barragens</w:t>
      </w:r>
    </w:p>
    <w:p w:rsidR="005F5487" w:rsidRDefault="005F5487" w:rsidP="00F056DF">
      <w:pPr>
        <w:tabs>
          <w:tab w:val="left" w:pos="567"/>
          <w:tab w:val="left" w:pos="880"/>
          <w:tab w:val="right" w:leader="dot" w:pos="9345"/>
        </w:tabs>
        <w:spacing w:before="120" w:after="120" w:line="240" w:lineRule="auto"/>
        <w:rPr>
          <w:b/>
          <w:noProof/>
        </w:rPr>
      </w:pPr>
    </w:p>
    <w:p w:rsidR="00E82283" w:rsidRDefault="00E82283" w:rsidP="00F056DF">
      <w:pPr>
        <w:tabs>
          <w:tab w:val="left" w:pos="567"/>
          <w:tab w:val="left" w:pos="880"/>
          <w:tab w:val="right" w:leader="dot" w:pos="9345"/>
        </w:tabs>
        <w:spacing w:before="120" w:after="120" w:line="240" w:lineRule="auto"/>
        <w:rPr>
          <w:b/>
          <w:noProof/>
        </w:rPr>
      </w:pPr>
    </w:p>
    <w:p w:rsidR="00E82283" w:rsidRPr="005F5487" w:rsidRDefault="00E82283" w:rsidP="00F056DF">
      <w:pPr>
        <w:tabs>
          <w:tab w:val="left" w:pos="567"/>
          <w:tab w:val="left" w:pos="880"/>
          <w:tab w:val="right" w:leader="dot" w:pos="9345"/>
        </w:tabs>
        <w:spacing w:before="120" w:after="120" w:line="240" w:lineRule="auto"/>
        <w:rPr>
          <w:b/>
          <w:noProof/>
        </w:rPr>
      </w:pPr>
    </w:p>
    <w:p w:rsidR="005F5487" w:rsidRDefault="005F5487" w:rsidP="005F5487">
      <w:pPr>
        <w:tabs>
          <w:tab w:val="left" w:pos="851"/>
          <w:tab w:val="right" w:leader="dot" w:pos="9345"/>
        </w:tabs>
        <w:spacing w:before="80" w:after="80"/>
        <w:jc w:val="left"/>
        <w:rPr>
          <w:rFonts w:ascii="Calibri" w:hAnsi="Calibri"/>
          <w:b/>
          <w:noProof/>
          <w:szCs w:val="22"/>
        </w:rPr>
        <w:sectPr w:rsidR="005F5487" w:rsidSect="0092000C">
          <w:headerReference w:type="default" r:id="rId14"/>
          <w:footerReference w:type="default" r:id="rId15"/>
          <w:pgSz w:w="11907" w:h="16840" w:code="9"/>
          <w:pgMar w:top="1701" w:right="851" w:bottom="1134" w:left="1701" w:header="567" w:footer="567" w:gutter="0"/>
          <w:pgNumType w:fmt="lowerRoman" w:start="1"/>
          <w:cols w:space="720"/>
        </w:sectPr>
      </w:pPr>
    </w:p>
    <w:p w:rsidR="009E1DAB" w:rsidRPr="009E1DAB" w:rsidRDefault="009E1DAB" w:rsidP="005F5487">
      <w:pPr>
        <w:pStyle w:val="Ttulo"/>
        <w:jc w:val="left"/>
        <w:rPr>
          <w:rFonts w:eastAsia="Calibri"/>
          <w:lang w:eastAsia="en-US"/>
        </w:rPr>
      </w:pPr>
      <w:bookmarkStart w:id="30" w:name="_Toc418758189"/>
      <w:bookmarkStart w:id="31" w:name="_Toc418758791"/>
      <w:bookmarkStart w:id="32" w:name="_Toc419813556"/>
      <w:r w:rsidRPr="009E1DAB">
        <w:rPr>
          <w:rFonts w:eastAsia="Calibri"/>
          <w:lang w:eastAsia="en-US"/>
        </w:rPr>
        <w:lastRenderedPageBreak/>
        <w:t>APRESENTAÇÃO</w:t>
      </w:r>
      <w:bookmarkEnd w:id="30"/>
      <w:bookmarkEnd w:id="31"/>
      <w:bookmarkEnd w:id="32"/>
    </w:p>
    <w:p w:rsidR="001A2171" w:rsidRPr="005F5487" w:rsidRDefault="009E1DAB" w:rsidP="005F5487">
      <w:pPr>
        <w:pStyle w:val="CorpodetextoBodyTextCharCharCharCharCharCharCharCharBodyTextCharBodyTextCharCharCharCharCharCharCharCharCharCharCharCharCharCharChar"/>
        <w:rPr>
          <w:spacing w:val="-2"/>
        </w:rPr>
      </w:pPr>
      <w:r w:rsidRPr="005F5487">
        <w:rPr>
          <w:spacing w:val="-2"/>
        </w:rPr>
        <w:t>Este Volume apresenta os resultados da Avaliação de Impactos A</w:t>
      </w:r>
      <w:r w:rsidR="001A2171">
        <w:rPr>
          <w:spacing w:val="-2"/>
        </w:rPr>
        <w:t>mbientais, a proposição de P</w:t>
      </w:r>
      <w:r w:rsidRPr="005F5487">
        <w:rPr>
          <w:spacing w:val="-2"/>
        </w:rPr>
        <w:t>rogramas de Monitoramento, Mitigação e Compensação Ambiental, além do pro</w:t>
      </w:r>
      <w:r w:rsidR="001A2171">
        <w:rPr>
          <w:spacing w:val="-2"/>
        </w:rPr>
        <w:t>gnóstico da Qualidade Ambiental futura, com e sem a presença dos empreendimentos</w:t>
      </w:r>
      <w:r w:rsidRPr="005F5487">
        <w:rPr>
          <w:spacing w:val="-2"/>
        </w:rPr>
        <w:t xml:space="preserve">, como parte integrante dos Estudos de Impacto Ambiental – EIA e do Relatório de Impacto Ambiental – RIMA, realizado no âmbito do licenciamento ambiental das Barragens Pedreira e Duas Pontes, conforme Parecer Técnico </w:t>
      </w:r>
      <w:r w:rsidR="005F5487">
        <w:rPr>
          <w:spacing w:val="-2"/>
        </w:rPr>
        <w:t>n</w:t>
      </w:r>
      <w:r w:rsidR="005F5487" w:rsidRPr="005F5487">
        <w:rPr>
          <w:spacing w:val="-2"/>
          <w:u w:val="single"/>
          <w:vertAlign w:val="superscript"/>
        </w:rPr>
        <w:t>o</w:t>
      </w:r>
      <w:r w:rsidR="005F5487">
        <w:rPr>
          <w:spacing w:val="-2"/>
        </w:rPr>
        <w:t xml:space="preserve"> </w:t>
      </w:r>
      <w:r w:rsidRPr="005F5487">
        <w:rPr>
          <w:spacing w:val="-2"/>
        </w:rPr>
        <w:t>410/13/IE</w:t>
      </w:r>
      <w:r w:rsidRPr="001A2171">
        <w:rPr>
          <w:spacing w:val="-2"/>
        </w:rPr>
        <w:t>, emitido pela Companhia Ambiental do Estado de São Paulo</w:t>
      </w:r>
      <w:r w:rsidR="001A2171" w:rsidRPr="001A2171">
        <w:rPr>
          <w:spacing w:val="-2"/>
        </w:rPr>
        <w:t xml:space="preserve"> - CETESB</w:t>
      </w:r>
      <w:r w:rsidRPr="001A2171">
        <w:rPr>
          <w:spacing w:val="-2"/>
        </w:rPr>
        <w:t>, em 28 de agosto de 2013</w:t>
      </w:r>
      <w:r w:rsidR="001A2171" w:rsidRPr="001A2171">
        <w:rPr>
          <w:spacing w:val="-2"/>
        </w:rPr>
        <w:t>,</w:t>
      </w:r>
      <w:r w:rsidRPr="001A2171">
        <w:rPr>
          <w:spacing w:val="-2"/>
        </w:rPr>
        <w:t xml:space="preserve"> </w:t>
      </w:r>
      <w:r w:rsidR="001A2171" w:rsidRPr="001A2171">
        <w:rPr>
          <w:rFonts w:eastAsia="Calibri"/>
          <w:szCs w:val="22"/>
          <w:lang w:val="fr-FR" w:eastAsia="en-US"/>
        </w:rPr>
        <w:t>relativo</w:t>
      </w:r>
      <w:r w:rsidR="001A2171" w:rsidRPr="00ED1A3F">
        <w:rPr>
          <w:rFonts w:eastAsia="Calibri"/>
          <w:szCs w:val="22"/>
          <w:lang w:val="fr-FR" w:eastAsia="en-US"/>
        </w:rPr>
        <w:t xml:space="preserve"> ao Processo Impacto 189/13</w:t>
      </w:r>
      <w:r w:rsidR="001A2171">
        <w:rPr>
          <w:rFonts w:eastAsia="Calibri"/>
          <w:szCs w:val="22"/>
          <w:lang w:val="fr-FR" w:eastAsia="en-US"/>
        </w:rPr>
        <w:t xml:space="preserve">. </w:t>
      </w:r>
      <w:r w:rsidRPr="005F5487">
        <w:rPr>
          <w:spacing w:val="-2"/>
        </w:rPr>
        <w:t>Finalizando os estudos são apresentadas as conclusões e recomendações da equipe técnica responsável pelo EIA/RIMA, juntamente com a composição da mesma.</w:t>
      </w:r>
    </w:p>
    <w:p w:rsidR="009E1DAB" w:rsidRPr="005F5487" w:rsidRDefault="009E1DAB" w:rsidP="005F5487">
      <w:pPr>
        <w:pStyle w:val="CorpodetextoBodyTextCharCharCharCharCharCharCharCharBodyTextCharBodyTextCharCharCharCharCharCharCharCharCharCharCharCharCharCharChar"/>
        <w:rPr>
          <w:spacing w:val="-2"/>
        </w:rPr>
      </w:pPr>
      <w:r w:rsidRPr="005F5487">
        <w:rPr>
          <w:spacing w:val="-2"/>
        </w:rPr>
        <w:t>O presente relatório visa relacionar os potenciais impactos às características ambientais das áreas de influência dos empreendimentos e contextualizá-los à luz da implantação das barragens Pedreira e Duas Pontes. Este procedimento englobou a identificação, previsão e avaliação dos impactos significativos, aliada a proposição de medidas mitigadoras e compensatórias além de programas de monitoramento, em atendimento à legislação vigente. Por fim são apresentadas as conclusões e recomendações dos estudos e a equipe técnica responsável.</w:t>
      </w:r>
    </w:p>
    <w:p w:rsidR="009E1DAB" w:rsidRPr="005F5487" w:rsidRDefault="009E1DAB" w:rsidP="005F5487">
      <w:pPr>
        <w:pStyle w:val="CorpodetextoBodyTextCharCharCharCharCharCharCharCharBodyTextCharBodyTextCharCharCharCharCharCharCharCharCharCharCharCharCharCharChar"/>
        <w:rPr>
          <w:spacing w:val="-2"/>
        </w:rPr>
      </w:pPr>
      <w:r w:rsidRPr="005F5487">
        <w:rPr>
          <w:spacing w:val="-2"/>
        </w:rPr>
        <w:t>De modo a, também, abarcar as questões formuladas no âmbito do Termo de Referência do DAEE</w:t>
      </w:r>
      <w:r w:rsidRPr="005F5487">
        <w:rPr>
          <w:spacing w:val="-2"/>
        </w:rPr>
        <w:footnoteReference w:id="1"/>
      </w:r>
      <w:r w:rsidRPr="005F5487">
        <w:rPr>
          <w:spacing w:val="-2"/>
        </w:rPr>
        <w:t>, o presente estudo analisou as relações de dependência e sinergia entre os empreendimentos e a qualidade ambiental futura da região, segundo o detalhamento exigido para caracterização dos aspectos ambientais significativos; a natureza e porte das barragens em projeto; a relevância dos fatores geradores e impacto; a localização prevista para implantação dos empreendimentos e os critérios exigidos pelo empreendedor e pelos órgãos ambientais.</w:t>
      </w:r>
    </w:p>
    <w:p w:rsidR="009E1DAB" w:rsidRPr="005F5487" w:rsidRDefault="009E1DAB" w:rsidP="005F5487">
      <w:pPr>
        <w:pStyle w:val="CorpodetextoBodyTextCharCharCharCharCharCharCharCharBodyTextCharBodyTextCharCharCharCharCharCharCharCharCharCharCharCharCharCharChar"/>
        <w:rPr>
          <w:rFonts w:cs="Arial"/>
          <w:spacing w:val="-2"/>
        </w:rPr>
      </w:pPr>
      <w:r w:rsidRPr="005F5487">
        <w:rPr>
          <w:rFonts w:cs="Arial"/>
          <w:spacing w:val="-2"/>
        </w:rPr>
        <w:t xml:space="preserve">Os resultados do processo de avaliação dos impactos ambientais das barragens Pedreira e Duas Pontes estão descritos conforme estrutura a seguir: </w:t>
      </w:r>
    </w:p>
    <w:p w:rsidR="001A2171" w:rsidRPr="00D15BE9" w:rsidRDefault="009E1DAB" w:rsidP="005F5487">
      <w:pPr>
        <w:pStyle w:val="CorpodetextoBodyTextCharCharCharCharCharCharCharCharBodyTextCharBodyTextCharCharCharCharCharCharCharCharCharCharCharCharCharCharChar"/>
        <w:ind w:left="1134" w:hanging="1134"/>
        <w:rPr>
          <w:rFonts w:cs="Arial"/>
          <w:spacing w:val="-2"/>
        </w:rPr>
      </w:pPr>
      <w:r w:rsidRPr="00D15BE9">
        <w:rPr>
          <w:rFonts w:cs="Arial"/>
          <w:spacing w:val="-2"/>
        </w:rPr>
        <w:t>Tomo 1:</w:t>
      </w:r>
      <w:r w:rsidR="005F5487" w:rsidRPr="00D15BE9">
        <w:rPr>
          <w:rFonts w:cs="Arial"/>
          <w:spacing w:val="-2"/>
        </w:rPr>
        <w:tab/>
      </w:r>
      <w:r w:rsidR="00D15BE9">
        <w:rPr>
          <w:rFonts w:cs="Arial"/>
          <w:spacing w:val="-2"/>
        </w:rPr>
        <w:t>São a</w:t>
      </w:r>
      <w:r w:rsidRPr="00D15BE9">
        <w:rPr>
          <w:rFonts w:cs="Arial"/>
          <w:spacing w:val="-2"/>
        </w:rPr>
        <w:t>presenta</w:t>
      </w:r>
      <w:r w:rsidR="00D15BE9">
        <w:rPr>
          <w:rFonts w:cs="Arial"/>
          <w:spacing w:val="-2"/>
        </w:rPr>
        <w:t>dos</w:t>
      </w:r>
      <w:r w:rsidRPr="00D15BE9">
        <w:rPr>
          <w:rFonts w:cs="Arial"/>
          <w:spacing w:val="-2"/>
        </w:rPr>
        <w:t xml:space="preserve"> os procedimentos e referenciais metodológicos gerais adotados para a caracterização e avaliação dos impactos ambientais identificados, para os meios físico, biótico e socioeconômico das barragens Pedreira e Duas Pontes</w:t>
      </w:r>
      <w:r w:rsidR="001A2171" w:rsidRPr="00D15BE9">
        <w:rPr>
          <w:rFonts w:cs="Arial"/>
          <w:spacing w:val="-2"/>
        </w:rPr>
        <w:t>.</w:t>
      </w:r>
    </w:p>
    <w:p w:rsidR="009E1DAB" w:rsidRPr="00D15BE9" w:rsidRDefault="00D15BE9" w:rsidP="001A2171">
      <w:pPr>
        <w:pStyle w:val="CorpodetextoBodyTextCharCharCharCharCharCharCharCharBodyTextCharBodyTextCharCharCharCharCharCharCharCharCharCharCharCharCharCharChar"/>
        <w:ind w:left="1134"/>
        <w:rPr>
          <w:rFonts w:cs="Arial"/>
          <w:spacing w:val="-2"/>
        </w:rPr>
      </w:pPr>
      <w:r w:rsidRPr="00D15BE9">
        <w:rPr>
          <w:rFonts w:cs="Arial"/>
          <w:spacing w:val="-2"/>
        </w:rPr>
        <w:t>Nos Itens relativos aos Programas Ambientais s</w:t>
      </w:r>
      <w:r w:rsidR="001A2171" w:rsidRPr="00D15BE9">
        <w:rPr>
          <w:rFonts w:cs="Arial"/>
          <w:spacing w:val="-2"/>
        </w:rPr>
        <w:t>ão apresentadas as</w:t>
      </w:r>
      <w:r w:rsidR="009E1DAB" w:rsidRPr="00D15BE9">
        <w:rPr>
          <w:rFonts w:cs="Arial"/>
          <w:spacing w:val="-2"/>
        </w:rPr>
        <w:t xml:space="preserve"> medidas preventivas, mitigadoras e compensatórias, definidas para </w:t>
      </w:r>
      <w:r w:rsidRPr="00D15BE9">
        <w:rPr>
          <w:rFonts w:cs="Arial"/>
          <w:spacing w:val="-2"/>
        </w:rPr>
        <w:t>os</w:t>
      </w:r>
      <w:r w:rsidR="009E1DAB" w:rsidRPr="00D15BE9">
        <w:rPr>
          <w:rFonts w:cs="Arial"/>
          <w:spacing w:val="-2"/>
        </w:rPr>
        <w:t xml:space="preserve"> impacto</w:t>
      </w:r>
      <w:r w:rsidRPr="00D15BE9">
        <w:rPr>
          <w:rFonts w:cs="Arial"/>
          <w:spacing w:val="-2"/>
        </w:rPr>
        <w:t>s</w:t>
      </w:r>
      <w:r w:rsidR="009E1DAB" w:rsidRPr="00D15BE9">
        <w:rPr>
          <w:rFonts w:cs="Arial"/>
          <w:spacing w:val="-2"/>
        </w:rPr>
        <w:t xml:space="preserve"> identificado</w:t>
      </w:r>
      <w:r w:rsidRPr="00D15BE9">
        <w:rPr>
          <w:rFonts w:cs="Arial"/>
          <w:spacing w:val="-2"/>
        </w:rPr>
        <w:t>s</w:t>
      </w:r>
      <w:r w:rsidR="009E1DAB" w:rsidRPr="00D15BE9">
        <w:rPr>
          <w:rFonts w:cs="Arial"/>
          <w:spacing w:val="-2"/>
        </w:rPr>
        <w:t>, assim como detalhamento das propostas de planos e programas ambientais e de monitoramento, que deverão subsidiar as etapas seguin</w:t>
      </w:r>
      <w:r w:rsidRPr="00D15BE9">
        <w:rPr>
          <w:rFonts w:cs="Arial"/>
          <w:spacing w:val="-2"/>
        </w:rPr>
        <w:t>tes do licenciamento ambiental.</w:t>
      </w:r>
    </w:p>
    <w:p w:rsidR="009E1DAB" w:rsidRDefault="00D15BE9" w:rsidP="00D15BE9">
      <w:pPr>
        <w:pStyle w:val="CorpodetextoBodyTextCharCharCharCharCharCharCharCharBodyTextCharBodyTextCharCharCharCharCharCharCharCharCharCharCharCharCharCharChar"/>
        <w:ind w:left="1134"/>
        <w:rPr>
          <w:rFonts w:cs="Arial"/>
          <w:spacing w:val="-2"/>
        </w:rPr>
      </w:pPr>
      <w:r w:rsidRPr="00D15BE9">
        <w:rPr>
          <w:rFonts w:cs="Arial"/>
          <w:spacing w:val="-2"/>
        </w:rPr>
        <w:t>Por último se a</w:t>
      </w:r>
      <w:r w:rsidR="009E1DAB" w:rsidRPr="00D15BE9">
        <w:rPr>
          <w:rFonts w:cs="Arial"/>
          <w:spacing w:val="-2"/>
        </w:rPr>
        <w:t>presenta o prognóstico da qualidade ambiental futura da implantação das Barragens Pedreira e Duas Pontes, as respectivas conclusões e recomendações na operação destes empreendimentos e a equipe técnica responsável pela elaboração do EIA.</w:t>
      </w:r>
    </w:p>
    <w:p w:rsidR="00D15BE9" w:rsidRDefault="00D15BE9" w:rsidP="00D15BE9">
      <w:pPr>
        <w:pStyle w:val="CorpodetextoBodyTextCharCharCharCharCharCharCharCharBodyTextCharBodyTextCharCharCharCharCharCharCharCharCharCharCharCharCharCharChar"/>
        <w:rPr>
          <w:rFonts w:cs="Arial"/>
          <w:spacing w:val="-2"/>
        </w:rPr>
      </w:pPr>
    </w:p>
    <w:p w:rsidR="0041080F" w:rsidRDefault="0041080F" w:rsidP="0041080F">
      <w:pPr>
        <w:pStyle w:val="Item-Bolinha"/>
        <w:numPr>
          <w:ilvl w:val="0"/>
          <w:numId w:val="0"/>
        </w:numPr>
        <w:rPr>
          <w:rFonts w:cs="Arial"/>
        </w:rPr>
      </w:pPr>
    </w:p>
    <w:p w:rsidR="0041080F" w:rsidRPr="00790734" w:rsidRDefault="0041080F" w:rsidP="0041080F">
      <w:pPr>
        <w:pStyle w:val="Item-Bolinha"/>
        <w:numPr>
          <w:ilvl w:val="0"/>
          <w:numId w:val="0"/>
        </w:numPr>
        <w:rPr>
          <w:szCs w:val="22"/>
        </w:rPr>
      </w:pPr>
      <w:r w:rsidRPr="00790734">
        <w:rPr>
          <w:rFonts w:cs="Arial"/>
        </w:rPr>
        <w:t xml:space="preserve">O </w:t>
      </w:r>
      <w:r w:rsidRPr="0069246A">
        <w:rPr>
          <w:rFonts w:cs="Arial"/>
        </w:rPr>
        <w:t xml:space="preserve">Desenho </w:t>
      </w:r>
      <w:r w:rsidR="0079329A">
        <w:rPr>
          <w:rFonts w:cs="Arial"/>
          <w:szCs w:val="22"/>
        </w:rPr>
        <w:t>n</w:t>
      </w:r>
      <w:r w:rsidR="0079329A">
        <w:rPr>
          <w:rFonts w:cs="Arial"/>
          <w:szCs w:val="22"/>
          <w:u w:val="single"/>
          <w:vertAlign w:val="superscript"/>
        </w:rPr>
        <w:t>o</w:t>
      </w:r>
      <w:r w:rsidR="0079329A">
        <w:rPr>
          <w:rFonts w:cs="Arial"/>
          <w:szCs w:val="22"/>
        </w:rPr>
        <w:t xml:space="preserve"> </w:t>
      </w:r>
      <w:r w:rsidRPr="0069246A">
        <w:rPr>
          <w:rFonts w:cs="Arial"/>
        </w:rPr>
        <w:t>7188-49-GL-830-DE-000</w:t>
      </w:r>
      <w:r>
        <w:rPr>
          <w:rFonts w:cs="Arial"/>
        </w:rPr>
        <w:t>29, a seguir, mostra a localização do empreendimento.</w:t>
      </w:r>
    </w:p>
    <w:p w:rsidR="0041080F" w:rsidRPr="005F5487" w:rsidRDefault="0041080F" w:rsidP="00D15BE9">
      <w:pPr>
        <w:pStyle w:val="CorpodetextoBodyTextCharCharCharCharCharCharCharCharBodyTextCharBodyTextCharCharCharCharCharCharCharCharCharCharCharCharCharCharChar"/>
        <w:rPr>
          <w:rFonts w:cs="Arial"/>
          <w:spacing w:val="-2"/>
        </w:rPr>
      </w:pPr>
    </w:p>
    <w:p w:rsidR="009E1DAB" w:rsidRPr="005F5487" w:rsidRDefault="009E1DAB" w:rsidP="00431A97">
      <w:pPr>
        <w:pStyle w:val="Ttulo"/>
        <w:numPr>
          <w:ilvl w:val="0"/>
          <w:numId w:val="34"/>
        </w:numPr>
        <w:jc w:val="both"/>
      </w:pPr>
      <w:bookmarkStart w:id="33" w:name="_Toc418758190"/>
      <w:bookmarkStart w:id="34" w:name="_Toc418758792"/>
      <w:bookmarkStart w:id="35" w:name="_Toc419813557"/>
      <w:r w:rsidRPr="005F5487">
        <w:lastRenderedPageBreak/>
        <w:t>IDENTIFICAÇÃO E AVALIAÇÃO DOS IMPACTOS AMBIENTAIS DAs Barragens pedreira e duas pontes</w:t>
      </w:r>
      <w:bookmarkEnd w:id="33"/>
      <w:bookmarkEnd w:id="34"/>
      <w:bookmarkEnd w:id="35"/>
    </w:p>
    <w:p w:rsidR="009E1DAB" w:rsidRPr="009E1DAB" w:rsidRDefault="009E1DAB" w:rsidP="00431A97">
      <w:pPr>
        <w:pStyle w:val="Ttulo2"/>
        <w:numPr>
          <w:ilvl w:val="1"/>
          <w:numId w:val="34"/>
        </w:numPr>
        <w:spacing w:before="240" w:after="240" w:line="240" w:lineRule="auto"/>
      </w:pPr>
      <w:bookmarkStart w:id="36" w:name="_Toc418758191"/>
      <w:bookmarkStart w:id="37" w:name="_Toc418758793"/>
      <w:bookmarkStart w:id="38" w:name="_Toc419813558"/>
      <w:r w:rsidRPr="009E1DAB">
        <w:t>Considerações Iniciais</w:t>
      </w:r>
      <w:bookmarkEnd w:id="36"/>
      <w:bookmarkEnd w:id="37"/>
      <w:bookmarkEnd w:id="38"/>
    </w:p>
    <w:p w:rsidR="009E1DAB" w:rsidRPr="005F5487" w:rsidRDefault="009E1DAB" w:rsidP="009E1DAB">
      <w:pPr>
        <w:autoSpaceDE w:val="0"/>
        <w:autoSpaceDN w:val="0"/>
        <w:adjustRightInd w:val="0"/>
        <w:spacing w:before="120" w:after="120" w:line="240" w:lineRule="auto"/>
        <w:rPr>
          <w:rStyle w:val="CorpodetextoChar1"/>
        </w:rPr>
      </w:pPr>
      <w:r w:rsidRPr="005F5487">
        <w:rPr>
          <w:rStyle w:val="CorpodetextoChar1"/>
        </w:rPr>
        <w:t xml:space="preserve">A Avaliação de Impacto Ambiental é definida como uma série de procedimentos legais, institucionais e técnico-científicos, com o objetivo de contribuir para a verificação da viabilidade ambiental do planejamento, implantação e operação de determinado empreendimento, por meio da caracterização de impactos ambientais potenciais (Bitar et al.,1998). </w:t>
      </w:r>
    </w:p>
    <w:p w:rsidR="009E1DAB" w:rsidRPr="005F5487" w:rsidRDefault="009E1DAB" w:rsidP="009E1DAB">
      <w:pPr>
        <w:autoSpaceDE w:val="0"/>
        <w:autoSpaceDN w:val="0"/>
        <w:adjustRightInd w:val="0"/>
        <w:spacing w:before="120" w:after="120" w:line="240" w:lineRule="auto"/>
        <w:rPr>
          <w:rStyle w:val="CorpodetextoChar1"/>
        </w:rPr>
      </w:pPr>
      <w:r w:rsidRPr="005F5487">
        <w:rPr>
          <w:rStyle w:val="CorpodetextoChar1"/>
        </w:rPr>
        <w:t xml:space="preserve">Segundo o Artigo 1º da </w:t>
      </w:r>
      <w:r w:rsidR="00EA17F5" w:rsidRPr="005F5487">
        <w:rPr>
          <w:rStyle w:val="CorpodetextoChar1"/>
        </w:rPr>
        <w:t>Resolução</w:t>
      </w:r>
      <w:r w:rsidRPr="005F5487">
        <w:rPr>
          <w:rStyle w:val="CorpodetextoChar1"/>
        </w:rPr>
        <w:t xml:space="preserve"> n.º 001/86 do Conselho Nacional do Meio Ambiente (</w:t>
      </w:r>
      <w:r w:rsidR="00504078">
        <w:rPr>
          <w:rStyle w:val="CorpodetextoChar1"/>
        </w:rPr>
        <w:t>CONAMA</w:t>
      </w:r>
      <w:r w:rsidRPr="005F5487">
        <w:rPr>
          <w:rStyle w:val="CorpodetextoChar1"/>
        </w:rPr>
        <w:t>), Impacto Ambiental é: "qualquer alteração das propriedades físicas, químicas, biológicas do meio ambiente, causada por qualquer forma de matéria ou energia resultante das atividades humanas que afetem diretamente ou indiretamente: a saúde, a segurança, e o bem estar da população; as atividades sociais e econômicas; a biota; as condições estéticas e sanitárias ambientais; e a qualidade dos recursos ambientais".</w:t>
      </w:r>
    </w:p>
    <w:p w:rsidR="009E1DAB" w:rsidRPr="005F5487" w:rsidRDefault="009E1DAB" w:rsidP="009E1DAB">
      <w:pPr>
        <w:autoSpaceDE w:val="0"/>
        <w:autoSpaceDN w:val="0"/>
        <w:adjustRightInd w:val="0"/>
        <w:spacing w:before="120" w:after="120" w:line="240" w:lineRule="auto"/>
        <w:rPr>
          <w:rStyle w:val="CorpodetextoChar1"/>
        </w:rPr>
      </w:pPr>
      <w:r w:rsidRPr="005F5487">
        <w:rPr>
          <w:rStyle w:val="CorpodetextoChar1"/>
        </w:rPr>
        <w:t>Assim, é possível distribuir os impactos ambientais conforme segue:</w:t>
      </w:r>
    </w:p>
    <w:p w:rsidR="009E1DAB" w:rsidRPr="009E1DAB" w:rsidRDefault="009E1DAB" w:rsidP="005F5487">
      <w:pPr>
        <w:pStyle w:val="Item-Bolinha"/>
      </w:pPr>
      <w:r w:rsidRPr="009E1DAB">
        <w:t>Impactos no meio físico, abrangendo efeitos sobre o clima e as condições meteorológicas; a geologia e os recursos minerais; a geomorfologia; os solos e sua capacidade de uso e os recursos hídricos;</w:t>
      </w:r>
    </w:p>
    <w:p w:rsidR="009E1DAB" w:rsidRPr="009E1DAB" w:rsidRDefault="009E1DAB" w:rsidP="005F5487">
      <w:pPr>
        <w:pStyle w:val="Item-Bolinha"/>
      </w:pPr>
      <w:r w:rsidRPr="009E1DAB">
        <w:t>Impactos no meio biótico, relativos aos efeitos sobre os ecossistemas terrestres, os ecossistemas de transição (caso sejam significativos) e os ecossistemas aquáticos;</w:t>
      </w:r>
    </w:p>
    <w:p w:rsidR="009E1DAB" w:rsidRPr="009E1DAB" w:rsidRDefault="009E1DAB" w:rsidP="005F5487">
      <w:pPr>
        <w:pStyle w:val="Item-Bolinha"/>
      </w:pPr>
      <w:r w:rsidRPr="009E1DAB">
        <w:t>Impactos sobre o meio socioeconômico, referentes aos efeitos incidentes sobre o uso e ocupação do solo; a população; a qualidade de vida e as atividades econômicas.</w:t>
      </w:r>
    </w:p>
    <w:p w:rsidR="009E1DAB" w:rsidRPr="005F5487" w:rsidRDefault="009E1DAB" w:rsidP="009E1DAB">
      <w:pPr>
        <w:autoSpaceDE w:val="0"/>
        <w:autoSpaceDN w:val="0"/>
        <w:adjustRightInd w:val="0"/>
        <w:spacing w:before="120" w:after="120" w:line="240" w:lineRule="auto"/>
        <w:rPr>
          <w:rStyle w:val="CorpodetextoChar1"/>
        </w:rPr>
      </w:pPr>
      <w:r w:rsidRPr="005F5487">
        <w:rPr>
          <w:rStyle w:val="CorpodetextoChar1"/>
        </w:rPr>
        <w:t xml:space="preserve">Este capítulo descreve, portanto, os procedimentos metodológicos adotados na identificação, caracterização e avaliação dos impactos ambientais associados ao projeto, à implantação e à operação das barragens Pedreira e Duas Pontes. Apresenta, também, a avaliação de impactos ambientais cumulativos e/ou sinérgicos e a proposição de medidas mitigadoras e compensatórias. </w:t>
      </w:r>
    </w:p>
    <w:p w:rsidR="009E1DAB" w:rsidRPr="009E1DAB" w:rsidRDefault="009E1DAB" w:rsidP="00431A97">
      <w:pPr>
        <w:pStyle w:val="Ttulo2"/>
        <w:numPr>
          <w:ilvl w:val="1"/>
          <w:numId w:val="34"/>
        </w:numPr>
        <w:spacing w:before="240" w:after="240" w:line="240" w:lineRule="auto"/>
      </w:pPr>
      <w:bookmarkStart w:id="39" w:name="_Toc418758192"/>
      <w:bookmarkStart w:id="40" w:name="_Toc418758794"/>
      <w:bookmarkStart w:id="41" w:name="_Toc419813559"/>
      <w:r w:rsidRPr="009E1DAB">
        <w:t>Procedimentos Metodológicos</w:t>
      </w:r>
      <w:bookmarkEnd w:id="39"/>
      <w:bookmarkEnd w:id="40"/>
      <w:bookmarkEnd w:id="41"/>
    </w:p>
    <w:p w:rsidR="009E1DAB" w:rsidRPr="009E1DAB" w:rsidRDefault="009E1DAB" w:rsidP="009E1DAB">
      <w:pPr>
        <w:autoSpaceDE w:val="0"/>
        <w:autoSpaceDN w:val="0"/>
        <w:adjustRightInd w:val="0"/>
        <w:spacing w:before="120" w:after="120" w:line="240" w:lineRule="auto"/>
        <w:rPr>
          <w:rFonts w:cs="Arial"/>
          <w:szCs w:val="22"/>
        </w:rPr>
      </w:pPr>
      <w:r w:rsidRPr="009E1DAB">
        <w:rPr>
          <w:rFonts w:cs="Arial"/>
          <w:szCs w:val="22"/>
        </w:rPr>
        <w:t>Os procedimentos metodológicos adotados buscaram identificar e sistematizar os impactos ambientais decorrentes de diversas ações da implantação das barragens, sobretudo aquelas potencialmente causadoras de modificações e transformações no meio ambiente. Quando passíveis de mensuração, tais impactos foram qualificados e quantificados. Para tanto, foram estipuladas previamente as seguintes etapas:</w:t>
      </w:r>
    </w:p>
    <w:p w:rsidR="009E1DAB" w:rsidRPr="009E1DAB" w:rsidRDefault="009E1DAB" w:rsidP="005F5487">
      <w:pPr>
        <w:pStyle w:val="Item-Bolinha"/>
      </w:pPr>
      <w:r w:rsidRPr="009E1DAB">
        <w:t>Definição dos fatores e/ou ações geradoras de potenciais impactos ambientais;</w:t>
      </w:r>
    </w:p>
    <w:p w:rsidR="009E1DAB" w:rsidRPr="009E1DAB" w:rsidRDefault="009E1DAB" w:rsidP="005F5487">
      <w:pPr>
        <w:pStyle w:val="Item-Bolinha"/>
      </w:pPr>
      <w:r w:rsidRPr="009E1DAB">
        <w:t>Indicação e descrição dos aspectos ambientais relevantes que poderão ser afetados pelos empreendimentos;</w:t>
      </w:r>
    </w:p>
    <w:p w:rsidR="009E1DAB" w:rsidRPr="009E1DAB" w:rsidRDefault="009E1DAB" w:rsidP="005F5487">
      <w:pPr>
        <w:pStyle w:val="Item-Bolinha"/>
      </w:pPr>
      <w:r w:rsidRPr="009E1DAB">
        <w:t>Elaboração da Matriz de Interação de Impactos e identificação dos impactos ambientais significativos;</w:t>
      </w:r>
    </w:p>
    <w:p w:rsidR="009E1DAB" w:rsidRPr="009E1DAB" w:rsidRDefault="009E1DAB" w:rsidP="005F5487">
      <w:pPr>
        <w:pStyle w:val="Item-Bolinha"/>
      </w:pPr>
      <w:r w:rsidRPr="009E1DAB">
        <w:t>Definição dos atributos de avaliação dos potenciais impactos ambientais;</w:t>
      </w:r>
    </w:p>
    <w:p w:rsidR="009E1DAB" w:rsidRPr="009E1DAB" w:rsidRDefault="009E1DAB" w:rsidP="009E1DAB">
      <w:pPr>
        <w:autoSpaceDE w:val="0"/>
        <w:autoSpaceDN w:val="0"/>
        <w:adjustRightInd w:val="0"/>
        <w:spacing w:before="120" w:after="120" w:line="240" w:lineRule="auto"/>
        <w:rPr>
          <w:rFonts w:cs="Arial"/>
          <w:szCs w:val="22"/>
        </w:rPr>
      </w:pPr>
      <w:r w:rsidRPr="009E1DAB">
        <w:rPr>
          <w:rFonts w:cs="Arial"/>
          <w:szCs w:val="22"/>
        </w:rPr>
        <w:t xml:space="preserve">Em seguida foi efetuada a análise, mensuração e avaliação dos potenciais impactos. Finalizando o capítulo é apresentada a avaliação do impactos cumulativos e sinérgicos. </w:t>
      </w:r>
    </w:p>
    <w:p w:rsidR="009E1DAB" w:rsidRPr="009E1DAB" w:rsidRDefault="009E1DAB" w:rsidP="00431A97">
      <w:pPr>
        <w:pStyle w:val="Ttulo3"/>
        <w:numPr>
          <w:ilvl w:val="2"/>
          <w:numId w:val="34"/>
        </w:numPr>
        <w:ind w:left="567" w:hanging="567"/>
      </w:pPr>
      <w:bookmarkStart w:id="42" w:name="_Toc418758193"/>
      <w:bookmarkStart w:id="43" w:name="_Toc418758795"/>
      <w:bookmarkStart w:id="44" w:name="_Toc419813560"/>
      <w:r w:rsidRPr="009E1DAB">
        <w:lastRenderedPageBreak/>
        <w:t xml:space="preserve">Definição </w:t>
      </w:r>
      <w:r w:rsidR="003F7A2B">
        <w:t>d</w:t>
      </w:r>
      <w:r w:rsidR="003F7A2B" w:rsidRPr="009E1DAB">
        <w:t xml:space="preserve">e Fatores Geradores </w:t>
      </w:r>
      <w:r w:rsidR="003F7A2B">
        <w:t>d</w:t>
      </w:r>
      <w:r w:rsidR="003F7A2B" w:rsidRPr="009E1DAB">
        <w:t>e Impactos Ambientais</w:t>
      </w:r>
      <w:bookmarkEnd w:id="42"/>
      <w:bookmarkEnd w:id="43"/>
      <w:bookmarkEnd w:id="44"/>
    </w:p>
    <w:p w:rsidR="009E1DAB" w:rsidRPr="003F7A2B" w:rsidRDefault="009E1DAB" w:rsidP="009E1DAB">
      <w:pPr>
        <w:autoSpaceDE w:val="0"/>
        <w:autoSpaceDN w:val="0"/>
        <w:adjustRightInd w:val="0"/>
        <w:spacing w:before="120" w:after="120" w:line="240" w:lineRule="auto"/>
        <w:rPr>
          <w:rFonts w:cs="Arial"/>
          <w:szCs w:val="22"/>
        </w:rPr>
      </w:pPr>
      <w:r w:rsidRPr="003F7A2B">
        <w:rPr>
          <w:rFonts w:cs="Arial"/>
          <w:szCs w:val="22"/>
        </w:rPr>
        <w:t xml:space="preserve">Os impactos ambientais, definidos a partir da relação entre os processos e os mecanismos desencadeados pela ação antrópica, no caso, da implantação de barramentos e as suas relações de causa e efeito no meio ambiente; foram verificados nas diferentes fases de implantação dos empreendimentos, frente às fragilidades das áreas de influência.  Os </w:t>
      </w:r>
      <w:r w:rsidRPr="003F7A2B">
        <w:rPr>
          <w:rFonts w:cs="Arial"/>
          <w:b/>
          <w:szCs w:val="22"/>
        </w:rPr>
        <w:t>Fatores Geradores de Impactos</w:t>
      </w:r>
      <w:r w:rsidRPr="003F7A2B">
        <w:rPr>
          <w:rFonts w:cs="Arial"/>
          <w:szCs w:val="22"/>
        </w:rPr>
        <w:t xml:space="preserve"> considerados nesta análise se referem, portanto, as ações potencialmente modificadoras do meio ambiente, definidas como geradoras de interferências em uma dada área de influência e/ou nos aspectos ambientais diagnosticados.</w:t>
      </w:r>
      <w:r w:rsidR="007849EB" w:rsidRPr="003F7A2B">
        <w:rPr>
          <w:rFonts w:cs="Arial"/>
          <w:szCs w:val="22"/>
        </w:rPr>
        <w:t xml:space="preserve"> </w:t>
      </w:r>
    </w:p>
    <w:p w:rsidR="009E1DAB" w:rsidRPr="0092000C" w:rsidRDefault="009E1DAB" w:rsidP="009E1DAB">
      <w:pPr>
        <w:autoSpaceDE w:val="0"/>
        <w:autoSpaceDN w:val="0"/>
        <w:adjustRightInd w:val="0"/>
        <w:spacing w:before="120" w:after="120" w:line="240" w:lineRule="auto"/>
        <w:rPr>
          <w:rFonts w:cs="Arial"/>
          <w:szCs w:val="22"/>
        </w:rPr>
      </w:pPr>
      <w:r w:rsidRPr="003F7A2B">
        <w:rPr>
          <w:rFonts w:cs="Arial"/>
          <w:szCs w:val="22"/>
        </w:rPr>
        <w:t xml:space="preserve">Deste modo, visando levantar os fatores geradores de impactos referentes aos barramentos pretendidos, considerou-se que o planejamento, à implantação e à operação destes empreendimentos são variáveis dependentes, uma vez que se vinculam à natureza e ao porte dos mesmos. Os fatores definidos para planejamento, implantação e operação das barragens Pedreira e Duas Pontes foram listados </w:t>
      </w:r>
      <w:r w:rsidRPr="0092000C">
        <w:rPr>
          <w:rFonts w:cs="Arial"/>
          <w:szCs w:val="22"/>
        </w:rPr>
        <w:t>no Quadro 1.2.1.</w:t>
      </w:r>
    </w:p>
    <w:p w:rsidR="009E1DAB" w:rsidRPr="0092000C" w:rsidRDefault="0092000C" w:rsidP="0092000C">
      <w:pPr>
        <w:pStyle w:val="Legenda"/>
        <w:spacing w:line="240" w:lineRule="auto"/>
        <w:jc w:val="center"/>
        <w:rPr>
          <w:rFonts w:cs="Arial"/>
          <w:b w:val="0"/>
          <w:i w:val="0"/>
          <w:szCs w:val="22"/>
        </w:rPr>
      </w:pPr>
      <w:bookmarkStart w:id="45" w:name="_Toc420316438"/>
      <w:r w:rsidRPr="0092000C">
        <w:rPr>
          <w:i w:val="0"/>
        </w:rPr>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1.2</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1</w:t>
      </w:r>
      <w:r w:rsidR="00B80A05">
        <w:rPr>
          <w:i w:val="0"/>
        </w:rPr>
        <w:fldChar w:fldCharType="end"/>
      </w:r>
      <w:r>
        <w:rPr>
          <w:i w:val="0"/>
        </w:rPr>
        <w:t xml:space="preserve"> </w:t>
      </w:r>
      <w:r w:rsidRPr="0092000C">
        <w:rPr>
          <w:rFonts w:cs="Arial"/>
          <w:b w:val="0"/>
          <w:i w:val="0"/>
          <w:szCs w:val="22"/>
        </w:rPr>
        <w:t xml:space="preserve">- </w:t>
      </w:r>
      <w:r w:rsidR="009E1DAB" w:rsidRPr="0092000C">
        <w:rPr>
          <w:rFonts w:cs="Arial"/>
          <w:b w:val="0"/>
          <w:i w:val="0"/>
          <w:szCs w:val="22"/>
        </w:rPr>
        <w:t xml:space="preserve">Fatores Geradores de Impacto no planejamento, implantação e operação das </w:t>
      </w:r>
      <w:r w:rsidR="003F7A2B" w:rsidRPr="0092000C">
        <w:rPr>
          <w:rFonts w:cs="Arial"/>
          <w:b w:val="0"/>
          <w:i w:val="0"/>
          <w:szCs w:val="22"/>
        </w:rPr>
        <w:t>B</w:t>
      </w:r>
      <w:r w:rsidR="009E1DAB" w:rsidRPr="0092000C">
        <w:rPr>
          <w:rFonts w:cs="Arial"/>
          <w:b w:val="0"/>
          <w:i w:val="0"/>
          <w:szCs w:val="22"/>
        </w:rPr>
        <w:t>arragens Pedreira e Duas Pontes</w:t>
      </w:r>
      <w:bookmarkEnd w:id="45"/>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0A0" w:firstRow="1" w:lastRow="0" w:firstColumn="1" w:lastColumn="0" w:noHBand="0" w:noVBand="0"/>
      </w:tblPr>
      <w:tblGrid>
        <w:gridCol w:w="2762"/>
        <w:gridCol w:w="6733"/>
      </w:tblGrid>
      <w:tr w:rsidR="009E1DAB" w:rsidRPr="009E1DAB" w:rsidTr="003F7A2B">
        <w:trPr>
          <w:jc w:val="center"/>
        </w:trPr>
        <w:tc>
          <w:tcPr>
            <w:tcW w:w="0" w:type="auto"/>
            <w:shd w:val="clear" w:color="auto" w:fill="D9D9D9" w:themeFill="background1" w:themeFillShade="D9"/>
            <w:vAlign w:val="center"/>
          </w:tcPr>
          <w:p w:rsidR="009E1DAB" w:rsidRPr="009E1DAB" w:rsidRDefault="009E1DAB" w:rsidP="009E1DAB">
            <w:pPr>
              <w:spacing w:before="120" w:after="60" w:line="240" w:lineRule="auto"/>
              <w:jc w:val="center"/>
              <w:rPr>
                <w:b/>
                <w:sz w:val="20"/>
                <w:lang w:eastAsia="zh-CN"/>
              </w:rPr>
            </w:pPr>
            <w:r w:rsidRPr="009E1DAB">
              <w:rPr>
                <w:b/>
                <w:sz w:val="20"/>
                <w:lang w:eastAsia="zh-CN"/>
              </w:rPr>
              <w:t>FASES DOS EMPREENDIMENTOS</w:t>
            </w:r>
          </w:p>
        </w:tc>
        <w:tc>
          <w:tcPr>
            <w:tcW w:w="0" w:type="auto"/>
            <w:shd w:val="clear" w:color="auto" w:fill="D9D9D9" w:themeFill="background1" w:themeFillShade="D9"/>
            <w:vAlign w:val="center"/>
          </w:tcPr>
          <w:p w:rsidR="009E1DAB" w:rsidRPr="009E1DAB" w:rsidRDefault="009E1DAB" w:rsidP="009E1DAB">
            <w:pPr>
              <w:spacing w:before="120" w:after="120" w:line="240" w:lineRule="auto"/>
              <w:jc w:val="center"/>
              <w:rPr>
                <w:b/>
                <w:sz w:val="20"/>
                <w:lang w:eastAsia="zh-CN"/>
              </w:rPr>
            </w:pPr>
            <w:r w:rsidRPr="009E1DAB">
              <w:rPr>
                <w:b/>
                <w:sz w:val="20"/>
                <w:lang w:eastAsia="zh-CN"/>
              </w:rPr>
              <w:t>FATORES GERADORES DE IMPACTOS</w:t>
            </w:r>
          </w:p>
        </w:tc>
      </w:tr>
      <w:tr w:rsidR="009E1DAB" w:rsidRPr="009E1DAB" w:rsidTr="009E1DAB">
        <w:trPr>
          <w:jc w:val="center"/>
        </w:trPr>
        <w:tc>
          <w:tcPr>
            <w:tcW w:w="0" w:type="auto"/>
            <w:vAlign w:val="center"/>
          </w:tcPr>
          <w:p w:rsidR="009E1DAB" w:rsidRPr="009E1DAB" w:rsidRDefault="009E1DAB" w:rsidP="009E1DAB">
            <w:pPr>
              <w:spacing w:after="120" w:line="240" w:lineRule="auto"/>
              <w:jc w:val="center"/>
              <w:rPr>
                <w:b/>
                <w:sz w:val="20"/>
                <w:lang w:eastAsia="zh-CN"/>
              </w:rPr>
            </w:pPr>
            <w:r w:rsidRPr="009E1DAB">
              <w:rPr>
                <w:b/>
                <w:sz w:val="20"/>
                <w:lang w:eastAsia="zh-CN"/>
              </w:rPr>
              <w:t>PLANEJAMENTO</w:t>
            </w:r>
          </w:p>
        </w:tc>
        <w:tc>
          <w:tcPr>
            <w:tcW w:w="0" w:type="auto"/>
          </w:tcPr>
          <w:p w:rsidR="009E1DAB" w:rsidRPr="009E1DAB" w:rsidRDefault="009E1DAB" w:rsidP="00431A97">
            <w:pPr>
              <w:numPr>
                <w:ilvl w:val="0"/>
                <w:numId w:val="30"/>
              </w:numPr>
              <w:spacing w:line="240" w:lineRule="auto"/>
              <w:rPr>
                <w:sz w:val="20"/>
                <w:lang w:eastAsia="zh-CN"/>
              </w:rPr>
            </w:pPr>
            <w:r w:rsidRPr="009E1DAB">
              <w:rPr>
                <w:sz w:val="20"/>
                <w:lang w:eastAsia="zh-CN"/>
              </w:rPr>
              <w:t>Divulgação do</w:t>
            </w:r>
            <w:r w:rsidR="00FD4160">
              <w:rPr>
                <w:sz w:val="20"/>
                <w:lang w:eastAsia="zh-CN"/>
              </w:rPr>
              <w:t>s</w:t>
            </w:r>
            <w:r w:rsidRPr="009E1DAB">
              <w:rPr>
                <w:sz w:val="20"/>
                <w:lang w:eastAsia="zh-CN"/>
              </w:rPr>
              <w:t xml:space="preserve"> empreendimento</w:t>
            </w:r>
            <w:r w:rsidR="00FD4160">
              <w:rPr>
                <w:sz w:val="20"/>
                <w:lang w:eastAsia="zh-CN"/>
              </w:rPr>
              <w:t>s</w:t>
            </w:r>
          </w:p>
          <w:p w:rsidR="009E1DAB" w:rsidRPr="009E1DAB" w:rsidRDefault="009E1DAB" w:rsidP="00431A97">
            <w:pPr>
              <w:numPr>
                <w:ilvl w:val="0"/>
                <w:numId w:val="30"/>
              </w:numPr>
              <w:spacing w:line="240" w:lineRule="auto"/>
              <w:rPr>
                <w:sz w:val="20"/>
                <w:lang w:eastAsia="zh-CN"/>
              </w:rPr>
            </w:pPr>
            <w:r w:rsidRPr="009E1DAB">
              <w:rPr>
                <w:sz w:val="20"/>
                <w:lang w:eastAsia="zh-CN"/>
              </w:rPr>
              <w:t xml:space="preserve">Levantamento de campo (dados socioeconômicos, bióticos, investigações geológico-geotécnicas, etc.) </w:t>
            </w:r>
          </w:p>
          <w:p w:rsidR="009E1DAB" w:rsidRPr="009E1DAB" w:rsidRDefault="009E1DAB" w:rsidP="00431A97">
            <w:pPr>
              <w:numPr>
                <w:ilvl w:val="0"/>
                <w:numId w:val="30"/>
              </w:numPr>
              <w:spacing w:line="240" w:lineRule="auto"/>
              <w:rPr>
                <w:sz w:val="20"/>
                <w:lang w:eastAsia="zh-CN"/>
              </w:rPr>
            </w:pPr>
            <w:r w:rsidRPr="009E1DAB">
              <w:rPr>
                <w:sz w:val="20"/>
                <w:lang w:eastAsia="zh-CN"/>
              </w:rPr>
              <w:t>Início do processo de oficialização/comunicação da necessidade de desocupação dos imóveis afetados/desapropriado</w:t>
            </w:r>
            <w:r w:rsidRPr="009E1DAB">
              <w:rPr>
                <w:sz w:val="20"/>
              </w:rPr>
              <w:t>s</w:t>
            </w:r>
          </w:p>
        </w:tc>
      </w:tr>
      <w:tr w:rsidR="009E1DAB" w:rsidRPr="009E1DAB" w:rsidTr="009E1DAB">
        <w:trPr>
          <w:jc w:val="center"/>
        </w:trPr>
        <w:tc>
          <w:tcPr>
            <w:tcW w:w="0" w:type="auto"/>
            <w:vAlign w:val="center"/>
          </w:tcPr>
          <w:p w:rsidR="009E1DAB" w:rsidRPr="009E1DAB" w:rsidRDefault="009E1DAB" w:rsidP="009E1DAB">
            <w:pPr>
              <w:spacing w:after="120" w:line="240" w:lineRule="auto"/>
              <w:jc w:val="center"/>
              <w:rPr>
                <w:b/>
                <w:sz w:val="20"/>
                <w:lang w:eastAsia="zh-CN"/>
              </w:rPr>
            </w:pPr>
            <w:r w:rsidRPr="009E1DAB">
              <w:rPr>
                <w:b/>
                <w:sz w:val="20"/>
                <w:lang w:eastAsia="zh-CN"/>
              </w:rPr>
              <w:t>IMPLANTAÇÃO</w:t>
            </w:r>
          </w:p>
        </w:tc>
        <w:tc>
          <w:tcPr>
            <w:tcW w:w="0" w:type="auto"/>
          </w:tcPr>
          <w:p w:rsidR="009E1DAB" w:rsidRPr="009E1DAB" w:rsidRDefault="009E1DAB" w:rsidP="00431A97">
            <w:pPr>
              <w:numPr>
                <w:ilvl w:val="0"/>
                <w:numId w:val="30"/>
              </w:numPr>
              <w:spacing w:line="240" w:lineRule="auto"/>
              <w:rPr>
                <w:sz w:val="20"/>
                <w:lang w:eastAsia="zh-CN"/>
              </w:rPr>
            </w:pPr>
            <w:r w:rsidRPr="009E1DAB">
              <w:rPr>
                <w:sz w:val="20"/>
                <w:lang w:eastAsia="zh-CN"/>
              </w:rPr>
              <w:t>Aquisição de terras/desapropriação</w:t>
            </w:r>
          </w:p>
          <w:p w:rsidR="009E1DAB" w:rsidRPr="009E1DAB" w:rsidRDefault="009E1DAB" w:rsidP="00431A97">
            <w:pPr>
              <w:numPr>
                <w:ilvl w:val="0"/>
                <w:numId w:val="30"/>
              </w:numPr>
              <w:spacing w:line="240" w:lineRule="auto"/>
              <w:rPr>
                <w:sz w:val="20"/>
                <w:lang w:eastAsia="zh-CN"/>
              </w:rPr>
            </w:pPr>
            <w:r w:rsidRPr="009E1DAB">
              <w:rPr>
                <w:sz w:val="20"/>
                <w:lang w:eastAsia="zh-CN"/>
              </w:rPr>
              <w:t>Relocação de população</w:t>
            </w:r>
            <w:r w:rsidR="00FD4160">
              <w:rPr>
                <w:sz w:val="20"/>
                <w:lang w:eastAsia="zh-CN"/>
              </w:rPr>
              <w:t xml:space="preserve"> afetada</w:t>
            </w:r>
          </w:p>
          <w:p w:rsidR="009E1DAB" w:rsidRPr="009E1DAB" w:rsidRDefault="009E1DAB" w:rsidP="00431A97">
            <w:pPr>
              <w:numPr>
                <w:ilvl w:val="0"/>
                <w:numId w:val="30"/>
              </w:numPr>
              <w:spacing w:line="240" w:lineRule="auto"/>
              <w:rPr>
                <w:sz w:val="20"/>
                <w:lang w:eastAsia="zh-CN"/>
              </w:rPr>
            </w:pPr>
            <w:r w:rsidRPr="009E1DAB">
              <w:rPr>
                <w:sz w:val="20"/>
                <w:lang w:eastAsia="zh-CN"/>
              </w:rPr>
              <w:t>Mobilização e contratação de mão de obra</w:t>
            </w:r>
          </w:p>
          <w:p w:rsidR="009E1DAB" w:rsidRPr="009E1DAB" w:rsidRDefault="009E1DAB" w:rsidP="00431A97">
            <w:pPr>
              <w:numPr>
                <w:ilvl w:val="0"/>
                <w:numId w:val="30"/>
              </w:numPr>
              <w:spacing w:line="240" w:lineRule="auto"/>
              <w:rPr>
                <w:sz w:val="20"/>
                <w:lang w:eastAsia="zh-CN"/>
              </w:rPr>
            </w:pPr>
            <w:r w:rsidRPr="009E1DAB">
              <w:rPr>
                <w:sz w:val="20"/>
                <w:lang w:eastAsia="zh-CN"/>
              </w:rPr>
              <w:t>Implantação e operação de acessos, canteiros e instalações provisórias</w:t>
            </w:r>
          </w:p>
          <w:p w:rsidR="009E1DAB" w:rsidRPr="009E1DAB" w:rsidRDefault="009E1DAB" w:rsidP="00431A97">
            <w:pPr>
              <w:numPr>
                <w:ilvl w:val="0"/>
                <w:numId w:val="30"/>
              </w:numPr>
              <w:spacing w:line="240" w:lineRule="auto"/>
              <w:rPr>
                <w:sz w:val="20"/>
                <w:lang w:eastAsia="zh-CN"/>
              </w:rPr>
            </w:pPr>
            <w:r w:rsidRPr="009E1DAB">
              <w:rPr>
                <w:sz w:val="20"/>
                <w:lang w:eastAsia="zh-CN"/>
              </w:rPr>
              <w:t>Abertura e exploração de áreas de empréstimo e bota-foras</w:t>
            </w:r>
          </w:p>
          <w:p w:rsidR="009E1DAB" w:rsidRPr="009E1DAB" w:rsidRDefault="009E1DAB" w:rsidP="00431A97">
            <w:pPr>
              <w:numPr>
                <w:ilvl w:val="0"/>
                <w:numId w:val="30"/>
              </w:numPr>
              <w:spacing w:line="240" w:lineRule="auto"/>
              <w:rPr>
                <w:sz w:val="20"/>
                <w:lang w:eastAsia="zh-CN"/>
              </w:rPr>
            </w:pPr>
            <w:r w:rsidRPr="009E1DAB">
              <w:rPr>
                <w:sz w:val="20"/>
                <w:lang w:eastAsia="zh-CN"/>
              </w:rPr>
              <w:t>Tráfego/movimentação de veículos pesados, máquinas e/ou equipamentos</w:t>
            </w:r>
          </w:p>
          <w:p w:rsidR="009E1DAB" w:rsidRPr="009E1DAB" w:rsidRDefault="009E1DAB" w:rsidP="00431A97">
            <w:pPr>
              <w:numPr>
                <w:ilvl w:val="0"/>
                <w:numId w:val="30"/>
              </w:numPr>
              <w:spacing w:line="240" w:lineRule="auto"/>
              <w:rPr>
                <w:sz w:val="20"/>
                <w:lang w:eastAsia="zh-CN"/>
              </w:rPr>
            </w:pPr>
            <w:r w:rsidRPr="009E1DAB">
              <w:rPr>
                <w:sz w:val="20"/>
                <w:lang w:eastAsia="zh-CN"/>
              </w:rPr>
              <w:t>Manutenções corretivas/operações de abastecimento dos veículos e equipamentos</w:t>
            </w:r>
          </w:p>
          <w:p w:rsidR="009E1DAB" w:rsidRPr="009E1DAB" w:rsidRDefault="009E1DAB" w:rsidP="00431A97">
            <w:pPr>
              <w:numPr>
                <w:ilvl w:val="0"/>
                <w:numId w:val="30"/>
              </w:numPr>
              <w:spacing w:line="240" w:lineRule="auto"/>
              <w:rPr>
                <w:sz w:val="20"/>
                <w:lang w:eastAsia="zh-CN"/>
              </w:rPr>
            </w:pPr>
            <w:r w:rsidRPr="009E1DAB">
              <w:rPr>
                <w:sz w:val="20"/>
                <w:lang w:eastAsia="zh-CN"/>
              </w:rPr>
              <w:t>Desvio do rio</w:t>
            </w:r>
          </w:p>
          <w:p w:rsidR="009E1DAB" w:rsidRPr="009E1DAB" w:rsidRDefault="009E1DAB" w:rsidP="00431A97">
            <w:pPr>
              <w:numPr>
                <w:ilvl w:val="0"/>
                <w:numId w:val="30"/>
              </w:numPr>
              <w:spacing w:line="240" w:lineRule="auto"/>
              <w:rPr>
                <w:sz w:val="20"/>
                <w:lang w:eastAsia="zh-CN"/>
              </w:rPr>
            </w:pPr>
            <w:r w:rsidRPr="009E1DAB">
              <w:rPr>
                <w:sz w:val="20"/>
                <w:lang w:eastAsia="zh-CN"/>
              </w:rPr>
              <w:t>Escavações no leito do rio</w:t>
            </w:r>
          </w:p>
          <w:p w:rsidR="009E1DAB" w:rsidRPr="009E1DAB" w:rsidRDefault="009E1DAB" w:rsidP="00431A97">
            <w:pPr>
              <w:numPr>
                <w:ilvl w:val="0"/>
                <w:numId w:val="30"/>
              </w:numPr>
              <w:spacing w:line="240" w:lineRule="auto"/>
              <w:rPr>
                <w:sz w:val="20"/>
                <w:lang w:eastAsia="zh-CN"/>
              </w:rPr>
            </w:pPr>
            <w:r w:rsidRPr="009E1DAB">
              <w:rPr>
                <w:sz w:val="20"/>
                <w:lang w:eastAsia="zh-CN"/>
              </w:rPr>
              <w:t>Implantação de obras civis e equipamentos eletromecânicos</w:t>
            </w:r>
          </w:p>
          <w:p w:rsidR="009E1DAB" w:rsidRPr="009E1DAB" w:rsidRDefault="009E1DAB" w:rsidP="00431A97">
            <w:pPr>
              <w:numPr>
                <w:ilvl w:val="0"/>
                <w:numId w:val="30"/>
              </w:numPr>
              <w:spacing w:line="240" w:lineRule="auto"/>
              <w:rPr>
                <w:sz w:val="20"/>
                <w:lang w:eastAsia="zh-CN"/>
              </w:rPr>
            </w:pPr>
            <w:r w:rsidRPr="009E1DAB">
              <w:rPr>
                <w:sz w:val="20"/>
                <w:lang w:eastAsia="zh-CN"/>
              </w:rPr>
              <w:t>Desmatamento e limpeza da área do reservatório</w:t>
            </w:r>
          </w:p>
          <w:p w:rsidR="009E1DAB" w:rsidRPr="009E1DAB" w:rsidRDefault="009E1DAB" w:rsidP="00431A97">
            <w:pPr>
              <w:numPr>
                <w:ilvl w:val="0"/>
                <w:numId w:val="30"/>
              </w:numPr>
              <w:spacing w:line="240" w:lineRule="auto"/>
              <w:rPr>
                <w:sz w:val="20"/>
                <w:lang w:eastAsia="zh-CN"/>
              </w:rPr>
            </w:pPr>
            <w:r w:rsidRPr="009E1DAB">
              <w:rPr>
                <w:sz w:val="20"/>
                <w:lang w:eastAsia="zh-CN"/>
              </w:rPr>
              <w:t>Dispensa de mão de obra e desmobilização de canteiro de obras e instalações provisórias</w:t>
            </w:r>
          </w:p>
          <w:p w:rsidR="009E1DAB" w:rsidRPr="009E1DAB" w:rsidRDefault="009E1DAB" w:rsidP="00431A97">
            <w:pPr>
              <w:numPr>
                <w:ilvl w:val="0"/>
                <w:numId w:val="30"/>
              </w:numPr>
              <w:spacing w:line="240" w:lineRule="auto"/>
              <w:rPr>
                <w:sz w:val="20"/>
                <w:lang w:eastAsia="zh-CN"/>
              </w:rPr>
            </w:pPr>
            <w:r w:rsidRPr="009E1DAB">
              <w:rPr>
                <w:sz w:val="20"/>
                <w:lang w:eastAsia="zh-CN"/>
              </w:rPr>
              <w:t>Enchimento do reservatório</w:t>
            </w:r>
          </w:p>
        </w:tc>
      </w:tr>
      <w:tr w:rsidR="009E1DAB" w:rsidRPr="009E1DAB" w:rsidTr="009E1DAB">
        <w:trPr>
          <w:trHeight w:val="1061"/>
          <w:jc w:val="center"/>
        </w:trPr>
        <w:tc>
          <w:tcPr>
            <w:tcW w:w="0" w:type="auto"/>
            <w:vAlign w:val="center"/>
          </w:tcPr>
          <w:p w:rsidR="009E1DAB" w:rsidRPr="009E1DAB" w:rsidRDefault="009E1DAB" w:rsidP="009E1DAB">
            <w:pPr>
              <w:spacing w:after="120" w:line="240" w:lineRule="auto"/>
              <w:jc w:val="center"/>
              <w:rPr>
                <w:b/>
                <w:sz w:val="20"/>
                <w:lang w:eastAsia="zh-CN"/>
              </w:rPr>
            </w:pPr>
            <w:r w:rsidRPr="009E1DAB">
              <w:rPr>
                <w:b/>
                <w:sz w:val="20"/>
                <w:lang w:eastAsia="zh-CN"/>
              </w:rPr>
              <w:t>OPERAÇÃO</w:t>
            </w:r>
          </w:p>
        </w:tc>
        <w:tc>
          <w:tcPr>
            <w:tcW w:w="0" w:type="auto"/>
          </w:tcPr>
          <w:p w:rsidR="009E1DAB" w:rsidRPr="009E1DAB" w:rsidRDefault="009E1DAB" w:rsidP="00431A97">
            <w:pPr>
              <w:numPr>
                <w:ilvl w:val="0"/>
                <w:numId w:val="30"/>
              </w:numPr>
              <w:spacing w:line="240" w:lineRule="auto"/>
              <w:rPr>
                <w:sz w:val="20"/>
                <w:lang w:eastAsia="zh-CN"/>
              </w:rPr>
            </w:pPr>
            <w:r w:rsidRPr="009E1DAB">
              <w:rPr>
                <w:sz w:val="20"/>
                <w:lang w:eastAsia="zh-CN"/>
              </w:rPr>
              <w:t xml:space="preserve">Seleção e contratação de mão de obra para operação e manutenção dos reservatórios </w:t>
            </w:r>
          </w:p>
          <w:p w:rsidR="009E1DAB" w:rsidRPr="005E3672" w:rsidRDefault="009E1DAB" w:rsidP="00431A97">
            <w:pPr>
              <w:numPr>
                <w:ilvl w:val="0"/>
                <w:numId w:val="30"/>
              </w:numPr>
              <w:spacing w:line="240" w:lineRule="auto"/>
              <w:rPr>
                <w:sz w:val="20"/>
                <w:lang w:eastAsia="zh-CN"/>
              </w:rPr>
            </w:pPr>
            <w:r w:rsidRPr="005E3672">
              <w:rPr>
                <w:sz w:val="20"/>
                <w:lang w:eastAsia="zh-CN"/>
              </w:rPr>
              <w:t>Operação do reservatório</w:t>
            </w:r>
          </w:p>
          <w:p w:rsidR="009E1DAB" w:rsidRPr="009E1DAB" w:rsidRDefault="009E1DAB" w:rsidP="00431A97">
            <w:pPr>
              <w:numPr>
                <w:ilvl w:val="0"/>
                <w:numId w:val="30"/>
              </w:numPr>
              <w:spacing w:line="240" w:lineRule="auto"/>
              <w:rPr>
                <w:sz w:val="20"/>
                <w:lang w:eastAsia="zh-CN"/>
              </w:rPr>
            </w:pPr>
            <w:r w:rsidRPr="005E3672">
              <w:rPr>
                <w:sz w:val="20"/>
                <w:lang w:eastAsia="zh-CN"/>
              </w:rPr>
              <w:t>Geração de Energia (Potencial)</w:t>
            </w:r>
          </w:p>
        </w:tc>
      </w:tr>
    </w:tbl>
    <w:p w:rsidR="009E1DAB" w:rsidRPr="009E1DAB" w:rsidRDefault="009E1DAB" w:rsidP="00431A97">
      <w:pPr>
        <w:pStyle w:val="Ttulo3"/>
        <w:numPr>
          <w:ilvl w:val="2"/>
          <w:numId w:val="34"/>
        </w:numPr>
        <w:ind w:left="567" w:hanging="567"/>
      </w:pPr>
      <w:bookmarkStart w:id="46" w:name="_Toc418758194"/>
      <w:bookmarkStart w:id="47" w:name="_Toc418758796"/>
      <w:bookmarkStart w:id="48" w:name="_Toc419813561"/>
      <w:r w:rsidRPr="009E1DAB">
        <w:t>Aspectos Ambientais Relevantes</w:t>
      </w:r>
      <w:bookmarkEnd w:id="46"/>
      <w:bookmarkEnd w:id="47"/>
      <w:bookmarkEnd w:id="48"/>
    </w:p>
    <w:p w:rsidR="009E1DAB" w:rsidRPr="0092000C" w:rsidRDefault="009E1DAB" w:rsidP="009E1DAB">
      <w:pPr>
        <w:autoSpaceDE w:val="0"/>
        <w:autoSpaceDN w:val="0"/>
        <w:adjustRightInd w:val="0"/>
        <w:spacing w:before="120" w:after="120" w:line="240" w:lineRule="auto"/>
        <w:rPr>
          <w:rFonts w:cs="Arial"/>
          <w:szCs w:val="22"/>
        </w:rPr>
      </w:pPr>
      <w:r w:rsidRPr="009E1DAB">
        <w:rPr>
          <w:rFonts w:cs="Arial"/>
          <w:szCs w:val="22"/>
        </w:rPr>
        <w:t xml:space="preserve">Os </w:t>
      </w:r>
      <w:r w:rsidRPr="009E1DAB">
        <w:rPr>
          <w:rFonts w:cs="Arial"/>
          <w:b/>
          <w:bCs/>
          <w:i/>
          <w:iCs/>
          <w:szCs w:val="22"/>
        </w:rPr>
        <w:t xml:space="preserve">Aspectos Ambientais Relevantes </w:t>
      </w:r>
      <w:r w:rsidRPr="009E1DAB">
        <w:rPr>
          <w:rFonts w:cs="Arial"/>
          <w:szCs w:val="22"/>
        </w:rPr>
        <w:t xml:space="preserve">representam os componentes do meio ambiente que deverão sofrer transformações no planejamento, implantação ou operação das barragens Pedreira e Duas Pontes, e são decorrentes dos levantamentos e caracterizações do </w:t>
      </w:r>
      <w:r w:rsidRPr="0092000C">
        <w:rPr>
          <w:rFonts w:cs="Arial"/>
          <w:szCs w:val="22"/>
        </w:rPr>
        <w:t xml:space="preserve">diagnóstico ambiental das áreas de influência destes empreendimentos. </w:t>
      </w:r>
    </w:p>
    <w:p w:rsidR="009E1DAB" w:rsidRPr="009E1DAB" w:rsidRDefault="009E1DAB" w:rsidP="009E1DAB">
      <w:pPr>
        <w:autoSpaceDE w:val="0"/>
        <w:autoSpaceDN w:val="0"/>
        <w:adjustRightInd w:val="0"/>
        <w:spacing w:before="120" w:after="120" w:line="240" w:lineRule="auto"/>
        <w:rPr>
          <w:rFonts w:cs="Arial"/>
          <w:szCs w:val="22"/>
        </w:rPr>
      </w:pPr>
      <w:r w:rsidRPr="0092000C">
        <w:rPr>
          <w:rFonts w:cs="Arial"/>
          <w:szCs w:val="22"/>
        </w:rPr>
        <w:t xml:space="preserve">No </w:t>
      </w:r>
      <w:r w:rsidRPr="0092000C">
        <w:rPr>
          <w:rFonts w:cs="Arial"/>
          <w:bCs/>
          <w:szCs w:val="22"/>
        </w:rPr>
        <w:t xml:space="preserve">Quadro 1.2.2 </w:t>
      </w:r>
      <w:r w:rsidRPr="0092000C">
        <w:rPr>
          <w:rFonts w:cs="Arial"/>
          <w:szCs w:val="22"/>
        </w:rPr>
        <w:t>são</w:t>
      </w:r>
      <w:r w:rsidRPr="009E1DAB">
        <w:rPr>
          <w:rFonts w:cs="Arial"/>
          <w:szCs w:val="22"/>
        </w:rPr>
        <w:t xml:space="preserve"> apresentados os Aspectos Ambientais considerados relevantes na avaliação dos impactos, para cada um dos meios analisados no Diagnóstico Ambiental: físico, biótico e socioeconômico. Em seguida são descritos os aspectos listados por meio.</w:t>
      </w:r>
      <w:bookmarkStart w:id="49" w:name="_Toc370897835"/>
    </w:p>
    <w:p w:rsidR="009E1DAB" w:rsidRPr="0092000C" w:rsidRDefault="0092000C" w:rsidP="0092000C">
      <w:pPr>
        <w:pStyle w:val="Legenda"/>
        <w:jc w:val="center"/>
        <w:rPr>
          <w:rFonts w:cs="Arial"/>
          <w:b w:val="0"/>
          <w:i w:val="0"/>
          <w:szCs w:val="22"/>
        </w:rPr>
      </w:pPr>
      <w:bookmarkStart w:id="50" w:name="_Toc420316439"/>
      <w:r w:rsidRPr="0092000C">
        <w:rPr>
          <w:i w:val="0"/>
        </w:rPr>
        <w:lastRenderedPageBreak/>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1.2</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2</w:t>
      </w:r>
      <w:r w:rsidR="00B80A05">
        <w:rPr>
          <w:i w:val="0"/>
        </w:rPr>
        <w:fldChar w:fldCharType="end"/>
      </w:r>
      <w:r w:rsidRPr="0092000C">
        <w:rPr>
          <w:i w:val="0"/>
        </w:rPr>
        <w:t xml:space="preserve">. - </w:t>
      </w:r>
      <w:r w:rsidR="009E1DAB" w:rsidRPr="0092000C">
        <w:rPr>
          <w:rFonts w:cs="Arial"/>
          <w:b w:val="0"/>
          <w:i w:val="0"/>
          <w:szCs w:val="22"/>
        </w:rPr>
        <w:t>Aspectos Ambientais Relevantes</w:t>
      </w:r>
      <w:bookmarkEnd w:id="49"/>
      <w:r w:rsidR="009E1DAB" w:rsidRPr="0092000C">
        <w:rPr>
          <w:rFonts w:cs="Arial"/>
          <w:b w:val="0"/>
          <w:i w:val="0"/>
          <w:szCs w:val="22"/>
        </w:rPr>
        <w:t xml:space="preserve"> das Barragens Pedreira e Duas Pontes</w:t>
      </w:r>
      <w:bookmarkEnd w:id="50"/>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145"/>
        <w:gridCol w:w="4978"/>
      </w:tblGrid>
      <w:tr w:rsidR="009E1DAB" w:rsidRPr="009E1DAB" w:rsidTr="009E1DAB">
        <w:trPr>
          <w:jc w:val="center"/>
        </w:trPr>
        <w:tc>
          <w:tcPr>
            <w:tcW w:w="2145" w:type="dxa"/>
            <w:shd w:val="clear" w:color="auto" w:fill="D9D9D9"/>
          </w:tcPr>
          <w:p w:rsidR="009E1DAB" w:rsidRPr="009E1DAB" w:rsidRDefault="009E1DAB" w:rsidP="009E1DAB">
            <w:pPr>
              <w:spacing w:before="120" w:after="120" w:line="240" w:lineRule="auto"/>
              <w:jc w:val="center"/>
              <w:rPr>
                <w:b/>
                <w:sz w:val="20"/>
                <w:lang w:eastAsia="zh-CN"/>
              </w:rPr>
            </w:pPr>
            <w:r w:rsidRPr="009E1DAB">
              <w:rPr>
                <w:b/>
                <w:sz w:val="20"/>
                <w:lang w:eastAsia="zh-CN"/>
              </w:rPr>
              <w:t>MEIO</w:t>
            </w:r>
          </w:p>
        </w:tc>
        <w:tc>
          <w:tcPr>
            <w:tcW w:w="4978" w:type="dxa"/>
            <w:shd w:val="clear" w:color="auto" w:fill="D9D9D9"/>
          </w:tcPr>
          <w:p w:rsidR="009E1DAB" w:rsidRPr="009E1DAB" w:rsidRDefault="009E1DAB" w:rsidP="009E1DAB">
            <w:pPr>
              <w:spacing w:before="120" w:after="120" w:line="240" w:lineRule="auto"/>
              <w:jc w:val="center"/>
              <w:rPr>
                <w:b/>
                <w:sz w:val="20"/>
                <w:lang w:eastAsia="zh-CN"/>
              </w:rPr>
            </w:pPr>
            <w:r w:rsidRPr="009E1DAB">
              <w:rPr>
                <w:b/>
                <w:sz w:val="20"/>
                <w:lang w:eastAsia="zh-CN"/>
              </w:rPr>
              <w:t>ASPECTOS AMBIENTAIS</w:t>
            </w:r>
          </w:p>
        </w:tc>
      </w:tr>
      <w:tr w:rsidR="009E1DAB" w:rsidRPr="009E1DAB" w:rsidTr="009E1DAB">
        <w:trPr>
          <w:jc w:val="center"/>
        </w:trPr>
        <w:tc>
          <w:tcPr>
            <w:tcW w:w="2145" w:type="dxa"/>
            <w:vAlign w:val="center"/>
          </w:tcPr>
          <w:p w:rsidR="009E1DAB" w:rsidRPr="009E1DAB" w:rsidRDefault="009E1DAB" w:rsidP="009E1DAB">
            <w:pPr>
              <w:spacing w:before="40" w:after="40" w:line="240" w:lineRule="auto"/>
              <w:jc w:val="center"/>
              <w:rPr>
                <w:b/>
                <w:sz w:val="20"/>
                <w:lang w:eastAsia="zh-CN"/>
              </w:rPr>
            </w:pPr>
            <w:r w:rsidRPr="009E1DAB">
              <w:rPr>
                <w:b/>
                <w:sz w:val="20"/>
                <w:lang w:eastAsia="zh-CN"/>
              </w:rPr>
              <w:t>FÍSICO</w:t>
            </w:r>
          </w:p>
        </w:tc>
        <w:tc>
          <w:tcPr>
            <w:tcW w:w="4978" w:type="dxa"/>
          </w:tcPr>
          <w:p w:rsidR="009E1DAB" w:rsidRPr="009E1DAB" w:rsidRDefault="009E1DAB" w:rsidP="00431A97">
            <w:pPr>
              <w:numPr>
                <w:ilvl w:val="0"/>
                <w:numId w:val="30"/>
              </w:numPr>
              <w:spacing w:line="240" w:lineRule="auto"/>
              <w:rPr>
                <w:sz w:val="20"/>
                <w:lang w:eastAsia="zh-CN"/>
              </w:rPr>
            </w:pPr>
            <w:r w:rsidRPr="009E1DAB">
              <w:rPr>
                <w:sz w:val="20"/>
                <w:lang w:eastAsia="zh-CN"/>
              </w:rPr>
              <w:t>Clima e Qualidade do Ar</w:t>
            </w:r>
          </w:p>
          <w:p w:rsidR="009E1DAB" w:rsidRPr="009E1DAB" w:rsidRDefault="009E1DAB" w:rsidP="00431A97">
            <w:pPr>
              <w:numPr>
                <w:ilvl w:val="0"/>
                <w:numId w:val="30"/>
              </w:numPr>
              <w:spacing w:line="240" w:lineRule="auto"/>
              <w:rPr>
                <w:sz w:val="20"/>
                <w:lang w:eastAsia="zh-CN"/>
              </w:rPr>
            </w:pPr>
            <w:r w:rsidRPr="009E1DAB">
              <w:rPr>
                <w:sz w:val="20"/>
                <w:lang w:eastAsia="zh-CN"/>
              </w:rPr>
              <w:t>Dinâmica Fluvial</w:t>
            </w:r>
          </w:p>
          <w:p w:rsidR="009E1DAB" w:rsidRPr="009E1DAB" w:rsidRDefault="009E1DAB" w:rsidP="00431A97">
            <w:pPr>
              <w:numPr>
                <w:ilvl w:val="0"/>
                <w:numId w:val="30"/>
              </w:numPr>
              <w:spacing w:line="240" w:lineRule="auto"/>
              <w:rPr>
                <w:sz w:val="20"/>
                <w:lang w:eastAsia="zh-CN"/>
              </w:rPr>
            </w:pPr>
            <w:r w:rsidRPr="009E1DAB">
              <w:rPr>
                <w:sz w:val="20"/>
                <w:lang w:eastAsia="zh-CN"/>
              </w:rPr>
              <w:t>Águas Subterrâneas</w:t>
            </w:r>
          </w:p>
          <w:p w:rsidR="009E1DAB" w:rsidRPr="009E1DAB" w:rsidRDefault="009E1DAB" w:rsidP="00431A97">
            <w:pPr>
              <w:numPr>
                <w:ilvl w:val="0"/>
                <w:numId w:val="30"/>
              </w:numPr>
              <w:spacing w:line="240" w:lineRule="auto"/>
              <w:rPr>
                <w:sz w:val="20"/>
                <w:lang w:eastAsia="zh-CN"/>
              </w:rPr>
            </w:pPr>
            <w:r w:rsidRPr="009E1DAB">
              <w:rPr>
                <w:sz w:val="20"/>
                <w:lang w:eastAsia="zh-CN"/>
              </w:rPr>
              <w:t>Relevo, Solo e Substrato Rochoso</w:t>
            </w:r>
          </w:p>
          <w:p w:rsidR="009E1DAB" w:rsidRPr="009E1DAB" w:rsidRDefault="009E1DAB" w:rsidP="00431A97">
            <w:pPr>
              <w:numPr>
                <w:ilvl w:val="0"/>
                <w:numId w:val="30"/>
              </w:numPr>
              <w:spacing w:line="240" w:lineRule="auto"/>
              <w:rPr>
                <w:sz w:val="20"/>
                <w:lang w:eastAsia="zh-CN"/>
              </w:rPr>
            </w:pPr>
            <w:r w:rsidRPr="009E1DAB">
              <w:rPr>
                <w:sz w:val="20"/>
                <w:lang w:eastAsia="zh-CN"/>
              </w:rPr>
              <w:t>Recursos Cênicos</w:t>
            </w:r>
          </w:p>
        </w:tc>
      </w:tr>
      <w:tr w:rsidR="009E1DAB" w:rsidRPr="009E1DAB" w:rsidTr="009E1DAB">
        <w:trPr>
          <w:jc w:val="center"/>
        </w:trPr>
        <w:tc>
          <w:tcPr>
            <w:tcW w:w="2145" w:type="dxa"/>
            <w:vAlign w:val="center"/>
          </w:tcPr>
          <w:p w:rsidR="009E1DAB" w:rsidRPr="009E1DAB" w:rsidRDefault="009E1DAB" w:rsidP="009E1DAB">
            <w:pPr>
              <w:spacing w:after="120" w:line="240" w:lineRule="auto"/>
              <w:jc w:val="center"/>
              <w:rPr>
                <w:b/>
                <w:sz w:val="20"/>
                <w:lang w:eastAsia="zh-CN"/>
              </w:rPr>
            </w:pPr>
            <w:r w:rsidRPr="009E1DAB">
              <w:rPr>
                <w:b/>
                <w:sz w:val="20"/>
                <w:lang w:eastAsia="zh-CN"/>
              </w:rPr>
              <w:t>BIÓTICO</w:t>
            </w:r>
          </w:p>
        </w:tc>
        <w:tc>
          <w:tcPr>
            <w:tcW w:w="4978" w:type="dxa"/>
          </w:tcPr>
          <w:p w:rsidR="009E1DAB" w:rsidRPr="009E1DAB" w:rsidRDefault="009E1DAB" w:rsidP="00431A97">
            <w:pPr>
              <w:numPr>
                <w:ilvl w:val="0"/>
                <w:numId w:val="30"/>
              </w:numPr>
              <w:spacing w:line="240" w:lineRule="auto"/>
              <w:rPr>
                <w:sz w:val="20"/>
                <w:lang w:eastAsia="zh-CN"/>
              </w:rPr>
            </w:pPr>
            <w:r w:rsidRPr="009E1DAB">
              <w:rPr>
                <w:sz w:val="20"/>
                <w:lang w:eastAsia="zh-CN"/>
              </w:rPr>
              <w:t>Flora</w:t>
            </w:r>
          </w:p>
          <w:p w:rsidR="009E1DAB" w:rsidRPr="009E1DAB" w:rsidRDefault="009E1DAB" w:rsidP="00431A97">
            <w:pPr>
              <w:numPr>
                <w:ilvl w:val="0"/>
                <w:numId w:val="30"/>
              </w:numPr>
              <w:spacing w:line="240" w:lineRule="auto"/>
              <w:rPr>
                <w:sz w:val="20"/>
                <w:lang w:eastAsia="zh-CN"/>
              </w:rPr>
            </w:pPr>
            <w:r w:rsidRPr="009E1DAB">
              <w:rPr>
                <w:sz w:val="20"/>
                <w:lang w:eastAsia="zh-CN"/>
              </w:rPr>
              <w:t>Fauna Terrestre</w:t>
            </w:r>
          </w:p>
          <w:p w:rsidR="009E1DAB" w:rsidRPr="009E1DAB" w:rsidRDefault="009E1DAB" w:rsidP="00431A97">
            <w:pPr>
              <w:numPr>
                <w:ilvl w:val="0"/>
                <w:numId w:val="30"/>
              </w:numPr>
              <w:spacing w:line="240" w:lineRule="auto"/>
              <w:rPr>
                <w:sz w:val="20"/>
                <w:lang w:eastAsia="zh-CN"/>
              </w:rPr>
            </w:pPr>
            <w:r w:rsidRPr="009E1DAB">
              <w:rPr>
                <w:sz w:val="20"/>
                <w:lang w:eastAsia="zh-CN"/>
              </w:rPr>
              <w:t>Ecossistemas Aquáticos</w:t>
            </w:r>
          </w:p>
          <w:p w:rsidR="009E1DAB" w:rsidRPr="009E1DAB" w:rsidRDefault="009E1DAB" w:rsidP="00431A97">
            <w:pPr>
              <w:numPr>
                <w:ilvl w:val="0"/>
                <w:numId w:val="30"/>
              </w:numPr>
              <w:spacing w:line="240" w:lineRule="auto"/>
              <w:rPr>
                <w:sz w:val="20"/>
                <w:lang w:eastAsia="zh-CN"/>
              </w:rPr>
            </w:pPr>
            <w:r w:rsidRPr="009E1DAB">
              <w:rPr>
                <w:sz w:val="20"/>
                <w:lang w:eastAsia="zh-CN"/>
              </w:rPr>
              <w:t>Unidades de Conservação e outras Áreas Protegidas</w:t>
            </w:r>
          </w:p>
        </w:tc>
      </w:tr>
      <w:tr w:rsidR="009E1DAB" w:rsidRPr="009E1DAB" w:rsidTr="009E1DAB">
        <w:trPr>
          <w:jc w:val="center"/>
        </w:trPr>
        <w:tc>
          <w:tcPr>
            <w:tcW w:w="2145" w:type="dxa"/>
            <w:vAlign w:val="center"/>
          </w:tcPr>
          <w:p w:rsidR="009E1DAB" w:rsidRPr="009E1DAB" w:rsidRDefault="009E1DAB" w:rsidP="009E1DAB">
            <w:pPr>
              <w:spacing w:after="120" w:line="240" w:lineRule="auto"/>
              <w:jc w:val="center"/>
              <w:rPr>
                <w:b/>
                <w:sz w:val="20"/>
                <w:lang w:eastAsia="zh-CN"/>
              </w:rPr>
            </w:pPr>
            <w:r w:rsidRPr="009E1DAB">
              <w:rPr>
                <w:b/>
                <w:sz w:val="20"/>
                <w:lang w:eastAsia="zh-CN"/>
              </w:rPr>
              <w:t>SÓCIOECONÔMICO</w:t>
            </w:r>
          </w:p>
        </w:tc>
        <w:tc>
          <w:tcPr>
            <w:tcW w:w="4978" w:type="dxa"/>
          </w:tcPr>
          <w:p w:rsidR="009E1DAB" w:rsidRPr="009E1DAB" w:rsidRDefault="009E1DAB" w:rsidP="00431A97">
            <w:pPr>
              <w:numPr>
                <w:ilvl w:val="0"/>
                <w:numId w:val="30"/>
              </w:numPr>
              <w:spacing w:line="240" w:lineRule="auto"/>
              <w:rPr>
                <w:sz w:val="20"/>
                <w:lang w:eastAsia="zh-CN"/>
              </w:rPr>
            </w:pPr>
            <w:r w:rsidRPr="009E1DAB">
              <w:rPr>
                <w:sz w:val="20"/>
                <w:lang w:eastAsia="zh-CN"/>
              </w:rPr>
              <w:t>População e Qualidade de Vida</w:t>
            </w:r>
          </w:p>
          <w:p w:rsidR="009E1DAB" w:rsidRPr="009E1DAB" w:rsidRDefault="009E1DAB" w:rsidP="00431A97">
            <w:pPr>
              <w:numPr>
                <w:ilvl w:val="0"/>
                <w:numId w:val="30"/>
              </w:numPr>
              <w:spacing w:line="240" w:lineRule="auto"/>
              <w:rPr>
                <w:sz w:val="20"/>
                <w:lang w:eastAsia="zh-CN"/>
              </w:rPr>
            </w:pPr>
            <w:r w:rsidRPr="009E1DAB">
              <w:rPr>
                <w:sz w:val="20"/>
                <w:lang w:eastAsia="zh-CN"/>
              </w:rPr>
              <w:t>Organização Territorial</w:t>
            </w:r>
          </w:p>
          <w:p w:rsidR="009E1DAB" w:rsidRPr="009E1DAB" w:rsidRDefault="009E1DAB" w:rsidP="00431A97">
            <w:pPr>
              <w:numPr>
                <w:ilvl w:val="0"/>
                <w:numId w:val="30"/>
              </w:numPr>
              <w:spacing w:line="240" w:lineRule="auto"/>
              <w:rPr>
                <w:sz w:val="20"/>
                <w:lang w:eastAsia="zh-CN"/>
              </w:rPr>
            </w:pPr>
            <w:r w:rsidRPr="009E1DAB">
              <w:rPr>
                <w:sz w:val="20"/>
                <w:lang w:eastAsia="zh-CN"/>
              </w:rPr>
              <w:t>Base Econômica</w:t>
            </w:r>
          </w:p>
          <w:p w:rsidR="009E1DAB" w:rsidRPr="009E1DAB" w:rsidRDefault="009E1DAB" w:rsidP="00431A97">
            <w:pPr>
              <w:numPr>
                <w:ilvl w:val="0"/>
                <w:numId w:val="30"/>
              </w:numPr>
              <w:spacing w:line="240" w:lineRule="auto"/>
              <w:rPr>
                <w:sz w:val="20"/>
                <w:lang w:eastAsia="zh-CN"/>
              </w:rPr>
            </w:pPr>
            <w:r w:rsidRPr="009E1DAB">
              <w:rPr>
                <w:sz w:val="20"/>
                <w:lang w:eastAsia="zh-CN"/>
              </w:rPr>
              <w:t>Patrimônio Arqueológico, Histórico e Cultural</w:t>
            </w:r>
          </w:p>
        </w:tc>
      </w:tr>
    </w:tbl>
    <w:p w:rsidR="009E1DAB" w:rsidRPr="009E1DAB" w:rsidRDefault="009E1DAB" w:rsidP="00431A97">
      <w:pPr>
        <w:pStyle w:val="Ttulo4"/>
        <w:numPr>
          <w:ilvl w:val="3"/>
          <w:numId w:val="34"/>
        </w:numPr>
      </w:pPr>
      <w:bookmarkStart w:id="51" w:name="_Toc418758195"/>
      <w:bookmarkStart w:id="52" w:name="_Toc418758797"/>
      <w:bookmarkStart w:id="53" w:name="_Toc419813562"/>
      <w:bookmarkStart w:id="54" w:name="_Toc365455768"/>
      <w:bookmarkStart w:id="55" w:name="_Toc365627527"/>
      <w:bookmarkStart w:id="56" w:name="_Toc365973392"/>
      <w:bookmarkStart w:id="57" w:name="_Toc370802308"/>
      <w:bookmarkStart w:id="58" w:name="_Toc370906019"/>
      <w:bookmarkStart w:id="59" w:name="_Toc371328363"/>
      <w:bookmarkStart w:id="60" w:name="_Toc257038453"/>
      <w:bookmarkStart w:id="61" w:name="_Toc257044151"/>
      <w:bookmarkStart w:id="62" w:name="_Toc257044241"/>
      <w:bookmarkStart w:id="63" w:name="_Toc257101929"/>
      <w:bookmarkStart w:id="64" w:name="_Toc257117410"/>
      <w:bookmarkStart w:id="65" w:name="_Toc365973389"/>
      <w:bookmarkStart w:id="66" w:name="_Toc370906016"/>
      <w:bookmarkStart w:id="67" w:name="_Toc371328360"/>
      <w:r w:rsidRPr="009E1DAB">
        <w:t>Aspectos Ambientais Relevantes do Meio Físico</w:t>
      </w:r>
      <w:bookmarkEnd w:id="51"/>
      <w:bookmarkEnd w:id="52"/>
      <w:bookmarkEnd w:id="53"/>
    </w:p>
    <w:p w:rsidR="009E1DAB" w:rsidRPr="009E1DAB" w:rsidRDefault="009E1DAB" w:rsidP="009E1DAB">
      <w:pPr>
        <w:autoSpaceDE w:val="0"/>
        <w:autoSpaceDN w:val="0"/>
        <w:adjustRightInd w:val="0"/>
        <w:spacing w:before="120" w:after="120" w:line="240" w:lineRule="auto"/>
        <w:rPr>
          <w:rFonts w:cs="Arial"/>
          <w:szCs w:val="22"/>
        </w:rPr>
      </w:pPr>
      <w:r w:rsidRPr="009E1DAB">
        <w:rPr>
          <w:rFonts w:cs="Arial"/>
          <w:szCs w:val="22"/>
        </w:rPr>
        <w:t>A caracterização do meio físico, de forma a possibilitar a análise dos fatores interagentes, baseou-se na análise de cinco principais aspectos ambientais, sujeitos às ações de implantação e operação das barragens Pedreira e Duas Pontes, como clima e qualidade do ar, dinâmica fluvial, águas subterrâneas e relevo/solos/substrato rochoso, e recursos cênicos para os quais se adotou os seguintes referenciais:</w:t>
      </w:r>
    </w:p>
    <w:p w:rsidR="009E1DAB" w:rsidRPr="00D078EE" w:rsidRDefault="009E1DAB" w:rsidP="003F7A2B">
      <w:pPr>
        <w:pStyle w:val="Item-Bolinha"/>
      </w:pPr>
      <w:r w:rsidRPr="009E1DAB">
        <w:t xml:space="preserve">O fator clima é representado pelas variações anuais e sazonais que oscilam ao redor de uma média, caracterizando o clima regional, local e o microclima. Considera-se neste aspecto a dinâmica da atmosfera, a qualidade do </w:t>
      </w:r>
      <w:r w:rsidRPr="00D078EE">
        <w:t>ar e o efeito estufa.</w:t>
      </w:r>
    </w:p>
    <w:p w:rsidR="009E1DAB" w:rsidRPr="009E1DAB" w:rsidRDefault="009E1DAB" w:rsidP="003F7A2B">
      <w:pPr>
        <w:pStyle w:val="Item-Bolinha"/>
      </w:pPr>
      <w:r w:rsidRPr="009E1DAB">
        <w:t>A dinâmica fluvial é retratada por parâmetros dinâmicos, como níveis e vazões, variáveis em torno de médias que refletem o regime hidrológico, transporte de sedimentos e qualidade das águas e por outros, mais estáticos, como as características físicas dos cursos de água.</w:t>
      </w:r>
    </w:p>
    <w:p w:rsidR="009E1DAB" w:rsidRPr="009E1DAB" w:rsidRDefault="009E1DAB" w:rsidP="003F7A2B">
      <w:pPr>
        <w:pStyle w:val="Item-Bolinha"/>
      </w:pPr>
      <w:r w:rsidRPr="009E1DAB">
        <w:t xml:space="preserve">O comportamento das águas subterrâneas e as alterações dos seus níveis d’água são controlados por parâmetros hidrogeológicos. </w:t>
      </w:r>
    </w:p>
    <w:p w:rsidR="009E1DAB" w:rsidRPr="009E1DAB" w:rsidRDefault="009E1DAB" w:rsidP="003F7A2B">
      <w:pPr>
        <w:pStyle w:val="Item-Bolinha"/>
      </w:pPr>
      <w:r w:rsidRPr="009E1DAB">
        <w:t xml:space="preserve">O relevo, os solos e substrato rochoso são compostos por elementos estáticos na escala temporal dos empreendimentos, como o tipo de solo, o modelado do relevo e as formações rochosas, submetidos a processos dinâmicos de erosão, e a esforços tectônicos, cujos reflexos podem ser observados principalmente por meio de problemas de estabilidade de encostas e de eventos sísmicos. Foram também analisados os recursos edáficos e minerais. </w:t>
      </w:r>
    </w:p>
    <w:p w:rsidR="009E1DAB" w:rsidRDefault="009E1DAB" w:rsidP="003F7A2B">
      <w:pPr>
        <w:pStyle w:val="Item-Bolinha"/>
      </w:pPr>
      <w:r w:rsidRPr="009E1DAB">
        <w:t>Os recursos cênicos são avaliados principalmente pela possibilidade de degradação da paisagem, tanto junto às obras e áreas de empréstimo, quanto a possibilidade de interferência com cavidades naturais subterrâneas e outros monumentos naturais.</w:t>
      </w:r>
    </w:p>
    <w:p w:rsidR="009E1DAB" w:rsidRPr="009E1DAB" w:rsidRDefault="009E1DAB" w:rsidP="00431A97">
      <w:pPr>
        <w:numPr>
          <w:ilvl w:val="0"/>
          <w:numId w:val="28"/>
        </w:numPr>
        <w:spacing w:before="240" w:after="240" w:line="240" w:lineRule="auto"/>
        <w:rPr>
          <w:rFonts w:eastAsia="Calibri"/>
          <w:b/>
          <w:bCs/>
          <w:szCs w:val="22"/>
          <w:lang w:eastAsia="en-US"/>
        </w:rPr>
      </w:pPr>
      <w:r w:rsidRPr="009E1DAB">
        <w:rPr>
          <w:rFonts w:eastAsia="Calibri"/>
          <w:b/>
          <w:bCs/>
          <w:szCs w:val="22"/>
          <w:lang w:eastAsia="en-US"/>
        </w:rPr>
        <w:t>Clima e Qualidade do Ar</w:t>
      </w:r>
    </w:p>
    <w:p w:rsidR="009E1DAB" w:rsidRPr="003F7A2B" w:rsidRDefault="009E1DAB" w:rsidP="003F7A2B">
      <w:pPr>
        <w:pStyle w:val="CorpodetextoBodyTextCharCharCharCharCharCharCharCharBodyTextCharBodyTextCharCharCharCharCharCharCharCharCharCharCharCharCharCharChar"/>
        <w:rPr>
          <w:spacing w:val="-2"/>
        </w:rPr>
      </w:pPr>
      <w:r w:rsidRPr="003F7A2B">
        <w:rPr>
          <w:spacing w:val="-2"/>
        </w:rPr>
        <w:t>A implantação dos empreendimentos pode influenciar o microclima local, a qualidade do ar e o nível de ruído no entorno das obras, assim como existe a possibilidade de emissão de gases de efeito estufa. Foram considerados os seguintes elementos de caracterização:</w:t>
      </w:r>
    </w:p>
    <w:p w:rsidR="009E1DAB" w:rsidRPr="00280B9A" w:rsidRDefault="009E1DAB" w:rsidP="009E1DAB">
      <w:pPr>
        <w:numPr>
          <w:ilvl w:val="0"/>
          <w:numId w:val="10"/>
        </w:numPr>
        <w:spacing w:before="120" w:after="120" w:line="240" w:lineRule="auto"/>
        <w:rPr>
          <w:rFonts w:eastAsia="Calibri"/>
          <w:lang w:eastAsia="en-US"/>
        </w:rPr>
      </w:pPr>
      <w:r w:rsidRPr="009E1DAB">
        <w:rPr>
          <w:rFonts w:eastAsia="Calibri"/>
          <w:b/>
          <w:lang w:eastAsia="en-US"/>
        </w:rPr>
        <w:t xml:space="preserve">Clima Local - </w:t>
      </w:r>
      <w:r w:rsidRPr="009E1DAB">
        <w:rPr>
          <w:rFonts w:eastAsia="Calibri"/>
          <w:lang w:eastAsia="en-US"/>
        </w:rPr>
        <w:t xml:space="preserve">Na possibilidade de alteração do clima na região do entorno do reservatório assume importância a circulação do ar e a orientação do relevo, que interagem com a umidade do ar e o </w:t>
      </w:r>
      <w:r w:rsidRPr="00280B9A">
        <w:rPr>
          <w:rFonts w:eastAsia="Calibri"/>
          <w:lang w:eastAsia="en-US"/>
        </w:rPr>
        <w:t>vento, na formação de nevoeiros.</w:t>
      </w:r>
    </w:p>
    <w:p w:rsidR="009E1DAB" w:rsidRPr="009E1DAB" w:rsidRDefault="009E1DAB" w:rsidP="009E1DAB">
      <w:pPr>
        <w:numPr>
          <w:ilvl w:val="0"/>
          <w:numId w:val="10"/>
        </w:numPr>
        <w:spacing w:before="120" w:after="120" w:line="240" w:lineRule="auto"/>
        <w:rPr>
          <w:rFonts w:eastAsia="Calibri"/>
          <w:lang w:eastAsia="en-US"/>
        </w:rPr>
      </w:pPr>
      <w:r w:rsidRPr="009E1DAB">
        <w:rPr>
          <w:rFonts w:eastAsia="Calibri"/>
          <w:b/>
          <w:lang w:eastAsia="en-US"/>
        </w:rPr>
        <w:lastRenderedPageBreak/>
        <w:t>Qualidade do Ar -</w:t>
      </w:r>
      <w:r w:rsidRPr="009E1DAB">
        <w:rPr>
          <w:rFonts w:eastAsia="Calibri"/>
          <w:lang w:eastAsia="en-US"/>
        </w:rPr>
        <w:t xml:space="preserve"> Pode ser alterada pela emissão atmosférica de material particulado e gases de combustão pelo tráfego de veículos e equipamentos durante as obras.</w:t>
      </w:r>
    </w:p>
    <w:p w:rsidR="009E1DAB" w:rsidRPr="00D078EE" w:rsidRDefault="009E1DAB" w:rsidP="009E1DAB">
      <w:pPr>
        <w:numPr>
          <w:ilvl w:val="0"/>
          <w:numId w:val="10"/>
        </w:numPr>
        <w:spacing w:before="120" w:after="120" w:line="240" w:lineRule="auto"/>
        <w:rPr>
          <w:rFonts w:eastAsia="Calibri"/>
          <w:lang w:eastAsia="en-US"/>
        </w:rPr>
      </w:pPr>
      <w:r w:rsidRPr="00D078EE">
        <w:rPr>
          <w:rFonts w:eastAsia="Calibri"/>
          <w:b/>
          <w:lang w:eastAsia="en-US"/>
        </w:rPr>
        <w:t xml:space="preserve">Nível de Ruídos – </w:t>
      </w:r>
      <w:r w:rsidRPr="00D078EE">
        <w:rPr>
          <w:rFonts w:eastAsia="Calibri"/>
          <w:lang w:eastAsia="en-US"/>
        </w:rPr>
        <w:t>Há possibilidade de alteração dos níveis de ruído devido à circulação de veículos e equipamentos.</w:t>
      </w:r>
    </w:p>
    <w:p w:rsidR="009E1DAB" w:rsidRPr="00D078EE" w:rsidRDefault="009E1DAB" w:rsidP="009E1DAB">
      <w:pPr>
        <w:numPr>
          <w:ilvl w:val="0"/>
          <w:numId w:val="10"/>
        </w:numPr>
        <w:spacing w:before="120" w:after="120" w:line="240" w:lineRule="auto"/>
        <w:rPr>
          <w:rFonts w:eastAsia="Calibri"/>
          <w:lang w:eastAsia="en-US"/>
        </w:rPr>
      </w:pPr>
      <w:r w:rsidRPr="00D078EE">
        <w:rPr>
          <w:rFonts w:eastAsia="Calibri"/>
          <w:b/>
          <w:lang w:eastAsia="en-US"/>
        </w:rPr>
        <w:t xml:space="preserve">Gases de Efeito Estufa - </w:t>
      </w:r>
      <w:r w:rsidRPr="00D078EE">
        <w:rPr>
          <w:rFonts w:eastAsia="Calibri"/>
          <w:lang w:eastAsia="en-US"/>
        </w:rPr>
        <w:t>Representam as possíveis emissões de dióxido de carbono e metano que podem ocorrer em decorrência da implantação das barragens.</w:t>
      </w:r>
    </w:p>
    <w:p w:rsidR="009E1DAB" w:rsidRPr="009E1DAB" w:rsidRDefault="009E1DAB" w:rsidP="00431A97">
      <w:pPr>
        <w:numPr>
          <w:ilvl w:val="0"/>
          <w:numId w:val="28"/>
        </w:numPr>
        <w:spacing w:before="240" w:after="240" w:line="240" w:lineRule="auto"/>
        <w:rPr>
          <w:rFonts w:eastAsia="Calibri"/>
          <w:b/>
          <w:bCs/>
          <w:szCs w:val="22"/>
          <w:lang w:eastAsia="en-US"/>
        </w:rPr>
      </w:pPr>
      <w:r w:rsidRPr="009E1DAB">
        <w:rPr>
          <w:rFonts w:eastAsia="Calibri"/>
          <w:b/>
          <w:bCs/>
          <w:szCs w:val="22"/>
          <w:lang w:eastAsia="en-US"/>
        </w:rPr>
        <w:t>Dinâmica Fluvial</w:t>
      </w:r>
    </w:p>
    <w:p w:rsidR="009E1DAB" w:rsidRPr="009E1DAB" w:rsidRDefault="009E1DAB" w:rsidP="003F7A2B">
      <w:pPr>
        <w:pStyle w:val="CorpodetextoBodyTextCharCharCharCharCharCharCharCharBodyTextCharBodyTextCharCharCharCharCharCharCharCharCharCharCharCharCharCharChar"/>
      </w:pPr>
      <w:r w:rsidRPr="009E1DAB">
        <w:t>A dinâmica fluvial engloba os processos de escoamento das águas superficiais dos rios Jaguari e Camanducaia, na região dos futuros reservatórios. A disponibilidade hídrica desses componentes varia no tempo e no espaço de acordo com as características do ciclo hidrológico, da fisiografia local e das ações antrópicas. Para a caracterização e a avaliação dos impactos nas águas superficiais foram definidos os seguintes elementos:</w:t>
      </w:r>
    </w:p>
    <w:p w:rsidR="009E1DAB" w:rsidRPr="009E1DAB" w:rsidRDefault="009E1DAB" w:rsidP="009E1DAB">
      <w:pPr>
        <w:numPr>
          <w:ilvl w:val="0"/>
          <w:numId w:val="10"/>
        </w:numPr>
        <w:spacing w:before="120" w:after="120" w:line="240" w:lineRule="auto"/>
        <w:rPr>
          <w:rFonts w:eastAsia="Calibri"/>
          <w:lang w:eastAsia="en-US"/>
        </w:rPr>
      </w:pPr>
      <w:r w:rsidRPr="009E1DAB">
        <w:rPr>
          <w:rFonts w:eastAsia="Calibri"/>
          <w:b/>
          <w:lang w:eastAsia="en-US"/>
        </w:rPr>
        <w:t xml:space="preserve">Regime de escoamento fluvial – </w:t>
      </w:r>
      <w:r w:rsidRPr="009E1DAB">
        <w:rPr>
          <w:rFonts w:cs="Arial"/>
          <w:szCs w:val="22"/>
        </w:rPr>
        <w:t>Mensura-se com base nas vazões, nas velocidades e nos níveis d'água que podem ser alterados com a formação dos reservatórios nos diferentes cursos d’água</w:t>
      </w:r>
      <w:r w:rsidRPr="009E1DAB">
        <w:rPr>
          <w:rFonts w:eastAsia="Calibri"/>
          <w:lang w:eastAsia="en-US"/>
        </w:rPr>
        <w:t>.</w:t>
      </w:r>
    </w:p>
    <w:p w:rsidR="009E1DAB" w:rsidRPr="009E1DAB" w:rsidRDefault="009E1DAB" w:rsidP="009E1DAB">
      <w:pPr>
        <w:numPr>
          <w:ilvl w:val="0"/>
          <w:numId w:val="10"/>
        </w:numPr>
        <w:spacing w:before="120" w:after="120" w:line="240" w:lineRule="auto"/>
        <w:rPr>
          <w:rFonts w:eastAsia="Calibri"/>
          <w:lang w:eastAsia="en-US"/>
        </w:rPr>
      </w:pPr>
      <w:r w:rsidRPr="009E1DAB">
        <w:rPr>
          <w:rFonts w:eastAsia="Calibri"/>
          <w:b/>
          <w:lang w:eastAsia="en-US"/>
        </w:rPr>
        <w:t>Transporte fluvial de sedimentos</w:t>
      </w:r>
      <w:r w:rsidRPr="009E1DAB">
        <w:rPr>
          <w:rFonts w:eastAsia="Calibri"/>
          <w:lang w:eastAsia="en-US"/>
        </w:rPr>
        <w:t xml:space="preserve"> – Faz interface com o regime de escoamento, depende das características fisiográficas da bacia hidrográfica, do ciclo hidrológico e das ações antrópicas na bacia. </w:t>
      </w:r>
    </w:p>
    <w:p w:rsidR="009E1DAB" w:rsidRPr="009E1DAB" w:rsidRDefault="009E1DAB" w:rsidP="009E1DAB">
      <w:pPr>
        <w:numPr>
          <w:ilvl w:val="0"/>
          <w:numId w:val="10"/>
        </w:numPr>
        <w:spacing w:before="120" w:after="120" w:line="240" w:lineRule="auto"/>
        <w:rPr>
          <w:rFonts w:eastAsia="Calibri"/>
          <w:lang w:eastAsia="en-US"/>
        </w:rPr>
      </w:pPr>
      <w:r w:rsidRPr="009E1DAB">
        <w:rPr>
          <w:rFonts w:eastAsia="Calibri"/>
          <w:b/>
          <w:lang w:eastAsia="en-US"/>
        </w:rPr>
        <w:t xml:space="preserve">Qualidade das águas superficiais </w:t>
      </w:r>
      <w:r w:rsidRPr="009E1DAB">
        <w:rPr>
          <w:rFonts w:eastAsia="Calibri"/>
          <w:lang w:eastAsia="en-US"/>
        </w:rPr>
        <w:t>– Variável dependente de fontes de contaminação existentes no entorno dos empreendimentos e nas características dos reservatórios, assim como dos regimes de escoamento e transporte de sedimentos.</w:t>
      </w:r>
    </w:p>
    <w:p w:rsidR="009E1DAB" w:rsidRPr="009E1DAB" w:rsidRDefault="009E1DAB" w:rsidP="00431A97">
      <w:pPr>
        <w:numPr>
          <w:ilvl w:val="0"/>
          <w:numId w:val="28"/>
        </w:numPr>
        <w:spacing w:before="240" w:after="240" w:line="240" w:lineRule="auto"/>
        <w:rPr>
          <w:rFonts w:eastAsia="Calibri"/>
          <w:b/>
          <w:bCs/>
          <w:szCs w:val="22"/>
          <w:lang w:eastAsia="en-US"/>
        </w:rPr>
      </w:pPr>
      <w:r w:rsidRPr="009E1DAB">
        <w:rPr>
          <w:rFonts w:eastAsia="Calibri"/>
          <w:b/>
          <w:bCs/>
          <w:szCs w:val="22"/>
          <w:lang w:eastAsia="en-US"/>
        </w:rPr>
        <w:t>Águas Subterrâneas</w:t>
      </w:r>
    </w:p>
    <w:p w:rsidR="009E1DAB" w:rsidRPr="009E1DAB" w:rsidRDefault="009E1DAB" w:rsidP="009E1DAB">
      <w:pPr>
        <w:autoSpaceDE w:val="0"/>
        <w:autoSpaceDN w:val="0"/>
        <w:adjustRightInd w:val="0"/>
        <w:spacing w:before="120" w:after="120" w:line="240" w:lineRule="auto"/>
        <w:rPr>
          <w:rFonts w:cs="Arial"/>
          <w:szCs w:val="22"/>
        </w:rPr>
      </w:pPr>
      <w:r w:rsidRPr="009E1DAB">
        <w:rPr>
          <w:rFonts w:cs="Arial"/>
          <w:szCs w:val="22"/>
        </w:rPr>
        <w:t>Para a avaliação de impactos nas águas subterrâneas, foram consideradas as alterações do lençol freático e das cargas hidráulicas das unidades aquíferas, que poderão ocorrer com o enchimento dos futuros reservatórios.</w:t>
      </w:r>
    </w:p>
    <w:p w:rsidR="009E1DAB" w:rsidRPr="009E1DAB" w:rsidRDefault="009E1DAB" w:rsidP="00431A97">
      <w:pPr>
        <w:numPr>
          <w:ilvl w:val="0"/>
          <w:numId w:val="37"/>
        </w:numPr>
        <w:autoSpaceDE w:val="0"/>
        <w:autoSpaceDN w:val="0"/>
        <w:adjustRightInd w:val="0"/>
        <w:spacing w:before="120" w:after="120" w:line="240" w:lineRule="auto"/>
        <w:ind w:left="284" w:hanging="284"/>
        <w:rPr>
          <w:rFonts w:cs="Arial"/>
          <w:szCs w:val="22"/>
        </w:rPr>
      </w:pPr>
      <w:r w:rsidRPr="009E1DAB">
        <w:rPr>
          <w:rFonts w:cs="Arial"/>
          <w:szCs w:val="22"/>
        </w:rPr>
        <w:t xml:space="preserve">Interferências no nível freático e dos aquíferos </w:t>
      </w:r>
      <w:r w:rsidRPr="005A0026">
        <w:rPr>
          <w:rFonts w:cs="Arial"/>
          <w:szCs w:val="22"/>
        </w:rPr>
        <w:t>- Podem resultar em alterações na disponibilidade das águas subterrâneas, aparecim</w:t>
      </w:r>
      <w:r w:rsidRPr="009E1DAB">
        <w:rPr>
          <w:rFonts w:cs="Arial"/>
          <w:szCs w:val="22"/>
        </w:rPr>
        <w:t xml:space="preserve">ento de novas surgências d’água, perenização de pequenos cursos d’água intermitentes, formação de novas áreas úmidas e/ou alagadas e influenciar a contaminação dos aquíferos. </w:t>
      </w:r>
    </w:p>
    <w:p w:rsidR="009E1DAB" w:rsidRPr="003F7A2B" w:rsidRDefault="009E1DAB" w:rsidP="00431A97">
      <w:pPr>
        <w:pStyle w:val="CorpodetextoBodyTextCharCharCharCharCharCharCharCharBodyTextCharBodyTextCharCharCharCharCharCharCharCharCharCharCharCharCharCharChar"/>
        <w:numPr>
          <w:ilvl w:val="0"/>
          <w:numId w:val="28"/>
        </w:numPr>
        <w:spacing w:before="240" w:after="240"/>
        <w:rPr>
          <w:rFonts w:eastAsia="Calibri"/>
          <w:b/>
          <w:spacing w:val="-2"/>
          <w:lang w:eastAsia="en-US"/>
        </w:rPr>
      </w:pPr>
      <w:r w:rsidRPr="003F7A2B">
        <w:rPr>
          <w:rFonts w:cs="Arial"/>
          <w:b/>
          <w:spacing w:val="-2"/>
        </w:rPr>
        <w:t xml:space="preserve">Relevo, </w:t>
      </w:r>
      <w:r w:rsidRPr="003F7A2B">
        <w:rPr>
          <w:rFonts w:eastAsia="Calibri"/>
          <w:b/>
          <w:spacing w:val="-2"/>
          <w:lang w:eastAsia="en-US"/>
        </w:rPr>
        <w:t>Solos e Substrato Rochoso</w:t>
      </w:r>
    </w:p>
    <w:p w:rsidR="009E1DAB" w:rsidRPr="009E1DAB" w:rsidRDefault="009E1DAB" w:rsidP="009E1DAB">
      <w:pPr>
        <w:autoSpaceDE w:val="0"/>
        <w:autoSpaceDN w:val="0"/>
        <w:adjustRightInd w:val="0"/>
        <w:spacing w:before="120" w:after="120" w:line="240" w:lineRule="auto"/>
        <w:rPr>
          <w:rFonts w:cs="Arial"/>
          <w:szCs w:val="22"/>
        </w:rPr>
      </w:pPr>
      <w:r w:rsidRPr="009E1DAB">
        <w:rPr>
          <w:rFonts w:cs="Arial"/>
          <w:szCs w:val="22"/>
        </w:rPr>
        <w:t>Os solos e substrato rochoso representam a parte sólida da superfície da terra, modelada pelos processos de esculturação do relevo. Para a avaliação dos impactos sobre este fator, foram considerados os seguintes elementos de caracterização:</w:t>
      </w:r>
    </w:p>
    <w:p w:rsidR="009E1DAB" w:rsidRPr="009E1DAB" w:rsidRDefault="009E1DAB" w:rsidP="009E1DAB">
      <w:pPr>
        <w:numPr>
          <w:ilvl w:val="0"/>
          <w:numId w:val="10"/>
        </w:numPr>
        <w:spacing w:before="120" w:after="120" w:line="240" w:lineRule="auto"/>
        <w:rPr>
          <w:rFonts w:eastAsia="Calibri"/>
          <w:lang w:eastAsia="en-US"/>
        </w:rPr>
      </w:pPr>
      <w:r w:rsidRPr="009E1DAB">
        <w:rPr>
          <w:rFonts w:eastAsia="Calibri"/>
          <w:b/>
          <w:lang w:eastAsia="en-US"/>
        </w:rPr>
        <w:t>Potencial erosivo e estabilidade de encostas –</w:t>
      </w:r>
      <w:r w:rsidRPr="009E1DAB">
        <w:rPr>
          <w:rFonts w:eastAsia="Calibri"/>
          <w:lang w:eastAsia="en-US"/>
        </w:rPr>
        <w:t xml:space="preserve"> Elementos físicos influenciados por características geológicas, geométricas e de resistência das diferentes unidades geológico-geotécnicas; declividade e altura das encostas; declividade do topo rochoso subjacente aos materiais de cobertura; orientação das estruturas geológicas dos solos e rochas em relação às encostas e suas características de resistência; posição e variação do nível d’água nas diferentes unidades geológico-geotécnicas; orientação dos taludes em relação à direção dos ventos e das ondas; presença ou ausência de cobertura vegetal; e uso e ocupação do solo de maneira geral.</w:t>
      </w:r>
    </w:p>
    <w:p w:rsidR="009E1DAB" w:rsidRPr="009E1DAB" w:rsidRDefault="009E1DAB" w:rsidP="009E1DAB">
      <w:pPr>
        <w:numPr>
          <w:ilvl w:val="0"/>
          <w:numId w:val="10"/>
        </w:numPr>
        <w:spacing w:before="120" w:after="120" w:line="240" w:lineRule="auto"/>
        <w:rPr>
          <w:rFonts w:eastAsia="Calibri"/>
          <w:lang w:eastAsia="en-US"/>
        </w:rPr>
      </w:pPr>
      <w:r w:rsidRPr="009E1DAB">
        <w:rPr>
          <w:rFonts w:eastAsia="Calibri"/>
          <w:b/>
          <w:lang w:eastAsia="en-US"/>
        </w:rPr>
        <w:t xml:space="preserve">Sismicidade – </w:t>
      </w:r>
      <w:r w:rsidRPr="009E1DAB">
        <w:rPr>
          <w:rFonts w:eastAsia="Calibri"/>
          <w:lang w:eastAsia="en-US"/>
        </w:rPr>
        <w:t>Pode ser</w:t>
      </w:r>
      <w:r w:rsidRPr="009E1DAB">
        <w:rPr>
          <w:rFonts w:eastAsia="Calibri"/>
          <w:b/>
          <w:lang w:eastAsia="en-US"/>
        </w:rPr>
        <w:t xml:space="preserve"> </w:t>
      </w:r>
      <w:r w:rsidRPr="009E1DAB">
        <w:rPr>
          <w:rFonts w:eastAsia="Calibri"/>
          <w:lang w:eastAsia="en-US"/>
        </w:rPr>
        <w:t xml:space="preserve">induzida pela formação dos reservatórios. Resulta das tensões que se superpõem ao regime de tensões tectônicas pré-existentes, diminuindo a resistência e provocando acomodações nos maciços rochosos. Em geral, nos casos de sismos induzidos por reservatórios, os maciços rochosos já se encontram com tensões próximas </w:t>
      </w:r>
      <w:r w:rsidRPr="009E1DAB">
        <w:rPr>
          <w:rFonts w:eastAsia="Calibri"/>
          <w:lang w:eastAsia="en-US"/>
        </w:rPr>
        <w:lastRenderedPageBreak/>
        <w:t>àquelas da ruptura, antes do enchimento, pois as alterações das tensões resultantes desse enchimento são pequenas em comparação às tensões liberadas pelos sismos naturais. Assim sendo, a análise da sismicidade induzida deve considerar também as ocorrências da sismicidade natural. Os condicionantes são as características geomecânicas do maciço rochoso, como falhamentos, módulos de deformabilidade, parâmetros de resistência e a dinâmica de movimentos da crosta.</w:t>
      </w:r>
    </w:p>
    <w:p w:rsidR="009E1DAB" w:rsidRPr="009E1DAB" w:rsidRDefault="009E1DAB" w:rsidP="009E1DAB">
      <w:pPr>
        <w:numPr>
          <w:ilvl w:val="0"/>
          <w:numId w:val="10"/>
        </w:numPr>
        <w:spacing w:before="120" w:after="120" w:line="240" w:lineRule="auto"/>
        <w:rPr>
          <w:rFonts w:eastAsia="Calibri"/>
          <w:lang w:eastAsia="en-US"/>
        </w:rPr>
      </w:pPr>
      <w:r w:rsidRPr="009E1DAB">
        <w:rPr>
          <w:rFonts w:eastAsia="Calibri"/>
          <w:b/>
          <w:lang w:eastAsia="en-US"/>
        </w:rPr>
        <w:t xml:space="preserve">Contaminação dos Solos – </w:t>
      </w:r>
      <w:r w:rsidRPr="009E1DAB">
        <w:rPr>
          <w:rFonts w:eastAsia="Calibri"/>
          <w:lang w:eastAsia="en-US"/>
        </w:rPr>
        <w:t>No caso da implantação dos reservatórios existe a possibilidade de ocorrer uma contaminação pontual, principalmente no local do canteiro de obras, por derramamento acidental de substâncias poluidoras.</w:t>
      </w:r>
    </w:p>
    <w:p w:rsidR="009E1DAB" w:rsidRPr="009E1DAB" w:rsidRDefault="009E1DAB" w:rsidP="009E1DAB">
      <w:pPr>
        <w:numPr>
          <w:ilvl w:val="0"/>
          <w:numId w:val="10"/>
        </w:numPr>
        <w:spacing w:before="120" w:after="120" w:line="240" w:lineRule="auto"/>
        <w:rPr>
          <w:rFonts w:eastAsia="Calibri"/>
          <w:lang w:eastAsia="en-US"/>
        </w:rPr>
      </w:pPr>
      <w:r w:rsidRPr="009E1DAB">
        <w:rPr>
          <w:rFonts w:eastAsia="Calibri"/>
          <w:b/>
          <w:lang w:eastAsia="en-US"/>
        </w:rPr>
        <w:t>Potencial Agrícola das Terras –</w:t>
      </w:r>
      <w:r w:rsidRPr="009E1DAB">
        <w:rPr>
          <w:rFonts w:eastAsia="Calibri"/>
          <w:lang w:eastAsia="en-US"/>
        </w:rPr>
        <w:t xml:space="preserve"> Entendido como a capacidade de suporte à produção agropecuária das terras afetadas, influenciada pela fertilidade e demais características químicas do solo que, em conjunto com o relevo, determinam a susceptibilidade à erosão e os parâmetros limitantes à moto-mecanização.</w:t>
      </w:r>
    </w:p>
    <w:p w:rsidR="009E1DAB" w:rsidRPr="009E1DAB" w:rsidRDefault="009E1DAB" w:rsidP="009E1DAB">
      <w:pPr>
        <w:numPr>
          <w:ilvl w:val="0"/>
          <w:numId w:val="10"/>
        </w:numPr>
        <w:spacing w:before="120" w:after="120" w:line="240" w:lineRule="auto"/>
        <w:rPr>
          <w:rFonts w:eastAsia="Calibri"/>
          <w:lang w:eastAsia="en-US"/>
        </w:rPr>
      </w:pPr>
      <w:r w:rsidRPr="009E1DAB">
        <w:rPr>
          <w:rFonts w:eastAsia="Calibri"/>
          <w:b/>
          <w:lang w:eastAsia="en-US"/>
        </w:rPr>
        <w:t xml:space="preserve">Potencial de Exploração Mineral </w:t>
      </w:r>
      <w:r w:rsidRPr="009E1DAB">
        <w:rPr>
          <w:rFonts w:eastAsia="Calibri"/>
          <w:lang w:eastAsia="en-US"/>
        </w:rPr>
        <w:t>- Definido pela disponibilidade de bens minerais ao longo da área a ser inundada.</w:t>
      </w:r>
    </w:p>
    <w:p w:rsidR="009E1DAB" w:rsidRPr="009E1DAB" w:rsidRDefault="009E1DAB" w:rsidP="00431A97">
      <w:pPr>
        <w:numPr>
          <w:ilvl w:val="0"/>
          <w:numId w:val="28"/>
        </w:numPr>
        <w:spacing w:before="240" w:after="240" w:line="240" w:lineRule="auto"/>
        <w:rPr>
          <w:rFonts w:eastAsia="Calibri"/>
          <w:b/>
          <w:szCs w:val="22"/>
          <w:lang w:eastAsia="en-US"/>
        </w:rPr>
      </w:pPr>
      <w:r w:rsidRPr="009E1DAB">
        <w:rPr>
          <w:rFonts w:eastAsia="Calibri"/>
          <w:b/>
          <w:szCs w:val="22"/>
          <w:lang w:eastAsia="en-US"/>
        </w:rPr>
        <w:t>Recursos Cênicos</w:t>
      </w:r>
    </w:p>
    <w:p w:rsidR="009E1DAB" w:rsidRPr="009E1DAB" w:rsidRDefault="009E1DAB" w:rsidP="009E1DAB">
      <w:pPr>
        <w:spacing w:before="120" w:after="120" w:line="240" w:lineRule="auto"/>
        <w:rPr>
          <w:rFonts w:eastAsia="Calibri"/>
          <w:lang w:eastAsia="en-US"/>
        </w:rPr>
      </w:pPr>
      <w:r w:rsidRPr="009E1DAB">
        <w:rPr>
          <w:rFonts w:eastAsia="Calibri"/>
          <w:lang w:eastAsia="en-US"/>
        </w:rPr>
        <w:t xml:space="preserve">Definido pela a possibilidade de degradação ambiental de elementos da paisagem pela implantação do reservatório ou áreas de empréstimo e bota fora. E, também, pela possibilidade de interferência </w:t>
      </w:r>
      <w:r w:rsidR="005A0026">
        <w:rPr>
          <w:rFonts w:eastAsia="Calibri"/>
          <w:lang w:eastAsia="en-US"/>
        </w:rPr>
        <w:t>em monumentos naturais</w:t>
      </w:r>
      <w:r w:rsidRPr="009E1DAB">
        <w:rPr>
          <w:rFonts w:eastAsia="Calibri"/>
          <w:lang w:eastAsia="en-US"/>
        </w:rPr>
        <w:t>.</w:t>
      </w:r>
    </w:p>
    <w:p w:rsidR="009E1DAB" w:rsidRPr="009E1DAB" w:rsidRDefault="009E1DAB" w:rsidP="00431A97">
      <w:pPr>
        <w:pStyle w:val="Ttulo4"/>
        <w:numPr>
          <w:ilvl w:val="3"/>
          <w:numId w:val="34"/>
        </w:numPr>
      </w:pPr>
      <w:bookmarkStart w:id="68" w:name="_Toc257038454"/>
      <w:bookmarkStart w:id="69" w:name="_Toc257044152"/>
      <w:bookmarkStart w:id="70" w:name="_Toc257044242"/>
      <w:bookmarkStart w:id="71" w:name="_Toc257101930"/>
      <w:bookmarkStart w:id="72" w:name="_Toc257117411"/>
      <w:bookmarkStart w:id="73" w:name="_Toc365973390"/>
      <w:bookmarkStart w:id="74" w:name="_Toc370906017"/>
      <w:bookmarkStart w:id="75" w:name="_Toc371328361"/>
      <w:bookmarkStart w:id="76" w:name="_Toc418758196"/>
      <w:bookmarkStart w:id="77" w:name="_Toc418758798"/>
      <w:bookmarkStart w:id="78" w:name="_Toc419813563"/>
      <w:r w:rsidRPr="009E1DAB">
        <w:t>Aspectos Ambientais do Meio Biótico</w:t>
      </w:r>
      <w:bookmarkEnd w:id="68"/>
      <w:bookmarkEnd w:id="69"/>
      <w:bookmarkEnd w:id="70"/>
      <w:bookmarkEnd w:id="71"/>
      <w:bookmarkEnd w:id="72"/>
      <w:bookmarkEnd w:id="73"/>
      <w:bookmarkEnd w:id="74"/>
      <w:bookmarkEnd w:id="75"/>
      <w:bookmarkEnd w:id="76"/>
      <w:bookmarkEnd w:id="77"/>
      <w:bookmarkEnd w:id="78"/>
    </w:p>
    <w:p w:rsidR="002308F6" w:rsidRPr="002308F6" w:rsidRDefault="002308F6" w:rsidP="002308F6">
      <w:pPr>
        <w:autoSpaceDE w:val="0"/>
        <w:autoSpaceDN w:val="0"/>
        <w:adjustRightInd w:val="0"/>
        <w:spacing w:before="120" w:after="120" w:line="240" w:lineRule="auto"/>
        <w:rPr>
          <w:rFonts w:cs="Arial"/>
          <w:szCs w:val="22"/>
        </w:rPr>
      </w:pPr>
      <w:r w:rsidRPr="002308F6">
        <w:rPr>
          <w:rFonts w:cs="Arial"/>
          <w:szCs w:val="22"/>
        </w:rPr>
        <w:t>Os impactos gerados pelos empreendimentos afetam diretamente ecossistemas terrestres e aquáticos, em decorrência do alagamento de áreas que não se encontram atualmente sob maior influência dos cursos d'água e da alteração da dinâmica hídrica; e indiretamente, pelo aumento de pressão antrópica e pelo efeito estendido da inundação sobre os remanescentes.</w:t>
      </w:r>
    </w:p>
    <w:p w:rsidR="009E1DAB" w:rsidRPr="009E1DAB" w:rsidRDefault="009E1DAB" w:rsidP="009E1DAB">
      <w:pPr>
        <w:autoSpaceDE w:val="0"/>
        <w:autoSpaceDN w:val="0"/>
        <w:adjustRightInd w:val="0"/>
        <w:spacing w:before="120" w:after="120" w:line="240" w:lineRule="auto"/>
        <w:rPr>
          <w:rFonts w:cs="Arial"/>
          <w:szCs w:val="22"/>
        </w:rPr>
      </w:pPr>
      <w:r w:rsidRPr="009E1DAB">
        <w:rPr>
          <w:rFonts w:cs="Arial"/>
          <w:szCs w:val="22"/>
        </w:rPr>
        <w:t xml:space="preserve">Para o presente estudo, foram analisados </w:t>
      </w:r>
      <w:r w:rsidR="002308F6">
        <w:rPr>
          <w:rFonts w:cs="Arial"/>
          <w:szCs w:val="22"/>
        </w:rPr>
        <w:t>grupos bioindicadores d</w:t>
      </w:r>
      <w:r w:rsidRPr="009E1DAB">
        <w:rPr>
          <w:rFonts w:cs="Arial"/>
          <w:szCs w:val="22"/>
        </w:rPr>
        <w:t>as biocenoses. Define-se biocenose como o conjunto inter-relacionado de fauna e flora, coexistindo em um determinado biótopo em determinado tempo</w:t>
      </w:r>
      <w:r w:rsidRPr="009E1DAB">
        <w:rPr>
          <w:rFonts w:cs="Arial"/>
          <w:szCs w:val="22"/>
          <w:vertAlign w:val="superscript"/>
        </w:rPr>
        <w:footnoteReference w:id="2"/>
      </w:r>
      <w:r w:rsidRPr="009E1DAB">
        <w:rPr>
          <w:rFonts w:cs="Arial"/>
          <w:szCs w:val="22"/>
        </w:rPr>
        <w:t xml:space="preserve">. </w:t>
      </w:r>
    </w:p>
    <w:p w:rsidR="009E1DAB" w:rsidRPr="009E1DAB" w:rsidRDefault="009E1DAB" w:rsidP="009E1DAB">
      <w:pPr>
        <w:autoSpaceDE w:val="0"/>
        <w:autoSpaceDN w:val="0"/>
        <w:adjustRightInd w:val="0"/>
        <w:spacing w:before="120" w:after="120" w:line="240" w:lineRule="auto"/>
        <w:rPr>
          <w:rFonts w:cs="Arial"/>
          <w:szCs w:val="22"/>
        </w:rPr>
      </w:pPr>
      <w:r w:rsidRPr="009E1DAB">
        <w:rPr>
          <w:rFonts w:cs="Arial"/>
          <w:szCs w:val="22"/>
        </w:rPr>
        <w:t>O conceito pressupõe, portanto, interações organizadas entre os componentes bióticos. As biocenoses, em situação natural, estão em equilíbrio dinâmico com as atuais condiçõe</w:t>
      </w:r>
      <w:r w:rsidR="002308F6">
        <w:rPr>
          <w:rFonts w:cs="Arial"/>
          <w:szCs w:val="22"/>
        </w:rPr>
        <w:t xml:space="preserve">s físico-químicas do ambiente. </w:t>
      </w:r>
      <w:r w:rsidRPr="009E1DAB">
        <w:rPr>
          <w:rFonts w:cs="Arial"/>
          <w:szCs w:val="22"/>
        </w:rPr>
        <w:t>Este equilíbrio e a composição das biocenoses são produtos dinâmicos da história evolutiva, condicionada por eventos climáticos e geológicos locais, regionais ou globais.</w:t>
      </w:r>
    </w:p>
    <w:p w:rsidR="002308F6" w:rsidRDefault="002308F6" w:rsidP="002308F6">
      <w:pPr>
        <w:autoSpaceDE w:val="0"/>
        <w:autoSpaceDN w:val="0"/>
        <w:adjustRightInd w:val="0"/>
        <w:spacing w:before="120" w:after="120" w:line="240" w:lineRule="auto"/>
        <w:rPr>
          <w:rFonts w:cs="Arial"/>
          <w:szCs w:val="22"/>
        </w:rPr>
      </w:pPr>
      <w:r w:rsidRPr="002308F6">
        <w:rPr>
          <w:rFonts w:cs="Arial"/>
          <w:szCs w:val="22"/>
        </w:rPr>
        <w:t>Devido à impossibilidade de abarcar todos os elementos vivos que compõem as biocenoses dos ambientes afetados, os estudos realizados restringiram-se à análise de grupos de organismos bioindicadores das biocenoses locais. Objetivou-se, obter o delineamento de um quadro aproximado da flora e fauna terrestres, dos invertebrados de interesse médico sanitário, da limnologia e da ictiofauna, mesmo sem contemplar parte dos aspectos da dinâmica ecológica. Para tanto, foram selecionados os seguintes grupos biológicos:</w:t>
      </w:r>
    </w:p>
    <w:p w:rsidR="0077210A" w:rsidRPr="0077210A" w:rsidRDefault="0077210A" w:rsidP="003F7A2B">
      <w:pPr>
        <w:autoSpaceDE w:val="0"/>
        <w:autoSpaceDN w:val="0"/>
        <w:adjustRightInd w:val="0"/>
        <w:spacing w:before="240" w:after="240" w:line="240" w:lineRule="auto"/>
        <w:rPr>
          <w:rFonts w:cs="Arial"/>
          <w:b/>
          <w:szCs w:val="22"/>
        </w:rPr>
      </w:pPr>
      <w:r w:rsidRPr="0077210A">
        <w:rPr>
          <w:rFonts w:cs="Arial"/>
          <w:b/>
          <w:szCs w:val="22"/>
        </w:rPr>
        <w:t>a) Flora</w:t>
      </w:r>
    </w:p>
    <w:p w:rsidR="009E1DAB" w:rsidRDefault="002308F6" w:rsidP="0077210A">
      <w:pPr>
        <w:autoSpaceDE w:val="0"/>
        <w:autoSpaceDN w:val="0"/>
        <w:adjustRightInd w:val="0"/>
        <w:spacing w:before="120" w:after="120" w:line="240" w:lineRule="auto"/>
        <w:rPr>
          <w:rFonts w:cs="Arial"/>
          <w:szCs w:val="22"/>
        </w:rPr>
      </w:pPr>
      <w:r>
        <w:rPr>
          <w:rFonts w:cs="Arial"/>
          <w:szCs w:val="22"/>
        </w:rPr>
        <w:t>C</w:t>
      </w:r>
      <w:r w:rsidR="009E1DAB" w:rsidRPr="009E1DAB">
        <w:rPr>
          <w:rFonts w:cs="Arial"/>
          <w:szCs w:val="22"/>
        </w:rPr>
        <w:t>onjunto de comunidades vegetais interagentes e modificantes do ambiente em que ocorrem, organizadas em associações florísticas condicionadas por fatores ambientais específicos. As diferentes formações vegetais podem ser caracterizadas quanto ao tipo e ao grau de alteração, associadas à composição florística, ao porte, à estrutura, entre outros parâmetros</w:t>
      </w:r>
      <w:r>
        <w:rPr>
          <w:rFonts w:cs="Arial"/>
          <w:szCs w:val="22"/>
        </w:rPr>
        <w:t>; e</w:t>
      </w:r>
      <w:r w:rsidR="009E1DAB" w:rsidRPr="009E1DAB">
        <w:rPr>
          <w:rFonts w:cs="Arial"/>
          <w:szCs w:val="22"/>
        </w:rPr>
        <w:t xml:space="preserve">. </w:t>
      </w:r>
    </w:p>
    <w:p w:rsidR="002308F6" w:rsidRDefault="0077210A" w:rsidP="003F7A2B">
      <w:pPr>
        <w:autoSpaceDE w:val="0"/>
        <w:autoSpaceDN w:val="0"/>
        <w:adjustRightInd w:val="0"/>
        <w:spacing w:before="240" w:after="240" w:line="240" w:lineRule="auto"/>
        <w:rPr>
          <w:rFonts w:cs="Arial"/>
          <w:b/>
          <w:szCs w:val="22"/>
        </w:rPr>
      </w:pPr>
      <w:r>
        <w:rPr>
          <w:rFonts w:cs="Arial"/>
          <w:b/>
          <w:szCs w:val="22"/>
        </w:rPr>
        <w:lastRenderedPageBreak/>
        <w:t xml:space="preserve">b) </w:t>
      </w:r>
      <w:r w:rsidR="002308F6" w:rsidRPr="002308F6">
        <w:rPr>
          <w:rFonts w:cs="Arial"/>
          <w:b/>
          <w:szCs w:val="22"/>
        </w:rPr>
        <w:t>Fauna Terrestre</w:t>
      </w:r>
    </w:p>
    <w:p w:rsidR="002308F6" w:rsidRPr="002308F6" w:rsidRDefault="002308F6" w:rsidP="00D751C1">
      <w:pPr>
        <w:autoSpaceDE w:val="0"/>
        <w:autoSpaceDN w:val="0"/>
        <w:adjustRightInd w:val="0"/>
        <w:spacing w:before="120" w:line="240" w:lineRule="auto"/>
        <w:rPr>
          <w:rFonts w:cs="Arial"/>
          <w:szCs w:val="22"/>
        </w:rPr>
      </w:pPr>
      <w:r w:rsidRPr="002308F6">
        <w:rPr>
          <w:rFonts w:cs="Arial"/>
          <w:szCs w:val="22"/>
        </w:rPr>
        <w:t>Vida animal de uma determinada área ou habitat em determinado tempo, com limites espacial e temporal arbitrários (ACIESP, 1987). Abrange o conjunto de espécies que desempenham diferentes papéis ecológicos (nichos ecológicos) em uma comunidade. No presente estudo, a análise faunística restringiu-se aos vertebrados, sendo que os peixes estão contemplados como outro fator devido às suas peculiaridades com relação ao habitat, e aos impactos específicos de uma barragem.</w:t>
      </w:r>
    </w:p>
    <w:p w:rsidR="009E1DAB" w:rsidRPr="009E1DAB" w:rsidRDefault="0077210A" w:rsidP="009E1DAB">
      <w:pPr>
        <w:autoSpaceDE w:val="0"/>
        <w:autoSpaceDN w:val="0"/>
        <w:adjustRightInd w:val="0"/>
        <w:spacing w:before="120" w:after="120" w:line="240" w:lineRule="auto"/>
        <w:rPr>
          <w:rFonts w:cs="Arial"/>
          <w:szCs w:val="22"/>
        </w:rPr>
      </w:pPr>
      <w:r w:rsidRPr="0077210A">
        <w:rPr>
          <w:rFonts w:cs="Arial"/>
          <w:szCs w:val="22"/>
        </w:rPr>
        <w:t xml:space="preserve">O principal aspecto ambiental relacionado ao meio biótico terrestre, do qual decorre grande parte dos impactos ambientais associados a esse meio é a </w:t>
      </w:r>
      <w:r w:rsidRPr="0077210A">
        <w:rPr>
          <w:rFonts w:cs="Arial"/>
          <w:b/>
          <w:szCs w:val="22"/>
        </w:rPr>
        <w:t>supressão de vegetação</w:t>
      </w:r>
      <w:r w:rsidRPr="0077210A">
        <w:rPr>
          <w:rFonts w:cs="Arial"/>
          <w:szCs w:val="22"/>
        </w:rPr>
        <w:t>.</w:t>
      </w:r>
    </w:p>
    <w:p w:rsidR="009E1DAB" w:rsidRPr="0077210A" w:rsidRDefault="009E1DAB" w:rsidP="0077210A">
      <w:pPr>
        <w:autoSpaceDE w:val="0"/>
        <w:autoSpaceDN w:val="0"/>
        <w:adjustRightInd w:val="0"/>
        <w:spacing w:before="120" w:after="120" w:line="240" w:lineRule="auto"/>
        <w:rPr>
          <w:rFonts w:cs="Arial"/>
          <w:szCs w:val="22"/>
        </w:rPr>
      </w:pPr>
      <w:r w:rsidRPr="0077210A">
        <w:rPr>
          <w:rFonts w:cs="Arial"/>
          <w:szCs w:val="22"/>
        </w:rPr>
        <w:t xml:space="preserve">Nas fases de construção e enchimento do reservatório as interferências na vegetação </w:t>
      </w:r>
      <w:r w:rsidR="0077210A">
        <w:rPr>
          <w:rFonts w:cs="Arial"/>
          <w:szCs w:val="22"/>
        </w:rPr>
        <w:t>se darão</w:t>
      </w:r>
      <w:r w:rsidRPr="0077210A">
        <w:rPr>
          <w:rFonts w:cs="Arial"/>
          <w:szCs w:val="22"/>
        </w:rPr>
        <w:t xml:space="preserve"> de forma direta, em consequência </w:t>
      </w:r>
      <w:r w:rsidR="0077210A">
        <w:rPr>
          <w:rFonts w:cs="Arial"/>
          <w:szCs w:val="22"/>
        </w:rPr>
        <w:t>da necessidade de limpar o terreno para a</w:t>
      </w:r>
      <w:r w:rsidRPr="0077210A">
        <w:rPr>
          <w:rFonts w:cs="Arial"/>
          <w:szCs w:val="22"/>
        </w:rPr>
        <w:t xml:space="preserve"> construção da barragem e efetivação de áreas </w:t>
      </w:r>
      <w:r w:rsidR="0077210A">
        <w:rPr>
          <w:rFonts w:cs="Arial"/>
          <w:szCs w:val="22"/>
        </w:rPr>
        <w:t>d</w:t>
      </w:r>
      <w:r w:rsidRPr="0077210A">
        <w:rPr>
          <w:rFonts w:cs="Arial"/>
          <w:szCs w:val="22"/>
        </w:rPr>
        <w:t>e apoio, bem com</w:t>
      </w:r>
      <w:r w:rsidR="005E3672" w:rsidRPr="0077210A">
        <w:rPr>
          <w:rFonts w:cs="Arial"/>
          <w:szCs w:val="22"/>
        </w:rPr>
        <w:t xml:space="preserve">o do desmatamento </w:t>
      </w:r>
      <w:r w:rsidR="0077210A">
        <w:rPr>
          <w:rFonts w:cs="Arial"/>
          <w:szCs w:val="22"/>
        </w:rPr>
        <w:t>a ser realizado previamente ao enchimento do reservatório.</w:t>
      </w:r>
    </w:p>
    <w:p w:rsidR="009E1DAB" w:rsidRPr="009E1DAB" w:rsidRDefault="009E1DAB" w:rsidP="003F7A2B">
      <w:pPr>
        <w:spacing w:before="240" w:after="240" w:line="240" w:lineRule="auto"/>
        <w:rPr>
          <w:rFonts w:eastAsia="Calibri"/>
          <w:b/>
          <w:bCs/>
          <w:szCs w:val="22"/>
          <w:lang w:eastAsia="en-US"/>
        </w:rPr>
      </w:pPr>
      <w:r w:rsidRPr="009E1DAB">
        <w:rPr>
          <w:rFonts w:eastAsia="Calibri"/>
          <w:b/>
          <w:bCs/>
          <w:szCs w:val="22"/>
          <w:lang w:eastAsia="en-US"/>
        </w:rPr>
        <w:t>c) Ecossistemas Aquáticos</w:t>
      </w:r>
    </w:p>
    <w:p w:rsidR="009E1DAB" w:rsidRPr="009E1DAB" w:rsidRDefault="009E1DAB" w:rsidP="009E1DAB">
      <w:pPr>
        <w:autoSpaceDE w:val="0"/>
        <w:autoSpaceDN w:val="0"/>
        <w:adjustRightInd w:val="0"/>
        <w:spacing w:before="120" w:after="120" w:line="240" w:lineRule="auto"/>
        <w:rPr>
          <w:rFonts w:cs="Arial"/>
          <w:szCs w:val="22"/>
        </w:rPr>
      </w:pPr>
      <w:r w:rsidRPr="009E1DAB">
        <w:rPr>
          <w:rFonts w:cs="Arial"/>
          <w:szCs w:val="22"/>
        </w:rPr>
        <w:t xml:space="preserve">As características limnológicas são definidas pelas condições físicas, químicas e biológicas da água e, ainda, por fatores climáticos, condições geológicas, geomorfológicas, edáficas, morfométricas e tipo de vegetação a ser inundada. Além destes aspectos, é considerada a interferência das atividades antrópicas na bacia hidrográfica e, também, das características das barragens. </w:t>
      </w:r>
    </w:p>
    <w:p w:rsidR="009E1DAB" w:rsidRPr="009E1DAB" w:rsidRDefault="009E1DAB" w:rsidP="009E1DAB">
      <w:pPr>
        <w:autoSpaceDE w:val="0"/>
        <w:autoSpaceDN w:val="0"/>
        <w:adjustRightInd w:val="0"/>
        <w:spacing w:before="120" w:after="120" w:line="240" w:lineRule="auto"/>
        <w:rPr>
          <w:rFonts w:cs="Arial"/>
          <w:szCs w:val="22"/>
        </w:rPr>
      </w:pPr>
      <w:r w:rsidRPr="009E1DAB">
        <w:rPr>
          <w:rFonts w:cs="Arial"/>
          <w:szCs w:val="22"/>
        </w:rPr>
        <w:t>Para avaliação dos impactos sobre o meio aquático foram analisados:</w:t>
      </w:r>
    </w:p>
    <w:p w:rsidR="009E1DAB" w:rsidRPr="009E1DAB" w:rsidRDefault="009E1DAB" w:rsidP="009E1DAB">
      <w:pPr>
        <w:numPr>
          <w:ilvl w:val="0"/>
          <w:numId w:val="10"/>
        </w:numPr>
        <w:spacing w:before="120" w:after="120" w:line="240" w:lineRule="auto"/>
        <w:rPr>
          <w:rFonts w:eastAsia="Calibri"/>
          <w:lang w:eastAsia="en-US"/>
        </w:rPr>
      </w:pPr>
      <w:r w:rsidRPr="009E1DAB">
        <w:rPr>
          <w:rFonts w:eastAsia="Calibri"/>
          <w:b/>
          <w:lang w:eastAsia="en-US"/>
        </w:rPr>
        <w:t xml:space="preserve">Qualidade da Água e Comunidades Aquáticas - </w:t>
      </w:r>
      <w:r w:rsidRPr="009E1DAB">
        <w:rPr>
          <w:rFonts w:eastAsia="Calibri"/>
          <w:lang w:eastAsia="en-US"/>
        </w:rPr>
        <w:t>As características físicas e químicas consistem num conjunto de parâmetros, propriedades e concentrações de elementos dissolvidos ou em suspensão. Estas podem variar em função de processos naturais como, por exemplo, a ocorrência de cheias e em função de despejo de elementos poluentes. Variam, também, com a alteração nos regimes fluviais e transporte de sedimentos. No caso específico das barragens Pedreira e Duas Pontes, as principais alterações na qualidade da água decorrem da transformação do regime lótico em lêntico nas fases de enchimento dos reservatórios. As alterações na qualidade da água influenciam diretamente a dinâmica ecológica das comunidades aquáticas.</w:t>
      </w:r>
    </w:p>
    <w:p w:rsidR="009E1DAB" w:rsidRPr="009E1DAB" w:rsidRDefault="009E1DAB" w:rsidP="009E1DAB">
      <w:pPr>
        <w:numPr>
          <w:ilvl w:val="0"/>
          <w:numId w:val="10"/>
        </w:numPr>
        <w:spacing w:before="120" w:after="120" w:line="240" w:lineRule="auto"/>
        <w:rPr>
          <w:rFonts w:eastAsia="Calibri"/>
          <w:lang w:eastAsia="en-US"/>
        </w:rPr>
      </w:pPr>
      <w:r w:rsidRPr="009E1DAB">
        <w:rPr>
          <w:rFonts w:eastAsia="Calibri"/>
          <w:b/>
          <w:lang w:eastAsia="en-US"/>
        </w:rPr>
        <w:t>Ictiofauna -</w:t>
      </w:r>
      <w:r w:rsidRPr="009E1DAB">
        <w:rPr>
          <w:rFonts w:eastAsia="Calibri"/>
          <w:lang w:eastAsia="en-US"/>
        </w:rPr>
        <w:t xml:space="preserve"> Os impactos na ictiofauna abrangem principalmente as interferências no deslocamento migratório, na diversidade e na estrutura das comunidades. As modificações são atribuídas às novas características limnológicas do meio ambiente, às modificações nas dinâmicas da água (de lótico para lêntico), à perda de ambientes específicos para determinada fauna de peixes, dentre outros organismos associados. Para a avaliação dos impactos na ictiofauna serão analisadas a dinâmica e a estrutura das comunidades de espécies (abundancia riqueza e diversidade). </w:t>
      </w:r>
    </w:p>
    <w:p w:rsidR="009E1DAB" w:rsidRPr="009E1DAB" w:rsidRDefault="009E1DAB" w:rsidP="009E1DAB">
      <w:pPr>
        <w:spacing w:before="120" w:after="120" w:line="240" w:lineRule="auto"/>
        <w:rPr>
          <w:rFonts w:eastAsia="Calibri"/>
          <w:lang w:eastAsia="en-US"/>
        </w:rPr>
      </w:pPr>
      <w:r w:rsidRPr="009E1DAB">
        <w:rPr>
          <w:rFonts w:cs="Arial"/>
          <w:b/>
          <w:szCs w:val="22"/>
        </w:rPr>
        <w:t>d) Interferências em Unidades de Conservação e outras Áreas Protegidas</w:t>
      </w:r>
    </w:p>
    <w:p w:rsidR="009E1DAB" w:rsidRPr="009E1DAB" w:rsidRDefault="009E1DAB" w:rsidP="009E1DAB">
      <w:pPr>
        <w:spacing w:before="120" w:after="120" w:line="240" w:lineRule="auto"/>
        <w:rPr>
          <w:rFonts w:eastAsia="Calibri"/>
          <w:szCs w:val="22"/>
          <w:lang w:eastAsia="en-US"/>
        </w:rPr>
      </w:pPr>
      <w:r w:rsidRPr="009E1DAB">
        <w:rPr>
          <w:rFonts w:eastAsia="Calibri"/>
          <w:lang w:eastAsia="en-US"/>
        </w:rPr>
        <w:t xml:space="preserve">A formação dos reservatórios poderão afetar Áreas de Preservação Permanente e interferir com as Unidades de Conservação existentes na área de inserção dos empreendimentos. </w:t>
      </w:r>
    </w:p>
    <w:p w:rsidR="009E1DAB" w:rsidRPr="009E1DAB" w:rsidRDefault="009E1DAB" w:rsidP="00431A97">
      <w:pPr>
        <w:pStyle w:val="Ttulo4"/>
        <w:numPr>
          <w:ilvl w:val="3"/>
          <w:numId w:val="34"/>
        </w:numPr>
      </w:pPr>
      <w:bookmarkStart w:id="79" w:name="_Toc257038455"/>
      <w:bookmarkStart w:id="80" w:name="_Toc257044153"/>
      <w:bookmarkStart w:id="81" w:name="_Toc257044243"/>
      <w:bookmarkStart w:id="82" w:name="_Toc257101931"/>
      <w:bookmarkStart w:id="83" w:name="_Toc257117412"/>
      <w:bookmarkStart w:id="84" w:name="_Toc365973391"/>
      <w:bookmarkStart w:id="85" w:name="_Toc370906018"/>
      <w:bookmarkStart w:id="86" w:name="_Toc371328362"/>
      <w:bookmarkStart w:id="87" w:name="_Toc418758197"/>
      <w:bookmarkStart w:id="88" w:name="_Toc418758799"/>
      <w:bookmarkStart w:id="89" w:name="_Toc419813564"/>
      <w:r w:rsidRPr="009E1DAB">
        <w:t>Aspectos Ambientais do Meio Socioeconômico</w:t>
      </w:r>
      <w:bookmarkEnd w:id="79"/>
      <w:bookmarkEnd w:id="80"/>
      <w:bookmarkEnd w:id="81"/>
      <w:bookmarkEnd w:id="82"/>
      <w:bookmarkEnd w:id="83"/>
      <w:bookmarkEnd w:id="84"/>
      <w:bookmarkEnd w:id="85"/>
      <w:bookmarkEnd w:id="86"/>
      <w:bookmarkEnd w:id="87"/>
      <w:bookmarkEnd w:id="88"/>
      <w:bookmarkEnd w:id="89"/>
    </w:p>
    <w:p w:rsidR="009E1DAB" w:rsidRPr="009E1DAB" w:rsidRDefault="009E1DAB" w:rsidP="009E1DAB">
      <w:pPr>
        <w:spacing w:before="120" w:after="120" w:line="240" w:lineRule="auto"/>
        <w:rPr>
          <w:rFonts w:eastAsia="Calibri"/>
          <w:lang w:eastAsia="en-US"/>
        </w:rPr>
      </w:pPr>
      <w:r w:rsidRPr="009E1DAB">
        <w:rPr>
          <w:rFonts w:eastAsia="Calibri"/>
          <w:lang w:eastAsia="en-US"/>
        </w:rPr>
        <w:t xml:space="preserve">Para a sistematização e avaliação de impactos sobre o meio socioeconômico foram analisados os seguintes aspectos ambientais: </w:t>
      </w:r>
    </w:p>
    <w:p w:rsidR="009E1DAB" w:rsidRPr="009E1DAB" w:rsidRDefault="009E1DAB" w:rsidP="0079329A">
      <w:pPr>
        <w:numPr>
          <w:ilvl w:val="0"/>
          <w:numId w:val="29"/>
        </w:numPr>
        <w:spacing w:before="120" w:after="120" w:line="240" w:lineRule="auto"/>
        <w:ind w:left="284" w:hanging="284"/>
        <w:rPr>
          <w:rFonts w:eastAsia="Calibri"/>
          <w:lang w:eastAsia="en-US"/>
        </w:rPr>
      </w:pPr>
      <w:r w:rsidRPr="009E1DAB">
        <w:rPr>
          <w:rFonts w:eastAsia="Calibri"/>
          <w:b/>
          <w:szCs w:val="22"/>
          <w:lang w:eastAsia="en-US"/>
        </w:rPr>
        <w:t xml:space="preserve">População e Qualidade de Vida - </w:t>
      </w:r>
      <w:r w:rsidR="005A0026" w:rsidRPr="009E1DAB">
        <w:rPr>
          <w:rFonts w:eastAsia="Calibri"/>
          <w:lang w:eastAsia="en-US"/>
        </w:rPr>
        <w:t xml:space="preserve">Abrange, basicamente, as transformações na dinâmica populacional, incluindo deslocamentos compulsórios/migratórios decorrentes da implantação dos barramentos, incluindo interferências de diversas naturezas no cotidiano da população </w:t>
      </w:r>
      <w:r w:rsidR="005A0026" w:rsidRPr="009E1DAB">
        <w:rPr>
          <w:rFonts w:eastAsia="Calibri"/>
          <w:lang w:eastAsia="en-US"/>
        </w:rPr>
        <w:lastRenderedPageBreak/>
        <w:t>local, e nas eventuais condições de acesso à equipamentos sociais e demais infraest</w:t>
      </w:r>
      <w:r w:rsidR="005A0026">
        <w:rPr>
          <w:rFonts w:eastAsia="Calibri"/>
          <w:lang w:eastAsia="en-US"/>
        </w:rPr>
        <w:t>ruturas de atendimento público.</w:t>
      </w:r>
    </w:p>
    <w:p w:rsidR="009E1DAB" w:rsidRPr="009E1DAB" w:rsidRDefault="009E1DAB" w:rsidP="003F7A2B">
      <w:pPr>
        <w:pStyle w:val="Item-Bolinha"/>
        <w:rPr>
          <w:rFonts w:eastAsia="Calibri"/>
          <w:lang w:eastAsia="en-US"/>
        </w:rPr>
      </w:pPr>
      <w:r w:rsidRPr="009E1DAB">
        <w:rPr>
          <w:rFonts w:eastAsia="Calibri"/>
          <w:b/>
          <w:lang w:eastAsia="en-US"/>
        </w:rPr>
        <w:t xml:space="preserve">Saúde Pública - </w:t>
      </w:r>
      <w:r w:rsidRPr="009E1DAB">
        <w:rPr>
          <w:rFonts w:eastAsia="Calibri"/>
          <w:lang w:eastAsia="en-US"/>
        </w:rPr>
        <w:t xml:space="preserve">engloba as mudanças previstas nas condições epidemiológicas e na oferta e demanda de serviços. </w:t>
      </w:r>
    </w:p>
    <w:p w:rsidR="009E1DAB" w:rsidRPr="009E1DAB" w:rsidRDefault="009E1DAB" w:rsidP="0079329A">
      <w:pPr>
        <w:numPr>
          <w:ilvl w:val="0"/>
          <w:numId w:val="29"/>
        </w:numPr>
        <w:spacing w:before="120" w:after="120" w:line="240" w:lineRule="auto"/>
        <w:ind w:left="284" w:hanging="284"/>
        <w:rPr>
          <w:rFonts w:eastAsia="Calibri"/>
          <w:lang w:eastAsia="en-US"/>
        </w:rPr>
      </w:pPr>
      <w:r w:rsidRPr="00F265B6">
        <w:rPr>
          <w:rFonts w:eastAsia="Calibri"/>
          <w:b/>
          <w:szCs w:val="22"/>
          <w:lang w:eastAsia="en-US"/>
        </w:rPr>
        <w:t>Organização Territorial -</w:t>
      </w:r>
      <w:r w:rsidRPr="009E1DAB">
        <w:rPr>
          <w:rFonts w:eastAsia="Calibri"/>
          <w:b/>
          <w:szCs w:val="22"/>
          <w:lang w:eastAsia="en-US"/>
        </w:rPr>
        <w:t xml:space="preserve"> </w:t>
      </w:r>
      <w:r w:rsidRPr="009E1DAB">
        <w:rPr>
          <w:rFonts w:eastAsia="Calibri"/>
          <w:lang w:eastAsia="en-US"/>
        </w:rPr>
        <w:t xml:space="preserve">Processo de organização socioeconômica, administrativa e institucional de um determinado território, incluindo mecanismos de articulação dos órgãos municipais, estaduais com as autoridades comunitárias locais. </w:t>
      </w:r>
    </w:p>
    <w:p w:rsidR="009E1DAB" w:rsidRPr="009E1DAB" w:rsidRDefault="00F265B6" w:rsidP="009E1DAB">
      <w:pPr>
        <w:numPr>
          <w:ilvl w:val="0"/>
          <w:numId w:val="10"/>
        </w:numPr>
        <w:spacing w:before="120" w:after="120" w:line="240" w:lineRule="auto"/>
        <w:rPr>
          <w:rFonts w:eastAsia="Calibri"/>
          <w:lang w:eastAsia="en-US"/>
        </w:rPr>
      </w:pPr>
      <w:r w:rsidRPr="00E650E8">
        <w:rPr>
          <w:rFonts w:eastAsia="Calibri"/>
          <w:b/>
          <w:lang w:eastAsia="en-US"/>
        </w:rPr>
        <w:t xml:space="preserve">Alteração </w:t>
      </w:r>
      <w:r w:rsidR="009E1DAB" w:rsidRPr="00E650E8">
        <w:rPr>
          <w:rFonts w:eastAsia="Calibri"/>
          <w:b/>
          <w:lang w:eastAsia="en-US"/>
        </w:rPr>
        <w:t>do Território</w:t>
      </w:r>
      <w:r w:rsidR="009E1DAB" w:rsidRPr="00E650E8">
        <w:rPr>
          <w:rFonts w:eastAsia="Calibri"/>
          <w:lang w:eastAsia="en-US"/>
        </w:rPr>
        <w:t xml:space="preserve"> – No sentido mais restrito, pode ser afetada pelas transformações</w:t>
      </w:r>
      <w:r w:rsidR="009E1DAB" w:rsidRPr="009E1DAB">
        <w:rPr>
          <w:rFonts w:eastAsia="Calibri"/>
          <w:lang w:eastAsia="en-US"/>
        </w:rPr>
        <w:t xml:space="preserve"> no uso e ocupação do solo e as interferências na dinâmica econômica e social e turismo e lazer.</w:t>
      </w:r>
    </w:p>
    <w:p w:rsidR="00F265B6" w:rsidRDefault="009E1DAB" w:rsidP="0079329A">
      <w:pPr>
        <w:numPr>
          <w:ilvl w:val="0"/>
          <w:numId w:val="29"/>
        </w:numPr>
        <w:spacing w:before="120" w:after="120" w:line="240" w:lineRule="auto"/>
        <w:ind w:left="284" w:hanging="284"/>
        <w:rPr>
          <w:rFonts w:eastAsia="Calibri"/>
          <w:szCs w:val="22"/>
          <w:lang w:eastAsia="en-US"/>
        </w:rPr>
      </w:pPr>
      <w:r w:rsidRPr="00F265B6">
        <w:rPr>
          <w:rFonts w:eastAsia="Calibri"/>
          <w:b/>
          <w:lang w:eastAsia="en-US"/>
        </w:rPr>
        <w:t>Infraestrutura regional/local</w:t>
      </w:r>
      <w:r w:rsidRPr="00F265B6">
        <w:rPr>
          <w:rFonts w:eastAsia="Calibri"/>
          <w:lang w:eastAsia="en-US"/>
        </w:rPr>
        <w:t xml:space="preserve"> – </w:t>
      </w:r>
      <w:r w:rsidR="00F265B6" w:rsidRPr="00B35E87">
        <w:rPr>
          <w:rFonts w:eastAsia="Calibri"/>
          <w:szCs w:val="22"/>
          <w:lang w:eastAsia="en-US"/>
        </w:rPr>
        <w:t>Trata de eventuais</w:t>
      </w:r>
      <w:r w:rsidR="00F265B6">
        <w:rPr>
          <w:rFonts w:eastAsia="Calibri"/>
          <w:b/>
          <w:szCs w:val="22"/>
          <w:lang w:eastAsia="en-US"/>
        </w:rPr>
        <w:t xml:space="preserve"> </w:t>
      </w:r>
      <w:r w:rsidR="00F265B6" w:rsidRPr="00B35E87">
        <w:rPr>
          <w:rFonts w:eastAsia="Calibri"/>
          <w:szCs w:val="22"/>
          <w:lang w:eastAsia="en-US"/>
        </w:rPr>
        <w:t>ruptura</w:t>
      </w:r>
      <w:r w:rsidR="00F265B6">
        <w:rPr>
          <w:rFonts w:eastAsia="Calibri"/>
          <w:szCs w:val="22"/>
          <w:lang w:eastAsia="en-US"/>
        </w:rPr>
        <w:t>s</w:t>
      </w:r>
      <w:r w:rsidR="00F265B6" w:rsidRPr="00B35E87">
        <w:rPr>
          <w:rFonts w:eastAsia="Calibri"/>
          <w:szCs w:val="22"/>
          <w:lang w:eastAsia="en-US"/>
        </w:rPr>
        <w:t xml:space="preserve"> ou isolamento</w:t>
      </w:r>
      <w:r w:rsidR="00F265B6">
        <w:rPr>
          <w:rFonts w:eastAsia="Calibri"/>
          <w:szCs w:val="22"/>
          <w:lang w:eastAsia="en-US"/>
        </w:rPr>
        <w:t>s</w:t>
      </w:r>
      <w:r w:rsidR="00F265B6" w:rsidRPr="00B35E87">
        <w:rPr>
          <w:rFonts w:eastAsia="Calibri"/>
          <w:szCs w:val="22"/>
          <w:lang w:eastAsia="en-US"/>
        </w:rPr>
        <w:t xml:space="preserve"> de redes e sistemas de infraestrutura disponíveis, como estradas, pontes, energia elétrica e saneamento básico.</w:t>
      </w:r>
    </w:p>
    <w:p w:rsidR="00F265B6" w:rsidRPr="009E1DAB" w:rsidRDefault="00F265B6" w:rsidP="003F7A2B">
      <w:pPr>
        <w:spacing w:before="120" w:after="120" w:line="240" w:lineRule="auto"/>
        <w:rPr>
          <w:rFonts w:eastAsia="Calibri"/>
          <w:szCs w:val="22"/>
          <w:lang w:eastAsia="en-US"/>
        </w:rPr>
      </w:pPr>
      <w:r w:rsidRPr="009E1DAB">
        <w:rPr>
          <w:rFonts w:eastAsia="Calibri"/>
          <w:szCs w:val="22"/>
          <w:lang w:eastAsia="en-US"/>
        </w:rPr>
        <w:t xml:space="preserve">No fator Base Econômica foram considerados os seguintes elementos de caracterização: </w:t>
      </w:r>
    </w:p>
    <w:p w:rsidR="009E1DAB" w:rsidRPr="009E1DAB" w:rsidRDefault="009E1DAB" w:rsidP="0079329A">
      <w:pPr>
        <w:numPr>
          <w:ilvl w:val="0"/>
          <w:numId w:val="29"/>
        </w:numPr>
        <w:spacing w:before="120" w:after="120" w:line="240" w:lineRule="auto"/>
        <w:ind w:left="284" w:hanging="284"/>
        <w:rPr>
          <w:rFonts w:eastAsia="Calibri"/>
          <w:lang w:eastAsia="en-US"/>
        </w:rPr>
      </w:pPr>
      <w:r w:rsidRPr="009E1DAB">
        <w:rPr>
          <w:rFonts w:eastAsia="Calibri"/>
          <w:b/>
          <w:lang w:eastAsia="en-US"/>
        </w:rPr>
        <w:t>Atividades Econômicas</w:t>
      </w:r>
      <w:r w:rsidRPr="009E1DAB">
        <w:rPr>
          <w:rFonts w:eastAsia="Calibri"/>
          <w:lang w:eastAsia="en-US"/>
        </w:rPr>
        <w:t xml:space="preserve"> – Podem ser afetadas por uma nova organização da estrutura produtiva de bens e serviços locais e no perfil e número de empregos. Englobam ainda as mudanças no mercado imobiliário.</w:t>
      </w:r>
    </w:p>
    <w:p w:rsidR="009E1DAB" w:rsidRPr="00F265B6" w:rsidRDefault="009E1DAB" w:rsidP="0079329A">
      <w:pPr>
        <w:numPr>
          <w:ilvl w:val="0"/>
          <w:numId w:val="29"/>
        </w:numPr>
        <w:spacing w:before="120" w:after="120" w:line="240" w:lineRule="auto"/>
        <w:ind w:left="284" w:hanging="284"/>
        <w:rPr>
          <w:rFonts w:eastAsia="Calibri"/>
          <w:szCs w:val="22"/>
          <w:lang w:eastAsia="en-US"/>
        </w:rPr>
      </w:pPr>
      <w:r w:rsidRPr="009E1DAB">
        <w:rPr>
          <w:rFonts w:eastAsia="Calibri"/>
          <w:b/>
          <w:lang w:eastAsia="en-US"/>
        </w:rPr>
        <w:t>Finanças Públicas</w:t>
      </w:r>
      <w:r w:rsidRPr="009E1DAB">
        <w:rPr>
          <w:rFonts w:eastAsia="Calibri"/>
          <w:lang w:eastAsia="en-US"/>
        </w:rPr>
        <w:t xml:space="preserve"> - </w:t>
      </w:r>
      <w:r w:rsidR="00F265B6" w:rsidRPr="004D203A">
        <w:rPr>
          <w:rFonts w:eastAsia="Calibri"/>
          <w:szCs w:val="22"/>
          <w:lang w:eastAsia="en-US"/>
        </w:rPr>
        <w:t>Componente que trata de incremento das receitas públicas decorrentes do aumento da animação econômica dos municípios diretamente afetados.</w:t>
      </w:r>
    </w:p>
    <w:p w:rsidR="009E1DAB" w:rsidRPr="009E1DAB" w:rsidRDefault="00F265B6" w:rsidP="0079329A">
      <w:pPr>
        <w:tabs>
          <w:tab w:val="left" w:pos="284"/>
        </w:tabs>
        <w:spacing w:before="120" w:after="120" w:line="240" w:lineRule="auto"/>
        <w:ind w:left="284" w:hanging="284"/>
        <w:rPr>
          <w:rFonts w:eastAsia="Calibri"/>
          <w:lang w:eastAsia="en-US"/>
        </w:rPr>
      </w:pPr>
      <w:r>
        <w:rPr>
          <w:rFonts w:eastAsia="Calibri"/>
          <w:b/>
          <w:bCs/>
          <w:szCs w:val="22"/>
          <w:lang w:eastAsia="en-US"/>
        </w:rPr>
        <w:t>f</w:t>
      </w:r>
      <w:r w:rsidR="009E1DAB" w:rsidRPr="009E1DAB">
        <w:rPr>
          <w:rFonts w:eastAsia="Calibri"/>
          <w:b/>
          <w:bCs/>
          <w:szCs w:val="22"/>
          <w:lang w:eastAsia="en-US"/>
        </w:rPr>
        <w:t>)</w:t>
      </w:r>
      <w:r w:rsidR="0079329A">
        <w:rPr>
          <w:rFonts w:eastAsia="Calibri"/>
          <w:b/>
          <w:bCs/>
          <w:szCs w:val="22"/>
          <w:lang w:eastAsia="en-US"/>
        </w:rPr>
        <w:tab/>
      </w:r>
      <w:r w:rsidR="009E1DAB" w:rsidRPr="009E1DAB">
        <w:rPr>
          <w:rFonts w:eastAsia="Calibri"/>
          <w:b/>
          <w:bCs/>
          <w:szCs w:val="22"/>
          <w:lang w:eastAsia="en-US"/>
        </w:rPr>
        <w:t>Patrimônio Arqueológico, Histórico e Cultural</w:t>
      </w:r>
      <w:r>
        <w:rPr>
          <w:rFonts w:eastAsia="Calibri"/>
          <w:b/>
          <w:bCs/>
          <w:szCs w:val="22"/>
          <w:lang w:eastAsia="en-US"/>
        </w:rPr>
        <w:t xml:space="preserve"> - </w:t>
      </w:r>
      <w:r w:rsidR="009E1DAB" w:rsidRPr="009E1DAB">
        <w:rPr>
          <w:rFonts w:eastAsia="Calibri"/>
          <w:lang w:eastAsia="en-US"/>
        </w:rPr>
        <w:t>Todos os sítios arqueológicos são definidos e protegidos pela Lei nº 3.924/61, sendo considerados bens patrimoniais da União. O tombamento de bens arqueológicos é feito, excepcionalmente, por interesse científico ou ambiental. São considerados sítios arqueológicos as jazidas de qualquer natureza, origem ou finalidade, que representem testemunhos da cultura dos paleoameríndios; os sítios nos quais se encontram vestígios positivos de ocupação pelos paleomeríndios; os sítios identificados como cemitérios, sepulturas ou locais de pouso prolongado ou de aldeamento "estações" e "cerâmicos; e as inscrições rupestres ou locais e outros vestígios de atividade de paleoameríndios”. </w:t>
      </w:r>
    </w:p>
    <w:p w:rsidR="009E1DAB" w:rsidRPr="009E1DAB" w:rsidRDefault="009E1DAB" w:rsidP="003F7A2B">
      <w:pPr>
        <w:spacing w:before="120" w:after="120" w:line="240" w:lineRule="auto"/>
        <w:rPr>
          <w:rFonts w:eastAsia="Calibri"/>
          <w:lang w:eastAsia="en-US"/>
        </w:rPr>
      </w:pPr>
      <w:r w:rsidRPr="009E1DAB">
        <w:rPr>
          <w:rFonts w:eastAsia="Calibri"/>
          <w:lang w:eastAsia="en-US"/>
        </w:rPr>
        <w:t xml:space="preserve">Os elementos que deverão sofrer interferências com a implantação e operação </w:t>
      </w:r>
      <w:r w:rsidR="008C15C3">
        <w:rPr>
          <w:rFonts w:eastAsia="Calibri"/>
          <w:lang w:eastAsia="en-US"/>
        </w:rPr>
        <w:t>das barragens</w:t>
      </w:r>
      <w:r w:rsidRPr="009E1DAB">
        <w:rPr>
          <w:rFonts w:eastAsia="Calibri"/>
          <w:lang w:eastAsia="en-US"/>
        </w:rPr>
        <w:t xml:space="preserve"> Pedreira e Duas Pontes correspondem aos vestígios de atividades humanas que se desenvolveram remotamente na região. Os vestígios, reunidos na forma de estruturas de ocupação, correspondem a sítios arqueológicos de diferentes funções, relacionados às diferentes frentes de formação da sociedade nacional, tais como estruturas de fazendas antigas, além de todas as manifestações ligadas à cultura imaterial e referente às diversas manifestações culturais tradicionais da comunidade envolvida.</w:t>
      </w:r>
    </w:p>
    <w:p w:rsidR="009E1DAB" w:rsidRPr="009E1DAB" w:rsidRDefault="009E1DAB" w:rsidP="003F7A2B">
      <w:pPr>
        <w:spacing w:before="120" w:after="120" w:line="240" w:lineRule="auto"/>
        <w:rPr>
          <w:rFonts w:eastAsia="Calibri"/>
          <w:szCs w:val="22"/>
          <w:lang w:eastAsia="en-US"/>
        </w:rPr>
      </w:pPr>
      <w:r w:rsidRPr="009E1DAB">
        <w:rPr>
          <w:rFonts w:eastAsia="Calibri"/>
          <w:lang w:eastAsia="en-US"/>
        </w:rPr>
        <w:t xml:space="preserve">Em relação à presença de comunidades tradicionais cabe destacar que não foram identificadas áreas indígenas ou quilombolas nas Áreas de Influência das barragens Pedreira e Duas Pontes. </w:t>
      </w:r>
    </w:p>
    <w:p w:rsidR="009E1DAB" w:rsidRPr="009E1DAB" w:rsidRDefault="009E1DAB" w:rsidP="00431A97">
      <w:pPr>
        <w:pStyle w:val="Ttulo3"/>
        <w:numPr>
          <w:ilvl w:val="2"/>
          <w:numId w:val="34"/>
        </w:numPr>
        <w:spacing w:after="240"/>
        <w:ind w:left="709" w:hanging="709"/>
      </w:pPr>
      <w:bookmarkStart w:id="90" w:name="_Toc418758198"/>
      <w:bookmarkStart w:id="91" w:name="_Toc418758800"/>
      <w:bookmarkStart w:id="92" w:name="_Toc419813565"/>
      <w:bookmarkEnd w:id="54"/>
      <w:bookmarkEnd w:id="55"/>
      <w:bookmarkEnd w:id="56"/>
      <w:bookmarkEnd w:id="57"/>
      <w:bookmarkEnd w:id="58"/>
      <w:bookmarkEnd w:id="59"/>
      <w:r w:rsidRPr="009E1DAB">
        <w:t>Matriz de Interação de Impactos e Listagens dos Impactos Ambientais</w:t>
      </w:r>
      <w:bookmarkEnd w:id="90"/>
      <w:bookmarkEnd w:id="91"/>
      <w:bookmarkEnd w:id="92"/>
    </w:p>
    <w:p w:rsidR="009E1DAB" w:rsidRPr="009E1DAB" w:rsidRDefault="009E1DAB" w:rsidP="009E1DAB">
      <w:pPr>
        <w:autoSpaceDE w:val="0"/>
        <w:autoSpaceDN w:val="0"/>
        <w:adjustRightInd w:val="0"/>
        <w:spacing w:before="120" w:after="120" w:line="240" w:lineRule="auto"/>
        <w:rPr>
          <w:rFonts w:cs="Arial"/>
          <w:szCs w:val="22"/>
        </w:rPr>
      </w:pPr>
      <w:r w:rsidRPr="009E1DAB">
        <w:rPr>
          <w:rFonts w:cs="Arial"/>
          <w:szCs w:val="22"/>
        </w:rPr>
        <w:t xml:space="preserve">Para sistematização dos resultados foi adotada a Matriz de Interação dos Impactos, proposta por Leopold (1971), que associa os impactos de uma determinada ação de um empreendimento com as diversas características ambientais de sua área de influência. Segundo TOMMASI (1993), o método da Matriz permite a identificação dos problemas ambientais envolvidos num dado projeto de forma bastante abrangente, por meio do cruzamento das informações sobre os aspectos físicos, biológicos e socioeconômicos, entre as ações a serem executadas, em todas as fases do empreendimento. </w:t>
      </w:r>
    </w:p>
    <w:p w:rsidR="009E1DAB" w:rsidRPr="009E1DAB" w:rsidRDefault="009E1DAB" w:rsidP="009E1DAB">
      <w:pPr>
        <w:spacing w:before="120" w:after="120" w:line="240" w:lineRule="auto"/>
        <w:rPr>
          <w:rFonts w:eastAsia="Calibri"/>
          <w:lang w:eastAsia="en-US"/>
        </w:rPr>
      </w:pPr>
      <w:r w:rsidRPr="009E1DAB">
        <w:rPr>
          <w:rFonts w:eastAsia="Calibri"/>
          <w:lang w:eastAsia="en-US"/>
        </w:rPr>
        <w:lastRenderedPageBreak/>
        <w:t xml:space="preserve">Em função da similaridade entre </w:t>
      </w:r>
      <w:r w:rsidRPr="00601D47">
        <w:rPr>
          <w:rFonts w:eastAsia="Calibri"/>
          <w:lang w:eastAsia="en-US"/>
        </w:rPr>
        <w:t>os empreendimentos</w:t>
      </w:r>
      <w:r w:rsidR="00601D47" w:rsidRPr="00601D47">
        <w:rPr>
          <w:rFonts w:eastAsia="Calibri"/>
          <w:lang w:eastAsia="en-US"/>
        </w:rPr>
        <w:t>, e a verificação de que os impactos ocorrem em ambas às barragens,</w:t>
      </w:r>
      <w:r w:rsidRPr="00601D47">
        <w:rPr>
          <w:rFonts w:eastAsia="Calibri"/>
          <w:lang w:eastAsia="en-US"/>
        </w:rPr>
        <w:t xml:space="preserve"> foi elaborada uma só Matriz </w:t>
      </w:r>
      <w:r w:rsidR="0068702E" w:rsidRPr="00601D47">
        <w:rPr>
          <w:rFonts w:eastAsia="Calibri"/>
          <w:lang w:eastAsia="en-US"/>
        </w:rPr>
        <w:t xml:space="preserve">de </w:t>
      </w:r>
      <w:r w:rsidRPr="00601D47">
        <w:rPr>
          <w:rFonts w:eastAsia="Calibri"/>
          <w:lang w:eastAsia="en-US"/>
        </w:rPr>
        <w:t>Interação de Impactos (Barragem Pedreira e Barragem Duas Pontes) e uma lista de verificação bidimensional dos impactos identificados</w:t>
      </w:r>
      <w:r w:rsidR="00601D47" w:rsidRPr="00601D47">
        <w:rPr>
          <w:rFonts w:eastAsia="Calibri"/>
          <w:lang w:eastAsia="en-US"/>
        </w:rPr>
        <w:t xml:space="preserve">. </w:t>
      </w:r>
      <w:r w:rsidRPr="00601D47">
        <w:rPr>
          <w:rFonts w:eastAsia="Calibri"/>
          <w:lang w:eastAsia="en-US"/>
        </w:rPr>
        <w:t>A partir da sistem</w:t>
      </w:r>
      <w:r w:rsidRPr="009E1DAB">
        <w:rPr>
          <w:rFonts w:eastAsia="Calibri"/>
          <w:lang w:eastAsia="en-US"/>
        </w:rPr>
        <w:t xml:space="preserve">atização dos itens de cada uma das variáveis – fatores geradores e aspectos ambientais relevantes - relacionou-se, nas correspondentes quadrículas os impactos de cada ação sobre os componentes por ela modificados. </w:t>
      </w:r>
    </w:p>
    <w:p w:rsidR="009E1DAB" w:rsidRPr="009E1DAB" w:rsidRDefault="009E1DAB" w:rsidP="009E1DAB">
      <w:pPr>
        <w:spacing w:before="120" w:after="120" w:line="240" w:lineRule="auto"/>
        <w:rPr>
          <w:rFonts w:eastAsia="Calibri"/>
          <w:lang w:eastAsia="en-US"/>
        </w:rPr>
      </w:pPr>
      <w:r w:rsidRPr="009E1DAB">
        <w:rPr>
          <w:rFonts w:eastAsia="Calibri"/>
          <w:lang w:eastAsia="en-US"/>
        </w:rPr>
        <w:t xml:space="preserve">Esse procedimento permitiu a verificação da interação das ações necessárias ao planejamento, à implantação e operação dos empreendimentos, em face dos componentes e da dinâmica ambiental diagnosticada nos locais de interesse. </w:t>
      </w:r>
    </w:p>
    <w:p w:rsidR="009E1DAB" w:rsidRPr="009E1DAB" w:rsidRDefault="009E1DAB" w:rsidP="009E1DAB">
      <w:pPr>
        <w:autoSpaceDE w:val="0"/>
        <w:autoSpaceDN w:val="0"/>
        <w:adjustRightInd w:val="0"/>
        <w:spacing w:before="120" w:after="120" w:line="240" w:lineRule="auto"/>
        <w:rPr>
          <w:rFonts w:cs="Arial"/>
        </w:rPr>
      </w:pPr>
      <w:r w:rsidRPr="009E1DAB">
        <w:rPr>
          <w:rFonts w:cs="Arial"/>
        </w:rPr>
        <w:t xml:space="preserve">A Matriz de Identificação de </w:t>
      </w:r>
      <w:r w:rsidRPr="00C85203">
        <w:rPr>
          <w:rFonts w:cs="Arial"/>
        </w:rPr>
        <w:t>Impactos (Quadro 1.2.3 – Barragem Pedreira e Barragem Duas Pontes) apresenta na interseção das linhas e das colunas</w:t>
      </w:r>
      <w:r w:rsidRPr="006504E5">
        <w:rPr>
          <w:rFonts w:cs="Arial"/>
        </w:rPr>
        <w:t xml:space="preserve"> a ocorrência ou não de impactos ambienta</w:t>
      </w:r>
      <w:r w:rsidR="002F49BF">
        <w:rPr>
          <w:rFonts w:cs="Arial"/>
        </w:rPr>
        <w:t>i</w:t>
      </w:r>
      <w:r w:rsidRPr="006504E5">
        <w:rPr>
          <w:rFonts w:cs="Arial"/>
        </w:rPr>
        <w:t>s provocados pelas ações dos fatores gerado</w:t>
      </w:r>
      <w:r w:rsidRPr="009E1DAB">
        <w:rPr>
          <w:rFonts w:cs="Arial"/>
        </w:rPr>
        <w:t>res da implantação dos barramentos sobre determinado componente ambiental dos meios físico, biótico e socioeconômico. O objetivo desta primeira etapa é identificar a ocorrência de impactos ambientais para, em seguida, proceder a sua avaliação.</w:t>
      </w:r>
    </w:p>
    <w:p w:rsidR="009E1DAB" w:rsidRDefault="009E1DAB" w:rsidP="009E1DAB">
      <w:pPr>
        <w:spacing w:before="120" w:after="120" w:line="240" w:lineRule="auto"/>
        <w:rPr>
          <w:rFonts w:eastAsia="Calibri"/>
          <w:lang w:eastAsia="en-US"/>
        </w:rPr>
      </w:pPr>
      <w:r w:rsidRPr="009E1DAB">
        <w:rPr>
          <w:rFonts w:eastAsia="Calibri"/>
          <w:lang w:eastAsia="en-US"/>
        </w:rPr>
        <w:t>A Listagem dos Impactos para cada um dos empreendimentos é apresentada no Quadro 1.2.4.</w:t>
      </w:r>
    </w:p>
    <w:p w:rsidR="003F7A2B" w:rsidRDefault="003F7A2B" w:rsidP="009E1DAB">
      <w:pPr>
        <w:spacing w:before="120" w:after="120" w:line="240" w:lineRule="auto"/>
        <w:rPr>
          <w:rFonts w:eastAsia="Calibri"/>
          <w:lang w:eastAsia="en-US"/>
        </w:rPr>
      </w:pPr>
    </w:p>
    <w:p w:rsidR="003F7A2B" w:rsidRDefault="003F7A2B" w:rsidP="009E1DAB">
      <w:pPr>
        <w:spacing w:before="120" w:after="120" w:line="240" w:lineRule="auto"/>
        <w:rPr>
          <w:rFonts w:eastAsia="Calibri"/>
          <w:lang w:eastAsia="en-US"/>
        </w:rPr>
      </w:pPr>
    </w:p>
    <w:p w:rsidR="003F7A2B" w:rsidRPr="009E1DAB" w:rsidRDefault="003F7A2B" w:rsidP="009E1DAB">
      <w:pPr>
        <w:spacing w:before="120" w:after="120" w:line="240" w:lineRule="auto"/>
        <w:rPr>
          <w:rFonts w:eastAsia="Calibri"/>
          <w:lang w:eastAsia="en-US"/>
        </w:rPr>
      </w:pPr>
    </w:p>
    <w:bookmarkEnd w:id="60"/>
    <w:bookmarkEnd w:id="61"/>
    <w:bookmarkEnd w:id="62"/>
    <w:bookmarkEnd w:id="63"/>
    <w:bookmarkEnd w:id="64"/>
    <w:bookmarkEnd w:id="65"/>
    <w:bookmarkEnd w:id="66"/>
    <w:bookmarkEnd w:id="67"/>
    <w:p w:rsidR="009E1DAB" w:rsidRPr="009E1DAB" w:rsidRDefault="009E1DAB" w:rsidP="009E1DAB">
      <w:pPr>
        <w:autoSpaceDE w:val="0"/>
        <w:autoSpaceDN w:val="0"/>
        <w:adjustRightInd w:val="0"/>
        <w:spacing w:line="240" w:lineRule="auto"/>
        <w:rPr>
          <w:rFonts w:cs="Arial"/>
          <w:b/>
          <w:bCs/>
          <w:szCs w:val="22"/>
        </w:rPr>
        <w:sectPr w:rsidR="009E1DAB" w:rsidRPr="009E1DAB" w:rsidSect="005701A4">
          <w:headerReference w:type="default" r:id="rId16"/>
          <w:footerReference w:type="default" r:id="rId17"/>
          <w:pgSz w:w="11907" w:h="16840" w:code="9"/>
          <w:pgMar w:top="1701" w:right="851" w:bottom="1134" w:left="1701" w:header="567" w:footer="567" w:gutter="0"/>
          <w:pgNumType w:start="1"/>
          <w:cols w:space="720"/>
        </w:sectPr>
      </w:pPr>
    </w:p>
    <w:tbl>
      <w:tblPr>
        <w:tblpPr w:leftFromText="141" w:rightFromText="141" w:horzAnchor="margin" w:tblpY="285"/>
        <w:tblW w:w="21561" w:type="dxa"/>
        <w:tblLayout w:type="fixed"/>
        <w:tblLook w:val="04A0" w:firstRow="1" w:lastRow="0" w:firstColumn="1" w:lastColumn="0" w:noHBand="0" w:noVBand="1"/>
      </w:tblPr>
      <w:tblGrid>
        <w:gridCol w:w="3704"/>
        <w:gridCol w:w="3705"/>
        <w:gridCol w:w="1049"/>
        <w:gridCol w:w="1069"/>
        <w:gridCol w:w="1049"/>
        <w:gridCol w:w="916"/>
        <w:gridCol w:w="98"/>
        <w:gridCol w:w="951"/>
        <w:gridCol w:w="1049"/>
        <w:gridCol w:w="1174"/>
        <w:gridCol w:w="86"/>
        <w:gridCol w:w="1088"/>
        <w:gridCol w:w="46"/>
        <w:gridCol w:w="934"/>
        <w:gridCol w:w="66"/>
        <w:gridCol w:w="18"/>
        <w:gridCol w:w="72"/>
        <w:gridCol w:w="1320"/>
        <w:gridCol w:w="992"/>
        <w:gridCol w:w="1045"/>
        <w:gridCol w:w="89"/>
        <w:gridCol w:w="83"/>
        <w:gridCol w:w="941"/>
        <w:gridCol w:w="17"/>
      </w:tblGrid>
      <w:tr w:rsidR="00094EB3" w:rsidRPr="009E1DAB" w:rsidTr="00F224C0">
        <w:trPr>
          <w:trHeight w:val="307"/>
        </w:trPr>
        <w:tc>
          <w:tcPr>
            <w:tcW w:w="3704" w:type="dxa"/>
            <w:vMerge w:val="restart"/>
            <w:tcBorders>
              <w:top w:val="single" w:sz="8" w:space="0" w:color="auto"/>
              <w:left w:val="single" w:sz="8" w:space="0" w:color="auto"/>
              <w:tl2br w:val="single" w:sz="12" w:space="0" w:color="auto"/>
            </w:tcBorders>
            <w:shd w:val="clear" w:color="000000" w:fill="BFBFBF"/>
            <w:noWrap/>
            <w:vAlign w:val="center"/>
            <w:hideMark/>
          </w:tcPr>
          <w:p w:rsidR="00094EB3" w:rsidRPr="009E1DAB" w:rsidRDefault="00094EB3" w:rsidP="009E1DAB">
            <w:pPr>
              <w:spacing w:line="240" w:lineRule="auto"/>
              <w:jc w:val="center"/>
              <w:rPr>
                <w:rFonts w:cs="Arial"/>
                <w:b/>
                <w:bCs/>
                <w:color w:val="000000"/>
                <w:sz w:val="24"/>
                <w:szCs w:val="24"/>
                <w:lang w:eastAsia="en-US"/>
              </w:rPr>
            </w:pPr>
          </w:p>
        </w:tc>
        <w:tc>
          <w:tcPr>
            <w:tcW w:w="3705" w:type="dxa"/>
            <w:vMerge w:val="restart"/>
            <w:tcBorders>
              <w:top w:val="single" w:sz="8" w:space="0" w:color="auto"/>
              <w:right w:val="single" w:sz="8" w:space="0" w:color="auto"/>
            </w:tcBorders>
            <w:shd w:val="clear" w:color="000000" w:fill="BFBFBF"/>
            <w:vAlign w:val="center"/>
          </w:tcPr>
          <w:p w:rsidR="00094EB3" w:rsidRPr="009E1DAB" w:rsidRDefault="00094EB3" w:rsidP="009E1DAB">
            <w:pPr>
              <w:spacing w:line="240" w:lineRule="auto"/>
              <w:jc w:val="center"/>
              <w:rPr>
                <w:rFonts w:cs="Arial"/>
                <w:b/>
                <w:bCs/>
                <w:color w:val="000000"/>
                <w:sz w:val="24"/>
                <w:szCs w:val="24"/>
                <w:lang w:eastAsia="en-US"/>
              </w:rPr>
            </w:pPr>
            <w:r w:rsidRPr="009E1DAB">
              <w:rPr>
                <w:rFonts w:cs="Arial"/>
                <w:b/>
                <w:bCs/>
                <w:color w:val="000000"/>
                <w:sz w:val="24"/>
                <w:szCs w:val="24"/>
                <w:lang w:eastAsia="en-US"/>
              </w:rPr>
              <w:t>Aspectos Ambientais Relevantes</w:t>
            </w:r>
          </w:p>
        </w:tc>
        <w:tc>
          <w:tcPr>
            <w:tcW w:w="5132" w:type="dxa"/>
            <w:gridSpan w:val="6"/>
            <w:tcBorders>
              <w:top w:val="single" w:sz="8" w:space="0" w:color="auto"/>
              <w:bottom w:val="single" w:sz="4" w:space="0" w:color="auto"/>
              <w:right w:val="nil"/>
            </w:tcBorders>
            <w:shd w:val="clear" w:color="000000" w:fill="BFBFBF"/>
            <w:vAlign w:val="center"/>
          </w:tcPr>
          <w:p w:rsidR="00094EB3" w:rsidRPr="009E1DAB" w:rsidRDefault="00094EB3" w:rsidP="009E1DAB">
            <w:pPr>
              <w:spacing w:line="240" w:lineRule="auto"/>
              <w:jc w:val="center"/>
              <w:rPr>
                <w:rFonts w:cs="Arial"/>
                <w:b/>
                <w:bCs/>
                <w:color w:val="000000"/>
                <w:sz w:val="18"/>
                <w:szCs w:val="18"/>
                <w:lang w:val="en-US" w:eastAsia="en-US"/>
              </w:rPr>
            </w:pPr>
            <w:r w:rsidRPr="009E1DAB">
              <w:rPr>
                <w:rFonts w:cs="Arial"/>
                <w:b/>
                <w:bCs/>
                <w:color w:val="000000"/>
                <w:sz w:val="18"/>
                <w:szCs w:val="18"/>
                <w:lang w:val="en-US" w:eastAsia="en-US"/>
              </w:rPr>
              <w:t>MEIO FÍSICO</w:t>
            </w:r>
          </w:p>
        </w:tc>
        <w:tc>
          <w:tcPr>
            <w:tcW w:w="4461" w:type="dxa"/>
            <w:gridSpan w:val="8"/>
            <w:tcBorders>
              <w:top w:val="single" w:sz="8" w:space="0" w:color="auto"/>
              <w:left w:val="single" w:sz="8" w:space="0" w:color="auto"/>
              <w:bottom w:val="single" w:sz="8" w:space="0" w:color="auto"/>
              <w:right w:val="single" w:sz="8" w:space="0" w:color="000000"/>
            </w:tcBorders>
            <w:shd w:val="clear" w:color="000000" w:fill="BFBFBF"/>
            <w:noWrap/>
            <w:vAlign w:val="center"/>
            <w:hideMark/>
          </w:tcPr>
          <w:p w:rsidR="00094EB3" w:rsidRPr="009E1DAB" w:rsidRDefault="00094EB3" w:rsidP="00094EB3">
            <w:pPr>
              <w:spacing w:line="240" w:lineRule="auto"/>
              <w:jc w:val="center"/>
              <w:rPr>
                <w:rFonts w:cs="Arial"/>
                <w:b/>
                <w:bCs/>
                <w:color w:val="000000"/>
                <w:sz w:val="18"/>
                <w:szCs w:val="18"/>
                <w:lang w:val="en-US" w:eastAsia="en-US"/>
              </w:rPr>
            </w:pPr>
            <w:r w:rsidRPr="009E1DAB">
              <w:rPr>
                <w:rFonts w:cs="Arial"/>
                <w:b/>
                <w:bCs/>
                <w:color w:val="000000"/>
                <w:sz w:val="18"/>
                <w:szCs w:val="18"/>
                <w:lang w:val="en-US" w:eastAsia="en-US"/>
              </w:rPr>
              <w:t>MEIO BIÓTICO</w:t>
            </w:r>
          </w:p>
        </w:tc>
        <w:tc>
          <w:tcPr>
            <w:tcW w:w="4559" w:type="dxa"/>
            <w:gridSpan w:val="8"/>
            <w:tcBorders>
              <w:top w:val="single" w:sz="8" w:space="0" w:color="auto"/>
              <w:left w:val="nil"/>
              <w:bottom w:val="single" w:sz="8" w:space="0" w:color="auto"/>
              <w:right w:val="nil"/>
            </w:tcBorders>
            <w:shd w:val="clear" w:color="000000" w:fill="BFBFBF"/>
            <w:noWrap/>
            <w:vAlign w:val="center"/>
            <w:hideMark/>
          </w:tcPr>
          <w:p w:rsidR="00094EB3" w:rsidRPr="009E1DAB" w:rsidRDefault="00094EB3" w:rsidP="00094EB3">
            <w:pPr>
              <w:spacing w:line="240" w:lineRule="auto"/>
              <w:jc w:val="center"/>
              <w:rPr>
                <w:rFonts w:cs="Arial"/>
                <w:b/>
                <w:bCs/>
                <w:color w:val="000000"/>
                <w:sz w:val="18"/>
                <w:szCs w:val="18"/>
                <w:lang w:val="en-US" w:eastAsia="en-US"/>
              </w:rPr>
            </w:pPr>
            <w:r w:rsidRPr="009E1DAB">
              <w:rPr>
                <w:rFonts w:cs="Arial"/>
                <w:b/>
                <w:bCs/>
                <w:color w:val="000000"/>
                <w:sz w:val="18"/>
                <w:szCs w:val="18"/>
                <w:lang w:val="en-US" w:eastAsia="en-US"/>
              </w:rPr>
              <w:t>MEIO SOCIOECONÔMICO</w:t>
            </w:r>
          </w:p>
        </w:tc>
      </w:tr>
      <w:tr w:rsidR="002A63E3" w:rsidRPr="009E1DAB" w:rsidTr="00786754">
        <w:trPr>
          <w:trHeight w:val="1419"/>
        </w:trPr>
        <w:tc>
          <w:tcPr>
            <w:tcW w:w="3704" w:type="dxa"/>
            <w:vMerge/>
            <w:tcBorders>
              <w:left w:val="single" w:sz="8" w:space="0" w:color="auto"/>
              <w:tl2br w:val="single" w:sz="12" w:space="0" w:color="auto"/>
            </w:tcBorders>
            <w:shd w:val="clear" w:color="000000" w:fill="BFBFBF"/>
            <w:vAlign w:val="center"/>
            <w:hideMark/>
          </w:tcPr>
          <w:p w:rsidR="00CB39D9" w:rsidRPr="009E1DAB" w:rsidRDefault="00CB39D9" w:rsidP="009E1DAB">
            <w:pPr>
              <w:spacing w:line="240" w:lineRule="auto"/>
              <w:jc w:val="center"/>
              <w:rPr>
                <w:rFonts w:cs="Arial"/>
                <w:b/>
                <w:bCs/>
                <w:color w:val="000000"/>
                <w:sz w:val="24"/>
                <w:szCs w:val="24"/>
                <w:lang w:val="en-US" w:eastAsia="en-US"/>
              </w:rPr>
            </w:pPr>
          </w:p>
        </w:tc>
        <w:tc>
          <w:tcPr>
            <w:tcW w:w="3705" w:type="dxa"/>
            <w:vMerge/>
            <w:tcBorders>
              <w:right w:val="single" w:sz="8" w:space="0" w:color="auto"/>
            </w:tcBorders>
            <w:shd w:val="clear" w:color="000000" w:fill="BFBFBF"/>
            <w:vAlign w:val="center"/>
          </w:tcPr>
          <w:p w:rsidR="00CB39D9" w:rsidRPr="009E1DAB" w:rsidRDefault="00CB39D9" w:rsidP="009E1DAB">
            <w:pPr>
              <w:spacing w:line="240" w:lineRule="auto"/>
              <w:jc w:val="center"/>
              <w:rPr>
                <w:rFonts w:cs="Arial"/>
                <w:b/>
                <w:bCs/>
                <w:color w:val="000000"/>
                <w:sz w:val="24"/>
                <w:szCs w:val="24"/>
                <w:lang w:val="en-US" w:eastAsia="en-US"/>
              </w:rPr>
            </w:pPr>
          </w:p>
        </w:tc>
        <w:tc>
          <w:tcPr>
            <w:tcW w:w="1049" w:type="dxa"/>
            <w:vMerge w:val="restart"/>
            <w:tcBorders>
              <w:top w:val="single" w:sz="4" w:space="0" w:color="auto"/>
              <w:left w:val="nil"/>
              <w:right w:val="single" w:sz="4" w:space="0" w:color="auto"/>
            </w:tcBorders>
            <w:shd w:val="clear" w:color="auto" w:fill="DBE5F1"/>
            <w:textDirection w:val="btLr"/>
            <w:vAlign w:val="center"/>
            <w:hideMark/>
          </w:tcPr>
          <w:p w:rsidR="00CB39D9" w:rsidRPr="009E1DAB" w:rsidRDefault="00CB39D9" w:rsidP="00F224C0">
            <w:pPr>
              <w:spacing w:line="240" w:lineRule="auto"/>
              <w:ind w:left="360"/>
              <w:jc w:val="center"/>
              <w:rPr>
                <w:rFonts w:cs="Arial"/>
                <w:b/>
                <w:bCs/>
                <w:color w:val="000000"/>
                <w:sz w:val="18"/>
                <w:szCs w:val="18"/>
                <w:lang w:val="en-US" w:eastAsia="en-US"/>
              </w:rPr>
            </w:pPr>
            <w:r w:rsidRPr="001D3D2D">
              <w:rPr>
                <w:rFonts w:cs="Arial"/>
                <w:b/>
                <w:bCs/>
                <w:color w:val="000000"/>
                <w:sz w:val="18"/>
                <w:szCs w:val="18"/>
                <w:lang w:eastAsia="en-US"/>
              </w:rPr>
              <w:t>Clima</w:t>
            </w:r>
            <w:r w:rsidRPr="009E1DAB">
              <w:rPr>
                <w:rFonts w:cs="Arial"/>
                <w:b/>
                <w:bCs/>
                <w:color w:val="000000"/>
                <w:sz w:val="18"/>
                <w:szCs w:val="18"/>
                <w:lang w:val="en-US" w:eastAsia="en-US"/>
              </w:rPr>
              <w:t>/</w:t>
            </w:r>
            <w:r w:rsidRPr="001D3D2D">
              <w:rPr>
                <w:rFonts w:cs="Arial"/>
                <w:b/>
                <w:bCs/>
                <w:color w:val="000000"/>
                <w:sz w:val="18"/>
                <w:szCs w:val="18"/>
                <w:lang w:eastAsia="en-US"/>
              </w:rPr>
              <w:t>Qualidade</w:t>
            </w:r>
            <w:r w:rsidRPr="009E1DAB">
              <w:rPr>
                <w:rFonts w:cs="Arial"/>
                <w:b/>
                <w:bCs/>
                <w:color w:val="000000"/>
                <w:sz w:val="18"/>
                <w:szCs w:val="18"/>
                <w:lang w:val="en-US" w:eastAsia="en-US"/>
              </w:rPr>
              <w:t xml:space="preserve"> do Ar</w:t>
            </w:r>
          </w:p>
        </w:tc>
        <w:tc>
          <w:tcPr>
            <w:tcW w:w="1069" w:type="dxa"/>
            <w:vMerge w:val="restart"/>
            <w:tcBorders>
              <w:top w:val="nil"/>
              <w:left w:val="nil"/>
              <w:right w:val="single" w:sz="4" w:space="0" w:color="auto"/>
            </w:tcBorders>
            <w:shd w:val="clear" w:color="auto" w:fill="DBE5F1"/>
            <w:textDirection w:val="btLr"/>
            <w:vAlign w:val="center"/>
            <w:hideMark/>
          </w:tcPr>
          <w:p w:rsidR="00CB39D9" w:rsidRPr="009E1DAB" w:rsidRDefault="00CB39D9" w:rsidP="00F224C0">
            <w:pPr>
              <w:spacing w:line="240" w:lineRule="auto"/>
              <w:ind w:left="360"/>
              <w:jc w:val="center"/>
              <w:rPr>
                <w:rFonts w:cs="Arial"/>
                <w:b/>
                <w:bCs/>
                <w:color w:val="000000"/>
                <w:sz w:val="18"/>
                <w:szCs w:val="18"/>
                <w:lang w:val="en-US" w:eastAsia="en-US"/>
              </w:rPr>
            </w:pPr>
            <w:r w:rsidRPr="001D3D2D">
              <w:rPr>
                <w:rFonts w:cs="Arial"/>
                <w:b/>
                <w:bCs/>
                <w:color w:val="000000"/>
                <w:sz w:val="18"/>
                <w:szCs w:val="18"/>
                <w:lang w:eastAsia="en-US"/>
              </w:rPr>
              <w:t>Dinâmica</w:t>
            </w:r>
            <w:r w:rsidRPr="009E1DAB">
              <w:rPr>
                <w:rFonts w:cs="Arial"/>
                <w:b/>
                <w:bCs/>
                <w:color w:val="000000"/>
                <w:sz w:val="18"/>
                <w:szCs w:val="18"/>
                <w:lang w:val="en-US" w:eastAsia="en-US"/>
              </w:rPr>
              <w:t xml:space="preserve"> Fluvial</w:t>
            </w:r>
          </w:p>
        </w:tc>
        <w:tc>
          <w:tcPr>
            <w:tcW w:w="1049" w:type="dxa"/>
            <w:vMerge w:val="restart"/>
            <w:tcBorders>
              <w:top w:val="nil"/>
              <w:left w:val="nil"/>
              <w:right w:val="single" w:sz="4" w:space="0" w:color="auto"/>
            </w:tcBorders>
            <w:shd w:val="clear" w:color="auto" w:fill="DBE5F1"/>
            <w:textDirection w:val="btLr"/>
            <w:vAlign w:val="center"/>
            <w:hideMark/>
          </w:tcPr>
          <w:p w:rsidR="00CB39D9" w:rsidRPr="009E1DAB" w:rsidRDefault="00CB39D9" w:rsidP="002C0D71">
            <w:pPr>
              <w:spacing w:line="240" w:lineRule="auto"/>
              <w:ind w:left="360"/>
              <w:jc w:val="center"/>
              <w:rPr>
                <w:rFonts w:cs="Arial"/>
                <w:b/>
                <w:bCs/>
                <w:color w:val="000000"/>
                <w:sz w:val="18"/>
                <w:szCs w:val="18"/>
                <w:lang w:val="en-US" w:eastAsia="en-US"/>
              </w:rPr>
            </w:pPr>
            <w:r w:rsidRPr="001D3D2D">
              <w:rPr>
                <w:rFonts w:cs="Arial"/>
                <w:b/>
                <w:bCs/>
                <w:color w:val="000000"/>
                <w:sz w:val="18"/>
                <w:szCs w:val="18"/>
                <w:lang w:eastAsia="en-US"/>
              </w:rPr>
              <w:t>Aguas</w:t>
            </w:r>
            <w:r w:rsidRPr="009E1DAB">
              <w:rPr>
                <w:rFonts w:cs="Arial"/>
                <w:b/>
                <w:bCs/>
                <w:color w:val="000000"/>
                <w:sz w:val="18"/>
                <w:szCs w:val="18"/>
                <w:lang w:val="en-US" w:eastAsia="en-US"/>
              </w:rPr>
              <w:t xml:space="preserve"> </w:t>
            </w:r>
            <w:r w:rsidRPr="001D3D2D">
              <w:rPr>
                <w:rFonts w:cs="Arial"/>
                <w:b/>
                <w:bCs/>
                <w:color w:val="000000"/>
                <w:sz w:val="18"/>
                <w:szCs w:val="18"/>
                <w:lang w:eastAsia="en-US"/>
              </w:rPr>
              <w:t>Subterrâneas</w:t>
            </w:r>
          </w:p>
        </w:tc>
        <w:tc>
          <w:tcPr>
            <w:tcW w:w="916" w:type="dxa"/>
            <w:vMerge w:val="restart"/>
            <w:tcBorders>
              <w:top w:val="nil"/>
              <w:left w:val="nil"/>
              <w:right w:val="single" w:sz="4" w:space="0" w:color="auto"/>
            </w:tcBorders>
            <w:shd w:val="clear" w:color="auto" w:fill="DBE5F1"/>
            <w:textDirection w:val="btLr"/>
            <w:vAlign w:val="center"/>
          </w:tcPr>
          <w:p w:rsidR="00CB39D9" w:rsidRPr="009E1DAB" w:rsidRDefault="00CB39D9" w:rsidP="00891B01">
            <w:pPr>
              <w:spacing w:line="240" w:lineRule="auto"/>
              <w:ind w:left="360"/>
              <w:jc w:val="center"/>
              <w:rPr>
                <w:rFonts w:cs="Arial"/>
                <w:b/>
                <w:bCs/>
                <w:color w:val="000000"/>
                <w:sz w:val="18"/>
                <w:szCs w:val="18"/>
                <w:lang w:eastAsia="en-US"/>
              </w:rPr>
            </w:pPr>
            <w:r w:rsidRPr="009E1DAB">
              <w:rPr>
                <w:rFonts w:cs="Arial"/>
                <w:b/>
                <w:bCs/>
                <w:color w:val="000000"/>
                <w:sz w:val="18"/>
                <w:szCs w:val="18"/>
                <w:lang w:eastAsia="en-US"/>
              </w:rPr>
              <w:t>Relevo, Solo e Substrato Rochoso</w:t>
            </w:r>
          </w:p>
        </w:tc>
        <w:tc>
          <w:tcPr>
            <w:tcW w:w="1049" w:type="dxa"/>
            <w:gridSpan w:val="2"/>
            <w:vMerge w:val="restart"/>
            <w:tcBorders>
              <w:top w:val="nil"/>
              <w:left w:val="single" w:sz="4" w:space="0" w:color="auto"/>
              <w:right w:val="single" w:sz="4" w:space="0" w:color="auto"/>
            </w:tcBorders>
            <w:shd w:val="clear" w:color="auto" w:fill="DBE5F1"/>
            <w:noWrap/>
            <w:textDirection w:val="btLr"/>
            <w:vAlign w:val="center"/>
            <w:hideMark/>
          </w:tcPr>
          <w:p w:rsidR="00CB39D9" w:rsidRPr="009E1DAB" w:rsidRDefault="00CB39D9" w:rsidP="00891B01">
            <w:pPr>
              <w:spacing w:line="240" w:lineRule="auto"/>
              <w:ind w:left="360"/>
              <w:jc w:val="center"/>
              <w:rPr>
                <w:rFonts w:cs="Arial"/>
                <w:b/>
                <w:bCs/>
                <w:color w:val="000000"/>
                <w:sz w:val="18"/>
                <w:szCs w:val="18"/>
                <w:lang w:eastAsia="en-US"/>
              </w:rPr>
            </w:pPr>
            <w:r w:rsidRPr="009E1DAB">
              <w:rPr>
                <w:rFonts w:cs="Arial"/>
                <w:b/>
                <w:bCs/>
                <w:color w:val="000000"/>
                <w:sz w:val="18"/>
                <w:szCs w:val="18"/>
                <w:lang w:eastAsia="en-US"/>
              </w:rPr>
              <w:t>Recursos Cênicos</w:t>
            </w:r>
          </w:p>
        </w:tc>
        <w:tc>
          <w:tcPr>
            <w:tcW w:w="1049" w:type="dxa"/>
            <w:vMerge w:val="restart"/>
            <w:tcBorders>
              <w:top w:val="nil"/>
              <w:left w:val="nil"/>
              <w:right w:val="single" w:sz="4" w:space="0" w:color="auto"/>
            </w:tcBorders>
            <w:shd w:val="clear" w:color="auto" w:fill="D6E3BC"/>
            <w:noWrap/>
            <w:textDirection w:val="btLr"/>
            <w:vAlign w:val="center"/>
            <w:hideMark/>
          </w:tcPr>
          <w:p w:rsidR="00CB39D9" w:rsidRPr="009E1DAB" w:rsidRDefault="00C348DC" w:rsidP="00891B01">
            <w:pPr>
              <w:spacing w:line="240" w:lineRule="auto"/>
              <w:ind w:left="360"/>
              <w:jc w:val="center"/>
              <w:rPr>
                <w:rFonts w:cs="Arial"/>
                <w:b/>
                <w:bCs/>
                <w:color w:val="000000"/>
                <w:sz w:val="18"/>
                <w:szCs w:val="18"/>
                <w:lang w:val="en-US" w:eastAsia="en-US"/>
              </w:rPr>
            </w:pPr>
            <w:r>
              <w:rPr>
                <w:rFonts w:cs="Arial"/>
                <w:b/>
                <w:bCs/>
                <w:color w:val="000000"/>
                <w:sz w:val="18"/>
                <w:szCs w:val="18"/>
                <w:lang w:val="en-US" w:eastAsia="en-US"/>
              </w:rPr>
              <w:t>Fl</w:t>
            </w:r>
            <w:r w:rsidR="00CB39D9" w:rsidRPr="009E1DAB">
              <w:rPr>
                <w:rFonts w:cs="Arial"/>
                <w:b/>
                <w:bCs/>
                <w:color w:val="000000"/>
                <w:sz w:val="18"/>
                <w:szCs w:val="18"/>
                <w:lang w:val="en-US" w:eastAsia="en-US"/>
              </w:rPr>
              <w:t>ora</w:t>
            </w:r>
          </w:p>
        </w:tc>
        <w:tc>
          <w:tcPr>
            <w:tcW w:w="1174" w:type="dxa"/>
            <w:vMerge w:val="restart"/>
            <w:tcBorders>
              <w:top w:val="nil"/>
              <w:left w:val="nil"/>
              <w:right w:val="single" w:sz="4" w:space="0" w:color="auto"/>
            </w:tcBorders>
            <w:shd w:val="clear" w:color="auto" w:fill="D6E3BC"/>
            <w:noWrap/>
            <w:textDirection w:val="btLr"/>
            <w:vAlign w:val="center"/>
            <w:hideMark/>
          </w:tcPr>
          <w:p w:rsidR="00CB39D9" w:rsidRPr="009E1DAB" w:rsidRDefault="00CB39D9" w:rsidP="00891B01">
            <w:pPr>
              <w:spacing w:line="240" w:lineRule="auto"/>
              <w:ind w:left="360"/>
              <w:jc w:val="center"/>
              <w:rPr>
                <w:rFonts w:cs="Arial"/>
                <w:b/>
                <w:bCs/>
                <w:color w:val="000000"/>
                <w:sz w:val="18"/>
                <w:szCs w:val="18"/>
                <w:lang w:val="en-US" w:eastAsia="en-US"/>
              </w:rPr>
            </w:pPr>
            <w:r w:rsidRPr="009E1DAB">
              <w:rPr>
                <w:rFonts w:cs="Arial"/>
                <w:b/>
                <w:bCs/>
                <w:color w:val="000000"/>
                <w:sz w:val="18"/>
                <w:szCs w:val="18"/>
                <w:lang w:val="en-US" w:eastAsia="en-US"/>
              </w:rPr>
              <w:t xml:space="preserve">Fauna </w:t>
            </w:r>
            <w:r w:rsidRPr="001D3D2D">
              <w:rPr>
                <w:rFonts w:cs="Arial"/>
                <w:b/>
                <w:bCs/>
                <w:color w:val="000000"/>
                <w:sz w:val="18"/>
                <w:szCs w:val="18"/>
                <w:lang w:eastAsia="en-US"/>
              </w:rPr>
              <w:t>Terrestre</w:t>
            </w:r>
          </w:p>
        </w:tc>
        <w:tc>
          <w:tcPr>
            <w:tcW w:w="1174" w:type="dxa"/>
            <w:gridSpan w:val="2"/>
            <w:vMerge w:val="restart"/>
            <w:tcBorders>
              <w:top w:val="nil"/>
              <w:left w:val="nil"/>
              <w:right w:val="single" w:sz="4" w:space="0" w:color="auto"/>
            </w:tcBorders>
            <w:shd w:val="clear" w:color="auto" w:fill="D6E3BC"/>
            <w:noWrap/>
            <w:textDirection w:val="btLr"/>
            <w:vAlign w:val="center"/>
            <w:hideMark/>
          </w:tcPr>
          <w:p w:rsidR="00CB39D9" w:rsidRPr="009E1DAB" w:rsidRDefault="00CB39D9" w:rsidP="00891B01">
            <w:pPr>
              <w:spacing w:line="240" w:lineRule="auto"/>
              <w:ind w:left="360"/>
              <w:jc w:val="center"/>
              <w:rPr>
                <w:rFonts w:cs="Arial"/>
                <w:b/>
                <w:bCs/>
                <w:color w:val="000000"/>
                <w:sz w:val="18"/>
                <w:szCs w:val="18"/>
                <w:lang w:val="en-US" w:eastAsia="en-US"/>
              </w:rPr>
            </w:pPr>
            <w:r w:rsidRPr="001D3D2D">
              <w:rPr>
                <w:rFonts w:cs="Arial"/>
                <w:b/>
                <w:bCs/>
                <w:color w:val="000000"/>
                <w:sz w:val="18"/>
                <w:szCs w:val="18"/>
                <w:lang w:eastAsia="en-US"/>
              </w:rPr>
              <w:t>Ecossistemas</w:t>
            </w:r>
            <w:r w:rsidRPr="009E1DAB">
              <w:rPr>
                <w:rFonts w:cs="Arial"/>
                <w:b/>
                <w:bCs/>
                <w:color w:val="000000"/>
                <w:sz w:val="18"/>
                <w:szCs w:val="18"/>
                <w:lang w:val="en-US" w:eastAsia="en-US"/>
              </w:rPr>
              <w:t xml:space="preserve"> </w:t>
            </w:r>
            <w:r w:rsidR="00A46430" w:rsidRPr="001D3D2D">
              <w:rPr>
                <w:rFonts w:cs="Arial"/>
                <w:b/>
                <w:bCs/>
                <w:color w:val="000000"/>
                <w:sz w:val="18"/>
                <w:szCs w:val="18"/>
                <w:lang w:eastAsia="en-US"/>
              </w:rPr>
              <w:t>Aquáticos</w:t>
            </w:r>
          </w:p>
        </w:tc>
        <w:tc>
          <w:tcPr>
            <w:tcW w:w="1064" w:type="dxa"/>
            <w:gridSpan w:val="4"/>
            <w:vMerge w:val="restart"/>
            <w:tcBorders>
              <w:top w:val="nil"/>
              <w:left w:val="nil"/>
              <w:right w:val="single" w:sz="4" w:space="0" w:color="auto"/>
            </w:tcBorders>
            <w:shd w:val="clear" w:color="auto" w:fill="D6E3BC"/>
            <w:noWrap/>
            <w:textDirection w:val="btLr"/>
            <w:vAlign w:val="center"/>
            <w:hideMark/>
          </w:tcPr>
          <w:p w:rsidR="00CB39D9" w:rsidRPr="009E1DAB" w:rsidRDefault="00CB39D9" w:rsidP="00891B01">
            <w:pPr>
              <w:spacing w:line="240" w:lineRule="auto"/>
              <w:ind w:left="360"/>
              <w:jc w:val="center"/>
              <w:rPr>
                <w:rFonts w:cs="Arial"/>
                <w:b/>
                <w:bCs/>
                <w:color w:val="000000"/>
                <w:sz w:val="18"/>
                <w:szCs w:val="18"/>
                <w:lang w:eastAsia="en-US"/>
              </w:rPr>
            </w:pPr>
            <w:r w:rsidRPr="009E1DAB">
              <w:rPr>
                <w:rFonts w:cs="Arial"/>
                <w:b/>
                <w:bCs/>
                <w:color w:val="000000"/>
                <w:sz w:val="18"/>
                <w:szCs w:val="18"/>
                <w:lang w:eastAsia="en-US"/>
              </w:rPr>
              <w:t>Unidades de Conservação e outras Áreas Protegidas</w:t>
            </w:r>
          </w:p>
        </w:tc>
        <w:tc>
          <w:tcPr>
            <w:tcW w:w="1392" w:type="dxa"/>
            <w:gridSpan w:val="2"/>
            <w:vMerge w:val="restart"/>
            <w:tcBorders>
              <w:top w:val="nil"/>
              <w:left w:val="nil"/>
              <w:right w:val="single" w:sz="4" w:space="0" w:color="auto"/>
            </w:tcBorders>
            <w:shd w:val="clear" w:color="auto" w:fill="FDE9D9"/>
            <w:noWrap/>
            <w:textDirection w:val="btLr"/>
            <w:vAlign w:val="center"/>
            <w:hideMark/>
          </w:tcPr>
          <w:p w:rsidR="00CB39D9" w:rsidRPr="009E1DAB" w:rsidRDefault="00CB39D9" w:rsidP="00891B01">
            <w:pPr>
              <w:spacing w:line="240" w:lineRule="auto"/>
              <w:ind w:left="113"/>
              <w:rPr>
                <w:rFonts w:cs="Arial"/>
                <w:b/>
                <w:bCs/>
                <w:color w:val="000000"/>
                <w:sz w:val="18"/>
                <w:szCs w:val="18"/>
                <w:lang w:eastAsia="en-US"/>
              </w:rPr>
            </w:pPr>
            <w:r w:rsidRPr="009E1DAB">
              <w:rPr>
                <w:rFonts w:cs="Arial"/>
                <w:b/>
                <w:bCs/>
                <w:color w:val="000000"/>
                <w:sz w:val="18"/>
                <w:szCs w:val="18"/>
                <w:lang w:eastAsia="en-US"/>
              </w:rPr>
              <w:t xml:space="preserve">População e Qualidade </w:t>
            </w:r>
            <w:r w:rsidR="00621697">
              <w:rPr>
                <w:rFonts w:cs="Arial"/>
                <w:b/>
                <w:bCs/>
                <w:color w:val="000000"/>
                <w:sz w:val="18"/>
                <w:szCs w:val="18"/>
                <w:lang w:eastAsia="en-US"/>
              </w:rPr>
              <w:t xml:space="preserve">de </w:t>
            </w:r>
            <w:r w:rsidRPr="009E1DAB">
              <w:rPr>
                <w:rFonts w:cs="Arial"/>
                <w:b/>
                <w:bCs/>
                <w:color w:val="000000"/>
                <w:sz w:val="18"/>
                <w:szCs w:val="18"/>
                <w:lang w:eastAsia="en-US"/>
              </w:rPr>
              <w:t>Vida</w:t>
            </w:r>
          </w:p>
        </w:tc>
        <w:tc>
          <w:tcPr>
            <w:tcW w:w="992" w:type="dxa"/>
            <w:vMerge w:val="restart"/>
            <w:tcBorders>
              <w:top w:val="nil"/>
              <w:left w:val="nil"/>
              <w:right w:val="single" w:sz="4" w:space="0" w:color="auto"/>
            </w:tcBorders>
            <w:shd w:val="clear" w:color="auto" w:fill="FDE9D9"/>
            <w:noWrap/>
            <w:textDirection w:val="btLr"/>
            <w:vAlign w:val="center"/>
            <w:hideMark/>
          </w:tcPr>
          <w:p w:rsidR="00CB39D9" w:rsidRPr="009E1DAB" w:rsidRDefault="00CB39D9" w:rsidP="00891B01">
            <w:pPr>
              <w:spacing w:line="240" w:lineRule="auto"/>
              <w:ind w:left="360"/>
              <w:jc w:val="center"/>
              <w:rPr>
                <w:rFonts w:cs="Arial"/>
                <w:b/>
                <w:bCs/>
                <w:color w:val="000000"/>
                <w:sz w:val="18"/>
                <w:szCs w:val="18"/>
                <w:lang w:eastAsia="en-US"/>
              </w:rPr>
            </w:pPr>
            <w:r w:rsidRPr="009E1DAB">
              <w:rPr>
                <w:rFonts w:cs="Arial"/>
                <w:b/>
                <w:bCs/>
                <w:color w:val="000000"/>
                <w:sz w:val="18"/>
                <w:szCs w:val="18"/>
                <w:lang w:eastAsia="en-US"/>
              </w:rPr>
              <w:t>Organização Territorial</w:t>
            </w:r>
          </w:p>
        </w:tc>
        <w:tc>
          <w:tcPr>
            <w:tcW w:w="1045" w:type="dxa"/>
            <w:vMerge w:val="restart"/>
            <w:tcBorders>
              <w:top w:val="nil"/>
              <w:left w:val="nil"/>
              <w:right w:val="single" w:sz="4" w:space="0" w:color="auto"/>
            </w:tcBorders>
            <w:shd w:val="clear" w:color="auto" w:fill="FDE9D9"/>
            <w:noWrap/>
            <w:textDirection w:val="btLr"/>
            <w:vAlign w:val="center"/>
            <w:hideMark/>
          </w:tcPr>
          <w:p w:rsidR="00CB39D9" w:rsidRPr="009E1DAB" w:rsidRDefault="00CB39D9" w:rsidP="00891B01">
            <w:pPr>
              <w:spacing w:line="240" w:lineRule="auto"/>
              <w:ind w:left="360"/>
              <w:jc w:val="center"/>
              <w:rPr>
                <w:rFonts w:cs="Arial"/>
                <w:b/>
                <w:bCs/>
                <w:color w:val="000000"/>
                <w:sz w:val="18"/>
                <w:szCs w:val="18"/>
                <w:lang w:eastAsia="en-US"/>
              </w:rPr>
            </w:pPr>
            <w:r w:rsidRPr="009E1DAB">
              <w:rPr>
                <w:rFonts w:cs="Arial"/>
                <w:b/>
                <w:bCs/>
                <w:color w:val="000000"/>
                <w:sz w:val="18"/>
                <w:szCs w:val="18"/>
                <w:lang w:eastAsia="en-US"/>
              </w:rPr>
              <w:t>Base Econômica</w:t>
            </w:r>
          </w:p>
        </w:tc>
        <w:tc>
          <w:tcPr>
            <w:tcW w:w="1130" w:type="dxa"/>
            <w:gridSpan w:val="4"/>
            <w:vMerge w:val="restart"/>
            <w:tcBorders>
              <w:top w:val="nil"/>
              <w:left w:val="nil"/>
              <w:right w:val="single" w:sz="4" w:space="0" w:color="auto"/>
            </w:tcBorders>
            <w:shd w:val="clear" w:color="auto" w:fill="FDE9D9"/>
            <w:noWrap/>
            <w:textDirection w:val="btLr"/>
            <w:vAlign w:val="center"/>
            <w:hideMark/>
          </w:tcPr>
          <w:p w:rsidR="00CB39D9" w:rsidRPr="009E1DAB" w:rsidRDefault="00CB39D9" w:rsidP="00891B01">
            <w:pPr>
              <w:spacing w:line="240" w:lineRule="auto"/>
              <w:ind w:left="360"/>
              <w:jc w:val="center"/>
              <w:rPr>
                <w:rFonts w:cs="Arial"/>
                <w:b/>
                <w:bCs/>
                <w:color w:val="000000"/>
                <w:sz w:val="18"/>
                <w:szCs w:val="18"/>
                <w:lang w:eastAsia="en-US"/>
              </w:rPr>
            </w:pPr>
            <w:r w:rsidRPr="009E1DAB">
              <w:rPr>
                <w:rFonts w:cs="Arial"/>
                <w:b/>
                <w:bCs/>
                <w:color w:val="000000"/>
                <w:sz w:val="18"/>
                <w:szCs w:val="18"/>
                <w:lang w:eastAsia="en-US"/>
              </w:rPr>
              <w:t>Patrimônio Arqueológico, Histórico e Cultural</w:t>
            </w:r>
          </w:p>
        </w:tc>
      </w:tr>
      <w:tr w:rsidR="002A63E3" w:rsidRPr="009E1DAB" w:rsidTr="00786754">
        <w:trPr>
          <w:trHeight w:val="1689"/>
        </w:trPr>
        <w:tc>
          <w:tcPr>
            <w:tcW w:w="3704" w:type="dxa"/>
            <w:tcBorders>
              <w:left w:val="single" w:sz="8" w:space="0" w:color="auto"/>
              <w:bottom w:val="single" w:sz="8" w:space="0" w:color="000000"/>
            </w:tcBorders>
            <w:shd w:val="clear" w:color="000000" w:fill="BFBFBF"/>
            <w:vAlign w:val="center"/>
            <w:hideMark/>
          </w:tcPr>
          <w:p w:rsidR="00CB39D9" w:rsidRPr="009E1DAB" w:rsidRDefault="00CB39D9" w:rsidP="009E1DAB">
            <w:pPr>
              <w:spacing w:line="240" w:lineRule="auto"/>
              <w:jc w:val="center"/>
              <w:rPr>
                <w:rFonts w:cs="Arial"/>
                <w:b/>
                <w:bCs/>
                <w:color w:val="000000"/>
                <w:sz w:val="24"/>
                <w:szCs w:val="24"/>
                <w:lang w:val="en-US" w:eastAsia="en-US"/>
              </w:rPr>
            </w:pPr>
            <w:r w:rsidRPr="009E1DAB">
              <w:rPr>
                <w:rFonts w:cs="Arial"/>
                <w:b/>
                <w:bCs/>
                <w:color w:val="000000"/>
                <w:sz w:val="24"/>
                <w:szCs w:val="24"/>
                <w:lang w:val="en-US" w:eastAsia="en-US"/>
              </w:rPr>
              <w:t>Fatores Geradores de Impacto</w:t>
            </w:r>
          </w:p>
        </w:tc>
        <w:tc>
          <w:tcPr>
            <w:tcW w:w="3705" w:type="dxa"/>
            <w:tcBorders>
              <w:bottom w:val="single" w:sz="8" w:space="0" w:color="000000"/>
              <w:right w:val="single" w:sz="8" w:space="0" w:color="auto"/>
              <w:tl2br w:val="single" w:sz="8" w:space="0" w:color="auto"/>
            </w:tcBorders>
            <w:shd w:val="clear" w:color="000000" w:fill="BFBFBF"/>
            <w:vAlign w:val="center"/>
          </w:tcPr>
          <w:p w:rsidR="00CB39D9" w:rsidRPr="009E1DAB" w:rsidRDefault="00CB39D9" w:rsidP="009E1DAB">
            <w:pPr>
              <w:spacing w:line="240" w:lineRule="auto"/>
              <w:jc w:val="center"/>
              <w:rPr>
                <w:rFonts w:cs="Arial"/>
                <w:b/>
                <w:bCs/>
                <w:color w:val="000000"/>
                <w:sz w:val="24"/>
                <w:szCs w:val="24"/>
                <w:lang w:val="en-US" w:eastAsia="en-US"/>
              </w:rPr>
            </w:pPr>
          </w:p>
        </w:tc>
        <w:tc>
          <w:tcPr>
            <w:tcW w:w="1049" w:type="dxa"/>
            <w:vMerge/>
            <w:tcBorders>
              <w:left w:val="nil"/>
              <w:bottom w:val="nil"/>
              <w:right w:val="single" w:sz="4" w:space="0" w:color="auto"/>
            </w:tcBorders>
            <w:shd w:val="clear" w:color="auto" w:fill="DBE5F1"/>
            <w:textDirection w:val="btLr"/>
            <w:vAlign w:val="bottom"/>
            <w:hideMark/>
          </w:tcPr>
          <w:p w:rsidR="00CB39D9" w:rsidRPr="009E1DAB" w:rsidRDefault="00CB39D9" w:rsidP="009E1DAB">
            <w:pPr>
              <w:spacing w:line="240" w:lineRule="auto"/>
              <w:jc w:val="center"/>
              <w:rPr>
                <w:rFonts w:cs="Arial"/>
                <w:b/>
                <w:bCs/>
                <w:color w:val="000000"/>
                <w:sz w:val="18"/>
                <w:szCs w:val="18"/>
                <w:lang w:val="en-US" w:eastAsia="en-US"/>
              </w:rPr>
            </w:pPr>
          </w:p>
        </w:tc>
        <w:tc>
          <w:tcPr>
            <w:tcW w:w="1069" w:type="dxa"/>
            <w:vMerge/>
            <w:tcBorders>
              <w:left w:val="nil"/>
              <w:bottom w:val="nil"/>
              <w:right w:val="single" w:sz="4" w:space="0" w:color="auto"/>
            </w:tcBorders>
            <w:shd w:val="clear" w:color="auto" w:fill="DBE5F1"/>
            <w:textDirection w:val="btLr"/>
            <w:vAlign w:val="bottom"/>
            <w:hideMark/>
          </w:tcPr>
          <w:p w:rsidR="00CB39D9" w:rsidRPr="009E1DAB" w:rsidRDefault="00CB39D9" w:rsidP="009E1DAB">
            <w:pPr>
              <w:spacing w:line="240" w:lineRule="auto"/>
              <w:jc w:val="center"/>
              <w:rPr>
                <w:rFonts w:cs="Arial"/>
                <w:b/>
                <w:bCs/>
                <w:color w:val="000000"/>
                <w:sz w:val="18"/>
                <w:szCs w:val="18"/>
                <w:lang w:val="en-US" w:eastAsia="en-US"/>
              </w:rPr>
            </w:pPr>
          </w:p>
        </w:tc>
        <w:tc>
          <w:tcPr>
            <w:tcW w:w="1049" w:type="dxa"/>
            <w:vMerge/>
            <w:tcBorders>
              <w:left w:val="nil"/>
              <w:bottom w:val="nil"/>
              <w:right w:val="single" w:sz="4" w:space="0" w:color="auto"/>
            </w:tcBorders>
            <w:shd w:val="clear" w:color="auto" w:fill="DBE5F1"/>
            <w:textDirection w:val="btLr"/>
            <w:vAlign w:val="bottom"/>
            <w:hideMark/>
          </w:tcPr>
          <w:p w:rsidR="00CB39D9" w:rsidRPr="009E1DAB" w:rsidRDefault="00CB39D9" w:rsidP="009E1DAB">
            <w:pPr>
              <w:spacing w:line="240" w:lineRule="auto"/>
              <w:jc w:val="center"/>
              <w:rPr>
                <w:rFonts w:cs="Arial"/>
                <w:b/>
                <w:bCs/>
                <w:color w:val="000000"/>
                <w:sz w:val="18"/>
                <w:szCs w:val="18"/>
                <w:lang w:val="en-US" w:eastAsia="en-US"/>
              </w:rPr>
            </w:pPr>
          </w:p>
        </w:tc>
        <w:tc>
          <w:tcPr>
            <w:tcW w:w="916" w:type="dxa"/>
            <w:vMerge/>
            <w:tcBorders>
              <w:left w:val="nil"/>
              <w:bottom w:val="nil"/>
              <w:right w:val="single" w:sz="4" w:space="0" w:color="auto"/>
            </w:tcBorders>
            <w:shd w:val="clear" w:color="auto" w:fill="DBE5F1"/>
            <w:textDirection w:val="btLr"/>
          </w:tcPr>
          <w:p w:rsidR="00CB39D9" w:rsidRPr="009E1DAB" w:rsidRDefault="00CB39D9" w:rsidP="00431A97">
            <w:pPr>
              <w:numPr>
                <w:ilvl w:val="0"/>
                <w:numId w:val="59"/>
              </w:numPr>
              <w:spacing w:line="240" w:lineRule="auto"/>
              <w:jc w:val="center"/>
              <w:rPr>
                <w:rFonts w:cs="Arial"/>
                <w:b/>
                <w:bCs/>
                <w:color w:val="000000"/>
                <w:sz w:val="18"/>
                <w:szCs w:val="18"/>
                <w:lang w:eastAsia="en-US"/>
              </w:rPr>
            </w:pPr>
          </w:p>
        </w:tc>
        <w:tc>
          <w:tcPr>
            <w:tcW w:w="1049" w:type="dxa"/>
            <w:gridSpan w:val="2"/>
            <w:vMerge/>
            <w:tcBorders>
              <w:left w:val="single" w:sz="4" w:space="0" w:color="auto"/>
              <w:bottom w:val="nil"/>
              <w:right w:val="single" w:sz="4" w:space="0" w:color="auto"/>
            </w:tcBorders>
            <w:shd w:val="clear" w:color="auto" w:fill="DBE5F1"/>
            <w:noWrap/>
            <w:textDirection w:val="btLr"/>
            <w:vAlign w:val="bottom"/>
            <w:hideMark/>
          </w:tcPr>
          <w:p w:rsidR="00CB39D9" w:rsidRPr="009E1DAB" w:rsidRDefault="00CB39D9" w:rsidP="009E1DAB">
            <w:pPr>
              <w:spacing w:line="240" w:lineRule="auto"/>
              <w:jc w:val="center"/>
              <w:rPr>
                <w:rFonts w:cs="Arial"/>
                <w:b/>
                <w:bCs/>
                <w:color w:val="000000"/>
                <w:sz w:val="18"/>
                <w:szCs w:val="18"/>
                <w:lang w:eastAsia="en-US"/>
              </w:rPr>
            </w:pPr>
          </w:p>
        </w:tc>
        <w:tc>
          <w:tcPr>
            <w:tcW w:w="1049" w:type="dxa"/>
            <w:vMerge/>
            <w:tcBorders>
              <w:left w:val="nil"/>
              <w:bottom w:val="nil"/>
              <w:right w:val="single" w:sz="4" w:space="0" w:color="auto"/>
            </w:tcBorders>
            <w:shd w:val="clear" w:color="auto" w:fill="D6E3BC"/>
            <w:noWrap/>
            <w:textDirection w:val="btLr"/>
            <w:vAlign w:val="bottom"/>
            <w:hideMark/>
          </w:tcPr>
          <w:p w:rsidR="00CB39D9" w:rsidRPr="009E1DAB" w:rsidRDefault="00CB39D9" w:rsidP="009E1DAB">
            <w:pPr>
              <w:spacing w:line="240" w:lineRule="auto"/>
              <w:jc w:val="center"/>
              <w:rPr>
                <w:rFonts w:cs="Arial"/>
                <w:b/>
                <w:bCs/>
                <w:color w:val="000000"/>
                <w:sz w:val="18"/>
                <w:szCs w:val="18"/>
                <w:lang w:eastAsia="en-US"/>
              </w:rPr>
            </w:pPr>
          </w:p>
        </w:tc>
        <w:tc>
          <w:tcPr>
            <w:tcW w:w="1174" w:type="dxa"/>
            <w:vMerge/>
            <w:tcBorders>
              <w:left w:val="nil"/>
              <w:bottom w:val="nil"/>
              <w:right w:val="single" w:sz="4" w:space="0" w:color="auto"/>
            </w:tcBorders>
            <w:shd w:val="clear" w:color="auto" w:fill="D6E3BC"/>
            <w:noWrap/>
            <w:textDirection w:val="btLr"/>
            <w:vAlign w:val="bottom"/>
            <w:hideMark/>
          </w:tcPr>
          <w:p w:rsidR="00CB39D9" w:rsidRPr="009E1DAB" w:rsidRDefault="00CB39D9" w:rsidP="009E1DAB">
            <w:pPr>
              <w:spacing w:line="240" w:lineRule="auto"/>
              <w:jc w:val="center"/>
              <w:rPr>
                <w:rFonts w:cs="Arial"/>
                <w:b/>
                <w:bCs/>
                <w:color w:val="000000"/>
                <w:sz w:val="18"/>
                <w:szCs w:val="18"/>
                <w:lang w:eastAsia="en-US"/>
              </w:rPr>
            </w:pPr>
          </w:p>
        </w:tc>
        <w:tc>
          <w:tcPr>
            <w:tcW w:w="1174" w:type="dxa"/>
            <w:gridSpan w:val="2"/>
            <w:vMerge/>
            <w:tcBorders>
              <w:left w:val="nil"/>
              <w:bottom w:val="nil"/>
              <w:right w:val="single" w:sz="4" w:space="0" w:color="auto"/>
            </w:tcBorders>
            <w:shd w:val="clear" w:color="auto" w:fill="D6E3BC"/>
            <w:noWrap/>
            <w:textDirection w:val="btLr"/>
            <w:vAlign w:val="bottom"/>
            <w:hideMark/>
          </w:tcPr>
          <w:p w:rsidR="00CB39D9" w:rsidRPr="009E1DAB" w:rsidRDefault="00CB39D9" w:rsidP="009E1DAB">
            <w:pPr>
              <w:spacing w:line="240" w:lineRule="auto"/>
              <w:jc w:val="center"/>
              <w:rPr>
                <w:rFonts w:cs="Arial"/>
                <w:b/>
                <w:bCs/>
                <w:color w:val="000000"/>
                <w:sz w:val="18"/>
                <w:szCs w:val="18"/>
                <w:lang w:eastAsia="en-US"/>
              </w:rPr>
            </w:pPr>
          </w:p>
        </w:tc>
        <w:tc>
          <w:tcPr>
            <w:tcW w:w="1064" w:type="dxa"/>
            <w:gridSpan w:val="4"/>
            <w:vMerge/>
            <w:tcBorders>
              <w:left w:val="nil"/>
              <w:bottom w:val="nil"/>
              <w:right w:val="single" w:sz="4" w:space="0" w:color="auto"/>
            </w:tcBorders>
            <w:shd w:val="clear" w:color="auto" w:fill="D6E3BC"/>
            <w:noWrap/>
            <w:textDirection w:val="btLr"/>
            <w:vAlign w:val="bottom"/>
            <w:hideMark/>
          </w:tcPr>
          <w:p w:rsidR="00CB39D9" w:rsidRPr="009E1DAB" w:rsidRDefault="00CB39D9" w:rsidP="009E1DAB">
            <w:pPr>
              <w:spacing w:line="240" w:lineRule="auto"/>
              <w:jc w:val="center"/>
              <w:rPr>
                <w:rFonts w:cs="Arial"/>
                <w:b/>
                <w:bCs/>
                <w:color w:val="000000"/>
                <w:sz w:val="18"/>
                <w:szCs w:val="18"/>
                <w:lang w:eastAsia="en-US"/>
              </w:rPr>
            </w:pPr>
          </w:p>
        </w:tc>
        <w:tc>
          <w:tcPr>
            <w:tcW w:w="1392" w:type="dxa"/>
            <w:gridSpan w:val="2"/>
            <w:vMerge/>
            <w:tcBorders>
              <w:left w:val="nil"/>
              <w:bottom w:val="nil"/>
              <w:right w:val="single" w:sz="4" w:space="0" w:color="auto"/>
            </w:tcBorders>
            <w:shd w:val="clear" w:color="auto" w:fill="FDE9D9"/>
            <w:noWrap/>
            <w:textDirection w:val="btLr"/>
            <w:vAlign w:val="bottom"/>
            <w:hideMark/>
          </w:tcPr>
          <w:p w:rsidR="00CB39D9" w:rsidRPr="009E1DAB" w:rsidRDefault="00CB39D9" w:rsidP="009E1DAB">
            <w:pPr>
              <w:spacing w:line="240" w:lineRule="auto"/>
              <w:jc w:val="center"/>
              <w:rPr>
                <w:rFonts w:cs="Arial"/>
                <w:b/>
                <w:bCs/>
                <w:color w:val="000000"/>
                <w:sz w:val="18"/>
                <w:szCs w:val="18"/>
                <w:lang w:eastAsia="en-US"/>
              </w:rPr>
            </w:pPr>
          </w:p>
        </w:tc>
        <w:tc>
          <w:tcPr>
            <w:tcW w:w="992" w:type="dxa"/>
            <w:vMerge/>
            <w:tcBorders>
              <w:left w:val="nil"/>
              <w:bottom w:val="nil"/>
              <w:right w:val="single" w:sz="4" w:space="0" w:color="auto"/>
            </w:tcBorders>
            <w:shd w:val="clear" w:color="auto" w:fill="FDE9D9"/>
            <w:noWrap/>
            <w:textDirection w:val="btLr"/>
            <w:vAlign w:val="bottom"/>
            <w:hideMark/>
          </w:tcPr>
          <w:p w:rsidR="00CB39D9" w:rsidRPr="009E1DAB" w:rsidRDefault="00CB39D9" w:rsidP="009E1DAB">
            <w:pPr>
              <w:spacing w:line="240" w:lineRule="auto"/>
              <w:jc w:val="center"/>
              <w:rPr>
                <w:rFonts w:cs="Arial"/>
                <w:b/>
                <w:bCs/>
                <w:color w:val="000000"/>
                <w:sz w:val="18"/>
                <w:szCs w:val="18"/>
                <w:lang w:eastAsia="en-US"/>
              </w:rPr>
            </w:pPr>
          </w:p>
        </w:tc>
        <w:tc>
          <w:tcPr>
            <w:tcW w:w="1045" w:type="dxa"/>
            <w:vMerge/>
            <w:tcBorders>
              <w:left w:val="nil"/>
              <w:bottom w:val="nil"/>
              <w:right w:val="single" w:sz="4" w:space="0" w:color="auto"/>
            </w:tcBorders>
            <w:shd w:val="clear" w:color="auto" w:fill="FDE9D9"/>
            <w:noWrap/>
            <w:textDirection w:val="btLr"/>
            <w:vAlign w:val="bottom"/>
            <w:hideMark/>
          </w:tcPr>
          <w:p w:rsidR="00CB39D9" w:rsidRPr="009E1DAB" w:rsidRDefault="00CB39D9" w:rsidP="009E1DAB">
            <w:pPr>
              <w:spacing w:line="240" w:lineRule="auto"/>
              <w:jc w:val="center"/>
              <w:rPr>
                <w:rFonts w:cs="Arial"/>
                <w:b/>
                <w:bCs/>
                <w:color w:val="000000"/>
                <w:sz w:val="18"/>
                <w:szCs w:val="18"/>
                <w:lang w:eastAsia="en-US"/>
              </w:rPr>
            </w:pPr>
          </w:p>
        </w:tc>
        <w:tc>
          <w:tcPr>
            <w:tcW w:w="1130" w:type="dxa"/>
            <w:gridSpan w:val="4"/>
            <w:vMerge/>
            <w:tcBorders>
              <w:left w:val="nil"/>
              <w:bottom w:val="nil"/>
              <w:right w:val="single" w:sz="4" w:space="0" w:color="auto"/>
            </w:tcBorders>
            <w:shd w:val="clear" w:color="auto" w:fill="FDE9D9"/>
            <w:noWrap/>
            <w:textDirection w:val="btLr"/>
            <w:vAlign w:val="bottom"/>
            <w:hideMark/>
          </w:tcPr>
          <w:p w:rsidR="00CB39D9" w:rsidRPr="009E1DAB" w:rsidRDefault="00CB39D9" w:rsidP="009E1DAB">
            <w:pPr>
              <w:spacing w:line="240" w:lineRule="auto"/>
              <w:jc w:val="center"/>
              <w:rPr>
                <w:rFonts w:cs="Arial"/>
                <w:b/>
                <w:bCs/>
                <w:color w:val="000000"/>
                <w:sz w:val="18"/>
                <w:szCs w:val="18"/>
                <w:lang w:eastAsia="en-US"/>
              </w:rPr>
            </w:pPr>
          </w:p>
        </w:tc>
      </w:tr>
      <w:tr w:rsidR="009E1DAB" w:rsidRPr="009E1DAB" w:rsidTr="00F224C0">
        <w:trPr>
          <w:trHeight w:val="343"/>
        </w:trPr>
        <w:tc>
          <w:tcPr>
            <w:tcW w:w="7409" w:type="dxa"/>
            <w:gridSpan w:val="2"/>
            <w:tcBorders>
              <w:top w:val="nil"/>
              <w:left w:val="single" w:sz="4" w:space="0" w:color="auto"/>
              <w:bottom w:val="single" w:sz="4" w:space="0" w:color="auto"/>
              <w:right w:val="single" w:sz="4" w:space="0" w:color="auto"/>
            </w:tcBorders>
            <w:shd w:val="clear" w:color="auto" w:fill="BFBFBF"/>
            <w:noWrap/>
            <w:vAlign w:val="center"/>
            <w:hideMark/>
          </w:tcPr>
          <w:p w:rsidR="009E1DAB" w:rsidRPr="00621697" w:rsidRDefault="009E1DAB" w:rsidP="00094EB3">
            <w:pPr>
              <w:spacing w:line="240" w:lineRule="auto"/>
              <w:jc w:val="center"/>
              <w:rPr>
                <w:rFonts w:cs="Arial"/>
                <w:b/>
                <w:bCs/>
                <w:iCs/>
                <w:color w:val="000000"/>
                <w:szCs w:val="22"/>
                <w:lang w:val="en-US" w:eastAsia="en-US"/>
              </w:rPr>
            </w:pPr>
            <w:r w:rsidRPr="00621697">
              <w:rPr>
                <w:rFonts w:cs="Arial"/>
                <w:b/>
                <w:bCs/>
                <w:iCs/>
                <w:color w:val="000000"/>
                <w:szCs w:val="22"/>
                <w:lang w:val="en-US" w:eastAsia="en-US"/>
              </w:rPr>
              <w:t>Fase de Planejamento</w:t>
            </w:r>
          </w:p>
        </w:tc>
        <w:tc>
          <w:tcPr>
            <w:tcW w:w="14152" w:type="dxa"/>
            <w:gridSpan w:val="22"/>
            <w:tcBorders>
              <w:top w:val="single" w:sz="4" w:space="0" w:color="auto"/>
              <w:left w:val="nil"/>
              <w:bottom w:val="single" w:sz="4" w:space="0" w:color="auto"/>
              <w:right w:val="single" w:sz="4" w:space="0" w:color="auto"/>
            </w:tcBorders>
            <w:shd w:val="clear" w:color="auto" w:fill="BFBFBF"/>
            <w:vAlign w:val="center"/>
          </w:tcPr>
          <w:p w:rsidR="009E1DAB" w:rsidRPr="009E1DAB" w:rsidRDefault="009E1DAB" w:rsidP="00094EB3">
            <w:pPr>
              <w:spacing w:line="240" w:lineRule="auto"/>
              <w:jc w:val="center"/>
              <w:rPr>
                <w:rFonts w:ascii="Calibri" w:hAnsi="Calibri"/>
                <w:color w:val="000000"/>
                <w:szCs w:val="22"/>
                <w:lang w:val="en-US" w:eastAsia="en-US"/>
              </w:rPr>
            </w:pPr>
          </w:p>
        </w:tc>
      </w:tr>
      <w:tr w:rsidR="004C7369" w:rsidRPr="009E1DAB" w:rsidTr="002C0D71">
        <w:trPr>
          <w:gridAfter w:val="1"/>
          <w:wAfter w:w="17" w:type="dxa"/>
          <w:trHeight w:val="419"/>
        </w:trPr>
        <w:tc>
          <w:tcPr>
            <w:tcW w:w="7409" w:type="dxa"/>
            <w:gridSpan w:val="2"/>
            <w:tcBorders>
              <w:top w:val="nil"/>
              <w:left w:val="single" w:sz="4" w:space="0" w:color="auto"/>
              <w:bottom w:val="single" w:sz="4" w:space="0" w:color="auto"/>
              <w:right w:val="single" w:sz="4" w:space="0" w:color="auto"/>
            </w:tcBorders>
            <w:shd w:val="clear" w:color="auto" w:fill="auto"/>
            <w:vAlign w:val="center"/>
            <w:hideMark/>
          </w:tcPr>
          <w:p w:rsidR="004C7369" w:rsidRPr="00FD4160" w:rsidRDefault="004C7369" w:rsidP="004C7369">
            <w:pPr>
              <w:spacing w:before="20" w:after="20" w:line="240" w:lineRule="auto"/>
              <w:jc w:val="left"/>
              <w:rPr>
                <w:rFonts w:cs="Arial"/>
                <w:color w:val="000000"/>
                <w:sz w:val="16"/>
                <w:szCs w:val="16"/>
                <w:lang w:eastAsia="en-US"/>
              </w:rPr>
            </w:pPr>
            <w:r w:rsidRPr="00FD4160">
              <w:rPr>
                <w:rFonts w:cs="Arial"/>
                <w:color w:val="000000"/>
                <w:sz w:val="16"/>
                <w:szCs w:val="16"/>
                <w:lang w:eastAsia="en-US"/>
              </w:rPr>
              <w:t>1. Divulgação dos empreendimentos</w:t>
            </w: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val="en-US" w:eastAsia="en-US"/>
              </w:rPr>
            </w:pPr>
          </w:p>
        </w:tc>
        <w:tc>
          <w:tcPr>
            <w:tcW w:w="106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val="en-US"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val="en-US" w:eastAsia="en-US"/>
              </w:rPr>
            </w:pPr>
          </w:p>
        </w:tc>
        <w:tc>
          <w:tcPr>
            <w:tcW w:w="916" w:type="dxa"/>
            <w:tcBorders>
              <w:top w:val="nil"/>
              <w:left w:val="nil"/>
              <w:bottom w:val="single" w:sz="4" w:space="0" w:color="auto"/>
              <w:right w:val="single" w:sz="4" w:space="0" w:color="auto"/>
            </w:tcBorders>
            <w:vAlign w:val="center"/>
          </w:tcPr>
          <w:p w:rsidR="004C7369" w:rsidRPr="008E5197" w:rsidRDefault="004C7369" w:rsidP="004C7369">
            <w:pPr>
              <w:spacing w:before="20" w:after="20" w:line="240" w:lineRule="auto"/>
              <w:jc w:val="center"/>
              <w:rPr>
                <w:rFonts w:ascii="Calibri" w:hAnsi="Calibri" w:cs="Calibri"/>
                <w:b/>
                <w:color w:val="000000"/>
                <w:sz w:val="18"/>
                <w:szCs w:val="18"/>
                <w:lang w:val="en-US" w:eastAsia="en-US"/>
              </w:rPr>
            </w:pPr>
          </w:p>
        </w:tc>
        <w:tc>
          <w:tcPr>
            <w:tcW w:w="1049" w:type="dxa"/>
            <w:gridSpan w:val="2"/>
            <w:tcBorders>
              <w:top w:val="nil"/>
              <w:left w:val="single" w:sz="4" w:space="0" w:color="auto"/>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val="en-US"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val="en-US" w:eastAsia="en-US"/>
              </w:rPr>
            </w:pPr>
          </w:p>
        </w:tc>
        <w:tc>
          <w:tcPr>
            <w:tcW w:w="1174"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val="en-US" w:eastAsia="en-US"/>
              </w:rPr>
            </w:pPr>
          </w:p>
        </w:tc>
        <w:tc>
          <w:tcPr>
            <w:tcW w:w="1174" w:type="dxa"/>
            <w:gridSpan w:val="2"/>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val="en-US" w:eastAsia="en-US"/>
              </w:rPr>
            </w:pPr>
          </w:p>
        </w:tc>
        <w:tc>
          <w:tcPr>
            <w:tcW w:w="1046" w:type="dxa"/>
            <w:gridSpan w:val="3"/>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val="en-US" w:eastAsia="en-US"/>
              </w:rPr>
            </w:pPr>
          </w:p>
        </w:tc>
        <w:tc>
          <w:tcPr>
            <w:tcW w:w="1410" w:type="dxa"/>
            <w:gridSpan w:val="3"/>
            <w:tcBorders>
              <w:top w:val="nil"/>
              <w:left w:val="nil"/>
              <w:bottom w:val="single" w:sz="4" w:space="0" w:color="auto"/>
              <w:right w:val="single" w:sz="4" w:space="0" w:color="auto"/>
            </w:tcBorders>
            <w:shd w:val="clear" w:color="auto" w:fill="auto"/>
            <w:vAlign w:val="center"/>
          </w:tcPr>
          <w:p w:rsidR="00535048" w:rsidRPr="008E5197" w:rsidRDefault="00535048" w:rsidP="004C7369">
            <w:pPr>
              <w:spacing w:before="20" w:after="20" w:line="240" w:lineRule="auto"/>
              <w:jc w:val="center"/>
              <w:rPr>
                <w:rFonts w:ascii="Calibri" w:hAnsi="Calibri" w:cs="Calibri"/>
                <w:b/>
                <w:color w:val="000000"/>
                <w:sz w:val="18"/>
                <w:szCs w:val="18"/>
                <w:lang w:val="en-US" w:eastAsia="en-US"/>
              </w:rPr>
            </w:pPr>
            <w:r w:rsidRPr="008E5197">
              <w:rPr>
                <w:rFonts w:ascii="Calibri" w:hAnsi="Calibri" w:cs="Calibri"/>
                <w:b/>
                <w:color w:val="000000"/>
                <w:sz w:val="18"/>
                <w:szCs w:val="18"/>
                <w:lang w:val="en-US" w:eastAsia="en-US"/>
              </w:rPr>
              <w:t>36/37</w:t>
            </w:r>
            <w:r w:rsidR="001A0C6A">
              <w:rPr>
                <w:rFonts w:ascii="Calibri" w:hAnsi="Calibri" w:cs="Calibri"/>
                <w:b/>
                <w:color w:val="000000"/>
                <w:sz w:val="18"/>
                <w:szCs w:val="18"/>
                <w:lang w:val="en-US" w:eastAsia="en-US"/>
              </w:rPr>
              <w:t>/38</w:t>
            </w:r>
          </w:p>
          <w:p w:rsidR="004C7369" w:rsidRPr="008E5197" w:rsidRDefault="00535048" w:rsidP="001A0C6A">
            <w:pPr>
              <w:spacing w:before="20" w:after="20" w:line="240" w:lineRule="auto"/>
              <w:jc w:val="center"/>
              <w:rPr>
                <w:rFonts w:ascii="Calibri" w:hAnsi="Calibri" w:cs="Calibri"/>
                <w:b/>
                <w:color w:val="000000"/>
                <w:sz w:val="18"/>
                <w:szCs w:val="18"/>
                <w:lang w:val="en-US" w:eastAsia="en-US"/>
              </w:rPr>
            </w:pPr>
            <w:r w:rsidRPr="008E5197">
              <w:rPr>
                <w:rFonts w:ascii="Calibri" w:hAnsi="Calibri" w:cs="Calibri"/>
                <w:b/>
                <w:color w:val="000000"/>
                <w:sz w:val="18"/>
                <w:szCs w:val="18"/>
                <w:lang w:val="en-US" w:eastAsia="en-US"/>
              </w:rPr>
              <w:t>4</w:t>
            </w:r>
            <w:r w:rsidR="001A0C6A">
              <w:rPr>
                <w:rFonts w:ascii="Calibri" w:hAnsi="Calibri" w:cs="Calibri"/>
                <w:b/>
                <w:color w:val="000000"/>
                <w:sz w:val="18"/>
                <w:szCs w:val="18"/>
                <w:lang w:val="en-US" w:eastAsia="en-US"/>
              </w:rPr>
              <w:t>1</w:t>
            </w:r>
            <w:r w:rsidRPr="008E5197">
              <w:rPr>
                <w:rFonts w:ascii="Calibri" w:hAnsi="Calibri" w:cs="Calibri"/>
                <w:b/>
                <w:color w:val="000000"/>
                <w:sz w:val="18"/>
                <w:szCs w:val="18"/>
                <w:lang w:val="en-US" w:eastAsia="en-US"/>
              </w:rPr>
              <w:t>/4</w:t>
            </w:r>
            <w:r w:rsidR="001A0C6A">
              <w:rPr>
                <w:rFonts w:ascii="Calibri" w:hAnsi="Calibri" w:cs="Calibri"/>
                <w:b/>
                <w:color w:val="000000"/>
                <w:sz w:val="18"/>
                <w:szCs w:val="18"/>
                <w:lang w:val="en-US" w:eastAsia="en-US"/>
              </w:rPr>
              <w:t>4</w:t>
            </w:r>
            <w:r w:rsidRPr="008E5197">
              <w:rPr>
                <w:rFonts w:ascii="Calibri" w:hAnsi="Calibri" w:cs="Calibri"/>
                <w:b/>
                <w:color w:val="000000"/>
                <w:sz w:val="18"/>
                <w:szCs w:val="18"/>
                <w:lang w:val="en-US" w:eastAsia="en-US"/>
              </w:rPr>
              <w:t>/4</w:t>
            </w:r>
            <w:r w:rsidR="001A0C6A">
              <w:rPr>
                <w:rFonts w:ascii="Calibri" w:hAnsi="Calibri" w:cs="Calibri"/>
                <w:b/>
                <w:color w:val="000000"/>
                <w:sz w:val="18"/>
                <w:szCs w:val="18"/>
                <w:lang w:val="en-US" w:eastAsia="en-US"/>
              </w:rPr>
              <w:t>7</w:t>
            </w:r>
          </w:p>
        </w:tc>
        <w:tc>
          <w:tcPr>
            <w:tcW w:w="992" w:type="dxa"/>
            <w:tcBorders>
              <w:top w:val="nil"/>
              <w:left w:val="nil"/>
              <w:bottom w:val="single" w:sz="4" w:space="0" w:color="auto"/>
              <w:right w:val="single" w:sz="4" w:space="0" w:color="auto"/>
            </w:tcBorders>
            <w:shd w:val="clear" w:color="auto" w:fill="auto"/>
            <w:noWrap/>
            <w:vAlign w:val="center"/>
          </w:tcPr>
          <w:p w:rsidR="004C7369" w:rsidRPr="00326A83" w:rsidRDefault="004C7369" w:rsidP="004C7369">
            <w:pPr>
              <w:spacing w:before="20" w:after="20" w:line="240" w:lineRule="auto"/>
              <w:jc w:val="center"/>
              <w:rPr>
                <w:rFonts w:ascii="Calibri" w:hAnsi="Calibri" w:cs="Calibri"/>
                <w:b/>
                <w:color w:val="000000"/>
                <w:sz w:val="18"/>
                <w:szCs w:val="18"/>
                <w:highlight w:val="yellow"/>
                <w:lang w:val="en-US" w:eastAsia="en-US"/>
              </w:rPr>
            </w:pP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E5197" w:rsidRDefault="00535048" w:rsidP="001A0C6A">
            <w:pPr>
              <w:spacing w:before="20" w:after="20" w:line="240" w:lineRule="auto"/>
              <w:jc w:val="center"/>
              <w:rPr>
                <w:rFonts w:ascii="Calibri" w:hAnsi="Calibri" w:cs="Calibri"/>
                <w:b/>
                <w:color w:val="000000"/>
                <w:sz w:val="18"/>
                <w:szCs w:val="18"/>
                <w:lang w:val="en-US" w:eastAsia="en-US"/>
              </w:rPr>
            </w:pPr>
            <w:r w:rsidRPr="008E5197">
              <w:rPr>
                <w:rFonts w:ascii="Calibri" w:hAnsi="Calibri" w:cs="Calibri"/>
                <w:b/>
                <w:color w:val="000000"/>
                <w:sz w:val="18"/>
                <w:szCs w:val="18"/>
                <w:lang w:val="en-US" w:eastAsia="en-US"/>
              </w:rPr>
              <w:t>4</w:t>
            </w:r>
            <w:r w:rsidR="001A0C6A">
              <w:rPr>
                <w:rFonts w:ascii="Calibri" w:hAnsi="Calibri" w:cs="Calibri"/>
                <w:b/>
                <w:color w:val="000000"/>
                <w:sz w:val="18"/>
                <w:szCs w:val="18"/>
                <w:lang w:val="en-US" w:eastAsia="en-US"/>
              </w:rPr>
              <w:t>1</w:t>
            </w:r>
          </w:p>
        </w:tc>
        <w:tc>
          <w:tcPr>
            <w:tcW w:w="1024" w:type="dxa"/>
            <w:gridSpan w:val="2"/>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val="en-US" w:eastAsia="en-US"/>
              </w:rPr>
            </w:pPr>
          </w:p>
        </w:tc>
      </w:tr>
      <w:tr w:rsidR="004C7369" w:rsidRPr="009E1DAB" w:rsidTr="002C0D71">
        <w:trPr>
          <w:gridAfter w:val="1"/>
          <w:wAfter w:w="17" w:type="dxa"/>
          <w:trHeight w:val="466"/>
        </w:trPr>
        <w:tc>
          <w:tcPr>
            <w:tcW w:w="7409" w:type="dxa"/>
            <w:gridSpan w:val="2"/>
            <w:tcBorders>
              <w:top w:val="nil"/>
              <w:left w:val="single" w:sz="4" w:space="0" w:color="auto"/>
              <w:bottom w:val="single" w:sz="4" w:space="0" w:color="auto"/>
              <w:right w:val="single" w:sz="4" w:space="0" w:color="auto"/>
            </w:tcBorders>
            <w:shd w:val="clear" w:color="auto" w:fill="auto"/>
            <w:vAlign w:val="center"/>
            <w:hideMark/>
          </w:tcPr>
          <w:p w:rsidR="004C7369" w:rsidRPr="00FD4160" w:rsidRDefault="004C7369" w:rsidP="004C7369">
            <w:pPr>
              <w:spacing w:before="20" w:after="20" w:line="240" w:lineRule="auto"/>
              <w:jc w:val="left"/>
              <w:rPr>
                <w:rFonts w:cs="Arial"/>
                <w:color w:val="000000"/>
                <w:sz w:val="16"/>
                <w:szCs w:val="16"/>
                <w:lang w:eastAsia="en-US"/>
              </w:rPr>
            </w:pPr>
            <w:r w:rsidRPr="00FD4160">
              <w:rPr>
                <w:rFonts w:cs="Arial"/>
                <w:color w:val="000000"/>
                <w:sz w:val="16"/>
                <w:szCs w:val="16"/>
                <w:lang w:eastAsia="en-US"/>
              </w:rPr>
              <w:t xml:space="preserve">2. Levantamentos de campo </w:t>
            </w: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06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916" w:type="dxa"/>
            <w:tcBorders>
              <w:top w:val="single" w:sz="4" w:space="0" w:color="auto"/>
              <w:left w:val="nil"/>
              <w:bottom w:val="single" w:sz="4" w:space="0" w:color="auto"/>
              <w:right w:val="single" w:sz="4" w:space="0" w:color="auto"/>
            </w:tcBorders>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049" w:type="dxa"/>
            <w:gridSpan w:val="2"/>
            <w:tcBorders>
              <w:top w:val="nil"/>
              <w:left w:val="single" w:sz="4" w:space="0" w:color="auto"/>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174"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174" w:type="dxa"/>
            <w:gridSpan w:val="2"/>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046" w:type="dxa"/>
            <w:gridSpan w:val="3"/>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410" w:type="dxa"/>
            <w:gridSpan w:val="3"/>
            <w:tcBorders>
              <w:top w:val="nil"/>
              <w:left w:val="nil"/>
              <w:bottom w:val="single" w:sz="4" w:space="0" w:color="auto"/>
              <w:right w:val="single" w:sz="4" w:space="0" w:color="auto"/>
            </w:tcBorders>
            <w:shd w:val="clear" w:color="auto" w:fill="auto"/>
            <w:vAlign w:val="center"/>
          </w:tcPr>
          <w:p w:rsidR="004C7369" w:rsidRPr="00887645" w:rsidRDefault="00820375" w:rsidP="004C7369">
            <w:pPr>
              <w:spacing w:before="20" w:after="20"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val="en-US" w:eastAsia="en-US"/>
              </w:rPr>
              <w:t>36/</w:t>
            </w:r>
            <w:r w:rsidR="00535048" w:rsidRPr="00887645">
              <w:rPr>
                <w:rFonts w:ascii="Calibri" w:hAnsi="Calibri" w:cs="Calibri"/>
                <w:b/>
                <w:color w:val="000000"/>
                <w:sz w:val="18"/>
                <w:szCs w:val="18"/>
                <w:lang w:eastAsia="en-US"/>
              </w:rPr>
              <w:t>3</w:t>
            </w:r>
            <w:r w:rsidR="001A0C6A" w:rsidRPr="00887645">
              <w:rPr>
                <w:rFonts w:ascii="Calibri" w:hAnsi="Calibri" w:cs="Calibri"/>
                <w:b/>
                <w:color w:val="000000"/>
                <w:sz w:val="18"/>
                <w:szCs w:val="18"/>
                <w:lang w:eastAsia="en-US"/>
              </w:rPr>
              <w:t>7</w:t>
            </w:r>
            <w:r w:rsidR="00535048" w:rsidRPr="00887645">
              <w:rPr>
                <w:rFonts w:ascii="Calibri" w:hAnsi="Calibri" w:cs="Calibri"/>
                <w:b/>
                <w:color w:val="000000"/>
                <w:sz w:val="18"/>
                <w:szCs w:val="18"/>
                <w:lang w:eastAsia="en-US"/>
              </w:rPr>
              <w:t>/3</w:t>
            </w:r>
            <w:r w:rsidR="001A0C6A" w:rsidRPr="00887645">
              <w:rPr>
                <w:rFonts w:ascii="Calibri" w:hAnsi="Calibri" w:cs="Calibri"/>
                <w:b/>
                <w:color w:val="000000"/>
                <w:sz w:val="18"/>
                <w:szCs w:val="18"/>
                <w:lang w:eastAsia="en-US"/>
              </w:rPr>
              <w:t>8</w:t>
            </w:r>
            <w:r w:rsidR="00535048" w:rsidRPr="00887645">
              <w:rPr>
                <w:rFonts w:ascii="Calibri" w:hAnsi="Calibri" w:cs="Calibri"/>
                <w:b/>
                <w:color w:val="000000"/>
                <w:sz w:val="18"/>
                <w:szCs w:val="18"/>
                <w:lang w:eastAsia="en-US"/>
              </w:rPr>
              <w:t>/4</w:t>
            </w:r>
            <w:r w:rsidR="001A0C6A" w:rsidRPr="00887645">
              <w:rPr>
                <w:rFonts w:ascii="Calibri" w:hAnsi="Calibri" w:cs="Calibri"/>
                <w:b/>
                <w:color w:val="000000"/>
                <w:sz w:val="18"/>
                <w:szCs w:val="18"/>
                <w:lang w:eastAsia="en-US"/>
              </w:rPr>
              <w:t>1</w:t>
            </w:r>
          </w:p>
          <w:p w:rsidR="00535048" w:rsidRPr="00887645" w:rsidRDefault="00535048" w:rsidP="001A0C6A">
            <w:pPr>
              <w:spacing w:before="20" w:after="20"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4</w:t>
            </w:r>
            <w:r w:rsidR="001A0C6A" w:rsidRPr="00887645">
              <w:rPr>
                <w:rFonts w:ascii="Calibri" w:hAnsi="Calibri" w:cs="Calibri"/>
                <w:b/>
                <w:color w:val="000000"/>
                <w:sz w:val="18"/>
                <w:szCs w:val="18"/>
                <w:lang w:eastAsia="en-US"/>
              </w:rPr>
              <w:t>4</w:t>
            </w:r>
            <w:r w:rsidRPr="00887645">
              <w:rPr>
                <w:rFonts w:ascii="Calibri" w:hAnsi="Calibri" w:cs="Calibri"/>
                <w:b/>
                <w:color w:val="000000"/>
                <w:sz w:val="18"/>
                <w:szCs w:val="18"/>
                <w:lang w:eastAsia="en-US"/>
              </w:rPr>
              <w:t>/4</w:t>
            </w:r>
            <w:r w:rsidR="001A0C6A" w:rsidRPr="00887645">
              <w:rPr>
                <w:rFonts w:ascii="Calibri" w:hAnsi="Calibri" w:cs="Calibri"/>
                <w:b/>
                <w:color w:val="000000"/>
                <w:sz w:val="18"/>
                <w:szCs w:val="18"/>
                <w:lang w:eastAsia="en-US"/>
              </w:rPr>
              <w:t>7</w:t>
            </w:r>
          </w:p>
        </w:tc>
        <w:tc>
          <w:tcPr>
            <w:tcW w:w="992" w:type="dxa"/>
            <w:tcBorders>
              <w:top w:val="nil"/>
              <w:left w:val="nil"/>
              <w:bottom w:val="single" w:sz="4" w:space="0" w:color="auto"/>
              <w:right w:val="single" w:sz="4" w:space="0" w:color="auto"/>
            </w:tcBorders>
            <w:shd w:val="clear" w:color="auto" w:fill="auto"/>
            <w:noWrap/>
            <w:vAlign w:val="center"/>
          </w:tcPr>
          <w:p w:rsidR="004C7369" w:rsidRPr="00326A83" w:rsidRDefault="004C7369" w:rsidP="004C7369">
            <w:pPr>
              <w:spacing w:before="20" w:after="20" w:line="240" w:lineRule="auto"/>
              <w:jc w:val="center"/>
              <w:rPr>
                <w:rFonts w:ascii="Calibri" w:hAnsi="Calibri" w:cs="Calibri"/>
                <w:b/>
                <w:color w:val="000000"/>
                <w:sz w:val="18"/>
                <w:szCs w:val="18"/>
                <w:highlight w:val="yellow"/>
                <w:lang w:eastAsia="en-US"/>
              </w:rPr>
            </w:pP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E5197" w:rsidRDefault="00535048" w:rsidP="001A0C6A">
            <w:pPr>
              <w:spacing w:before="20" w:after="20" w:line="240" w:lineRule="auto"/>
              <w:jc w:val="center"/>
              <w:rPr>
                <w:rFonts w:ascii="Calibri" w:hAnsi="Calibri" w:cs="Calibri"/>
                <w:b/>
                <w:color w:val="000000"/>
                <w:sz w:val="18"/>
                <w:szCs w:val="18"/>
                <w:lang w:eastAsia="en-US"/>
              </w:rPr>
            </w:pPr>
            <w:r w:rsidRPr="008E5197">
              <w:rPr>
                <w:rFonts w:ascii="Calibri" w:hAnsi="Calibri" w:cs="Calibri"/>
                <w:b/>
                <w:color w:val="000000"/>
                <w:sz w:val="18"/>
                <w:szCs w:val="18"/>
                <w:lang w:eastAsia="en-US"/>
              </w:rPr>
              <w:t>4</w:t>
            </w:r>
            <w:r w:rsidR="001A0C6A">
              <w:rPr>
                <w:rFonts w:ascii="Calibri" w:hAnsi="Calibri" w:cs="Calibri"/>
                <w:b/>
                <w:color w:val="000000"/>
                <w:sz w:val="18"/>
                <w:szCs w:val="18"/>
                <w:lang w:eastAsia="en-US"/>
              </w:rPr>
              <w:t>1</w:t>
            </w:r>
          </w:p>
        </w:tc>
        <w:tc>
          <w:tcPr>
            <w:tcW w:w="1024" w:type="dxa"/>
            <w:gridSpan w:val="2"/>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r>
      <w:tr w:rsidR="004C7369" w:rsidRPr="009E1DAB" w:rsidTr="002C0D71">
        <w:trPr>
          <w:gridAfter w:val="1"/>
          <w:wAfter w:w="17" w:type="dxa"/>
          <w:trHeight w:val="388"/>
        </w:trPr>
        <w:tc>
          <w:tcPr>
            <w:tcW w:w="7409" w:type="dxa"/>
            <w:gridSpan w:val="2"/>
            <w:tcBorders>
              <w:top w:val="nil"/>
              <w:left w:val="single" w:sz="4" w:space="0" w:color="auto"/>
              <w:bottom w:val="single" w:sz="4" w:space="0" w:color="auto"/>
              <w:right w:val="single" w:sz="4" w:space="0" w:color="auto"/>
            </w:tcBorders>
            <w:shd w:val="clear" w:color="auto" w:fill="auto"/>
            <w:vAlign w:val="center"/>
            <w:hideMark/>
          </w:tcPr>
          <w:p w:rsidR="004C7369" w:rsidRPr="00FD4160" w:rsidRDefault="004C7369" w:rsidP="004C7369">
            <w:pPr>
              <w:spacing w:before="20" w:after="20" w:line="240" w:lineRule="auto"/>
              <w:jc w:val="left"/>
              <w:rPr>
                <w:rFonts w:cs="Arial"/>
                <w:color w:val="000000"/>
                <w:sz w:val="16"/>
                <w:szCs w:val="16"/>
                <w:lang w:eastAsia="en-US"/>
              </w:rPr>
            </w:pPr>
            <w:r w:rsidRPr="00FD4160">
              <w:rPr>
                <w:rFonts w:cs="Arial"/>
                <w:color w:val="000000"/>
                <w:sz w:val="16"/>
                <w:szCs w:val="16"/>
                <w:lang w:eastAsia="en-US"/>
              </w:rPr>
              <w:t>3. Início do processo de oficialização/comunicação da necessidade de desocupação dos imóveis afetados/desapropriados</w:t>
            </w: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06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916" w:type="dxa"/>
            <w:tcBorders>
              <w:top w:val="single" w:sz="4" w:space="0" w:color="auto"/>
              <w:left w:val="nil"/>
              <w:bottom w:val="single" w:sz="4" w:space="0" w:color="auto"/>
              <w:right w:val="single" w:sz="4" w:space="0" w:color="auto"/>
            </w:tcBorders>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049" w:type="dxa"/>
            <w:gridSpan w:val="2"/>
            <w:tcBorders>
              <w:top w:val="nil"/>
              <w:left w:val="single" w:sz="4" w:space="0" w:color="auto"/>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174"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174" w:type="dxa"/>
            <w:gridSpan w:val="2"/>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046" w:type="dxa"/>
            <w:gridSpan w:val="3"/>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c>
          <w:tcPr>
            <w:tcW w:w="1410" w:type="dxa"/>
            <w:gridSpan w:val="3"/>
            <w:tcBorders>
              <w:top w:val="nil"/>
              <w:left w:val="nil"/>
              <w:bottom w:val="single" w:sz="4" w:space="0" w:color="auto"/>
              <w:right w:val="single" w:sz="4" w:space="0" w:color="auto"/>
            </w:tcBorders>
            <w:shd w:val="clear" w:color="auto" w:fill="auto"/>
            <w:vAlign w:val="center"/>
          </w:tcPr>
          <w:p w:rsidR="00535048" w:rsidRPr="008E5197" w:rsidRDefault="00535048" w:rsidP="004C7369">
            <w:pPr>
              <w:spacing w:before="20" w:after="20" w:line="240" w:lineRule="auto"/>
              <w:jc w:val="center"/>
              <w:rPr>
                <w:rFonts w:ascii="Calibri" w:hAnsi="Calibri" w:cs="Calibri"/>
                <w:b/>
                <w:color w:val="000000"/>
                <w:sz w:val="18"/>
                <w:szCs w:val="18"/>
                <w:lang w:eastAsia="en-US"/>
              </w:rPr>
            </w:pPr>
            <w:r w:rsidRPr="008E5197">
              <w:rPr>
                <w:rFonts w:ascii="Calibri" w:hAnsi="Calibri" w:cs="Calibri"/>
                <w:b/>
                <w:color w:val="000000"/>
                <w:sz w:val="18"/>
                <w:szCs w:val="18"/>
                <w:lang w:eastAsia="en-US"/>
              </w:rPr>
              <w:t>3</w:t>
            </w:r>
            <w:r w:rsidR="001A0C6A">
              <w:rPr>
                <w:rFonts w:ascii="Calibri" w:hAnsi="Calibri" w:cs="Calibri"/>
                <w:b/>
                <w:color w:val="000000"/>
                <w:sz w:val="18"/>
                <w:szCs w:val="18"/>
                <w:lang w:eastAsia="en-US"/>
              </w:rPr>
              <w:t>6</w:t>
            </w:r>
            <w:r w:rsidRPr="008E5197">
              <w:rPr>
                <w:rFonts w:ascii="Calibri" w:hAnsi="Calibri" w:cs="Calibri"/>
                <w:b/>
                <w:color w:val="000000"/>
                <w:sz w:val="18"/>
                <w:szCs w:val="18"/>
                <w:lang w:eastAsia="en-US"/>
              </w:rPr>
              <w:t>/3</w:t>
            </w:r>
            <w:r w:rsidR="001A0C6A">
              <w:rPr>
                <w:rFonts w:ascii="Calibri" w:hAnsi="Calibri" w:cs="Calibri"/>
                <w:b/>
                <w:color w:val="000000"/>
                <w:sz w:val="18"/>
                <w:szCs w:val="18"/>
                <w:lang w:eastAsia="en-US"/>
              </w:rPr>
              <w:t>7</w:t>
            </w:r>
          </w:p>
          <w:p w:rsidR="004C7369" w:rsidRPr="008E5197" w:rsidRDefault="00535048" w:rsidP="001A0C6A">
            <w:pPr>
              <w:spacing w:before="20" w:after="20" w:line="240" w:lineRule="auto"/>
              <w:jc w:val="center"/>
              <w:rPr>
                <w:rFonts w:ascii="Calibri" w:hAnsi="Calibri" w:cs="Calibri"/>
                <w:b/>
                <w:color w:val="000000"/>
                <w:sz w:val="18"/>
                <w:szCs w:val="18"/>
                <w:lang w:eastAsia="en-US"/>
              </w:rPr>
            </w:pPr>
            <w:r w:rsidRPr="008E5197">
              <w:rPr>
                <w:rFonts w:ascii="Calibri" w:hAnsi="Calibri" w:cs="Calibri"/>
                <w:b/>
                <w:color w:val="000000"/>
                <w:sz w:val="18"/>
                <w:szCs w:val="18"/>
                <w:lang w:eastAsia="en-US"/>
              </w:rPr>
              <w:t>3</w:t>
            </w:r>
            <w:r w:rsidR="001A0C6A">
              <w:rPr>
                <w:rFonts w:ascii="Calibri" w:hAnsi="Calibri" w:cs="Calibri"/>
                <w:b/>
                <w:color w:val="000000"/>
                <w:sz w:val="18"/>
                <w:szCs w:val="18"/>
                <w:lang w:eastAsia="en-US"/>
              </w:rPr>
              <w:t>8</w:t>
            </w:r>
            <w:r w:rsidRPr="008E5197">
              <w:rPr>
                <w:rFonts w:ascii="Calibri" w:hAnsi="Calibri" w:cs="Calibri"/>
                <w:b/>
                <w:color w:val="000000"/>
                <w:sz w:val="18"/>
                <w:szCs w:val="18"/>
                <w:lang w:eastAsia="en-US"/>
              </w:rPr>
              <w:t>/3</w:t>
            </w:r>
            <w:r w:rsidR="001A0C6A">
              <w:rPr>
                <w:rFonts w:ascii="Calibri" w:hAnsi="Calibri" w:cs="Calibri"/>
                <w:b/>
                <w:color w:val="000000"/>
                <w:sz w:val="18"/>
                <w:szCs w:val="18"/>
                <w:lang w:eastAsia="en-US"/>
              </w:rPr>
              <w:t>9</w:t>
            </w:r>
          </w:p>
        </w:tc>
        <w:tc>
          <w:tcPr>
            <w:tcW w:w="992" w:type="dxa"/>
            <w:tcBorders>
              <w:top w:val="nil"/>
              <w:left w:val="nil"/>
              <w:bottom w:val="single" w:sz="4" w:space="0" w:color="auto"/>
              <w:right w:val="single" w:sz="4" w:space="0" w:color="auto"/>
            </w:tcBorders>
            <w:shd w:val="clear" w:color="auto" w:fill="auto"/>
            <w:noWrap/>
            <w:vAlign w:val="center"/>
          </w:tcPr>
          <w:p w:rsidR="004C7369" w:rsidRPr="00326A83" w:rsidRDefault="004C7369" w:rsidP="004C7369">
            <w:pPr>
              <w:spacing w:before="20" w:after="20" w:line="240" w:lineRule="auto"/>
              <w:jc w:val="center"/>
              <w:rPr>
                <w:rFonts w:ascii="Calibri" w:hAnsi="Calibri" w:cs="Calibri"/>
                <w:b/>
                <w:color w:val="000000"/>
                <w:sz w:val="18"/>
                <w:szCs w:val="18"/>
                <w:highlight w:val="yellow"/>
                <w:lang w:eastAsia="en-US"/>
              </w:rPr>
            </w:pP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E5197" w:rsidRDefault="00535048" w:rsidP="001A0C6A">
            <w:pPr>
              <w:spacing w:before="20" w:after="20" w:line="240" w:lineRule="auto"/>
              <w:jc w:val="center"/>
              <w:rPr>
                <w:rFonts w:ascii="Calibri" w:hAnsi="Calibri" w:cs="Calibri"/>
                <w:b/>
                <w:color w:val="000000"/>
                <w:sz w:val="18"/>
                <w:szCs w:val="18"/>
                <w:lang w:eastAsia="en-US"/>
              </w:rPr>
            </w:pPr>
            <w:r w:rsidRPr="008E5197">
              <w:rPr>
                <w:rFonts w:ascii="Calibri" w:hAnsi="Calibri" w:cs="Calibri"/>
                <w:b/>
                <w:color w:val="000000"/>
                <w:sz w:val="18"/>
                <w:szCs w:val="18"/>
                <w:lang w:eastAsia="en-US"/>
              </w:rPr>
              <w:t>3</w:t>
            </w:r>
            <w:r w:rsidR="001A0C6A">
              <w:rPr>
                <w:rFonts w:ascii="Calibri" w:hAnsi="Calibri" w:cs="Calibri"/>
                <w:b/>
                <w:color w:val="000000"/>
                <w:sz w:val="18"/>
                <w:szCs w:val="18"/>
                <w:lang w:eastAsia="en-US"/>
              </w:rPr>
              <w:t>9</w:t>
            </w:r>
            <w:r w:rsidRPr="008E5197">
              <w:rPr>
                <w:rFonts w:ascii="Calibri" w:hAnsi="Calibri" w:cs="Calibri"/>
                <w:b/>
                <w:color w:val="000000"/>
                <w:sz w:val="18"/>
                <w:szCs w:val="18"/>
                <w:lang w:eastAsia="en-US"/>
              </w:rPr>
              <w:t>/4</w:t>
            </w:r>
            <w:r w:rsidR="001A0C6A">
              <w:rPr>
                <w:rFonts w:ascii="Calibri" w:hAnsi="Calibri" w:cs="Calibri"/>
                <w:b/>
                <w:color w:val="000000"/>
                <w:sz w:val="18"/>
                <w:szCs w:val="18"/>
                <w:lang w:eastAsia="en-US"/>
              </w:rPr>
              <w:t>1</w:t>
            </w:r>
          </w:p>
        </w:tc>
        <w:tc>
          <w:tcPr>
            <w:tcW w:w="1024" w:type="dxa"/>
            <w:gridSpan w:val="2"/>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before="20" w:after="20" w:line="240" w:lineRule="auto"/>
              <w:jc w:val="center"/>
              <w:rPr>
                <w:rFonts w:ascii="Calibri" w:hAnsi="Calibri" w:cs="Calibri"/>
                <w:b/>
                <w:color w:val="000000"/>
                <w:sz w:val="18"/>
                <w:szCs w:val="18"/>
                <w:lang w:eastAsia="en-US"/>
              </w:rPr>
            </w:pPr>
          </w:p>
        </w:tc>
      </w:tr>
      <w:tr w:rsidR="009E1DAB" w:rsidRPr="009E1DAB" w:rsidTr="00F224C0">
        <w:trPr>
          <w:trHeight w:val="343"/>
        </w:trPr>
        <w:tc>
          <w:tcPr>
            <w:tcW w:w="7409" w:type="dxa"/>
            <w:gridSpan w:val="2"/>
            <w:tcBorders>
              <w:top w:val="nil"/>
              <w:left w:val="single" w:sz="4" w:space="0" w:color="auto"/>
              <w:bottom w:val="single" w:sz="4" w:space="0" w:color="auto"/>
              <w:right w:val="single" w:sz="4" w:space="0" w:color="auto"/>
            </w:tcBorders>
            <w:shd w:val="clear" w:color="auto" w:fill="BFBFBF"/>
            <w:vAlign w:val="center"/>
            <w:hideMark/>
          </w:tcPr>
          <w:p w:rsidR="009E1DAB" w:rsidRPr="00621697" w:rsidRDefault="009E1DAB" w:rsidP="009E1DAB">
            <w:pPr>
              <w:spacing w:before="20" w:after="20" w:line="240" w:lineRule="auto"/>
              <w:jc w:val="center"/>
              <w:rPr>
                <w:rFonts w:cs="Arial"/>
                <w:b/>
                <w:bCs/>
                <w:iCs/>
                <w:color w:val="000000"/>
                <w:szCs w:val="22"/>
                <w:lang w:eastAsia="en-US"/>
              </w:rPr>
            </w:pPr>
            <w:r w:rsidRPr="00621697">
              <w:rPr>
                <w:rFonts w:cs="Arial"/>
                <w:b/>
                <w:bCs/>
                <w:iCs/>
                <w:color w:val="000000"/>
                <w:szCs w:val="22"/>
                <w:lang w:eastAsia="en-US"/>
              </w:rPr>
              <w:t>Fase de Implantação</w:t>
            </w:r>
          </w:p>
        </w:tc>
        <w:tc>
          <w:tcPr>
            <w:tcW w:w="14152" w:type="dxa"/>
            <w:gridSpan w:val="22"/>
            <w:tcBorders>
              <w:top w:val="single" w:sz="4" w:space="0" w:color="auto"/>
              <w:left w:val="nil"/>
              <w:bottom w:val="single" w:sz="4" w:space="0" w:color="auto"/>
              <w:right w:val="single" w:sz="4" w:space="0" w:color="auto"/>
            </w:tcBorders>
            <w:shd w:val="clear" w:color="auto" w:fill="BFBFBF"/>
          </w:tcPr>
          <w:p w:rsidR="009E1DAB" w:rsidRPr="009E1DAB" w:rsidRDefault="009E1DAB" w:rsidP="009E1DAB">
            <w:pPr>
              <w:spacing w:before="20" w:after="20" w:line="240" w:lineRule="auto"/>
              <w:jc w:val="center"/>
              <w:rPr>
                <w:rFonts w:ascii="Calibri" w:hAnsi="Calibri"/>
                <w:color w:val="000000"/>
                <w:sz w:val="16"/>
                <w:szCs w:val="16"/>
                <w:lang w:val="en-US" w:eastAsia="en-US"/>
              </w:rPr>
            </w:pPr>
          </w:p>
        </w:tc>
      </w:tr>
      <w:tr w:rsidR="004C7369" w:rsidRPr="009E1DAB" w:rsidTr="002C0D71">
        <w:trPr>
          <w:gridAfter w:val="1"/>
          <w:wAfter w:w="17" w:type="dxa"/>
          <w:trHeight w:val="351"/>
        </w:trPr>
        <w:tc>
          <w:tcPr>
            <w:tcW w:w="7409" w:type="dxa"/>
            <w:gridSpan w:val="2"/>
            <w:tcBorders>
              <w:top w:val="nil"/>
              <w:left w:val="single" w:sz="4" w:space="0" w:color="auto"/>
              <w:bottom w:val="single" w:sz="4" w:space="0" w:color="auto"/>
              <w:right w:val="single" w:sz="4" w:space="0" w:color="auto"/>
            </w:tcBorders>
            <w:shd w:val="clear" w:color="000000" w:fill="FFFFFF"/>
            <w:vAlign w:val="center"/>
            <w:hideMark/>
          </w:tcPr>
          <w:p w:rsidR="004C7369" w:rsidRPr="00FD4160" w:rsidRDefault="004C7369" w:rsidP="004C7369">
            <w:pPr>
              <w:spacing w:before="20" w:after="20" w:line="240" w:lineRule="auto"/>
              <w:jc w:val="left"/>
              <w:rPr>
                <w:rFonts w:cs="Arial"/>
                <w:color w:val="000000"/>
                <w:sz w:val="16"/>
                <w:szCs w:val="16"/>
                <w:lang w:eastAsia="en-US"/>
              </w:rPr>
            </w:pPr>
            <w:r w:rsidRPr="00FD4160">
              <w:rPr>
                <w:rFonts w:cs="Arial"/>
                <w:color w:val="000000"/>
                <w:sz w:val="16"/>
                <w:szCs w:val="16"/>
                <w:lang w:eastAsia="en-US"/>
              </w:rPr>
              <w:t>4. Aquisição de terras/desapropriação</w:t>
            </w: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c>
          <w:tcPr>
            <w:tcW w:w="106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c>
          <w:tcPr>
            <w:tcW w:w="1014" w:type="dxa"/>
            <w:gridSpan w:val="2"/>
            <w:tcBorders>
              <w:top w:val="nil"/>
              <w:left w:val="nil"/>
              <w:bottom w:val="single" w:sz="4" w:space="0" w:color="auto"/>
              <w:right w:val="single" w:sz="4" w:space="0" w:color="auto"/>
            </w:tcBorders>
            <w:vAlign w:val="center"/>
          </w:tcPr>
          <w:p w:rsidR="004C7369" w:rsidRPr="008E5197" w:rsidRDefault="00535048" w:rsidP="004C7369">
            <w:pPr>
              <w:spacing w:line="240" w:lineRule="auto"/>
              <w:jc w:val="center"/>
              <w:rPr>
                <w:rFonts w:ascii="Calibri" w:hAnsi="Calibri" w:cs="Calibri"/>
                <w:b/>
                <w:color w:val="000000"/>
                <w:sz w:val="18"/>
                <w:szCs w:val="18"/>
                <w:lang w:val="en-US" w:eastAsia="en-US"/>
              </w:rPr>
            </w:pPr>
            <w:r w:rsidRPr="008E5197">
              <w:rPr>
                <w:rFonts w:ascii="Calibri" w:hAnsi="Calibri" w:cs="Calibri"/>
                <w:b/>
                <w:color w:val="000000"/>
                <w:sz w:val="18"/>
                <w:szCs w:val="18"/>
                <w:lang w:val="en-US" w:eastAsia="en-US"/>
              </w:rPr>
              <w:t>18</w:t>
            </w:r>
          </w:p>
        </w:tc>
        <w:tc>
          <w:tcPr>
            <w:tcW w:w="951" w:type="dxa"/>
            <w:tcBorders>
              <w:top w:val="nil"/>
              <w:left w:val="single" w:sz="4" w:space="0" w:color="auto"/>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c>
          <w:tcPr>
            <w:tcW w:w="1260" w:type="dxa"/>
            <w:gridSpan w:val="2"/>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val="en-US" w:eastAsia="en-US"/>
              </w:rPr>
            </w:pP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val="en-US" w:eastAsia="en-US"/>
              </w:rPr>
            </w:pPr>
          </w:p>
        </w:tc>
        <w:tc>
          <w:tcPr>
            <w:tcW w:w="934"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val="en-US" w:eastAsia="en-US"/>
              </w:rPr>
            </w:pPr>
          </w:p>
        </w:tc>
        <w:tc>
          <w:tcPr>
            <w:tcW w:w="1476" w:type="dxa"/>
            <w:gridSpan w:val="4"/>
            <w:tcBorders>
              <w:top w:val="nil"/>
              <w:left w:val="nil"/>
              <w:bottom w:val="single" w:sz="4" w:space="0" w:color="auto"/>
              <w:right w:val="single" w:sz="4" w:space="0" w:color="auto"/>
            </w:tcBorders>
            <w:shd w:val="clear" w:color="auto" w:fill="auto"/>
            <w:vAlign w:val="center"/>
          </w:tcPr>
          <w:p w:rsidR="004C7369" w:rsidRPr="00887645" w:rsidRDefault="00535048"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w:t>
            </w:r>
            <w:r w:rsidR="001A0C6A" w:rsidRPr="00887645">
              <w:rPr>
                <w:rFonts w:ascii="Calibri" w:hAnsi="Calibri" w:cs="Calibri"/>
                <w:b/>
                <w:color w:val="000000"/>
                <w:sz w:val="18"/>
                <w:szCs w:val="18"/>
                <w:lang w:val="en-US" w:eastAsia="en-US"/>
              </w:rPr>
              <w:t>6</w:t>
            </w:r>
            <w:r w:rsidRPr="00887645">
              <w:rPr>
                <w:rFonts w:ascii="Calibri" w:hAnsi="Calibri" w:cs="Calibri"/>
                <w:b/>
                <w:color w:val="000000"/>
                <w:sz w:val="18"/>
                <w:szCs w:val="18"/>
                <w:lang w:val="en-US" w:eastAsia="en-US"/>
              </w:rPr>
              <w:t>/3</w:t>
            </w:r>
            <w:r w:rsidR="001A0C6A" w:rsidRPr="00887645">
              <w:rPr>
                <w:rFonts w:ascii="Calibri" w:hAnsi="Calibri" w:cs="Calibri"/>
                <w:b/>
                <w:color w:val="000000"/>
                <w:sz w:val="18"/>
                <w:szCs w:val="18"/>
                <w:lang w:val="en-US" w:eastAsia="en-US"/>
              </w:rPr>
              <w:t>7</w:t>
            </w:r>
          </w:p>
          <w:p w:rsidR="00535048" w:rsidRPr="00887645" w:rsidRDefault="00535048" w:rsidP="001A0C6A">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w:t>
            </w:r>
            <w:r w:rsidR="001A0C6A" w:rsidRPr="00887645">
              <w:rPr>
                <w:rFonts w:ascii="Calibri" w:hAnsi="Calibri" w:cs="Calibri"/>
                <w:b/>
                <w:color w:val="000000"/>
                <w:sz w:val="18"/>
                <w:szCs w:val="18"/>
                <w:lang w:val="en-US" w:eastAsia="en-US"/>
              </w:rPr>
              <w:t>8</w:t>
            </w:r>
            <w:r w:rsidRPr="00887645">
              <w:rPr>
                <w:rFonts w:ascii="Calibri" w:hAnsi="Calibri" w:cs="Calibri"/>
                <w:b/>
                <w:color w:val="000000"/>
                <w:sz w:val="18"/>
                <w:szCs w:val="18"/>
                <w:lang w:val="en-US" w:eastAsia="en-US"/>
              </w:rPr>
              <w:t>/</w:t>
            </w:r>
            <w:r w:rsidR="00820375" w:rsidRPr="00887645">
              <w:rPr>
                <w:rFonts w:ascii="Calibri" w:hAnsi="Calibri" w:cs="Calibri"/>
                <w:b/>
                <w:color w:val="000000"/>
                <w:sz w:val="18"/>
                <w:szCs w:val="18"/>
                <w:lang w:val="en-US" w:eastAsia="en-US"/>
              </w:rPr>
              <w:t>39/41/</w:t>
            </w:r>
            <w:r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4</w:t>
            </w:r>
          </w:p>
        </w:tc>
        <w:tc>
          <w:tcPr>
            <w:tcW w:w="992" w:type="dxa"/>
            <w:tcBorders>
              <w:top w:val="nil"/>
              <w:left w:val="nil"/>
              <w:bottom w:val="single" w:sz="4" w:space="0" w:color="auto"/>
              <w:right w:val="single" w:sz="4" w:space="0" w:color="auto"/>
            </w:tcBorders>
            <w:shd w:val="clear" w:color="auto" w:fill="auto"/>
            <w:vAlign w:val="center"/>
          </w:tcPr>
          <w:p w:rsidR="004C7369" w:rsidRPr="00887645" w:rsidRDefault="00535048" w:rsidP="001A0C6A">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4</w:t>
            </w:r>
          </w:p>
        </w:tc>
        <w:tc>
          <w:tcPr>
            <w:tcW w:w="1217" w:type="dxa"/>
            <w:gridSpan w:val="3"/>
            <w:tcBorders>
              <w:top w:val="nil"/>
              <w:left w:val="nil"/>
              <w:bottom w:val="single" w:sz="4" w:space="0" w:color="auto"/>
              <w:right w:val="single" w:sz="4" w:space="0" w:color="auto"/>
            </w:tcBorders>
            <w:shd w:val="clear" w:color="auto" w:fill="auto"/>
            <w:vAlign w:val="center"/>
          </w:tcPr>
          <w:p w:rsidR="001A0C6A" w:rsidRDefault="00535048" w:rsidP="004C7369">
            <w:pPr>
              <w:spacing w:line="240" w:lineRule="auto"/>
              <w:jc w:val="center"/>
              <w:rPr>
                <w:rFonts w:ascii="Calibri" w:hAnsi="Calibri" w:cs="Calibri"/>
                <w:b/>
                <w:color w:val="000000"/>
                <w:sz w:val="18"/>
                <w:szCs w:val="18"/>
                <w:lang w:val="en-US" w:eastAsia="en-US"/>
              </w:rPr>
            </w:pPr>
            <w:r w:rsidRPr="008E5197">
              <w:rPr>
                <w:rFonts w:ascii="Calibri" w:hAnsi="Calibri" w:cs="Calibri"/>
                <w:b/>
                <w:color w:val="000000"/>
                <w:sz w:val="18"/>
                <w:szCs w:val="18"/>
                <w:lang w:val="en-US" w:eastAsia="en-US"/>
              </w:rPr>
              <w:t>3</w:t>
            </w:r>
            <w:r w:rsidR="001A0C6A">
              <w:rPr>
                <w:rFonts w:ascii="Calibri" w:hAnsi="Calibri" w:cs="Calibri"/>
                <w:b/>
                <w:color w:val="000000"/>
                <w:sz w:val="18"/>
                <w:szCs w:val="18"/>
                <w:lang w:val="en-US" w:eastAsia="en-US"/>
              </w:rPr>
              <w:t>9</w:t>
            </w:r>
            <w:r w:rsidRPr="008E5197">
              <w:rPr>
                <w:rFonts w:ascii="Calibri" w:hAnsi="Calibri" w:cs="Calibri"/>
                <w:b/>
                <w:color w:val="000000"/>
                <w:sz w:val="18"/>
                <w:szCs w:val="18"/>
                <w:lang w:val="en-US" w:eastAsia="en-US"/>
              </w:rPr>
              <w:t>/4</w:t>
            </w:r>
            <w:r w:rsidR="001A0C6A">
              <w:rPr>
                <w:rFonts w:ascii="Calibri" w:hAnsi="Calibri" w:cs="Calibri"/>
                <w:b/>
                <w:color w:val="000000"/>
                <w:sz w:val="18"/>
                <w:szCs w:val="18"/>
                <w:lang w:val="en-US" w:eastAsia="en-US"/>
              </w:rPr>
              <w:t>1</w:t>
            </w:r>
          </w:p>
          <w:p w:rsidR="00535048" w:rsidRPr="008E5197" w:rsidRDefault="00535048" w:rsidP="001A0C6A">
            <w:pPr>
              <w:spacing w:line="240" w:lineRule="auto"/>
              <w:jc w:val="center"/>
              <w:rPr>
                <w:rFonts w:ascii="Calibri" w:hAnsi="Calibri" w:cs="Calibri"/>
                <w:b/>
                <w:color w:val="000000"/>
                <w:sz w:val="18"/>
                <w:szCs w:val="18"/>
                <w:lang w:val="en-US" w:eastAsia="en-US"/>
              </w:rPr>
            </w:pPr>
            <w:r w:rsidRPr="008E5197">
              <w:rPr>
                <w:rFonts w:ascii="Calibri" w:hAnsi="Calibri" w:cs="Calibri"/>
                <w:b/>
                <w:color w:val="000000"/>
                <w:sz w:val="18"/>
                <w:szCs w:val="18"/>
                <w:lang w:val="en-US" w:eastAsia="en-US"/>
              </w:rPr>
              <w:t>4</w:t>
            </w:r>
            <w:r w:rsidR="001A0C6A">
              <w:rPr>
                <w:rFonts w:ascii="Calibri" w:hAnsi="Calibri" w:cs="Calibri"/>
                <w:b/>
                <w:color w:val="000000"/>
                <w:sz w:val="18"/>
                <w:szCs w:val="18"/>
                <w:lang w:val="en-US" w:eastAsia="en-US"/>
              </w:rPr>
              <w:t>3/50</w:t>
            </w:r>
            <w:r w:rsidRPr="008E5197">
              <w:rPr>
                <w:rFonts w:ascii="Calibri" w:hAnsi="Calibri" w:cs="Calibri"/>
                <w:b/>
                <w:color w:val="000000"/>
                <w:sz w:val="18"/>
                <w:szCs w:val="18"/>
                <w:lang w:val="en-US" w:eastAsia="en-US"/>
              </w:rPr>
              <w:t>/5</w:t>
            </w:r>
            <w:r w:rsidR="001A0C6A">
              <w:rPr>
                <w:rFonts w:ascii="Calibri" w:hAnsi="Calibri" w:cs="Calibri"/>
                <w:b/>
                <w:color w:val="000000"/>
                <w:sz w:val="18"/>
                <w:szCs w:val="18"/>
                <w:lang w:val="en-US" w:eastAsia="en-US"/>
              </w:rPr>
              <w:t>1</w:t>
            </w:r>
          </w:p>
        </w:tc>
        <w:tc>
          <w:tcPr>
            <w:tcW w:w="941"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r>
      <w:tr w:rsidR="004C7369" w:rsidRPr="009E1DAB" w:rsidTr="002C0D71">
        <w:trPr>
          <w:gridAfter w:val="1"/>
          <w:wAfter w:w="17" w:type="dxa"/>
          <w:trHeight w:val="343"/>
        </w:trPr>
        <w:tc>
          <w:tcPr>
            <w:tcW w:w="7409" w:type="dxa"/>
            <w:gridSpan w:val="2"/>
            <w:tcBorders>
              <w:top w:val="nil"/>
              <w:left w:val="single" w:sz="4" w:space="0" w:color="auto"/>
              <w:bottom w:val="single" w:sz="4" w:space="0" w:color="auto"/>
              <w:right w:val="single" w:sz="4" w:space="0" w:color="auto"/>
            </w:tcBorders>
            <w:shd w:val="clear" w:color="000000" w:fill="FFFFFF"/>
            <w:vAlign w:val="center"/>
            <w:hideMark/>
          </w:tcPr>
          <w:p w:rsidR="004C7369" w:rsidRPr="00FD4160" w:rsidRDefault="004C7369" w:rsidP="004C7369">
            <w:pPr>
              <w:spacing w:before="20" w:after="20" w:line="240" w:lineRule="auto"/>
              <w:jc w:val="left"/>
              <w:rPr>
                <w:rFonts w:cs="Arial"/>
                <w:color w:val="000000"/>
                <w:sz w:val="16"/>
                <w:szCs w:val="16"/>
                <w:lang w:eastAsia="en-US"/>
              </w:rPr>
            </w:pPr>
            <w:r w:rsidRPr="00FD4160">
              <w:rPr>
                <w:rFonts w:cs="Arial"/>
                <w:color w:val="000000"/>
                <w:sz w:val="16"/>
                <w:szCs w:val="16"/>
                <w:lang w:eastAsia="en-US"/>
              </w:rPr>
              <w:t>5. Relocação de população afetada</w:t>
            </w: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c>
          <w:tcPr>
            <w:tcW w:w="106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c>
          <w:tcPr>
            <w:tcW w:w="1014" w:type="dxa"/>
            <w:gridSpan w:val="2"/>
            <w:tcBorders>
              <w:top w:val="single" w:sz="4" w:space="0" w:color="auto"/>
              <w:left w:val="nil"/>
              <w:bottom w:val="single" w:sz="4" w:space="0" w:color="auto"/>
              <w:right w:val="single" w:sz="4" w:space="0" w:color="auto"/>
            </w:tcBorders>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c>
          <w:tcPr>
            <w:tcW w:w="951" w:type="dxa"/>
            <w:tcBorders>
              <w:top w:val="nil"/>
              <w:left w:val="single" w:sz="4" w:space="0" w:color="auto"/>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c>
          <w:tcPr>
            <w:tcW w:w="1260" w:type="dxa"/>
            <w:gridSpan w:val="2"/>
            <w:tcBorders>
              <w:top w:val="nil"/>
              <w:left w:val="nil"/>
              <w:bottom w:val="single" w:sz="4" w:space="0" w:color="auto"/>
              <w:right w:val="single" w:sz="4" w:space="0" w:color="auto"/>
            </w:tcBorders>
            <w:shd w:val="clear" w:color="auto" w:fill="auto"/>
            <w:noWrap/>
            <w:vAlign w:val="center"/>
          </w:tcPr>
          <w:p w:rsidR="004C7369" w:rsidRPr="00887645" w:rsidRDefault="00006CDF"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eastAsia="en-US"/>
              </w:rPr>
              <w:t>24/25</w:t>
            </w: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val="en-US" w:eastAsia="en-US"/>
              </w:rPr>
            </w:pPr>
          </w:p>
        </w:tc>
        <w:tc>
          <w:tcPr>
            <w:tcW w:w="934"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val="en-US" w:eastAsia="en-US"/>
              </w:rPr>
            </w:pPr>
          </w:p>
        </w:tc>
        <w:tc>
          <w:tcPr>
            <w:tcW w:w="1476" w:type="dxa"/>
            <w:gridSpan w:val="4"/>
            <w:tcBorders>
              <w:top w:val="nil"/>
              <w:left w:val="nil"/>
              <w:bottom w:val="single" w:sz="4" w:space="0" w:color="auto"/>
              <w:right w:val="single" w:sz="4" w:space="0" w:color="auto"/>
            </w:tcBorders>
            <w:shd w:val="clear" w:color="auto" w:fill="auto"/>
            <w:noWrap/>
            <w:vAlign w:val="center"/>
          </w:tcPr>
          <w:p w:rsidR="00535048" w:rsidRPr="00887645" w:rsidRDefault="00535048"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w:t>
            </w:r>
            <w:r w:rsidR="001A0C6A" w:rsidRPr="00887645">
              <w:rPr>
                <w:rFonts w:ascii="Calibri" w:hAnsi="Calibri" w:cs="Calibri"/>
                <w:b/>
                <w:color w:val="000000"/>
                <w:sz w:val="18"/>
                <w:szCs w:val="18"/>
                <w:lang w:val="en-US" w:eastAsia="en-US"/>
              </w:rPr>
              <w:t>6</w:t>
            </w:r>
            <w:r w:rsidRPr="00887645">
              <w:rPr>
                <w:rFonts w:ascii="Calibri" w:hAnsi="Calibri" w:cs="Calibri"/>
                <w:b/>
                <w:color w:val="000000"/>
                <w:sz w:val="18"/>
                <w:szCs w:val="18"/>
                <w:lang w:val="en-US" w:eastAsia="en-US"/>
              </w:rPr>
              <w:t>/3</w:t>
            </w:r>
            <w:r w:rsidR="001A0C6A" w:rsidRPr="00887645">
              <w:rPr>
                <w:rFonts w:ascii="Calibri" w:hAnsi="Calibri" w:cs="Calibri"/>
                <w:b/>
                <w:color w:val="000000"/>
                <w:sz w:val="18"/>
                <w:szCs w:val="18"/>
                <w:lang w:val="en-US" w:eastAsia="en-US"/>
              </w:rPr>
              <w:t>7</w:t>
            </w:r>
            <w:r w:rsidRPr="00887645">
              <w:rPr>
                <w:rFonts w:ascii="Calibri" w:hAnsi="Calibri" w:cs="Calibri"/>
                <w:b/>
                <w:color w:val="000000"/>
                <w:sz w:val="18"/>
                <w:szCs w:val="18"/>
                <w:lang w:val="en-US" w:eastAsia="en-US"/>
              </w:rPr>
              <w:t>/3</w:t>
            </w:r>
            <w:r w:rsidR="001A0C6A" w:rsidRPr="00887645">
              <w:rPr>
                <w:rFonts w:ascii="Calibri" w:hAnsi="Calibri" w:cs="Calibri"/>
                <w:b/>
                <w:color w:val="000000"/>
                <w:sz w:val="18"/>
                <w:szCs w:val="18"/>
                <w:lang w:val="en-US" w:eastAsia="en-US"/>
              </w:rPr>
              <w:t>8</w:t>
            </w:r>
            <w:r w:rsidR="00820375" w:rsidRPr="00887645">
              <w:rPr>
                <w:rFonts w:ascii="Calibri" w:hAnsi="Calibri" w:cs="Calibri"/>
                <w:b/>
                <w:color w:val="000000"/>
                <w:sz w:val="18"/>
                <w:szCs w:val="18"/>
                <w:lang w:val="en-US" w:eastAsia="en-US"/>
              </w:rPr>
              <w:t>/39</w:t>
            </w:r>
          </w:p>
          <w:p w:rsidR="004C7369" w:rsidRPr="00887645" w:rsidRDefault="001A0C6A" w:rsidP="001A0C6A">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40</w:t>
            </w:r>
            <w:r w:rsidR="00535048" w:rsidRPr="00887645">
              <w:rPr>
                <w:rFonts w:ascii="Calibri" w:hAnsi="Calibri" w:cs="Calibri"/>
                <w:b/>
                <w:color w:val="000000"/>
                <w:sz w:val="18"/>
                <w:szCs w:val="18"/>
                <w:lang w:val="en-US" w:eastAsia="en-US"/>
              </w:rPr>
              <w:t>/</w:t>
            </w:r>
            <w:r w:rsidR="00820375" w:rsidRPr="00887645">
              <w:rPr>
                <w:rFonts w:ascii="Calibri" w:hAnsi="Calibri" w:cs="Calibri"/>
                <w:b/>
                <w:color w:val="000000"/>
                <w:sz w:val="18"/>
                <w:szCs w:val="18"/>
                <w:lang w:val="en-US" w:eastAsia="en-US"/>
              </w:rPr>
              <w:t>41/</w:t>
            </w:r>
            <w:r w:rsidR="00535048" w:rsidRPr="00887645">
              <w:rPr>
                <w:rFonts w:ascii="Calibri" w:hAnsi="Calibri" w:cs="Calibri"/>
                <w:b/>
                <w:color w:val="000000"/>
                <w:sz w:val="18"/>
                <w:szCs w:val="18"/>
                <w:lang w:val="en-US" w:eastAsia="en-US"/>
              </w:rPr>
              <w:t>4</w:t>
            </w:r>
            <w:r w:rsidRPr="00887645">
              <w:rPr>
                <w:rFonts w:ascii="Calibri" w:hAnsi="Calibri" w:cs="Calibri"/>
                <w:b/>
                <w:color w:val="000000"/>
                <w:sz w:val="18"/>
                <w:szCs w:val="18"/>
                <w:lang w:val="en-US" w:eastAsia="en-US"/>
              </w:rPr>
              <w:t>4</w:t>
            </w:r>
            <w:r w:rsidR="00786754" w:rsidRPr="00887645">
              <w:rPr>
                <w:rFonts w:ascii="Calibri" w:hAnsi="Calibri" w:cs="Calibri"/>
                <w:b/>
                <w:color w:val="000000"/>
                <w:sz w:val="18"/>
                <w:szCs w:val="18"/>
                <w:lang w:val="en-US" w:eastAsia="en-US"/>
              </w:rPr>
              <w:t>/45</w:t>
            </w:r>
            <w:r w:rsidR="00535048" w:rsidRPr="00887645">
              <w:rPr>
                <w:rFonts w:ascii="Calibri" w:hAnsi="Calibri" w:cs="Calibri"/>
                <w:b/>
                <w:color w:val="000000"/>
                <w:sz w:val="18"/>
                <w:szCs w:val="18"/>
                <w:lang w:val="en-US" w:eastAsia="en-US"/>
              </w:rPr>
              <w:t>/4</w:t>
            </w:r>
            <w:r w:rsidRPr="00887645">
              <w:rPr>
                <w:rFonts w:ascii="Calibri" w:hAnsi="Calibri" w:cs="Calibri"/>
                <w:b/>
                <w:color w:val="000000"/>
                <w:sz w:val="18"/>
                <w:szCs w:val="18"/>
                <w:lang w:val="en-US" w:eastAsia="en-US"/>
              </w:rPr>
              <w:t>7</w:t>
            </w: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40383A" w:rsidP="001A0C6A">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36/40/</w:t>
            </w:r>
            <w:r w:rsidR="00535048"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1</w:t>
            </w:r>
            <w:r w:rsidR="00535048"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2</w:t>
            </w:r>
            <w:r w:rsidR="00535048"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3</w:t>
            </w:r>
          </w:p>
        </w:tc>
        <w:tc>
          <w:tcPr>
            <w:tcW w:w="1217" w:type="dxa"/>
            <w:gridSpan w:val="3"/>
            <w:tcBorders>
              <w:top w:val="nil"/>
              <w:left w:val="nil"/>
              <w:bottom w:val="single" w:sz="4" w:space="0" w:color="auto"/>
              <w:right w:val="single" w:sz="4" w:space="0" w:color="auto"/>
            </w:tcBorders>
            <w:shd w:val="clear" w:color="auto" w:fill="auto"/>
            <w:noWrap/>
            <w:vAlign w:val="center"/>
          </w:tcPr>
          <w:p w:rsidR="00535048" w:rsidRPr="008E5197" w:rsidRDefault="00535048" w:rsidP="004C7369">
            <w:pPr>
              <w:spacing w:line="240" w:lineRule="auto"/>
              <w:jc w:val="center"/>
              <w:rPr>
                <w:rFonts w:ascii="Calibri" w:hAnsi="Calibri" w:cs="Calibri"/>
                <w:b/>
                <w:color w:val="000000"/>
                <w:sz w:val="18"/>
                <w:szCs w:val="18"/>
                <w:lang w:val="en-US" w:eastAsia="en-US"/>
              </w:rPr>
            </w:pPr>
            <w:r w:rsidRPr="008E5197">
              <w:rPr>
                <w:rFonts w:ascii="Calibri" w:hAnsi="Calibri" w:cs="Calibri"/>
                <w:b/>
                <w:color w:val="000000"/>
                <w:sz w:val="18"/>
                <w:szCs w:val="18"/>
                <w:lang w:val="en-US" w:eastAsia="en-US"/>
              </w:rPr>
              <w:t>3</w:t>
            </w:r>
            <w:r w:rsidR="001A0C6A">
              <w:rPr>
                <w:rFonts w:ascii="Calibri" w:hAnsi="Calibri" w:cs="Calibri"/>
                <w:b/>
                <w:color w:val="000000"/>
                <w:sz w:val="18"/>
                <w:szCs w:val="18"/>
                <w:lang w:val="en-US" w:eastAsia="en-US"/>
              </w:rPr>
              <w:t>9</w:t>
            </w:r>
            <w:r w:rsidRPr="008E5197">
              <w:rPr>
                <w:rFonts w:ascii="Calibri" w:hAnsi="Calibri" w:cs="Calibri"/>
                <w:b/>
                <w:color w:val="000000"/>
                <w:sz w:val="18"/>
                <w:szCs w:val="18"/>
                <w:lang w:val="en-US" w:eastAsia="en-US"/>
              </w:rPr>
              <w:t>/4</w:t>
            </w:r>
            <w:r w:rsidR="001A0C6A">
              <w:rPr>
                <w:rFonts w:ascii="Calibri" w:hAnsi="Calibri" w:cs="Calibri"/>
                <w:b/>
                <w:color w:val="000000"/>
                <w:sz w:val="18"/>
                <w:szCs w:val="18"/>
                <w:lang w:val="en-US" w:eastAsia="en-US"/>
              </w:rPr>
              <w:t>1</w:t>
            </w:r>
          </w:p>
          <w:p w:rsidR="004C7369" w:rsidRPr="008E5197" w:rsidRDefault="00535048" w:rsidP="001A0C6A">
            <w:pPr>
              <w:spacing w:line="240" w:lineRule="auto"/>
              <w:jc w:val="center"/>
              <w:rPr>
                <w:rFonts w:ascii="Calibri" w:hAnsi="Calibri" w:cs="Calibri"/>
                <w:b/>
                <w:color w:val="000000"/>
                <w:sz w:val="18"/>
                <w:szCs w:val="18"/>
                <w:lang w:val="en-US" w:eastAsia="en-US"/>
              </w:rPr>
            </w:pPr>
            <w:r w:rsidRPr="008E5197">
              <w:rPr>
                <w:rFonts w:ascii="Calibri" w:hAnsi="Calibri" w:cs="Calibri"/>
                <w:b/>
                <w:color w:val="000000"/>
                <w:sz w:val="18"/>
                <w:szCs w:val="18"/>
                <w:lang w:val="en-US" w:eastAsia="en-US"/>
              </w:rPr>
              <w:t>4</w:t>
            </w:r>
            <w:r w:rsidR="001A0C6A">
              <w:rPr>
                <w:rFonts w:ascii="Calibri" w:hAnsi="Calibri" w:cs="Calibri"/>
                <w:b/>
                <w:color w:val="000000"/>
                <w:sz w:val="18"/>
                <w:szCs w:val="18"/>
                <w:lang w:val="en-US" w:eastAsia="en-US"/>
              </w:rPr>
              <w:t>2</w:t>
            </w:r>
            <w:r w:rsidRPr="008E5197">
              <w:rPr>
                <w:rFonts w:ascii="Calibri" w:hAnsi="Calibri" w:cs="Calibri"/>
                <w:b/>
                <w:color w:val="000000"/>
                <w:sz w:val="18"/>
                <w:szCs w:val="18"/>
                <w:lang w:val="en-US" w:eastAsia="en-US"/>
              </w:rPr>
              <w:t>/4</w:t>
            </w:r>
            <w:r w:rsidR="001A0C6A">
              <w:rPr>
                <w:rFonts w:ascii="Calibri" w:hAnsi="Calibri" w:cs="Calibri"/>
                <w:b/>
                <w:color w:val="000000"/>
                <w:sz w:val="18"/>
                <w:szCs w:val="18"/>
                <w:lang w:val="en-US" w:eastAsia="en-US"/>
              </w:rPr>
              <w:t>3</w:t>
            </w:r>
          </w:p>
        </w:tc>
        <w:tc>
          <w:tcPr>
            <w:tcW w:w="941"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r>
      <w:tr w:rsidR="004C7369" w:rsidRPr="009E1DAB" w:rsidTr="002C0D71">
        <w:trPr>
          <w:gridAfter w:val="1"/>
          <w:wAfter w:w="17" w:type="dxa"/>
          <w:trHeight w:val="280"/>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FD4160" w:rsidRDefault="004C7369" w:rsidP="004C7369">
            <w:pPr>
              <w:spacing w:before="20" w:after="20" w:line="240" w:lineRule="auto"/>
              <w:jc w:val="left"/>
              <w:rPr>
                <w:rFonts w:cs="Arial"/>
                <w:color w:val="000000"/>
                <w:sz w:val="16"/>
                <w:szCs w:val="16"/>
                <w:lang w:eastAsia="en-US"/>
              </w:rPr>
            </w:pPr>
            <w:r w:rsidRPr="00FD4160">
              <w:rPr>
                <w:rFonts w:cs="Arial"/>
                <w:color w:val="000000"/>
                <w:sz w:val="16"/>
                <w:szCs w:val="16"/>
                <w:lang w:eastAsia="en-US"/>
              </w:rPr>
              <w:t>6. Mobilização e contratação de mão de obra</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6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14" w:type="dxa"/>
            <w:gridSpan w:val="2"/>
            <w:tcBorders>
              <w:top w:val="single" w:sz="4" w:space="0" w:color="auto"/>
              <w:left w:val="nil"/>
              <w:bottom w:val="single" w:sz="4" w:space="0" w:color="auto"/>
              <w:right w:val="single" w:sz="4" w:space="0" w:color="auto"/>
            </w:tcBorders>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951" w:type="dxa"/>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260" w:type="dxa"/>
            <w:gridSpan w:val="2"/>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strike/>
                <w:color w:val="000000"/>
                <w:sz w:val="18"/>
                <w:szCs w:val="18"/>
                <w:lang w:eastAsia="en-US"/>
              </w:rPr>
            </w:pP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934"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476" w:type="dxa"/>
            <w:gridSpan w:val="4"/>
            <w:tcBorders>
              <w:top w:val="nil"/>
              <w:left w:val="nil"/>
              <w:bottom w:val="single" w:sz="4" w:space="0" w:color="auto"/>
              <w:right w:val="single" w:sz="4" w:space="0" w:color="auto"/>
            </w:tcBorders>
            <w:shd w:val="clear" w:color="auto" w:fill="auto"/>
            <w:vAlign w:val="center"/>
          </w:tcPr>
          <w:p w:rsidR="004C7369" w:rsidRPr="00887645" w:rsidRDefault="00820375"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36/37/</w:t>
            </w:r>
            <w:r w:rsidR="00535048" w:rsidRPr="00887645">
              <w:rPr>
                <w:rFonts w:ascii="Calibri" w:hAnsi="Calibri" w:cs="Calibri"/>
                <w:b/>
                <w:color w:val="000000"/>
                <w:sz w:val="18"/>
                <w:szCs w:val="18"/>
                <w:lang w:val="en-US" w:eastAsia="en-US"/>
              </w:rPr>
              <w:t>3</w:t>
            </w:r>
            <w:r w:rsidR="001A0C6A" w:rsidRPr="00887645">
              <w:rPr>
                <w:rFonts w:ascii="Calibri" w:hAnsi="Calibri" w:cs="Calibri"/>
                <w:b/>
                <w:color w:val="000000"/>
                <w:sz w:val="18"/>
                <w:szCs w:val="18"/>
                <w:lang w:val="en-US" w:eastAsia="en-US"/>
              </w:rPr>
              <w:t>8</w:t>
            </w:r>
            <w:r w:rsidR="00535048"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1</w:t>
            </w:r>
            <w:r w:rsidR="00535048"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4</w:t>
            </w:r>
          </w:p>
          <w:p w:rsidR="00535048" w:rsidRPr="00887645" w:rsidRDefault="00535048" w:rsidP="001A0C6A">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5</w:t>
            </w:r>
            <w:r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6</w:t>
            </w:r>
            <w:r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7</w:t>
            </w:r>
          </w:p>
        </w:tc>
        <w:tc>
          <w:tcPr>
            <w:tcW w:w="992" w:type="dxa"/>
            <w:tcBorders>
              <w:top w:val="nil"/>
              <w:left w:val="nil"/>
              <w:bottom w:val="single" w:sz="4" w:space="0" w:color="auto"/>
              <w:right w:val="single" w:sz="4" w:space="0" w:color="auto"/>
            </w:tcBorders>
            <w:shd w:val="clear" w:color="auto" w:fill="auto"/>
            <w:noWrap/>
            <w:vAlign w:val="center"/>
          </w:tcPr>
          <w:p w:rsidR="00326A83" w:rsidRPr="00887645" w:rsidRDefault="00326A83" w:rsidP="00326A83">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36/41/45/46/</w:t>
            </w:r>
            <w:r w:rsidR="00535048"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8</w:t>
            </w:r>
            <w:r w:rsidR="00535048" w:rsidRPr="00887645">
              <w:rPr>
                <w:rFonts w:ascii="Calibri" w:hAnsi="Calibri" w:cs="Calibri"/>
                <w:b/>
                <w:color w:val="000000"/>
                <w:sz w:val="18"/>
                <w:szCs w:val="18"/>
                <w:lang w:val="en-US" w:eastAsia="en-US"/>
              </w:rPr>
              <w:t>/</w:t>
            </w:r>
          </w:p>
          <w:p w:rsidR="004C7369" w:rsidRPr="00887645" w:rsidRDefault="00326A83" w:rsidP="00326A83">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9</w:t>
            </w:r>
          </w:p>
        </w:tc>
        <w:tc>
          <w:tcPr>
            <w:tcW w:w="1217" w:type="dxa"/>
            <w:gridSpan w:val="3"/>
            <w:tcBorders>
              <w:top w:val="nil"/>
              <w:left w:val="nil"/>
              <w:bottom w:val="single" w:sz="4" w:space="0" w:color="auto"/>
              <w:right w:val="single" w:sz="4" w:space="0" w:color="auto"/>
            </w:tcBorders>
            <w:shd w:val="clear" w:color="auto" w:fill="auto"/>
            <w:noWrap/>
            <w:vAlign w:val="center"/>
          </w:tcPr>
          <w:p w:rsidR="004C7369" w:rsidRPr="008E5197" w:rsidRDefault="00535048" w:rsidP="001A0C6A">
            <w:pPr>
              <w:spacing w:line="240" w:lineRule="auto"/>
              <w:jc w:val="center"/>
              <w:rPr>
                <w:rFonts w:ascii="Calibri" w:hAnsi="Calibri" w:cs="Calibri"/>
                <w:b/>
                <w:color w:val="000000"/>
                <w:sz w:val="18"/>
                <w:szCs w:val="18"/>
                <w:lang w:val="en-US" w:eastAsia="en-US"/>
              </w:rPr>
            </w:pPr>
            <w:r w:rsidRPr="008E5197">
              <w:rPr>
                <w:rFonts w:ascii="Calibri" w:hAnsi="Calibri" w:cs="Calibri"/>
                <w:b/>
                <w:color w:val="000000"/>
                <w:sz w:val="18"/>
                <w:szCs w:val="18"/>
                <w:lang w:val="en-US" w:eastAsia="en-US"/>
              </w:rPr>
              <w:t>5</w:t>
            </w:r>
            <w:r w:rsidR="001A0C6A">
              <w:rPr>
                <w:rFonts w:ascii="Calibri" w:hAnsi="Calibri" w:cs="Calibri"/>
                <w:b/>
                <w:color w:val="000000"/>
                <w:sz w:val="18"/>
                <w:szCs w:val="18"/>
                <w:lang w:val="en-US" w:eastAsia="en-US"/>
              </w:rPr>
              <w:t>1</w:t>
            </w:r>
            <w:r w:rsidRPr="008E5197">
              <w:rPr>
                <w:rFonts w:ascii="Calibri" w:hAnsi="Calibri" w:cs="Calibri"/>
                <w:b/>
                <w:color w:val="000000"/>
                <w:sz w:val="18"/>
                <w:szCs w:val="18"/>
                <w:lang w:val="en-US" w:eastAsia="en-US"/>
              </w:rPr>
              <w:t>/5</w:t>
            </w:r>
            <w:r w:rsidR="001A0C6A">
              <w:rPr>
                <w:rFonts w:ascii="Calibri" w:hAnsi="Calibri" w:cs="Calibri"/>
                <w:b/>
                <w:color w:val="000000"/>
                <w:sz w:val="18"/>
                <w:szCs w:val="18"/>
                <w:lang w:val="en-US" w:eastAsia="en-US"/>
              </w:rPr>
              <w:t>2</w:t>
            </w:r>
            <w:r w:rsidRPr="008E5197">
              <w:rPr>
                <w:rFonts w:ascii="Calibri" w:hAnsi="Calibri" w:cs="Calibri"/>
                <w:b/>
                <w:color w:val="000000"/>
                <w:sz w:val="18"/>
                <w:szCs w:val="18"/>
                <w:lang w:val="en-US" w:eastAsia="en-US"/>
              </w:rPr>
              <w:t>/5</w:t>
            </w:r>
            <w:r w:rsidR="001A0C6A">
              <w:rPr>
                <w:rFonts w:ascii="Calibri" w:hAnsi="Calibri" w:cs="Calibri"/>
                <w:b/>
                <w:color w:val="000000"/>
                <w:sz w:val="18"/>
                <w:szCs w:val="18"/>
                <w:lang w:val="en-US" w:eastAsia="en-US"/>
              </w:rPr>
              <w:t>3</w:t>
            </w:r>
          </w:p>
        </w:tc>
        <w:tc>
          <w:tcPr>
            <w:tcW w:w="941"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r>
      <w:tr w:rsidR="004C7369" w:rsidRPr="009E1DAB" w:rsidTr="002C0D71">
        <w:trPr>
          <w:gridAfter w:val="1"/>
          <w:wAfter w:w="17" w:type="dxa"/>
          <w:trHeight w:val="343"/>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FD4160" w:rsidRDefault="004C7369" w:rsidP="004C7369">
            <w:pPr>
              <w:spacing w:before="20" w:after="20" w:line="240" w:lineRule="auto"/>
              <w:jc w:val="left"/>
              <w:rPr>
                <w:rFonts w:cs="Arial"/>
                <w:sz w:val="16"/>
                <w:szCs w:val="16"/>
                <w:lang w:eastAsia="en-US"/>
              </w:rPr>
            </w:pPr>
            <w:r w:rsidRPr="00FD4160">
              <w:rPr>
                <w:rFonts w:cs="Arial"/>
                <w:sz w:val="16"/>
                <w:szCs w:val="16"/>
                <w:lang w:eastAsia="en-US"/>
              </w:rPr>
              <w:t>7. Implantação e operação de acessos, canteiros de obra e instalações provisórias</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535048"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2/3</w:t>
            </w:r>
          </w:p>
        </w:tc>
        <w:tc>
          <w:tcPr>
            <w:tcW w:w="1069" w:type="dxa"/>
            <w:tcBorders>
              <w:top w:val="nil"/>
              <w:left w:val="nil"/>
              <w:bottom w:val="single" w:sz="4" w:space="0" w:color="auto"/>
              <w:right w:val="single" w:sz="4" w:space="0" w:color="auto"/>
            </w:tcBorders>
            <w:shd w:val="clear" w:color="auto" w:fill="auto"/>
            <w:noWrap/>
            <w:vAlign w:val="center"/>
          </w:tcPr>
          <w:p w:rsidR="004C7369" w:rsidRPr="00887645" w:rsidRDefault="00535048"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9</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14" w:type="dxa"/>
            <w:gridSpan w:val="2"/>
            <w:tcBorders>
              <w:top w:val="single" w:sz="4" w:space="0" w:color="auto"/>
              <w:left w:val="nil"/>
              <w:bottom w:val="single" w:sz="4" w:space="0" w:color="auto"/>
              <w:right w:val="single" w:sz="4" w:space="0" w:color="auto"/>
            </w:tcBorders>
            <w:vAlign w:val="center"/>
          </w:tcPr>
          <w:p w:rsidR="004C7369" w:rsidRPr="00887645" w:rsidRDefault="007961ED" w:rsidP="007961ED">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14/</w:t>
            </w:r>
            <w:r w:rsidR="00A91FE3" w:rsidRPr="00887645">
              <w:rPr>
                <w:rFonts w:ascii="Calibri" w:hAnsi="Calibri" w:cs="Calibri"/>
                <w:b/>
                <w:color w:val="000000"/>
                <w:sz w:val="18"/>
                <w:szCs w:val="18"/>
                <w:lang w:eastAsia="en-US"/>
              </w:rPr>
              <w:t>16</w:t>
            </w:r>
            <w:r w:rsidRPr="00887645">
              <w:rPr>
                <w:rFonts w:ascii="Calibri" w:hAnsi="Calibri" w:cs="Calibri"/>
                <w:b/>
                <w:color w:val="000000"/>
                <w:sz w:val="18"/>
                <w:szCs w:val="18"/>
                <w:lang w:eastAsia="en-US"/>
              </w:rPr>
              <w:t>/</w:t>
            </w:r>
            <w:r w:rsidR="00A91FE3" w:rsidRPr="00887645">
              <w:rPr>
                <w:rFonts w:ascii="Calibri" w:hAnsi="Calibri" w:cs="Calibri"/>
                <w:b/>
                <w:color w:val="000000"/>
                <w:sz w:val="18"/>
                <w:szCs w:val="18"/>
                <w:lang w:eastAsia="en-US"/>
              </w:rPr>
              <w:t>17</w:t>
            </w:r>
          </w:p>
        </w:tc>
        <w:tc>
          <w:tcPr>
            <w:tcW w:w="951" w:type="dxa"/>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535048"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19</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535048" w:rsidP="00166954">
            <w:pPr>
              <w:spacing w:line="240" w:lineRule="auto"/>
              <w:jc w:val="center"/>
              <w:rPr>
                <w:rFonts w:ascii="Calibri" w:hAnsi="Calibri" w:cs="Calibri"/>
                <w:b/>
                <w:strike/>
                <w:color w:val="000000"/>
                <w:sz w:val="18"/>
                <w:szCs w:val="18"/>
                <w:lang w:eastAsia="en-US"/>
              </w:rPr>
            </w:pPr>
            <w:r w:rsidRPr="00887645">
              <w:rPr>
                <w:rFonts w:ascii="Calibri" w:hAnsi="Calibri" w:cs="Calibri"/>
                <w:b/>
                <w:color w:val="000000"/>
                <w:sz w:val="18"/>
                <w:szCs w:val="18"/>
                <w:lang w:eastAsia="en-US"/>
              </w:rPr>
              <w:t>20/</w:t>
            </w:r>
            <w:r w:rsidR="00006CDF" w:rsidRPr="00887645">
              <w:rPr>
                <w:rFonts w:ascii="Calibri" w:hAnsi="Calibri" w:cs="Calibri"/>
                <w:b/>
                <w:color w:val="000000"/>
                <w:sz w:val="18"/>
                <w:szCs w:val="18"/>
                <w:lang w:eastAsia="en-US"/>
              </w:rPr>
              <w:t>22</w:t>
            </w:r>
          </w:p>
        </w:tc>
        <w:tc>
          <w:tcPr>
            <w:tcW w:w="1260" w:type="dxa"/>
            <w:gridSpan w:val="2"/>
            <w:tcBorders>
              <w:top w:val="nil"/>
              <w:left w:val="nil"/>
              <w:bottom w:val="single" w:sz="4" w:space="0" w:color="auto"/>
              <w:right w:val="single" w:sz="4" w:space="0" w:color="auto"/>
            </w:tcBorders>
            <w:shd w:val="clear" w:color="auto" w:fill="auto"/>
            <w:noWrap/>
            <w:vAlign w:val="center"/>
          </w:tcPr>
          <w:p w:rsidR="00535048" w:rsidRPr="00887645" w:rsidRDefault="00B4569C"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21/</w:t>
            </w:r>
            <w:r w:rsidR="00535048" w:rsidRPr="00887645">
              <w:rPr>
                <w:rFonts w:ascii="Calibri" w:hAnsi="Calibri" w:cs="Calibri"/>
                <w:b/>
                <w:color w:val="000000"/>
                <w:sz w:val="18"/>
                <w:szCs w:val="18"/>
                <w:lang w:eastAsia="en-US"/>
              </w:rPr>
              <w:t>23/24</w:t>
            </w:r>
          </w:p>
          <w:p w:rsidR="004C7369" w:rsidRPr="00887645" w:rsidRDefault="00535048" w:rsidP="00166954">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25</w:t>
            </w: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87645" w:rsidRDefault="007961ED"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27</w:t>
            </w:r>
          </w:p>
        </w:tc>
        <w:tc>
          <w:tcPr>
            <w:tcW w:w="934" w:type="dxa"/>
            <w:tcBorders>
              <w:top w:val="nil"/>
              <w:left w:val="nil"/>
              <w:bottom w:val="single" w:sz="4" w:space="0" w:color="auto"/>
              <w:right w:val="single" w:sz="4" w:space="0" w:color="auto"/>
            </w:tcBorders>
            <w:shd w:val="clear" w:color="auto" w:fill="auto"/>
            <w:noWrap/>
            <w:vAlign w:val="center"/>
          </w:tcPr>
          <w:p w:rsidR="004C7369" w:rsidRPr="00887645" w:rsidRDefault="00A91FE3"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26a/26b</w:t>
            </w:r>
          </w:p>
        </w:tc>
        <w:tc>
          <w:tcPr>
            <w:tcW w:w="1476" w:type="dxa"/>
            <w:gridSpan w:val="4"/>
            <w:tcBorders>
              <w:top w:val="nil"/>
              <w:left w:val="nil"/>
              <w:bottom w:val="single" w:sz="4" w:space="0" w:color="auto"/>
              <w:right w:val="single" w:sz="4" w:space="0" w:color="auto"/>
            </w:tcBorders>
            <w:shd w:val="clear" w:color="auto" w:fill="auto"/>
            <w:vAlign w:val="center"/>
          </w:tcPr>
          <w:p w:rsidR="00B45409" w:rsidRPr="00887645" w:rsidRDefault="007961ED"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w:t>
            </w:r>
            <w:r w:rsidR="001A0C6A" w:rsidRPr="00887645">
              <w:rPr>
                <w:rFonts w:ascii="Calibri" w:hAnsi="Calibri" w:cs="Calibri"/>
                <w:b/>
                <w:color w:val="000000"/>
                <w:sz w:val="18"/>
                <w:szCs w:val="18"/>
                <w:lang w:val="en-US" w:eastAsia="en-US"/>
              </w:rPr>
              <w:t>6</w:t>
            </w:r>
            <w:r w:rsidRPr="00887645">
              <w:rPr>
                <w:rFonts w:ascii="Calibri" w:hAnsi="Calibri" w:cs="Calibri"/>
                <w:b/>
                <w:color w:val="000000"/>
                <w:sz w:val="18"/>
                <w:szCs w:val="18"/>
                <w:lang w:val="en-US" w:eastAsia="en-US"/>
              </w:rPr>
              <w:t>/</w:t>
            </w:r>
            <w:r w:rsidR="00A91FE3" w:rsidRPr="00887645">
              <w:rPr>
                <w:rFonts w:ascii="Calibri" w:hAnsi="Calibri" w:cs="Calibri"/>
                <w:b/>
                <w:color w:val="000000"/>
                <w:sz w:val="18"/>
                <w:szCs w:val="18"/>
                <w:lang w:val="en-US" w:eastAsia="en-US"/>
              </w:rPr>
              <w:t>3</w:t>
            </w:r>
            <w:r w:rsidR="001A0C6A" w:rsidRPr="00887645">
              <w:rPr>
                <w:rFonts w:ascii="Calibri" w:hAnsi="Calibri" w:cs="Calibri"/>
                <w:b/>
                <w:color w:val="000000"/>
                <w:sz w:val="18"/>
                <w:szCs w:val="18"/>
                <w:lang w:val="en-US" w:eastAsia="en-US"/>
              </w:rPr>
              <w:t>7</w:t>
            </w:r>
            <w:r w:rsidR="00A91FE3" w:rsidRPr="00887645">
              <w:rPr>
                <w:rFonts w:ascii="Calibri" w:hAnsi="Calibri" w:cs="Calibri"/>
                <w:b/>
                <w:color w:val="000000"/>
                <w:sz w:val="18"/>
                <w:szCs w:val="18"/>
                <w:lang w:val="en-US" w:eastAsia="en-US"/>
              </w:rPr>
              <w:t>/3</w:t>
            </w:r>
            <w:r w:rsidR="001A0C6A" w:rsidRPr="00887645">
              <w:rPr>
                <w:rFonts w:ascii="Calibri" w:hAnsi="Calibri" w:cs="Calibri"/>
                <w:b/>
                <w:color w:val="000000"/>
                <w:sz w:val="18"/>
                <w:szCs w:val="18"/>
                <w:lang w:val="en-US" w:eastAsia="en-US"/>
              </w:rPr>
              <w:t>8</w:t>
            </w:r>
          </w:p>
          <w:p w:rsidR="004C7369" w:rsidRPr="00887645" w:rsidRDefault="007961ED" w:rsidP="001A0C6A">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w:t>
            </w:r>
            <w:r w:rsidR="001A0C6A" w:rsidRPr="00887645">
              <w:rPr>
                <w:rFonts w:ascii="Calibri" w:hAnsi="Calibri" w:cs="Calibri"/>
                <w:b/>
                <w:color w:val="000000"/>
                <w:sz w:val="18"/>
                <w:szCs w:val="18"/>
                <w:lang w:val="en-US" w:eastAsia="en-US"/>
              </w:rPr>
              <w:t>9</w:t>
            </w:r>
            <w:r w:rsidR="00B45409" w:rsidRPr="00887645">
              <w:rPr>
                <w:rFonts w:ascii="Calibri" w:hAnsi="Calibri" w:cs="Calibri"/>
                <w:b/>
                <w:color w:val="000000"/>
                <w:sz w:val="18"/>
                <w:szCs w:val="18"/>
                <w:lang w:val="en-US" w:eastAsia="en-US"/>
              </w:rPr>
              <w:t>/</w:t>
            </w:r>
            <w:r w:rsidR="001A0C6A" w:rsidRPr="00887645">
              <w:rPr>
                <w:rFonts w:ascii="Calibri" w:hAnsi="Calibri" w:cs="Calibri"/>
                <w:b/>
                <w:color w:val="000000"/>
                <w:sz w:val="18"/>
                <w:szCs w:val="18"/>
                <w:lang w:val="en-US" w:eastAsia="en-US"/>
              </w:rPr>
              <w:t>40</w:t>
            </w:r>
            <w:r w:rsidRPr="00887645">
              <w:rPr>
                <w:rFonts w:ascii="Calibri" w:hAnsi="Calibri" w:cs="Calibri"/>
                <w:b/>
                <w:color w:val="000000"/>
                <w:sz w:val="18"/>
                <w:szCs w:val="18"/>
                <w:lang w:val="en-US" w:eastAsia="en-US"/>
              </w:rPr>
              <w:t>/</w:t>
            </w:r>
            <w:r w:rsidR="00A91FE3"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7</w:t>
            </w: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7874D5" w:rsidP="001A0C6A">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1</w:t>
            </w:r>
            <w:r w:rsidRPr="00887645">
              <w:rPr>
                <w:rFonts w:ascii="Calibri" w:hAnsi="Calibri" w:cs="Calibri"/>
                <w:b/>
                <w:color w:val="000000"/>
                <w:sz w:val="18"/>
                <w:szCs w:val="18"/>
                <w:lang w:val="en-US" w:eastAsia="en-US"/>
              </w:rPr>
              <w:t>/</w:t>
            </w:r>
            <w:r w:rsidR="00A91FE3" w:rsidRPr="00887645">
              <w:rPr>
                <w:rFonts w:ascii="Calibri" w:hAnsi="Calibri" w:cs="Calibri"/>
                <w:b/>
                <w:color w:val="000000"/>
                <w:sz w:val="18"/>
                <w:szCs w:val="18"/>
                <w:lang w:val="en-US" w:eastAsia="en-US"/>
              </w:rPr>
              <w:t>4</w:t>
            </w:r>
            <w:r w:rsidR="001A0C6A" w:rsidRPr="00887645">
              <w:rPr>
                <w:rFonts w:ascii="Calibri" w:hAnsi="Calibri" w:cs="Calibri"/>
                <w:b/>
                <w:color w:val="000000"/>
                <w:sz w:val="18"/>
                <w:szCs w:val="18"/>
                <w:lang w:val="en-US" w:eastAsia="en-US"/>
              </w:rPr>
              <w:t>2</w:t>
            </w:r>
          </w:p>
        </w:tc>
        <w:tc>
          <w:tcPr>
            <w:tcW w:w="1217" w:type="dxa"/>
            <w:gridSpan w:val="3"/>
            <w:tcBorders>
              <w:top w:val="nil"/>
              <w:left w:val="nil"/>
              <w:bottom w:val="single" w:sz="4" w:space="0" w:color="auto"/>
              <w:right w:val="single" w:sz="4" w:space="0" w:color="auto"/>
            </w:tcBorders>
            <w:shd w:val="clear" w:color="auto" w:fill="auto"/>
            <w:noWrap/>
            <w:vAlign w:val="center"/>
          </w:tcPr>
          <w:p w:rsidR="004C7369" w:rsidRPr="008E5197" w:rsidRDefault="00B45409" w:rsidP="001A0C6A">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4</w:t>
            </w:r>
            <w:r w:rsidR="001A0C6A">
              <w:rPr>
                <w:rFonts w:ascii="Calibri" w:hAnsi="Calibri" w:cs="Calibri"/>
                <w:b/>
                <w:color w:val="000000"/>
                <w:sz w:val="18"/>
                <w:szCs w:val="18"/>
                <w:lang w:val="en-US" w:eastAsia="en-US"/>
              </w:rPr>
              <w:t>3</w:t>
            </w:r>
            <w:r>
              <w:rPr>
                <w:rFonts w:ascii="Calibri" w:hAnsi="Calibri" w:cs="Calibri"/>
                <w:b/>
                <w:color w:val="000000"/>
                <w:sz w:val="18"/>
                <w:szCs w:val="18"/>
                <w:lang w:val="en-US" w:eastAsia="en-US"/>
              </w:rPr>
              <w:t>/</w:t>
            </w:r>
            <w:r w:rsidR="000C716D" w:rsidRPr="008E5197">
              <w:rPr>
                <w:rFonts w:ascii="Calibri" w:hAnsi="Calibri" w:cs="Calibri"/>
                <w:b/>
                <w:color w:val="000000"/>
                <w:sz w:val="18"/>
                <w:szCs w:val="18"/>
                <w:lang w:val="en-US" w:eastAsia="en-US"/>
              </w:rPr>
              <w:t>5</w:t>
            </w:r>
            <w:r w:rsidR="001A0C6A">
              <w:rPr>
                <w:rFonts w:ascii="Calibri" w:hAnsi="Calibri" w:cs="Calibri"/>
                <w:b/>
                <w:color w:val="000000"/>
                <w:sz w:val="18"/>
                <w:szCs w:val="18"/>
                <w:lang w:val="en-US" w:eastAsia="en-US"/>
              </w:rPr>
              <w:t>1</w:t>
            </w:r>
            <w:r w:rsidR="000C716D" w:rsidRPr="008E5197">
              <w:rPr>
                <w:rFonts w:ascii="Calibri" w:hAnsi="Calibri" w:cs="Calibri"/>
                <w:b/>
                <w:color w:val="000000"/>
                <w:sz w:val="18"/>
                <w:szCs w:val="18"/>
                <w:lang w:val="en-US" w:eastAsia="en-US"/>
              </w:rPr>
              <w:t>/5</w:t>
            </w:r>
            <w:r w:rsidR="001A0C6A">
              <w:rPr>
                <w:rFonts w:ascii="Calibri" w:hAnsi="Calibri" w:cs="Calibri"/>
                <w:b/>
                <w:color w:val="000000"/>
                <w:sz w:val="18"/>
                <w:szCs w:val="18"/>
                <w:lang w:val="en-US" w:eastAsia="en-US"/>
              </w:rPr>
              <w:t>2</w:t>
            </w:r>
            <w:r w:rsidR="007874D5" w:rsidRPr="008E5197">
              <w:rPr>
                <w:rFonts w:ascii="Calibri" w:hAnsi="Calibri" w:cs="Calibri"/>
                <w:b/>
                <w:color w:val="000000"/>
                <w:sz w:val="18"/>
                <w:szCs w:val="18"/>
                <w:lang w:val="en-US" w:eastAsia="en-US"/>
              </w:rPr>
              <w:t>/5</w:t>
            </w:r>
            <w:r w:rsidR="001A0C6A">
              <w:rPr>
                <w:rFonts w:ascii="Calibri" w:hAnsi="Calibri" w:cs="Calibri"/>
                <w:b/>
                <w:color w:val="000000"/>
                <w:sz w:val="18"/>
                <w:szCs w:val="18"/>
                <w:lang w:val="en-US" w:eastAsia="en-US"/>
              </w:rPr>
              <w:t>3</w:t>
            </w:r>
          </w:p>
        </w:tc>
        <w:tc>
          <w:tcPr>
            <w:tcW w:w="941" w:type="dxa"/>
            <w:tcBorders>
              <w:top w:val="nil"/>
              <w:left w:val="nil"/>
              <w:bottom w:val="single" w:sz="4" w:space="0" w:color="auto"/>
              <w:right w:val="single" w:sz="4" w:space="0" w:color="auto"/>
            </w:tcBorders>
            <w:shd w:val="clear" w:color="auto" w:fill="auto"/>
            <w:noWrap/>
            <w:vAlign w:val="center"/>
          </w:tcPr>
          <w:p w:rsidR="004C7369" w:rsidRPr="008E5197" w:rsidRDefault="007874D5" w:rsidP="001A0C6A">
            <w:pPr>
              <w:spacing w:line="240" w:lineRule="auto"/>
              <w:jc w:val="center"/>
              <w:rPr>
                <w:rFonts w:ascii="Calibri" w:hAnsi="Calibri" w:cs="Calibri"/>
                <w:b/>
                <w:color w:val="000000"/>
                <w:sz w:val="18"/>
                <w:szCs w:val="18"/>
                <w:lang w:val="en-US" w:eastAsia="en-US"/>
              </w:rPr>
            </w:pPr>
            <w:r w:rsidRPr="008E5197">
              <w:rPr>
                <w:rFonts w:ascii="Calibri" w:hAnsi="Calibri" w:cs="Calibri"/>
                <w:b/>
                <w:color w:val="000000"/>
                <w:sz w:val="18"/>
                <w:szCs w:val="18"/>
                <w:lang w:val="en-US" w:eastAsia="en-US"/>
              </w:rPr>
              <w:t>5</w:t>
            </w:r>
            <w:r w:rsidR="001A0C6A">
              <w:rPr>
                <w:rFonts w:ascii="Calibri" w:hAnsi="Calibri" w:cs="Calibri"/>
                <w:b/>
                <w:color w:val="000000"/>
                <w:sz w:val="18"/>
                <w:szCs w:val="18"/>
                <w:lang w:val="en-US" w:eastAsia="en-US"/>
              </w:rPr>
              <w:t>4</w:t>
            </w:r>
          </w:p>
        </w:tc>
      </w:tr>
      <w:tr w:rsidR="00C93C81" w:rsidRPr="009E1DAB" w:rsidTr="002C0D71">
        <w:trPr>
          <w:gridAfter w:val="1"/>
          <w:wAfter w:w="17" w:type="dxa"/>
          <w:trHeight w:val="328"/>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FD4160" w:rsidRDefault="004C7369" w:rsidP="004C7369">
            <w:pPr>
              <w:spacing w:before="20" w:after="20" w:line="240" w:lineRule="auto"/>
              <w:jc w:val="left"/>
              <w:rPr>
                <w:rFonts w:cs="Arial"/>
                <w:color w:val="000000"/>
                <w:sz w:val="16"/>
                <w:szCs w:val="16"/>
                <w:lang w:eastAsia="en-US"/>
              </w:rPr>
            </w:pPr>
            <w:r w:rsidRPr="00FD4160">
              <w:rPr>
                <w:rFonts w:cs="Arial"/>
                <w:color w:val="000000"/>
                <w:sz w:val="16"/>
                <w:szCs w:val="16"/>
                <w:lang w:eastAsia="en-US"/>
              </w:rPr>
              <w:t>8. Abertura e exploração de áreas de empréstimo e bota-foras</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C348DC"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2/3</w:t>
            </w:r>
          </w:p>
        </w:tc>
        <w:tc>
          <w:tcPr>
            <w:tcW w:w="1069" w:type="dxa"/>
            <w:tcBorders>
              <w:top w:val="nil"/>
              <w:left w:val="nil"/>
              <w:bottom w:val="single" w:sz="4" w:space="0" w:color="auto"/>
              <w:right w:val="single" w:sz="4" w:space="0" w:color="auto"/>
            </w:tcBorders>
            <w:shd w:val="clear" w:color="auto" w:fill="auto"/>
            <w:noWrap/>
            <w:vAlign w:val="center"/>
          </w:tcPr>
          <w:p w:rsidR="004C7369" w:rsidRPr="00887645" w:rsidRDefault="00D2668F"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8/</w:t>
            </w:r>
            <w:r w:rsidR="00C348DC" w:rsidRPr="00887645">
              <w:rPr>
                <w:rFonts w:ascii="Calibri" w:hAnsi="Calibri" w:cs="Calibri"/>
                <w:b/>
                <w:color w:val="000000"/>
                <w:sz w:val="18"/>
                <w:szCs w:val="18"/>
                <w:lang w:eastAsia="en-US"/>
              </w:rPr>
              <w:t>9</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14" w:type="dxa"/>
            <w:gridSpan w:val="2"/>
            <w:tcBorders>
              <w:top w:val="single" w:sz="4" w:space="0" w:color="auto"/>
              <w:left w:val="nil"/>
              <w:bottom w:val="single" w:sz="4" w:space="0" w:color="auto"/>
              <w:right w:val="single" w:sz="4" w:space="0" w:color="auto"/>
            </w:tcBorders>
            <w:shd w:val="clear" w:color="auto" w:fill="auto"/>
            <w:vAlign w:val="center"/>
          </w:tcPr>
          <w:p w:rsidR="00C348DC" w:rsidRPr="00887645" w:rsidRDefault="00C348DC" w:rsidP="00C348DC">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14/17</w:t>
            </w:r>
          </w:p>
        </w:tc>
        <w:tc>
          <w:tcPr>
            <w:tcW w:w="951" w:type="dxa"/>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C348DC"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19</w:t>
            </w:r>
          </w:p>
        </w:tc>
        <w:tc>
          <w:tcPr>
            <w:tcW w:w="1049" w:type="dxa"/>
            <w:tcBorders>
              <w:top w:val="nil"/>
              <w:left w:val="nil"/>
              <w:bottom w:val="single" w:sz="4" w:space="0" w:color="auto"/>
              <w:right w:val="single" w:sz="4" w:space="0" w:color="auto"/>
            </w:tcBorders>
            <w:shd w:val="clear" w:color="auto" w:fill="auto"/>
            <w:noWrap/>
            <w:vAlign w:val="center"/>
          </w:tcPr>
          <w:p w:rsidR="00C348DC" w:rsidRPr="00887645" w:rsidRDefault="00C348DC" w:rsidP="00B4569C">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20</w:t>
            </w:r>
            <w:r w:rsidR="00B45409" w:rsidRPr="00887645">
              <w:rPr>
                <w:rFonts w:ascii="Calibri" w:hAnsi="Calibri" w:cs="Calibri"/>
                <w:b/>
                <w:color w:val="000000"/>
                <w:sz w:val="18"/>
                <w:szCs w:val="18"/>
                <w:lang w:eastAsia="en-US"/>
              </w:rPr>
              <w:t>/22</w:t>
            </w:r>
          </w:p>
        </w:tc>
        <w:tc>
          <w:tcPr>
            <w:tcW w:w="1260" w:type="dxa"/>
            <w:gridSpan w:val="2"/>
            <w:tcBorders>
              <w:top w:val="nil"/>
              <w:left w:val="nil"/>
              <w:bottom w:val="single" w:sz="4" w:space="0" w:color="auto"/>
              <w:right w:val="single" w:sz="4" w:space="0" w:color="auto"/>
            </w:tcBorders>
            <w:shd w:val="clear" w:color="auto" w:fill="auto"/>
            <w:vAlign w:val="center"/>
          </w:tcPr>
          <w:p w:rsidR="004C7369" w:rsidRPr="00887645" w:rsidRDefault="00B45409"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21/23/24/25</w:t>
            </w: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87645" w:rsidRDefault="00B45409"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27</w:t>
            </w:r>
          </w:p>
        </w:tc>
        <w:tc>
          <w:tcPr>
            <w:tcW w:w="934" w:type="dxa"/>
            <w:tcBorders>
              <w:top w:val="nil"/>
              <w:left w:val="nil"/>
              <w:bottom w:val="single" w:sz="4" w:space="0" w:color="auto"/>
              <w:right w:val="single" w:sz="4" w:space="0" w:color="auto"/>
            </w:tcBorders>
            <w:shd w:val="clear" w:color="auto" w:fill="auto"/>
            <w:noWrap/>
            <w:vAlign w:val="center"/>
          </w:tcPr>
          <w:p w:rsidR="004C7369" w:rsidRPr="00887645" w:rsidRDefault="00B45409"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26a/26b</w:t>
            </w:r>
          </w:p>
        </w:tc>
        <w:tc>
          <w:tcPr>
            <w:tcW w:w="1476" w:type="dxa"/>
            <w:gridSpan w:val="4"/>
            <w:tcBorders>
              <w:top w:val="nil"/>
              <w:left w:val="nil"/>
              <w:bottom w:val="single" w:sz="4" w:space="0" w:color="auto"/>
              <w:right w:val="single" w:sz="4" w:space="0" w:color="auto"/>
            </w:tcBorders>
            <w:shd w:val="clear" w:color="auto" w:fill="auto"/>
            <w:vAlign w:val="center"/>
          </w:tcPr>
          <w:p w:rsidR="001A0C6A" w:rsidRPr="00887645" w:rsidRDefault="001A0C6A"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36/37</w:t>
            </w:r>
          </w:p>
          <w:p w:rsidR="004C7369" w:rsidRPr="00887645" w:rsidRDefault="00B45409" w:rsidP="001A0C6A">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3</w:t>
            </w:r>
            <w:r w:rsidR="001A0C6A" w:rsidRPr="00887645">
              <w:rPr>
                <w:rFonts w:ascii="Calibri" w:hAnsi="Calibri" w:cs="Calibri"/>
                <w:b/>
                <w:color w:val="000000"/>
                <w:sz w:val="18"/>
                <w:szCs w:val="18"/>
                <w:lang w:eastAsia="en-US"/>
              </w:rPr>
              <w:t>8</w:t>
            </w:r>
            <w:r w:rsidRPr="00887645">
              <w:rPr>
                <w:rFonts w:ascii="Calibri" w:hAnsi="Calibri" w:cs="Calibri"/>
                <w:b/>
                <w:color w:val="000000"/>
                <w:sz w:val="18"/>
                <w:szCs w:val="18"/>
                <w:lang w:eastAsia="en-US"/>
              </w:rPr>
              <w:t>/</w:t>
            </w:r>
            <w:r w:rsidR="001A0C6A" w:rsidRPr="00887645">
              <w:rPr>
                <w:rFonts w:ascii="Calibri" w:hAnsi="Calibri" w:cs="Calibri"/>
                <w:b/>
                <w:color w:val="000000"/>
                <w:sz w:val="18"/>
                <w:szCs w:val="18"/>
                <w:lang w:eastAsia="en-US"/>
              </w:rPr>
              <w:t>40/47</w:t>
            </w: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B45409" w:rsidP="001A0C6A">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4</w:t>
            </w:r>
            <w:r w:rsidR="001A0C6A" w:rsidRPr="00887645">
              <w:rPr>
                <w:rFonts w:ascii="Calibri" w:hAnsi="Calibri" w:cs="Calibri"/>
                <w:b/>
                <w:color w:val="000000"/>
                <w:sz w:val="18"/>
                <w:szCs w:val="18"/>
                <w:lang w:eastAsia="en-US"/>
              </w:rPr>
              <w:t>2/48/49</w:t>
            </w:r>
          </w:p>
        </w:tc>
        <w:tc>
          <w:tcPr>
            <w:tcW w:w="1217" w:type="dxa"/>
            <w:gridSpan w:val="3"/>
            <w:tcBorders>
              <w:top w:val="nil"/>
              <w:left w:val="nil"/>
              <w:bottom w:val="single" w:sz="4" w:space="0" w:color="auto"/>
              <w:right w:val="single" w:sz="4" w:space="0" w:color="auto"/>
            </w:tcBorders>
            <w:shd w:val="clear" w:color="auto" w:fill="auto"/>
            <w:noWrap/>
            <w:vAlign w:val="center"/>
          </w:tcPr>
          <w:p w:rsidR="004C7369" w:rsidRPr="008E5197" w:rsidRDefault="00B45409" w:rsidP="001A0C6A">
            <w:pPr>
              <w:spacing w:line="240" w:lineRule="auto"/>
              <w:jc w:val="center"/>
              <w:rPr>
                <w:rFonts w:ascii="Calibri" w:hAnsi="Calibri" w:cs="Calibri"/>
                <w:b/>
                <w:color w:val="000000"/>
                <w:sz w:val="18"/>
                <w:szCs w:val="18"/>
                <w:lang w:eastAsia="en-US"/>
              </w:rPr>
            </w:pPr>
            <w:r>
              <w:rPr>
                <w:rFonts w:ascii="Calibri" w:hAnsi="Calibri" w:cs="Calibri"/>
                <w:b/>
                <w:color w:val="000000"/>
                <w:sz w:val="18"/>
                <w:szCs w:val="18"/>
                <w:lang w:eastAsia="en-US"/>
              </w:rPr>
              <w:t>3</w:t>
            </w:r>
            <w:r w:rsidR="001A0C6A">
              <w:rPr>
                <w:rFonts w:ascii="Calibri" w:hAnsi="Calibri" w:cs="Calibri"/>
                <w:b/>
                <w:color w:val="000000"/>
                <w:sz w:val="18"/>
                <w:szCs w:val="18"/>
                <w:lang w:eastAsia="en-US"/>
              </w:rPr>
              <w:t>9</w:t>
            </w:r>
            <w:r>
              <w:rPr>
                <w:rFonts w:ascii="Calibri" w:hAnsi="Calibri" w:cs="Calibri"/>
                <w:b/>
                <w:color w:val="000000"/>
                <w:sz w:val="18"/>
                <w:szCs w:val="18"/>
                <w:lang w:eastAsia="en-US"/>
              </w:rPr>
              <w:t>/</w:t>
            </w:r>
            <w:r w:rsidR="001A0C6A">
              <w:rPr>
                <w:rFonts w:ascii="Calibri" w:hAnsi="Calibri" w:cs="Calibri"/>
                <w:b/>
                <w:color w:val="000000"/>
                <w:sz w:val="18"/>
                <w:szCs w:val="18"/>
                <w:lang w:eastAsia="en-US"/>
              </w:rPr>
              <w:t>42/</w:t>
            </w:r>
            <w:r>
              <w:rPr>
                <w:rFonts w:ascii="Calibri" w:hAnsi="Calibri" w:cs="Calibri"/>
                <w:b/>
                <w:color w:val="000000"/>
                <w:sz w:val="18"/>
                <w:szCs w:val="18"/>
                <w:lang w:eastAsia="en-US"/>
              </w:rPr>
              <w:t>4</w:t>
            </w:r>
            <w:r w:rsidR="001A0C6A">
              <w:rPr>
                <w:rFonts w:ascii="Calibri" w:hAnsi="Calibri" w:cs="Calibri"/>
                <w:b/>
                <w:color w:val="000000"/>
                <w:sz w:val="18"/>
                <w:szCs w:val="18"/>
                <w:lang w:eastAsia="en-US"/>
              </w:rPr>
              <w:t>3/51</w:t>
            </w:r>
          </w:p>
        </w:tc>
        <w:tc>
          <w:tcPr>
            <w:tcW w:w="941" w:type="dxa"/>
            <w:tcBorders>
              <w:top w:val="nil"/>
              <w:left w:val="nil"/>
              <w:bottom w:val="single" w:sz="4" w:space="0" w:color="auto"/>
              <w:right w:val="single" w:sz="4" w:space="0" w:color="auto"/>
            </w:tcBorders>
            <w:shd w:val="clear" w:color="auto" w:fill="auto"/>
            <w:noWrap/>
            <w:vAlign w:val="center"/>
          </w:tcPr>
          <w:p w:rsidR="004C7369" w:rsidRPr="008E5197" w:rsidRDefault="001A0C6A" w:rsidP="002F0D66">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5</w:t>
            </w:r>
            <w:r w:rsidR="002F0D66">
              <w:rPr>
                <w:rFonts w:ascii="Calibri" w:hAnsi="Calibri" w:cs="Calibri"/>
                <w:b/>
                <w:color w:val="000000"/>
                <w:sz w:val="18"/>
                <w:szCs w:val="18"/>
                <w:lang w:val="en-US" w:eastAsia="en-US"/>
              </w:rPr>
              <w:t>4</w:t>
            </w:r>
          </w:p>
        </w:tc>
      </w:tr>
      <w:tr w:rsidR="00DF49A1" w:rsidRPr="009E1DAB" w:rsidTr="002C0D71">
        <w:trPr>
          <w:gridAfter w:val="1"/>
          <w:wAfter w:w="17" w:type="dxa"/>
          <w:trHeight w:val="343"/>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FD4160" w:rsidRDefault="004C7369" w:rsidP="004C7369">
            <w:pPr>
              <w:spacing w:before="20" w:after="20" w:line="240" w:lineRule="auto"/>
              <w:jc w:val="left"/>
              <w:rPr>
                <w:rFonts w:cs="Arial"/>
                <w:color w:val="000000"/>
                <w:sz w:val="16"/>
                <w:szCs w:val="16"/>
                <w:lang w:eastAsia="en-US"/>
              </w:rPr>
            </w:pPr>
            <w:r w:rsidRPr="00FD4160">
              <w:rPr>
                <w:rFonts w:cs="Arial"/>
                <w:color w:val="000000"/>
                <w:sz w:val="16"/>
                <w:szCs w:val="16"/>
                <w:lang w:eastAsia="en-US"/>
              </w:rPr>
              <w:t>9. Tráfego/movimentação de veículos pesados, máquinas e/ou equipamentos</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337ED6" w:rsidP="00891B01">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2/3</w:t>
            </w:r>
          </w:p>
        </w:tc>
        <w:tc>
          <w:tcPr>
            <w:tcW w:w="106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14" w:type="dxa"/>
            <w:gridSpan w:val="2"/>
            <w:tcBorders>
              <w:top w:val="single" w:sz="4" w:space="0" w:color="auto"/>
              <w:left w:val="nil"/>
              <w:bottom w:val="single" w:sz="4" w:space="0" w:color="auto"/>
              <w:right w:val="single" w:sz="4" w:space="0" w:color="auto"/>
            </w:tcBorders>
            <w:shd w:val="clear" w:color="auto" w:fill="auto"/>
            <w:vAlign w:val="center"/>
          </w:tcPr>
          <w:p w:rsidR="004C7369" w:rsidRPr="00887645" w:rsidRDefault="00BE0261"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16</w:t>
            </w:r>
          </w:p>
        </w:tc>
        <w:tc>
          <w:tcPr>
            <w:tcW w:w="951" w:type="dxa"/>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337ED6"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19</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260" w:type="dxa"/>
            <w:gridSpan w:val="2"/>
            <w:tcBorders>
              <w:top w:val="nil"/>
              <w:left w:val="nil"/>
              <w:bottom w:val="single" w:sz="4" w:space="0" w:color="auto"/>
              <w:right w:val="single" w:sz="4" w:space="0" w:color="auto"/>
            </w:tcBorders>
            <w:shd w:val="clear" w:color="auto" w:fill="auto"/>
            <w:noWrap/>
            <w:vAlign w:val="center"/>
          </w:tcPr>
          <w:p w:rsidR="004C7369" w:rsidRPr="00887645" w:rsidRDefault="00337ED6"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24/25</w:t>
            </w: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934"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476" w:type="dxa"/>
            <w:gridSpan w:val="4"/>
            <w:tcBorders>
              <w:top w:val="nil"/>
              <w:left w:val="nil"/>
              <w:bottom w:val="single" w:sz="4" w:space="0" w:color="auto"/>
              <w:right w:val="single" w:sz="4" w:space="0" w:color="auto"/>
            </w:tcBorders>
            <w:shd w:val="clear" w:color="auto" w:fill="auto"/>
            <w:vAlign w:val="center"/>
          </w:tcPr>
          <w:p w:rsidR="004C7369" w:rsidRPr="00887645" w:rsidRDefault="00DF49A1" w:rsidP="00DF49A1">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38/47</w:t>
            </w: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DF49A1"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49</w:t>
            </w:r>
          </w:p>
        </w:tc>
        <w:tc>
          <w:tcPr>
            <w:tcW w:w="1217" w:type="dxa"/>
            <w:gridSpan w:val="3"/>
            <w:tcBorders>
              <w:top w:val="nil"/>
              <w:left w:val="nil"/>
              <w:bottom w:val="single" w:sz="4" w:space="0" w:color="auto"/>
              <w:right w:val="single" w:sz="4" w:space="0" w:color="auto"/>
            </w:tcBorders>
            <w:shd w:val="clear" w:color="auto" w:fill="auto"/>
            <w:noWrap/>
            <w:vAlign w:val="center"/>
          </w:tcPr>
          <w:p w:rsidR="004C7369" w:rsidRPr="008E5197" w:rsidRDefault="00DF49A1"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51/52</w:t>
            </w:r>
          </w:p>
        </w:tc>
        <w:tc>
          <w:tcPr>
            <w:tcW w:w="941"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r>
      <w:tr w:rsidR="006F4F38" w:rsidRPr="009E1DAB" w:rsidTr="002C0D71">
        <w:trPr>
          <w:gridAfter w:val="1"/>
          <w:wAfter w:w="17" w:type="dxa"/>
          <w:trHeight w:val="343"/>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FD4160" w:rsidRDefault="004C7369" w:rsidP="004C7369">
            <w:pPr>
              <w:spacing w:before="20" w:after="20" w:line="240" w:lineRule="auto"/>
              <w:jc w:val="left"/>
              <w:rPr>
                <w:rFonts w:cs="Arial"/>
                <w:color w:val="000000"/>
                <w:sz w:val="16"/>
                <w:szCs w:val="16"/>
                <w:lang w:eastAsia="en-US"/>
              </w:rPr>
            </w:pPr>
            <w:r w:rsidRPr="00FD4160">
              <w:rPr>
                <w:rFonts w:cs="Arial"/>
                <w:color w:val="000000"/>
                <w:sz w:val="16"/>
                <w:szCs w:val="16"/>
                <w:lang w:eastAsia="en-US"/>
              </w:rPr>
              <w:t>10. Manutenções corretivas/operações de abastecimento dos veículos e equipamentos</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DF49A1"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w:t>
            </w:r>
          </w:p>
        </w:tc>
        <w:tc>
          <w:tcPr>
            <w:tcW w:w="106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14" w:type="dxa"/>
            <w:gridSpan w:val="2"/>
            <w:tcBorders>
              <w:top w:val="single" w:sz="4" w:space="0" w:color="auto"/>
              <w:left w:val="nil"/>
              <w:bottom w:val="single" w:sz="4" w:space="0" w:color="auto"/>
              <w:right w:val="single" w:sz="4" w:space="0" w:color="auto"/>
            </w:tcBorders>
            <w:shd w:val="clear" w:color="auto" w:fill="auto"/>
            <w:vAlign w:val="center"/>
          </w:tcPr>
          <w:p w:rsidR="004C7369" w:rsidRPr="00887645" w:rsidRDefault="00DF49A1"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16</w:t>
            </w:r>
          </w:p>
        </w:tc>
        <w:tc>
          <w:tcPr>
            <w:tcW w:w="951" w:type="dxa"/>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260" w:type="dxa"/>
            <w:gridSpan w:val="2"/>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strike/>
                <w:color w:val="000000"/>
                <w:sz w:val="18"/>
                <w:szCs w:val="18"/>
                <w:lang w:eastAsia="en-US"/>
              </w:rPr>
            </w:pPr>
          </w:p>
        </w:tc>
        <w:tc>
          <w:tcPr>
            <w:tcW w:w="934"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476" w:type="dxa"/>
            <w:gridSpan w:val="4"/>
            <w:tcBorders>
              <w:top w:val="nil"/>
              <w:left w:val="nil"/>
              <w:bottom w:val="single" w:sz="4" w:space="0" w:color="auto"/>
              <w:right w:val="single" w:sz="4" w:space="0" w:color="auto"/>
            </w:tcBorders>
            <w:shd w:val="clear" w:color="auto" w:fill="auto"/>
            <w:noWrap/>
            <w:vAlign w:val="center"/>
          </w:tcPr>
          <w:p w:rsidR="004C7369" w:rsidRPr="00887645" w:rsidRDefault="006F4F38"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47</w:t>
            </w: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6F4F38" w:rsidP="0023391A">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4</w:t>
            </w:r>
            <w:r w:rsidR="0023391A" w:rsidRPr="00887645">
              <w:rPr>
                <w:rFonts w:ascii="Calibri" w:hAnsi="Calibri" w:cs="Calibri"/>
                <w:b/>
                <w:color w:val="000000"/>
                <w:sz w:val="18"/>
                <w:szCs w:val="18"/>
                <w:lang w:eastAsia="en-US"/>
              </w:rPr>
              <w:t>9</w:t>
            </w:r>
          </w:p>
        </w:tc>
        <w:tc>
          <w:tcPr>
            <w:tcW w:w="1217" w:type="dxa"/>
            <w:gridSpan w:val="3"/>
            <w:tcBorders>
              <w:top w:val="nil"/>
              <w:left w:val="nil"/>
              <w:bottom w:val="single" w:sz="4" w:space="0" w:color="auto"/>
              <w:right w:val="single" w:sz="4" w:space="0" w:color="auto"/>
            </w:tcBorders>
            <w:shd w:val="clear" w:color="auto" w:fill="auto"/>
            <w:noWrap/>
            <w:vAlign w:val="center"/>
          </w:tcPr>
          <w:p w:rsidR="004C7369" w:rsidRPr="008E5197" w:rsidRDefault="006F4F38" w:rsidP="004C7369">
            <w:pPr>
              <w:spacing w:line="240" w:lineRule="auto"/>
              <w:jc w:val="center"/>
              <w:rPr>
                <w:rFonts w:ascii="Calibri" w:hAnsi="Calibri" w:cs="Calibri"/>
                <w:b/>
                <w:color w:val="000000"/>
                <w:sz w:val="18"/>
                <w:szCs w:val="18"/>
                <w:lang w:eastAsia="en-US"/>
              </w:rPr>
            </w:pPr>
            <w:r>
              <w:rPr>
                <w:rFonts w:ascii="Calibri" w:hAnsi="Calibri" w:cs="Calibri"/>
                <w:b/>
                <w:color w:val="000000"/>
                <w:sz w:val="18"/>
                <w:szCs w:val="18"/>
                <w:lang w:eastAsia="en-US"/>
              </w:rPr>
              <w:t>51/52</w:t>
            </w:r>
          </w:p>
        </w:tc>
        <w:tc>
          <w:tcPr>
            <w:tcW w:w="941"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eastAsia="en-US"/>
              </w:rPr>
            </w:pPr>
          </w:p>
        </w:tc>
      </w:tr>
      <w:tr w:rsidR="003C2CD5" w:rsidRPr="009E1DAB" w:rsidTr="002C0D71">
        <w:trPr>
          <w:gridAfter w:val="1"/>
          <w:wAfter w:w="17" w:type="dxa"/>
          <w:trHeight w:val="343"/>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FD4160" w:rsidRDefault="004C7369" w:rsidP="004C7369">
            <w:pPr>
              <w:spacing w:before="20" w:after="20" w:line="240" w:lineRule="auto"/>
              <w:jc w:val="left"/>
              <w:rPr>
                <w:rFonts w:cs="Arial"/>
                <w:color w:val="000000"/>
                <w:sz w:val="16"/>
                <w:szCs w:val="16"/>
                <w:lang w:eastAsia="en-US"/>
              </w:rPr>
            </w:pPr>
            <w:r w:rsidRPr="00FD4160">
              <w:rPr>
                <w:rFonts w:cs="Arial"/>
                <w:color w:val="000000"/>
                <w:sz w:val="16"/>
                <w:szCs w:val="16"/>
                <w:lang w:eastAsia="en-US"/>
              </w:rPr>
              <w:t>11. Desvio do</w:t>
            </w:r>
            <w:r w:rsidR="00FD4160">
              <w:rPr>
                <w:rFonts w:cs="Arial"/>
                <w:color w:val="000000"/>
                <w:sz w:val="16"/>
                <w:szCs w:val="16"/>
                <w:lang w:eastAsia="en-US"/>
              </w:rPr>
              <w:t>s</w:t>
            </w:r>
            <w:r w:rsidRPr="00FD4160">
              <w:rPr>
                <w:rFonts w:cs="Arial"/>
                <w:color w:val="000000"/>
                <w:sz w:val="16"/>
                <w:szCs w:val="16"/>
                <w:lang w:eastAsia="en-US"/>
              </w:rPr>
              <w:t xml:space="preserve"> rio</w:t>
            </w:r>
            <w:r w:rsidR="00FD4160">
              <w:rPr>
                <w:rFonts w:cs="Arial"/>
                <w:color w:val="000000"/>
                <w:sz w:val="16"/>
                <w:szCs w:val="16"/>
                <w:lang w:eastAsia="en-US"/>
              </w:rPr>
              <w:t>s</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204CBF"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w:t>
            </w:r>
          </w:p>
        </w:tc>
        <w:tc>
          <w:tcPr>
            <w:tcW w:w="1069" w:type="dxa"/>
            <w:tcBorders>
              <w:top w:val="nil"/>
              <w:left w:val="nil"/>
              <w:bottom w:val="single" w:sz="4" w:space="0" w:color="auto"/>
              <w:right w:val="single" w:sz="4" w:space="0" w:color="auto"/>
            </w:tcBorders>
            <w:shd w:val="clear" w:color="auto" w:fill="auto"/>
            <w:noWrap/>
            <w:vAlign w:val="center"/>
          </w:tcPr>
          <w:p w:rsidR="004C7369" w:rsidRPr="00887645" w:rsidRDefault="006F4F38" w:rsidP="00D2668F">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5/7/</w:t>
            </w:r>
            <w:r w:rsidR="00D2668F" w:rsidRPr="00887645">
              <w:rPr>
                <w:rFonts w:ascii="Calibri" w:hAnsi="Calibri" w:cs="Calibri"/>
                <w:b/>
                <w:color w:val="000000"/>
                <w:sz w:val="18"/>
                <w:szCs w:val="18"/>
                <w:lang w:val="en-US" w:eastAsia="en-US"/>
              </w:rPr>
              <w:t>8/</w:t>
            </w:r>
            <w:r w:rsidRPr="00887645">
              <w:rPr>
                <w:rFonts w:ascii="Calibri" w:hAnsi="Calibri" w:cs="Calibri"/>
                <w:b/>
                <w:color w:val="000000"/>
                <w:sz w:val="18"/>
                <w:szCs w:val="18"/>
                <w:lang w:val="en-US" w:eastAsia="en-US"/>
              </w:rPr>
              <w:t>9</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val="en-US" w:eastAsia="en-US"/>
              </w:rPr>
            </w:pPr>
          </w:p>
        </w:tc>
        <w:tc>
          <w:tcPr>
            <w:tcW w:w="1014" w:type="dxa"/>
            <w:gridSpan w:val="2"/>
            <w:tcBorders>
              <w:top w:val="single" w:sz="4" w:space="0" w:color="auto"/>
              <w:left w:val="nil"/>
              <w:bottom w:val="single" w:sz="4" w:space="0" w:color="auto"/>
              <w:right w:val="single" w:sz="4" w:space="0" w:color="auto"/>
            </w:tcBorders>
            <w:shd w:val="clear" w:color="auto" w:fill="auto"/>
            <w:vAlign w:val="center"/>
          </w:tcPr>
          <w:p w:rsidR="004C7369" w:rsidRPr="00887645" w:rsidRDefault="006F4F38" w:rsidP="00BE0261">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14</w:t>
            </w:r>
          </w:p>
        </w:tc>
        <w:tc>
          <w:tcPr>
            <w:tcW w:w="951" w:type="dxa"/>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6F4F38"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19</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6F4F38"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20</w:t>
            </w:r>
          </w:p>
        </w:tc>
        <w:tc>
          <w:tcPr>
            <w:tcW w:w="1260" w:type="dxa"/>
            <w:gridSpan w:val="2"/>
            <w:tcBorders>
              <w:top w:val="nil"/>
              <w:left w:val="nil"/>
              <w:bottom w:val="single" w:sz="4" w:space="0" w:color="auto"/>
              <w:right w:val="single" w:sz="4" w:space="0" w:color="auto"/>
            </w:tcBorders>
            <w:shd w:val="clear" w:color="auto" w:fill="auto"/>
            <w:noWrap/>
            <w:vAlign w:val="center"/>
          </w:tcPr>
          <w:p w:rsidR="004C7369" w:rsidRPr="00887645" w:rsidRDefault="00FD41CD"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21/</w:t>
            </w:r>
            <w:r w:rsidR="006F4F38" w:rsidRPr="00887645">
              <w:rPr>
                <w:rFonts w:ascii="Calibri" w:hAnsi="Calibri" w:cs="Calibri"/>
                <w:b/>
                <w:color w:val="000000"/>
                <w:sz w:val="18"/>
                <w:szCs w:val="18"/>
                <w:lang w:val="en-US" w:eastAsia="en-US"/>
              </w:rPr>
              <w:t>23/24</w:t>
            </w:r>
          </w:p>
        </w:tc>
        <w:tc>
          <w:tcPr>
            <w:tcW w:w="1134" w:type="dxa"/>
            <w:gridSpan w:val="2"/>
            <w:tcBorders>
              <w:top w:val="nil"/>
              <w:left w:val="nil"/>
              <w:bottom w:val="single" w:sz="4" w:space="0" w:color="auto"/>
              <w:right w:val="single" w:sz="4" w:space="0" w:color="auto"/>
            </w:tcBorders>
            <w:shd w:val="clear" w:color="auto" w:fill="auto"/>
            <w:noWrap/>
            <w:vAlign w:val="center"/>
          </w:tcPr>
          <w:p w:rsidR="00F87893" w:rsidRPr="00887645" w:rsidRDefault="006F4F38"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27/</w:t>
            </w:r>
            <w:r w:rsidR="0023391A" w:rsidRPr="00887645">
              <w:rPr>
                <w:rFonts w:ascii="Calibri" w:hAnsi="Calibri" w:cs="Calibri"/>
                <w:b/>
                <w:color w:val="000000"/>
                <w:sz w:val="18"/>
                <w:szCs w:val="18"/>
                <w:lang w:val="en-US" w:eastAsia="en-US"/>
              </w:rPr>
              <w:t>30/</w:t>
            </w:r>
            <w:r w:rsidRPr="00887645">
              <w:rPr>
                <w:rFonts w:ascii="Calibri" w:hAnsi="Calibri" w:cs="Calibri"/>
                <w:b/>
                <w:color w:val="000000"/>
                <w:sz w:val="18"/>
                <w:szCs w:val="18"/>
                <w:lang w:val="en-US" w:eastAsia="en-US"/>
              </w:rPr>
              <w:t>32/</w:t>
            </w:r>
          </w:p>
          <w:p w:rsidR="004C7369" w:rsidRPr="00887645" w:rsidRDefault="006F4F38"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34</w:t>
            </w:r>
          </w:p>
        </w:tc>
        <w:tc>
          <w:tcPr>
            <w:tcW w:w="934" w:type="dxa"/>
            <w:tcBorders>
              <w:top w:val="nil"/>
              <w:left w:val="nil"/>
              <w:bottom w:val="single" w:sz="4" w:space="0" w:color="auto"/>
              <w:right w:val="single" w:sz="4" w:space="0" w:color="auto"/>
            </w:tcBorders>
            <w:shd w:val="clear" w:color="auto" w:fill="auto"/>
            <w:noWrap/>
            <w:vAlign w:val="center"/>
          </w:tcPr>
          <w:p w:rsidR="004C7369" w:rsidRPr="00887645" w:rsidRDefault="006F4F38"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26a/26b</w:t>
            </w:r>
          </w:p>
        </w:tc>
        <w:tc>
          <w:tcPr>
            <w:tcW w:w="1476" w:type="dxa"/>
            <w:gridSpan w:val="4"/>
            <w:tcBorders>
              <w:top w:val="nil"/>
              <w:left w:val="nil"/>
              <w:bottom w:val="single" w:sz="4" w:space="0" w:color="auto"/>
              <w:right w:val="single" w:sz="4" w:space="0" w:color="auto"/>
            </w:tcBorders>
            <w:shd w:val="clear" w:color="auto" w:fill="auto"/>
            <w:noWrap/>
            <w:vAlign w:val="center"/>
          </w:tcPr>
          <w:p w:rsidR="004C7369" w:rsidRPr="00887645" w:rsidRDefault="006F4F38"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38/</w:t>
            </w:r>
            <w:r w:rsidR="00FD41CD" w:rsidRPr="00887645">
              <w:rPr>
                <w:rFonts w:ascii="Calibri" w:hAnsi="Calibri" w:cs="Calibri"/>
                <w:b/>
                <w:color w:val="000000"/>
                <w:sz w:val="18"/>
                <w:szCs w:val="18"/>
                <w:lang w:val="en-US" w:eastAsia="en-US"/>
              </w:rPr>
              <w:t>47</w:t>
            </w:r>
            <w:r w:rsidR="001D3D2D" w:rsidRPr="00887645">
              <w:rPr>
                <w:rFonts w:ascii="Calibri" w:hAnsi="Calibri" w:cs="Calibri"/>
                <w:b/>
                <w:color w:val="000000"/>
                <w:sz w:val="18"/>
                <w:szCs w:val="18"/>
                <w:lang w:val="en-US" w:eastAsia="en-US"/>
              </w:rPr>
              <w:t>/50</w:t>
            </w: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FD41CD"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42</w:t>
            </w:r>
          </w:p>
        </w:tc>
        <w:tc>
          <w:tcPr>
            <w:tcW w:w="1217" w:type="dxa"/>
            <w:gridSpan w:val="3"/>
            <w:tcBorders>
              <w:top w:val="nil"/>
              <w:left w:val="nil"/>
              <w:bottom w:val="single" w:sz="4" w:space="0" w:color="auto"/>
              <w:right w:val="single" w:sz="4" w:space="0" w:color="auto"/>
            </w:tcBorders>
            <w:shd w:val="clear" w:color="auto" w:fill="auto"/>
            <w:noWrap/>
            <w:vAlign w:val="center"/>
          </w:tcPr>
          <w:p w:rsidR="004C7369" w:rsidRPr="008E5197" w:rsidRDefault="003C2CD5"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42</w:t>
            </w:r>
          </w:p>
        </w:tc>
        <w:tc>
          <w:tcPr>
            <w:tcW w:w="941" w:type="dxa"/>
            <w:tcBorders>
              <w:top w:val="nil"/>
              <w:left w:val="nil"/>
              <w:bottom w:val="single" w:sz="4" w:space="0" w:color="auto"/>
              <w:right w:val="single" w:sz="4" w:space="0" w:color="auto"/>
            </w:tcBorders>
            <w:shd w:val="clear" w:color="auto" w:fill="auto"/>
            <w:noWrap/>
            <w:vAlign w:val="center"/>
          </w:tcPr>
          <w:p w:rsidR="004C7369" w:rsidRPr="008E5197" w:rsidRDefault="00FD41CD"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54</w:t>
            </w:r>
          </w:p>
        </w:tc>
      </w:tr>
      <w:tr w:rsidR="003C2CD5" w:rsidRPr="009E1DAB" w:rsidTr="002C0D71">
        <w:trPr>
          <w:gridAfter w:val="1"/>
          <w:wAfter w:w="17" w:type="dxa"/>
          <w:trHeight w:val="343"/>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FD4160" w:rsidRDefault="004C7369" w:rsidP="004C7369">
            <w:pPr>
              <w:spacing w:before="20" w:after="20" w:line="240" w:lineRule="auto"/>
              <w:jc w:val="left"/>
              <w:rPr>
                <w:rFonts w:cs="Arial"/>
                <w:color w:val="000000"/>
                <w:sz w:val="16"/>
                <w:szCs w:val="16"/>
                <w:lang w:eastAsia="en-US"/>
              </w:rPr>
            </w:pPr>
            <w:r w:rsidRPr="00FD4160">
              <w:rPr>
                <w:rFonts w:cs="Arial"/>
                <w:color w:val="000000"/>
                <w:sz w:val="16"/>
                <w:szCs w:val="16"/>
                <w:lang w:eastAsia="en-US"/>
              </w:rPr>
              <w:t>12. Escavações no leito do</w:t>
            </w:r>
            <w:r w:rsidR="00FD4160">
              <w:rPr>
                <w:rFonts w:cs="Arial"/>
                <w:color w:val="000000"/>
                <w:sz w:val="16"/>
                <w:szCs w:val="16"/>
                <w:lang w:eastAsia="en-US"/>
              </w:rPr>
              <w:t>s</w:t>
            </w:r>
            <w:r w:rsidRPr="00FD4160">
              <w:rPr>
                <w:rFonts w:cs="Arial"/>
                <w:color w:val="000000"/>
                <w:sz w:val="16"/>
                <w:szCs w:val="16"/>
                <w:lang w:eastAsia="en-US"/>
              </w:rPr>
              <w:t xml:space="preserve"> rio</w:t>
            </w:r>
            <w:r w:rsidR="00FD4160">
              <w:rPr>
                <w:rFonts w:cs="Arial"/>
                <w:color w:val="000000"/>
                <w:sz w:val="16"/>
                <w:szCs w:val="16"/>
                <w:lang w:eastAsia="en-US"/>
              </w:rPr>
              <w:t>s</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3C2CD5"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2/3</w:t>
            </w:r>
          </w:p>
        </w:tc>
        <w:tc>
          <w:tcPr>
            <w:tcW w:w="1069" w:type="dxa"/>
            <w:tcBorders>
              <w:top w:val="nil"/>
              <w:left w:val="nil"/>
              <w:bottom w:val="single" w:sz="4" w:space="0" w:color="auto"/>
              <w:right w:val="single" w:sz="4" w:space="0" w:color="auto"/>
            </w:tcBorders>
            <w:shd w:val="clear" w:color="auto" w:fill="auto"/>
            <w:noWrap/>
            <w:vAlign w:val="center"/>
          </w:tcPr>
          <w:p w:rsidR="004C7369" w:rsidRPr="00887645" w:rsidRDefault="00BE0261"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9</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14" w:type="dxa"/>
            <w:gridSpan w:val="2"/>
            <w:tcBorders>
              <w:top w:val="single" w:sz="4" w:space="0" w:color="auto"/>
              <w:left w:val="nil"/>
              <w:bottom w:val="single" w:sz="4" w:space="0" w:color="auto"/>
              <w:right w:val="single" w:sz="4" w:space="0" w:color="auto"/>
            </w:tcBorders>
            <w:shd w:val="clear" w:color="auto" w:fill="auto"/>
            <w:vAlign w:val="center"/>
          </w:tcPr>
          <w:p w:rsidR="004C7369" w:rsidRPr="00887645" w:rsidRDefault="003C2CD5"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14</w:t>
            </w:r>
          </w:p>
        </w:tc>
        <w:tc>
          <w:tcPr>
            <w:tcW w:w="951" w:type="dxa"/>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260" w:type="dxa"/>
            <w:gridSpan w:val="2"/>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87645" w:rsidRDefault="003C2CD5"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27</w:t>
            </w:r>
            <w:r w:rsidR="00C339A9" w:rsidRPr="00887645">
              <w:rPr>
                <w:rFonts w:ascii="Calibri" w:hAnsi="Calibri" w:cs="Calibri"/>
                <w:b/>
                <w:color w:val="000000"/>
                <w:sz w:val="18"/>
                <w:szCs w:val="18"/>
                <w:lang w:eastAsia="en-US"/>
              </w:rPr>
              <w:t>/32</w:t>
            </w:r>
          </w:p>
        </w:tc>
        <w:tc>
          <w:tcPr>
            <w:tcW w:w="934"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476" w:type="dxa"/>
            <w:gridSpan w:val="4"/>
            <w:tcBorders>
              <w:top w:val="nil"/>
              <w:left w:val="nil"/>
              <w:bottom w:val="single" w:sz="4" w:space="0" w:color="auto"/>
              <w:right w:val="single" w:sz="4" w:space="0" w:color="auto"/>
            </w:tcBorders>
            <w:shd w:val="clear" w:color="auto" w:fill="auto"/>
            <w:noWrap/>
            <w:vAlign w:val="center"/>
          </w:tcPr>
          <w:p w:rsidR="004C7369" w:rsidRPr="00887645" w:rsidRDefault="00820375"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38</w:t>
            </w:r>
            <w:r w:rsidR="00786754" w:rsidRPr="00887645">
              <w:rPr>
                <w:rFonts w:ascii="Calibri" w:hAnsi="Calibri" w:cs="Calibri"/>
                <w:b/>
                <w:color w:val="000000"/>
                <w:sz w:val="18"/>
                <w:szCs w:val="18"/>
                <w:lang w:eastAsia="en-US"/>
              </w:rPr>
              <w:t>/47</w:t>
            </w: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217" w:type="dxa"/>
            <w:gridSpan w:val="3"/>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eastAsia="en-US"/>
              </w:rPr>
            </w:pPr>
          </w:p>
        </w:tc>
        <w:tc>
          <w:tcPr>
            <w:tcW w:w="941" w:type="dxa"/>
            <w:tcBorders>
              <w:top w:val="nil"/>
              <w:left w:val="nil"/>
              <w:bottom w:val="single" w:sz="4" w:space="0" w:color="auto"/>
              <w:right w:val="single" w:sz="4" w:space="0" w:color="auto"/>
            </w:tcBorders>
            <w:shd w:val="clear" w:color="auto" w:fill="auto"/>
            <w:noWrap/>
            <w:vAlign w:val="center"/>
          </w:tcPr>
          <w:p w:rsidR="004C7369" w:rsidRPr="008E5197" w:rsidRDefault="003C2CD5"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54</w:t>
            </w:r>
          </w:p>
        </w:tc>
      </w:tr>
      <w:tr w:rsidR="003C2CD5" w:rsidRPr="009E1DAB" w:rsidTr="002C0D71">
        <w:trPr>
          <w:gridAfter w:val="1"/>
          <w:wAfter w:w="17" w:type="dxa"/>
          <w:trHeight w:val="343"/>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FD4160" w:rsidRDefault="004C7369" w:rsidP="004C7369">
            <w:pPr>
              <w:spacing w:before="20" w:after="20" w:line="240" w:lineRule="auto"/>
              <w:jc w:val="left"/>
              <w:rPr>
                <w:rFonts w:cs="Arial"/>
                <w:sz w:val="16"/>
                <w:szCs w:val="16"/>
                <w:lang w:eastAsia="en-US"/>
              </w:rPr>
            </w:pPr>
            <w:r w:rsidRPr="00FD4160">
              <w:rPr>
                <w:rFonts w:cs="Arial"/>
                <w:sz w:val="16"/>
                <w:szCs w:val="16"/>
                <w:lang w:eastAsia="en-US"/>
              </w:rPr>
              <w:t>13. Implantação de obras civis e equipamentos eletromecânicos</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3C2CD5" w:rsidP="00204CBF">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2/3</w:t>
            </w:r>
          </w:p>
        </w:tc>
        <w:tc>
          <w:tcPr>
            <w:tcW w:w="1069" w:type="dxa"/>
            <w:tcBorders>
              <w:top w:val="nil"/>
              <w:left w:val="nil"/>
              <w:bottom w:val="single" w:sz="4" w:space="0" w:color="auto"/>
              <w:right w:val="single" w:sz="4" w:space="0" w:color="auto"/>
            </w:tcBorders>
            <w:shd w:val="clear" w:color="auto" w:fill="auto"/>
            <w:noWrap/>
            <w:vAlign w:val="center"/>
          </w:tcPr>
          <w:p w:rsidR="004C7369" w:rsidRPr="00887645" w:rsidRDefault="00D2668F"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8</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14" w:type="dxa"/>
            <w:gridSpan w:val="2"/>
            <w:tcBorders>
              <w:top w:val="single" w:sz="4" w:space="0" w:color="auto"/>
              <w:left w:val="nil"/>
              <w:bottom w:val="single" w:sz="4" w:space="0" w:color="auto"/>
              <w:right w:val="single" w:sz="4" w:space="0" w:color="auto"/>
            </w:tcBorders>
            <w:shd w:val="clear" w:color="auto" w:fill="auto"/>
            <w:vAlign w:val="center"/>
          </w:tcPr>
          <w:p w:rsidR="004C7369" w:rsidRPr="00887645" w:rsidRDefault="003C2CD5"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14/16</w:t>
            </w:r>
          </w:p>
        </w:tc>
        <w:tc>
          <w:tcPr>
            <w:tcW w:w="951" w:type="dxa"/>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3C2CD5"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19</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23391A"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20</w:t>
            </w:r>
          </w:p>
        </w:tc>
        <w:tc>
          <w:tcPr>
            <w:tcW w:w="1260" w:type="dxa"/>
            <w:gridSpan w:val="2"/>
            <w:tcBorders>
              <w:top w:val="nil"/>
              <w:left w:val="nil"/>
              <w:bottom w:val="single" w:sz="4" w:space="0" w:color="auto"/>
              <w:right w:val="single" w:sz="4" w:space="0" w:color="auto"/>
            </w:tcBorders>
            <w:shd w:val="clear" w:color="auto" w:fill="auto"/>
            <w:noWrap/>
            <w:vAlign w:val="center"/>
          </w:tcPr>
          <w:p w:rsidR="004C7369" w:rsidRPr="00887645" w:rsidRDefault="0023391A"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21/23/24/25</w:t>
            </w: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87645" w:rsidRDefault="00C339A9"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27/</w:t>
            </w:r>
            <w:r w:rsidR="0023391A" w:rsidRPr="00887645">
              <w:rPr>
                <w:rFonts w:ascii="Calibri" w:hAnsi="Calibri" w:cs="Calibri"/>
                <w:b/>
                <w:color w:val="000000"/>
                <w:sz w:val="18"/>
                <w:szCs w:val="18"/>
                <w:lang w:eastAsia="en-US"/>
              </w:rPr>
              <w:t>30/</w:t>
            </w:r>
            <w:r w:rsidRPr="00887645">
              <w:rPr>
                <w:rFonts w:ascii="Calibri" w:hAnsi="Calibri" w:cs="Calibri"/>
                <w:b/>
                <w:color w:val="000000"/>
                <w:sz w:val="18"/>
                <w:szCs w:val="18"/>
                <w:lang w:eastAsia="en-US"/>
              </w:rPr>
              <w:t>32</w:t>
            </w:r>
          </w:p>
        </w:tc>
        <w:tc>
          <w:tcPr>
            <w:tcW w:w="934"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476" w:type="dxa"/>
            <w:gridSpan w:val="4"/>
            <w:tcBorders>
              <w:top w:val="nil"/>
              <w:left w:val="nil"/>
              <w:bottom w:val="single" w:sz="4" w:space="0" w:color="auto"/>
              <w:right w:val="single" w:sz="4" w:space="0" w:color="auto"/>
            </w:tcBorders>
            <w:shd w:val="clear" w:color="auto" w:fill="auto"/>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23391A"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47</w:t>
            </w:r>
          </w:p>
        </w:tc>
        <w:tc>
          <w:tcPr>
            <w:tcW w:w="1217" w:type="dxa"/>
            <w:gridSpan w:val="3"/>
            <w:tcBorders>
              <w:top w:val="nil"/>
              <w:left w:val="nil"/>
              <w:bottom w:val="single" w:sz="4" w:space="0" w:color="auto"/>
              <w:right w:val="single" w:sz="4" w:space="0" w:color="auto"/>
            </w:tcBorders>
            <w:shd w:val="clear" w:color="auto" w:fill="auto"/>
            <w:noWrap/>
            <w:vAlign w:val="center"/>
          </w:tcPr>
          <w:p w:rsidR="004C7369" w:rsidRPr="008E5197" w:rsidRDefault="0023391A" w:rsidP="004C7369">
            <w:pPr>
              <w:spacing w:line="240" w:lineRule="auto"/>
              <w:jc w:val="center"/>
              <w:rPr>
                <w:rFonts w:ascii="Calibri" w:hAnsi="Calibri" w:cs="Calibri"/>
                <w:b/>
                <w:color w:val="000000"/>
                <w:sz w:val="18"/>
                <w:szCs w:val="18"/>
                <w:lang w:eastAsia="en-US"/>
              </w:rPr>
            </w:pPr>
            <w:r>
              <w:rPr>
                <w:rFonts w:ascii="Calibri" w:hAnsi="Calibri" w:cs="Calibri"/>
                <w:b/>
                <w:color w:val="000000"/>
                <w:sz w:val="18"/>
                <w:szCs w:val="18"/>
                <w:lang w:eastAsia="en-US"/>
              </w:rPr>
              <w:t>52</w:t>
            </w:r>
          </w:p>
        </w:tc>
        <w:tc>
          <w:tcPr>
            <w:tcW w:w="941" w:type="dxa"/>
            <w:tcBorders>
              <w:top w:val="nil"/>
              <w:left w:val="nil"/>
              <w:bottom w:val="single" w:sz="4" w:space="0" w:color="auto"/>
              <w:right w:val="single" w:sz="4" w:space="0" w:color="auto"/>
            </w:tcBorders>
            <w:shd w:val="clear" w:color="auto" w:fill="auto"/>
            <w:noWrap/>
            <w:vAlign w:val="center"/>
          </w:tcPr>
          <w:p w:rsidR="004C7369" w:rsidRPr="008E5197" w:rsidRDefault="0023391A" w:rsidP="004C7369">
            <w:pPr>
              <w:spacing w:line="240" w:lineRule="auto"/>
              <w:jc w:val="center"/>
              <w:rPr>
                <w:rFonts w:ascii="Calibri" w:hAnsi="Calibri" w:cs="Calibri"/>
                <w:b/>
                <w:color w:val="000000"/>
                <w:sz w:val="18"/>
                <w:szCs w:val="18"/>
                <w:lang w:eastAsia="en-US"/>
              </w:rPr>
            </w:pPr>
            <w:r>
              <w:rPr>
                <w:rFonts w:ascii="Calibri" w:hAnsi="Calibri" w:cs="Calibri"/>
                <w:b/>
                <w:color w:val="000000"/>
                <w:sz w:val="18"/>
                <w:szCs w:val="18"/>
                <w:lang w:eastAsia="en-US"/>
              </w:rPr>
              <w:t>54</w:t>
            </w:r>
          </w:p>
        </w:tc>
      </w:tr>
      <w:tr w:rsidR="0023391A" w:rsidRPr="009E1DAB" w:rsidTr="002C0D71">
        <w:trPr>
          <w:gridAfter w:val="1"/>
          <w:wAfter w:w="17" w:type="dxa"/>
          <w:trHeight w:val="426"/>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9E1DAB" w:rsidRDefault="004C7369" w:rsidP="004C7369">
            <w:pPr>
              <w:spacing w:before="20" w:after="20" w:line="240" w:lineRule="auto"/>
              <w:jc w:val="left"/>
              <w:rPr>
                <w:rFonts w:cs="Arial"/>
                <w:color w:val="000000"/>
                <w:sz w:val="16"/>
                <w:szCs w:val="16"/>
                <w:lang w:eastAsia="en-US"/>
              </w:rPr>
            </w:pPr>
            <w:r>
              <w:rPr>
                <w:rFonts w:cs="Arial"/>
                <w:color w:val="000000"/>
                <w:sz w:val="16"/>
                <w:szCs w:val="16"/>
                <w:lang w:eastAsia="en-US"/>
              </w:rPr>
              <w:t>14</w:t>
            </w:r>
            <w:r w:rsidRPr="009E1DAB">
              <w:rPr>
                <w:rFonts w:cs="Arial"/>
                <w:color w:val="000000"/>
                <w:sz w:val="16"/>
                <w:szCs w:val="16"/>
                <w:lang w:eastAsia="en-US"/>
              </w:rPr>
              <w:t>. Desmatamento e limpeza da área do</w:t>
            </w:r>
            <w:r w:rsidR="00FD4160">
              <w:rPr>
                <w:rFonts w:cs="Arial"/>
                <w:color w:val="000000"/>
                <w:sz w:val="16"/>
                <w:szCs w:val="16"/>
                <w:lang w:eastAsia="en-US"/>
              </w:rPr>
              <w:t>s</w:t>
            </w:r>
            <w:r w:rsidRPr="009E1DAB">
              <w:rPr>
                <w:rFonts w:cs="Arial"/>
                <w:color w:val="000000"/>
                <w:sz w:val="16"/>
                <w:szCs w:val="16"/>
                <w:lang w:eastAsia="en-US"/>
              </w:rPr>
              <w:t xml:space="preserve"> reservatório</w:t>
            </w:r>
            <w:r w:rsidR="00FD4160">
              <w:rPr>
                <w:rFonts w:cs="Arial"/>
                <w:color w:val="000000"/>
                <w:sz w:val="16"/>
                <w:szCs w:val="16"/>
                <w:lang w:eastAsia="en-US"/>
              </w:rPr>
              <w:t>s</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C93C81"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2/3</w:t>
            </w:r>
          </w:p>
        </w:tc>
        <w:tc>
          <w:tcPr>
            <w:tcW w:w="1069" w:type="dxa"/>
            <w:tcBorders>
              <w:top w:val="nil"/>
              <w:left w:val="nil"/>
              <w:bottom w:val="single" w:sz="4" w:space="0" w:color="auto"/>
              <w:right w:val="single" w:sz="4" w:space="0" w:color="auto"/>
            </w:tcBorders>
            <w:shd w:val="clear" w:color="auto" w:fill="auto"/>
            <w:noWrap/>
            <w:vAlign w:val="center"/>
          </w:tcPr>
          <w:p w:rsidR="004C7369" w:rsidRPr="00887645" w:rsidRDefault="00C93C81"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9</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14" w:type="dxa"/>
            <w:gridSpan w:val="2"/>
            <w:tcBorders>
              <w:top w:val="single" w:sz="4" w:space="0" w:color="auto"/>
              <w:left w:val="nil"/>
              <w:bottom w:val="single" w:sz="4" w:space="0" w:color="auto"/>
              <w:right w:val="single" w:sz="4" w:space="0" w:color="auto"/>
            </w:tcBorders>
            <w:shd w:val="clear" w:color="auto" w:fill="auto"/>
            <w:vAlign w:val="center"/>
          </w:tcPr>
          <w:p w:rsidR="004C7369" w:rsidRPr="00887645" w:rsidRDefault="00C93C81"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14</w:t>
            </w:r>
          </w:p>
        </w:tc>
        <w:tc>
          <w:tcPr>
            <w:tcW w:w="951" w:type="dxa"/>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C93C81"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19</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C93C81"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20/22</w:t>
            </w:r>
          </w:p>
        </w:tc>
        <w:tc>
          <w:tcPr>
            <w:tcW w:w="1260" w:type="dxa"/>
            <w:gridSpan w:val="2"/>
            <w:tcBorders>
              <w:top w:val="nil"/>
              <w:left w:val="nil"/>
              <w:bottom w:val="single" w:sz="4" w:space="0" w:color="auto"/>
              <w:right w:val="single" w:sz="4" w:space="0" w:color="auto"/>
            </w:tcBorders>
            <w:shd w:val="clear" w:color="auto" w:fill="auto"/>
            <w:noWrap/>
            <w:vAlign w:val="center"/>
          </w:tcPr>
          <w:p w:rsidR="004C7369" w:rsidRPr="00887645" w:rsidRDefault="00C93C81" w:rsidP="00887645">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21/23/24/25</w:t>
            </w:r>
          </w:p>
        </w:tc>
        <w:tc>
          <w:tcPr>
            <w:tcW w:w="1134" w:type="dxa"/>
            <w:gridSpan w:val="2"/>
            <w:tcBorders>
              <w:top w:val="nil"/>
              <w:left w:val="nil"/>
              <w:bottom w:val="single" w:sz="4" w:space="0" w:color="auto"/>
              <w:right w:val="single" w:sz="4" w:space="0" w:color="auto"/>
            </w:tcBorders>
            <w:shd w:val="clear" w:color="auto" w:fill="auto"/>
            <w:vAlign w:val="center"/>
          </w:tcPr>
          <w:p w:rsidR="004C7369" w:rsidRPr="00887645" w:rsidRDefault="00C93C81"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27/</w:t>
            </w:r>
            <w:r w:rsidR="00C339A9" w:rsidRPr="00887645">
              <w:rPr>
                <w:rFonts w:ascii="Calibri" w:hAnsi="Calibri" w:cs="Calibri"/>
                <w:b/>
                <w:color w:val="000000"/>
                <w:sz w:val="18"/>
                <w:szCs w:val="18"/>
                <w:lang w:eastAsia="en-US"/>
              </w:rPr>
              <w:t>30/</w:t>
            </w:r>
            <w:r w:rsidRPr="00887645">
              <w:rPr>
                <w:rFonts w:ascii="Calibri" w:hAnsi="Calibri" w:cs="Calibri"/>
                <w:b/>
                <w:color w:val="000000"/>
                <w:sz w:val="18"/>
                <w:szCs w:val="18"/>
                <w:lang w:eastAsia="en-US"/>
              </w:rPr>
              <w:t>32</w:t>
            </w:r>
          </w:p>
        </w:tc>
        <w:tc>
          <w:tcPr>
            <w:tcW w:w="934" w:type="dxa"/>
            <w:tcBorders>
              <w:top w:val="nil"/>
              <w:left w:val="nil"/>
              <w:bottom w:val="single" w:sz="4" w:space="0" w:color="auto"/>
              <w:right w:val="single" w:sz="4" w:space="0" w:color="auto"/>
            </w:tcBorders>
            <w:shd w:val="clear" w:color="auto" w:fill="auto"/>
            <w:noWrap/>
            <w:vAlign w:val="center"/>
          </w:tcPr>
          <w:p w:rsidR="004C7369" w:rsidRPr="00887645" w:rsidRDefault="00C93C81"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26a/26b</w:t>
            </w:r>
          </w:p>
        </w:tc>
        <w:tc>
          <w:tcPr>
            <w:tcW w:w="1476" w:type="dxa"/>
            <w:gridSpan w:val="4"/>
            <w:tcBorders>
              <w:top w:val="nil"/>
              <w:left w:val="nil"/>
              <w:bottom w:val="single" w:sz="4" w:space="0" w:color="auto"/>
              <w:right w:val="single" w:sz="4" w:space="0" w:color="auto"/>
            </w:tcBorders>
            <w:shd w:val="clear" w:color="auto" w:fill="auto"/>
            <w:noWrap/>
            <w:vAlign w:val="center"/>
          </w:tcPr>
          <w:p w:rsidR="004C7369" w:rsidRPr="00887645" w:rsidRDefault="00820375" w:rsidP="00C339A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36/38/</w:t>
            </w:r>
            <w:r w:rsidR="00C339A9" w:rsidRPr="00887645">
              <w:rPr>
                <w:rFonts w:ascii="Calibri" w:hAnsi="Calibri" w:cs="Calibri"/>
                <w:b/>
                <w:color w:val="000000"/>
                <w:sz w:val="18"/>
                <w:szCs w:val="18"/>
                <w:lang w:eastAsia="en-US"/>
              </w:rPr>
              <w:t>44/47</w:t>
            </w: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217" w:type="dxa"/>
            <w:gridSpan w:val="3"/>
            <w:tcBorders>
              <w:top w:val="nil"/>
              <w:left w:val="nil"/>
              <w:bottom w:val="single" w:sz="4" w:space="0" w:color="auto"/>
              <w:right w:val="single" w:sz="4" w:space="0" w:color="auto"/>
            </w:tcBorders>
            <w:shd w:val="clear" w:color="auto" w:fill="auto"/>
            <w:vAlign w:val="center"/>
          </w:tcPr>
          <w:p w:rsidR="004C7369" w:rsidRPr="008E5197" w:rsidRDefault="00C339A9" w:rsidP="004C7369">
            <w:pPr>
              <w:spacing w:line="240" w:lineRule="auto"/>
              <w:jc w:val="center"/>
              <w:rPr>
                <w:rFonts w:ascii="Calibri" w:hAnsi="Calibri" w:cs="Calibri"/>
                <w:b/>
                <w:color w:val="000000"/>
                <w:sz w:val="18"/>
                <w:szCs w:val="18"/>
                <w:lang w:eastAsia="en-US"/>
              </w:rPr>
            </w:pPr>
            <w:r>
              <w:rPr>
                <w:rFonts w:ascii="Calibri" w:hAnsi="Calibri" w:cs="Calibri"/>
                <w:b/>
                <w:color w:val="000000"/>
                <w:sz w:val="18"/>
                <w:szCs w:val="18"/>
                <w:lang w:eastAsia="en-US"/>
              </w:rPr>
              <w:t>42</w:t>
            </w:r>
          </w:p>
        </w:tc>
        <w:tc>
          <w:tcPr>
            <w:tcW w:w="941" w:type="dxa"/>
            <w:tcBorders>
              <w:top w:val="nil"/>
              <w:left w:val="nil"/>
              <w:bottom w:val="single" w:sz="4" w:space="0" w:color="auto"/>
              <w:right w:val="single" w:sz="4" w:space="0" w:color="auto"/>
            </w:tcBorders>
            <w:shd w:val="clear" w:color="auto" w:fill="auto"/>
            <w:noWrap/>
            <w:vAlign w:val="center"/>
          </w:tcPr>
          <w:p w:rsidR="004C7369" w:rsidRPr="008E5197" w:rsidRDefault="00121A31" w:rsidP="004C7369">
            <w:pPr>
              <w:spacing w:line="240" w:lineRule="auto"/>
              <w:jc w:val="center"/>
              <w:rPr>
                <w:rFonts w:ascii="Calibri" w:hAnsi="Calibri" w:cs="Calibri"/>
                <w:b/>
                <w:color w:val="000000"/>
                <w:sz w:val="18"/>
                <w:szCs w:val="18"/>
                <w:lang w:eastAsia="en-US"/>
              </w:rPr>
            </w:pPr>
            <w:r>
              <w:rPr>
                <w:rFonts w:ascii="Calibri" w:hAnsi="Calibri" w:cs="Calibri"/>
                <w:b/>
                <w:color w:val="000000"/>
                <w:sz w:val="18"/>
                <w:szCs w:val="18"/>
                <w:lang w:eastAsia="en-US"/>
              </w:rPr>
              <w:t>54</w:t>
            </w:r>
          </w:p>
        </w:tc>
      </w:tr>
      <w:tr w:rsidR="00EB1906" w:rsidRPr="009E1DAB" w:rsidTr="002C0D71">
        <w:trPr>
          <w:gridAfter w:val="1"/>
          <w:wAfter w:w="17" w:type="dxa"/>
          <w:trHeight w:val="343"/>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9E1DAB" w:rsidRDefault="004C7369" w:rsidP="004C7369">
            <w:pPr>
              <w:spacing w:before="20" w:after="20" w:line="240" w:lineRule="auto"/>
              <w:jc w:val="left"/>
              <w:rPr>
                <w:rFonts w:cs="Arial"/>
                <w:color w:val="000000"/>
                <w:sz w:val="16"/>
                <w:szCs w:val="16"/>
                <w:lang w:eastAsia="en-US"/>
              </w:rPr>
            </w:pPr>
            <w:r>
              <w:rPr>
                <w:rFonts w:cs="Arial"/>
                <w:color w:val="000000"/>
                <w:sz w:val="16"/>
                <w:szCs w:val="16"/>
                <w:lang w:eastAsia="en-US"/>
              </w:rPr>
              <w:t>15</w:t>
            </w:r>
            <w:r w:rsidRPr="009E1DAB">
              <w:rPr>
                <w:rFonts w:cs="Arial"/>
                <w:color w:val="000000"/>
                <w:sz w:val="16"/>
                <w:szCs w:val="16"/>
                <w:lang w:eastAsia="en-US"/>
              </w:rPr>
              <w:t>. Dispensa de mão de obra e desmobilização do canteiro de obras e instalações provisórias</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C339A9"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3</w:t>
            </w:r>
          </w:p>
        </w:tc>
        <w:tc>
          <w:tcPr>
            <w:tcW w:w="106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014" w:type="dxa"/>
            <w:gridSpan w:val="2"/>
            <w:tcBorders>
              <w:top w:val="single" w:sz="4" w:space="0" w:color="auto"/>
              <w:left w:val="nil"/>
              <w:bottom w:val="single" w:sz="4" w:space="0" w:color="auto"/>
              <w:right w:val="single" w:sz="4" w:space="0" w:color="auto"/>
            </w:tcBorders>
            <w:shd w:val="clear" w:color="auto" w:fill="auto"/>
            <w:vAlign w:val="center"/>
          </w:tcPr>
          <w:p w:rsidR="004C7369" w:rsidRPr="00887645" w:rsidRDefault="00C339A9"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14</w:t>
            </w:r>
          </w:p>
        </w:tc>
        <w:tc>
          <w:tcPr>
            <w:tcW w:w="951" w:type="dxa"/>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C339A9"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19</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260" w:type="dxa"/>
            <w:gridSpan w:val="2"/>
            <w:tcBorders>
              <w:top w:val="nil"/>
              <w:left w:val="nil"/>
              <w:bottom w:val="single" w:sz="4" w:space="0" w:color="auto"/>
              <w:right w:val="single" w:sz="4" w:space="0" w:color="auto"/>
            </w:tcBorders>
            <w:shd w:val="clear" w:color="auto" w:fill="auto"/>
            <w:noWrap/>
            <w:vAlign w:val="center"/>
          </w:tcPr>
          <w:p w:rsidR="004C7369" w:rsidRPr="00887645" w:rsidRDefault="001D3D2D" w:rsidP="004C7369">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24</w:t>
            </w:r>
          </w:p>
        </w:tc>
        <w:tc>
          <w:tcPr>
            <w:tcW w:w="1134" w:type="dxa"/>
            <w:gridSpan w:val="2"/>
            <w:tcBorders>
              <w:top w:val="nil"/>
              <w:left w:val="nil"/>
              <w:bottom w:val="single" w:sz="4" w:space="0" w:color="auto"/>
              <w:right w:val="single" w:sz="4" w:space="0" w:color="auto"/>
            </w:tcBorders>
            <w:shd w:val="clear" w:color="auto" w:fill="auto"/>
            <w:noWrap/>
            <w:vAlign w:val="center"/>
          </w:tcPr>
          <w:p w:rsidR="004C7369" w:rsidRPr="00887645" w:rsidRDefault="001D3D2D" w:rsidP="00536645">
            <w:pPr>
              <w:spacing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30</w:t>
            </w:r>
          </w:p>
        </w:tc>
        <w:tc>
          <w:tcPr>
            <w:tcW w:w="934"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eastAsia="en-US"/>
              </w:rPr>
            </w:pPr>
          </w:p>
        </w:tc>
        <w:tc>
          <w:tcPr>
            <w:tcW w:w="1476" w:type="dxa"/>
            <w:gridSpan w:val="4"/>
            <w:tcBorders>
              <w:top w:val="nil"/>
              <w:left w:val="nil"/>
              <w:bottom w:val="single" w:sz="4" w:space="0" w:color="auto"/>
              <w:right w:val="single" w:sz="4" w:space="0" w:color="auto"/>
            </w:tcBorders>
            <w:shd w:val="clear" w:color="auto" w:fill="auto"/>
            <w:noWrap/>
            <w:vAlign w:val="center"/>
          </w:tcPr>
          <w:p w:rsidR="004C7369" w:rsidRPr="00887645" w:rsidRDefault="00326A83" w:rsidP="004C7369">
            <w:pPr>
              <w:spacing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w:t>
            </w:r>
            <w:r w:rsidR="00820375" w:rsidRPr="00887645">
              <w:rPr>
                <w:rFonts w:ascii="Calibri" w:hAnsi="Calibri" w:cs="Calibri"/>
                <w:b/>
                <w:color w:val="000000"/>
                <w:sz w:val="18"/>
                <w:szCs w:val="18"/>
                <w:lang w:val="en-US" w:eastAsia="en-US"/>
              </w:rPr>
              <w:t>8/</w:t>
            </w:r>
            <w:r w:rsidR="001D3D2D" w:rsidRPr="00887645">
              <w:rPr>
                <w:rFonts w:ascii="Calibri" w:hAnsi="Calibri" w:cs="Calibri"/>
                <w:b/>
                <w:color w:val="000000"/>
                <w:sz w:val="18"/>
                <w:szCs w:val="18"/>
                <w:lang w:val="en-US" w:eastAsia="en-US"/>
              </w:rPr>
              <w:t>47</w:t>
            </w: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line="240" w:lineRule="auto"/>
              <w:jc w:val="center"/>
              <w:rPr>
                <w:rFonts w:ascii="Calibri" w:hAnsi="Calibri" w:cs="Calibri"/>
                <w:b/>
                <w:color w:val="000000"/>
                <w:sz w:val="18"/>
                <w:szCs w:val="18"/>
                <w:lang w:val="en-US" w:eastAsia="en-US"/>
              </w:rPr>
            </w:pPr>
          </w:p>
        </w:tc>
        <w:tc>
          <w:tcPr>
            <w:tcW w:w="1217" w:type="dxa"/>
            <w:gridSpan w:val="3"/>
            <w:tcBorders>
              <w:top w:val="nil"/>
              <w:left w:val="nil"/>
              <w:bottom w:val="single" w:sz="4" w:space="0" w:color="auto"/>
              <w:right w:val="single" w:sz="4" w:space="0" w:color="auto"/>
            </w:tcBorders>
            <w:shd w:val="clear" w:color="auto" w:fill="auto"/>
            <w:noWrap/>
            <w:vAlign w:val="center"/>
          </w:tcPr>
          <w:p w:rsidR="004C7369" w:rsidRPr="008E5197" w:rsidRDefault="001D3D2D"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51/52</w:t>
            </w:r>
          </w:p>
        </w:tc>
        <w:tc>
          <w:tcPr>
            <w:tcW w:w="941" w:type="dxa"/>
            <w:tcBorders>
              <w:top w:val="nil"/>
              <w:left w:val="nil"/>
              <w:bottom w:val="single" w:sz="4" w:space="0" w:color="auto"/>
              <w:right w:val="single" w:sz="4" w:space="0" w:color="auto"/>
            </w:tcBorders>
            <w:shd w:val="clear" w:color="auto" w:fill="auto"/>
            <w:noWrap/>
            <w:vAlign w:val="center"/>
          </w:tcPr>
          <w:p w:rsidR="004C7369" w:rsidRPr="008E5197" w:rsidRDefault="004C7369" w:rsidP="004C7369">
            <w:pPr>
              <w:spacing w:line="240" w:lineRule="auto"/>
              <w:jc w:val="center"/>
              <w:rPr>
                <w:rFonts w:ascii="Calibri" w:hAnsi="Calibri" w:cs="Calibri"/>
                <w:b/>
                <w:color w:val="000000"/>
                <w:sz w:val="18"/>
                <w:szCs w:val="18"/>
                <w:lang w:val="en-US" w:eastAsia="en-US"/>
              </w:rPr>
            </w:pPr>
          </w:p>
        </w:tc>
      </w:tr>
      <w:tr w:rsidR="002A63E3" w:rsidRPr="009E1DAB" w:rsidTr="00786754">
        <w:trPr>
          <w:gridAfter w:val="1"/>
          <w:wAfter w:w="17" w:type="dxa"/>
          <w:trHeight w:val="342"/>
        </w:trPr>
        <w:tc>
          <w:tcPr>
            <w:tcW w:w="7409" w:type="dxa"/>
            <w:gridSpan w:val="2"/>
            <w:tcBorders>
              <w:top w:val="nil"/>
              <w:left w:val="single" w:sz="4" w:space="0" w:color="auto"/>
              <w:bottom w:val="single" w:sz="4" w:space="0" w:color="auto"/>
              <w:right w:val="single" w:sz="4" w:space="0" w:color="auto"/>
            </w:tcBorders>
            <w:shd w:val="clear" w:color="auto" w:fill="C2D69B"/>
            <w:noWrap/>
            <w:vAlign w:val="center"/>
            <w:hideMark/>
          </w:tcPr>
          <w:p w:rsidR="004C7369" w:rsidRPr="009E1DAB" w:rsidRDefault="004C7369" w:rsidP="004C7369">
            <w:pPr>
              <w:spacing w:before="20" w:after="20" w:line="240" w:lineRule="auto"/>
              <w:jc w:val="left"/>
              <w:rPr>
                <w:rFonts w:cs="Arial"/>
                <w:sz w:val="16"/>
                <w:szCs w:val="16"/>
                <w:lang w:val="en-US" w:eastAsia="en-US"/>
              </w:rPr>
            </w:pPr>
            <w:r>
              <w:rPr>
                <w:rFonts w:cs="Arial"/>
                <w:sz w:val="16"/>
                <w:szCs w:val="16"/>
                <w:lang w:val="en-US" w:eastAsia="en-US"/>
              </w:rPr>
              <w:t>16</w:t>
            </w:r>
            <w:r w:rsidRPr="009E1DAB">
              <w:rPr>
                <w:rFonts w:cs="Arial"/>
                <w:sz w:val="16"/>
                <w:szCs w:val="16"/>
                <w:lang w:val="en-US" w:eastAsia="en-US"/>
              </w:rPr>
              <w:t>.</w:t>
            </w:r>
            <w:r w:rsidRPr="009E1DAB">
              <w:rPr>
                <w:rFonts w:cs="Arial"/>
                <w:sz w:val="16"/>
                <w:szCs w:val="16"/>
                <w:lang w:eastAsia="en-US"/>
              </w:rPr>
              <w:t xml:space="preserve"> Enchimento</w:t>
            </w:r>
            <w:r w:rsidRPr="009E1DAB">
              <w:rPr>
                <w:rFonts w:cs="Arial"/>
                <w:sz w:val="16"/>
                <w:szCs w:val="16"/>
                <w:lang w:val="en-US" w:eastAsia="en-US"/>
              </w:rPr>
              <w:t xml:space="preserve"> do</w:t>
            </w:r>
            <w:r w:rsidR="00FD4160">
              <w:rPr>
                <w:rFonts w:cs="Arial"/>
                <w:sz w:val="16"/>
                <w:szCs w:val="16"/>
                <w:lang w:val="en-US" w:eastAsia="en-US"/>
              </w:rPr>
              <w:t>s</w:t>
            </w:r>
            <w:r w:rsidRPr="009E1DAB">
              <w:rPr>
                <w:rFonts w:cs="Arial"/>
                <w:sz w:val="16"/>
                <w:szCs w:val="16"/>
                <w:lang w:eastAsia="en-US"/>
              </w:rPr>
              <w:t xml:space="preserve"> reservatório</w:t>
            </w:r>
            <w:r w:rsidR="00FD4160">
              <w:rPr>
                <w:rFonts w:cs="Arial"/>
                <w:sz w:val="16"/>
                <w:szCs w:val="16"/>
                <w:lang w:eastAsia="en-US"/>
              </w:rPr>
              <w:t>s</w:t>
            </w:r>
          </w:p>
        </w:tc>
        <w:tc>
          <w:tcPr>
            <w:tcW w:w="1049" w:type="dxa"/>
            <w:tcBorders>
              <w:top w:val="nil"/>
              <w:left w:val="nil"/>
              <w:bottom w:val="single" w:sz="4" w:space="0" w:color="auto"/>
              <w:right w:val="single" w:sz="4" w:space="0" w:color="auto"/>
            </w:tcBorders>
            <w:shd w:val="clear" w:color="auto" w:fill="C2D69B"/>
            <w:noWrap/>
            <w:vAlign w:val="center"/>
          </w:tcPr>
          <w:p w:rsidR="004C7369" w:rsidRPr="008E5197" w:rsidRDefault="001D3D2D"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1/4</w:t>
            </w:r>
          </w:p>
        </w:tc>
        <w:tc>
          <w:tcPr>
            <w:tcW w:w="1069" w:type="dxa"/>
            <w:tcBorders>
              <w:top w:val="nil"/>
              <w:left w:val="nil"/>
              <w:bottom w:val="single" w:sz="4" w:space="0" w:color="auto"/>
              <w:right w:val="single" w:sz="4" w:space="0" w:color="auto"/>
            </w:tcBorders>
            <w:shd w:val="clear" w:color="auto" w:fill="C2D69B"/>
            <w:noWrap/>
            <w:vAlign w:val="center"/>
          </w:tcPr>
          <w:p w:rsidR="00121A31" w:rsidRDefault="001D3D2D"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5/6/7</w:t>
            </w:r>
            <w:r w:rsidR="00891B01">
              <w:rPr>
                <w:rFonts w:ascii="Calibri" w:hAnsi="Calibri" w:cs="Calibri"/>
                <w:b/>
                <w:color w:val="000000"/>
                <w:sz w:val="18"/>
                <w:szCs w:val="18"/>
                <w:lang w:val="en-US" w:eastAsia="en-US"/>
              </w:rPr>
              <w:t>/</w:t>
            </w:r>
            <w:r w:rsidR="00D2668F" w:rsidRPr="00887645">
              <w:rPr>
                <w:rFonts w:ascii="Calibri" w:hAnsi="Calibri" w:cs="Calibri"/>
                <w:b/>
                <w:color w:val="000000"/>
                <w:sz w:val="18"/>
                <w:szCs w:val="18"/>
                <w:lang w:val="en-US" w:eastAsia="en-US"/>
              </w:rPr>
              <w:t>8</w:t>
            </w:r>
            <w:r w:rsidR="00D2668F">
              <w:rPr>
                <w:rFonts w:ascii="Calibri" w:hAnsi="Calibri" w:cs="Calibri"/>
                <w:b/>
                <w:color w:val="000000"/>
                <w:sz w:val="18"/>
                <w:szCs w:val="18"/>
                <w:lang w:val="en-US" w:eastAsia="en-US"/>
              </w:rPr>
              <w:t>/</w:t>
            </w:r>
          </w:p>
          <w:p w:rsidR="004C7369" w:rsidRPr="008E5197" w:rsidRDefault="001D3D2D" w:rsidP="00121A31">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9</w:t>
            </w:r>
            <w:r w:rsidR="00121A31">
              <w:rPr>
                <w:rFonts w:ascii="Calibri" w:hAnsi="Calibri" w:cs="Calibri"/>
                <w:b/>
                <w:color w:val="000000"/>
                <w:sz w:val="18"/>
                <w:szCs w:val="18"/>
                <w:lang w:val="en-US" w:eastAsia="en-US"/>
              </w:rPr>
              <w:t>/50/55</w:t>
            </w:r>
          </w:p>
        </w:tc>
        <w:tc>
          <w:tcPr>
            <w:tcW w:w="1049" w:type="dxa"/>
            <w:tcBorders>
              <w:top w:val="nil"/>
              <w:left w:val="nil"/>
              <w:bottom w:val="single" w:sz="4" w:space="0" w:color="auto"/>
              <w:right w:val="single" w:sz="4" w:space="0" w:color="auto"/>
            </w:tcBorders>
            <w:shd w:val="clear" w:color="auto" w:fill="C2D69B"/>
            <w:vAlign w:val="center"/>
          </w:tcPr>
          <w:p w:rsidR="004C7369" w:rsidRPr="008E5197" w:rsidRDefault="00BF15D6"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10/11/12</w:t>
            </w:r>
          </w:p>
        </w:tc>
        <w:tc>
          <w:tcPr>
            <w:tcW w:w="1014" w:type="dxa"/>
            <w:gridSpan w:val="2"/>
            <w:tcBorders>
              <w:top w:val="single" w:sz="4" w:space="0" w:color="auto"/>
              <w:left w:val="nil"/>
              <w:bottom w:val="single" w:sz="4" w:space="0" w:color="auto"/>
              <w:right w:val="single" w:sz="4" w:space="0" w:color="auto"/>
            </w:tcBorders>
            <w:shd w:val="clear" w:color="auto" w:fill="C2D69B"/>
            <w:vAlign w:val="center"/>
          </w:tcPr>
          <w:p w:rsidR="00BF15D6" w:rsidRDefault="00BF15D6"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13/14</w:t>
            </w:r>
          </w:p>
          <w:p w:rsidR="004C7369" w:rsidRPr="008E5197" w:rsidRDefault="00BF15D6" w:rsidP="00BF15D6">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15/17/18</w:t>
            </w:r>
          </w:p>
        </w:tc>
        <w:tc>
          <w:tcPr>
            <w:tcW w:w="951" w:type="dxa"/>
            <w:tcBorders>
              <w:top w:val="nil"/>
              <w:left w:val="single" w:sz="4" w:space="0" w:color="auto"/>
              <w:bottom w:val="single" w:sz="4" w:space="0" w:color="auto"/>
              <w:right w:val="single" w:sz="4" w:space="0" w:color="auto"/>
            </w:tcBorders>
            <w:shd w:val="clear" w:color="auto" w:fill="C2D69B"/>
            <w:vAlign w:val="center"/>
          </w:tcPr>
          <w:p w:rsidR="004C7369" w:rsidRPr="008E5197" w:rsidRDefault="00BF15D6"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19</w:t>
            </w:r>
          </w:p>
        </w:tc>
        <w:tc>
          <w:tcPr>
            <w:tcW w:w="1049" w:type="dxa"/>
            <w:tcBorders>
              <w:top w:val="nil"/>
              <w:left w:val="nil"/>
              <w:bottom w:val="single" w:sz="4" w:space="0" w:color="auto"/>
              <w:right w:val="single" w:sz="4" w:space="0" w:color="auto"/>
            </w:tcBorders>
            <w:shd w:val="clear" w:color="auto" w:fill="C2D69B"/>
            <w:vAlign w:val="center"/>
          </w:tcPr>
          <w:p w:rsidR="004C7369" w:rsidRPr="008E5197" w:rsidRDefault="00BF15D6"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20/22</w:t>
            </w:r>
          </w:p>
        </w:tc>
        <w:tc>
          <w:tcPr>
            <w:tcW w:w="1260" w:type="dxa"/>
            <w:gridSpan w:val="2"/>
            <w:tcBorders>
              <w:top w:val="nil"/>
              <w:left w:val="nil"/>
              <w:bottom w:val="single" w:sz="4" w:space="0" w:color="auto"/>
              <w:right w:val="single" w:sz="4" w:space="0" w:color="auto"/>
            </w:tcBorders>
            <w:shd w:val="clear" w:color="auto" w:fill="C2D69B"/>
            <w:vAlign w:val="center"/>
          </w:tcPr>
          <w:p w:rsidR="004C7369" w:rsidRPr="008E5197" w:rsidRDefault="00BF15D6" w:rsidP="00006CDF">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21/23/24</w:t>
            </w:r>
          </w:p>
        </w:tc>
        <w:tc>
          <w:tcPr>
            <w:tcW w:w="1134" w:type="dxa"/>
            <w:gridSpan w:val="2"/>
            <w:tcBorders>
              <w:top w:val="nil"/>
              <w:left w:val="nil"/>
              <w:bottom w:val="single" w:sz="4" w:space="0" w:color="auto"/>
              <w:right w:val="single" w:sz="4" w:space="0" w:color="auto"/>
            </w:tcBorders>
            <w:shd w:val="clear" w:color="auto" w:fill="C2D69B"/>
            <w:vAlign w:val="center"/>
          </w:tcPr>
          <w:p w:rsidR="00BF15D6" w:rsidRDefault="00BF15D6"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27/29</w:t>
            </w:r>
            <w:r w:rsidR="00EB1906">
              <w:rPr>
                <w:rFonts w:ascii="Calibri" w:hAnsi="Calibri" w:cs="Calibri"/>
                <w:b/>
                <w:color w:val="000000"/>
                <w:sz w:val="18"/>
                <w:szCs w:val="18"/>
                <w:lang w:val="en-US" w:eastAsia="en-US"/>
              </w:rPr>
              <w:t>/30</w:t>
            </w:r>
          </w:p>
          <w:p w:rsidR="00F87893" w:rsidRDefault="00EB1906" w:rsidP="00BF15D6">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31</w:t>
            </w:r>
            <w:r w:rsidR="00BF15D6">
              <w:rPr>
                <w:rFonts w:ascii="Calibri" w:hAnsi="Calibri" w:cs="Calibri"/>
                <w:b/>
                <w:color w:val="000000"/>
                <w:sz w:val="18"/>
                <w:szCs w:val="18"/>
                <w:lang w:val="en-US" w:eastAsia="en-US"/>
              </w:rPr>
              <w:t>/32/33/</w:t>
            </w:r>
          </w:p>
          <w:p w:rsidR="00BF15D6" w:rsidRPr="008E5197" w:rsidRDefault="00BF15D6" w:rsidP="00BF15D6">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35</w:t>
            </w:r>
          </w:p>
        </w:tc>
        <w:tc>
          <w:tcPr>
            <w:tcW w:w="934" w:type="dxa"/>
            <w:tcBorders>
              <w:top w:val="nil"/>
              <w:left w:val="nil"/>
              <w:bottom w:val="single" w:sz="4" w:space="0" w:color="auto"/>
              <w:right w:val="single" w:sz="4" w:space="0" w:color="auto"/>
            </w:tcBorders>
            <w:shd w:val="clear" w:color="auto" w:fill="C2D69B"/>
            <w:noWrap/>
            <w:vAlign w:val="center"/>
          </w:tcPr>
          <w:p w:rsidR="004C7369" w:rsidRPr="008E5197" w:rsidRDefault="00BF15D6"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26a/26b</w:t>
            </w:r>
          </w:p>
        </w:tc>
        <w:tc>
          <w:tcPr>
            <w:tcW w:w="1476" w:type="dxa"/>
            <w:gridSpan w:val="4"/>
            <w:tcBorders>
              <w:top w:val="nil"/>
              <w:left w:val="nil"/>
              <w:bottom w:val="single" w:sz="4" w:space="0" w:color="auto"/>
              <w:right w:val="single" w:sz="4" w:space="0" w:color="auto"/>
            </w:tcBorders>
            <w:shd w:val="clear" w:color="auto" w:fill="C2D69B"/>
            <w:vAlign w:val="center"/>
          </w:tcPr>
          <w:p w:rsidR="00121A31" w:rsidRDefault="00BF15D6"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37/38/39</w:t>
            </w:r>
          </w:p>
          <w:p w:rsidR="004C7369" w:rsidRPr="008E5197" w:rsidRDefault="00BF15D6" w:rsidP="00121A31">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40</w:t>
            </w:r>
            <w:r w:rsidR="00121A31">
              <w:rPr>
                <w:rFonts w:ascii="Calibri" w:hAnsi="Calibri" w:cs="Calibri"/>
                <w:b/>
                <w:color w:val="000000"/>
                <w:sz w:val="18"/>
                <w:szCs w:val="18"/>
                <w:lang w:val="en-US" w:eastAsia="en-US"/>
              </w:rPr>
              <w:t>/44/47</w:t>
            </w:r>
          </w:p>
        </w:tc>
        <w:tc>
          <w:tcPr>
            <w:tcW w:w="992" w:type="dxa"/>
            <w:tcBorders>
              <w:top w:val="nil"/>
              <w:left w:val="nil"/>
              <w:bottom w:val="single" w:sz="4" w:space="0" w:color="auto"/>
              <w:right w:val="single" w:sz="4" w:space="0" w:color="auto"/>
            </w:tcBorders>
            <w:shd w:val="clear" w:color="auto" w:fill="C2D69B"/>
            <w:noWrap/>
            <w:vAlign w:val="center"/>
          </w:tcPr>
          <w:p w:rsidR="004C7369" w:rsidRPr="008E5197" w:rsidRDefault="00121A31"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42/43/48</w:t>
            </w:r>
          </w:p>
        </w:tc>
        <w:tc>
          <w:tcPr>
            <w:tcW w:w="1217" w:type="dxa"/>
            <w:gridSpan w:val="3"/>
            <w:tcBorders>
              <w:top w:val="nil"/>
              <w:left w:val="nil"/>
              <w:bottom w:val="single" w:sz="4" w:space="0" w:color="auto"/>
              <w:right w:val="single" w:sz="4" w:space="0" w:color="auto"/>
            </w:tcBorders>
            <w:shd w:val="clear" w:color="auto" w:fill="C2D69B"/>
            <w:vAlign w:val="center"/>
          </w:tcPr>
          <w:p w:rsidR="004C7369" w:rsidRPr="008E5197" w:rsidRDefault="00121A31"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39/42/43/50</w:t>
            </w:r>
          </w:p>
        </w:tc>
        <w:tc>
          <w:tcPr>
            <w:tcW w:w="941" w:type="dxa"/>
            <w:tcBorders>
              <w:top w:val="nil"/>
              <w:left w:val="nil"/>
              <w:bottom w:val="single" w:sz="4" w:space="0" w:color="auto"/>
              <w:right w:val="single" w:sz="4" w:space="0" w:color="auto"/>
            </w:tcBorders>
            <w:shd w:val="clear" w:color="auto" w:fill="C2D69B"/>
            <w:noWrap/>
            <w:vAlign w:val="center"/>
          </w:tcPr>
          <w:p w:rsidR="004C7369" w:rsidRPr="008E5197" w:rsidRDefault="00121A31" w:rsidP="004C7369">
            <w:pPr>
              <w:spacing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54</w:t>
            </w:r>
          </w:p>
        </w:tc>
      </w:tr>
      <w:tr w:rsidR="009E1DAB" w:rsidRPr="009E1DAB" w:rsidTr="00F224C0">
        <w:trPr>
          <w:trHeight w:val="343"/>
        </w:trPr>
        <w:tc>
          <w:tcPr>
            <w:tcW w:w="7409" w:type="dxa"/>
            <w:gridSpan w:val="2"/>
            <w:tcBorders>
              <w:top w:val="nil"/>
              <w:left w:val="single" w:sz="4" w:space="0" w:color="auto"/>
              <w:bottom w:val="single" w:sz="4" w:space="0" w:color="auto"/>
              <w:right w:val="single" w:sz="4" w:space="0" w:color="auto"/>
            </w:tcBorders>
            <w:shd w:val="clear" w:color="auto" w:fill="BFBFBF"/>
            <w:noWrap/>
            <w:vAlign w:val="center"/>
            <w:hideMark/>
          </w:tcPr>
          <w:p w:rsidR="009E1DAB" w:rsidRPr="00621697" w:rsidRDefault="009E1DAB" w:rsidP="00094EB3">
            <w:pPr>
              <w:spacing w:before="20" w:after="20" w:line="240" w:lineRule="auto"/>
              <w:jc w:val="center"/>
              <w:rPr>
                <w:rFonts w:cs="Arial"/>
                <w:b/>
                <w:bCs/>
                <w:iCs/>
                <w:color w:val="000000"/>
                <w:szCs w:val="22"/>
                <w:lang w:val="en-US" w:eastAsia="en-US"/>
              </w:rPr>
            </w:pPr>
            <w:r w:rsidRPr="00621697">
              <w:rPr>
                <w:rFonts w:cs="Arial"/>
                <w:b/>
                <w:bCs/>
                <w:iCs/>
                <w:color w:val="000000"/>
                <w:szCs w:val="22"/>
                <w:lang w:val="en-US" w:eastAsia="en-US"/>
              </w:rPr>
              <w:t>Fase de</w:t>
            </w:r>
            <w:r w:rsidRPr="00621697">
              <w:rPr>
                <w:rFonts w:cs="Arial"/>
                <w:b/>
                <w:bCs/>
                <w:iCs/>
                <w:color w:val="000000"/>
                <w:szCs w:val="22"/>
                <w:lang w:eastAsia="en-US"/>
              </w:rPr>
              <w:t xml:space="preserve"> Operação</w:t>
            </w:r>
          </w:p>
        </w:tc>
        <w:tc>
          <w:tcPr>
            <w:tcW w:w="14152" w:type="dxa"/>
            <w:gridSpan w:val="22"/>
            <w:tcBorders>
              <w:top w:val="single" w:sz="4" w:space="0" w:color="auto"/>
              <w:left w:val="nil"/>
              <w:bottom w:val="single" w:sz="4" w:space="0" w:color="auto"/>
              <w:right w:val="single" w:sz="4" w:space="0" w:color="auto"/>
            </w:tcBorders>
            <w:shd w:val="clear" w:color="auto" w:fill="BFBFBF"/>
          </w:tcPr>
          <w:p w:rsidR="009E1DAB" w:rsidRPr="009E1DAB" w:rsidRDefault="009E1DAB" w:rsidP="009E1DAB">
            <w:pPr>
              <w:spacing w:before="20" w:after="20" w:line="240" w:lineRule="auto"/>
              <w:jc w:val="center"/>
              <w:rPr>
                <w:rFonts w:ascii="Calibri" w:hAnsi="Calibri"/>
                <w:color w:val="000000"/>
                <w:sz w:val="16"/>
                <w:szCs w:val="16"/>
                <w:lang w:val="en-US" w:eastAsia="en-US"/>
              </w:rPr>
            </w:pPr>
          </w:p>
        </w:tc>
      </w:tr>
      <w:tr w:rsidR="004C7369" w:rsidRPr="009E1DAB" w:rsidTr="002C0D71">
        <w:trPr>
          <w:gridAfter w:val="1"/>
          <w:wAfter w:w="17" w:type="dxa"/>
          <w:trHeight w:val="343"/>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9E1DAB" w:rsidRDefault="004C7369" w:rsidP="004C7369">
            <w:pPr>
              <w:spacing w:before="20" w:after="20" w:line="240" w:lineRule="auto"/>
              <w:jc w:val="left"/>
              <w:rPr>
                <w:rFonts w:cs="Arial"/>
                <w:color w:val="000000"/>
                <w:sz w:val="16"/>
                <w:szCs w:val="16"/>
                <w:lang w:eastAsia="en-US"/>
              </w:rPr>
            </w:pPr>
            <w:r>
              <w:rPr>
                <w:rFonts w:cs="Arial"/>
                <w:color w:val="000000"/>
                <w:sz w:val="16"/>
                <w:szCs w:val="16"/>
                <w:lang w:eastAsia="en-US"/>
              </w:rPr>
              <w:t>17</w:t>
            </w:r>
            <w:r w:rsidR="00FD4160">
              <w:rPr>
                <w:rFonts w:cs="Arial"/>
                <w:color w:val="000000"/>
                <w:sz w:val="16"/>
                <w:szCs w:val="16"/>
                <w:lang w:eastAsia="en-US"/>
              </w:rPr>
              <w:t xml:space="preserve">. Seleção </w:t>
            </w:r>
            <w:r w:rsidRPr="009E1DAB">
              <w:rPr>
                <w:rFonts w:cs="Arial"/>
                <w:color w:val="000000"/>
                <w:sz w:val="16"/>
                <w:szCs w:val="16"/>
                <w:lang w:eastAsia="en-US"/>
              </w:rPr>
              <w:t>e contratação de mão de obra para operação e manutenção</w:t>
            </w:r>
            <w:r w:rsidR="00FD4160">
              <w:rPr>
                <w:rFonts w:cs="Arial"/>
                <w:color w:val="000000"/>
                <w:sz w:val="16"/>
                <w:szCs w:val="16"/>
                <w:lang w:eastAsia="en-US"/>
              </w:rPr>
              <w:t xml:space="preserve"> dos reservatórios</w:t>
            </w:r>
          </w:p>
        </w:tc>
        <w:tc>
          <w:tcPr>
            <w:tcW w:w="1049" w:type="dxa"/>
            <w:tcBorders>
              <w:top w:val="nil"/>
              <w:left w:val="nil"/>
              <w:bottom w:val="single" w:sz="4" w:space="0" w:color="auto"/>
              <w:right w:val="single" w:sz="4" w:space="0" w:color="auto"/>
            </w:tcBorders>
            <w:shd w:val="clear" w:color="auto" w:fill="auto"/>
            <w:noWrap/>
            <w:vAlign w:val="center"/>
          </w:tcPr>
          <w:p w:rsidR="004C7369" w:rsidRPr="00535048" w:rsidRDefault="004C7369" w:rsidP="004C7369">
            <w:pPr>
              <w:spacing w:before="20" w:after="20" w:line="240" w:lineRule="auto"/>
              <w:jc w:val="center"/>
              <w:rPr>
                <w:rFonts w:ascii="Calibri" w:hAnsi="Calibri" w:cs="Calibri"/>
                <w:b/>
                <w:color w:val="000000"/>
                <w:sz w:val="18"/>
                <w:szCs w:val="18"/>
                <w:lang w:eastAsia="en-US"/>
              </w:rPr>
            </w:pPr>
          </w:p>
        </w:tc>
        <w:tc>
          <w:tcPr>
            <w:tcW w:w="106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eastAsia="en-US"/>
              </w:rPr>
            </w:pPr>
          </w:p>
        </w:tc>
        <w:tc>
          <w:tcPr>
            <w:tcW w:w="916" w:type="dxa"/>
            <w:tcBorders>
              <w:top w:val="nil"/>
              <w:left w:val="nil"/>
              <w:bottom w:val="single" w:sz="4" w:space="0" w:color="auto"/>
              <w:right w:val="single" w:sz="4" w:space="0" w:color="auto"/>
            </w:tcBorders>
            <w:vAlign w:val="center"/>
          </w:tcPr>
          <w:p w:rsidR="004C7369" w:rsidRPr="00887645" w:rsidRDefault="004C7369" w:rsidP="004C7369">
            <w:pPr>
              <w:spacing w:before="20" w:after="20" w:line="240" w:lineRule="auto"/>
              <w:jc w:val="center"/>
              <w:rPr>
                <w:rFonts w:ascii="Calibri" w:hAnsi="Calibri" w:cs="Calibri"/>
                <w:b/>
                <w:color w:val="000000"/>
                <w:sz w:val="18"/>
                <w:szCs w:val="18"/>
                <w:lang w:eastAsia="en-US"/>
              </w:rPr>
            </w:pPr>
          </w:p>
        </w:tc>
        <w:tc>
          <w:tcPr>
            <w:tcW w:w="1049" w:type="dxa"/>
            <w:gridSpan w:val="2"/>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eastAsia="en-US"/>
              </w:rPr>
            </w:pPr>
          </w:p>
        </w:tc>
        <w:tc>
          <w:tcPr>
            <w:tcW w:w="1174"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eastAsia="en-US"/>
              </w:rPr>
            </w:pPr>
          </w:p>
        </w:tc>
        <w:tc>
          <w:tcPr>
            <w:tcW w:w="1220" w:type="dxa"/>
            <w:gridSpan w:val="3"/>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eastAsia="en-US"/>
              </w:rPr>
            </w:pPr>
          </w:p>
        </w:tc>
        <w:tc>
          <w:tcPr>
            <w:tcW w:w="1090" w:type="dxa"/>
            <w:gridSpan w:val="4"/>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eastAsia="en-US"/>
              </w:rPr>
            </w:pPr>
          </w:p>
        </w:tc>
        <w:tc>
          <w:tcPr>
            <w:tcW w:w="1320" w:type="dxa"/>
            <w:tcBorders>
              <w:top w:val="nil"/>
              <w:left w:val="nil"/>
              <w:bottom w:val="single" w:sz="4" w:space="0" w:color="auto"/>
              <w:right w:val="single" w:sz="4" w:space="0" w:color="auto"/>
            </w:tcBorders>
            <w:shd w:val="clear" w:color="auto" w:fill="auto"/>
            <w:noWrap/>
            <w:vAlign w:val="center"/>
          </w:tcPr>
          <w:p w:rsidR="004C7369" w:rsidRPr="00887645" w:rsidRDefault="00820375" w:rsidP="004C7369">
            <w:pPr>
              <w:spacing w:before="20" w:after="20" w:line="240" w:lineRule="auto"/>
              <w:jc w:val="center"/>
              <w:rPr>
                <w:rFonts w:ascii="Calibri" w:hAnsi="Calibri" w:cs="Calibri"/>
                <w:b/>
                <w:color w:val="000000"/>
                <w:sz w:val="18"/>
                <w:szCs w:val="18"/>
                <w:lang w:eastAsia="en-US"/>
              </w:rPr>
            </w:pPr>
            <w:r w:rsidRPr="00887645">
              <w:rPr>
                <w:rFonts w:ascii="Calibri" w:hAnsi="Calibri" w:cs="Calibri"/>
                <w:b/>
                <w:color w:val="000000"/>
                <w:sz w:val="18"/>
                <w:szCs w:val="18"/>
                <w:lang w:eastAsia="en-US"/>
              </w:rPr>
              <w:t>36/</w:t>
            </w:r>
            <w:r w:rsidR="00121A31" w:rsidRPr="00887645">
              <w:rPr>
                <w:rFonts w:ascii="Calibri" w:hAnsi="Calibri" w:cs="Calibri"/>
                <w:b/>
                <w:color w:val="000000"/>
                <w:sz w:val="18"/>
                <w:szCs w:val="18"/>
                <w:lang w:eastAsia="en-US"/>
              </w:rPr>
              <w:t>37/39</w:t>
            </w: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eastAsia="en-US"/>
              </w:rPr>
            </w:pPr>
          </w:p>
        </w:tc>
        <w:tc>
          <w:tcPr>
            <w:tcW w:w="1217" w:type="dxa"/>
            <w:gridSpan w:val="3"/>
            <w:tcBorders>
              <w:top w:val="nil"/>
              <w:left w:val="nil"/>
              <w:bottom w:val="single" w:sz="4" w:space="0" w:color="auto"/>
              <w:right w:val="single" w:sz="4" w:space="0" w:color="auto"/>
            </w:tcBorders>
            <w:shd w:val="clear" w:color="auto" w:fill="auto"/>
            <w:noWrap/>
            <w:vAlign w:val="center"/>
          </w:tcPr>
          <w:p w:rsidR="004C7369" w:rsidRPr="00535048" w:rsidRDefault="00121A31" w:rsidP="004C7369">
            <w:pPr>
              <w:spacing w:before="20" w:after="20" w:line="240" w:lineRule="auto"/>
              <w:jc w:val="center"/>
              <w:rPr>
                <w:rFonts w:ascii="Calibri" w:hAnsi="Calibri" w:cs="Calibri"/>
                <w:b/>
                <w:color w:val="000000"/>
                <w:sz w:val="18"/>
                <w:szCs w:val="18"/>
                <w:lang w:eastAsia="en-US"/>
              </w:rPr>
            </w:pPr>
            <w:r>
              <w:rPr>
                <w:rFonts w:ascii="Calibri" w:hAnsi="Calibri" w:cs="Calibri"/>
                <w:b/>
                <w:color w:val="000000"/>
                <w:sz w:val="18"/>
                <w:szCs w:val="18"/>
                <w:lang w:eastAsia="en-US"/>
              </w:rPr>
              <w:t>51</w:t>
            </w:r>
          </w:p>
        </w:tc>
        <w:tc>
          <w:tcPr>
            <w:tcW w:w="941" w:type="dxa"/>
            <w:tcBorders>
              <w:top w:val="nil"/>
              <w:left w:val="nil"/>
              <w:bottom w:val="single" w:sz="4" w:space="0" w:color="auto"/>
              <w:right w:val="single" w:sz="4" w:space="0" w:color="auto"/>
            </w:tcBorders>
            <w:shd w:val="clear" w:color="auto" w:fill="auto"/>
            <w:noWrap/>
            <w:vAlign w:val="center"/>
          </w:tcPr>
          <w:p w:rsidR="004C7369" w:rsidRPr="00535048" w:rsidRDefault="004C7369" w:rsidP="004C7369">
            <w:pPr>
              <w:spacing w:before="20" w:after="20" w:line="240" w:lineRule="auto"/>
              <w:jc w:val="center"/>
              <w:rPr>
                <w:rFonts w:ascii="Calibri" w:hAnsi="Calibri" w:cs="Calibri"/>
                <w:b/>
                <w:color w:val="000000"/>
                <w:sz w:val="18"/>
                <w:szCs w:val="18"/>
                <w:lang w:eastAsia="en-US"/>
              </w:rPr>
            </w:pPr>
          </w:p>
        </w:tc>
      </w:tr>
      <w:tr w:rsidR="004C7369" w:rsidRPr="009E1DAB" w:rsidTr="002C0D71">
        <w:trPr>
          <w:gridAfter w:val="1"/>
          <w:wAfter w:w="17" w:type="dxa"/>
          <w:trHeight w:val="343"/>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FD4160" w:rsidRDefault="004C7369" w:rsidP="004C7369">
            <w:pPr>
              <w:spacing w:before="20" w:after="20" w:line="240" w:lineRule="auto"/>
              <w:jc w:val="left"/>
              <w:rPr>
                <w:rFonts w:cs="Arial"/>
                <w:color w:val="000000"/>
                <w:sz w:val="16"/>
                <w:szCs w:val="16"/>
                <w:lang w:eastAsia="en-US"/>
              </w:rPr>
            </w:pPr>
            <w:r w:rsidRPr="00FD4160">
              <w:rPr>
                <w:rFonts w:cs="Arial"/>
                <w:color w:val="000000"/>
                <w:sz w:val="16"/>
                <w:szCs w:val="16"/>
                <w:lang w:eastAsia="en-US"/>
              </w:rPr>
              <w:t>18.  Operação do</w:t>
            </w:r>
            <w:r w:rsidR="00FD4160" w:rsidRPr="00FD4160">
              <w:rPr>
                <w:rFonts w:cs="Arial"/>
                <w:color w:val="000000"/>
                <w:sz w:val="16"/>
                <w:szCs w:val="16"/>
                <w:lang w:eastAsia="en-US"/>
              </w:rPr>
              <w:t>s reservatórios</w:t>
            </w:r>
          </w:p>
        </w:tc>
        <w:tc>
          <w:tcPr>
            <w:tcW w:w="1049" w:type="dxa"/>
            <w:tcBorders>
              <w:top w:val="nil"/>
              <w:left w:val="nil"/>
              <w:bottom w:val="nil"/>
              <w:right w:val="nil"/>
            </w:tcBorders>
            <w:shd w:val="clear" w:color="auto" w:fill="auto"/>
            <w:noWrap/>
            <w:vAlign w:val="center"/>
          </w:tcPr>
          <w:p w:rsidR="004C7369" w:rsidRPr="00535048" w:rsidRDefault="00121A31" w:rsidP="004C7369">
            <w:pPr>
              <w:spacing w:before="20" w:after="20" w:line="240" w:lineRule="auto"/>
              <w:jc w:val="center"/>
              <w:rPr>
                <w:rFonts w:ascii="Calibri" w:hAnsi="Calibri" w:cs="Calibri"/>
                <w:b/>
                <w:color w:val="000000"/>
                <w:sz w:val="18"/>
                <w:szCs w:val="18"/>
                <w:lang w:eastAsia="en-US"/>
              </w:rPr>
            </w:pPr>
            <w:r>
              <w:rPr>
                <w:rFonts w:ascii="Calibri" w:hAnsi="Calibri" w:cs="Calibri"/>
                <w:b/>
                <w:color w:val="000000"/>
                <w:sz w:val="18"/>
                <w:szCs w:val="18"/>
                <w:lang w:eastAsia="en-US"/>
              </w:rPr>
              <w:t>1</w:t>
            </w:r>
            <w:r w:rsidR="00EB1906">
              <w:rPr>
                <w:rFonts w:ascii="Calibri" w:hAnsi="Calibri" w:cs="Calibri"/>
                <w:b/>
                <w:color w:val="000000"/>
                <w:sz w:val="18"/>
                <w:szCs w:val="18"/>
                <w:lang w:eastAsia="en-US"/>
              </w:rPr>
              <w:t>/4</w:t>
            </w:r>
          </w:p>
        </w:tc>
        <w:tc>
          <w:tcPr>
            <w:tcW w:w="1069" w:type="dxa"/>
            <w:tcBorders>
              <w:top w:val="nil"/>
              <w:left w:val="single" w:sz="4" w:space="0" w:color="auto"/>
              <w:bottom w:val="single" w:sz="4" w:space="0" w:color="auto"/>
              <w:right w:val="single" w:sz="4" w:space="0" w:color="auto"/>
            </w:tcBorders>
            <w:shd w:val="clear" w:color="auto" w:fill="auto"/>
            <w:noWrap/>
            <w:vAlign w:val="center"/>
          </w:tcPr>
          <w:p w:rsidR="00204CBF" w:rsidRPr="00887645" w:rsidRDefault="00121A31" w:rsidP="004C7369">
            <w:pPr>
              <w:spacing w:before="20" w:after="20"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5/</w:t>
            </w:r>
            <w:r w:rsidR="00EB1906" w:rsidRPr="00887645">
              <w:rPr>
                <w:rFonts w:ascii="Calibri" w:hAnsi="Calibri" w:cs="Calibri"/>
                <w:b/>
                <w:color w:val="000000"/>
                <w:sz w:val="18"/>
                <w:szCs w:val="18"/>
                <w:lang w:val="en-US" w:eastAsia="en-US"/>
              </w:rPr>
              <w:t>6/</w:t>
            </w:r>
            <w:r w:rsidRPr="00887645">
              <w:rPr>
                <w:rFonts w:ascii="Calibri" w:hAnsi="Calibri" w:cs="Calibri"/>
                <w:b/>
                <w:color w:val="000000"/>
                <w:sz w:val="18"/>
                <w:szCs w:val="18"/>
                <w:lang w:val="en-US" w:eastAsia="en-US"/>
              </w:rPr>
              <w:t>7/</w:t>
            </w:r>
            <w:r w:rsidR="00D2668F" w:rsidRPr="00887645">
              <w:rPr>
                <w:rFonts w:ascii="Calibri" w:hAnsi="Calibri" w:cs="Calibri"/>
                <w:b/>
                <w:color w:val="000000"/>
                <w:sz w:val="18"/>
                <w:szCs w:val="18"/>
                <w:lang w:val="en-US" w:eastAsia="en-US"/>
              </w:rPr>
              <w:t>8/</w:t>
            </w:r>
            <w:r w:rsidR="00EB1906" w:rsidRPr="00887645">
              <w:rPr>
                <w:rFonts w:ascii="Calibri" w:hAnsi="Calibri" w:cs="Calibri"/>
                <w:b/>
                <w:color w:val="000000"/>
                <w:sz w:val="18"/>
                <w:szCs w:val="18"/>
                <w:lang w:val="en-US" w:eastAsia="en-US"/>
              </w:rPr>
              <w:t>9/</w:t>
            </w:r>
          </w:p>
          <w:p w:rsidR="004C7369" w:rsidRPr="00887645" w:rsidRDefault="00121A31" w:rsidP="004C7369">
            <w:pPr>
              <w:spacing w:before="20" w:after="20"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55</w:t>
            </w: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916" w:type="dxa"/>
            <w:tcBorders>
              <w:top w:val="single" w:sz="4" w:space="0" w:color="auto"/>
              <w:left w:val="nil"/>
              <w:bottom w:val="single" w:sz="4" w:space="0" w:color="auto"/>
              <w:right w:val="single" w:sz="4" w:space="0" w:color="auto"/>
            </w:tcBorders>
            <w:vAlign w:val="center"/>
          </w:tcPr>
          <w:p w:rsidR="004C7369" w:rsidRPr="00887645" w:rsidRDefault="00BE0261" w:rsidP="00BE0261">
            <w:pPr>
              <w:spacing w:before="20" w:after="20"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13/</w:t>
            </w:r>
            <w:r w:rsidR="00EB1906" w:rsidRPr="00887645">
              <w:rPr>
                <w:rFonts w:ascii="Calibri" w:hAnsi="Calibri" w:cs="Calibri"/>
                <w:b/>
                <w:color w:val="000000"/>
                <w:sz w:val="18"/>
                <w:szCs w:val="18"/>
                <w:lang w:val="en-US" w:eastAsia="en-US"/>
              </w:rPr>
              <w:t>15</w:t>
            </w:r>
          </w:p>
        </w:tc>
        <w:tc>
          <w:tcPr>
            <w:tcW w:w="1049" w:type="dxa"/>
            <w:gridSpan w:val="2"/>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1174"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1220" w:type="dxa"/>
            <w:gridSpan w:val="3"/>
            <w:tcBorders>
              <w:top w:val="nil"/>
              <w:left w:val="nil"/>
              <w:bottom w:val="single" w:sz="4" w:space="0" w:color="auto"/>
              <w:right w:val="single" w:sz="4" w:space="0" w:color="auto"/>
            </w:tcBorders>
            <w:shd w:val="clear" w:color="auto" w:fill="auto"/>
            <w:noWrap/>
            <w:vAlign w:val="center"/>
          </w:tcPr>
          <w:p w:rsidR="00EB1906" w:rsidRPr="00887645" w:rsidRDefault="007F05CF" w:rsidP="004C7369">
            <w:pPr>
              <w:spacing w:before="20" w:after="20" w:line="240" w:lineRule="auto"/>
              <w:jc w:val="center"/>
              <w:rPr>
                <w:rFonts w:ascii="Calibri" w:hAnsi="Calibri" w:cs="Calibri"/>
                <w:b/>
                <w:color w:val="000000"/>
                <w:sz w:val="18"/>
                <w:szCs w:val="18"/>
                <w:lang w:val="en-US" w:eastAsia="en-US"/>
              </w:rPr>
            </w:pPr>
            <w:r w:rsidRPr="00887645">
              <w:rPr>
                <w:rFonts w:ascii="Calibri" w:hAnsi="Calibri" w:cs="Calibri"/>
                <w:b/>
                <w:sz w:val="18"/>
                <w:szCs w:val="18"/>
                <w:lang w:val="en-US" w:eastAsia="en-US"/>
              </w:rPr>
              <w:t>27/</w:t>
            </w:r>
            <w:r w:rsidR="00EB1906" w:rsidRPr="00887645">
              <w:rPr>
                <w:rFonts w:ascii="Calibri" w:hAnsi="Calibri" w:cs="Calibri"/>
                <w:b/>
                <w:color w:val="000000"/>
                <w:sz w:val="18"/>
                <w:szCs w:val="18"/>
                <w:lang w:val="en-US" w:eastAsia="en-US"/>
              </w:rPr>
              <w:t>28/29/30</w:t>
            </w:r>
          </w:p>
          <w:p w:rsidR="004C7369" w:rsidRPr="00887645" w:rsidRDefault="00EB1906" w:rsidP="004C7369">
            <w:pPr>
              <w:spacing w:before="20" w:after="20"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31/33/35</w:t>
            </w:r>
          </w:p>
        </w:tc>
        <w:tc>
          <w:tcPr>
            <w:tcW w:w="1090" w:type="dxa"/>
            <w:gridSpan w:val="4"/>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1320" w:type="dxa"/>
            <w:tcBorders>
              <w:top w:val="nil"/>
              <w:left w:val="nil"/>
              <w:bottom w:val="single" w:sz="4" w:space="0" w:color="auto"/>
              <w:right w:val="single" w:sz="4" w:space="0" w:color="auto"/>
            </w:tcBorders>
            <w:shd w:val="clear" w:color="auto" w:fill="auto"/>
            <w:noWrap/>
            <w:vAlign w:val="center"/>
          </w:tcPr>
          <w:p w:rsidR="004C7369" w:rsidRPr="00887645" w:rsidRDefault="002E4A2D" w:rsidP="004C7369">
            <w:pPr>
              <w:spacing w:before="20" w:after="20"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36/37/38</w:t>
            </w: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1217" w:type="dxa"/>
            <w:gridSpan w:val="3"/>
            <w:tcBorders>
              <w:top w:val="nil"/>
              <w:left w:val="nil"/>
              <w:bottom w:val="single" w:sz="4" w:space="0" w:color="auto"/>
              <w:right w:val="single" w:sz="4" w:space="0" w:color="auto"/>
            </w:tcBorders>
            <w:shd w:val="clear" w:color="auto" w:fill="auto"/>
            <w:noWrap/>
            <w:vAlign w:val="center"/>
          </w:tcPr>
          <w:p w:rsidR="004C7369" w:rsidRPr="00535048" w:rsidRDefault="002E4A2D" w:rsidP="004C7369">
            <w:pPr>
              <w:spacing w:before="20" w:after="20"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39/41/</w:t>
            </w:r>
            <w:r w:rsidR="00121A31">
              <w:rPr>
                <w:rFonts w:ascii="Calibri" w:hAnsi="Calibri" w:cs="Calibri"/>
                <w:b/>
                <w:color w:val="000000"/>
                <w:sz w:val="18"/>
                <w:szCs w:val="18"/>
                <w:lang w:val="en-US" w:eastAsia="en-US"/>
              </w:rPr>
              <w:t>53</w:t>
            </w:r>
          </w:p>
        </w:tc>
        <w:tc>
          <w:tcPr>
            <w:tcW w:w="941" w:type="dxa"/>
            <w:tcBorders>
              <w:top w:val="nil"/>
              <w:left w:val="nil"/>
              <w:bottom w:val="single" w:sz="4" w:space="0" w:color="auto"/>
              <w:right w:val="single" w:sz="4" w:space="0" w:color="auto"/>
            </w:tcBorders>
            <w:shd w:val="clear" w:color="auto" w:fill="auto"/>
            <w:noWrap/>
            <w:vAlign w:val="center"/>
          </w:tcPr>
          <w:p w:rsidR="004C7369" w:rsidRPr="00535048" w:rsidRDefault="004C7369" w:rsidP="004C7369">
            <w:pPr>
              <w:spacing w:before="20" w:after="20" w:line="240" w:lineRule="auto"/>
              <w:jc w:val="center"/>
              <w:rPr>
                <w:rFonts w:ascii="Calibri" w:hAnsi="Calibri" w:cs="Calibri"/>
                <w:b/>
                <w:color w:val="000000"/>
                <w:sz w:val="18"/>
                <w:szCs w:val="18"/>
                <w:lang w:val="en-US" w:eastAsia="en-US"/>
              </w:rPr>
            </w:pPr>
          </w:p>
        </w:tc>
      </w:tr>
      <w:tr w:rsidR="004C7369" w:rsidRPr="009E1DAB" w:rsidTr="002C0D71">
        <w:trPr>
          <w:gridAfter w:val="1"/>
          <w:wAfter w:w="17" w:type="dxa"/>
          <w:trHeight w:val="393"/>
        </w:trPr>
        <w:tc>
          <w:tcPr>
            <w:tcW w:w="7409" w:type="dxa"/>
            <w:gridSpan w:val="2"/>
            <w:tcBorders>
              <w:top w:val="nil"/>
              <w:left w:val="single" w:sz="4" w:space="0" w:color="auto"/>
              <w:bottom w:val="single" w:sz="4" w:space="0" w:color="auto"/>
              <w:right w:val="single" w:sz="4" w:space="0" w:color="auto"/>
            </w:tcBorders>
            <w:shd w:val="clear" w:color="auto" w:fill="auto"/>
            <w:noWrap/>
            <w:vAlign w:val="center"/>
            <w:hideMark/>
          </w:tcPr>
          <w:p w:rsidR="004C7369" w:rsidRPr="002D52CA" w:rsidRDefault="004C7369" w:rsidP="004C7369">
            <w:pPr>
              <w:spacing w:before="20" w:after="20" w:line="240" w:lineRule="auto"/>
              <w:jc w:val="left"/>
              <w:rPr>
                <w:rFonts w:cs="Arial"/>
                <w:color w:val="000000"/>
                <w:sz w:val="16"/>
                <w:szCs w:val="16"/>
                <w:lang w:eastAsia="en-US"/>
              </w:rPr>
            </w:pPr>
            <w:r w:rsidRPr="002D52CA">
              <w:rPr>
                <w:rFonts w:cs="Arial"/>
                <w:color w:val="000000"/>
                <w:sz w:val="16"/>
                <w:szCs w:val="16"/>
                <w:lang w:eastAsia="en-US"/>
              </w:rPr>
              <w:t>19.  Geração de Energia (Potencial)</w:t>
            </w:r>
            <w:r w:rsidRPr="002D52CA" w:rsidDel="00983C5E">
              <w:rPr>
                <w:rFonts w:cs="Arial"/>
                <w:color w:val="000000"/>
                <w:sz w:val="16"/>
                <w:szCs w:val="16"/>
                <w:lang w:eastAsia="en-US"/>
              </w:rPr>
              <w:t xml:space="preserve"> </w:t>
            </w:r>
          </w:p>
        </w:tc>
        <w:tc>
          <w:tcPr>
            <w:tcW w:w="1049" w:type="dxa"/>
            <w:tcBorders>
              <w:top w:val="single" w:sz="4" w:space="0" w:color="auto"/>
              <w:left w:val="nil"/>
              <w:bottom w:val="single" w:sz="4" w:space="0" w:color="auto"/>
              <w:right w:val="single" w:sz="4" w:space="0" w:color="auto"/>
            </w:tcBorders>
            <w:shd w:val="clear" w:color="auto" w:fill="auto"/>
            <w:noWrap/>
            <w:vAlign w:val="center"/>
          </w:tcPr>
          <w:p w:rsidR="004C7369" w:rsidRPr="00535048" w:rsidRDefault="004C7369" w:rsidP="004C7369">
            <w:pPr>
              <w:spacing w:before="20" w:after="20" w:line="240" w:lineRule="auto"/>
              <w:jc w:val="center"/>
              <w:rPr>
                <w:rFonts w:ascii="Calibri" w:hAnsi="Calibri" w:cs="Calibri"/>
                <w:b/>
                <w:color w:val="000000"/>
                <w:sz w:val="18"/>
                <w:szCs w:val="18"/>
                <w:lang w:val="en-US" w:eastAsia="en-US"/>
              </w:rPr>
            </w:pPr>
          </w:p>
        </w:tc>
        <w:tc>
          <w:tcPr>
            <w:tcW w:w="1069" w:type="dxa"/>
            <w:tcBorders>
              <w:top w:val="nil"/>
              <w:left w:val="nil"/>
              <w:bottom w:val="single" w:sz="4" w:space="0" w:color="auto"/>
              <w:right w:val="single" w:sz="4" w:space="0" w:color="auto"/>
            </w:tcBorders>
            <w:shd w:val="clear" w:color="auto" w:fill="auto"/>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916" w:type="dxa"/>
            <w:tcBorders>
              <w:top w:val="single" w:sz="4" w:space="0" w:color="auto"/>
              <w:left w:val="nil"/>
              <w:bottom w:val="single" w:sz="4" w:space="0" w:color="auto"/>
              <w:right w:val="single" w:sz="4" w:space="0" w:color="auto"/>
            </w:tcBorders>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1049" w:type="dxa"/>
            <w:gridSpan w:val="2"/>
            <w:tcBorders>
              <w:top w:val="nil"/>
              <w:left w:val="single" w:sz="4" w:space="0" w:color="auto"/>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1049"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1174"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1220" w:type="dxa"/>
            <w:gridSpan w:val="3"/>
            <w:tcBorders>
              <w:top w:val="nil"/>
              <w:left w:val="nil"/>
              <w:bottom w:val="single" w:sz="4" w:space="0" w:color="auto"/>
              <w:right w:val="single" w:sz="4" w:space="0" w:color="auto"/>
            </w:tcBorders>
            <w:shd w:val="clear" w:color="auto" w:fill="auto"/>
            <w:vAlign w:val="center"/>
          </w:tcPr>
          <w:p w:rsidR="004C7369" w:rsidRPr="00887645" w:rsidRDefault="004C7369" w:rsidP="004C7369">
            <w:pPr>
              <w:spacing w:before="20" w:after="20" w:line="240" w:lineRule="auto"/>
              <w:jc w:val="center"/>
              <w:rPr>
                <w:rFonts w:ascii="Calibri" w:hAnsi="Calibri" w:cs="Calibri"/>
                <w:b/>
                <w:sz w:val="18"/>
                <w:szCs w:val="18"/>
                <w:lang w:val="en-US" w:eastAsia="en-US"/>
              </w:rPr>
            </w:pPr>
          </w:p>
        </w:tc>
        <w:tc>
          <w:tcPr>
            <w:tcW w:w="1090" w:type="dxa"/>
            <w:gridSpan w:val="4"/>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1320" w:type="dxa"/>
            <w:tcBorders>
              <w:top w:val="nil"/>
              <w:left w:val="nil"/>
              <w:bottom w:val="single" w:sz="4" w:space="0" w:color="auto"/>
              <w:right w:val="single" w:sz="4" w:space="0" w:color="auto"/>
            </w:tcBorders>
            <w:shd w:val="clear" w:color="auto" w:fill="auto"/>
            <w:noWrap/>
            <w:vAlign w:val="center"/>
          </w:tcPr>
          <w:p w:rsidR="004C7369" w:rsidRPr="00887645" w:rsidRDefault="002E4A2D" w:rsidP="00820375">
            <w:pPr>
              <w:spacing w:before="20" w:after="20" w:line="240" w:lineRule="auto"/>
              <w:jc w:val="center"/>
              <w:rPr>
                <w:rFonts w:ascii="Calibri" w:hAnsi="Calibri" w:cs="Calibri"/>
                <w:b/>
                <w:color w:val="000000"/>
                <w:sz w:val="18"/>
                <w:szCs w:val="18"/>
                <w:lang w:val="en-US" w:eastAsia="en-US"/>
              </w:rPr>
            </w:pPr>
            <w:r w:rsidRPr="00887645">
              <w:rPr>
                <w:rFonts w:ascii="Calibri" w:hAnsi="Calibri" w:cs="Calibri"/>
                <w:b/>
                <w:color w:val="000000"/>
                <w:sz w:val="18"/>
                <w:szCs w:val="18"/>
                <w:lang w:val="en-US" w:eastAsia="en-US"/>
              </w:rPr>
              <w:t>37</w:t>
            </w:r>
          </w:p>
        </w:tc>
        <w:tc>
          <w:tcPr>
            <w:tcW w:w="992" w:type="dxa"/>
            <w:tcBorders>
              <w:top w:val="nil"/>
              <w:left w:val="nil"/>
              <w:bottom w:val="single" w:sz="4" w:space="0" w:color="auto"/>
              <w:right w:val="single" w:sz="4" w:space="0" w:color="auto"/>
            </w:tcBorders>
            <w:shd w:val="clear" w:color="auto" w:fill="auto"/>
            <w:noWrap/>
            <w:vAlign w:val="center"/>
          </w:tcPr>
          <w:p w:rsidR="004C7369" w:rsidRPr="00887645" w:rsidRDefault="004C7369" w:rsidP="004C7369">
            <w:pPr>
              <w:spacing w:before="20" w:after="20" w:line="240" w:lineRule="auto"/>
              <w:jc w:val="center"/>
              <w:rPr>
                <w:rFonts w:ascii="Calibri" w:hAnsi="Calibri" w:cs="Calibri"/>
                <w:b/>
                <w:color w:val="000000"/>
                <w:sz w:val="18"/>
                <w:szCs w:val="18"/>
                <w:lang w:val="en-US" w:eastAsia="en-US"/>
              </w:rPr>
            </w:pPr>
          </w:p>
        </w:tc>
        <w:tc>
          <w:tcPr>
            <w:tcW w:w="1217" w:type="dxa"/>
            <w:gridSpan w:val="3"/>
            <w:tcBorders>
              <w:top w:val="nil"/>
              <w:left w:val="nil"/>
              <w:bottom w:val="single" w:sz="4" w:space="0" w:color="auto"/>
              <w:right w:val="single" w:sz="4" w:space="0" w:color="auto"/>
            </w:tcBorders>
            <w:shd w:val="clear" w:color="auto" w:fill="auto"/>
            <w:noWrap/>
            <w:vAlign w:val="center"/>
          </w:tcPr>
          <w:p w:rsidR="004C7369" w:rsidRPr="00535048" w:rsidRDefault="002E4A2D" w:rsidP="004C7369">
            <w:pPr>
              <w:spacing w:before="20" w:after="20" w:line="240" w:lineRule="auto"/>
              <w:jc w:val="center"/>
              <w:rPr>
                <w:rFonts w:ascii="Calibri" w:hAnsi="Calibri" w:cs="Calibri"/>
                <w:b/>
                <w:color w:val="000000"/>
                <w:sz w:val="18"/>
                <w:szCs w:val="18"/>
                <w:lang w:val="en-US" w:eastAsia="en-US"/>
              </w:rPr>
            </w:pPr>
            <w:r>
              <w:rPr>
                <w:rFonts w:ascii="Calibri" w:hAnsi="Calibri" w:cs="Calibri"/>
                <w:b/>
                <w:color w:val="000000"/>
                <w:sz w:val="18"/>
                <w:szCs w:val="18"/>
                <w:lang w:val="en-US" w:eastAsia="en-US"/>
              </w:rPr>
              <w:t>39/52/53</w:t>
            </w:r>
          </w:p>
        </w:tc>
        <w:tc>
          <w:tcPr>
            <w:tcW w:w="941" w:type="dxa"/>
            <w:tcBorders>
              <w:top w:val="nil"/>
              <w:left w:val="nil"/>
              <w:bottom w:val="single" w:sz="4" w:space="0" w:color="auto"/>
              <w:right w:val="single" w:sz="4" w:space="0" w:color="auto"/>
            </w:tcBorders>
            <w:shd w:val="clear" w:color="auto" w:fill="auto"/>
            <w:noWrap/>
            <w:vAlign w:val="center"/>
          </w:tcPr>
          <w:p w:rsidR="004C7369" w:rsidRPr="00535048" w:rsidRDefault="004C7369" w:rsidP="004C7369">
            <w:pPr>
              <w:spacing w:before="20" w:after="20" w:line="240" w:lineRule="auto"/>
              <w:jc w:val="center"/>
              <w:rPr>
                <w:rFonts w:ascii="Calibri" w:hAnsi="Calibri" w:cs="Calibri"/>
                <w:b/>
                <w:color w:val="000000"/>
                <w:sz w:val="18"/>
                <w:szCs w:val="18"/>
                <w:lang w:val="en-US" w:eastAsia="en-US"/>
              </w:rPr>
            </w:pPr>
          </w:p>
        </w:tc>
      </w:tr>
    </w:tbl>
    <w:p w:rsidR="0092000C" w:rsidRDefault="0092000C" w:rsidP="0092000C">
      <w:pPr>
        <w:pStyle w:val="Legenda"/>
        <w:keepNext/>
        <w:spacing w:before="0" w:after="0" w:line="240" w:lineRule="auto"/>
        <w:jc w:val="center"/>
      </w:pPr>
      <w:bookmarkStart w:id="93" w:name="_Toc420316440"/>
      <w:r w:rsidRPr="0092000C">
        <w:rPr>
          <w:i w:val="0"/>
        </w:rPr>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1.2</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3</w:t>
      </w:r>
      <w:r w:rsidR="00B80A05">
        <w:rPr>
          <w:i w:val="0"/>
        </w:rPr>
        <w:fldChar w:fldCharType="end"/>
      </w:r>
      <w:r w:rsidRPr="0092000C">
        <w:rPr>
          <w:i w:val="0"/>
        </w:rPr>
        <w:t>.</w:t>
      </w:r>
      <w:r w:rsidRPr="0092000C">
        <w:rPr>
          <w:b w:val="0"/>
          <w:i w:val="0"/>
        </w:rPr>
        <w:t xml:space="preserve"> - </w:t>
      </w:r>
      <w:r w:rsidR="009E1DAB" w:rsidRPr="0092000C">
        <w:rPr>
          <w:rFonts w:cs="Arial"/>
          <w:b w:val="0"/>
          <w:bCs/>
          <w:i w:val="0"/>
          <w:szCs w:val="22"/>
        </w:rPr>
        <w:t xml:space="preserve">Matriz de Interação dos Impactos: Barragem Pedreira/Rio Jaguari e Barragem Duas Pontes/Rio Camanducaia </w:t>
      </w:r>
      <w:r w:rsidR="002B1E92" w:rsidRPr="0092000C">
        <w:rPr>
          <w:rFonts w:cs="Arial"/>
          <w:b w:val="0"/>
          <w:bCs/>
          <w:i w:val="0"/>
          <w:szCs w:val="22"/>
        </w:rPr>
        <w:t>– (de acordo com a numeração do impacto do</w:t>
      </w:r>
      <w:r w:rsidR="009E1DAB" w:rsidRPr="0092000C">
        <w:rPr>
          <w:rFonts w:cs="Arial"/>
          <w:b w:val="0"/>
          <w:bCs/>
          <w:i w:val="0"/>
          <w:szCs w:val="22"/>
        </w:rPr>
        <w:t xml:space="preserve"> Quadro 1.2.4</w:t>
      </w:r>
      <w:r w:rsidR="002B1E92" w:rsidRPr="0092000C">
        <w:rPr>
          <w:rFonts w:cs="Arial"/>
          <w:b w:val="0"/>
          <w:bCs/>
          <w:i w:val="0"/>
          <w:szCs w:val="22"/>
        </w:rPr>
        <w:t>)</w:t>
      </w:r>
      <w:bookmarkEnd w:id="93"/>
      <w:r w:rsidR="009E1DAB" w:rsidRPr="0092000C">
        <w:rPr>
          <w:rFonts w:cs="Arial"/>
          <w:b w:val="0"/>
          <w:bCs/>
          <w:i w:val="0"/>
          <w:szCs w:val="22"/>
        </w:rPr>
        <w:t xml:space="preserve"> </w:t>
      </w:r>
      <w:r w:rsidR="009E1DAB" w:rsidRPr="0092000C">
        <w:rPr>
          <w:rFonts w:cs="Arial"/>
          <w:b w:val="0"/>
          <w:bCs/>
          <w:i w:val="0"/>
          <w:szCs w:val="22"/>
        </w:rPr>
        <w:br w:type="page"/>
      </w:r>
    </w:p>
    <w:p w:rsidR="009E1DAB" w:rsidRPr="0092000C" w:rsidRDefault="0092000C" w:rsidP="0092000C">
      <w:pPr>
        <w:pStyle w:val="Legenda"/>
        <w:jc w:val="center"/>
        <w:rPr>
          <w:rFonts w:cs="Arial"/>
          <w:b w:val="0"/>
          <w:bCs/>
          <w:i w:val="0"/>
          <w:szCs w:val="22"/>
        </w:rPr>
      </w:pPr>
      <w:bookmarkStart w:id="94" w:name="_Toc420316441"/>
      <w:r w:rsidRPr="0092000C">
        <w:rPr>
          <w:i w:val="0"/>
        </w:rPr>
        <w:lastRenderedPageBreak/>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1.2</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4</w:t>
      </w:r>
      <w:r w:rsidR="00B80A05">
        <w:rPr>
          <w:i w:val="0"/>
        </w:rPr>
        <w:fldChar w:fldCharType="end"/>
      </w:r>
      <w:r w:rsidRPr="0092000C">
        <w:rPr>
          <w:i w:val="0"/>
        </w:rPr>
        <w:t>.</w:t>
      </w:r>
      <w:r w:rsidRPr="0092000C">
        <w:rPr>
          <w:b w:val="0"/>
          <w:i w:val="0"/>
        </w:rPr>
        <w:t xml:space="preserve"> - </w:t>
      </w:r>
      <w:r w:rsidR="009E1DAB" w:rsidRPr="0092000C">
        <w:rPr>
          <w:rFonts w:cs="Arial"/>
          <w:b w:val="0"/>
          <w:bCs/>
          <w:i w:val="0"/>
          <w:szCs w:val="22"/>
        </w:rPr>
        <w:t>Listagem Impactos Barragem Pedreira e Barragem Duas Pontes</w:t>
      </w:r>
      <w:bookmarkEnd w:id="94"/>
      <w:r w:rsidR="009E1DAB" w:rsidRPr="0092000C">
        <w:rPr>
          <w:rFonts w:cs="Arial"/>
          <w:b w:val="0"/>
          <w:bCs/>
          <w:i w:val="0"/>
          <w:szCs w:val="22"/>
        </w:rPr>
        <w:t xml:space="preserve"> </w:t>
      </w:r>
    </w:p>
    <w:tbl>
      <w:tblPr>
        <w:tblW w:w="20464" w:type="dxa"/>
        <w:jc w:val="center"/>
        <w:tblInd w:w="4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31"/>
        <w:gridCol w:w="6095"/>
        <w:gridCol w:w="7538"/>
      </w:tblGrid>
      <w:tr w:rsidR="009E1DAB" w:rsidRPr="00621697" w:rsidTr="00621697">
        <w:trPr>
          <w:trHeight w:val="297"/>
          <w:jc w:val="center"/>
        </w:trPr>
        <w:tc>
          <w:tcPr>
            <w:tcW w:w="20464" w:type="dxa"/>
            <w:gridSpan w:val="3"/>
            <w:shd w:val="clear" w:color="auto" w:fill="D9D9D9" w:themeFill="background1" w:themeFillShade="D9"/>
            <w:noWrap/>
            <w:vAlign w:val="center"/>
            <w:hideMark/>
          </w:tcPr>
          <w:p w:rsidR="009E1DAB" w:rsidRPr="00621697" w:rsidRDefault="009E1DAB" w:rsidP="00094EB3">
            <w:pPr>
              <w:spacing w:before="120" w:after="60" w:line="240" w:lineRule="auto"/>
              <w:jc w:val="center"/>
              <w:rPr>
                <w:rFonts w:cs="Arial"/>
                <w:b/>
                <w:szCs w:val="22"/>
              </w:rPr>
            </w:pPr>
            <w:r w:rsidRPr="00621697">
              <w:rPr>
                <w:rFonts w:cs="Arial"/>
                <w:b/>
                <w:szCs w:val="22"/>
              </w:rPr>
              <w:t xml:space="preserve">IMPACTOS </w:t>
            </w:r>
            <w:r w:rsidR="00094EB3" w:rsidRPr="00621697">
              <w:rPr>
                <w:rFonts w:cs="Arial"/>
                <w:b/>
                <w:szCs w:val="22"/>
              </w:rPr>
              <w:t xml:space="preserve">BARRAGENS </w:t>
            </w:r>
            <w:r w:rsidRPr="00621697">
              <w:rPr>
                <w:rFonts w:cs="Arial"/>
                <w:b/>
                <w:szCs w:val="22"/>
              </w:rPr>
              <w:t>PEDREIRA E DUAS PONTES</w:t>
            </w:r>
          </w:p>
        </w:tc>
      </w:tr>
      <w:tr w:rsidR="00D91A38" w:rsidRPr="00621697" w:rsidTr="00621697">
        <w:trPr>
          <w:trHeight w:val="297"/>
          <w:jc w:val="center"/>
        </w:trPr>
        <w:tc>
          <w:tcPr>
            <w:tcW w:w="6831" w:type="dxa"/>
            <w:shd w:val="clear" w:color="auto" w:fill="D9D9D9" w:themeFill="background1" w:themeFillShade="D9"/>
            <w:noWrap/>
            <w:vAlign w:val="center"/>
            <w:hideMark/>
          </w:tcPr>
          <w:p w:rsidR="00D91A38" w:rsidRPr="00621697" w:rsidRDefault="00D91A38" w:rsidP="00094EB3">
            <w:pPr>
              <w:spacing w:before="120" w:after="60" w:line="240" w:lineRule="auto"/>
              <w:jc w:val="center"/>
              <w:rPr>
                <w:rFonts w:cs="Arial"/>
                <w:b/>
                <w:sz w:val="20"/>
              </w:rPr>
            </w:pPr>
            <w:r w:rsidRPr="00621697">
              <w:rPr>
                <w:rFonts w:cs="Arial"/>
                <w:b/>
                <w:sz w:val="20"/>
              </w:rPr>
              <w:t>Meio Físico</w:t>
            </w:r>
          </w:p>
        </w:tc>
        <w:tc>
          <w:tcPr>
            <w:tcW w:w="6095" w:type="dxa"/>
            <w:shd w:val="clear" w:color="auto" w:fill="D9D9D9" w:themeFill="background1" w:themeFillShade="D9"/>
            <w:vAlign w:val="center"/>
          </w:tcPr>
          <w:p w:rsidR="00D91A38" w:rsidRPr="00621697" w:rsidRDefault="00D91A38" w:rsidP="00094EB3">
            <w:pPr>
              <w:spacing w:before="120" w:after="60" w:line="240" w:lineRule="auto"/>
              <w:jc w:val="center"/>
              <w:rPr>
                <w:rFonts w:cs="Arial"/>
                <w:b/>
                <w:sz w:val="20"/>
              </w:rPr>
            </w:pPr>
            <w:r w:rsidRPr="00621697">
              <w:rPr>
                <w:rFonts w:cs="Arial"/>
                <w:b/>
                <w:sz w:val="20"/>
              </w:rPr>
              <w:t>Meio Biótico</w:t>
            </w:r>
          </w:p>
        </w:tc>
        <w:tc>
          <w:tcPr>
            <w:tcW w:w="7538" w:type="dxa"/>
            <w:shd w:val="clear" w:color="auto" w:fill="D9D9D9" w:themeFill="background1" w:themeFillShade="D9"/>
            <w:vAlign w:val="center"/>
          </w:tcPr>
          <w:p w:rsidR="00D91A38" w:rsidRPr="00621697" w:rsidRDefault="00D91A38" w:rsidP="00094EB3">
            <w:pPr>
              <w:spacing w:before="120" w:after="60" w:line="240" w:lineRule="auto"/>
              <w:jc w:val="center"/>
              <w:rPr>
                <w:rFonts w:cs="Arial"/>
                <w:b/>
                <w:sz w:val="20"/>
              </w:rPr>
            </w:pPr>
            <w:r w:rsidRPr="00621697">
              <w:rPr>
                <w:rFonts w:cs="Arial"/>
                <w:b/>
                <w:sz w:val="20"/>
              </w:rPr>
              <w:t>Meio Socioeconômico</w:t>
            </w:r>
          </w:p>
        </w:tc>
      </w:tr>
      <w:tr w:rsidR="00077884" w:rsidRPr="00621697" w:rsidTr="00621697">
        <w:trPr>
          <w:trHeight w:val="488"/>
          <w:jc w:val="center"/>
        </w:trPr>
        <w:tc>
          <w:tcPr>
            <w:tcW w:w="6831" w:type="dxa"/>
            <w:shd w:val="clear" w:color="auto" w:fill="auto"/>
            <w:noWrap/>
            <w:vAlign w:val="center"/>
            <w:hideMark/>
          </w:tcPr>
          <w:p w:rsidR="00077884" w:rsidRPr="00621697" w:rsidRDefault="00077884" w:rsidP="00094EB3">
            <w:pPr>
              <w:tabs>
                <w:tab w:val="left" w:pos="3551"/>
              </w:tabs>
              <w:spacing w:line="240" w:lineRule="auto"/>
              <w:jc w:val="left"/>
              <w:rPr>
                <w:rFonts w:cs="Arial"/>
                <w:sz w:val="20"/>
              </w:rPr>
            </w:pPr>
            <w:r w:rsidRPr="00621697">
              <w:rPr>
                <w:rFonts w:cs="Arial"/>
                <w:sz w:val="20"/>
              </w:rPr>
              <w:t>1. Alteração no Microclima no entorno dos reservatórios</w:t>
            </w:r>
          </w:p>
        </w:tc>
        <w:tc>
          <w:tcPr>
            <w:tcW w:w="6095" w:type="dxa"/>
            <w:shd w:val="clear" w:color="auto" w:fill="auto"/>
            <w:noWrap/>
            <w:vAlign w:val="center"/>
          </w:tcPr>
          <w:p w:rsidR="00077884" w:rsidRPr="00621697" w:rsidRDefault="00077884" w:rsidP="00094EB3">
            <w:pPr>
              <w:spacing w:line="240" w:lineRule="auto"/>
              <w:jc w:val="left"/>
              <w:rPr>
                <w:rFonts w:cs="Arial"/>
                <w:sz w:val="20"/>
              </w:rPr>
            </w:pPr>
            <w:r w:rsidRPr="00621697">
              <w:rPr>
                <w:rFonts w:cs="Arial"/>
                <w:sz w:val="20"/>
              </w:rPr>
              <w:t>20. Perda de Cobertura Vegetal Nativa</w:t>
            </w:r>
          </w:p>
        </w:tc>
        <w:tc>
          <w:tcPr>
            <w:tcW w:w="7538" w:type="dxa"/>
            <w:shd w:val="clear" w:color="auto" w:fill="auto"/>
            <w:noWrap/>
            <w:vAlign w:val="center"/>
            <w:hideMark/>
          </w:tcPr>
          <w:p w:rsidR="00077884" w:rsidRPr="00621697" w:rsidRDefault="00077884" w:rsidP="00D2327B">
            <w:pPr>
              <w:spacing w:line="240" w:lineRule="auto"/>
              <w:jc w:val="left"/>
              <w:rPr>
                <w:rFonts w:cs="Arial"/>
                <w:sz w:val="20"/>
              </w:rPr>
            </w:pPr>
            <w:r w:rsidRPr="00621697">
              <w:rPr>
                <w:rFonts w:cs="Arial"/>
                <w:sz w:val="20"/>
              </w:rPr>
              <w:t>3</w:t>
            </w:r>
            <w:r w:rsidR="00D2327B" w:rsidRPr="00621697">
              <w:rPr>
                <w:rFonts w:cs="Arial"/>
                <w:sz w:val="20"/>
              </w:rPr>
              <w:t>6</w:t>
            </w:r>
            <w:r w:rsidRPr="00621697">
              <w:rPr>
                <w:rFonts w:cs="Arial"/>
                <w:sz w:val="20"/>
              </w:rPr>
              <w:t>. Compatibilização com a Legislação e Políticas, Planos e Projetos Existentes</w:t>
            </w:r>
            <w:r w:rsidR="00833161">
              <w:rPr>
                <w:rFonts w:cs="Arial"/>
                <w:sz w:val="20"/>
              </w:rPr>
              <w:t>.</w:t>
            </w:r>
          </w:p>
        </w:tc>
      </w:tr>
      <w:tr w:rsidR="000D1E36" w:rsidRPr="00621697" w:rsidTr="00621697">
        <w:trPr>
          <w:trHeight w:val="488"/>
          <w:jc w:val="center"/>
        </w:trPr>
        <w:tc>
          <w:tcPr>
            <w:tcW w:w="6831" w:type="dxa"/>
            <w:shd w:val="clear" w:color="auto" w:fill="auto"/>
            <w:noWrap/>
            <w:vAlign w:val="center"/>
            <w:hideMark/>
          </w:tcPr>
          <w:p w:rsidR="000D1E36" w:rsidRPr="00621697" w:rsidRDefault="000D1E36" w:rsidP="00094EB3">
            <w:pPr>
              <w:spacing w:line="240" w:lineRule="auto"/>
              <w:jc w:val="left"/>
              <w:rPr>
                <w:rFonts w:cs="Arial"/>
                <w:sz w:val="20"/>
              </w:rPr>
            </w:pPr>
            <w:r w:rsidRPr="00621697">
              <w:rPr>
                <w:rFonts w:cs="Arial"/>
                <w:sz w:val="20"/>
              </w:rPr>
              <w:t xml:space="preserve">2. Alteração na Qualidade do Ar </w:t>
            </w:r>
          </w:p>
        </w:tc>
        <w:tc>
          <w:tcPr>
            <w:tcW w:w="6095" w:type="dxa"/>
            <w:shd w:val="clear" w:color="auto" w:fill="auto"/>
            <w:noWrap/>
            <w:vAlign w:val="center"/>
          </w:tcPr>
          <w:p w:rsidR="000D1E36" w:rsidRPr="00621697" w:rsidRDefault="000D1E36" w:rsidP="00094EB3">
            <w:pPr>
              <w:spacing w:line="240" w:lineRule="auto"/>
              <w:jc w:val="left"/>
              <w:rPr>
                <w:rFonts w:cs="Arial"/>
                <w:sz w:val="20"/>
              </w:rPr>
            </w:pPr>
            <w:r w:rsidRPr="00621697">
              <w:rPr>
                <w:rFonts w:cs="Arial"/>
                <w:sz w:val="20"/>
              </w:rPr>
              <w:t>21. Perda de Hábitat para a Fauna Silvestre</w:t>
            </w:r>
          </w:p>
        </w:tc>
        <w:tc>
          <w:tcPr>
            <w:tcW w:w="7538" w:type="dxa"/>
            <w:shd w:val="clear" w:color="auto" w:fill="auto"/>
            <w:noWrap/>
            <w:vAlign w:val="center"/>
          </w:tcPr>
          <w:p w:rsidR="000D1E36" w:rsidRPr="00621697" w:rsidRDefault="000D1E36" w:rsidP="00D2327B">
            <w:pPr>
              <w:spacing w:line="240" w:lineRule="auto"/>
              <w:jc w:val="left"/>
              <w:rPr>
                <w:rFonts w:cs="Arial"/>
                <w:sz w:val="20"/>
              </w:rPr>
            </w:pPr>
            <w:r w:rsidRPr="00621697">
              <w:rPr>
                <w:rFonts w:cs="Arial"/>
                <w:sz w:val="20"/>
              </w:rPr>
              <w:t>3</w:t>
            </w:r>
            <w:r w:rsidR="00D2327B" w:rsidRPr="00621697">
              <w:rPr>
                <w:rFonts w:cs="Arial"/>
                <w:sz w:val="20"/>
              </w:rPr>
              <w:t>7</w:t>
            </w:r>
            <w:r w:rsidRPr="00621697">
              <w:rPr>
                <w:rFonts w:cs="Arial"/>
                <w:sz w:val="20"/>
              </w:rPr>
              <w:t>. Geração de Expectativas Positivas em relação ao Empreendimento</w:t>
            </w:r>
          </w:p>
        </w:tc>
      </w:tr>
      <w:tr w:rsidR="000D1E36" w:rsidRPr="00621697" w:rsidTr="00621697">
        <w:trPr>
          <w:trHeight w:val="488"/>
          <w:jc w:val="center"/>
        </w:trPr>
        <w:tc>
          <w:tcPr>
            <w:tcW w:w="6831" w:type="dxa"/>
            <w:shd w:val="clear" w:color="auto" w:fill="auto"/>
            <w:noWrap/>
            <w:vAlign w:val="center"/>
            <w:hideMark/>
          </w:tcPr>
          <w:p w:rsidR="000D1E36" w:rsidRPr="00621697" w:rsidRDefault="000D1E36" w:rsidP="00094EB3">
            <w:pPr>
              <w:spacing w:line="240" w:lineRule="auto"/>
              <w:jc w:val="left"/>
              <w:rPr>
                <w:rFonts w:cs="Arial"/>
                <w:sz w:val="20"/>
              </w:rPr>
            </w:pPr>
            <w:r w:rsidRPr="00621697">
              <w:rPr>
                <w:rFonts w:cs="Arial"/>
                <w:sz w:val="20"/>
              </w:rPr>
              <w:t>3. Aumento no Nível de Ruídos</w:t>
            </w:r>
          </w:p>
        </w:tc>
        <w:tc>
          <w:tcPr>
            <w:tcW w:w="6095" w:type="dxa"/>
            <w:shd w:val="clear" w:color="auto" w:fill="auto"/>
            <w:noWrap/>
            <w:vAlign w:val="center"/>
          </w:tcPr>
          <w:p w:rsidR="000D1E36" w:rsidRPr="00621697" w:rsidRDefault="000D1E36" w:rsidP="00094EB3">
            <w:pPr>
              <w:spacing w:line="240" w:lineRule="auto"/>
              <w:jc w:val="left"/>
              <w:rPr>
                <w:rFonts w:cs="Arial"/>
                <w:sz w:val="20"/>
              </w:rPr>
            </w:pPr>
            <w:r w:rsidRPr="00621697">
              <w:rPr>
                <w:rFonts w:cs="Arial"/>
                <w:sz w:val="20"/>
              </w:rPr>
              <w:t>22. Redução da Conectividade entre Remanescentes de Cobertura Vegetal Nativa</w:t>
            </w:r>
          </w:p>
        </w:tc>
        <w:tc>
          <w:tcPr>
            <w:tcW w:w="7538" w:type="dxa"/>
            <w:shd w:val="clear" w:color="auto" w:fill="auto"/>
            <w:vAlign w:val="center"/>
          </w:tcPr>
          <w:p w:rsidR="000D1E36" w:rsidRPr="00621697" w:rsidRDefault="000D1E36" w:rsidP="00D2327B">
            <w:pPr>
              <w:spacing w:line="240" w:lineRule="auto"/>
              <w:jc w:val="left"/>
              <w:rPr>
                <w:rFonts w:cs="Arial"/>
                <w:sz w:val="20"/>
              </w:rPr>
            </w:pPr>
            <w:r w:rsidRPr="00621697">
              <w:rPr>
                <w:rFonts w:cs="Arial"/>
                <w:sz w:val="20"/>
              </w:rPr>
              <w:t>3</w:t>
            </w:r>
            <w:r w:rsidR="00D2327B" w:rsidRPr="00621697">
              <w:rPr>
                <w:rFonts w:cs="Arial"/>
                <w:sz w:val="20"/>
              </w:rPr>
              <w:t>8</w:t>
            </w:r>
            <w:r w:rsidR="0065280A">
              <w:rPr>
                <w:rFonts w:cs="Arial"/>
                <w:sz w:val="20"/>
              </w:rPr>
              <w:t xml:space="preserve">. </w:t>
            </w:r>
            <w:r w:rsidRPr="00621697">
              <w:rPr>
                <w:rFonts w:cs="Arial"/>
                <w:sz w:val="20"/>
              </w:rPr>
              <w:t>Geração de Expectativas Negativas em relação ao Empreendimento</w:t>
            </w:r>
          </w:p>
        </w:tc>
      </w:tr>
      <w:tr w:rsidR="000D1E36" w:rsidRPr="00621697" w:rsidTr="00621697">
        <w:trPr>
          <w:trHeight w:val="488"/>
          <w:jc w:val="center"/>
        </w:trPr>
        <w:tc>
          <w:tcPr>
            <w:tcW w:w="6831" w:type="dxa"/>
            <w:shd w:val="clear" w:color="auto" w:fill="auto"/>
            <w:noWrap/>
            <w:vAlign w:val="center"/>
            <w:hideMark/>
          </w:tcPr>
          <w:p w:rsidR="000D1E36" w:rsidRPr="00621697" w:rsidRDefault="000D1E36" w:rsidP="00094EB3">
            <w:pPr>
              <w:spacing w:line="240" w:lineRule="auto"/>
              <w:jc w:val="left"/>
              <w:rPr>
                <w:rFonts w:cs="Arial"/>
                <w:sz w:val="20"/>
              </w:rPr>
            </w:pPr>
            <w:r w:rsidRPr="00621697">
              <w:rPr>
                <w:rFonts w:cs="Arial"/>
                <w:sz w:val="20"/>
              </w:rPr>
              <w:t>4.  Emissão de Gases de Efeito Estufa</w:t>
            </w:r>
            <w:r w:rsidRPr="00621697" w:rsidDel="00D342FB">
              <w:rPr>
                <w:rFonts w:cs="Arial"/>
                <w:sz w:val="20"/>
              </w:rPr>
              <w:t xml:space="preserve"> </w:t>
            </w:r>
          </w:p>
        </w:tc>
        <w:tc>
          <w:tcPr>
            <w:tcW w:w="6095" w:type="dxa"/>
            <w:shd w:val="clear" w:color="auto" w:fill="auto"/>
            <w:noWrap/>
            <w:vAlign w:val="center"/>
          </w:tcPr>
          <w:p w:rsidR="000D1E36" w:rsidRPr="00621697" w:rsidRDefault="000D1E36" w:rsidP="00094EB3">
            <w:pPr>
              <w:spacing w:line="240" w:lineRule="auto"/>
              <w:jc w:val="left"/>
              <w:rPr>
                <w:rFonts w:cs="Arial"/>
                <w:sz w:val="20"/>
              </w:rPr>
            </w:pPr>
            <w:r w:rsidRPr="00621697">
              <w:rPr>
                <w:rFonts w:cs="Arial"/>
                <w:sz w:val="20"/>
              </w:rPr>
              <w:t>23. Aumento dos Efeitos da Fragmentação de Hábitats da Fauna</w:t>
            </w:r>
          </w:p>
        </w:tc>
        <w:tc>
          <w:tcPr>
            <w:tcW w:w="7538" w:type="dxa"/>
            <w:shd w:val="clear" w:color="auto" w:fill="auto"/>
            <w:noWrap/>
            <w:vAlign w:val="center"/>
          </w:tcPr>
          <w:p w:rsidR="000D1E36" w:rsidRPr="00621697" w:rsidRDefault="000D1E36" w:rsidP="00D2327B">
            <w:pPr>
              <w:spacing w:line="240" w:lineRule="auto"/>
              <w:jc w:val="left"/>
              <w:rPr>
                <w:rFonts w:cs="Arial"/>
                <w:sz w:val="20"/>
              </w:rPr>
            </w:pPr>
            <w:r w:rsidRPr="00621697">
              <w:rPr>
                <w:rFonts w:cs="Arial"/>
                <w:sz w:val="20"/>
              </w:rPr>
              <w:t>3</w:t>
            </w:r>
            <w:r w:rsidR="00D2327B" w:rsidRPr="00621697">
              <w:rPr>
                <w:rFonts w:cs="Arial"/>
                <w:sz w:val="20"/>
              </w:rPr>
              <w:t>9</w:t>
            </w:r>
            <w:r w:rsidRPr="00621697">
              <w:rPr>
                <w:rFonts w:cs="Arial"/>
                <w:sz w:val="20"/>
              </w:rPr>
              <w:t>. Alteração das Relações Econômicas, Sociais e Culturais</w:t>
            </w:r>
            <w:r w:rsidR="00833161">
              <w:rPr>
                <w:rFonts w:cs="Arial"/>
                <w:sz w:val="20"/>
              </w:rPr>
              <w:t>.</w:t>
            </w:r>
          </w:p>
        </w:tc>
      </w:tr>
      <w:tr w:rsidR="000D1E36" w:rsidRPr="00621697" w:rsidTr="00621697">
        <w:trPr>
          <w:trHeight w:val="488"/>
          <w:jc w:val="center"/>
        </w:trPr>
        <w:tc>
          <w:tcPr>
            <w:tcW w:w="6831" w:type="dxa"/>
            <w:shd w:val="clear" w:color="auto" w:fill="auto"/>
            <w:noWrap/>
            <w:vAlign w:val="center"/>
            <w:hideMark/>
          </w:tcPr>
          <w:p w:rsidR="000D1E36" w:rsidRPr="00621697" w:rsidRDefault="000D1E36" w:rsidP="00094EB3">
            <w:pPr>
              <w:spacing w:line="240" w:lineRule="auto"/>
              <w:jc w:val="left"/>
              <w:rPr>
                <w:rFonts w:cs="Arial"/>
                <w:sz w:val="20"/>
              </w:rPr>
            </w:pPr>
            <w:r w:rsidRPr="00621697">
              <w:rPr>
                <w:rFonts w:cs="Arial"/>
                <w:sz w:val="20"/>
              </w:rPr>
              <w:t>5. Alteração</w:t>
            </w:r>
            <w:r w:rsidR="006F4DA4" w:rsidRPr="00621697">
              <w:rPr>
                <w:rFonts w:cs="Arial"/>
                <w:sz w:val="20"/>
              </w:rPr>
              <w:t xml:space="preserve"> do Nível d’água a Montante das Barragens</w:t>
            </w:r>
            <w:r w:rsidRPr="00621697" w:rsidDel="00D342FB">
              <w:rPr>
                <w:rFonts w:cs="Arial"/>
                <w:sz w:val="20"/>
              </w:rPr>
              <w:t xml:space="preserve"> </w:t>
            </w:r>
          </w:p>
        </w:tc>
        <w:tc>
          <w:tcPr>
            <w:tcW w:w="6095" w:type="dxa"/>
            <w:shd w:val="clear" w:color="auto" w:fill="auto"/>
            <w:noWrap/>
            <w:vAlign w:val="center"/>
          </w:tcPr>
          <w:p w:rsidR="000D1E36" w:rsidRPr="00621697" w:rsidRDefault="000D1E36" w:rsidP="00094EB3">
            <w:pPr>
              <w:spacing w:line="240" w:lineRule="auto"/>
              <w:jc w:val="left"/>
              <w:rPr>
                <w:rFonts w:cs="Arial"/>
                <w:sz w:val="20"/>
              </w:rPr>
            </w:pPr>
            <w:r w:rsidRPr="00621697">
              <w:rPr>
                <w:rFonts w:cs="Arial"/>
                <w:sz w:val="20"/>
              </w:rPr>
              <w:t>24. Afugentamento da Fauna Silvestre.</w:t>
            </w:r>
          </w:p>
        </w:tc>
        <w:tc>
          <w:tcPr>
            <w:tcW w:w="7538" w:type="dxa"/>
            <w:shd w:val="clear" w:color="auto" w:fill="auto"/>
            <w:noWrap/>
            <w:vAlign w:val="center"/>
          </w:tcPr>
          <w:p w:rsidR="000D1E36" w:rsidRPr="00621697" w:rsidRDefault="00D2327B" w:rsidP="00094EB3">
            <w:pPr>
              <w:spacing w:line="240" w:lineRule="auto"/>
              <w:jc w:val="left"/>
              <w:rPr>
                <w:rFonts w:cs="Arial"/>
                <w:sz w:val="20"/>
              </w:rPr>
            </w:pPr>
            <w:r w:rsidRPr="00621697">
              <w:rPr>
                <w:rFonts w:cs="Arial"/>
                <w:sz w:val="20"/>
              </w:rPr>
              <w:t>40</w:t>
            </w:r>
            <w:r w:rsidR="000D1E36" w:rsidRPr="00621697">
              <w:rPr>
                <w:rFonts w:cs="Arial"/>
                <w:sz w:val="20"/>
              </w:rPr>
              <w:t>. Relocação da População da ADA</w:t>
            </w:r>
          </w:p>
        </w:tc>
      </w:tr>
      <w:tr w:rsidR="000D1E36" w:rsidRPr="00621697" w:rsidTr="00621697">
        <w:trPr>
          <w:trHeight w:val="488"/>
          <w:jc w:val="center"/>
        </w:trPr>
        <w:tc>
          <w:tcPr>
            <w:tcW w:w="6831" w:type="dxa"/>
            <w:shd w:val="clear" w:color="auto" w:fill="auto"/>
            <w:noWrap/>
            <w:vAlign w:val="center"/>
            <w:hideMark/>
          </w:tcPr>
          <w:p w:rsidR="000D1E36" w:rsidRPr="00621697" w:rsidRDefault="000D1E36" w:rsidP="00094EB3">
            <w:pPr>
              <w:spacing w:line="240" w:lineRule="auto"/>
              <w:jc w:val="left"/>
              <w:rPr>
                <w:rFonts w:cs="Arial"/>
                <w:sz w:val="20"/>
              </w:rPr>
            </w:pPr>
            <w:r w:rsidRPr="00621697">
              <w:rPr>
                <w:rFonts w:cs="Arial"/>
                <w:sz w:val="20"/>
              </w:rPr>
              <w:t xml:space="preserve">6. </w:t>
            </w:r>
            <w:r w:rsidR="00003927">
              <w:rPr>
                <w:rFonts w:cs="Arial"/>
                <w:sz w:val="20"/>
              </w:rPr>
              <w:t>Alteração</w:t>
            </w:r>
            <w:r w:rsidRPr="00621697">
              <w:rPr>
                <w:rFonts w:cs="Arial"/>
                <w:sz w:val="20"/>
              </w:rPr>
              <w:t>do Nível d’água a Jusante dos Barramentos pelo Enchimento e Operação dos Reservatórios</w:t>
            </w:r>
          </w:p>
        </w:tc>
        <w:tc>
          <w:tcPr>
            <w:tcW w:w="6095" w:type="dxa"/>
            <w:shd w:val="clear" w:color="auto" w:fill="auto"/>
            <w:noWrap/>
            <w:vAlign w:val="center"/>
          </w:tcPr>
          <w:p w:rsidR="000D1E36" w:rsidRPr="00621697" w:rsidRDefault="000D1E36" w:rsidP="00094EB3">
            <w:pPr>
              <w:spacing w:line="240" w:lineRule="auto"/>
              <w:jc w:val="left"/>
              <w:rPr>
                <w:rFonts w:cs="Arial"/>
                <w:sz w:val="20"/>
              </w:rPr>
            </w:pPr>
            <w:r w:rsidRPr="00621697">
              <w:rPr>
                <w:rFonts w:cs="Arial"/>
                <w:sz w:val="20"/>
              </w:rPr>
              <w:t>25. Aumento de Atropelamento de Indivíduos da Fauna Silvestre</w:t>
            </w:r>
          </w:p>
        </w:tc>
        <w:tc>
          <w:tcPr>
            <w:tcW w:w="7538" w:type="dxa"/>
            <w:shd w:val="clear" w:color="auto" w:fill="auto"/>
            <w:noWrap/>
            <w:vAlign w:val="center"/>
          </w:tcPr>
          <w:p w:rsidR="000D1E36" w:rsidRPr="00621697" w:rsidRDefault="000D1E36" w:rsidP="00D2327B">
            <w:pPr>
              <w:spacing w:line="240" w:lineRule="auto"/>
              <w:jc w:val="left"/>
              <w:rPr>
                <w:rFonts w:cs="Arial"/>
                <w:sz w:val="20"/>
              </w:rPr>
            </w:pPr>
            <w:r w:rsidRPr="00621697">
              <w:rPr>
                <w:rFonts w:cs="Arial"/>
                <w:sz w:val="20"/>
              </w:rPr>
              <w:t>4</w:t>
            </w:r>
            <w:r w:rsidR="00D2327B" w:rsidRPr="00621697">
              <w:rPr>
                <w:rFonts w:cs="Arial"/>
                <w:sz w:val="20"/>
              </w:rPr>
              <w:t>1</w:t>
            </w:r>
            <w:r w:rsidRPr="00621697">
              <w:rPr>
                <w:rFonts w:cs="Arial"/>
                <w:sz w:val="20"/>
              </w:rPr>
              <w:t>. Especulação Imobiliária</w:t>
            </w:r>
          </w:p>
        </w:tc>
      </w:tr>
      <w:tr w:rsidR="000D1E36" w:rsidRPr="00621697" w:rsidTr="00621697">
        <w:trPr>
          <w:trHeight w:val="488"/>
          <w:jc w:val="center"/>
        </w:trPr>
        <w:tc>
          <w:tcPr>
            <w:tcW w:w="6831" w:type="dxa"/>
            <w:shd w:val="clear" w:color="auto" w:fill="auto"/>
            <w:noWrap/>
            <w:vAlign w:val="center"/>
            <w:hideMark/>
          </w:tcPr>
          <w:p w:rsidR="000D1E36" w:rsidRPr="00621697" w:rsidRDefault="000D1E36" w:rsidP="00094EB3">
            <w:pPr>
              <w:spacing w:line="240" w:lineRule="auto"/>
              <w:jc w:val="left"/>
              <w:rPr>
                <w:rFonts w:cs="Arial"/>
                <w:sz w:val="20"/>
              </w:rPr>
            </w:pPr>
            <w:r w:rsidRPr="00621697">
              <w:rPr>
                <w:rFonts w:cs="Arial"/>
                <w:sz w:val="20"/>
              </w:rPr>
              <w:t>7. Transformação do Regime de Escoamento dos Corpos de Água</w:t>
            </w:r>
            <w:r w:rsidRPr="00621697" w:rsidDel="00D342FB">
              <w:rPr>
                <w:rFonts w:cs="Arial"/>
                <w:sz w:val="20"/>
              </w:rPr>
              <w:t xml:space="preserve"> </w:t>
            </w:r>
          </w:p>
        </w:tc>
        <w:tc>
          <w:tcPr>
            <w:tcW w:w="6095" w:type="dxa"/>
            <w:shd w:val="clear" w:color="auto" w:fill="auto"/>
            <w:noWrap/>
            <w:vAlign w:val="center"/>
          </w:tcPr>
          <w:p w:rsidR="000D1E36" w:rsidRPr="00621697" w:rsidRDefault="000D1E36" w:rsidP="00094EB3">
            <w:pPr>
              <w:spacing w:line="240" w:lineRule="auto"/>
              <w:jc w:val="left"/>
              <w:rPr>
                <w:rFonts w:cs="Arial"/>
                <w:sz w:val="20"/>
              </w:rPr>
            </w:pPr>
            <w:r w:rsidRPr="00621697">
              <w:rPr>
                <w:rFonts w:cs="Arial"/>
                <w:sz w:val="20"/>
              </w:rPr>
              <w:t>26. Interferências em Áreas Legalmente Protegidas</w:t>
            </w:r>
          </w:p>
        </w:tc>
        <w:tc>
          <w:tcPr>
            <w:tcW w:w="7538" w:type="dxa"/>
            <w:shd w:val="clear" w:color="auto" w:fill="auto"/>
            <w:vAlign w:val="center"/>
          </w:tcPr>
          <w:p w:rsidR="000D1E36" w:rsidRPr="00621697" w:rsidRDefault="000D1E36" w:rsidP="00F71F01">
            <w:pPr>
              <w:spacing w:line="240" w:lineRule="auto"/>
              <w:jc w:val="left"/>
              <w:rPr>
                <w:rFonts w:cs="Arial"/>
                <w:sz w:val="20"/>
              </w:rPr>
            </w:pPr>
            <w:r w:rsidRPr="00621697">
              <w:rPr>
                <w:rFonts w:cs="Arial"/>
                <w:sz w:val="20"/>
              </w:rPr>
              <w:t>4</w:t>
            </w:r>
            <w:r w:rsidR="00D2327B" w:rsidRPr="00621697">
              <w:rPr>
                <w:rFonts w:cs="Arial"/>
                <w:sz w:val="20"/>
              </w:rPr>
              <w:t>2</w:t>
            </w:r>
            <w:r w:rsidRPr="00621697">
              <w:rPr>
                <w:rFonts w:cs="Arial"/>
                <w:sz w:val="20"/>
              </w:rPr>
              <w:t xml:space="preserve">. Perda de Áreas Rurais </w:t>
            </w:r>
            <w:r w:rsidR="00F71F01" w:rsidRPr="00621697">
              <w:rPr>
                <w:rFonts w:cs="Arial"/>
                <w:sz w:val="20"/>
              </w:rPr>
              <w:t>Produtivas</w:t>
            </w:r>
          </w:p>
        </w:tc>
      </w:tr>
      <w:tr w:rsidR="000D1E36" w:rsidRPr="00621697" w:rsidTr="00621697">
        <w:trPr>
          <w:trHeight w:val="488"/>
          <w:jc w:val="center"/>
        </w:trPr>
        <w:tc>
          <w:tcPr>
            <w:tcW w:w="6831" w:type="dxa"/>
            <w:shd w:val="clear" w:color="auto" w:fill="auto"/>
            <w:noWrap/>
            <w:vAlign w:val="center"/>
            <w:hideMark/>
          </w:tcPr>
          <w:p w:rsidR="000D1E36" w:rsidRPr="00621697" w:rsidRDefault="000D1E36" w:rsidP="00094EB3">
            <w:pPr>
              <w:spacing w:line="240" w:lineRule="auto"/>
              <w:jc w:val="left"/>
              <w:rPr>
                <w:rFonts w:cs="Arial"/>
                <w:sz w:val="20"/>
              </w:rPr>
            </w:pPr>
            <w:r w:rsidRPr="00621697">
              <w:rPr>
                <w:rFonts w:cs="Arial"/>
                <w:sz w:val="20"/>
              </w:rPr>
              <w:t>8. Assoreamento dos Reservatórios</w:t>
            </w:r>
            <w:r w:rsidRPr="00621697" w:rsidDel="00D342FB">
              <w:rPr>
                <w:rFonts w:cs="Arial"/>
                <w:sz w:val="20"/>
              </w:rPr>
              <w:t xml:space="preserve"> </w:t>
            </w:r>
          </w:p>
        </w:tc>
        <w:tc>
          <w:tcPr>
            <w:tcW w:w="6095" w:type="dxa"/>
            <w:shd w:val="clear" w:color="auto" w:fill="auto"/>
            <w:noWrap/>
            <w:vAlign w:val="center"/>
          </w:tcPr>
          <w:p w:rsidR="000D1E36" w:rsidRPr="00621697" w:rsidRDefault="000D1E36" w:rsidP="00094EB3">
            <w:pPr>
              <w:spacing w:line="240" w:lineRule="auto"/>
              <w:jc w:val="left"/>
              <w:rPr>
                <w:rFonts w:cs="Arial"/>
                <w:sz w:val="20"/>
              </w:rPr>
            </w:pPr>
            <w:r w:rsidRPr="00621697">
              <w:rPr>
                <w:rFonts w:cs="Arial"/>
                <w:sz w:val="20"/>
              </w:rPr>
              <w:t xml:space="preserve">26a. Interferências em Áreas de Proteção Ambiental – APAs </w:t>
            </w:r>
          </w:p>
        </w:tc>
        <w:tc>
          <w:tcPr>
            <w:tcW w:w="7538" w:type="dxa"/>
            <w:shd w:val="clear" w:color="auto" w:fill="auto"/>
            <w:vAlign w:val="center"/>
          </w:tcPr>
          <w:p w:rsidR="000D1E36" w:rsidRPr="00621697" w:rsidRDefault="000D1E36" w:rsidP="00D2327B">
            <w:pPr>
              <w:spacing w:line="240" w:lineRule="auto"/>
              <w:jc w:val="left"/>
              <w:rPr>
                <w:rFonts w:cs="Arial"/>
                <w:sz w:val="20"/>
              </w:rPr>
            </w:pPr>
            <w:r w:rsidRPr="00621697">
              <w:rPr>
                <w:rFonts w:cs="Arial"/>
                <w:sz w:val="20"/>
              </w:rPr>
              <w:t>4</w:t>
            </w:r>
            <w:r w:rsidR="00D2327B" w:rsidRPr="00621697">
              <w:rPr>
                <w:rFonts w:cs="Arial"/>
                <w:sz w:val="20"/>
              </w:rPr>
              <w:t>3</w:t>
            </w:r>
            <w:r w:rsidRPr="00621697">
              <w:rPr>
                <w:rFonts w:cs="Arial"/>
                <w:sz w:val="20"/>
              </w:rPr>
              <w:t>. Perda de Instalações Industriais</w:t>
            </w:r>
            <w:r w:rsidR="00F71F01" w:rsidRPr="00621697">
              <w:rPr>
                <w:rFonts w:cs="Arial"/>
                <w:sz w:val="20"/>
              </w:rPr>
              <w:t xml:space="preserve"> e Comerciais</w:t>
            </w:r>
          </w:p>
        </w:tc>
      </w:tr>
      <w:tr w:rsidR="000D1E36" w:rsidRPr="00621697" w:rsidTr="00621697">
        <w:trPr>
          <w:trHeight w:val="488"/>
          <w:jc w:val="center"/>
        </w:trPr>
        <w:tc>
          <w:tcPr>
            <w:tcW w:w="6831" w:type="dxa"/>
            <w:shd w:val="clear" w:color="auto" w:fill="auto"/>
            <w:vAlign w:val="center"/>
            <w:hideMark/>
          </w:tcPr>
          <w:p w:rsidR="000D1E36" w:rsidRPr="00621697" w:rsidRDefault="000D1E36" w:rsidP="00094EB3">
            <w:pPr>
              <w:spacing w:line="240" w:lineRule="auto"/>
              <w:jc w:val="left"/>
              <w:rPr>
                <w:rFonts w:cs="Arial"/>
                <w:sz w:val="20"/>
              </w:rPr>
            </w:pPr>
            <w:r w:rsidRPr="00621697">
              <w:rPr>
                <w:rFonts w:cs="Arial"/>
                <w:sz w:val="20"/>
              </w:rPr>
              <w:t>9. Alteração na Qualidade das Águas Superficiais</w:t>
            </w:r>
          </w:p>
        </w:tc>
        <w:tc>
          <w:tcPr>
            <w:tcW w:w="6095" w:type="dxa"/>
            <w:shd w:val="clear" w:color="auto" w:fill="auto"/>
            <w:noWrap/>
            <w:vAlign w:val="center"/>
          </w:tcPr>
          <w:p w:rsidR="000D1E36" w:rsidRPr="00621697" w:rsidRDefault="000D1E36" w:rsidP="00094EB3">
            <w:pPr>
              <w:spacing w:line="240" w:lineRule="auto"/>
              <w:jc w:val="left"/>
              <w:rPr>
                <w:rFonts w:cs="Arial"/>
                <w:sz w:val="20"/>
              </w:rPr>
            </w:pPr>
            <w:r w:rsidRPr="00621697">
              <w:rPr>
                <w:rFonts w:cs="Arial"/>
                <w:sz w:val="20"/>
              </w:rPr>
              <w:t>26b. Interferências em Áreas de Proteção Permanente - APPs</w:t>
            </w:r>
          </w:p>
        </w:tc>
        <w:tc>
          <w:tcPr>
            <w:tcW w:w="7538" w:type="dxa"/>
            <w:shd w:val="clear" w:color="auto" w:fill="auto"/>
            <w:noWrap/>
            <w:vAlign w:val="center"/>
          </w:tcPr>
          <w:p w:rsidR="000D1E36" w:rsidRPr="00621697" w:rsidRDefault="000D1E36" w:rsidP="00D2327B">
            <w:pPr>
              <w:spacing w:line="240" w:lineRule="auto"/>
              <w:jc w:val="left"/>
              <w:rPr>
                <w:rFonts w:cs="Arial"/>
                <w:sz w:val="20"/>
              </w:rPr>
            </w:pPr>
            <w:r w:rsidRPr="00621697">
              <w:rPr>
                <w:rFonts w:cs="Arial"/>
                <w:sz w:val="20"/>
              </w:rPr>
              <w:t>4</w:t>
            </w:r>
            <w:r w:rsidR="00D2327B" w:rsidRPr="00621697">
              <w:rPr>
                <w:rFonts w:cs="Arial"/>
                <w:sz w:val="20"/>
              </w:rPr>
              <w:t>4</w:t>
            </w:r>
            <w:r w:rsidRPr="00621697">
              <w:rPr>
                <w:rFonts w:cs="Arial"/>
                <w:sz w:val="20"/>
              </w:rPr>
              <w:t>. Maior Mobilidade da Sociedade Civil Organizada</w:t>
            </w:r>
          </w:p>
        </w:tc>
      </w:tr>
      <w:tr w:rsidR="000D1E36" w:rsidRPr="00621697" w:rsidTr="00621697">
        <w:trPr>
          <w:trHeight w:val="488"/>
          <w:jc w:val="center"/>
        </w:trPr>
        <w:tc>
          <w:tcPr>
            <w:tcW w:w="6831" w:type="dxa"/>
            <w:shd w:val="clear" w:color="auto" w:fill="auto"/>
            <w:noWrap/>
            <w:vAlign w:val="center"/>
            <w:hideMark/>
          </w:tcPr>
          <w:p w:rsidR="000D1E36" w:rsidRPr="00621697" w:rsidRDefault="000D1E36" w:rsidP="00094EB3">
            <w:pPr>
              <w:spacing w:line="240" w:lineRule="auto"/>
              <w:jc w:val="left"/>
              <w:rPr>
                <w:rFonts w:cs="Arial"/>
                <w:sz w:val="20"/>
              </w:rPr>
            </w:pPr>
            <w:r w:rsidRPr="00621697">
              <w:rPr>
                <w:rFonts w:cs="Arial"/>
                <w:sz w:val="20"/>
              </w:rPr>
              <w:t>10. Interferências em Instalações e Benfeitorias pela Elevação do Nível Freático</w:t>
            </w:r>
          </w:p>
        </w:tc>
        <w:tc>
          <w:tcPr>
            <w:tcW w:w="6095" w:type="dxa"/>
            <w:shd w:val="clear" w:color="auto" w:fill="auto"/>
            <w:noWrap/>
            <w:vAlign w:val="center"/>
          </w:tcPr>
          <w:p w:rsidR="000D1E36" w:rsidRPr="00621697" w:rsidRDefault="000D1E36" w:rsidP="00094EB3">
            <w:pPr>
              <w:spacing w:line="240" w:lineRule="auto"/>
              <w:jc w:val="left"/>
              <w:rPr>
                <w:rFonts w:cs="Arial"/>
                <w:sz w:val="20"/>
              </w:rPr>
            </w:pPr>
            <w:r w:rsidRPr="00621697">
              <w:rPr>
                <w:rFonts w:cs="Arial"/>
                <w:sz w:val="20"/>
              </w:rPr>
              <w:t>27. Alteração nas Comunidades Aquáticas Planctônicas e Bentônicas</w:t>
            </w:r>
          </w:p>
        </w:tc>
        <w:tc>
          <w:tcPr>
            <w:tcW w:w="7538" w:type="dxa"/>
            <w:shd w:val="clear" w:color="auto" w:fill="auto"/>
            <w:noWrap/>
            <w:vAlign w:val="center"/>
          </w:tcPr>
          <w:p w:rsidR="000D1E36" w:rsidRPr="00621697" w:rsidRDefault="000D1E36" w:rsidP="00D2327B">
            <w:pPr>
              <w:spacing w:line="240" w:lineRule="auto"/>
              <w:jc w:val="left"/>
              <w:rPr>
                <w:rFonts w:cs="Arial"/>
                <w:sz w:val="20"/>
              </w:rPr>
            </w:pPr>
            <w:r w:rsidRPr="00621697">
              <w:rPr>
                <w:rFonts w:cs="Arial"/>
                <w:sz w:val="20"/>
              </w:rPr>
              <w:t>4</w:t>
            </w:r>
            <w:r w:rsidR="00D2327B" w:rsidRPr="00621697">
              <w:rPr>
                <w:rFonts w:cs="Arial"/>
                <w:sz w:val="20"/>
              </w:rPr>
              <w:t>5</w:t>
            </w:r>
            <w:r w:rsidRPr="00621697">
              <w:rPr>
                <w:rFonts w:cs="Arial"/>
                <w:sz w:val="20"/>
              </w:rPr>
              <w:t>. Aumento da Pressão sobre Serviços e Equipamentos Públicos</w:t>
            </w:r>
          </w:p>
        </w:tc>
      </w:tr>
      <w:tr w:rsidR="000D1E36" w:rsidRPr="00621697" w:rsidTr="00621697">
        <w:trPr>
          <w:trHeight w:val="489"/>
          <w:jc w:val="center"/>
        </w:trPr>
        <w:tc>
          <w:tcPr>
            <w:tcW w:w="6831" w:type="dxa"/>
            <w:shd w:val="clear" w:color="auto" w:fill="auto"/>
            <w:noWrap/>
            <w:vAlign w:val="center"/>
            <w:hideMark/>
          </w:tcPr>
          <w:p w:rsidR="000D1E36" w:rsidRPr="00621697" w:rsidRDefault="000D1E36" w:rsidP="00094EB3">
            <w:pPr>
              <w:spacing w:line="240" w:lineRule="auto"/>
              <w:jc w:val="left"/>
              <w:rPr>
                <w:rFonts w:cs="Arial"/>
                <w:sz w:val="20"/>
              </w:rPr>
            </w:pPr>
            <w:r w:rsidRPr="00621697">
              <w:rPr>
                <w:rFonts w:cs="Arial"/>
                <w:sz w:val="20"/>
              </w:rPr>
              <w:t xml:space="preserve">11. Surgências de Água, Perenização e Formação de Novas Áreas Úmidas e Alagadas pela Elevação do Lençol Freático </w:t>
            </w:r>
          </w:p>
        </w:tc>
        <w:tc>
          <w:tcPr>
            <w:tcW w:w="6095" w:type="dxa"/>
            <w:shd w:val="clear" w:color="auto" w:fill="auto"/>
            <w:noWrap/>
            <w:vAlign w:val="center"/>
          </w:tcPr>
          <w:p w:rsidR="000D1E36" w:rsidRPr="00621697" w:rsidRDefault="000D1E36" w:rsidP="00094EB3">
            <w:pPr>
              <w:spacing w:line="240" w:lineRule="auto"/>
              <w:jc w:val="left"/>
              <w:rPr>
                <w:rFonts w:cs="Arial"/>
                <w:sz w:val="20"/>
              </w:rPr>
            </w:pPr>
            <w:r w:rsidRPr="00621697">
              <w:rPr>
                <w:rFonts w:cs="Arial"/>
                <w:sz w:val="20"/>
              </w:rPr>
              <w:t>28. Floração de Cianobactérias Potencialmente Tóxicas</w:t>
            </w:r>
          </w:p>
        </w:tc>
        <w:tc>
          <w:tcPr>
            <w:tcW w:w="7538" w:type="dxa"/>
            <w:shd w:val="clear" w:color="auto" w:fill="auto"/>
            <w:noWrap/>
            <w:vAlign w:val="center"/>
          </w:tcPr>
          <w:p w:rsidR="000D1E36" w:rsidRPr="00621697" w:rsidRDefault="000D1E36" w:rsidP="00D2327B">
            <w:pPr>
              <w:spacing w:line="240" w:lineRule="auto"/>
              <w:jc w:val="left"/>
              <w:rPr>
                <w:rFonts w:cs="Arial"/>
                <w:sz w:val="20"/>
              </w:rPr>
            </w:pPr>
            <w:r w:rsidRPr="00621697">
              <w:rPr>
                <w:rFonts w:cs="Arial"/>
                <w:sz w:val="20"/>
              </w:rPr>
              <w:t>4</w:t>
            </w:r>
            <w:r w:rsidR="00D2327B" w:rsidRPr="00621697">
              <w:rPr>
                <w:rFonts w:cs="Arial"/>
                <w:sz w:val="20"/>
              </w:rPr>
              <w:t>6</w:t>
            </w:r>
            <w:r w:rsidRPr="00621697">
              <w:rPr>
                <w:rFonts w:cs="Arial"/>
                <w:sz w:val="20"/>
              </w:rPr>
              <w:t>. Alteração nas Condições de Saúde na Região</w:t>
            </w:r>
          </w:p>
        </w:tc>
      </w:tr>
      <w:tr w:rsidR="000D1E36" w:rsidRPr="00621697" w:rsidTr="00621697">
        <w:trPr>
          <w:trHeight w:val="488"/>
          <w:jc w:val="center"/>
        </w:trPr>
        <w:tc>
          <w:tcPr>
            <w:tcW w:w="6831" w:type="dxa"/>
            <w:shd w:val="clear" w:color="auto" w:fill="auto"/>
            <w:noWrap/>
            <w:vAlign w:val="center"/>
            <w:hideMark/>
          </w:tcPr>
          <w:p w:rsidR="000D1E36" w:rsidRPr="00621697" w:rsidRDefault="000D1E36" w:rsidP="00094EB3">
            <w:pPr>
              <w:spacing w:line="240" w:lineRule="auto"/>
              <w:jc w:val="left"/>
              <w:rPr>
                <w:rFonts w:cs="Arial"/>
                <w:sz w:val="20"/>
              </w:rPr>
            </w:pPr>
            <w:r w:rsidRPr="00621697">
              <w:rPr>
                <w:rFonts w:cs="Arial"/>
                <w:sz w:val="20"/>
              </w:rPr>
              <w:t>12. Perda de Poços Profundos</w:t>
            </w:r>
          </w:p>
        </w:tc>
        <w:tc>
          <w:tcPr>
            <w:tcW w:w="6095" w:type="dxa"/>
            <w:shd w:val="clear" w:color="auto" w:fill="auto"/>
            <w:vAlign w:val="center"/>
          </w:tcPr>
          <w:p w:rsidR="000D1E36" w:rsidRPr="00621697" w:rsidRDefault="000D1E36" w:rsidP="00094EB3">
            <w:pPr>
              <w:spacing w:line="240" w:lineRule="auto"/>
              <w:jc w:val="left"/>
              <w:rPr>
                <w:rFonts w:cs="Arial"/>
                <w:sz w:val="20"/>
              </w:rPr>
            </w:pPr>
            <w:r w:rsidRPr="00621697">
              <w:rPr>
                <w:rFonts w:cs="Arial"/>
                <w:sz w:val="20"/>
              </w:rPr>
              <w:t>29. Alteração de Hábitats e Proliferação das Macrófitas Aquáticas</w:t>
            </w:r>
          </w:p>
        </w:tc>
        <w:tc>
          <w:tcPr>
            <w:tcW w:w="7538" w:type="dxa"/>
            <w:shd w:val="clear" w:color="auto" w:fill="auto"/>
            <w:vAlign w:val="center"/>
          </w:tcPr>
          <w:p w:rsidR="000D1E36" w:rsidRPr="00621697" w:rsidRDefault="0024748F" w:rsidP="00D2327B">
            <w:pPr>
              <w:spacing w:line="240" w:lineRule="auto"/>
              <w:jc w:val="left"/>
              <w:rPr>
                <w:rFonts w:cs="Arial"/>
                <w:sz w:val="20"/>
              </w:rPr>
            </w:pPr>
            <w:r w:rsidRPr="00621697">
              <w:rPr>
                <w:rFonts w:cs="Arial"/>
                <w:sz w:val="20"/>
              </w:rPr>
              <w:t>4</w:t>
            </w:r>
            <w:r w:rsidR="00D2327B" w:rsidRPr="00621697">
              <w:rPr>
                <w:rFonts w:cs="Arial"/>
                <w:sz w:val="20"/>
              </w:rPr>
              <w:t>7</w:t>
            </w:r>
            <w:r w:rsidRPr="00621697">
              <w:rPr>
                <w:rFonts w:cs="Arial"/>
                <w:sz w:val="20"/>
              </w:rPr>
              <w:t>. Incômodos à População</w:t>
            </w:r>
          </w:p>
        </w:tc>
      </w:tr>
      <w:tr w:rsidR="000D1E36" w:rsidRPr="00621697" w:rsidTr="00621697">
        <w:trPr>
          <w:trHeight w:val="488"/>
          <w:jc w:val="center"/>
        </w:trPr>
        <w:tc>
          <w:tcPr>
            <w:tcW w:w="6831" w:type="dxa"/>
            <w:shd w:val="clear" w:color="auto" w:fill="auto"/>
            <w:noWrap/>
            <w:vAlign w:val="center"/>
            <w:hideMark/>
          </w:tcPr>
          <w:p w:rsidR="000D1E36" w:rsidRPr="00621697" w:rsidRDefault="000D1E36" w:rsidP="00094EB3">
            <w:pPr>
              <w:spacing w:line="240" w:lineRule="auto"/>
              <w:jc w:val="left"/>
              <w:rPr>
                <w:rFonts w:cs="Arial"/>
                <w:sz w:val="20"/>
              </w:rPr>
            </w:pPr>
            <w:r w:rsidRPr="00621697">
              <w:rPr>
                <w:rFonts w:cs="Arial"/>
                <w:sz w:val="20"/>
              </w:rPr>
              <w:t>13. Possibilidade da Ocorrência de Sismicidade Induzida</w:t>
            </w:r>
            <w:r w:rsidRPr="00621697" w:rsidDel="00D342FB">
              <w:rPr>
                <w:rFonts w:cs="Arial"/>
                <w:sz w:val="20"/>
              </w:rPr>
              <w:t xml:space="preserve"> </w:t>
            </w:r>
          </w:p>
        </w:tc>
        <w:tc>
          <w:tcPr>
            <w:tcW w:w="6095" w:type="dxa"/>
            <w:shd w:val="clear" w:color="auto" w:fill="auto"/>
            <w:vAlign w:val="center"/>
          </w:tcPr>
          <w:p w:rsidR="000D1E36" w:rsidRPr="00621697" w:rsidRDefault="00D2327B" w:rsidP="00094EB3">
            <w:pPr>
              <w:spacing w:line="240" w:lineRule="auto"/>
              <w:jc w:val="left"/>
              <w:rPr>
                <w:rFonts w:cs="Arial"/>
                <w:sz w:val="20"/>
              </w:rPr>
            </w:pPr>
            <w:r w:rsidRPr="00621697">
              <w:rPr>
                <w:rFonts w:cs="Arial"/>
                <w:sz w:val="20"/>
              </w:rPr>
              <w:t>30</w:t>
            </w:r>
            <w:r w:rsidR="000D1E36" w:rsidRPr="00621697">
              <w:rPr>
                <w:rFonts w:cs="Arial"/>
                <w:sz w:val="20"/>
              </w:rPr>
              <w:t>. Aumento do Potencial de Proliferação de Vetores de Doenças de Veiculação Hídrica</w:t>
            </w:r>
          </w:p>
        </w:tc>
        <w:tc>
          <w:tcPr>
            <w:tcW w:w="7538" w:type="dxa"/>
            <w:shd w:val="clear" w:color="auto" w:fill="auto"/>
            <w:noWrap/>
            <w:vAlign w:val="center"/>
          </w:tcPr>
          <w:p w:rsidR="000D1E36" w:rsidRPr="00621697" w:rsidRDefault="001E3D24" w:rsidP="00D2327B">
            <w:pPr>
              <w:spacing w:line="240" w:lineRule="auto"/>
              <w:jc w:val="left"/>
              <w:rPr>
                <w:rFonts w:cs="Arial"/>
                <w:sz w:val="20"/>
              </w:rPr>
            </w:pPr>
            <w:r w:rsidRPr="00621697">
              <w:rPr>
                <w:rFonts w:cs="Arial"/>
                <w:sz w:val="20"/>
              </w:rPr>
              <w:t>4</w:t>
            </w:r>
            <w:r w:rsidR="00D2327B" w:rsidRPr="00621697">
              <w:rPr>
                <w:rFonts w:cs="Arial"/>
                <w:sz w:val="20"/>
              </w:rPr>
              <w:t>8</w:t>
            </w:r>
            <w:r w:rsidRPr="00621697">
              <w:rPr>
                <w:rFonts w:cs="Arial"/>
                <w:sz w:val="20"/>
              </w:rPr>
              <w:t>. Interferências com Infraestruturas Existentes</w:t>
            </w:r>
          </w:p>
        </w:tc>
      </w:tr>
      <w:tr w:rsidR="001E3D24" w:rsidRPr="00621697" w:rsidTr="00621697">
        <w:trPr>
          <w:trHeight w:val="488"/>
          <w:jc w:val="center"/>
        </w:trPr>
        <w:tc>
          <w:tcPr>
            <w:tcW w:w="6831" w:type="dxa"/>
            <w:shd w:val="clear" w:color="auto" w:fill="auto"/>
            <w:noWrap/>
            <w:vAlign w:val="center"/>
            <w:hideMark/>
          </w:tcPr>
          <w:p w:rsidR="001E3D24" w:rsidRPr="00621697" w:rsidRDefault="001E3D24" w:rsidP="00094EB3">
            <w:pPr>
              <w:spacing w:line="240" w:lineRule="auto"/>
              <w:jc w:val="left"/>
              <w:rPr>
                <w:rFonts w:cs="Arial"/>
                <w:sz w:val="20"/>
              </w:rPr>
            </w:pPr>
            <w:r w:rsidRPr="00621697">
              <w:rPr>
                <w:rFonts w:cs="Arial"/>
                <w:sz w:val="20"/>
              </w:rPr>
              <w:t>14. Instalação/Aceleração de Processos Erosivos Junto às Obras</w:t>
            </w:r>
            <w:r w:rsidRPr="00621697" w:rsidDel="00D342FB">
              <w:rPr>
                <w:rFonts w:cs="Arial"/>
                <w:sz w:val="20"/>
              </w:rPr>
              <w:t xml:space="preserve"> </w:t>
            </w:r>
          </w:p>
        </w:tc>
        <w:tc>
          <w:tcPr>
            <w:tcW w:w="6095" w:type="dxa"/>
            <w:shd w:val="clear" w:color="auto" w:fill="auto"/>
            <w:noWrap/>
            <w:vAlign w:val="center"/>
          </w:tcPr>
          <w:p w:rsidR="001E3D24" w:rsidRPr="00621697" w:rsidRDefault="001E3D24" w:rsidP="00D2327B">
            <w:pPr>
              <w:spacing w:line="240" w:lineRule="auto"/>
              <w:jc w:val="left"/>
              <w:rPr>
                <w:rFonts w:cs="Arial"/>
                <w:sz w:val="20"/>
              </w:rPr>
            </w:pPr>
            <w:r w:rsidRPr="00621697">
              <w:rPr>
                <w:rFonts w:cs="Arial"/>
                <w:sz w:val="20"/>
              </w:rPr>
              <w:t>3</w:t>
            </w:r>
            <w:r w:rsidR="00D2327B" w:rsidRPr="00621697">
              <w:rPr>
                <w:rFonts w:cs="Arial"/>
                <w:sz w:val="20"/>
              </w:rPr>
              <w:t>1</w:t>
            </w:r>
            <w:r w:rsidRPr="00621697">
              <w:rPr>
                <w:rFonts w:cs="Arial"/>
                <w:sz w:val="20"/>
              </w:rPr>
              <w:t>. Alteração na Composição da Fauna de Invertebrados de Interesse Médico-Sanitário</w:t>
            </w:r>
          </w:p>
        </w:tc>
        <w:tc>
          <w:tcPr>
            <w:tcW w:w="7538" w:type="dxa"/>
            <w:shd w:val="clear" w:color="auto" w:fill="auto"/>
            <w:noWrap/>
            <w:vAlign w:val="center"/>
          </w:tcPr>
          <w:p w:rsidR="001E3D24" w:rsidRPr="00621697" w:rsidRDefault="001E3D24" w:rsidP="00D2327B">
            <w:pPr>
              <w:spacing w:line="240" w:lineRule="auto"/>
              <w:jc w:val="left"/>
              <w:rPr>
                <w:rFonts w:cs="Arial"/>
                <w:sz w:val="20"/>
              </w:rPr>
            </w:pPr>
            <w:r w:rsidRPr="00621697">
              <w:rPr>
                <w:rFonts w:cs="Arial"/>
                <w:sz w:val="20"/>
              </w:rPr>
              <w:t>4</w:t>
            </w:r>
            <w:r w:rsidR="00D2327B" w:rsidRPr="00621697">
              <w:rPr>
                <w:rFonts w:cs="Arial"/>
                <w:sz w:val="20"/>
              </w:rPr>
              <w:t>9</w:t>
            </w:r>
            <w:r w:rsidRPr="00621697">
              <w:rPr>
                <w:rFonts w:cs="Arial"/>
                <w:sz w:val="20"/>
              </w:rPr>
              <w:t>. Pressão na Infraestrutura Viária</w:t>
            </w:r>
          </w:p>
        </w:tc>
      </w:tr>
      <w:tr w:rsidR="001E3D24" w:rsidRPr="00621697" w:rsidTr="00621697">
        <w:trPr>
          <w:trHeight w:val="488"/>
          <w:jc w:val="center"/>
        </w:trPr>
        <w:tc>
          <w:tcPr>
            <w:tcW w:w="6831" w:type="dxa"/>
            <w:shd w:val="clear" w:color="auto" w:fill="auto"/>
            <w:vAlign w:val="center"/>
            <w:hideMark/>
          </w:tcPr>
          <w:p w:rsidR="001E3D24" w:rsidRPr="00621697" w:rsidRDefault="001E3D24" w:rsidP="00F71F01">
            <w:pPr>
              <w:spacing w:line="240" w:lineRule="auto"/>
              <w:jc w:val="left"/>
              <w:rPr>
                <w:rFonts w:cs="Arial"/>
                <w:sz w:val="20"/>
              </w:rPr>
            </w:pPr>
            <w:r w:rsidRPr="00621697">
              <w:rPr>
                <w:rFonts w:cs="Arial"/>
                <w:sz w:val="20"/>
              </w:rPr>
              <w:t>15. Acréscimo na Suscetibilidade a Instabilização de Encostas Marginais</w:t>
            </w:r>
          </w:p>
        </w:tc>
        <w:tc>
          <w:tcPr>
            <w:tcW w:w="6095" w:type="dxa"/>
            <w:shd w:val="clear" w:color="auto" w:fill="auto"/>
            <w:noWrap/>
            <w:vAlign w:val="center"/>
          </w:tcPr>
          <w:p w:rsidR="001E3D24" w:rsidRPr="00621697" w:rsidRDefault="001E3D24" w:rsidP="00D2327B">
            <w:pPr>
              <w:spacing w:line="240" w:lineRule="auto"/>
              <w:jc w:val="left"/>
              <w:rPr>
                <w:rFonts w:cs="Arial"/>
                <w:sz w:val="20"/>
              </w:rPr>
            </w:pPr>
            <w:r w:rsidRPr="00621697">
              <w:rPr>
                <w:rFonts w:cs="Arial"/>
                <w:sz w:val="20"/>
              </w:rPr>
              <w:t>3</w:t>
            </w:r>
            <w:r w:rsidR="00D2327B" w:rsidRPr="00621697">
              <w:rPr>
                <w:rFonts w:cs="Arial"/>
                <w:sz w:val="20"/>
              </w:rPr>
              <w:t>2</w:t>
            </w:r>
            <w:r w:rsidRPr="00621697">
              <w:rPr>
                <w:rFonts w:cs="Arial"/>
                <w:sz w:val="20"/>
              </w:rPr>
              <w:t>. Perda e Alteração de Habitats da Ictiofauna</w:t>
            </w:r>
          </w:p>
        </w:tc>
        <w:tc>
          <w:tcPr>
            <w:tcW w:w="7538" w:type="dxa"/>
            <w:shd w:val="clear" w:color="auto" w:fill="auto"/>
            <w:vAlign w:val="center"/>
          </w:tcPr>
          <w:p w:rsidR="001E3D24" w:rsidRPr="00621697" w:rsidRDefault="00D2327B" w:rsidP="00FF5296">
            <w:pPr>
              <w:spacing w:line="240" w:lineRule="auto"/>
              <w:jc w:val="left"/>
              <w:rPr>
                <w:rFonts w:cs="Arial"/>
                <w:sz w:val="20"/>
              </w:rPr>
            </w:pPr>
            <w:r w:rsidRPr="00621697">
              <w:rPr>
                <w:rFonts w:cs="Arial"/>
                <w:sz w:val="20"/>
              </w:rPr>
              <w:t>50</w:t>
            </w:r>
            <w:r w:rsidR="001E3D24" w:rsidRPr="00621697">
              <w:rPr>
                <w:rFonts w:cs="Arial"/>
                <w:sz w:val="20"/>
              </w:rPr>
              <w:t xml:space="preserve">. Interferências </w:t>
            </w:r>
            <w:r w:rsidR="00FF5296" w:rsidRPr="00621697">
              <w:rPr>
                <w:rFonts w:cs="Arial"/>
                <w:sz w:val="20"/>
              </w:rPr>
              <w:t>nos Usos Múltiplos da Água</w:t>
            </w:r>
          </w:p>
        </w:tc>
      </w:tr>
      <w:tr w:rsidR="001E3D24" w:rsidRPr="00621697" w:rsidTr="00621697">
        <w:trPr>
          <w:trHeight w:val="488"/>
          <w:jc w:val="center"/>
        </w:trPr>
        <w:tc>
          <w:tcPr>
            <w:tcW w:w="6831" w:type="dxa"/>
            <w:shd w:val="clear" w:color="auto" w:fill="auto"/>
            <w:noWrap/>
            <w:vAlign w:val="center"/>
            <w:hideMark/>
          </w:tcPr>
          <w:p w:rsidR="001E3D24" w:rsidRPr="00621697" w:rsidRDefault="001E3D24" w:rsidP="00094EB3">
            <w:pPr>
              <w:spacing w:line="240" w:lineRule="auto"/>
              <w:jc w:val="left"/>
              <w:rPr>
                <w:rFonts w:cs="Arial"/>
                <w:sz w:val="20"/>
              </w:rPr>
            </w:pPr>
            <w:r w:rsidRPr="00621697">
              <w:rPr>
                <w:rFonts w:cs="Arial"/>
                <w:sz w:val="20"/>
              </w:rPr>
              <w:t>16. Risco de Contaminação do Solo</w:t>
            </w:r>
            <w:r w:rsidRPr="00621697" w:rsidDel="00D342FB">
              <w:rPr>
                <w:rFonts w:cs="Arial"/>
                <w:sz w:val="20"/>
              </w:rPr>
              <w:t xml:space="preserve"> </w:t>
            </w:r>
          </w:p>
        </w:tc>
        <w:tc>
          <w:tcPr>
            <w:tcW w:w="6095" w:type="dxa"/>
            <w:shd w:val="clear" w:color="auto" w:fill="auto"/>
            <w:noWrap/>
            <w:vAlign w:val="center"/>
          </w:tcPr>
          <w:p w:rsidR="001E3D24" w:rsidRPr="00621697" w:rsidRDefault="001E3D24" w:rsidP="00D2327B">
            <w:pPr>
              <w:spacing w:line="240" w:lineRule="auto"/>
              <w:jc w:val="left"/>
              <w:rPr>
                <w:rFonts w:cs="Arial"/>
                <w:sz w:val="20"/>
              </w:rPr>
            </w:pPr>
            <w:r w:rsidRPr="00621697">
              <w:rPr>
                <w:rFonts w:cs="Arial"/>
                <w:sz w:val="20"/>
              </w:rPr>
              <w:t>3</w:t>
            </w:r>
            <w:r w:rsidR="00D2327B" w:rsidRPr="00621697">
              <w:rPr>
                <w:rFonts w:cs="Arial"/>
                <w:sz w:val="20"/>
              </w:rPr>
              <w:t>3</w:t>
            </w:r>
            <w:r w:rsidRPr="00621697">
              <w:rPr>
                <w:rFonts w:cs="Arial"/>
                <w:sz w:val="20"/>
              </w:rPr>
              <w:t>. Mudanças na Composição e Estrutura da Comunidade Ictíica</w:t>
            </w:r>
          </w:p>
        </w:tc>
        <w:tc>
          <w:tcPr>
            <w:tcW w:w="7538" w:type="dxa"/>
            <w:shd w:val="clear" w:color="auto" w:fill="auto"/>
            <w:vAlign w:val="center"/>
          </w:tcPr>
          <w:p w:rsidR="001E3D24" w:rsidRPr="00621697" w:rsidRDefault="001E3D24" w:rsidP="00D2327B">
            <w:pPr>
              <w:spacing w:line="240" w:lineRule="auto"/>
              <w:jc w:val="left"/>
              <w:rPr>
                <w:rFonts w:cs="Arial"/>
                <w:sz w:val="20"/>
              </w:rPr>
            </w:pPr>
            <w:r w:rsidRPr="00621697">
              <w:rPr>
                <w:rFonts w:cs="Arial"/>
                <w:sz w:val="20"/>
              </w:rPr>
              <w:t>5</w:t>
            </w:r>
            <w:r w:rsidR="00D2327B" w:rsidRPr="00621697">
              <w:rPr>
                <w:rFonts w:cs="Arial"/>
                <w:sz w:val="20"/>
              </w:rPr>
              <w:t>1</w:t>
            </w:r>
            <w:r w:rsidRPr="00621697">
              <w:rPr>
                <w:rFonts w:cs="Arial"/>
                <w:sz w:val="20"/>
              </w:rPr>
              <w:t>. Aumento/Retração da Oferta de Emprego e Renda em função das obras de implantação das barragens</w:t>
            </w:r>
          </w:p>
        </w:tc>
      </w:tr>
      <w:tr w:rsidR="001E3D24" w:rsidRPr="00621697" w:rsidTr="00621697">
        <w:trPr>
          <w:trHeight w:val="488"/>
          <w:jc w:val="center"/>
        </w:trPr>
        <w:tc>
          <w:tcPr>
            <w:tcW w:w="6831" w:type="dxa"/>
            <w:shd w:val="clear" w:color="auto" w:fill="auto"/>
            <w:noWrap/>
            <w:vAlign w:val="center"/>
            <w:hideMark/>
          </w:tcPr>
          <w:p w:rsidR="001E3D24" w:rsidRPr="00621697" w:rsidRDefault="001E3D24" w:rsidP="00094EB3">
            <w:pPr>
              <w:spacing w:line="240" w:lineRule="auto"/>
              <w:jc w:val="left"/>
              <w:rPr>
                <w:rFonts w:cs="Arial"/>
                <w:sz w:val="20"/>
              </w:rPr>
            </w:pPr>
            <w:r w:rsidRPr="00621697">
              <w:rPr>
                <w:rFonts w:cs="Arial"/>
                <w:sz w:val="20"/>
              </w:rPr>
              <w:t>17. Perda de Solos com Potencial Agrícola</w:t>
            </w:r>
            <w:r w:rsidRPr="00621697" w:rsidDel="00D342FB">
              <w:rPr>
                <w:rFonts w:cs="Arial"/>
                <w:sz w:val="20"/>
              </w:rPr>
              <w:t xml:space="preserve"> </w:t>
            </w:r>
          </w:p>
        </w:tc>
        <w:tc>
          <w:tcPr>
            <w:tcW w:w="6095" w:type="dxa"/>
            <w:shd w:val="clear" w:color="auto" w:fill="auto"/>
            <w:noWrap/>
            <w:vAlign w:val="center"/>
          </w:tcPr>
          <w:p w:rsidR="001E3D24" w:rsidRPr="00621697" w:rsidRDefault="001E3D24" w:rsidP="00D2327B">
            <w:pPr>
              <w:spacing w:line="240" w:lineRule="auto"/>
              <w:jc w:val="left"/>
              <w:rPr>
                <w:rFonts w:cs="Arial"/>
                <w:sz w:val="20"/>
              </w:rPr>
            </w:pPr>
            <w:r w:rsidRPr="00621697">
              <w:rPr>
                <w:rFonts w:cs="Arial"/>
                <w:sz w:val="20"/>
              </w:rPr>
              <w:t>3</w:t>
            </w:r>
            <w:r w:rsidR="00D2327B" w:rsidRPr="00621697">
              <w:rPr>
                <w:rFonts w:cs="Arial"/>
                <w:sz w:val="20"/>
              </w:rPr>
              <w:t>4</w:t>
            </w:r>
            <w:r w:rsidRPr="00621697">
              <w:rPr>
                <w:rFonts w:cs="Arial"/>
                <w:sz w:val="20"/>
              </w:rPr>
              <w:t>. Impacto na Ictiofauna pela Implantação das Ensecadeiras</w:t>
            </w:r>
          </w:p>
        </w:tc>
        <w:tc>
          <w:tcPr>
            <w:tcW w:w="7538" w:type="dxa"/>
            <w:shd w:val="clear" w:color="auto" w:fill="auto"/>
            <w:vAlign w:val="center"/>
          </w:tcPr>
          <w:p w:rsidR="001E3D24" w:rsidRPr="00621697" w:rsidRDefault="00D2327B" w:rsidP="00094EB3">
            <w:pPr>
              <w:spacing w:line="240" w:lineRule="auto"/>
              <w:jc w:val="left"/>
              <w:rPr>
                <w:rFonts w:cs="Arial"/>
                <w:sz w:val="20"/>
              </w:rPr>
            </w:pPr>
            <w:r w:rsidRPr="00621697">
              <w:rPr>
                <w:rFonts w:cs="Arial"/>
                <w:sz w:val="20"/>
              </w:rPr>
              <w:t>52</w:t>
            </w:r>
            <w:r w:rsidR="001E3D24" w:rsidRPr="00621697">
              <w:rPr>
                <w:rFonts w:cs="Arial"/>
                <w:sz w:val="20"/>
              </w:rPr>
              <w:t>. Aumento da Arrecadação Financeira nos Municípios da AID</w:t>
            </w:r>
          </w:p>
        </w:tc>
      </w:tr>
      <w:tr w:rsidR="001E3D24" w:rsidRPr="00621697" w:rsidTr="00621697">
        <w:trPr>
          <w:trHeight w:val="488"/>
          <w:jc w:val="center"/>
        </w:trPr>
        <w:tc>
          <w:tcPr>
            <w:tcW w:w="6831" w:type="dxa"/>
            <w:shd w:val="clear" w:color="auto" w:fill="auto"/>
            <w:noWrap/>
            <w:vAlign w:val="center"/>
            <w:hideMark/>
          </w:tcPr>
          <w:p w:rsidR="001E3D24" w:rsidRPr="00621697" w:rsidRDefault="001E3D24" w:rsidP="00094EB3">
            <w:pPr>
              <w:spacing w:line="240" w:lineRule="auto"/>
              <w:jc w:val="left"/>
              <w:rPr>
                <w:rFonts w:cs="Arial"/>
                <w:sz w:val="20"/>
              </w:rPr>
            </w:pPr>
            <w:r w:rsidRPr="00621697">
              <w:rPr>
                <w:rFonts w:cs="Arial"/>
                <w:sz w:val="20"/>
              </w:rPr>
              <w:t>18. Interferência em Áreas de Pesquisas Minerárias</w:t>
            </w:r>
          </w:p>
        </w:tc>
        <w:tc>
          <w:tcPr>
            <w:tcW w:w="6095" w:type="dxa"/>
            <w:shd w:val="clear" w:color="auto" w:fill="auto"/>
            <w:noWrap/>
            <w:vAlign w:val="center"/>
          </w:tcPr>
          <w:p w:rsidR="001E3D24" w:rsidRPr="00621697" w:rsidRDefault="001E3D24" w:rsidP="00D2327B">
            <w:pPr>
              <w:spacing w:line="240" w:lineRule="auto"/>
              <w:jc w:val="left"/>
              <w:rPr>
                <w:rFonts w:cs="Arial"/>
                <w:sz w:val="20"/>
              </w:rPr>
            </w:pPr>
            <w:r w:rsidRPr="00621697">
              <w:rPr>
                <w:rFonts w:cs="Arial"/>
                <w:sz w:val="20"/>
              </w:rPr>
              <w:t>3</w:t>
            </w:r>
            <w:r w:rsidR="00D2327B" w:rsidRPr="00621697">
              <w:rPr>
                <w:rFonts w:cs="Arial"/>
                <w:sz w:val="20"/>
              </w:rPr>
              <w:t>5</w:t>
            </w:r>
            <w:r w:rsidRPr="00621697">
              <w:rPr>
                <w:rFonts w:cs="Arial"/>
                <w:sz w:val="20"/>
              </w:rPr>
              <w:t>. Interrupção do Fluxo Migratório das Espécies Migradoras de Longas Distâncias</w:t>
            </w:r>
          </w:p>
        </w:tc>
        <w:tc>
          <w:tcPr>
            <w:tcW w:w="7538" w:type="dxa"/>
            <w:shd w:val="clear" w:color="auto" w:fill="auto"/>
            <w:noWrap/>
            <w:vAlign w:val="center"/>
          </w:tcPr>
          <w:p w:rsidR="001E3D24" w:rsidRPr="00621697" w:rsidRDefault="001E3D24" w:rsidP="00D2327B">
            <w:pPr>
              <w:spacing w:line="240" w:lineRule="auto"/>
              <w:jc w:val="left"/>
              <w:rPr>
                <w:rFonts w:cs="Arial"/>
                <w:sz w:val="20"/>
              </w:rPr>
            </w:pPr>
            <w:r w:rsidRPr="00621697">
              <w:rPr>
                <w:rFonts w:cs="Arial"/>
                <w:sz w:val="20"/>
              </w:rPr>
              <w:t>5</w:t>
            </w:r>
            <w:r w:rsidR="00D2327B" w:rsidRPr="00621697">
              <w:rPr>
                <w:rFonts w:cs="Arial"/>
                <w:sz w:val="20"/>
              </w:rPr>
              <w:t>3</w:t>
            </w:r>
            <w:r w:rsidRPr="00621697">
              <w:rPr>
                <w:rFonts w:cs="Arial"/>
                <w:sz w:val="20"/>
              </w:rPr>
              <w:t>. Contribuição ao Desenvolvimento Econômico e Social Regional</w:t>
            </w:r>
          </w:p>
        </w:tc>
      </w:tr>
      <w:tr w:rsidR="001E3D24" w:rsidRPr="00621697" w:rsidTr="00621697">
        <w:trPr>
          <w:trHeight w:val="488"/>
          <w:jc w:val="center"/>
        </w:trPr>
        <w:tc>
          <w:tcPr>
            <w:tcW w:w="6831" w:type="dxa"/>
            <w:shd w:val="clear" w:color="auto" w:fill="auto"/>
            <w:noWrap/>
            <w:vAlign w:val="center"/>
          </w:tcPr>
          <w:p w:rsidR="001E3D24" w:rsidRPr="00621697" w:rsidRDefault="001E3D24" w:rsidP="00094EB3">
            <w:pPr>
              <w:spacing w:line="240" w:lineRule="auto"/>
              <w:jc w:val="left"/>
              <w:rPr>
                <w:rFonts w:cs="Arial"/>
                <w:sz w:val="20"/>
              </w:rPr>
            </w:pPr>
            <w:r w:rsidRPr="00621697">
              <w:rPr>
                <w:rFonts w:cs="Arial"/>
                <w:sz w:val="20"/>
              </w:rPr>
              <w:t>19. Alteração da Paisagem com a Formação do</w:t>
            </w:r>
            <w:r w:rsidR="00F71F01" w:rsidRPr="00621697">
              <w:rPr>
                <w:rFonts w:cs="Arial"/>
                <w:sz w:val="20"/>
              </w:rPr>
              <w:t>s</w:t>
            </w:r>
            <w:r w:rsidRPr="00621697">
              <w:rPr>
                <w:rFonts w:cs="Arial"/>
                <w:sz w:val="20"/>
              </w:rPr>
              <w:t xml:space="preserve"> Reservatório</w:t>
            </w:r>
            <w:r w:rsidR="00F71F01" w:rsidRPr="00621697">
              <w:rPr>
                <w:rFonts w:cs="Arial"/>
                <w:sz w:val="20"/>
              </w:rPr>
              <w:t>s</w:t>
            </w:r>
          </w:p>
        </w:tc>
        <w:tc>
          <w:tcPr>
            <w:tcW w:w="6095" w:type="dxa"/>
            <w:shd w:val="clear" w:color="auto" w:fill="auto"/>
            <w:noWrap/>
            <w:vAlign w:val="center"/>
          </w:tcPr>
          <w:p w:rsidR="001E3D24" w:rsidRPr="00621697" w:rsidRDefault="001E3D24" w:rsidP="00094EB3">
            <w:pPr>
              <w:spacing w:line="240" w:lineRule="auto"/>
              <w:jc w:val="left"/>
              <w:rPr>
                <w:rFonts w:cs="Arial"/>
                <w:sz w:val="20"/>
              </w:rPr>
            </w:pPr>
          </w:p>
        </w:tc>
        <w:tc>
          <w:tcPr>
            <w:tcW w:w="7538" w:type="dxa"/>
            <w:shd w:val="clear" w:color="auto" w:fill="auto"/>
            <w:noWrap/>
            <w:vAlign w:val="center"/>
          </w:tcPr>
          <w:p w:rsidR="001E3D24" w:rsidRPr="00621697" w:rsidRDefault="001E3D24" w:rsidP="00D2327B">
            <w:pPr>
              <w:spacing w:line="240" w:lineRule="auto"/>
              <w:jc w:val="left"/>
              <w:rPr>
                <w:rFonts w:cs="Arial"/>
                <w:sz w:val="20"/>
              </w:rPr>
            </w:pPr>
            <w:r w:rsidRPr="00621697">
              <w:rPr>
                <w:rFonts w:cs="Arial"/>
                <w:sz w:val="20"/>
              </w:rPr>
              <w:t>5</w:t>
            </w:r>
            <w:r w:rsidR="00D2327B" w:rsidRPr="00621697">
              <w:rPr>
                <w:rFonts w:cs="Arial"/>
                <w:sz w:val="20"/>
              </w:rPr>
              <w:t>4</w:t>
            </w:r>
            <w:r w:rsidRPr="00621697">
              <w:rPr>
                <w:rFonts w:cs="Arial"/>
                <w:sz w:val="20"/>
              </w:rPr>
              <w:t>. Interferência com o Patrimônio Histórico, Cultural e Arqueológico</w:t>
            </w:r>
            <w:r w:rsidR="00833161">
              <w:rPr>
                <w:rFonts w:cs="Arial"/>
                <w:sz w:val="20"/>
              </w:rPr>
              <w:t>.</w:t>
            </w:r>
          </w:p>
        </w:tc>
      </w:tr>
      <w:tr w:rsidR="001E3D24" w:rsidRPr="00621697" w:rsidTr="00621697">
        <w:trPr>
          <w:trHeight w:val="488"/>
          <w:jc w:val="center"/>
        </w:trPr>
        <w:tc>
          <w:tcPr>
            <w:tcW w:w="6831" w:type="dxa"/>
            <w:shd w:val="clear" w:color="auto" w:fill="auto"/>
            <w:noWrap/>
            <w:vAlign w:val="center"/>
          </w:tcPr>
          <w:p w:rsidR="001E3D24" w:rsidRPr="00621697" w:rsidRDefault="001E3D24" w:rsidP="00094EB3">
            <w:pPr>
              <w:spacing w:line="240" w:lineRule="auto"/>
              <w:ind w:left="1129"/>
              <w:jc w:val="left"/>
              <w:rPr>
                <w:rFonts w:cs="Arial"/>
                <w:sz w:val="20"/>
              </w:rPr>
            </w:pPr>
          </w:p>
        </w:tc>
        <w:tc>
          <w:tcPr>
            <w:tcW w:w="6095" w:type="dxa"/>
            <w:shd w:val="clear" w:color="auto" w:fill="auto"/>
            <w:noWrap/>
            <w:vAlign w:val="center"/>
          </w:tcPr>
          <w:p w:rsidR="001E3D24" w:rsidRPr="00621697" w:rsidRDefault="001E3D24" w:rsidP="00094EB3">
            <w:pPr>
              <w:spacing w:line="240" w:lineRule="auto"/>
              <w:jc w:val="left"/>
              <w:rPr>
                <w:rFonts w:cs="Arial"/>
                <w:sz w:val="20"/>
              </w:rPr>
            </w:pPr>
          </w:p>
        </w:tc>
        <w:tc>
          <w:tcPr>
            <w:tcW w:w="7538" w:type="dxa"/>
            <w:shd w:val="clear" w:color="auto" w:fill="auto"/>
            <w:noWrap/>
            <w:vAlign w:val="center"/>
          </w:tcPr>
          <w:p w:rsidR="001E3D24" w:rsidRPr="00621697" w:rsidRDefault="001E3D24" w:rsidP="00D2327B">
            <w:pPr>
              <w:spacing w:line="240" w:lineRule="auto"/>
              <w:jc w:val="left"/>
              <w:rPr>
                <w:rFonts w:cs="Arial"/>
                <w:sz w:val="20"/>
              </w:rPr>
            </w:pPr>
            <w:r w:rsidRPr="00621697">
              <w:rPr>
                <w:rFonts w:cs="Arial"/>
                <w:sz w:val="20"/>
              </w:rPr>
              <w:t>5</w:t>
            </w:r>
            <w:r w:rsidR="00D2327B" w:rsidRPr="00621697">
              <w:rPr>
                <w:rFonts w:cs="Arial"/>
                <w:sz w:val="20"/>
              </w:rPr>
              <w:t>5</w:t>
            </w:r>
            <w:r w:rsidRPr="00621697">
              <w:rPr>
                <w:rFonts w:cs="Arial"/>
                <w:sz w:val="20"/>
              </w:rPr>
              <w:t>. Regularização de Vazões dos rios Jaguari e Camanducaia</w:t>
            </w:r>
          </w:p>
        </w:tc>
      </w:tr>
      <w:tr w:rsidR="001E3D24" w:rsidRPr="00621697" w:rsidTr="00621697">
        <w:trPr>
          <w:trHeight w:val="489"/>
          <w:jc w:val="center"/>
        </w:trPr>
        <w:tc>
          <w:tcPr>
            <w:tcW w:w="6831" w:type="dxa"/>
            <w:shd w:val="clear" w:color="auto" w:fill="auto"/>
            <w:noWrap/>
            <w:vAlign w:val="center"/>
          </w:tcPr>
          <w:p w:rsidR="001E3D24" w:rsidRPr="00621697" w:rsidRDefault="001E3D24" w:rsidP="00094EB3">
            <w:pPr>
              <w:spacing w:line="240" w:lineRule="auto"/>
              <w:ind w:left="1129"/>
              <w:jc w:val="left"/>
              <w:rPr>
                <w:rFonts w:cs="Arial"/>
                <w:sz w:val="20"/>
              </w:rPr>
            </w:pPr>
          </w:p>
        </w:tc>
        <w:tc>
          <w:tcPr>
            <w:tcW w:w="6095" w:type="dxa"/>
            <w:shd w:val="clear" w:color="auto" w:fill="auto"/>
            <w:noWrap/>
            <w:vAlign w:val="center"/>
          </w:tcPr>
          <w:p w:rsidR="001E3D24" w:rsidRPr="00621697" w:rsidRDefault="001E3D24" w:rsidP="00094EB3">
            <w:pPr>
              <w:spacing w:line="240" w:lineRule="auto"/>
              <w:jc w:val="left"/>
              <w:rPr>
                <w:rFonts w:cs="Arial"/>
                <w:sz w:val="20"/>
              </w:rPr>
            </w:pPr>
          </w:p>
        </w:tc>
        <w:tc>
          <w:tcPr>
            <w:tcW w:w="7538" w:type="dxa"/>
            <w:shd w:val="clear" w:color="auto" w:fill="auto"/>
            <w:noWrap/>
            <w:vAlign w:val="center"/>
          </w:tcPr>
          <w:p w:rsidR="001E3D24" w:rsidRPr="00621697" w:rsidRDefault="001E3D24" w:rsidP="00D2327B">
            <w:pPr>
              <w:spacing w:line="240" w:lineRule="auto"/>
              <w:jc w:val="left"/>
              <w:rPr>
                <w:rFonts w:cs="Arial"/>
                <w:sz w:val="20"/>
              </w:rPr>
            </w:pPr>
            <w:r w:rsidRPr="00621697">
              <w:rPr>
                <w:rFonts w:cs="Arial"/>
                <w:sz w:val="20"/>
              </w:rPr>
              <w:t>5</w:t>
            </w:r>
            <w:r w:rsidR="00D2327B" w:rsidRPr="00621697">
              <w:rPr>
                <w:rFonts w:cs="Arial"/>
                <w:sz w:val="20"/>
              </w:rPr>
              <w:t>6</w:t>
            </w:r>
            <w:r w:rsidRPr="00621697">
              <w:rPr>
                <w:rFonts w:cs="Arial"/>
                <w:sz w:val="20"/>
              </w:rPr>
              <w:t xml:space="preserve">. </w:t>
            </w:r>
            <w:r w:rsidR="00003927">
              <w:rPr>
                <w:rFonts w:cs="Arial"/>
                <w:sz w:val="20"/>
              </w:rPr>
              <w:t xml:space="preserve">Interferência com a </w:t>
            </w:r>
            <w:r w:rsidRPr="00003927">
              <w:rPr>
                <w:rFonts w:cs="Arial"/>
                <w:sz w:val="20"/>
              </w:rPr>
              <w:t>Geração de Energia Elétrica</w:t>
            </w:r>
          </w:p>
        </w:tc>
      </w:tr>
    </w:tbl>
    <w:p w:rsidR="009E1DAB" w:rsidRPr="009E1DAB" w:rsidRDefault="009E1DAB" w:rsidP="009E1DAB">
      <w:pPr>
        <w:tabs>
          <w:tab w:val="left" w:pos="2265"/>
        </w:tabs>
        <w:rPr>
          <w:rFonts w:eastAsia="Calibri" w:cs="Arial"/>
          <w:szCs w:val="22"/>
          <w:lang w:eastAsia="en-US"/>
        </w:rPr>
        <w:sectPr w:rsidR="009E1DAB" w:rsidRPr="009E1DAB" w:rsidSect="009E1DAB">
          <w:headerReference w:type="default" r:id="rId18"/>
          <w:footerReference w:type="default" r:id="rId19"/>
          <w:pgSz w:w="23814" w:h="16839" w:orient="landscape" w:code="8"/>
          <w:pgMar w:top="1701" w:right="851" w:bottom="1134" w:left="1701" w:header="567" w:footer="567" w:gutter="0"/>
          <w:cols w:space="720"/>
          <w:docGrid w:linePitch="299"/>
        </w:sectPr>
      </w:pPr>
    </w:p>
    <w:p w:rsidR="009E1DAB" w:rsidRPr="002F49BF" w:rsidRDefault="009E1DAB" w:rsidP="00431A97">
      <w:pPr>
        <w:pStyle w:val="Ttulo3"/>
        <w:numPr>
          <w:ilvl w:val="2"/>
          <w:numId w:val="34"/>
        </w:numPr>
        <w:spacing w:after="240"/>
        <w:ind w:left="567" w:hanging="567"/>
        <w:rPr>
          <w:rFonts w:cs="Arial"/>
          <w:bCs/>
          <w:szCs w:val="22"/>
        </w:rPr>
      </w:pPr>
      <w:bookmarkStart w:id="95" w:name="_Toc418758199"/>
      <w:bookmarkStart w:id="96" w:name="_Toc418758801"/>
      <w:bookmarkStart w:id="97" w:name="_Toc419813566"/>
      <w:bookmarkStart w:id="98" w:name="_Toc335823114"/>
      <w:bookmarkStart w:id="99" w:name="_Toc365455771"/>
      <w:bookmarkStart w:id="100" w:name="_Toc365627530"/>
      <w:bookmarkStart w:id="101" w:name="_Toc365973395"/>
      <w:bookmarkStart w:id="102" w:name="_Toc370802311"/>
      <w:bookmarkStart w:id="103" w:name="_Toc370906022"/>
      <w:bookmarkStart w:id="104" w:name="_Toc371328366"/>
      <w:r w:rsidRPr="002F49BF">
        <w:rPr>
          <w:rFonts w:cs="Arial"/>
          <w:bCs/>
          <w:szCs w:val="22"/>
        </w:rPr>
        <w:lastRenderedPageBreak/>
        <w:t>Definição dos Atributos de Avaliação dos Potenciais Impactos Ambientais</w:t>
      </w:r>
      <w:bookmarkEnd w:id="95"/>
      <w:bookmarkEnd w:id="96"/>
      <w:bookmarkEnd w:id="97"/>
    </w:p>
    <w:p w:rsidR="009E1DAB" w:rsidRPr="009E1DAB" w:rsidRDefault="009E1DAB" w:rsidP="009E1DAB">
      <w:pPr>
        <w:autoSpaceDE w:val="0"/>
        <w:autoSpaceDN w:val="0"/>
        <w:adjustRightInd w:val="0"/>
        <w:spacing w:before="120" w:after="120" w:line="240" w:lineRule="auto"/>
        <w:rPr>
          <w:rFonts w:cs="Arial"/>
          <w:szCs w:val="22"/>
        </w:rPr>
      </w:pPr>
      <w:r w:rsidRPr="009E1DAB">
        <w:rPr>
          <w:rFonts w:cs="Arial"/>
          <w:szCs w:val="22"/>
        </w:rPr>
        <w:t>Segundo MAIA (1992) as metodologias aplicadas para avaliação dos impactos ambientais devem apresentar a abrangência do conjunto de atributos (intensidade, dimensão temporal, periodicidade, ordem de interação, natureza, grau de reversibilidade, benefícios, etc.) considerados na caracterização dos impactos.</w:t>
      </w:r>
    </w:p>
    <w:p w:rsidR="009E1DAB" w:rsidRPr="00542D7F" w:rsidRDefault="009E1DAB" w:rsidP="009E1DAB">
      <w:pPr>
        <w:spacing w:before="120" w:after="120" w:line="240" w:lineRule="auto"/>
        <w:rPr>
          <w:rFonts w:eastAsia="Calibri"/>
          <w:lang w:eastAsia="en-US"/>
        </w:rPr>
      </w:pPr>
      <w:r w:rsidRPr="009E1DAB">
        <w:rPr>
          <w:rFonts w:eastAsia="Calibri"/>
          <w:lang w:eastAsia="en-US"/>
        </w:rPr>
        <w:t xml:space="preserve">A caracterização dos impactos ambientais foi realizada respeitando diferentes atributos em sua mensuração e na avaliação propriamente dita. Tal caracterização foi desenvolvida de acordo com o estabelecido pela Resolução </w:t>
      </w:r>
      <w:r w:rsidR="00504078">
        <w:rPr>
          <w:rFonts w:eastAsia="Calibri"/>
          <w:lang w:eastAsia="en-US"/>
        </w:rPr>
        <w:t>CONAMA</w:t>
      </w:r>
      <w:r w:rsidRPr="009E1DAB">
        <w:rPr>
          <w:rFonts w:eastAsia="Calibri"/>
          <w:lang w:eastAsia="en-US"/>
        </w:rPr>
        <w:t xml:space="preserve"> </w:t>
      </w:r>
      <w:r w:rsidR="002E2454">
        <w:rPr>
          <w:rFonts w:eastAsia="Calibri"/>
          <w:lang w:eastAsia="en-US"/>
        </w:rPr>
        <w:t>n</w:t>
      </w:r>
      <w:r w:rsidR="002E2454" w:rsidRPr="002E2454">
        <w:rPr>
          <w:rFonts w:eastAsia="Calibri"/>
          <w:u w:val="single"/>
          <w:vertAlign w:val="superscript"/>
          <w:lang w:eastAsia="en-US"/>
        </w:rPr>
        <w:t>o</w:t>
      </w:r>
      <w:r w:rsidRPr="009E1DAB">
        <w:rPr>
          <w:rFonts w:eastAsia="Calibri"/>
          <w:lang w:eastAsia="en-US"/>
        </w:rPr>
        <w:t xml:space="preserve"> 001/86 e pelo Parecer Técnico n° 410/13/IE</w:t>
      </w:r>
      <w:r w:rsidRPr="009E1DAB" w:rsidDel="00531A4A">
        <w:rPr>
          <w:rFonts w:eastAsia="Calibri"/>
          <w:lang w:eastAsia="en-US"/>
        </w:rPr>
        <w:t xml:space="preserve"> </w:t>
      </w:r>
      <w:r w:rsidRPr="009E1DAB">
        <w:rPr>
          <w:rFonts w:eastAsia="Calibri"/>
          <w:lang w:eastAsia="en-US"/>
        </w:rPr>
        <w:t xml:space="preserve">referente ao Termo de Referência para elaboração do presente EIA, sendo adotados os referenciais relacionados no </w:t>
      </w:r>
      <w:r w:rsidRPr="00542D7F">
        <w:rPr>
          <w:rFonts w:eastAsia="Calibri"/>
          <w:lang w:eastAsia="en-US"/>
        </w:rPr>
        <w:t xml:space="preserve">Quadro 1.2.5. </w:t>
      </w:r>
    </w:p>
    <w:p w:rsidR="00621697" w:rsidRPr="002E2454" w:rsidRDefault="002E2454" w:rsidP="002E2454">
      <w:pPr>
        <w:pStyle w:val="Legenda"/>
        <w:spacing w:before="0" w:after="0" w:line="240" w:lineRule="auto"/>
        <w:jc w:val="center"/>
        <w:rPr>
          <w:rFonts w:eastAsia="Calibri"/>
          <w:b w:val="0"/>
          <w:i w:val="0"/>
          <w:lang w:eastAsia="en-US"/>
        </w:rPr>
      </w:pPr>
      <w:bookmarkStart w:id="105" w:name="_Toc420316442"/>
      <w:r w:rsidRPr="002E2454">
        <w:rPr>
          <w:i w:val="0"/>
        </w:rPr>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1.2</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5</w:t>
      </w:r>
      <w:r w:rsidR="00B80A05">
        <w:rPr>
          <w:i w:val="0"/>
        </w:rPr>
        <w:fldChar w:fldCharType="end"/>
      </w:r>
      <w:r w:rsidRPr="002E2454">
        <w:rPr>
          <w:i w:val="0"/>
        </w:rPr>
        <w:t>.</w:t>
      </w:r>
      <w:r w:rsidRPr="002E2454">
        <w:rPr>
          <w:b w:val="0"/>
          <w:i w:val="0"/>
        </w:rPr>
        <w:t xml:space="preserve"> - </w:t>
      </w:r>
      <w:r w:rsidR="009E1DAB" w:rsidRPr="002E2454">
        <w:rPr>
          <w:rFonts w:eastAsia="Calibri"/>
          <w:b w:val="0"/>
          <w:i w:val="0"/>
          <w:lang w:eastAsia="en-US"/>
        </w:rPr>
        <w:t>Referenciais de Avaliação de Impacto Ambiental</w:t>
      </w:r>
      <w:bookmarkEnd w:id="105"/>
      <w:r w:rsidR="009E1DAB" w:rsidRPr="002E2454">
        <w:rPr>
          <w:rFonts w:eastAsia="Calibri"/>
          <w:b w:val="0"/>
          <w:i w:val="0"/>
          <w:lang w:eastAsia="en-US"/>
        </w:rPr>
        <w:t xml:space="preserve"> </w:t>
      </w:r>
    </w:p>
    <w:p w:rsidR="009E1DAB" w:rsidRPr="002E2454" w:rsidRDefault="009E1DAB" w:rsidP="002E2454">
      <w:pPr>
        <w:spacing w:line="240" w:lineRule="auto"/>
        <w:jc w:val="center"/>
        <w:rPr>
          <w:rFonts w:eastAsia="Calibri"/>
          <w:lang w:eastAsia="en-US"/>
        </w:rPr>
      </w:pPr>
      <w:r w:rsidRPr="002E2454">
        <w:rPr>
          <w:rFonts w:eastAsia="Calibri"/>
          <w:lang w:eastAsia="en-US"/>
        </w:rPr>
        <w:t xml:space="preserve">estabelecido pela Resolução </w:t>
      </w:r>
      <w:r w:rsidR="00504078">
        <w:rPr>
          <w:rFonts w:eastAsia="Calibri"/>
          <w:lang w:eastAsia="en-US"/>
        </w:rPr>
        <w:t>CONAMA</w:t>
      </w:r>
      <w:r w:rsidR="00EA17F5" w:rsidRPr="002E2454">
        <w:rPr>
          <w:rFonts w:eastAsia="Calibri"/>
          <w:lang w:eastAsia="en-US"/>
        </w:rPr>
        <w:t xml:space="preserve"> </w:t>
      </w:r>
      <w:r w:rsidR="00621697" w:rsidRPr="002E2454">
        <w:rPr>
          <w:rFonts w:eastAsia="Calibri"/>
          <w:lang w:eastAsia="en-US"/>
        </w:rPr>
        <w:t>n</w:t>
      </w:r>
      <w:r w:rsidR="00621697" w:rsidRPr="002E2454">
        <w:rPr>
          <w:rFonts w:eastAsia="Calibri"/>
          <w:u w:val="single"/>
          <w:vertAlign w:val="superscript"/>
          <w:lang w:eastAsia="en-US"/>
        </w:rPr>
        <w:t>o</w:t>
      </w:r>
      <w:r w:rsidR="00621697" w:rsidRPr="002E2454">
        <w:rPr>
          <w:rFonts w:eastAsia="Calibri"/>
          <w:lang w:eastAsia="en-US"/>
        </w:rPr>
        <w:t xml:space="preserve"> </w:t>
      </w:r>
      <w:r w:rsidRPr="002E2454">
        <w:rPr>
          <w:rFonts w:eastAsia="Calibri"/>
          <w:lang w:eastAsia="en-US"/>
        </w:rPr>
        <w:t>001/86.</w:t>
      </w:r>
    </w:p>
    <w:p w:rsidR="00621697" w:rsidRDefault="00621697" w:rsidP="00621697">
      <w:pPr>
        <w:spacing w:line="240" w:lineRule="auto"/>
        <w:jc w:val="center"/>
        <w:rPr>
          <w:rFonts w:eastAsia="Calibri"/>
          <w:lang w:eastAsia="en-US"/>
        </w:rPr>
      </w:pPr>
    </w:p>
    <w:tbl>
      <w:tblPr>
        <w:tblStyle w:val="Tabelacomgrade"/>
        <w:tblW w:w="9606" w:type="dxa"/>
        <w:shd w:val="clear" w:color="auto" w:fill="D9D9D9" w:themeFill="background1" w:themeFillShade="D9"/>
        <w:tblLook w:val="04A0" w:firstRow="1" w:lastRow="0" w:firstColumn="1" w:lastColumn="0" w:noHBand="0" w:noVBand="1"/>
      </w:tblPr>
      <w:tblGrid>
        <w:gridCol w:w="9606"/>
      </w:tblGrid>
      <w:tr w:rsidR="002F49BF" w:rsidTr="002F49BF">
        <w:tc>
          <w:tcPr>
            <w:tcW w:w="9606" w:type="dxa"/>
            <w:shd w:val="clear" w:color="auto" w:fill="D9D9D9" w:themeFill="background1" w:themeFillShade="D9"/>
          </w:tcPr>
          <w:p w:rsidR="002F49BF" w:rsidRDefault="002F49BF" w:rsidP="002F49BF">
            <w:pPr>
              <w:spacing w:line="240" w:lineRule="auto"/>
              <w:jc w:val="center"/>
              <w:rPr>
                <w:rFonts w:eastAsia="Calibri"/>
                <w:lang w:eastAsia="en-US"/>
              </w:rPr>
            </w:pPr>
          </w:p>
          <w:p w:rsidR="002F49BF" w:rsidRPr="002F49BF" w:rsidRDefault="002F49BF" w:rsidP="002F49BF">
            <w:pPr>
              <w:spacing w:line="240" w:lineRule="auto"/>
              <w:jc w:val="center"/>
              <w:rPr>
                <w:rFonts w:eastAsia="Calibri"/>
                <w:b/>
                <w:lang w:eastAsia="en-US"/>
              </w:rPr>
            </w:pPr>
            <w:r w:rsidRPr="002F49BF">
              <w:rPr>
                <w:rFonts w:eastAsia="Calibri"/>
                <w:b/>
                <w:lang w:eastAsia="en-US"/>
              </w:rPr>
              <w:t>Referenciais de Avaliação de Impacto Ambiental</w:t>
            </w:r>
          </w:p>
          <w:p w:rsidR="002F49BF" w:rsidRDefault="002F49BF" w:rsidP="002F49BF">
            <w:pPr>
              <w:spacing w:line="240" w:lineRule="auto"/>
              <w:jc w:val="center"/>
              <w:rPr>
                <w:rFonts w:eastAsia="Calibri"/>
                <w:lang w:eastAsia="en-US"/>
              </w:rPr>
            </w:pPr>
          </w:p>
        </w:tc>
      </w:tr>
    </w:tbl>
    <w:p w:rsidR="009E1DAB" w:rsidRPr="009E1DAB" w:rsidRDefault="009E1DAB" w:rsidP="009E1DAB">
      <w:pPr>
        <w:pBdr>
          <w:top w:val="single" w:sz="4" w:space="1" w:color="auto"/>
          <w:left w:val="single" w:sz="4" w:space="4" w:color="auto"/>
          <w:bottom w:val="single" w:sz="4" w:space="1" w:color="auto"/>
          <w:right w:val="single" w:sz="4" w:space="4" w:color="auto"/>
          <w:between w:val="single" w:sz="4" w:space="1" w:color="auto"/>
          <w:bar w:val="single" w:sz="4" w:color="auto"/>
        </w:pBdr>
        <w:spacing w:before="60" w:after="60" w:line="240" w:lineRule="auto"/>
      </w:pPr>
      <w:r w:rsidRPr="009E1DAB">
        <w:rPr>
          <w:b/>
          <w:bCs/>
        </w:rPr>
        <w:t>Natureza</w:t>
      </w:r>
      <w:r w:rsidRPr="009E1DAB">
        <w:t xml:space="preserve">: </w:t>
      </w:r>
      <w:r w:rsidRPr="009E1DAB">
        <w:rPr>
          <w:b/>
          <w:i/>
          <w:u w:val="single"/>
        </w:rPr>
        <w:t>positivo</w:t>
      </w:r>
      <w:r w:rsidRPr="009E1DAB">
        <w:rPr>
          <w:b/>
          <w:i/>
        </w:rPr>
        <w:t>,</w:t>
      </w:r>
      <w:r w:rsidRPr="009E1DAB">
        <w:t xml:space="preserve"> quando pode resultar em melhoria da qualidade de um fator ou parâmetro ambiental, </w:t>
      </w:r>
      <w:r w:rsidRPr="009E1DAB">
        <w:rPr>
          <w:b/>
          <w:i/>
          <w:u w:val="single"/>
        </w:rPr>
        <w:t>negativo</w:t>
      </w:r>
      <w:r w:rsidRPr="009E1DAB">
        <w:rPr>
          <w:b/>
          <w:i/>
        </w:rPr>
        <w:t>,</w:t>
      </w:r>
      <w:r w:rsidRPr="009E1DAB">
        <w:t xml:space="preserve"> quando causar dano à qualidade de um fator ou parâmetro ambiental;</w:t>
      </w:r>
    </w:p>
    <w:p w:rsidR="009E1DAB" w:rsidRPr="009E1DAB" w:rsidRDefault="009E1DAB" w:rsidP="009E1DAB">
      <w:pPr>
        <w:pBdr>
          <w:top w:val="single" w:sz="4" w:space="1" w:color="auto"/>
          <w:left w:val="single" w:sz="4" w:space="4" w:color="auto"/>
          <w:bottom w:val="single" w:sz="4" w:space="1" w:color="auto"/>
          <w:right w:val="single" w:sz="4" w:space="4" w:color="auto"/>
          <w:between w:val="single" w:sz="4" w:space="1" w:color="auto"/>
          <w:bar w:val="single" w:sz="4" w:color="auto"/>
        </w:pBdr>
        <w:spacing w:before="60" w:after="60" w:line="240" w:lineRule="auto"/>
      </w:pPr>
      <w:r w:rsidRPr="009E1DAB">
        <w:rPr>
          <w:b/>
          <w:bCs/>
        </w:rPr>
        <w:t>Ordem</w:t>
      </w:r>
      <w:r w:rsidRPr="009E1DAB">
        <w:t xml:space="preserve">: </w:t>
      </w:r>
      <w:r w:rsidRPr="009E1DAB">
        <w:rPr>
          <w:b/>
          <w:i/>
          <w:u w:val="single"/>
        </w:rPr>
        <w:t>direto</w:t>
      </w:r>
      <w:r w:rsidRPr="009E1DAB">
        <w:rPr>
          <w:b/>
          <w:i/>
        </w:rPr>
        <w:t>,</w:t>
      </w:r>
      <w:r w:rsidRPr="009E1DAB">
        <w:t xml:space="preserve"> por decorrência do fator gerador, ou </w:t>
      </w:r>
      <w:r w:rsidRPr="009E1DAB">
        <w:rPr>
          <w:b/>
          <w:i/>
          <w:u w:val="single"/>
        </w:rPr>
        <w:t>indireto</w:t>
      </w:r>
      <w:r w:rsidRPr="009E1DAB">
        <w:rPr>
          <w:b/>
          <w:i/>
        </w:rPr>
        <w:t>,</w:t>
      </w:r>
      <w:r w:rsidRPr="009E1DAB">
        <w:t xml:space="preserve"> quando consequência de outro impacto;</w:t>
      </w:r>
    </w:p>
    <w:p w:rsidR="009E1DAB" w:rsidRPr="009E1DAB" w:rsidRDefault="009E1DAB" w:rsidP="009E1DAB">
      <w:pPr>
        <w:pBdr>
          <w:top w:val="single" w:sz="4" w:space="1" w:color="auto"/>
          <w:left w:val="single" w:sz="4" w:space="4" w:color="auto"/>
          <w:bottom w:val="single" w:sz="4" w:space="1" w:color="auto"/>
          <w:right w:val="single" w:sz="4" w:space="4" w:color="auto"/>
          <w:between w:val="single" w:sz="4" w:space="1" w:color="auto"/>
          <w:bar w:val="single" w:sz="4" w:color="auto"/>
        </w:pBdr>
        <w:spacing w:before="60" w:after="60" w:line="240" w:lineRule="auto"/>
      </w:pPr>
      <w:r w:rsidRPr="009E1DAB">
        <w:rPr>
          <w:b/>
          <w:bCs/>
        </w:rPr>
        <w:t>Abrangência espacial</w:t>
      </w:r>
      <w:r w:rsidRPr="009E1DAB">
        <w:t xml:space="preserve">: podendo ser de incidência </w:t>
      </w:r>
      <w:r w:rsidRPr="009E1DAB">
        <w:rPr>
          <w:b/>
          <w:i/>
          <w:u w:val="single"/>
        </w:rPr>
        <w:t>local</w:t>
      </w:r>
      <w:r w:rsidRPr="009E1DAB">
        <w:rPr>
          <w:i/>
        </w:rPr>
        <w:t xml:space="preserve"> </w:t>
      </w:r>
      <w:r w:rsidRPr="009E1DAB">
        <w:t>(ADA/AID),</w:t>
      </w:r>
      <w:r w:rsidRPr="009E1DAB">
        <w:rPr>
          <w:i/>
        </w:rPr>
        <w:t xml:space="preserve"> </w:t>
      </w:r>
      <w:r w:rsidRPr="009E1DAB">
        <w:rPr>
          <w:b/>
          <w:i/>
          <w:u w:val="single"/>
        </w:rPr>
        <w:t>regional</w:t>
      </w:r>
      <w:r w:rsidRPr="009E1DAB">
        <w:rPr>
          <w:b/>
        </w:rPr>
        <w:t xml:space="preserve"> </w:t>
      </w:r>
      <w:r w:rsidRPr="009E1DAB">
        <w:t xml:space="preserve">(AII) e </w:t>
      </w:r>
      <w:r w:rsidRPr="009E1DAB">
        <w:rPr>
          <w:b/>
          <w:i/>
          <w:u w:val="single"/>
        </w:rPr>
        <w:t>estratégico</w:t>
      </w:r>
      <w:r w:rsidRPr="009E1DAB">
        <w:rPr>
          <w:b/>
        </w:rPr>
        <w:t xml:space="preserve"> </w:t>
      </w:r>
      <w:r w:rsidRPr="009E1DAB">
        <w:t>(quando o componente ambiental afetado tem importância coletiva ou nacional).</w:t>
      </w:r>
    </w:p>
    <w:p w:rsidR="009E1DAB" w:rsidRPr="009E1DAB" w:rsidRDefault="009E1DAB" w:rsidP="009E1DAB">
      <w:pPr>
        <w:pBdr>
          <w:top w:val="single" w:sz="4" w:space="1" w:color="auto"/>
          <w:left w:val="single" w:sz="4" w:space="4" w:color="auto"/>
          <w:bottom w:val="single" w:sz="4" w:space="1" w:color="auto"/>
          <w:right w:val="single" w:sz="4" w:space="4" w:color="auto"/>
          <w:between w:val="single" w:sz="4" w:space="1" w:color="auto"/>
          <w:bar w:val="single" w:sz="4" w:color="auto"/>
        </w:pBdr>
        <w:spacing w:before="60" w:after="60" w:line="240" w:lineRule="auto"/>
      </w:pPr>
      <w:r w:rsidRPr="009E1DAB">
        <w:rPr>
          <w:b/>
          <w:bCs/>
        </w:rPr>
        <w:t>Duração</w:t>
      </w:r>
      <w:r w:rsidRPr="009E1DAB">
        <w:t xml:space="preserve">: </w:t>
      </w:r>
      <w:r w:rsidRPr="009E1DAB">
        <w:rPr>
          <w:b/>
          <w:i/>
          <w:u w:val="single"/>
        </w:rPr>
        <w:t>temporário</w:t>
      </w:r>
      <w:r w:rsidRPr="009E1DAB">
        <w:rPr>
          <w:b/>
          <w:i/>
        </w:rPr>
        <w:t>,</w:t>
      </w:r>
      <w:r w:rsidRPr="009E1DAB">
        <w:t xml:space="preserve"> quando ocorre durante certo período de tempo, </w:t>
      </w:r>
      <w:r w:rsidRPr="009E1DAB">
        <w:rPr>
          <w:b/>
          <w:i/>
          <w:u w:val="single"/>
        </w:rPr>
        <w:t>permanente</w:t>
      </w:r>
      <w:r w:rsidRPr="009E1DAB">
        <w:rPr>
          <w:b/>
          <w:i/>
        </w:rPr>
        <w:t>,</w:t>
      </w:r>
      <w:r w:rsidRPr="009E1DAB">
        <w:t xml:space="preserve"> quando o efeito não cessa com o tempo, ou </w:t>
      </w:r>
      <w:r w:rsidRPr="009E1DAB">
        <w:rPr>
          <w:b/>
          <w:u w:val="single"/>
        </w:rPr>
        <w:t>cíclico</w:t>
      </w:r>
      <w:r w:rsidRPr="009E1DAB">
        <w:t>, quando o efeito se manifesta em intervalos de tempo determinados;</w:t>
      </w:r>
    </w:p>
    <w:p w:rsidR="009E1DAB" w:rsidRPr="009E1DAB" w:rsidRDefault="009E1DAB" w:rsidP="009E1DAB">
      <w:pPr>
        <w:pBdr>
          <w:top w:val="single" w:sz="4" w:space="1" w:color="auto"/>
          <w:left w:val="single" w:sz="4" w:space="4" w:color="auto"/>
          <w:bottom w:val="single" w:sz="4" w:space="1" w:color="auto"/>
          <w:right w:val="single" w:sz="4" w:space="4" w:color="auto"/>
          <w:between w:val="single" w:sz="4" w:space="1" w:color="auto"/>
          <w:bar w:val="single" w:sz="4" w:color="auto"/>
        </w:pBdr>
        <w:spacing w:before="60" w:after="60" w:line="240" w:lineRule="auto"/>
      </w:pPr>
      <w:r w:rsidRPr="009E1DAB">
        <w:rPr>
          <w:b/>
          <w:bCs/>
        </w:rPr>
        <w:t>Probabilidade de ocorrência</w:t>
      </w:r>
      <w:r w:rsidRPr="009E1DAB">
        <w:t xml:space="preserve">: </w:t>
      </w:r>
      <w:r w:rsidRPr="009E1DAB">
        <w:rPr>
          <w:b/>
          <w:i/>
          <w:u w:val="single"/>
        </w:rPr>
        <w:t>certa</w:t>
      </w:r>
      <w:r w:rsidRPr="009E1DAB">
        <w:rPr>
          <w:b/>
          <w:i/>
        </w:rPr>
        <w:t xml:space="preserve">, </w:t>
      </w:r>
      <w:r w:rsidRPr="009E1DAB">
        <w:rPr>
          <w:b/>
          <w:i/>
          <w:u w:val="single"/>
        </w:rPr>
        <w:t>provável</w:t>
      </w:r>
      <w:r w:rsidRPr="009E1DAB">
        <w:rPr>
          <w:b/>
          <w:i/>
        </w:rPr>
        <w:t xml:space="preserve"> ou </w:t>
      </w:r>
      <w:r w:rsidRPr="009E1DAB">
        <w:rPr>
          <w:b/>
          <w:i/>
          <w:u w:val="single"/>
        </w:rPr>
        <w:t>possível</w:t>
      </w:r>
      <w:r w:rsidRPr="009E1DAB">
        <w:t>, avaliada com base no conhecimento que se tem sobre o impacto analisado;</w:t>
      </w:r>
    </w:p>
    <w:p w:rsidR="009E1DAB" w:rsidRPr="009E1DAB" w:rsidRDefault="009E1DAB" w:rsidP="009E1DAB">
      <w:pPr>
        <w:pBdr>
          <w:top w:val="single" w:sz="4" w:space="1" w:color="auto"/>
          <w:left w:val="single" w:sz="4" w:space="4" w:color="auto"/>
          <w:bottom w:val="single" w:sz="4" w:space="1" w:color="auto"/>
          <w:right w:val="single" w:sz="4" w:space="4" w:color="auto"/>
          <w:between w:val="single" w:sz="4" w:space="1" w:color="auto"/>
          <w:bar w:val="single" w:sz="4" w:color="auto"/>
        </w:pBdr>
        <w:spacing w:before="60" w:after="60" w:line="240" w:lineRule="auto"/>
      </w:pPr>
      <w:r w:rsidRPr="009E1DAB">
        <w:rPr>
          <w:b/>
          <w:bCs/>
        </w:rPr>
        <w:t>Época da Ocorrência</w:t>
      </w:r>
      <w:r w:rsidRPr="009E1DAB">
        <w:t xml:space="preserve">: </w:t>
      </w:r>
      <w:r w:rsidRPr="009E1DAB">
        <w:rPr>
          <w:b/>
          <w:i/>
          <w:u w:val="single"/>
        </w:rPr>
        <w:t>curto prazo</w:t>
      </w:r>
      <w:r w:rsidRPr="009E1DAB">
        <w:rPr>
          <w:b/>
          <w:i/>
        </w:rPr>
        <w:t>,</w:t>
      </w:r>
      <w:r w:rsidRPr="009E1DAB">
        <w:t xml:space="preserve"> quando o impacto se manifesta simultaneamente ao fato gerador, ou de </w:t>
      </w:r>
      <w:r w:rsidRPr="009E1DAB">
        <w:rPr>
          <w:b/>
          <w:i/>
          <w:u w:val="single"/>
        </w:rPr>
        <w:t>médio</w:t>
      </w:r>
      <w:r w:rsidRPr="009E1DAB">
        <w:rPr>
          <w:b/>
          <w:i/>
        </w:rPr>
        <w:t xml:space="preserve"> e </w:t>
      </w:r>
      <w:r w:rsidRPr="009E1DAB">
        <w:rPr>
          <w:b/>
          <w:i/>
          <w:u w:val="single"/>
        </w:rPr>
        <w:t>longo prazos</w:t>
      </w:r>
      <w:r w:rsidRPr="009E1DAB">
        <w:rPr>
          <w:b/>
          <w:i/>
        </w:rPr>
        <w:t>,</w:t>
      </w:r>
      <w:r w:rsidRPr="009E1DAB">
        <w:t xml:space="preserve"> quando o impacto se manifesta certo tempo após a ocorrência do fato gerador;</w:t>
      </w:r>
    </w:p>
    <w:p w:rsidR="009E1DAB" w:rsidRPr="009E1DAB" w:rsidRDefault="009E1DAB" w:rsidP="009E1DAB">
      <w:pPr>
        <w:pBdr>
          <w:top w:val="single" w:sz="4" w:space="1" w:color="auto"/>
          <w:left w:val="single" w:sz="4" w:space="4" w:color="auto"/>
          <w:bottom w:val="single" w:sz="4" w:space="1" w:color="auto"/>
          <w:right w:val="single" w:sz="4" w:space="4" w:color="auto"/>
          <w:between w:val="single" w:sz="4" w:space="1" w:color="auto"/>
          <w:bar w:val="single" w:sz="4" w:color="auto"/>
        </w:pBdr>
        <w:spacing w:before="60" w:after="60" w:line="240" w:lineRule="auto"/>
      </w:pPr>
      <w:r w:rsidRPr="009E1DAB">
        <w:rPr>
          <w:b/>
        </w:rPr>
        <w:t xml:space="preserve">Reversibilidade: </w:t>
      </w:r>
      <w:r w:rsidRPr="009E1DAB">
        <w:rPr>
          <w:b/>
          <w:i/>
          <w:u w:val="single"/>
        </w:rPr>
        <w:t>reversível</w:t>
      </w:r>
      <w:r w:rsidRPr="009E1DAB">
        <w:rPr>
          <w:b/>
          <w:i/>
        </w:rPr>
        <w:t>,</w:t>
      </w:r>
      <w:r w:rsidRPr="009E1DAB">
        <w:t xml:space="preserve"> quando pode ser objeto de ações que restaurem o equilíbrio ambiental, ou </w:t>
      </w:r>
      <w:r w:rsidRPr="009E1DAB">
        <w:rPr>
          <w:b/>
          <w:i/>
          <w:u w:val="single"/>
        </w:rPr>
        <w:t>irreversível</w:t>
      </w:r>
      <w:r w:rsidRPr="009E1DAB">
        <w:rPr>
          <w:b/>
          <w:i/>
        </w:rPr>
        <w:t>,</w:t>
      </w:r>
      <w:r w:rsidRPr="009E1DAB">
        <w:t xml:space="preserve"> quando a alteração não pode ser revertida;</w:t>
      </w:r>
    </w:p>
    <w:p w:rsidR="009E1DAB" w:rsidRPr="009E1DAB" w:rsidRDefault="009E1DAB" w:rsidP="009E1DAB">
      <w:pPr>
        <w:pBdr>
          <w:top w:val="single" w:sz="4" w:space="1" w:color="auto"/>
          <w:left w:val="single" w:sz="4" w:space="4" w:color="auto"/>
          <w:bottom w:val="single" w:sz="4" w:space="1" w:color="auto"/>
          <w:right w:val="single" w:sz="4" w:space="4" w:color="auto"/>
          <w:between w:val="single" w:sz="4" w:space="1" w:color="auto"/>
          <w:bar w:val="single" w:sz="4" w:color="auto"/>
        </w:pBdr>
        <w:spacing w:before="60" w:after="60" w:line="240" w:lineRule="auto"/>
      </w:pPr>
      <w:r w:rsidRPr="009E1DAB">
        <w:rPr>
          <w:b/>
          <w:bCs/>
        </w:rPr>
        <w:t>Magnitude</w:t>
      </w:r>
      <w:r w:rsidRPr="009E1DAB">
        <w:t xml:space="preserve">: reflete a dimensão do efeito sobre determinado componente ambiental. A magnitude é avaliada como </w:t>
      </w:r>
      <w:r w:rsidRPr="009E1DAB">
        <w:rPr>
          <w:b/>
          <w:i/>
          <w:u w:val="single"/>
        </w:rPr>
        <w:t>pequena,</w:t>
      </w:r>
      <w:r w:rsidRPr="009E1DAB">
        <w:t xml:space="preserve"> </w:t>
      </w:r>
      <w:r w:rsidRPr="009E1DAB">
        <w:rPr>
          <w:b/>
          <w:i/>
          <w:u w:val="single"/>
        </w:rPr>
        <w:t xml:space="preserve">média </w:t>
      </w:r>
      <w:r w:rsidRPr="009E1DAB">
        <w:t xml:space="preserve">ou </w:t>
      </w:r>
      <w:r w:rsidRPr="009E1DAB">
        <w:rPr>
          <w:b/>
          <w:i/>
          <w:u w:val="single"/>
        </w:rPr>
        <w:t>grande</w:t>
      </w:r>
      <w:r w:rsidRPr="009E1DAB">
        <w:rPr>
          <w:b/>
          <w:i/>
        </w:rPr>
        <w:t>,</w:t>
      </w:r>
      <w:r w:rsidRPr="009E1DAB">
        <w:t xml:space="preserve"> com base na abrangência e permanência do impacto sobre o fator ambiental afetado;</w:t>
      </w:r>
    </w:p>
    <w:p w:rsidR="009E1DAB" w:rsidRPr="009E1DAB" w:rsidRDefault="009E1DAB" w:rsidP="009E1DAB">
      <w:pPr>
        <w:pBdr>
          <w:top w:val="single" w:sz="4" w:space="1" w:color="auto"/>
          <w:left w:val="single" w:sz="4" w:space="4" w:color="auto"/>
          <w:bottom w:val="single" w:sz="4" w:space="1" w:color="auto"/>
          <w:right w:val="single" w:sz="4" w:space="4" w:color="auto"/>
          <w:between w:val="single" w:sz="4" w:space="1" w:color="auto"/>
          <w:bar w:val="single" w:sz="4" w:color="auto"/>
        </w:pBdr>
        <w:spacing w:before="60" w:after="60" w:line="240" w:lineRule="auto"/>
      </w:pPr>
      <w:r w:rsidRPr="009E1DAB">
        <w:rPr>
          <w:b/>
          <w:bCs/>
        </w:rPr>
        <w:t>Importância</w:t>
      </w:r>
      <w:r w:rsidRPr="009E1DAB">
        <w:t xml:space="preserve">: </w:t>
      </w:r>
      <w:r w:rsidRPr="009E1DAB">
        <w:rPr>
          <w:b/>
          <w:i/>
          <w:u w:val="single"/>
        </w:rPr>
        <w:t>baixa</w:t>
      </w:r>
      <w:r w:rsidRPr="009E1DAB">
        <w:rPr>
          <w:b/>
          <w:i/>
        </w:rPr>
        <w:t xml:space="preserve">, </w:t>
      </w:r>
      <w:r w:rsidRPr="009E1DAB">
        <w:rPr>
          <w:b/>
          <w:i/>
          <w:u w:val="single"/>
        </w:rPr>
        <w:t>média</w:t>
      </w:r>
      <w:r w:rsidRPr="009E1DAB">
        <w:rPr>
          <w:b/>
          <w:i/>
        </w:rPr>
        <w:t xml:space="preserve"> ou </w:t>
      </w:r>
      <w:r w:rsidRPr="009E1DAB">
        <w:rPr>
          <w:b/>
          <w:i/>
          <w:u w:val="single"/>
        </w:rPr>
        <w:t>alta</w:t>
      </w:r>
      <w:r w:rsidRPr="009E1DAB">
        <w:t xml:space="preserve"> em relação à significância do impacto sobre o fator ambiental, em relação a outros impactos;</w:t>
      </w:r>
    </w:p>
    <w:p w:rsidR="009E1DAB" w:rsidRPr="009E1DAB" w:rsidRDefault="009E1DAB" w:rsidP="009E1DAB">
      <w:pPr>
        <w:pBdr>
          <w:top w:val="single" w:sz="4" w:space="1" w:color="auto"/>
          <w:left w:val="single" w:sz="4" w:space="4" w:color="auto"/>
          <w:bottom w:val="single" w:sz="4" w:space="1" w:color="auto"/>
          <w:right w:val="single" w:sz="4" w:space="4" w:color="auto"/>
          <w:between w:val="single" w:sz="4" w:space="1" w:color="auto"/>
          <w:bar w:val="single" w:sz="4" w:color="auto"/>
        </w:pBdr>
        <w:spacing w:before="60" w:after="60" w:line="240" w:lineRule="auto"/>
      </w:pPr>
      <w:r w:rsidRPr="009E1DAB">
        <w:rPr>
          <w:b/>
          <w:bCs/>
        </w:rPr>
        <w:t xml:space="preserve">Mitigação: </w:t>
      </w:r>
      <w:r w:rsidRPr="009E1DAB">
        <w:rPr>
          <w:b/>
          <w:i/>
          <w:u w:val="single"/>
        </w:rPr>
        <w:t>mitigável</w:t>
      </w:r>
      <w:r w:rsidRPr="009E1DAB">
        <w:rPr>
          <w:b/>
          <w:i/>
        </w:rPr>
        <w:t xml:space="preserve"> ou </w:t>
      </w:r>
      <w:r w:rsidRPr="009E1DAB">
        <w:rPr>
          <w:b/>
          <w:i/>
          <w:u w:val="single"/>
        </w:rPr>
        <w:t>não mitigável</w:t>
      </w:r>
      <w:r w:rsidRPr="009E1DAB">
        <w:t xml:space="preserve"> e apresentação da(s) medida(s) mitigadora(s) proposta(s). Se mitigável, pode ser dividida em medidas Preventivas, Corretivas, Compensatórias e Potencializadoras.</w:t>
      </w:r>
    </w:p>
    <w:p w:rsidR="009E1DAB" w:rsidRPr="009E1DAB" w:rsidRDefault="009E1DAB" w:rsidP="009E1DAB">
      <w:pPr>
        <w:autoSpaceDE w:val="0"/>
        <w:autoSpaceDN w:val="0"/>
        <w:adjustRightInd w:val="0"/>
        <w:spacing w:before="120" w:after="120" w:line="240" w:lineRule="auto"/>
        <w:rPr>
          <w:rFonts w:cs="Arial"/>
          <w:szCs w:val="22"/>
        </w:rPr>
      </w:pPr>
      <w:r w:rsidRPr="009E1DAB">
        <w:rPr>
          <w:rFonts w:cs="Arial"/>
          <w:szCs w:val="22"/>
        </w:rPr>
        <w:t xml:space="preserve">A avaliação de impacto ambiental se configura como um instrumento de controle prévio dos prejuízos ambientais, e visa, portanto, a conciliação do desenvolvimento socioeconômico com a preservação ambiental, a precaução e a prevenção de danos futuros, que possam advir da implantação de empreendimentos. </w:t>
      </w:r>
    </w:p>
    <w:p w:rsidR="009E1DAB" w:rsidRPr="009E1DAB" w:rsidRDefault="009E1DAB" w:rsidP="009E1DAB">
      <w:pPr>
        <w:spacing w:before="120" w:after="120" w:line="240" w:lineRule="auto"/>
        <w:rPr>
          <w:rFonts w:eastAsia="Calibri"/>
          <w:lang w:eastAsia="en-US"/>
        </w:rPr>
      </w:pPr>
      <w:r w:rsidRPr="009E1DAB">
        <w:rPr>
          <w:rFonts w:eastAsia="Calibri"/>
          <w:lang w:eastAsia="en-US"/>
        </w:rPr>
        <w:lastRenderedPageBreak/>
        <w:t>Neste contexto, propõem-se usualmente a adoção de medidas mitigadoras ou ações de controle ambiental, cuja função é prevenir, corrigir e/ou compensar impactos de natureza negativa. Tais medidas podem ser divididas em preventivas e corretivas, conforme exposto a seguir:</w:t>
      </w:r>
    </w:p>
    <w:p w:rsidR="009E1DAB" w:rsidRPr="009E1DAB" w:rsidRDefault="009E1DAB" w:rsidP="00431A97">
      <w:pPr>
        <w:numPr>
          <w:ilvl w:val="0"/>
          <w:numId w:val="35"/>
        </w:numPr>
        <w:spacing w:before="120" w:after="120" w:line="240" w:lineRule="auto"/>
        <w:ind w:left="567" w:hanging="567"/>
        <w:rPr>
          <w:rFonts w:eastAsia="Calibri"/>
          <w:lang w:eastAsia="en-US"/>
        </w:rPr>
      </w:pPr>
      <w:r w:rsidRPr="009E1DAB">
        <w:rPr>
          <w:rFonts w:eastAsia="Calibri"/>
          <w:b/>
          <w:lang w:eastAsia="en-US"/>
        </w:rPr>
        <w:t>Medidas Preventivas:</w:t>
      </w:r>
      <w:r w:rsidRPr="009E1DAB">
        <w:rPr>
          <w:rFonts w:eastAsia="Calibri"/>
          <w:lang w:eastAsia="en-US"/>
        </w:rPr>
        <w:t xml:space="preserve"> compreende as ações e atividades propostas cujo fim é prevenir a ocorrência de impactos negativos;</w:t>
      </w:r>
    </w:p>
    <w:p w:rsidR="009E1DAB" w:rsidRPr="009E1DAB" w:rsidRDefault="009E1DAB" w:rsidP="00431A97">
      <w:pPr>
        <w:numPr>
          <w:ilvl w:val="0"/>
          <w:numId w:val="35"/>
        </w:numPr>
        <w:spacing w:before="120" w:after="120" w:line="240" w:lineRule="auto"/>
        <w:ind w:left="567" w:hanging="567"/>
        <w:rPr>
          <w:rFonts w:eastAsia="Calibri"/>
          <w:lang w:eastAsia="en-US"/>
        </w:rPr>
      </w:pPr>
      <w:r w:rsidRPr="009E1DAB">
        <w:rPr>
          <w:rFonts w:eastAsia="Calibri"/>
          <w:b/>
          <w:lang w:eastAsia="en-US"/>
        </w:rPr>
        <w:t>Medidas Corretivas:</w:t>
      </w:r>
      <w:r w:rsidRPr="009E1DAB">
        <w:rPr>
          <w:rFonts w:eastAsia="Calibri"/>
          <w:lang w:eastAsia="en-US"/>
        </w:rPr>
        <w:t xml:space="preserve"> compreende as ações e atividades propostas com a finalidade de corrigir a existência de impactos negativos;</w:t>
      </w:r>
    </w:p>
    <w:p w:rsidR="009E1DAB" w:rsidRPr="009E1DAB" w:rsidRDefault="009E1DAB" w:rsidP="00431A97">
      <w:pPr>
        <w:numPr>
          <w:ilvl w:val="0"/>
          <w:numId w:val="35"/>
        </w:numPr>
        <w:spacing w:before="120" w:after="120" w:line="240" w:lineRule="auto"/>
        <w:ind w:left="567" w:hanging="567"/>
        <w:rPr>
          <w:rFonts w:eastAsia="Calibri"/>
          <w:lang w:eastAsia="en-US"/>
        </w:rPr>
      </w:pPr>
      <w:r w:rsidRPr="009E1DAB">
        <w:rPr>
          <w:rFonts w:eastAsia="Calibri"/>
          <w:b/>
          <w:lang w:eastAsia="en-US"/>
        </w:rPr>
        <w:t>Medidas Compensatórias</w:t>
      </w:r>
      <w:r w:rsidRPr="009E1DAB">
        <w:rPr>
          <w:rFonts w:eastAsia="Calibri"/>
          <w:lang w:eastAsia="en-US"/>
        </w:rPr>
        <w:t>: compreende as ações e atividades propostas para a compensação pela ocorrência de impactos negativos; e</w:t>
      </w:r>
    </w:p>
    <w:p w:rsidR="009E1DAB" w:rsidRPr="009E1DAB" w:rsidRDefault="009E1DAB" w:rsidP="00431A97">
      <w:pPr>
        <w:numPr>
          <w:ilvl w:val="0"/>
          <w:numId w:val="35"/>
        </w:numPr>
        <w:spacing w:before="120" w:after="120" w:line="240" w:lineRule="auto"/>
        <w:ind w:left="567" w:hanging="567"/>
        <w:rPr>
          <w:rFonts w:eastAsia="Calibri"/>
          <w:lang w:eastAsia="en-US"/>
        </w:rPr>
      </w:pPr>
      <w:r w:rsidRPr="009E1DAB">
        <w:rPr>
          <w:rFonts w:eastAsia="Calibri"/>
          <w:b/>
          <w:lang w:eastAsia="en-US"/>
        </w:rPr>
        <w:t>Medidas Potencializadoras:</w:t>
      </w:r>
      <w:r w:rsidRPr="009E1DAB">
        <w:rPr>
          <w:rFonts w:eastAsia="Calibri"/>
          <w:lang w:eastAsia="en-US"/>
        </w:rPr>
        <w:t xml:space="preserve"> compreende as ações e atividades propostas para otimizar e/ou ampliar os efeitos dos impactos positivos.</w:t>
      </w:r>
    </w:p>
    <w:p w:rsidR="009E1DAB" w:rsidRPr="009E1DAB" w:rsidRDefault="009E1DAB" w:rsidP="009E1DAB">
      <w:pPr>
        <w:spacing w:before="120" w:after="120" w:line="240" w:lineRule="auto"/>
        <w:rPr>
          <w:rFonts w:eastAsia="Calibri"/>
          <w:lang w:eastAsia="en-US"/>
        </w:rPr>
      </w:pPr>
      <w:r w:rsidRPr="009E1DAB">
        <w:rPr>
          <w:rFonts w:eastAsia="Calibri"/>
          <w:lang w:eastAsia="en-US"/>
        </w:rPr>
        <w:t>Cabe ressaltar, que uma ação pode ter influência sobre mais de um impacto identificado. Do mesmo modo, pode ter efeito, ao mesmo tempo, preventivo, corretivo, compensatório ou potencializador sobre um ou vários impactos.</w:t>
      </w:r>
    </w:p>
    <w:p w:rsidR="009E1DAB" w:rsidRPr="009E1DAB" w:rsidRDefault="009E1DAB" w:rsidP="009E1DAB">
      <w:pPr>
        <w:spacing w:before="120" w:after="120" w:line="240" w:lineRule="auto"/>
        <w:rPr>
          <w:rFonts w:eastAsia="Calibri"/>
          <w:lang w:eastAsia="en-US"/>
        </w:rPr>
      </w:pPr>
      <w:r w:rsidRPr="009E1DAB">
        <w:rPr>
          <w:rFonts w:eastAsia="Calibri"/>
          <w:lang w:eastAsia="en-US"/>
        </w:rPr>
        <w:t>Observe-se que impactos negativos não mitigáveis também pode ser objeto de medidas compensatórias. Por sua vez, medidas potencializadoras podem ser propostas para otimizar e/ou ampliar os efeitos dos impactos positivos.</w:t>
      </w:r>
    </w:p>
    <w:p w:rsidR="009E1DAB" w:rsidRPr="002F49BF" w:rsidRDefault="009E1DAB" w:rsidP="002F49BF">
      <w:pPr>
        <w:pStyle w:val="Ttulo3"/>
        <w:spacing w:after="240"/>
        <w:rPr>
          <w:bCs/>
        </w:rPr>
      </w:pPr>
      <w:bookmarkStart w:id="106" w:name="_Toc418758200"/>
      <w:bookmarkStart w:id="107" w:name="_Toc418758802"/>
      <w:bookmarkStart w:id="108" w:name="_Toc419813567"/>
      <w:r w:rsidRPr="002F49BF">
        <w:rPr>
          <w:bCs/>
        </w:rPr>
        <w:t>1.2.5. Impactos Cumulativos e Sinérgicos</w:t>
      </w:r>
      <w:bookmarkEnd w:id="106"/>
      <w:bookmarkEnd w:id="107"/>
      <w:bookmarkEnd w:id="108"/>
    </w:p>
    <w:p w:rsidR="002F49BF" w:rsidRPr="00C64127" w:rsidRDefault="00EE486A" w:rsidP="002F49BF">
      <w:pPr>
        <w:pStyle w:val="CorpodetextoBodyTextCharCharCharCharCharCharCharCharBodyTextCharBodyTextCharCharCharCharCharCharCharCharCharCharCharCharCharCharChar"/>
        <w:rPr>
          <w:rStyle w:val="CorpodetextoChar1"/>
        </w:rPr>
      </w:pPr>
      <w:r w:rsidRPr="00C64127">
        <w:rPr>
          <w:rStyle w:val="CorpodetextoChar1"/>
        </w:rPr>
        <w:t xml:space="preserve">No Brasil, de acordo com a Resolução </w:t>
      </w:r>
      <w:r w:rsidR="00EA17F5" w:rsidRPr="00C64127">
        <w:rPr>
          <w:rStyle w:val="CorpodetextoChar1"/>
        </w:rPr>
        <w:t>nº</w:t>
      </w:r>
      <w:r w:rsidRPr="00C64127">
        <w:rPr>
          <w:rStyle w:val="CorpodetextoChar1"/>
        </w:rPr>
        <w:t xml:space="preserve"> 01/86, a análise dos impactos ambientais de projetos e atividades, e de suas alternativas, deve ser feita por meio da identificação, previsão da magnitude e intepretação da importância por meio de alguns critérios, entre os quais, as propriedades cumulativas e sinérgicas desses impactos, conforme redação dada pelo seu Artigo 6º.</w:t>
      </w:r>
    </w:p>
    <w:p w:rsidR="00EE486A" w:rsidRDefault="00EE486A" w:rsidP="0079329A">
      <w:pPr>
        <w:pStyle w:val="CorpodetextoBodyTextCharCharCharCharCharCharCharCharBodyTextCharBodyTextCharCharCharCharCharCharCharCharCharCharCharCharCharCharChar"/>
        <w:ind w:left="993" w:right="708"/>
        <w:rPr>
          <w:rStyle w:val="CorpodetextoChar1"/>
          <w:i/>
        </w:rPr>
      </w:pPr>
      <w:r w:rsidRPr="00C64127">
        <w:rPr>
          <w:rStyle w:val="CorpodetextoChar1"/>
        </w:rPr>
        <w:cr/>
      </w:r>
      <w:r w:rsidRPr="002A0665">
        <w:rPr>
          <w:rStyle w:val="CorpodetextoChar1"/>
          <w:i/>
        </w:rPr>
        <w:t>Art. 6º (II) - Análise dos impactos ambientais do projeto e de suas alternativas, através de identificação, previsão da magnitude e interpretação da importância dos prováveis impactos relevantes, discriminando: os impactos positivos e negativos (benéficos e adversos), diretos e indiretos, imediatos e a médio e longo prazos, temporários e permanentes; seu grau de reversibilidade; suas propriedades cumulativas e sinérgicas; a distribuição dos ônus e benefícios sociais.</w:t>
      </w:r>
    </w:p>
    <w:p w:rsidR="002A0665" w:rsidRPr="002A0665" w:rsidRDefault="002A0665" w:rsidP="002A0665">
      <w:pPr>
        <w:pStyle w:val="CorpodetextoBodyTextCharCharCharCharCharCharCharCharBodyTextCharBodyTextCharCharCharCharCharCharCharCharCharCharCharCharCharCharChar"/>
        <w:ind w:left="993"/>
        <w:rPr>
          <w:rStyle w:val="CorpodetextoChar1"/>
          <w:i/>
        </w:rPr>
      </w:pPr>
    </w:p>
    <w:p w:rsidR="00EE486A" w:rsidRPr="00C64127" w:rsidRDefault="00EE486A" w:rsidP="002F49BF">
      <w:pPr>
        <w:pStyle w:val="CorpodetextoBodyTextCharCharCharCharCharCharCharCharBodyTextCharBodyTextCharCharCharCharCharCharCharCharCharCharCharCharCharCharChar"/>
        <w:rPr>
          <w:rStyle w:val="CorpodetextoChar1"/>
        </w:rPr>
      </w:pPr>
      <w:r w:rsidRPr="00C64127">
        <w:rPr>
          <w:rStyle w:val="CorpodetextoChar1"/>
        </w:rPr>
        <w:t xml:space="preserve">Para tanto, e seguindo os dispostos no Termo de Referência CETESB 410/13, a análise se dará tanto na avaliação dos potencias impactos cumulativos e sinérgicos da interação entre os efeitos decorrentes da implantação das barragens Pedreira e Duas Pontes quanto entre estes e os potenciais efeitos presentes ou previstos para outros projetos co-localizados, em especial ao empreendimento PCH Jaguari, localizada logo a montante do futuro reservatório da barragem Pedreira. </w:t>
      </w:r>
    </w:p>
    <w:p w:rsidR="00EE486A" w:rsidRPr="00C64127" w:rsidRDefault="00EE486A" w:rsidP="002F49BF">
      <w:pPr>
        <w:pStyle w:val="CorpodetextoBodyTextCharCharCharCharCharCharCharCharBodyTextCharBodyTextCharCharCharCharCharCharCharCharCharCharCharCharCharCharChar"/>
        <w:rPr>
          <w:rStyle w:val="CorpodetextoChar1"/>
        </w:rPr>
      </w:pPr>
      <w:r w:rsidRPr="00C64127">
        <w:rPr>
          <w:rStyle w:val="CorpodetextoChar1"/>
        </w:rPr>
        <w:t xml:space="preserve">Cabe ressaltar a peculiaridade dos empreendimentos no que diz respeito aos impactos cumulativos, devido à proximidade entre as Barragens Pedreira e Duas Pontes e também à simultaneidade do período de construção das mesmas. A localização dos eixos dos barramentos no mesmo trecho da bacia do Piracicaba e a montante da confluência entre os rios Jaguari e Camanducaia, sub-bacias alvos desse estudo, implica na potencialização dos efeitos cumulativos, tanto no espaço como no tempo, dos impactos individuais de cada barramento. </w:t>
      </w:r>
    </w:p>
    <w:p w:rsidR="00EE486A" w:rsidRPr="00C64127" w:rsidRDefault="00EE486A" w:rsidP="002F49BF">
      <w:pPr>
        <w:pStyle w:val="CorpodetextoBodyTextCharCharCharCharCharCharCharCharBodyTextCharBodyTextCharCharCharCharCharCharCharCharCharCharCharCharCharCharChar"/>
        <w:rPr>
          <w:rStyle w:val="CorpodetextoChar1"/>
        </w:rPr>
      </w:pPr>
      <w:r w:rsidRPr="00C64127">
        <w:rPr>
          <w:rStyle w:val="CorpodetextoChar1"/>
        </w:rPr>
        <w:lastRenderedPageBreak/>
        <w:t>O conceito de cumulatividade leva em consideração a premissa de que as mudanças no meio ambiente causadas por ações antrópicas combinam efeitos de ações do pa</w:t>
      </w:r>
      <w:r w:rsidR="00901341" w:rsidRPr="00C64127">
        <w:rPr>
          <w:rStyle w:val="CorpodetextoChar1"/>
        </w:rPr>
        <w:t>ssado, atuais e futuras que são</w:t>
      </w:r>
      <w:r w:rsidR="00C81F89" w:rsidRPr="00C64127">
        <w:rPr>
          <w:rStyle w:val="CorpodetextoChar1"/>
        </w:rPr>
        <w:t xml:space="preserve"> somadas </w:t>
      </w:r>
      <w:r w:rsidRPr="00C64127">
        <w:rPr>
          <w:rStyle w:val="CorpodetextoChar1"/>
        </w:rPr>
        <w:t xml:space="preserve">numa certa região a partir de sobreposições sucessivas desses efeitos. Tais efeitos podem ocorrer tanto da sobreposição de vários impactos em uma mesma área ou de impactos semelhantes e concomitantes de vários empreendimentos. A sinergia, por sua vez, ocorre quando o resultado de tais interações origina uma alteração, em um dado espaço, de natureza distinta da simples soma dos seus efeitos. </w:t>
      </w:r>
    </w:p>
    <w:p w:rsidR="00EE486A" w:rsidRPr="00C64127" w:rsidRDefault="00EE486A" w:rsidP="002F49BF">
      <w:pPr>
        <w:pStyle w:val="CorpodetextoBodyTextCharCharCharCharCharCharCharCharBodyTextCharBodyTextCharCharCharCharCharCharCharCharCharCharCharCharCharCharChar"/>
        <w:rPr>
          <w:rStyle w:val="CorpodetextoChar1"/>
        </w:rPr>
      </w:pPr>
      <w:r w:rsidRPr="00C64127">
        <w:rPr>
          <w:rStyle w:val="CorpodetextoChar1"/>
        </w:rPr>
        <w:t>De maneira sintética podemos definir os impactos cumulativos e sinérgicos com os seguintes conceitos:</w:t>
      </w:r>
    </w:p>
    <w:p w:rsidR="00EE486A" w:rsidRDefault="00EE486A" w:rsidP="00431A97">
      <w:pPr>
        <w:numPr>
          <w:ilvl w:val="0"/>
          <w:numId w:val="36"/>
        </w:numPr>
        <w:spacing w:before="120" w:after="120" w:line="240" w:lineRule="auto"/>
        <w:ind w:left="567" w:hanging="567"/>
      </w:pPr>
      <w:r w:rsidRPr="00471C52">
        <w:rPr>
          <w:b/>
        </w:rPr>
        <w:t>Impactos Cumulativos</w:t>
      </w:r>
      <w:r w:rsidRPr="00D27EC1">
        <w:t xml:space="preserve">: “Aqueles que resultam da interação aditiva dos efeitos individuais dos impactos em um dado espaço ao longo do tempo”. </w:t>
      </w:r>
      <w:r>
        <w:t>São aqueles com a capacidade de sobrepor-se, no tempo e/ou no espaço a outro impacto – associado ou não ao empreendimento ou atividade em análise – que incida sobre o mesmo fator ambiental (</w:t>
      </w:r>
      <w:r>
        <w:rPr>
          <w:rFonts w:cs="Arial"/>
          <w:szCs w:val="22"/>
        </w:rPr>
        <w:t xml:space="preserve">Nota Técnica nº 10/2012 - </w:t>
      </w:r>
      <w:r w:rsidRPr="00EF2F69">
        <w:rPr>
          <w:rFonts w:cs="Arial"/>
          <w:szCs w:val="22"/>
        </w:rPr>
        <w:t>MMA &amp; CGPEG/DILIC/IBAMA</w:t>
      </w:r>
      <w:r>
        <w:t>)</w:t>
      </w:r>
    </w:p>
    <w:p w:rsidR="00EE486A" w:rsidRDefault="00F74075" w:rsidP="00EE486A">
      <w:r>
        <w:rPr>
          <w:noProof/>
        </w:rPr>
        <w:drawing>
          <wp:anchor distT="0" distB="0" distL="114300" distR="114300" simplePos="0" relativeHeight="251657216" behindDoc="0" locked="0" layoutInCell="1" allowOverlap="1" wp14:anchorId="371D9868" wp14:editId="056CB1BD">
            <wp:simplePos x="0" y="0"/>
            <wp:positionH relativeFrom="margin">
              <wp:align>center</wp:align>
            </wp:positionH>
            <wp:positionV relativeFrom="paragraph">
              <wp:posOffset>170180</wp:posOffset>
            </wp:positionV>
            <wp:extent cx="4817110" cy="905510"/>
            <wp:effectExtent l="19050" t="0" r="2540" b="0"/>
            <wp:wrapNone/>
            <wp:docPr id="53" name="Imagem 53" descr="cumulati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mulati_0"/>
                    <pic:cNvPicPr>
                      <a:picLocks noChangeAspect="1" noChangeArrowheads="1"/>
                    </pic:cNvPicPr>
                  </pic:nvPicPr>
                  <pic:blipFill>
                    <a:blip r:embed="rId20" cstate="print"/>
                    <a:srcRect/>
                    <a:stretch>
                      <a:fillRect/>
                    </a:stretch>
                  </pic:blipFill>
                  <pic:spPr bwMode="auto">
                    <a:xfrm>
                      <a:off x="0" y="0"/>
                      <a:ext cx="4817110" cy="905510"/>
                    </a:xfrm>
                    <a:prstGeom prst="rect">
                      <a:avLst/>
                    </a:prstGeom>
                    <a:noFill/>
                    <a:ln w="9525">
                      <a:noFill/>
                      <a:miter lim="800000"/>
                      <a:headEnd/>
                      <a:tailEnd/>
                    </a:ln>
                  </pic:spPr>
                </pic:pic>
              </a:graphicData>
            </a:graphic>
          </wp:anchor>
        </w:drawing>
      </w:r>
    </w:p>
    <w:p w:rsidR="00EE486A" w:rsidRDefault="00EE486A" w:rsidP="00EE486A"/>
    <w:p w:rsidR="00EE486A" w:rsidRDefault="00EE486A" w:rsidP="00EE486A"/>
    <w:p w:rsidR="00EE486A" w:rsidRDefault="00EE486A" w:rsidP="00EE486A"/>
    <w:p w:rsidR="00EE486A" w:rsidRDefault="00EE486A" w:rsidP="00EE486A">
      <w:pPr>
        <w:autoSpaceDE w:val="0"/>
        <w:autoSpaceDN w:val="0"/>
        <w:adjustRightInd w:val="0"/>
      </w:pPr>
    </w:p>
    <w:p w:rsidR="00EE486A" w:rsidRDefault="00EE486A" w:rsidP="00431A97">
      <w:pPr>
        <w:numPr>
          <w:ilvl w:val="0"/>
          <w:numId w:val="36"/>
        </w:numPr>
        <w:spacing w:before="120" w:after="120" w:line="240" w:lineRule="auto"/>
        <w:ind w:left="567" w:hanging="567"/>
      </w:pPr>
      <w:r>
        <w:rPr>
          <w:b/>
        </w:rPr>
        <w:t>Impactos</w:t>
      </w:r>
      <w:r w:rsidRPr="00471C52">
        <w:rPr>
          <w:b/>
        </w:rPr>
        <w:t xml:space="preserve"> Sinérgicos</w:t>
      </w:r>
      <w:r w:rsidRPr="00D27EC1">
        <w:t>: “</w:t>
      </w:r>
      <w:r>
        <w:t xml:space="preserve">Quando a interação e reação </w:t>
      </w:r>
      <w:r w:rsidRPr="00D27EC1">
        <w:t>entre impactos diferentes de um mesmo projet</w:t>
      </w:r>
      <w:r>
        <w:t>o ou entre projetos diversos</w:t>
      </w:r>
      <w:r w:rsidRPr="00D27EC1">
        <w:t xml:space="preserve"> </w:t>
      </w:r>
      <w:r>
        <w:t xml:space="preserve">dão </w:t>
      </w:r>
      <w:r w:rsidRPr="00D27EC1">
        <w:t>origem a outro impacto, de natureza distinta daqueles que o geraram”.</w:t>
      </w:r>
      <w:r>
        <w:t xml:space="preserve"> São aqueles com a capacidade de potencializar outro(s) impacto(s) e/ou ser potencializado por outro(s) impacto(s), não necessariamente relacionado ao mesmo empreendimento e/ou atividade (</w:t>
      </w:r>
      <w:r>
        <w:rPr>
          <w:rFonts w:cs="Arial"/>
          <w:szCs w:val="22"/>
        </w:rPr>
        <w:t xml:space="preserve">Nota Técnica </w:t>
      </w:r>
      <w:r w:rsidR="002F49BF">
        <w:rPr>
          <w:rFonts w:cs="Arial"/>
          <w:szCs w:val="22"/>
        </w:rPr>
        <w:t>n</w:t>
      </w:r>
      <w:r w:rsidR="002F49BF" w:rsidRPr="002F49BF">
        <w:rPr>
          <w:rFonts w:cs="Arial"/>
          <w:szCs w:val="22"/>
          <w:u w:val="single"/>
          <w:vertAlign w:val="superscript"/>
        </w:rPr>
        <w:t>o</w:t>
      </w:r>
      <w:r>
        <w:rPr>
          <w:rFonts w:cs="Arial"/>
          <w:szCs w:val="22"/>
        </w:rPr>
        <w:t xml:space="preserve"> 10/2012 - </w:t>
      </w:r>
      <w:r w:rsidRPr="00EF2F69">
        <w:rPr>
          <w:rFonts w:cs="Arial"/>
          <w:szCs w:val="22"/>
        </w:rPr>
        <w:t>MMA &amp; CGPEG/DILIC/IBAMA</w:t>
      </w:r>
      <w:r>
        <w:t>).</w:t>
      </w:r>
    </w:p>
    <w:p w:rsidR="00EE486A" w:rsidRPr="001F4959" w:rsidRDefault="00F74075" w:rsidP="00EE486A">
      <w:pPr>
        <w:autoSpaceDE w:val="0"/>
        <w:autoSpaceDN w:val="0"/>
        <w:adjustRightInd w:val="0"/>
        <w:jc w:val="center"/>
        <w:rPr>
          <w:rFonts w:cs="Arial"/>
          <w:szCs w:val="22"/>
        </w:rPr>
      </w:pPr>
      <w:r>
        <w:rPr>
          <w:noProof/>
        </w:rPr>
        <w:drawing>
          <wp:anchor distT="0" distB="0" distL="114300" distR="114300" simplePos="0" relativeHeight="251653120" behindDoc="0" locked="0" layoutInCell="1" allowOverlap="1" wp14:anchorId="35EB5EFA" wp14:editId="21A762F5">
            <wp:simplePos x="0" y="0"/>
            <wp:positionH relativeFrom="margin">
              <wp:posOffset>538480</wp:posOffset>
            </wp:positionH>
            <wp:positionV relativeFrom="paragraph">
              <wp:posOffset>158750</wp:posOffset>
            </wp:positionV>
            <wp:extent cx="4885055" cy="1129665"/>
            <wp:effectExtent l="19050" t="0" r="0" b="0"/>
            <wp:wrapNone/>
            <wp:docPr id="52" name="Imagem 52" descr="sinergic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sinergic_0"/>
                    <pic:cNvPicPr>
                      <a:picLocks noChangeAspect="1" noChangeArrowheads="1"/>
                    </pic:cNvPicPr>
                  </pic:nvPicPr>
                  <pic:blipFill>
                    <a:blip r:embed="rId21" cstate="print"/>
                    <a:srcRect/>
                    <a:stretch>
                      <a:fillRect/>
                    </a:stretch>
                  </pic:blipFill>
                  <pic:spPr bwMode="auto">
                    <a:xfrm>
                      <a:off x="0" y="0"/>
                      <a:ext cx="4885055" cy="1129665"/>
                    </a:xfrm>
                    <a:prstGeom prst="rect">
                      <a:avLst/>
                    </a:prstGeom>
                    <a:noFill/>
                    <a:ln w="9525">
                      <a:noFill/>
                      <a:miter lim="800000"/>
                      <a:headEnd/>
                      <a:tailEnd/>
                    </a:ln>
                  </pic:spPr>
                </pic:pic>
              </a:graphicData>
            </a:graphic>
          </wp:anchor>
        </w:drawing>
      </w:r>
    </w:p>
    <w:p w:rsidR="00EE486A" w:rsidRPr="001F4959" w:rsidRDefault="00EE486A" w:rsidP="00EE486A">
      <w:pPr>
        <w:autoSpaceDE w:val="0"/>
        <w:autoSpaceDN w:val="0"/>
        <w:adjustRightInd w:val="0"/>
        <w:rPr>
          <w:rFonts w:cs="Arial"/>
          <w:szCs w:val="22"/>
        </w:rPr>
      </w:pPr>
    </w:p>
    <w:p w:rsidR="00EE486A" w:rsidRPr="001F4959" w:rsidRDefault="00EE486A" w:rsidP="00EE486A">
      <w:pPr>
        <w:autoSpaceDE w:val="0"/>
        <w:autoSpaceDN w:val="0"/>
        <w:adjustRightInd w:val="0"/>
        <w:rPr>
          <w:rFonts w:cs="Arial"/>
          <w:szCs w:val="22"/>
        </w:rPr>
      </w:pPr>
    </w:p>
    <w:p w:rsidR="00EE486A" w:rsidRPr="001F4959" w:rsidRDefault="00EE486A" w:rsidP="00EE486A">
      <w:pPr>
        <w:autoSpaceDE w:val="0"/>
        <w:autoSpaceDN w:val="0"/>
        <w:adjustRightInd w:val="0"/>
        <w:rPr>
          <w:rFonts w:cs="Arial"/>
          <w:szCs w:val="22"/>
        </w:rPr>
      </w:pPr>
    </w:p>
    <w:p w:rsidR="00EE486A" w:rsidRPr="001F4959" w:rsidRDefault="00EE486A" w:rsidP="00EE486A">
      <w:pPr>
        <w:autoSpaceDE w:val="0"/>
        <w:autoSpaceDN w:val="0"/>
        <w:adjustRightInd w:val="0"/>
        <w:rPr>
          <w:rFonts w:cs="Arial"/>
          <w:szCs w:val="22"/>
        </w:rPr>
      </w:pPr>
    </w:p>
    <w:p w:rsidR="00EE486A" w:rsidRPr="001F4959" w:rsidRDefault="00EE486A" w:rsidP="00EE486A">
      <w:pPr>
        <w:autoSpaceDE w:val="0"/>
        <w:autoSpaceDN w:val="0"/>
        <w:adjustRightInd w:val="0"/>
        <w:rPr>
          <w:rFonts w:cs="Arial"/>
          <w:szCs w:val="22"/>
        </w:rPr>
      </w:pPr>
    </w:p>
    <w:p w:rsidR="00EE486A" w:rsidRPr="00C85203" w:rsidRDefault="00EE486A" w:rsidP="00EE486A">
      <w:pPr>
        <w:spacing w:before="120" w:after="120" w:line="240" w:lineRule="auto"/>
      </w:pPr>
      <w:r>
        <w:t xml:space="preserve">Dessa forma, os fatores geradores de impacto apresentados </w:t>
      </w:r>
      <w:r w:rsidRPr="00C85203">
        <w:t>no Quadro 1.2.</w:t>
      </w:r>
      <w:r w:rsidR="006D5341" w:rsidRPr="00C85203">
        <w:t>3</w:t>
      </w:r>
      <w:r w:rsidRPr="00C85203">
        <w:t xml:space="preserve"> podem causar, individualmente, efeitos locais pontualmente imperceptíveis e de magnitude mínima que não gere necessariamente um impacto no sistema ambiental. Entretanto, tal efeito pode ser combinado com aqueles efeitos causados pelos demais fatores geradores, acarretando em potenciais impactos cumulativos e sinérgicos diretos ou indiretos, dependendo da escala temporal e espacial da sua manifestação e ocorrência. </w:t>
      </w:r>
    </w:p>
    <w:p w:rsidR="00EE486A" w:rsidRDefault="00EE486A" w:rsidP="00EE486A">
      <w:pPr>
        <w:spacing w:before="120" w:after="120" w:line="240" w:lineRule="auto"/>
      </w:pPr>
      <w:r w:rsidRPr="00C85203">
        <w:t>Nesse sentido, a partir dos impactos identificados (Quadro 1.2.</w:t>
      </w:r>
      <w:r w:rsidR="006D5341" w:rsidRPr="00C85203">
        <w:t>4</w:t>
      </w:r>
      <w:r w:rsidRPr="00C85203">
        <w:t>) para cada fator</w:t>
      </w:r>
      <w:r>
        <w:t xml:space="preserve"> ambiental, buscou-se analisar e identificar aqueles que apresentam potencial cumulativo e sinérgico. Com intuito de tornar a análise e o conceito </w:t>
      </w:r>
      <w:r w:rsidRPr="002B6C7E">
        <w:t>dos potenciais impactos cumulativos e sinérgicos</w:t>
      </w:r>
      <w:r w:rsidRPr="003445F1">
        <w:t xml:space="preserve"> </w:t>
      </w:r>
      <w:r>
        <w:t>o mais objetivo possível,</w:t>
      </w:r>
      <w:r w:rsidRPr="002B6C7E">
        <w:t xml:space="preserve"> foram selecionados </w:t>
      </w:r>
      <w:r>
        <w:t xml:space="preserve">para avaliação </w:t>
      </w:r>
      <w:r w:rsidRPr="002B6C7E">
        <w:t>somente aqueles impactos com abrangências significativas e permanentes. Os impactos decorrentes diretamente da fase de construção do empreendimento, que já apresentam programas de mitigação e controle, ou que são apenas localmente incidentes, não foram considerados; tais como aqueles decorrentes dos canteiros das obras e áreas de bota fora</w:t>
      </w:r>
      <w:r w:rsidR="00F1493A">
        <w:t xml:space="preserve"> e dos</w:t>
      </w:r>
      <w:r w:rsidRPr="002B6C7E">
        <w:t xml:space="preserve"> acessos </w:t>
      </w:r>
      <w:r w:rsidR="00F1493A">
        <w:t xml:space="preserve">aos canteiros. </w:t>
      </w:r>
      <w:r w:rsidRPr="002B6C7E">
        <w:t xml:space="preserve">Estes impactos são </w:t>
      </w:r>
      <w:r w:rsidRPr="002B6C7E">
        <w:lastRenderedPageBreak/>
        <w:t xml:space="preserve">geralmente temporários e </w:t>
      </w:r>
      <w:r w:rsidRPr="00082A57">
        <w:t>reversíveis não sendo, portanto, relevantes no contexto de uma avaliação de impactos abrangente e integrada à bacia hidrográfica.</w:t>
      </w:r>
    </w:p>
    <w:p w:rsidR="00EE486A" w:rsidRPr="006600FE" w:rsidRDefault="006D5341" w:rsidP="00EE486A">
      <w:pPr>
        <w:spacing w:before="120" w:after="120" w:line="240" w:lineRule="auto"/>
      </w:pPr>
      <w:r w:rsidRPr="006600FE">
        <w:t>O Método utilizado</w:t>
      </w:r>
      <w:r w:rsidR="00EE486A" w:rsidRPr="006600FE">
        <w:t xml:space="preserve"> para </w:t>
      </w:r>
      <w:r w:rsidRPr="006600FE">
        <w:t xml:space="preserve">auxiliar na </w:t>
      </w:r>
      <w:r w:rsidR="00EE486A" w:rsidRPr="006600FE">
        <w:t xml:space="preserve">identificação dos potenciais efeitos cumulativos foi analisar, por meio de um quadro comparativo, as relações entre os empreendimentos planejados e os demais existentes </w:t>
      </w:r>
      <w:r w:rsidR="00354D41" w:rsidRPr="006600FE">
        <w:t xml:space="preserve">na bacia hidrográfica em </w:t>
      </w:r>
      <w:r w:rsidR="00354D41" w:rsidRPr="00C85203">
        <w:t>estudo (Quadro 1.2.6). Tal análise</w:t>
      </w:r>
      <w:r w:rsidR="00354D41" w:rsidRPr="006600FE">
        <w:t xml:space="preserve"> nos permite também </w:t>
      </w:r>
      <w:r w:rsidR="00EE486A" w:rsidRPr="006600FE">
        <w:t>identificar as possíveis ações passadas</w:t>
      </w:r>
      <w:r w:rsidR="00676D63" w:rsidRPr="006600FE">
        <w:t>,</w:t>
      </w:r>
      <w:r w:rsidR="00EE486A" w:rsidRPr="006600FE">
        <w:t xml:space="preserve"> atuais </w:t>
      </w:r>
      <w:r w:rsidR="00676D63" w:rsidRPr="006600FE">
        <w:t xml:space="preserve">ou futuras </w:t>
      </w:r>
      <w:r w:rsidR="00EE486A" w:rsidRPr="006600FE">
        <w:t xml:space="preserve">de atividades potencialmente capazes de promover alterações qualitativas (interações) e quantitativas (adições e subtrações) nos impactos </w:t>
      </w:r>
      <w:r w:rsidR="00676D63" w:rsidRPr="006600FE">
        <w:t>previamente selecionados.</w:t>
      </w:r>
    </w:p>
    <w:p w:rsidR="00C007A0" w:rsidRDefault="00EE486A" w:rsidP="00EE486A">
      <w:pPr>
        <w:spacing w:before="120" w:after="120" w:line="240" w:lineRule="auto"/>
      </w:pPr>
      <w:r w:rsidRPr="006600FE">
        <w:t>Com os impactos cumulativos definidos buscou-se posteriormente refinar as análises por meio da espacialização do local e época de ocorrência de cada um deles para, dessa forma, não superestimar a</w:t>
      </w:r>
      <w:r w:rsidR="006D5341" w:rsidRPr="006600FE">
        <w:t xml:space="preserve"> sua</w:t>
      </w:r>
      <w:r w:rsidRPr="006600FE">
        <w:t xml:space="preserve"> </w:t>
      </w:r>
      <w:r w:rsidR="006D5341" w:rsidRPr="006600FE">
        <w:t>magnitude.</w:t>
      </w:r>
      <w:r w:rsidR="00C007A0" w:rsidRPr="006600FE">
        <w:t xml:space="preserve"> Ao final</w:t>
      </w:r>
      <w:r w:rsidR="002A0665">
        <w:t>,</w:t>
      </w:r>
      <w:r w:rsidR="00C007A0" w:rsidRPr="006600FE">
        <w:t xml:space="preserve"> os impactos cumulativos identificados foram ainda relacionados entre si com o intuito de se avaliar os potenciais efeitos sinergéticos decorrentes da somatória desses impactos.</w:t>
      </w:r>
      <w:r w:rsidR="00932871">
        <w:t xml:space="preserve"> </w:t>
      </w:r>
    </w:p>
    <w:p w:rsidR="00990F9D" w:rsidRPr="006600FE" w:rsidRDefault="002A0665" w:rsidP="00990F9D">
      <w:pPr>
        <w:spacing w:before="120" w:after="120" w:line="240" w:lineRule="auto"/>
      </w:pPr>
      <w:r>
        <w:t>As justificativas para</w:t>
      </w:r>
      <w:r w:rsidRPr="006600FE">
        <w:t xml:space="preserve"> </w:t>
      </w:r>
      <w:r>
        <w:t>a definição, bem como a caracterização dos</w:t>
      </w:r>
      <w:r w:rsidR="00990F9D" w:rsidRPr="006600FE">
        <w:t xml:space="preserve"> potencias impactos cumulativos</w:t>
      </w:r>
      <w:r>
        <w:t xml:space="preserve"> e sinérgicos, </w:t>
      </w:r>
      <w:r w:rsidR="00366715">
        <w:t>identificados pelo</w:t>
      </w:r>
      <w:r>
        <w:t xml:space="preserve"> Quadro 1.2.6</w:t>
      </w:r>
      <w:r w:rsidR="00990F9D" w:rsidRPr="006600FE">
        <w:t xml:space="preserve"> estão </w:t>
      </w:r>
      <w:r w:rsidR="00F658AA">
        <w:t>apresentados</w:t>
      </w:r>
      <w:r w:rsidR="00990F9D" w:rsidRPr="006600FE">
        <w:t xml:space="preserve"> no </w:t>
      </w:r>
      <w:r w:rsidR="00990F9D" w:rsidRPr="00C85203">
        <w:t xml:space="preserve">Item </w:t>
      </w:r>
      <w:r w:rsidR="00AF7D92" w:rsidRPr="00C85203">
        <w:t>1</w:t>
      </w:r>
      <w:r w:rsidR="00990F9D" w:rsidRPr="00C85203">
        <w:t>.</w:t>
      </w:r>
      <w:r w:rsidR="00AF7D92" w:rsidRPr="00C85203">
        <w:t>4</w:t>
      </w:r>
      <w:r w:rsidR="00990F9D" w:rsidRPr="00C85203">
        <w:t>.</w:t>
      </w:r>
      <w:r w:rsidR="00C85203" w:rsidRPr="00C85203">
        <w:t xml:space="preserve"> </w:t>
      </w:r>
      <w:r w:rsidR="00C85203" w:rsidRPr="00402E81">
        <w:t>Análise dos Impactos Cumulativos e Sinérgicos</w:t>
      </w:r>
      <w:r w:rsidR="00C85203">
        <w:t>.</w:t>
      </w:r>
    </w:p>
    <w:p w:rsidR="00C007A0" w:rsidRDefault="00C007A0" w:rsidP="00EE486A">
      <w:pPr>
        <w:spacing w:before="120" w:after="120" w:line="240" w:lineRule="auto"/>
        <w:rPr>
          <w:color w:val="1F497D"/>
        </w:rPr>
      </w:pPr>
    </w:p>
    <w:p w:rsidR="00F658AA" w:rsidRPr="002E3B92" w:rsidRDefault="00F658AA" w:rsidP="00EE486A">
      <w:pPr>
        <w:spacing w:before="120" w:after="120" w:line="240" w:lineRule="auto"/>
        <w:rPr>
          <w:color w:val="1F497D"/>
        </w:rPr>
        <w:sectPr w:rsidR="00F658AA" w:rsidRPr="002E3B92" w:rsidSect="0092000C">
          <w:headerReference w:type="default" r:id="rId22"/>
          <w:footerReference w:type="default" r:id="rId23"/>
          <w:pgSz w:w="11907" w:h="16840" w:code="9"/>
          <w:pgMar w:top="1701" w:right="851" w:bottom="1134" w:left="1701" w:header="567" w:footer="567" w:gutter="0"/>
          <w:cols w:space="720"/>
          <w:docGrid w:linePitch="299"/>
        </w:sectPr>
      </w:pPr>
    </w:p>
    <w:p w:rsidR="002E2454" w:rsidRDefault="002E2454" w:rsidP="002E2454">
      <w:pPr>
        <w:pStyle w:val="Legenda"/>
        <w:spacing w:line="240" w:lineRule="auto"/>
        <w:jc w:val="center"/>
        <w:rPr>
          <w:i w:val="0"/>
        </w:rPr>
      </w:pPr>
    </w:p>
    <w:p w:rsidR="000B758F" w:rsidRPr="002E2454" w:rsidRDefault="002E2454" w:rsidP="002E2454">
      <w:pPr>
        <w:pStyle w:val="Legenda"/>
        <w:spacing w:line="240" w:lineRule="auto"/>
        <w:jc w:val="center"/>
        <w:rPr>
          <w:rFonts w:cs="Arial"/>
          <w:b w:val="0"/>
          <w:bCs/>
          <w:i w:val="0"/>
          <w:szCs w:val="22"/>
        </w:rPr>
      </w:pPr>
      <w:bookmarkStart w:id="109" w:name="_Toc420316443"/>
      <w:r w:rsidRPr="002E2454">
        <w:rPr>
          <w:i w:val="0"/>
        </w:rPr>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1.2</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6</w:t>
      </w:r>
      <w:r w:rsidR="00B80A05">
        <w:rPr>
          <w:i w:val="0"/>
        </w:rPr>
        <w:fldChar w:fldCharType="end"/>
      </w:r>
      <w:r w:rsidRPr="002E2454">
        <w:rPr>
          <w:i w:val="0"/>
        </w:rPr>
        <w:t>.</w:t>
      </w:r>
      <w:r w:rsidRPr="002E2454">
        <w:rPr>
          <w:b w:val="0"/>
          <w:i w:val="0"/>
        </w:rPr>
        <w:t xml:space="preserve"> - </w:t>
      </w:r>
      <w:r w:rsidR="002864B7" w:rsidRPr="002E2454">
        <w:rPr>
          <w:rFonts w:cs="Arial"/>
          <w:b w:val="0"/>
          <w:bCs/>
          <w:i w:val="0"/>
          <w:szCs w:val="22"/>
        </w:rPr>
        <w:t xml:space="preserve">Quadro </w:t>
      </w:r>
      <w:r w:rsidR="002A0665" w:rsidRPr="002E2454">
        <w:rPr>
          <w:rFonts w:cs="Arial"/>
          <w:b w:val="0"/>
          <w:bCs/>
          <w:i w:val="0"/>
          <w:szCs w:val="22"/>
        </w:rPr>
        <w:t xml:space="preserve">Preliminar </w:t>
      </w:r>
      <w:r w:rsidR="000B758F" w:rsidRPr="002E2454">
        <w:rPr>
          <w:rFonts w:cs="Arial"/>
          <w:b w:val="0"/>
          <w:bCs/>
          <w:i w:val="0"/>
          <w:szCs w:val="22"/>
        </w:rPr>
        <w:t xml:space="preserve">das Relações entre as Barragens Pedreira e Duas Pontes e os Projetos, Ações e Empreendimentos Locais </w:t>
      </w:r>
      <w:r w:rsidR="002864B7" w:rsidRPr="002E2454">
        <w:rPr>
          <w:rFonts w:cs="Arial"/>
          <w:b w:val="0"/>
          <w:bCs/>
          <w:i w:val="0"/>
          <w:szCs w:val="22"/>
        </w:rPr>
        <w:t>para definição dos</w:t>
      </w:r>
      <w:r w:rsidR="000B758F" w:rsidRPr="002E2454">
        <w:rPr>
          <w:rFonts w:cs="Arial"/>
          <w:b w:val="0"/>
          <w:bCs/>
          <w:i w:val="0"/>
          <w:szCs w:val="22"/>
        </w:rPr>
        <w:t xml:space="preserve"> Potenciais Impactos Cumulativos Resultantes.</w:t>
      </w:r>
      <w:bookmarkEnd w:id="109"/>
    </w:p>
    <w:p w:rsidR="000B758F" w:rsidRDefault="000B758F" w:rsidP="000B758F">
      <w:pPr>
        <w:autoSpaceDE w:val="0"/>
        <w:autoSpaceDN w:val="0"/>
        <w:adjustRightInd w:val="0"/>
        <w:spacing w:before="120" w:after="120" w:line="240" w:lineRule="auto"/>
        <w:jc w:val="center"/>
        <w:rPr>
          <w:rFonts w:cs="Arial"/>
          <w:bCs/>
          <w:szCs w:val="22"/>
        </w:rPr>
      </w:pPr>
    </w:p>
    <w:tbl>
      <w:tblPr>
        <w:tblpPr w:leftFromText="141" w:rightFromText="141" w:vertAnchor="page" w:horzAnchor="margin" w:tblpXSpec="center" w:tblpY="3161"/>
        <w:tblW w:w="5035" w:type="pct"/>
        <w:tblCellMar>
          <w:left w:w="70" w:type="dxa"/>
          <w:right w:w="70" w:type="dxa"/>
        </w:tblCellMar>
        <w:tblLook w:val="04A0" w:firstRow="1" w:lastRow="0" w:firstColumn="1" w:lastColumn="0" w:noHBand="0" w:noVBand="1"/>
      </w:tblPr>
      <w:tblGrid>
        <w:gridCol w:w="3921"/>
        <w:gridCol w:w="1019"/>
        <w:gridCol w:w="1019"/>
        <w:gridCol w:w="1063"/>
        <w:gridCol w:w="896"/>
        <w:gridCol w:w="763"/>
        <w:gridCol w:w="1185"/>
        <w:gridCol w:w="974"/>
        <w:gridCol w:w="841"/>
        <w:gridCol w:w="841"/>
        <w:gridCol w:w="896"/>
        <w:gridCol w:w="1141"/>
      </w:tblGrid>
      <w:tr w:rsidR="000B758F" w:rsidRPr="00741EE1" w:rsidTr="002E2454">
        <w:trPr>
          <w:trHeight w:val="580"/>
        </w:trPr>
        <w:tc>
          <w:tcPr>
            <w:tcW w:w="1330"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B758F" w:rsidRPr="00EA2F88" w:rsidRDefault="000B758F" w:rsidP="000B758F">
            <w:pPr>
              <w:spacing w:before="120" w:after="120" w:line="240" w:lineRule="auto"/>
              <w:jc w:val="center"/>
              <w:rPr>
                <w:rFonts w:cs="Arial"/>
                <w:color w:val="000000"/>
                <w:sz w:val="20"/>
              </w:rPr>
            </w:pPr>
            <w:r w:rsidRPr="00EA2F88">
              <w:rPr>
                <w:rFonts w:cs="Arial"/>
                <w:color w:val="000000"/>
                <w:sz w:val="20"/>
              </w:rPr>
              <w:t xml:space="preserve">Tipo do Impacto </w:t>
            </w:r>
          </w:p>
        </w:tc>
        <w:tc>
          <w:tcPr>
            <w:tcW w:w="34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B758F" w:rsidRPr="00EA2F88" w:rsidRDefault="000B758F" w:rsidP="000B758F">
            <w:pPr>
              <w:spacing w:before="120" w:after="120" w:line="240" w:lineRule="auto"/>
              <w:jc w:val="center"/>
              <w:rPr>
                <w:rFonts w:cs="Arial"/>
                <w:color w:val="000000"/>
                <w:sz w:val="20"/>
              </w:rPr>
            </w:pPr>
            <w:r>
              <w:rPr>
                <w:rFonts w:cs="Arial"/>
                <w:color w:val="000000"/>
                <w:sz w:val="20"/>
              </w:rPr>
              <w:t xml:space="preserve">Barragem </w:t>
            </w:r>
            <w:r w:rsidRPr="00EA2F88">
              <w:rPr>
                <w:rFonts w:cs="Arial"/>
                <w:color w:val="000000"/>
                <w:sz w:val="20"/>
              </w:rPr>
              <w:t>Pedreira</w:t>
            </w:r>
          </w:p>
        </w:tc>
        <w:tc>
          <w:tcPr>
            <w:tcW w:w="34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B758F" w:rsidRPr="00EA2F88" w:rsidRDefault="000B758F" w:rsidP="00D1055C">
            <w:pPr>
              <w:spacing w:before="120" w:after="120" w:line="240" w:lineRule="auto"/>
              <w:jc w:val="center"/>
              <w:rPr>
                <w:rFonts w:cs="Arial"/>
                <w:color w:val="000000"/>
                <w:sz w:val="20"/>
              </w:rPr>
            </w:pPr>
            <w:r>
              <w:rPr>
                <w:rFonts w:cs="Arial"/>
                <w:color w:val="000000"/>
                <w:sz w:val="20"/>
              </w:rPr>
              <w:t xml:space="preserve">Barragem </w:t>
            </w:r>
            <w:r w:rsidRPr="00EA2F88">
              <w:rPr>
                <w:rFonts w:cs="Arial"/>
                <w:color w:val="000000"/>
                <w:sz w:val="20"/>
              </w:rPr>
              <w:t xml:space="preserve">Duas Pontes </w:t>
            </w:r>
          </w:p>
        </w:tc>
        <w:tc>
          <w:tcPr>
            <w:tcW w:w="363" w:type="pct"/>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0B758F" w:rsidRPr="00EA2F88" w:rsidRDefault="000B758F" w:rsidP="000B758F">
            <w:pPr>
              <w:spacing w:before="120" w:after="120" w:line="240" w:lineRule="auto"/>
              <w:jc w:val="center"/>
              <w:rPr>
                <w:rFonts w:cs="Arial"/>
                <w:color w:val="000000"/>
                <w:sz w:val="20"/>
              </w:rPr>
            </w:pPr>
            <w:r>
              <w:rPr>
                <w:rFonts w:cs="Arial"/>
                <w:color w:val="000000"/>
                <w:sz w:val="20"/>
              </w:rPr>
              <w:t xml:space="preserve">Barragens </w:t>
            </w:r>
            <w:r w:rsidRPr="00EA2F88">
              <w:rPr>
                <w:rFonts w:cs="Arial"/>
                <w:color w:val="000000"/>
                <w:sz w:val="20"/>
              </w:rPr>
              <w:t>Pedreira + Duas Pontes</w:t>
            </w:r>
          </w:p>
        </w:tc>
        <w:tc>
          <w:tcPr>
            <w:tcW w:w="567" w:type="pct"/>
            <w:gridSpan w:val="2"/>
            <w:tcBorders>
              <w:top w:val="single" w:sz="4" w:space="0" w:color="auto"/>
              <w:left w:val="nil"/>
              <w:bottom w:val="single" w:sz="4" w:space="0" w:color="auto"/>
              <w:right w:val="single" w:sz="4" w:space="0" w:color="000000"/>
            </w:tcBorders>
            <w:shd w:val="clear" w:color="auto" w:fill="D9D9D9" w:themeFill="background1" w:themeFillShade="D9"/>
            <w:vAlign w:val="center"/>
            <w:hideMark/>
          </w:tcPr>
          <w:p w:rsidR="000B758F" w:rsidRPr="00EA2F88" w:rsidRDefault="000B758F" w:rsidP="000B758F">
            <w:pPr>
              <w:spacing w:before="120" w:after="120" w:line="240" w:lineRule="auto"/>
              <w:jc w:val="center"/>
              <w:rPr>
                <w:rFonts w:cs="Arial"/>
                <w:color w:val="000000"/>
                <w:sz w:val="20"/>
              </w:rPr>
            </w:pPr>
            <w:r w:rsidRPr="00EA2F88">
              <w:rPr>
                <w:rFonts w:cs="Arial"/>
                <w:color w:val="000000"/>
                <w:sz w:val="20"/>
              </w:rPr>
              <w:t xml:space="preserve">Influência de </w:t>
            </w:r>
            <w:r>
              <w:rPr>
                <w:rFonts w:cs="Arial"/>
                <w:color w:val="000000"/>
                <w:sz w:val="20"/>
              </w:rPr>
              <w:t>A</w:t>
            </w:r>
            <w:r w:rsidRPr="00EA2F88">
              <w:rPr>
                <w:rFonts w:cs="Arial"/>
                <w:color w:val="000000"/>
                <w:sz w:val="20"/>
              </w:rPr>
              <w:t xml:space="preserve">ções </w:t>
            </w:r>
            <w:r>
              <w:rPr>
                <w:rFonts w:cs="Arial"/>
                <w:color w:val="000000"/>
                <w:sz w:val="20"/>
              </w:rPr>
              <w:t>P</w:t>
            </w:r>
            <w:r w:rsidRPr="00EA2F88">
              <w:rPr>
                <w:rFonts w:cs="Arial"/>
                <w:color w:val="000000"/>
                <w:sz w:val="20"/>
              </w:rPr>
              <w:t>assadas Persistentes</w:t>
            </w:r>
          </w:p>
        </w:tc>
        <w:tc>
          <w:tcPr>
            <w:tcW w:w="1618" w:type="pct"/>
            <w:gridSpan w:val="5"/>
            <w:tcBorders>
              <w:top w:val="single" w:sz="4" w:space="0" w:color="auto"/>
              <w:left w:val="nil"/>
              <w:bottom w:val="single" w:sz="4" w:space="0" w:color="auto"/>
              <w:right w:val="single" w:sz="4" w:space="0" w:color="000000"/>
            </w:tcBorders>
            <w:shd w:val="clear" w:color="000000" w:fill="EEECE1"/>
            <w:noWrap/>
            <w:vAlign w:val="center"/>
            <w:hideMark/>
          </w:tcPr>
          <w:p w:rsidR="000B758F" w:rsidRPr="00EA2F88" w:rsidRDefault="000B758F" w:rsidP="000B758F">
            <w:pPr>
              <w:spacing w:before="120" w:after="120" w:line="240" w:lineRule="auto"/>
              <w:jc w:val="center"/>
              <w:rPr>
                <w:rFonts w:cs="Arial"/>
                <w:color w:val="000000"/>
                <w:sz w:val="20"/>
                <w:szCs w:val="22"/>
              </w:rPr>
            </w:pPr>
            <w:r w:rsidRPr="00EA2F88">
              <w:rPr>
                <w:rFonts w:cs="Arial"/>
                <w:color w:val="000000"/>
                <w:sz w:val="20"/>
                <w:szCs w:val="22"/>
              </w:rPr>
              <w:t xml:space="preserve">Outras </w:t>
            </w:r>
            <w:r>
              <w:rPr>
                <w:rFonts w:cs="Arial"/>
                <w:color w:val="000000"/>
                <w:sz w:val="20"/>
                <w:szCs w:val="22"/>
              </w:rPr>
              <w:t>A</w:t>
            </w:r>
            <w:r w:rsidRPr="00EA2F88">
              <w:rPr>
                <w:rFonts w:cs="Arial"/>
                <w:color w:val="000000"/>
                <w:sz w:val="20"/>
                <w:szCs w:val="22"/>
              </w:rPr>
              <w:t xml:space="preserve">ções </w:t>
            </w:r>
            <w:r>
              <w:rPr>
                <w:rFonts w:cs="Arial"/>
                <w:color w:val="000000"/>
                <w:sz w:val="20"/>
                <w:szCs w:val="22"/>
              </w:rPr>
              <w:t>P</w:t>
            </w:r>
            <w:r w:rsidRPr="00EA2F88">
              <w:rPr>
                <w:rFonts w:cs="Arial"/>
                <w:color w:val="000000"/>
                <w:sz w:val="20"/>
                <w:szCs w:val="22"/>
              </w:rPr>
              <w:t xml:space="preserve">resentes e </w:t>
            </w:r>
            <w:r>
              <w:rPr>
                <w:rFonts w:cs="Arial"/>
                <w:color w:val="000000"/>
                <w:sz w:val="20"/>
                <w:szCs w:val="22"/>
              </w:rPr>
              <w:t>F</w:t>
            </w:r>
            <w:r w:rsidRPr="00EA2F88">
              <w:rPr>
                <w:rFonts w:cs="Arial"/>
                <w:color w:val="000000"/>
                <w:sz w:val="20"/>
                <w:szCs w:val="22"/>
              </w:rPr>
              <w:t>uturas</w:t>
            </w:r>
          </w:p>
        </w:tc>
        <w:tc>
          <w:tcPr>
            <w:tcW w:w="425" w:type="pct"/>
            <w:vMerge w:val="restart"/>
            <w:tcBorders>
              <w:top w:val="single" w:sz="4" w:space="0" w:color="auto"/>
              <w:left w:val="single" w:sz="4" w:space="0" w:color="auto"/>
              <w:bottom w:val="single" w:sz="4" w:space="0" w:color="auto"/>
              <w:right w:val="single" w:sz="4" w:space="0" w:color="auto"/>
            </w:tcBorders>
            <w:shd w:val="clear" w:color="000000" w:fill="FCD5B4"/>
            <w:vAlign w:val="center"/>
            <w:hideMark/>
          </w:tcPr>
          <w:p w:rsidR="000B758F" w:rsidRPr="00741EE1" w:rsidRDefault="000B758F" w:rsidP="000B758F">
            <w:pPr>
              <w:spacing w:before="120" w:after="120" w:line="240" w:lineRule="auto"/>
              <w:jc w:val="center"/>
              <w:rPr>
                <w:rFonts w:cs="Arial"/>
                <w:color w:val="000000"/>
                <w:szCs w:val="22"/>
              </w:rPr>
            </w:pPr>
            <w:r w:rsidRPr="00EA2F88">
              <w:rPr>
                <w:rFonts w:cs="Arial"/>
                <w:color w:val="000000"/>
                <w:sz w:val="20"/>
                <w:szCs w:val="22"/>
              </w:rPr>
              <w:t xml:space="preserve">Efeito </w:t>
            </w:r>
            <w:r>
              <w:rPr>
                <w:rFonts w:cs="Arial"/>
                <w:color w:val="000000"/>
                <w:sz w:val="20"/>
                <w:szCs w:val="22"/>
              </w:rPr>
              <w:t>C</w:t>
            </w:r>
            <w:r w:rsidRPr="00EA2F88">
              <w:rPr>
                <w:rFonts w:cs="Arial"/>
                <w:color w:val="000000"/>
                <w:sz w:val="20"/>
                <w:szCs w:val="22"/>
              </w:rPr>
              <w:t xml:space="preserve">umulativo </w:t>
            </w:r>
            <w:r>
              <w:rPr>
                <w:rFonts w:cs="Arial"/>
                <w:color w:val="000000"/>
                <w:sz w:val="20"/>
                <w:szCs w:val="22"/>
              </w:rPr>
              <w:t>P</w:t>
            </w:r>
            <w:r w:rsidRPr="00EA2F88">
              <w:rPr>
                <w:rFonts w:cs="Arial"/>
                <w:color w:val="000000"/>
                <w:sz w:val="20"/>
                <w:szCs w:val="22"/>
              </w:rPr>
              <w:t xml:space="preserve">otencial </w:t>
            </w:r>
          </w:p>
        </w:tc>
      </w:tr>
      <w:tr w:rsidR="002C0D71" w:rsidRPr="00741EE1" w:rsidTr="002E2454">
        <w:trPr>
          <w:trHeight w:val="629"/>
        </w:trPr>
        <w:tc>
          <w:tcPr>
            <w:tcW w:w="133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B758F" w:rsidRPr="00EA2F88" w:rsidRDefault="000B758F" w:rsidP="000B758F">
            <w:pPr>
              <w:spacing w:before="120" w:after="120" w:line="240" w:lineRule="auto"/>
              <w:jc w:val="left"/>
              <w:rPr>
                <w:rFonts w:cs="Arial"/>
                <w:color w:val="000000"/>
                <w:sz w:val="20"/>
              </w:rPr>
            </w:pPr>
          </w:p>
        </w:tc>
        <w:tc>
          <w:tcPr>
            <w:tcW w:w="34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B758F" w:rsidRPr="00EA2F88" w:rsidRDefault="000B758F" w:rsidP="000B758F">
            <w:pPr>
              <w:spacing w:before="120" w:after="120" w:line="240" w:lineRule="auto"/>
              <w:jc w:val="left"/>
              <w:rPr>
                <w:rFonts w:cs="Arial"/>
                <w:color w:val="000000"/>
                <w:sz w:val="20"/>
              </w:rPr>
            </w:pPr>
          </w:p>
        </w:tc>
        <w:tc>
          <w:tcPr>
            <w:tcW w:w="34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B758F" w:rsidRPr="00EA2F88" w:rsidRDefault="000B758F" w:rsidP="000B758F">
            <w:pPr>
              <w:spacing w:before="120" w:after="120" w:line="240" w:lineRule="auto"/>
              <w:jc w:val="left"/>
              <w:rPr>
                <w:rFonts w:cs="Arial"/>
                <w:color w:val="000000"/>
                <w:sz w:val="20"/>
              </w:rPr>
            </w:pPr>
          </w:p>
        </w:tc>
        <w:tc>
          <w:tcPr>
            <w:tcW w:w="363" w:type="pct"/>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0B758F" w:rsidRPr="00EA2F88" w:rsidRDefault="000B758F" w:rsidP="000B758F">
            <w:pPr>
              <w:spacing w:before="120" w:after="120" w:line="240" w:lineRule="auto"/>
              <w:jc w:val="left"/>
              <w:rPr>
                <w:rFonts w:cs="Arial"/>
                <w:color w:val="000000"/>
                <w:sz w:val="20"/>
              </w:rPr>
            </w:pPr>
          </w:p>
        </w:tc>
        <w:tc>
          <w:tcPr>
            <w:tcW w:w="306" w:type="pct"/>
            <w:tcBorders>
              <w:top w:val="nil"/>
              <w:left w:val="nil"/>
              <w:bottom w:val="single" w:sz="4" w:space="0" w:color="auto"/>
              <w:right w:val="single" w:sz="4" w:space="0" w:color="auto"/>
            </w:tcBorders>
            <w:shd w:val="clear" w:color="auto" w:fill="D9D9D9" w:themeFill="background1" w:themeFillShade="D9"/>
            <w:vAlign w:val="center"/>
            <w:hideMark/>
          </w:tcPr>
          <w:p w:rsidR="000B758F" w:rsidRPr="00EA2F88" w:rsidRDefault="000B758F" w:rsidP="000B758F">
            <w:pPr>
              <w:spacing w:before="120" w:after="120" w:line="240" w:lineRule="auto"/>
              <w:jc w:val="center"/>
              <w:rPr>
                <w:rFonts w:cs="Arial"/>
                <w:color w:val="000000"/>
                <w:sz w:val="20"/>
              </w:rPr>
            </w:pPr>
            <w:r w:rsidRPr="00EA2F88">
              <w:rPr>
                <w:rFonts w:cs="Arial"/>
                <w:color w:val="000000"/>
                <w:sz w:val="20"/>
              </w:rPr>
              <w:t xml:space="preserve">Pedreira </w:t>
            </w:r>
          </w:p>
        </w:tc>
        <w:tc>
          <w:tcPr>
            <w:tcW w:w="261" w:type="pct"/>
            <w:tcBorders>
              <w:top w:val="nil"/>
              <w:left w:val="nil"/>
              <w:bottom w:val="single" w:sz="4" w:space="0" w:color="auto"/>
              <w:right w:val="single" w:sz="4" w:space="0" w:color="auto"/>
            </w:tcBorders>
            <w:shd w:val="clear" w:color="auto" w:fill="D9D9D9" w:themeFill="background1" w:themeFillShade="D9"/>
            <w:vAlign w:val="center"/>
            <w:hideMark/>
          </w:tcPr>
          <w:p w:rsidR="000B758F" w:rsidRPr="00EA2F88" w:rsidRDefault="000B758F" w:rsidP="000B758F">
            <w:pPr>
              <w:spacing w:before="120" w:after="120" w:line="240" w:lineRule="auto"/>
              <w:jc w:val="center"/>
              <w:rPr>
                <w:rFonts w:cs="Arial"/>
                <w:color w:val="000000"/>
                <w:sz w:val="20"/>
              </w:rPr>
            </w:pPr>
            <w:r w:rsidRPr="00EA2F88">
              <w:rPr>
                <w:rFonts w:cs="Arial"/>
                <w:color w:val="000000"/>
                <w:sz w:val="20"/>
              </w:rPr>
              <w:t>Duas Pontes</w:t>
            </w:r>
          </w:p>
        </w:tc>
        <w:tc>
          <w:tcPr>
            <w:tcW w:w="405" w:type="pct"/>
            <w:tcBorders>
              <w:top w:val="nil"/>
              <w:left w:val="nil"/>
              <w:bottom w:val="single" w:sz="4" w:space="0" w:color="auto"/>
              <w:right w:val="single" w:sz="4" w:space="0" w:color="auto"/>
            </w:tcBorders>
            <w:shd w:val="clear" w:color="000000" w:fill="EEECE1"/>
            <w:vAlign w:val="center"/>
            <w:hideMark/>
          </w:tcPr>
          <w:p w:rsidR="000B758F" w:rsidRPr="00EA2F88" w:rsidRDefault="000B758F" w:rsidP="000B758F">
            <w:pPr>
              <w:spacing w:before="120" w:after="120" w:line="240" w:lineRule="auto"/>
              <w:jc w:val="center"/>
              <w:rPr>
                <w:rFonts w:cs="Arial"/>
                <w:color w:val="000000"/>
                <w:sz w:val="20"/>
              </w:rPr>
            </w:pPr>
            <w:r w:rsidRPr="00EA2F88">
              <w:rPr>
                <w:rFonts w:cs="Arial"/>
                <w:color w:val="000000"/>
                <w:sz w:val="20"/>
              </w:rPr>
              <w:t>PCH Jaguari</w:t>
            </w:r>
          </w:p>
        </w:tc>
        <w:tc>
          <w:tcPr>
            <w:tcW w:w="333" w:type="pct"/>
            <w:tcBorders>
              <w:top w:val="nil"/>
              <w:left w:val="nil"/>
              <w:bottom w:val="single" w:sz="4" w:space="0" w:color="auto"/>
              <w:right w:val="single" w:sz="4" w:space="0" w:color="auto"/>
            </w:tcBorders>
            <w:shd w:val="clear" w:color="000000" w:fill="EEECE1"/>
            <w:vAlign w:val="center"/>
            <w:hideMark/>
          </w:tcPr>
          <w:p w:rsidR="000B758F" w:rsidRPr="00EA2F88" w:rsidRDefault="000B758F" w:rsidP="000B758F">
            <w:pPr>
              <w:spacing w:before="120" w:after="120" w:line="240" w:lineRule="auto"/>
              <w:jc w:val="center"/>
              <w:rPr>
                <w:rFonts w:cs="Arial"/>
                <w:color w:val="000000"/>
                <w:sz w:val="20"/>
              </w:rPr>
            </w:pPr>
            <w:r w:rsidRPr="00EA2F88">
              <w:rPr>
                <w:rFonts w:cs="Arial"/>
                <w:color w:val="000000"/>
                <w:sz w:val="20"/>
              </w:rPr>
              <w:t xml:space="preserve">Bacia de </w:t>
            </w:r>
            <w:r>
              <w:rPr>
                <w:rFonts w:cs="Arial"/>
                <w:color w:val="000000"/>
                <w:sz w:val="20"/>
              </w:rPr>
              <w:t>M</w:t>
            </w:r>
            <w:r w:rsidRPr="00EA2F88">
              <w:rPr>
                <w:rFonts w:cs="Arial"/>
                <w:color w:val="000000"/>
                <w:sz w:val="20"/>
              </w:rPr>
              <w:t>ontante</w:t>
            </w:r>
          </w:p>
        </w:tc>
        <w:tc>
          <w:tcPr>
            <w:tcW w:w="287" w:type="pct"/>
            <w:tcBorders>
              <w:top w:val="nil"/>
              <w:left w:val="nil"/>
              <w:bottom w:val="single" w:sz="4" w:space="0" w:color="auto"/>
              <w:right w:val="single" w:sz="4" w:space="0" w:color="auto"/>
            </w:tcBorders>
            <w:shd w:val="clear" w:color="000000" w:fill="EEECE1"/>
            <w:vAlign w:val="center"/>
            <w:hideMark/>
          </w:tcPr>
          <w:p w:rsidR="000B758F" w:rsidRPr="00EA2F88" w:rsidRDefault="000B758F" w:rsidP="000B758F">
            <w:pPr>
              <w:spacing w:before="120" w:after="120" w:line="240" w:lineRule="auto"/>
              <w:jc w:val="center"/>
              <w:rPr>
                <w:rFonts w:cs="Arial"/>
                <w:color w:val="000000"/>
                <w:sz w:val="20"/>
              </w:rPr>
            </w:pPr>
            <w:r w:rsidRPr="00EA2F88">
              <w:rPr>
                <w:rFonts w:cs="Arial"/>
                <w:color w:val="000000"/>
                <w:sz w:val="20"/>
              </w:rPr>
              <w:t>Bacia de Jusante</w:t>
            </w:r>
          </w:p>
        </w:tc>
        <w:tc>
          <w:tcPr>
            <w:tcW w:w="287" w:type="pct"/>
            <w:tcBorders>
              <w:top w:val="nil"/>
              <w:left w:val="nil"/>
              <w:bottom w:val="single" w:sz="4" w:space="0" w:color="auto"/>
              <w:right w:val="single" w:sz="4" w:space="0" w:color="auto"/>
            </w:tcBorders>
            <w:shd w:val="clear" w:color="000000" w:fill="EEECE1"/>
            <w:vAlign w:val="center"/>
            <w:hideMark/>
          </w:tcPr>
          <w:p w:rsidR="000B758F" w:rsidRPr="00EA2F88" w:rsidRDefault="000B758F" w:rsidP="000B758F">
            <w:pPr>
              <w:spacing w:before="120" w:after="120" w:line="240" w:lineRule="auto"/>
              <w:jc w:val="center"/>
              <w:rPr>
                <w:rFonts w:cs="Arial"/>
                <w:color w:val="000000"/>
                <w:sz w:val="20"/>
              </w:rPr>
            </w:pPr>
            <w:r w:rsidRPr="00EA2F88">
              <w:rPr>
                <w:rFonts w:cs="Arial"/>
                <w:color w:val="000000"/>
                <w:sz w:val="20"/>
              </w:rPr>
              <w:t xml:space="preserve">Área </w:t>
            </w:r>
            <w:r>
              <w:rPr>
                <w:rFonts w:cs="Arial"/>
                <w:color w:val="000000"/>
                <w:sz w:val="20"/>
              </w:rPr>
              <w:t>U</w:t>
            </w:r>
            <w:r w:rsidRPr="00EA2F88">
              <w:rPr>
                <w:rFonts w:cs="Arial"/>
                <w:color w:val="000000"/>
                <w:sz w:val="20"/>
              </w:rPr>
              <w:t xml:space="preserve">rbana Amparo </w:t>
            </w:r>
          </w:p>
        </w:tc>
        <w:tc>
          <w:tcPr>
            <w:tcW w:w="306" w:type="pct"/>
            <w:tcBorders>
              <w:top w:val="nil"/>
              <w:left w:val="nil"/>
              <w:bottom w:val="single" w:sz="4" w:space="0" w:color="auto"/>
              <w:right w:val="single" w:sz="4" w:space="0" w:color="auto"/>
            </w:tcBorders>
            <w:shd w:val="clear" w:color="000000" w:fill="EEECE1"/>
            <w:vAlign w:val="center"/>
            <w:hideMark/>
          </w:tcPr>
          <w:p w:rsidR="000B758F" w:rsidRPr="00EA2F88" w:rsidRDefault="000B758F" w:rsidP="000B758F">
            <w:pPr>
              <w:spacing w:before="120" w:after="120" w:line="240" w:lineRule="auto"/>
              <w:jc w:val="center"/>
              <w:rPr>
                <w:rFonts w:cs="Arial"/>
                <w:color w:val="000000"/>
                <w:sz w:val="20"/>
              </w:rPr>
            </w:pPr>
            <w:r w:rsidRPr="00EA2F88">
              <w:rPr>
                <w:rFonts w:cs="Arial"/>
                <w:color w:val="000000"/>
                <w:sz w:val="20"/>
              </w:rPr>
              <w:t xml:space="preserve">Área </w:t>
            </w:r>
            <w:r>
              <w:rPr>
                <w:rFonts w:cs="Arial"/>
                <w:color w:val="000000"/>
                <w:sz w:val="20"/>
              </w:rPr>
              <w:t>U</w:t>
            </w:r>
            <w:r w:rsidRPr="00EA2F88">
              <w:rPr>
                <w:rFonts w:cs="Arial"/>
                <w:color w:val="000000"/>
                <w:sz w:val="20"/>
              </w:rPr>
              <w:t xml:space="preserve">rbana Pedreira </w:t>
            </w:r>
          </w:p>
        </w:tc>
        <w:tc>
          <w:tcPr>
            <w:tcW w:w="425" w:type="pct"/>
            <w:vMerge/>
            <w:tcBorders>
              <w:top w:val="single" w:sz="4" w:space="0" w:color="auto"/>
              <w:left w:val="single" w:sz="4" w:space="0" w:color="auto"/>
              <w:bottom w:val="single" w:sz="4" w:space="0" w:color="auto"/>
              <w:right w:val="single" w:sz="4" w:space="0" w:color="auto"/>
            </w:tcBorders>
            <w:vAlign w:val="center"/>
            <w:hideMark/>
          </w:tcPr>
          <w:p w:rsidR="000B758F" w:rsidRPr="00741EE1" w:rsidRDefault="000B758F" w:rsidP="000B758F">
            <w:pPr>
              <w:spacing w:before="120" w:after="120" w:line="240" w:lineRule="auto"/>
              <w:jc w:val="left"/>
              <w:rPr>
                <w:rFonts w:cs="Arial"/>
                <w:color w:val="000000"/>
                <w:sz w:val="20"/>
              </w:rPr>
            </w:pPr>
          </w:p>
        </w:tc>
      </w:tr>
      <w:tr w:rsidR="000B758F" w:rsidRPr="00741EE1" w:rsidTr="002E2454">
        <w:trPr>
          <w:trHeight w:val="39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rsidR="000B758F" w:rsidRPr="00EA2F88" w:rsidRDefault="000B758F" w:rsidP="00D1055C">
            <w:pPr>
              <w:spacing w:before="120" w:after="120" w:line="240" w:lineRule="auto"/>
              <w:jc w:val="left"/>
              <w:rPr>
                <w:rFonts w:cs="Arial"/>
                <w:color w:val="000000"/>
                <w:sz w:val="20"/>
              </w:rPr>
            </w:pPr>
            <w:r w:rsidRPr="00EA2F88">
              <w:rPr>
                <w:rFonts w:cs="Arial"/>
                <w:color w:val="000000"/>
                <w:sz w:val="20"/>
              </w:rPr>
              <w:t xml:space="preserve">Alteração na Qualidade da </w:t>
            </w:r>
            <w:r w:rsidR="00D1055C">
              <w:rPr>
                <w:rFonts w:cs="Arial"/>
                <w:color w:val="000000"/>
                <w:sz w:val="20"/>
              </w:rPr>
              <w:t>Á</w:t>
            </w:r>
            <w:r w:rsidRPr="00EA2F88">
              <w:rPr>
                <w:rFonts w:cs="Arial"/>
                <w:color w:val="000000"/>
                <w:sz w:val="20"/>
              </w:rPr>
              <w:t>gua Montante</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Pr>
                <w:rFonts w:cs="Arial"/>
                <w:color w:val="000000"/>
                <w:sz w:val="20"/>
              </w:rPr>
              <w:t>x</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DF4B28">
              <w:rPr>
                <w:rFonts w:cs="Arial"/>
                <w:color w:val="000000"/>
                <w:sz w:val="20"/>
              </w:rPr>
              <w:t>x</w:t>
            </w:r>
          </w:p>
        </w:tc>
        <w:tc>
          <w:tcPr>
            <w:tcW w:w="363"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p>
        </w:tc>
        <w:tc>
          <w:tcPr>
            <w:tcW w:w="306"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8E28C9">
              <w:rPr>
                <w:rFonts w:cs="Arial"/>
                <w:color w:val="000000"/>
                <w:sz w:val="20"/>
              </w:rPr>
              <w:t>x</w:t>
            </w:r>
          </w:p>
        </w:tc>
        <w:tc>
          <w:tcPr>
            <w:tcW w:w="261"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471945">
              <w:rPr>
                <w:rFonts w:cs="Arial"/>
                <w:color w:val="000000"/>
                <w:sz w:val="20"/>
              </w:rPr>
              <w:t>x</w:t>
            </w:r>
          </w:p>
        </w:tc>
        <w:tc>
          <w:tcPr>
            <w:tcW w:w="405" w:type="pct"/>
            <w:tcBorders>
              <w:top w:val="nil"/>
              <w:left w:val="nil"/>
              <w:bottom w:val="single" w:sz="4" w:space="0" w:color="auto"/>
              <w:right w:val="single" w:sz="4" w:space="0" w:color="auto"/>
            </w:tcBorders>
            <w:shd w:val="clear" w:color="auto" w:fill="auto"/>
            <w:vAlign w:val="center"/>
            <w:hideMark/>
          </w:tcPr>
          <w:p w:rsidR="000B758F" w:rsidRPr="00A646B4" w:rsidRDefault="000B758F" w:rsidP="000B758F">
            <w:pPr>
              <w:spacing w:before="120" w:after="120" w:line="240" w:lineRule="auto"/>
              <w:jc w:val="center"/>
              <w:rPr>
                <w:rFonts w:cs="Arial"/>
                <w:sz w:val="20"/>
              </w:rPr>
            </w:pPr>
            <w:r>
              <w:rPr>
                <w:rFonts w:cs="Arial"/>
                <w:color w:val="000000"/>
                <w:sz w:val="20"/>
              </w:rPr>
              <w:t>x</w:t>
            </w:r>
            <w:r w:rsidRPr="00A646B4" w:rsidDel="000B758F">
              <w:rPr>
                <w:rFonts w:cs="Arial"/>
                <w:sz w:val="20"/>
              </w:rPr>
              <w:t xml:space="preserve"> </w:t>
            </w:r>
            <w:r w:rsidRPr="00A646B4">
              <w:rPr>
                <w:rFonts w:cs="Arial"/>
                <w:sz w:val="20"/>
              </w:rPr>
              <w:t>(Pedreira)</w:t>
            </w:r>
          </w:p>
        </w:tc>
        <w:tc>
          <w:tcPr>
            <w:tcW w:w="333"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Pr>
                <w:rFonts w:cs="Arial"/>
                <w:color w:val="000000"/>
                <w:sz w:val="20"/>
              </w:rPr>
              <w:t>x</w:t>
            </w:r>
          </w:p>
        </w:tc>
        <w:tc>
          <w:tcPr>
            <w:tcW w:w="287"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p>
        </w:tc>
        <w:tc>
          <w:tcPr>
            <w:tcW w:w="287"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18345E">
              <w:rPr>
                <w:rFonts w:cs="Arial"/>
                <w:color w:val="000000"/>
                <w:sz w:val="20"/>
              </w:rPr>
              <w:t>x</w:t>
            </w:r>
          </w:p>
        </w:tc>
        <w:tc>
          <w:tcPr>
            <w:tcW w:w="306"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p>
        </w:tc>
        <w:tc>
          <w:tcPr>
            <w:tcW w:w="425"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6B1651">
              <w:rPr>
                <w:rFonts w:cs="Arial"/>
                <w:color w:val="000000"/>
                <w:sz w:val="20"/>
              </w:rPr>
              <w:t>x</w:t>
            </w:r>
          </w:p>
        </w:tc>
      </w:tr>
      <w:tr w:rsidR="000B758F" w:rsidRPr="00741EE1" w:rsidTr="002E2454">
        <w:trPr>
          <w:trHeight w:val="337"/>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rsidR="000B758F" w:rsidRPr="00EA2F88" w:rsidRDefault="000B758F" w:rsidP="00D1055C">
            <w:pPr>
              <w:spacing w:before="120" w:after="120" w:line="240" w:lineRule="auto"/>
              <w:jc w:val="left"/>
              <w:rPr>
                <w:rFonts w:cs="Arial"/>
                <w:color w:val="000000"/>
                <w:sz w:val="20"/>
              </w:rPr>
            </w:pPr>
            <w:r w:rsidRPr="00EA2F88">
              <w:rPr>
                <w:rFonts w:cs="Arial"/>
                <w:color w:val="000000"/>
                <w:sz w:val="20"/>
              </w:rPr>
              <w:t xml:space="preserve">Alteração na Qualidade da </w:t>
            </w:r>
            <w:r w:rsidR="00D1055C">
              <w:rPr>
                <w:rFonts w:cs="Arial"/>
                <w:color w:val="000000"/>
                <w:sz w:val="20"/>
              </w:rPr>
              <w:t>Á</w:t>
            </w:r>
            <w:r w:rsidRPr="00EA2F88">
              <w:rPr>
                <w:rFonts w:cs="Arial"/>
                <w:color w:val="000000"/>
                <w:sz w:val="20"/>
              </w:rPr>
              <w:t>gua Jusante</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B31384">
              <w:rPr>
                <w:rFonts w:cs="Arial"/>
                <w:color w:val="000000"/>
                <w:sz w:val="20"/>
              </w:rPr>
              <w:t>x</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DF4B28">
              <w:rPr>
                <w:rFonts w:cs="Arial"/>
                <w:color w:val="000000"/>
                <w:sz w:val="20"/>
              </w:rPr>
              <w:t>x</w:t>
            </w:r>
          </w:p>
        </w:tc>
        <w:tc>
          <w:tcPr>
            <w:tcW w:w="363"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C20E65">
              <w:rPr>
                <w:rFonts w:cs="Arial"/>
                <w:color w:val="000000"/>
                <w:sz w:val="20"/>
              </w:rPr>
              <w:t>x</w:t>
            </w:r>
          </w:p>
        </w:tc>
        <w:tc>
          <w:tcPr>
            <w:tcW w:w="306"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8E28C9">
              <w:rPr>
                <w:rFonts w:cs="Arial"/>
                <w:color w:val="000000"/>
                <w:sz w:val="20"/>
              </w:rPr>
              <w:t>x</w:t>
            </w:r>
          </w:p>
        </w:tc>
        <w:tc>
          <w:tcPr>
            <w:tcW w:w="261"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471945">
              <w:rPr>
                <w:rFonts w:cs="Arial"/>
                <w:color w:val="000000"/>
                <w:sz w:val="20"/>
              </w:rPr>
              <w:t>x</w:t>
            </w:r>
          </w:p>
        </w:tc>
        <w:tc>
          <w:tcPr>
            <w:tcW w:w="405" w:type="pct"/>
            <w:tcBorders>
              <w:top w:val="nil"/>
              <w:left w:val="nil"/>
              <w:bottom w:val="single" w:sz="4" w:space="0" w:color="auto"/>
              <w:right w:val="single" w:sz="4" w:space="0" w:color="auto"/>
            </w:tcBorders>
            <w:shd w:val="clear" w:color="auto" w:fill="auto"/>
            <w:noWrap/>
            <w:vAlign w:val="center"/>
            <w:hideMark/>
          </w:tcPr>
          <w:p w:rsidR="000B758F" w:rsidRPr="00A646B4" w:rsidRDefault="000B758F" w:rsidP="000B758F">
            <w:pPr>
              <w:spacing w:before="120" w:after="120" w:line="240" w:lineRule="auto"/>
              <w:jc w:val="center"/>
              <w:rPr>
                <w:rFonts w:cs="Arial"/>
                <w:sz w:val="20"/>
              </w:rPr>
            </w:pPr>
          </w:p>
        </w:tc>
        <w:tc>
          <w:tcPr>
            <w:tcW w:w="333"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287"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287"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18345E">
              <w:rPr>
                <w:rFonts w:cs="Arial"/>
                <w:color w:val="000000"/>
                <w:sz w:val="20"/>
              </w:rPr>
              <w:t>x</w:t>
            </w:r>
          </w:p>
        </w:tc>
        <w:tc>
          <w:tcPr>
            <w:tcW w:w="306"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Pr>
                <w:rFonts w:cs="Arial"/>
                <w:color w:val="000000"/>
                <w:sz w:val="20"/>
              </w:rPr>
              <w:t>x</w:t>
            </w:r>
          </w:p>
        </w:tc>
        <w:tc>
          <w:tcPr>
            <w:tcW w:w="425"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6B1651">
              <w:rPr>
                <w:rFonts w:cs="Arial"/>
                <w:color w:val="000000"/>
                <w:sz w:val="20"/>
              </w:rPr>
              <w:t>x</w:t>
            </w:r>
          </w:p>
        </w:tc>
      </w:tr>
      <w:tr w:rsidR="000B758F" w:rsidRPr="00741EE1" w:rsidTr="002E2454">
        <w:trPr>
          <w:trHeight w:val="331"/>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rsidR="000B758F" w:rsidRPr="00EA2F88" w:rsidRDefault="000B758F" w:rsidP="00D1055C">
            <w:pPr>
              <w:spacing w:before="120" w:after="120" w:line="240" w:lineRule="auto"/>
              <w:jc w:val="left"/>
              <w:rPr>
                <w:rFonts w:cs="Arial"/>
                <w:color w:val="000000"/>
                <w:sz w:val="20"/>
              </w:rPr>
            </w:pPr>
            <w:r w:rsidRPr="00EA2F88">
              <w:rPr>
                <w:rFonts w:cs="Arial"/>
                <w:color w:val="000000"/>
                <w:sz w:val="20"/>
              </w:rPr>
              <w:t xml:space="preserve">Perda </w:t>
            </w:r>
            <w:r>
              <w:rPr>
                <w:rFonts w:cs="Arial"/>
                <w:color w:val="000000"/>
                <w:sz w:val="20"/>
              </w:rPr>
              <w:t>de Cobertura Vegetal</w:t>
            </w:r>
            <w:r w:rsidRPr="00EA2F88">
              <w:rPr>
                <w:rFonts w:cs="Arial"/>
                <w:color w:val="000000"/>
                <w:sz w:val="20"/>
              </w:rPr>
              <w:t xml:space="preserve"> </w:t>
            </w:r>
            <w:r w:rsidR="00D1055C">
              <w:rPr>
                <w:rFonts w:cs="Arial"/>
                <w:color w:val="000000"/>
                <w:sz w:val="20"/>
              </w:rPr>
              <w:t>N</w:t>
            </w:r>
            <w:r w:rsidRPr="00EA2F88">
              <w:rPr>
                <w:rFonts w:cs="Arial"/>
                <w:color w:val="000000"/>
                <w:sz w:val="20"/>
              </w:rPr>
              <w:t>ativa</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B31384">
              <w:rPr>
                <w:rFonts w:cs="Arial"/>
                <w:color w:val="000000"/>
                <w:sz w:val="20"/>
              </w:rPr>
              <w:t>x</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DF4B28">
              <w:rPr>
                <w:rFonts w:cs="Arial"/>
                <w:color w:val="000000"/>
                <w:sz w:val="20"/>
              </w:rPr>
              <w:t>x</w:t>
            </w:r>
          </w:p>
        </w:tc>
        <w:tc>
          <w:tcPr>
            <w:tcW w:w="363"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C20E65">
              <w:rPr>
                <w:rFonts w:cs="Arial"/>
                <w:color w:val="000000"/>
                <w:sz w:val="20"/>
              </w:rPr>
              <w:t>x</w:t>
            </w:r>
          </w:p>
        </w:tc>
        <w:tc>
          <w:tcPr>
            <w:tcW w:w="306"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8E28C9">
              <w:rPr>
                <w:rFonts w:cs="Arial"/>
                <w:color w:val="000000"/>
                <w:sz w:val="20"/>
              </w:rPr>
              <w:t>x</w:t>
            </w:r>
          </w:p>
        </w:tc>
        <w:tc>
          <w:tcPr>
            <w:tcW w:w="261"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471945">
              <w:rPr>
                <w:rFonts w:cs="Arial"/>
                <w:color w:val="000000"/>
                <w:sz w:val="20"/>
              </w:rPr>
              <w:t>x</w:t>
            </w:r>
          </w:p>
        </w:tc>
        <w:tc>
          <w:tcPr>
            <w:tcW w:w="405" w:type="pct"/>
            <w:tcBorders>
              <w:top w:val="nil"/>
              <w:left w:val="nil"/>
              <w:bottom w:val="single" w:sz="4" w:space="0" w:color="auto"/>
              <w:right w:val="single" w:sz="4" w:space="0" w:color="auto"/>
            </w:tcBorders>
            <w:shd w:val="clear" w:color="auto" w:fill="auto"/>
            <w:noWrap/>
            <w:vAlign w:val="center"/>
            <w:hideMark/>
          </w:tcPr>
          <w:p w:rsidR="000B758F" w:rsidRPr="00A646B4" w:rsidRDefault="000B758F" w:rsidP="000B758F">
            <w:pPr>
              <w:spacing w:before="120" w:after="120" w:line="240" w:lineRule="auto"/>
              <w:jc w:val="center"/>
              <w:rPr>
                <w:rFonts w:cs="Arial"/>
                <w:sz w:val="20"/>
              </w:rPr>
            </w:pPr>
          </w:p>
        </w:tc>
        <w:tc>
          <w:tcPr>
            <w:tcW w:w="333"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DB3734">
              <w:rPr>
                <w:rFonts w:cs="Arial"/>
                <w:color w:val="000000"/>
                <w:sz w:val="20"/>
              </w:rPr>
              <w:t>x</w:t>
            </w:r>
          </w:p>
        </w:tc>
        <w:tc>
          <w:tcPr>
            <w:tcW w:w="287"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DB3734">
              <w:rPr>
                <w:rFonts w:cs="Arial"/>
                <w:color w:val="000000"/>
                <w:sz w:val="20"/>
              </w:rPr>
              <w:t>x</w:t>
            </w:r>
          </w:p>
        </w:tc>
        <w:tc>
          <w:tcPr>
            <w:tcW w:w="287"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306"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425"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6B1651">
              <w:rPr>
                <w:rFonts w:cs="Arial"/>
                <w:color w:val="000000"/>
                <w:sz w:val="20"/>
              </w:rPr>
              <w:t>x</w:t>
            </w:r>
          </w:p>
        </w:tc>
      </w:tr>
      <w:tr w:rsidR="000B758F" w:rsidRPr="00741EE1" w:rsidTr="002E2454">
        <w:trPr>
          <w:trHeight w:val="331"/>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left"/>
              <w:rPr>
                <w:rFonts w:cs="Arial"/>
                <w:color w:val="000000"/>
                <w:sz w:val="20"/>
              </w:rPr>
            </w:pPr>
            <w:r w:rsidRPr="00EA2F88">
              <w:rPr>
                <w:rFonts w:cs="Arial"/>
                <w:color w:val="000000"/>
                <w:sz w:val="20"/>
              </w:rPr>
              <w:t>Alteração na Fauna Aquática</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B31384">
              <w:rPr>
                <w:rFonts w:cs="Arial"/>
                <w:color w:val="000000"/>
                <w:sz w:val="20"/>
              </w:rPr>
              <w:t>x</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DF4B28">
              <w:rPr>
                <w:rFonts w:cs="Arial"/>
                <w:color w:val="000000"/>
                <w:sz w:val="20"/>
              </w:rPr>
              <w:t>x</w:t>
            </w:r>
          </w:p>
        </w:tc>
        <w:tc>
          <w:tcPr>
            <w:tcW w:w="363"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C20E65">
              <w:rPr>
                <w:rFonts w:cs="Arial"/>
                <w:color w:val="000000"/>
                <w:sz w:val="20"/>
              </w:rPr>
              <w:t>x</w:t>
            </w:r>
          </w:p>
        </w:tc>
        <w:tc>
          <w:tcPr>
            <w:tcW w:w="306"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8E28C9">
              <w:rPr>
                <w:rFonts w:cs="Arial"/>
                <w:color w:val="000000"/>
                <w:sz w:val="20"/>
              </w:rPr>
              <w:t>x</w:t>
            </w:r>
          </w:p>
        </w:tc>
        <w:tc>
          <w:tcPr>
            <w:tcW w:w="261"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sz w:val="20"/>
              </w:rPr>
            </w:pPr>
          </w:p>
        </w:tc>
        <w:tc>
          <w:tcPr>
            <w:tcW w:w="405" w:type="pct"/>
            <w:tcBorders>
              <w:top w:val="nil"/>
              <w:left w:val="nil"/>
              <w:bottom w:val="single" w:sz="4" w:space="0" w:color="auto"/>
              <w:right w:val="single" w:sz="4" w:space="0" w:color="auto"/>
            </w:tcBorders>
            <w:shd w:val="clear" w:color="auto" w:fill="auto"/>
            <w:noWrap/>
            <w:vAlign w:val="center"/>
            <w:hideMark/>
          </w:tcPr>
          <w:p w:rsidR="000B758F" w:rsidRPr="00A646B4" w:rsidRDefault="000B758F" w:rsidP="000B758F">
            <w:pPr>
              <w:spacing w:before="120" w:after="120" w:line="240" w:lineRule="auto"/>
              <w:jc w:val="center"/>
              <w:rPr>
                <w:rFonts w:cs="Arial"/>
                <w:sz w:val="20"/>
              </w:rPr>
            </w:pPr>
            <w:r>
              <w:rPr>
                <w:rFonts w:cs="Arial"/>
                <w:color w:val="000000"/>
                <w:sz w:val="20"/>
              </w:rPr>
              <w:t>x</w:t>
            </w:r>
            <w:r w:rsidRPr="00A646B4" w:rsidDel="000B758F">
              <w:rPr>
                <w:rFonts w:cs="Arial"/>
                <w:sz w:val="20"/>
              </w:rPr>
              <w:t xml:space="preserve"> </w:t>
            </w:r>
            <w:r w:rsidRPr="00A646B4">
              <w:rPr>
                <w:rFonts w:cs="Arial"/>
                <w:sz w:val="20"/>
              </w:rPr>
              <w:t>(Pedreira)</w:t>
            </w:r>
          </w:p>
        </w:tc>
        <w:tc>
          <w:tcPr>
            <w:tcW w:w="333"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287"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287"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Pr>
                <w:rFonts w:cs="Arial"/>
                <w:color w:val="000000"/>
                <w:sz w:val="20"/>
              </w:rPr>
              <w:t>x</w:t>
            </w:r>
          </w:p>
        </w:tc>
        <w:tc>
          <w:tcPr>
            <w:tcW w:w="306"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425"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6B1651">
              <w:rPr>
                <w:rFonts w:cs="Arial"/>
                <w:color w:val="000000"/>
                <w:sz w:val="20"/>
              </w:rPr>
              <w:t>x</w:t>
            </w:r>
          </w:p>
        </w:tc>
      </w:tr>
      <w:tr w:rsidR="000B758F" w:rsidRPr="00741EE1" w:rsidTr="002E2454">
        <w:trPr>
          <w:trHeight w:val="393"/>
        </w:trPr>
        <w:tc>
          <w:tcPr>
            <w:tcW w:w="1330" w:type="pct"/>
            <w:tcBorders>
              <w:top w:val="nil"/>
              <w:left w:val="single" w:sz="4" w:space="0" w:color="auto"/>
              <w:bottom w:val="single" w:sz="4" w:space="0" w:color="auto"/>
              <w:right w:val="single" w:sz="4" w:space="0" w:color="auto"/>
            </w:tcBorders>
            <w:shd w:val="clear" w:color="auto" w:fill="auto"/>
            <w:vAlign w:val="center"/>
            <w:hideMark/>
          </w:tcPr>
          <w:p w:rsidR="000B758F" w:rsidRPr="00EA2F88" w:rsidRDefault="000B758F" w:rsidP="000B758F">
            <w:pPr>
              <w:spacing w:before="120" w:after="120" w:line="240" w:lineRule="auto"/>
              <w:jc w:val="left"/>
              <w:rPr>
                <w:rFonts w:cs="Arial"/>
                <w:color w:val="000000"/>
                <w:sz w:val="20"/>
              </w:rPr>
            </w:pPr>
            <w:r w:rsidRPr="00EA2F88">
              <w:rPr>
                <w:rFonts w:cs="Arial"/>
                <w:color w:val="000000"/>
                <w:sz w:val="20"/>
              </w:rPr>
              <w:t xml:space="preserve">Perda de Hábitat para a Fauna </w:t>
            </w:r>
            <w:r>
              <w:rPr>
                <w:rFonts w:cs="Arial"/>
                <w:color w:val="000000"/>
                <w:sz w:val="20"/>
              </w:rPr>
              <w:t>Silvestre</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B31384">
              <w:rPr>
                <w:rFonts w:cs="Arial"/>
                <w:color w:val="000000"/>
                <w:sz w:val="20"/>
              </w:rPr>
              <w:t>x</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DF4B28">
              <w:rPr>
                <w:rFonts w:cs="Arial"/>
                <w:color w:val="000000"/>
                <w:sz w:val="20"/>
              </w:rPr>
              <w:t>x</w:t>
            </w:r>
          </w:p>
        </w:tc>
        <w:tc>
          <w:tcPr>
            <w:tcW w:w="363"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C20E65">
              <w:rPr>
                <w:rFonts w:cs="Arial"/>
                <w:color w:val="000000"/>
                <w:sz w:val="20"/>
              </w:rPr>
              <w:t>x</w:t>
            </w:r>
          </w:p>
        </w:tc>
        <w:tc>
          <w:tcPr>
            <w:tcW w:w="306"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8E28C9">
              <w:rPr>
                <w:rFonts w:cs="Arial"/>
                <w:color w:val="000000"/>
                <w:sz w:val="20"/>
              </w:rPr>
              <w:t>x</w:t>
            </w:r>
          </w:p>
        </w:tc>
        <w:tc>
          <w:tcPr>
            <w:tcW w:w="261"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1F68D7">
              <w:rPr>
                <w:rFonts w:cs="Arial"/>
                <w:color w:val="000000"/>
                <w:sz w:val="20"/>
              </w:rPr>
              <w:t>x</w:t>
            </w:r>
          </w:p>
        </w:tc>
        <w:tc>
          <w:tcPr>
            <w:tcW w:w="405" w:type="pct"/>
            <w:tcBorders>
              <w:top w:val="nil"/>
              <w:left w:val="nil"/>
              <w:bottom w:val="single" w:sz="4" w:space="0" w:color="auto"/>
              <w:right w:val="single" w:sz="4" w:space="0" w:color="auto"/>
            </w:tcBorders>
            <w:shd w:val="clear" w:color="auto" w:fill="auto"/>
            <w:noWrap/>
            <w:vAlign w:val="center"/>
          </w:tcPr>
          <w:p w:rsidR="000B758F" w:rsidRPr="00A646B4" w:rsidRDefault="000B758F" w:rsidP="000B758F">
            <w:pPr>
              <w:spacing w:before="120" w:after="120" w:line="240" w:lineRule="auto"/>
              <w:jc w:val="center"/>
              <w:rPr>
                <w:rFonts w:cs="Arial"/>
                <w:sz w:val="20"/>
              </w:rPr>
            </w:pPr>
          </w:p>
        </w:tc>
        <w:tc>
          <w:tcPr>
            <w:tcW w:w="333"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287"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321DEA">
              <w:rPr>
                <w:rFonts w:cs="Arial"/>
                <w:color w:val="000000"/>
                <w:sz w:val="20"/>
              </w:rPr>
              <w:t>x</w:t>
            </w:r>
          </w:p>
        </w:tc>
        <w:tc>
          <w:tcPr>
            <w:tcW w:w="287"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p>
        </w:tc>
        <w:tc>
          <w:tcPr>
            <w:tcW w:w="306"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425"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6B1651">
              <w:rPr>
                <w:rFonts w:cs="Arial"/>
                <w:color w:val="000000"/>
                <w:sz w:val="20"/>
              </w:rPr>
              <w:t>x</w:t>
            </w:r>
          </w:p>
        </w:tc>
      </w:tr>
      <w:tr w:rsidR="000B758F" w:rsidRPr="00741EE1" w:rsidTr="002E2454">
        <w:trPr>
          <w:trHeight w:val="354"/>
        </w:trPr>
        <w:tc>
          <w:tcPr>
            <w:tcW w:w="1330" w:type="pct"/>
            <w:tcBorders>
              <w:top w:val="nil"/>
              <w:left w:val="single" w:sz="4" w:space="0" w:color="auto"/>
              <w:bottom w:val="single" w:sz="4" w:space="0" w:color="auto"/>
              <w:right w:val="single" w:sz="4" w:space="0" w:color="auto"/>
            </w:tcBorders>
            <w:shd w:val="clear" w:color="auto" w:fill="auto"/>
            <w:vAlign w:val="center"/>
            <w:hideMark/>
          </w:tcPr>
          <w:p w:rsidR="000B758F" w:rsidRPr="00EA2F88" w:rsidRDefault="000B758F" w:rsidP="000B758F">
            <w:pPr>
              <w:spacing w:before="120" w:after="120" w:line="240" w:lineRule="auto"/>
              <w:jc w:val="left"/>
              <w:rPr>
                <w:rFonts w:cs="Arial"/>
                <w:color w:val="000000"/>
                <w:sz w:val="20"/>
              </w:rPr>
            </w:pPr>
            <w:r w:rsidRPr="00AE2F1E">
              <w:rPr>
                <w:rFonts w:cs="Arial"/>
                <w:color w:val="000000"/>
                <w:sz w:val="20"/>
              </w:rPr>
              <w:t>Alteração das Relações Econômicas, Sociais e Culturais</w:t>
            </w:r>
            <w:r w:rsidR="00D1055C">
              <w:rPr>
                <w:rFonts w:cs="Arial"/>
                <w:color w:val="000000"/>
                <w:sz w:val="20"/>
              </w:rPr>
              <w:t>.</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B31384">
              <w:rPr>
                <w:rFonts w:cs="Arial"/>
                <w:color w:val="000000"/>
                <w:sz w:val="20"/>
              </w:rPr>
              <w:t>x</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DF4B28">
              <w:rPr>
                <w:rFonts w:cs="Arial"/>
                <w:color w:val="000000"/>
                <w:sz w:val="20"/>
              </w:rPr>
              <w:t>x</w:t>
            </w:r>
          </w:p>
        </w:tc>
        <w:tc>
          <w:tcPr>
            <w:tcW w:w="363"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C20E65">
              <w:rPr>
                <w:rFonts w:cs="Arial"/>
                <w:color w:val="000000"/>
                <w:sz w:val="20"/>
              </w:rPr>
              <w:t>x</w:t>
            </w:r>
          </w:p>
        </w:tc>
        <w:tc>
          <w:tcPr>
            <w:tcW w:w="306"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261"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1F68D7">
              <w:rPr>
                <w:rFonts w:cs="Arial"/>
                <w:color w:val="000000"/>
                <w:sz w:val="20"/>
              </w:rPr>
              <w:t>x</w:t>
            </w:r>
          </w:p>
        </w:tc>
        <w:tc>
          <w:tcPr>
            <w:tcW w:w="405" w:type="pct"/>
            <w:tcBorders>
              <w:top w:val="nil"/>
              <w:left w:val="nil"/>
              <w:bottom w:val="single" w:sz="4" w:space="0" w:color="auto"/>
              <w:right w:val="single" w:sz="4" w:space="0" w:color="auto"/>
            </w:tcBorders>
            <w:shd w:val="clear" w:color="auto" w:fill="auto"/>
            <w:noWrap/>
            <w:vAlign w:val="center"/>
          </w:tcPr>
          <w:p w:rsidR="000B758F" w:rsidRPr="00A646B4" w:rsidRDefault="000B758F" w:rsidP="000B758F">
            <w:pPr>
              <w:spacing w:before="120" w:after="120" w:line="240" w:lineRule="auto"/>
              <w:jc w:val="center"/>
              <w:rPr>
                <w:rFonts w:cs="Arial"/>
                <w:sz w:val="20"/>
              </w:rPr>
            </w:pPr>
          </w:p>
        </w:tc>
        <w:tc>
          <w:tcPr>
            <w:tcW w:w="333"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287"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287"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874E43">
              <w:rPr>
                <w:rFonts w:cs="Arial"/>
                <w:color w:val="000000"/>
                <w:sz w:val="20"/>
              </w:rPr>
              <w:t>x</w:t>
            </w:r>
          </w:p>
        </w:tc>
        <w:tc>
          <w:tcPr>
            <w:tcW w:w="306"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874E43">
              <w:rPr>
                <w:rFonts w:cs="Arial"/>
                <w:color w:val="000000"/>
                <w:sz w:val="20"/>
              </w:rPr>
              <w:t>x</w:t>
            </w:r>
          </w:p>
        </w:tc>
        <w:tc>
          <w:tcPr>
            <w:tcW w:w="425"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6B1651">
              <w:rPr>
                <w:rFonts w:cs="Arial"/>
                <w:color w:val="000000"/>
                <w:sz w:val="20"/>
              </w:rPr>
              <w:t>x</w:t>
            </w:r>
          </w:p>
        </w:tc>
      </w:tr>
      <w:tr w:rsidR="000B758F" w:rsidRPr="00741EE1" w:rsidTr="002E2454">
        <w:trPr>
          <w:trHeight w:val="340"/>
        </w:trPr>
        <w:tc>
          <w:tcPr>
            <w:tcW w:w="1330" w:type="pct"/>
            <w:tcBorders>
              <w:top w:val="nil"/>
              <w:left w:val="single" w:sz="4" w:space="0" w:color="auto"/>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left"/>
              <w:rPr>
                <w:rFonts w:cs="Arial"/>
                <w:color w:val="000000"/>
                <w:sz w:val="20"/>
              </w:rPr>
            </w:pPr>
            <w:r w:rsidRPr="00EA2F88">
              <w:rPr>
                <w:rFonts w:cs="Arial"/>
                <w:color w:val="000000"/>
                <w:sz w:val="20"/>
              </w:rPr>
              <w:t>Pressão na Infraestrutura Viária</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B31384">
              <w:rPr>
                <w:rFonts w:cs="Arial"/>
                <w:color w:val="000000"/>
                <w:sz w:val="20"/>
              </w:rPr>
              <w:t>x</w:t>
            </w:r>
          </w:p>
        </w:tc>
        <w:tc>
          <w:tcPr>
            <w:tcW w:w="348"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DF4B28">
              <w:rPr>
                <w:rFonts w:cs="Arial"/>
                <w:color w:val="000000"/>
                <w:sz w:val="20"/>
              </w:rPr>
              <w:t>x</w:t>
            </w:r>
          </w:p>
        </w:tc>
        <w:tc>
          <w:tcPr>
            <w:tcW w:w="363"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C20E65">
              <w:rPr>
                <w:rFonts w:cs="Arial"/>
                <w:color w:val="000000"/>
                <w:sz w:val="20"/>
              </w:rPr>
              <w:t>x</w:t>
            </w:r>
          </w:p>
        </w:tc>
        <w:tc>
          <w:tcPr>
            <w:tcW w:w="306"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261"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405" w:type="pct"/>
            <w:tcBorders>
              <w:top w:val="nil"/>
              <w:left w:val="nil"/>
              <w:bottom w:val="single" w:sz="4" w:space="0" w:color="auto"/>
              <w:right w:val="single" w:sz="4" w:space="0" w:color="auto"/>
            </w:tcBorders>
            <w:shd w:val="clear" w:color="auto" w:fill="auto"/>
            <w:noWrap/>
            <w:vAlign w:val="center"/>
          </w:tcPr>
          <w:p w:rsidR="000B758F" w:rsidRPr="00A646B4" w:rsidRDefault="000B758F" w:rsidP="000B758F">
            <w:pPr>
              <w:spacing w:before="120" w:after="120" w:line="240" w:lineRule="auto"/>
              <w:jc w:val="center"/>
              <w:rPr>
                <w:rFonts w:cs="Arial"/>
                <w:sz w:val="20"/>
              </w:rPr>
            </w:pPr>
          </w:p>
        </w:tc>
        <w:tc>
          <w:tcPr>
            <w:tcW w:w="333"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287" w:type="pct"/>
            <w:tcBorders>
              <w:top w:val="nil"/>
              <w:left w:val="nil"/>
              <w:bottom w:val="single" w:sz="4" w:space="0" w:color="auto"/>
              <w:right w:val="single" w:sz="4" w:space="0" w:color="auto"/>
            </w:tcBorders>
            <w:shd w:val="clear" w:color="auto" w:fill="auto"/>
            <w:noWrap/>
            <w:vAlign w:val="center"/>
          </w:tcPr>
          <w:p w:rsidR="000B758F" w:rsidRPr="00EA2F88" w:rsidRDefault="000B758F" w:rsidP="000B758F">
            <w:pPr>
              <w:spacing w:before="120" w:after="120" w:line="240" w:lineRule="auto"/>
              <w:jc w:val="center"/>
              <w:rPr>
                <w:rFonts w:cs="Arial"/>
                <w:color w:val="000000"/>
                <w:sz w:val="20"/>
              </w:rPr>
            </w:pPr>
          </w:p>
        </w:tc>
        <w:tc>
          <w:tcPr>
            <w:tcW w:w="287"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874E43">
              <w:rPr>
                <w:rFonts w:cs="Arial"/>
                <w:color w:val="000000"/>
                <w:sz w:val="20"/>
              </w:rPr>
              <w:t>x</w:t>
            </w:r>
          </w:p>
        </w:tc>
        <w:tc>
          <w:tcPr>
            <w:tcW w:w="306" w:type="pct"/>
            <w:tcBorders>
              <w:top w:val="nil"/>
              <w:left w:val="nil"/>
              <w:bottom w:val="single" w:sz="4" w:space="0" w:color="auto"/>
              <w:right w:val="single" w:sz="4" w:space="0" w:color="auto"/>
            </w:tcBorders>
            <w:shd w:val="clear" w:color="auto" w:fill="auto"/>
            <w:noWrap/>
            <w:vAlign w:val="center"/>
            <w:hideMark/>
          </w:tcPr>
          <w:p w:rsidR="000B758F" w:rsidRPr="00EA2F88" w:rsidRDefault="000B758F" w:rsidP="000B758F">
            <w:pPr>
              <w:spacing w:before="120" w:after="120" w:line="240" w:lineRule="auto"/>
              <w:jc w:val="center"/>
              <w:rPr>
                <w:rFonts w:cs="Arial"/>
                <w:color w:val="000000"/>
                <w:sz w:val="20"/>
              </w:rPr>
            </w:pPr>
            <w:r w:rsidRPr="00874E43">
              <w:rPr>
                <w:rFonts w:cs="Arial"/>
                <w:color w:val="000000"/>
                <w:sz w:val="20"/>
              </w:rPr>
              <w:t>x</w:t>
            </w:r>
          </w:p>
        </w:tc>
        <w:tc>
          <w:tcPr>
            <w:tcW w:w="425" w:type="pct"/>
            <w:tcBorders>
              <w:top w:val="nil"/>
              <w:left w:val="nil"/>
              <w:bottom w:val="single" w:sz="4" w:space="0" w:color="auto"/>
              <w:right w:val="single" w:sz="4" w:space="0" w:color="auto"/>
            </w:tcBorders>
            <w:shd w:val="clear" w:color="auto" w:fill="auto"/>
            <w:noWrap/>
            <w:vAlign w:val="center"/>
            <w:hideMark/>
          </w:tcPr>
          <w:p w:rsidR="000B758F" w:rsidRPr="00A646B4" w:rsidRDefault="000B758F" w:rsidP="000B758F">
            <w:pPr>
              <w:spacing w:before="120" w:after="120" w:line="240" w:lineRule="auto"/>
              <w:jc w:val="center"/>
              <w:rPr>
                <w:rFonts w:cs="Arial"/>
                <w:sz w:val="20"/>
              </w:rPr>
            </w:pPr>
          </w:p>
        </w:tc>
      </w:tr>
    </w:tbl>
    <w:p w:rsidR="000B758F" w:rsidRDefault="000B758F" w:rsidP="000B758F">
      <w:pPr>
        <w:autoSpaceDE w:val="0"/>
        <w:autoSpaceDN w:val="0"/>
        <w:adjustRightInd w:val="0"/>
        <w:spacing w:before="120" w:after="120" w:line="240" w:lineRule="auto"/>
        <w:rPr>
          <w:rFonts w:cs="Arial"/>
          <w:bCs/>
          <w:szCs w:val="22"/>
        </w:rPr>
      </w:pPr>
    </w:p>
    <w:p w:rsidR="000B758F" w:rsidRPr="00C007A0" w:rsidRDefault="000B758F" w:rsidP="000B758F">
      <w:pPr>
        <w:autoSpaceDE w:val="0"/>
        <w:autoSpaceDN w:val="0"/>
        <w:adjustRightInd w:val="0"/>
        <w:spacing w:before="120" w:after="120" w:line="240" w:lineRule="auto"/>
        <w:jc w:val="center"/>
        <w:rPr>
          <w:rFonts w:cs="Arial"/>
          <w:bCs/>
          <w:szCs w:val="22"/>
        </w:rPr>
        <w:sectPr w:rsidR="000B758F" w:rsidRPr="00C007A0" w:rsidSect="002E2454">
          <w:headerReference w:type="default" r:id="rId24"/>
          <w:footerReference w:type="default" r:id="rId25"/>
          <w:pgSz w:w="16840" w:h="11907" w:orient="landscape" w:code="9"/>
          <w:pgMar w:top="1701" w:right="851" w:bottom="1134" w:left="1701" w:header="567" w:footer="567" w:gutter="0"/>
          <w:cols w:space="720"/>
          <w:docGrid w:linePitch="299"/>
        </w:sectPr>
      </w:pPr>
    </w:p>
    <w:p w:rsidR="009E1DAB" w:rsidRPr="003C5C65" w:rsidRDefault="009E1DAB" w:rsidP="00431A97">
      <w:pPr>
        <w:pStyle w:val="Ttulo2"/>
        <w:numPr>
          <w:ilvl w:val="1"/>
          <w:numId w:val="34"/>
        </w:numPr>
      </w:pPr>
      <w:bookmarkStart w:id="110" w:name="_Toc418758201"/>
      <w:bookmarkStart w:id="111" w:name="_Toc418758803"/>
      <w:bookmarkStart w:id="112" w:name="_Toc419813568"/>
      <w:r w:rsidRPr="003C5C65">
        <w:lastRenderedPageBreak/>
        <w:t>Análise e Caracterização dos Impactos Ambientais</w:t>
      </w:r>
      <w:bookmarkEnd w:id="98"/>
      <w:bookmarkEnd w:id="99"/>
      <w:bookmarkEnd w:id="100"/>
      <w:bookmarkEnd w:id="101"/>
      <w:bookmarkEnd w:id="102"/>
      <w:bookmarkEnd w:id="103"/>
      <w:bookmarkEnd w:id="104"/>
      <w:r w:rsidRPr="003C5C65">
        <w:t xml:space="preserve"> das Barragens Pedreira e Duas Pontes</w:t>
      </w:r>
      <w:bookmarkEnd w:id="110"/>
      <w:bookmarkEnd w:id="111"/>
      <w:bookmarkEnd w:id="112"/>
      <w:r w:rsidRPr="003C5C65">
        <w:t xml:space="preserve"> </w:t>
      </w:r>
    </w:p>
    <w:p w:rsidR="009E1DAB" w:rsidRPr="002F49BF" w:rsidRDefault="009E1DAB" w:rsidP="002F49BF">
      <w:pPr>
        <w:pStyle w:val="CorpodetextoBodyTextCharCharCharCharCharCharCharCharBodyTextCharBodyTextCharCharCharCharCharCharCharCharCharCharCharCharCharCharChar"/>
        <w:rPr>
          <w:rStyle w:val="CorpodeTexto0"/>
          <w:bCs w:val="0"/>
          <w:iCs w:val="0"/>
        </w:rPr>
      </w:pPr>
      <w:r w:rsidRPr="002F49BF">
        <w:rPr>
          <w:rStyle w:val="CorpodeTexto0"/>
          <w:bCs w:val="0"/>
          <w:iCs w:val="0"/>
        </w:rPr>
        <w:t>Com base na metodologia adotada, apresenta-se a</w:t>
      </w:r>
      <w:r w:rsidR="001D2EEF" w:rsidRPr="002F49BF">
        <w:rPr>
          <w:rStyle w:val="CorpodeTexto0"/>
          <w:bCs w:val="0"/>
          <w:iCs w:val="0"/>
        </w:rPr>
        <w:t xml:space="preserve"> seguir a</w:t>
      </w:r>
      <w:r w:rsidRPr="002F49BF">
        <w:rPr>
          <w:rStyle w:val="CorpodeTexto0"/>
          <w:bCs w:val="0"/>
          <w:iCs w:val="0"/>
        </w:rPr>
        <w:t xml:space="preserve"> caracterização e análise dos </w:t>
      </w:r>
      <w:r w:rsidR="001D2EEF" w:rsidRPr="002F49BF">
        <w:rPr>
          <w:rStyle w:val="CorpodeTexto0"/>
          <w:bCs w:val="0"/>
          <w:iCs w:val="0"/>
        </w:rPr>
        <w:t xml:space="preserve">potenciais </w:t>
      </w:r>
      <w:r w:rsidRPr="002F49BF">
        <w:rPr>
          <w:rStyle w:val="CorpodeTexto0"/>
          <w:bCs w:val="0"/>
          <w:iCs w:val="0"/>
        </w:rPr>
        <w:t xml:space="preserve">impactos que incidirão sobre os meios físico, biótico e socioeconômico </w:t>
      </w:r>
      <w:r w:rsidR="001D2EEF" w:rsidRPr="002F49BF">
        <w:rPr>
          <w:rStyle w:val="CorpodeTexto0"/>
          <w:bCs w:val="0"/>
          <w:iCs w:val="0"/>
        </w:rPr>
        <w:t xml:space="preserve">advindos </w:t>
      </w:r>
      <w:r w:rsidRPr="002F49BF">
        <w:rPr>
          <w:rStyle w:val="CorpodeTexto0"/>
          <w:bCs w:val="0"/>
          <w:iCs w:val="0"/>
        </w:rPr>
        <w:t>da implantação das barragens Pedreira e Duas Pontes. Na análise de cada impacto foram co</w:t>
      </w:r>
      <w:r w:rsidR="001D2EEF" w:rsidRPr="002F49BF">
        <w:rPr>
          <w:rStyle w:val="CorpodeTexto0"/>
          <w:bCs w:val="0"/>
          <w:iCs w:val="0"/>
        </w:rPr>
        <w:t>nsideradas suas especificidades</w:t>
      </w:r>
      <w:r w:rsidRPr="002F49BF">
        <w:rPr>
          <w:rStyle w:val="CorpodeTexto0"/>
          <w:bCs w:val="0"/>
          <w:iCs w:val="0"/>
        </w:rPr>
        <w:t xml:space="preserve"> nas três fases</w:t>
      </w:r>
      <w:r w:rsidR="00A71868" w:rsidRPr="002F49BF">
        <w:rPr>
          <w:rStyle w:val="CorpodeTexto0"/>
          <w:bCs w:val="0"/>
          <w:iCs w:val="0"/>
        </w:rPr>
        <w:t xml:space="preserve"> que levam à implantação dos empreendimentos</w:t>
      </w:r>
      <w:r w:rsidRPr="002F49BF">
        <w:rPr>
          <w:rStyle w:val="CorpodeTexto0"/>
          <w:bCs w:val="0"/>
          <w:iCs w:val="0"/>
        </w:rPr>
        <w:t>: planejamento, implantação e operação</w:t>
      </w:r>
      <w:bookmarkStart w:id="113" w:name="_Toc335823115"/>
      <w:bookmarkStart w:id="114" w:name="_Toc365455772"/>
      <w:bookmarkStart w:id="115" w:name="_Toc365627531"/>
      <w:bookmarkStart w:id="116" w:name="_Toc365973396"/>
      <w:bookmarkStart w:id="117" w:name="_Toc370802312"/>
      <w:bookmarkStart w:id="118" w:name="_Toc370906023"/>
      <w:bookmarkStart w:id="119" w:name="_Toc371328367"/>
      <w:r w:rsidRPr="002F49BF">
        <w:rPr>
          <w:rStyle w:val="CorpodeTexto0"/>
          <w:bCs w:val="0"/>
          <w:iCs w:val="0"/>
        </w:rPr>
        <w:t>.</w:t>
      </w:r>
    </w:p>
    <w:p w:rsidR="009E1DAB" w:rsidRDefault="009E1DAB" w:rsidP="002F49BF">
      <w:pPr>
        <w:pStyle w:val="Ttulo3"/>
      </w:pPr>
      <w:bookmarkStart w:id="120" w:name="_Toc418758202"/>
      <w:bookmarkStart w:id="121" w:name="_Toc418758804"/>
      <w:bookmarkStart w:id="122" w:name="_Toc419813569"/>
      <w:r w:rsidRPr="002C4586">
        <w:rPr>
          <w:rFonts w:cs="Arial"/>
          <w:szCs w:val="22"/>
        </w:rPr>
        <w:t>1.3.1</w:t>
      </w:r>
      <w:r w:rsidR="002F49BF">
        <w:rPr>
          <w:rFonts w:cs="Arial"/>
          <w:szCs w:val="22"/>
        </w:rPr>
        <w:t>.</w:t>
      </w:r>
      <w:r w:rsidRPr="002C4586">
        <w:rPr>
          <w:rFonts w:cs="Arial"/>
          <w:szCs w:val="22"/>
        </w:rPr>
        <w:t xml:space="preserve"> </w:t>
      </w:r>
      <w:r w:rsidRPr="002C4586">
        <w:rPr>
          <w:rFonts w:ascii="Arial Negrito" w:hAnsi="Arial Negrito"/>
        </w:rPr>
        <w:t>M</w:t>
      </w:r>
      <w:bookmarkEnd w:id="113"/>
      <w:bookmarkEnd w:id="114"/>
      <w:bookmarkEnd w:id="115"/>
      <w:bookmarkEnd w:id="116"/>
      <w:bookmarkEnd w:id="117"/>
      <w:bookmarkEnd w:id="118"/>
      <w:bookmarkEnd w:id="119"/>
      <w:r w:rsidRPr="002C4586">
        <w:t>eio Físico</w:t>
      </w:r>
      <w:bookmarkEnd w:id="120"/>
      <w:bookmarkEnd w:id="121"/>
      <w:bookmarkEnd w:id="122"/>
    </w:p>
    <w:p w:rsidR="00973BCF" w:rsidRDefault="00A71868" w:rsidP="002F49BF">
      <w:pPr>
        <w:pStyle w:val="Ttulo4"/>
      </w:pPr>
      <w:bookmarkStart w:id="123" w:name="_Toc418758203"/>
      <w:bookmarkStart w:id="124" w:name="_Toc418758805"/>
      <w:bookmarkStart w:id="125" w:name="_Toc419813570"/>
      <w:r w:rsidRPr="00CD6D82">
        <w:t>1.3.1.</w:t>
      </w:r>
      <w:r w:rsidR="00973BCF" w:rsidRPr="00CD6D82">
        <w:t xml:space="preserve">1. Alteração no Microclima no </w:t>
      </w:r>
      <w:r w:rsidR="002F49BF">
        <w:t>E</w:t>
      </w:r>
      <w:r w:rsidR="00973BCF" w:rsidRPr="00CD6D82">
        <w:t xml:space="preserve">ntorno dos </w:t>
      </w:r>
      <w:r w:rsidR="002F49BF">
        <w:t>R</w:t>
      </w:r>
      <w:r w:rsidR="00973BCF" w:rsidRPr="00CD6D82">
        <w:t>eservatórios</w:t>
      </w:r>
      <w:bookmarkEnd w:id="123"/>
      <w:bookmarkEnd w:id="124"/>
      <w:bookmarkEnd w:id="125"/>
    </w:p>
    <w:p w:rsidR="00862C6D" w:rsidRPr="00DD4EE8" w:rsidRDefault="00862C6D" w:rsidP="00862C6D">
      <w:pPr>
        <w:tabs>
          <w:tab w:val="num" w:pos="720"/>
        </w:tabs>
        <w:autoSpaceDE w:val="0"/>
        <w:autoSpaceDN w:val="0"/>
        <w:adjustRightInd w:val="0"/>
        <w:spacing w:before="120" w:after="120" w:line="240" w:lineRule="auto"/>
        <w:rPr>
          <w:rFonts w:cs="Arial"/>
          <w:b/>
          <w:szCs w:val="22"/>
        </w:rPr>
      </w:pPr>
      <w:r w:rsidRPr="00DD4EE8">
        <w:rPr>
          <w:rFonts w:cs="Arial"/>
          <w:b/>
          <w:szCs w:val="22"/>
        </w:rPr>
        <w:t>Fase</w:t>
      </w:r>
      <w:r w:rsidR="00F42F79">
        <w:rPr>
          <w:rFonts w:cs="Arial"/>
          <w:b/>
          <w:szCs w:val="22"/>
        </w:rPr>
        <w:t>s</w:t>
      </w:r>
      <w:r w:rsidRPr="00DD4EE8">
        <w:rPr>
          <w:rFonts w:cs="Arial"/>
          <w:b/>
          <w:szCs w:val="22"/>
        </w:rPr>
        <w:t>: Implantação (Enchimento do</w:t>
      </w:r>
      <w:r>
        <w:rPr>
          <w:rFonts w:cs="Arial"/>
          <w:b/>
          <w:szCs w:val="22"/>
        </w:rPr>
        <w:t>s</w:t>
      </w:r>
      <w:r w:rsidRPr="00DD4EE8">
        <w:rPr>
          <w:rFonts w:cs="Arial"/>
          <w:b/>
          <w:szCs w:val="22"/>
        </w:rPr>
        <w:t xml:space="preserve"> Reservatório</w:t>
      </w:r>
      <w:r>
        <w:rPr>
          <w:rFonts w:cs="Arial"/>
          <w:b/>
          <w:szCs w:val="22"/>
        </w:rPr>
        <w:t>s</w:t>
      </w:r>
      <w:r w:rsidRPr="00DD4EE8">
        <w:rPr>
          <w:rFonts w:cs="Arial"/>
          <w:b/>
          <w:szCs w:val="22"/>
        </w:rPr>
        <w:t xml:space="preserve">) e Operação </w:t>
      </w:r>
    </w:p>
    <w:p w:rsidR="00862C6D" w:rsidRPr="0086069B" w:rsidRDefault="00862C6D" w:rsidP="00862C6D">
      <w:pPr>
        <w:autoSpaceDE w:val="0"/>
        <w:autoSpaceDN w:val="0"/>
        <w:adjustRightInd w:val="0"/>
        <w:spacing w:before="120" w:after="120" w:line="240" w:lineRule="auto"/>
        <w:rPr>
          <w:rFonts w:cs="Arial"/>
          <w:szCs w:val="22"/>
        </w:rPr>
      </w:pPr>
      <w:r w:rsidRPr="0086069B">
        <w:rPr>
          <w:rFonts w:cs="Arial"/>
          <w:szCs w:val="22"/>
        </w:rPr>
        <w:t xml:space="preserve">A efetiva ocorrência </w:t>
      </w:r>
      <w:r>
        <w:rPr>
          <w:rFonts w:cs="Arial"/>
          <w:szCs w:val="22"/>
        </w:rPr>
        <w:t>de</w:t>
      </w:r>
      <w:r w:rsidRPr="0086069B">
        <w:rPr>
          <w:rFonts w:cs="Arial"/>
          <w:szCs w:val="22"/>
        </w:rPr>
        <w:t xml:space="preserve"> possíveis alterações nos parâmetros meteorológicos somente será notada após a total inundação das áreas do reservatório o que permitirá avaliar possíveis efeitos sobre o microclima local.</w:t>
      </w:r>
    </w:p>
    <w:p w:rsidR="00862C6D" w:rsidRPr="0086069B" w:rsidRDefault="00862C6D" w:rsidP="00862C6D">
      <w:pPr>
        <w:autoSpaceDE w:val="0"/>
        <w:autoSpaceDN w:val="0"/>
        <w:adjustRightInd w:val="0"/>
        <w:spacing w:before="120" w:after="120" w:line="240" w:lineRule="auto"/>
        <w:rPr>
          <w:rFonts w:cs="Arial"/>
          <w:szCs w:val="22"/>
        </w:rPr>
      </w:pPr>
      <w:r w:rsidRPr="0086069B">
        <w:rPr>
          <w:rFonts w:cs="Arial"/>
          <w:szCs w:val="22"/>
        </w:rPr>
        <w:t xml:space="preserve">Os efeitos esperados sobre o clima local são analisados em cada elemento climático, embora na atmosfera se encontrem indissoluvelmente conectados. </w:t>
      </w:r>
    </w:p>
    <w:p w:rsidR="00862C6D" w:rsidRPr="002F49BF" w:rsidRDefault="00862C6D" w:rsidP="002F49BF">
      <w:pPr>
        <w:pStyle w:val="Item-Trainho"/>
        <w:rPr>
          <w:b/>
        </w:rPr>
      </w:pPr>
      <w:r w:rsidRPr="002F49BF">
        <w:rPr>
          <w:b/>
        </w:rPr>
        <w:t>Umidade do Ar</w:t>
      </w:r>
    </w:p>
    <w:p w:rsidR="00862C6D" w:rsidRPr="0086069B" w:rsidRDefault="00862C6D" w:rsidP="00862C6D">
      <w:pPr>
        <w:autoSpaceDE w:val="0"/>
        <w:autoSpaceDN w:val="0"/>
        <w:adjustRightInd w:val="0"/>
        <w:spacing w:before="120" w:after="120" w:line="240" w:lineRule="auto"/>
        <w:rPr>
          <w:rFonts w:cs="Arial"/>
          <w:szCs w:val="22"/>
        </w:rPr>
      </w:pPr>
      <w:r w:rsidRPr="0086069B">
        <w:rPr>
          <w:rFonts w:cs="Arial"/>
          <w:szCs w:val="22"/>
        </w:rPr>
        <w:t>A criação da superfície líquida</w:t>
      </w:r>
      <w:r>
        <w:rPr>
          <w:rFonts w:cs="Arial"/>
          <w:szCs w:val="22"/>
        </w:rPr>
        <w:t xml:space="preserve"> aliada a</w:t>
      </w:r>
      <w:r w:rsidRPr="0086069B">
        <w:rPr>
          <w:rFonts w:cs="Arial"/>
          <w:szCs w:val="22"/>
        </w:rPr>
        <w:t xml:space="preserve"> altas temperaturas propiciará um aumento da evaporação e consequente aumento da umidade atmosférica. Deve-se, entretanto, considerar que o aumento da umidade do ar é também dependente da ação do vento. Apesar das reduzidas dimensões das áreas inundadas (202 ha para </w:t>
      </w:r>
      <w:r>
        <w:rPr>
          <w:rFonts w:cs="Arial"/>
          <w:szCs w:val="22"/>
        </w:rPr>
        <w:t xml:space="preserve">o reservatório da Barragem </w:t>
      </w:r>
      <w:r w:rsidRPr="0086069B">
        <w:rPr>
          <w:rFonts w:cs="Arial"/>
          <w:szCs w:val="22"/>
        </w:rPr>
        <w:t xml:space="preserve">Pedreira e </w:t>
      </w:r>
      <w:r w:rsidR="00104A0B" w:rsidRPr="0086069B">
        <w:rPr>
          <w:rFonts w:cs="Arial"/>
          <w:szCs w:val="22"/>
        </w:rPr>
        <w:t>48</w:t>
      </w:r>
      <w:r w:rsidR="00104A0B">
        <w:rPr>
          <w:rFonts w:cs="Arial"/>
          <w:szCs w:val="22"/>
        </w:rPr>
        <w:t>6</w:t>
      </w:r>
      <w:r w:rsidR="00104A0B" w:rsidRPr="0086069B">
        <w:rPr>
          <w:rFonts w:cs="Arial"/>
          <w:szCs w:val="22"/>
        </w:rPr>
        <w:t xml:space="preserve"> </w:t>
      </w:r>
      <w:r w:rsidRPr="0086069B">
        <w:rPr>
          <w:rFonts w:cs="Arial"/>
          <w:szCs w:val="22"/>
        </w:rPr>
        <w:t xml:space="preserve">ha para </w:t>
      </w:r>
      <w:r>
        <w:rPr>
          <w:rFonts w:cs="Arial"/>
          <w:szCs w:val="22"/>
        </w:rPr>
        <w:t xml:space="preserve">o reservatório da Barragem </w:t>
      </w:r>
      <w:r w:rsidRPr="0086069B">
        <w:rPr>
          <w:rFonts w:cs="Arial"/>
          <w:szCs w:val="22"/>
        </w:rPr>
        <w:t>Duas Pontes) poderá ocorrer um aumento no número de dias de orvalho, com maior frequência nas manhãs de ventos fracos e calmaria.</w:t>
      </w:r>
    </w:p>
    <w:p w:rsidR="00862C6D" w:rsidRPr="002F49BF" w:rsidRDefault="00862C6D" w:rsidP="002F49BF">
      <w:pPr>
        <w:pStyle w:val="Item-Trainho"/>
        <w:rPr>
          <w:b/>
        </w:rPr>
      </w:pPr>
      <w:r w:rsidRPr="002F49BF">
        <w:rPr>
          <w:b/>
        </w:rPr>
        <w:t>Ventos</w:t>
      </w:r>
    </w:p>
    <w:p w:rsidR="00A66CA9" w:rsidRPr="0086069B" w:rsidRDefault="00A66CA9" w:rsidP="00A66CA9">
      <w:pPr>
        <w:autoSpaceDE w:val="0"/>
        <w:autoSpaceDN w:val="0"/>
        <w:adjustRightInd w:val="0"/>
        <w:spacing w:before="120" w:after="120" w:line="240" w:lineRule="auto"/>
        <w:rPr>
          <w:rFonts w:cs="Arial"/>
          <w:szCs w:val="22"/>
        </w:rPr>
      </w:pPr>
      <w:r w:rsidRPr="0086069B">
        <w:rPr>
          <w:rFonts w:cs="Arial"/>
          <w:szCs w:val="22"/>
        </w:rPr>
        <w:t>A mudança da rugosidade da superfície</w:t>
      </w:r>
      <w:r w:rsidRPr="009B4098">
        <w:rPr>
          <w:rFonts w:cs="Arial"/>
          <w:szCs w:val="22"/>
        </w:rPr>
        <w:t>, decorrente da presença da lamina de água do reservatório, tende a provocar uma</w:t>
      </w:r>
      <w:r w:rsidRPr="0086069B">
        <w:rPr>
          <w:rFonts w:cs="Arial"/>
          <w:szCs w:val="22"/>
        </w:rPr>
        <w:t xml:space="preserve"> alteração no perfil vertical do vento que, localmente, com a diminuição do atrito, poderá aumentar as velocidades. </w:t>
      </w:r>
      <w:r>
        <w:rPr>
          <w:rFonts w:cs="Arial"/>
          <w:szCs w:val="22"/>
        </w:rPr>
        <w:t>Na Barragem</w:t>
      </w:r>
      <w:r w:rsidRPr="0086069B">
        <w:rPr>
          <w:rFonts w:cs="Arial"/>
          <w:szCs w:val="22"/>
        </w:rPr>
        <w:t xml:space="preserve"> Pedreira, por se tratar </w:t>
      </w:r>
      <w:r>
        <w:rPr>
          <w:rFonts w:cs="Arial"/>
          <w:szCs w:val="22"/>
        </w:rPr>
        <w:t>de</w:t>
      </w:r>
      <w:r w:rsidRPr="0086069B">
        <w:rPr>
          <w:rFonts w:cs="Arial"/>
          <w:szCs w:val="22"/>
        </w:rPr>
        <w:t xml:space="preserve"> um vale encaixado entre morros</w:t>
      </w:r>
      <w:r>
        <w:rPr>
          <w:rFonts w:cs="Arial"/>
          <w:szCs w:val="22"/>
        </w:rPr>
        <w:t>,</w:t>
      </w:r>
      <w:r w:rsidRPr="0086069B">
        <w:rPr>
          <w:rFonts w:cs="Arial"/>
          <w:szCs w:val="22"/>
        </w:rPr>
        <w:t xml:space="preserve"> estas alterações serão menos sentidas, já </w:t>
      </w:r>
      <w:r>
        <w:rPr>
          <w:rFonts w:cs="Arial"/>
          <w:szCs w:val="22"/>
        </w:rPr>
        <w:t>na Barragem</w:t>
      </w:r>
      <w:r w:rsidRPr="0086069B">
        <w:rPr>
          <w:rFonts w:cs="Arial"/>
          <w:szCs w:val="22"/>
        </w:rPr>
        <w:t xml:space="preserve"> Duas Pontes, por apresentar um relevo mais suave, poder-se-á observar alguma alteração. </w:t>
      </w:r>
    </w:p>
    <w:p w:rsidR="00862C6D" w:rsidRPr="002F49BF" w:rsidRDefault="00862C6D" w:rsidP="002F49BF">
      <w:pPr>
        <w:pStyle w:val="Item-Trainho"/>
        <w:rPr>
          <w:b/>
        </w:rPr>
      </w:pPr>
      <w:r w:rsidRPr="002F49BF">
        <w:rPr>
          <w:b/>
        </w:rPr>
        <w:t>Nevoeiros</w:t>
      </w:r>
    </w:p>
    <w:p w:rsidR="00862C6D" w:rsidRPr="0086069B" w:rsidRDefault="00862C6D" w:rsidP="00862C6D">
      <w:pPr>
        <w:autoSpaceDE w:val="0"/>
        <w:autoSpaceDN w:val="0"/>
        <w:adjustRightInd w:val="0"/>
        <w:spacing w:before="120" w:after="120" w:line="240" w:lineRule="auto"/>
        <w:rPr>
          <w:rFonts w:cs="Arial"/>
          <w:szCs w:val="22"/>
        </w:rPr>
      </w:pPr>
      <w:r w:rsidRPr="0086069B">
        <w:rPr>
          <w:rFonts w:cs="Arial"/>
          <w:szCs w:val="22"/>
        </w:rPr>
        <w:t xml:space="preserve">O aumento das taxas de evaporação, aliado à presença de umidade e ao mecanismo de brisas, poderá implicar no incremento local dos nevoeiros noturnos e matinais, principalmente na área mais próxima aos reservatórios. </w:t>
      </w:r>
    </w:p>
    <w:p w:rsidR="00862C6D" w:rsidRPr="0086069B" w:rsidRDefault="00862C6D" w:rsidP="00862C6D">
      <w:pPr>
        <w:autoSpaceDE w:val="0"/>
        <w:autoSpaceDN w:val="0"/>
        <w:adjustRightInd w:val="0"/>
        <w:spacing w:before="120" w:after="120" w:line="240" w:lineRule="auto"/>
        <w:rPr>
          <w:rFonts w:cs="Arial"/>
          <w:szCs w:val="22"/>
        </w:rPr>
      </w:pPr>
      <w:r w:rsidRPr="0086069B">
        <w:rPr>
          <w:rFonts w:cs="Arial"/>
          <w:szCs w:val="22"/>
        </w:rPr>
        <w:t>Pela peculiaridade de cada região, é de se esperar uma maior incidênc</w:t>
      </w:r>
      <w:r w:rsidR="00E9141C">
        <w:rPr>
          <w:rFonts w:cs="Arial"/>
          <w:szCs w:val="22"/>
        </w:rPr>
        <w:t>ia destes fenômenos na região da Barragem</w:t>
      </w:r>
      <w:r w:rsidRPr="0086069B">
        <w:rPr>
          <w:rFonts w:cs="Arial"/>
          <w:szCs w:val="22"/>
        </w:rPr>
        <w:t xml:space="preserve"> Pedreira (vale mais encaixado) com </w:t>
      </w:r>
      <w:r w:rsidR="00E9141C">
        <w:rPr>
          <w:rFonts w:cs="Arial"/>
          <w:szCs w:val="22"/>
        </w:rPr>
        <w:t>menores ocorrências na região da Barragem</w:t>
      </w:r>
      <w:r w:rsidRPr="0086069B">
        <w:rPr>
          <w:rFonts w:cs="Arial"/>
          <w:szCs w:val="22"/>
        </w:rPr>
        <w:t xml:space="preserve"> Duas Pontes.</w:t>
      </w:r>
    </w:p>
    <w:p w:rsidR="00862C6D" w:rsidRPr="0086069B" w:rsidRDefault="00E9141C" w:rsidP="00E9141C">
      <w:pPr>
        <w:autoSpaceDE w:val="0"/>
        <w:autoSpaceDN w:val="0"/>
        <w:adjustRightInd w:val="0"/>
        <w:spacing w:before="120" w:after="120" w:line="240" w:lineRule="auto"/>
        <w:rPr>
          <w:rFonts w:cs="Arial"/>
          <w:szCs w:val="22"/>
        </w:rPr>
      </w:pPr>
      <w:r>
        <w:rPr>
          <w:rFonts w:cs="Arial"/>
          <w:szCs w:val="22"/>
        </w:rPr>
        <w:t xml:space="preserve">Na região das Barragens </w:t>
      </w:r>
      <w:r w:rsidR="00862C6D" w:rsidRPr="0086069B">
        <w:rPr>
          <w:rFonts w:cs="Arial"/>
          <w:szCs w:val="22"/>
        </w:rPr>
        <w:t xml:space="preserve">Pedreira e Duas Pontes, não estão previstas alterações significativas nos diferentes parâmetros meteorológicos. Por outro lado, a existência de uma estação meteorológica nas proximidades destas barragens seria importante no sentido de mesurar as possíveis alterações no microclima local. </w:t>
      </w:r>
    </w:p>
    <w:p w:rsidR="00862C6D" w:rsidRDefault="00862C6D" w:rsidP="00E9141C">
      <w:pPr>
        <w:autoSpaceDE w:val="0"/>
        <w:autoSpaceDN w:val="0"/>
        <w:adjustRightInd w:val="0"/>
        <w:spacing w:before="120" w:after="120" w:line="240" w:lineRule="auto"/>
        <w:rPr>
          <w:rFonts w:cs="Arial"/>
          <w:szCs w:val="22"/>
        </w:rPr>
      </w:pPr>
      <w:r w:rsidRPr="0086069B">
        <w:rPr>
          <w:rFonts w:cs="Arial"/>
          <w:szCs w:val="22"/>
        </w:rPr>
        <w:t xml:space="preserve">O impacto sobre o clima local tem duração permanente, manifestação contínua com incidência direta e manifestação de médio/longo prazo, sendo considerado positivo para as populações situadas no entorno do reservatório. </w:t>
      </w:r>
    </w:p>
    <w:p w:rsidR="0092000C" w:rsidRDefault="0092000C" w:rsidP="00E9141C">
      <w:pPr>
        <w:autoSpaceDE w:val="0"/>
        <w:autoSpaceDN w:val="0"/>
        <w:adjustRightInd w:val="0"/>
        <w:spacing w:before="120" w:after="120" w:line="240" w:lineRule="auto"/>
        <w:rPr>
          <w:rFonts w:cs="Arial"/>
          <w:szCs w:val="22"/>
        </w:rPr>
      </w:pPr>
      <w:r>
        <w:rPr>
          <w:rFonts w:cs="Arial"/>
          <w:szCs w:val="22"/>
        </w:rPr>
        <w:br w:type="page"/>
      </w:r>
    </w:p>
    <w:p w:rsidR="00862C6D" w:rsidRDefault="002E2454" w:rsidP="002E2454">
      <w:pPr>
        <w:pStyle w:val="Legenda"/>
        <w:spacing w:before="0" w:after="0" w:line="240" w:lineRule="auto"/>
        <w:jc w:val="center"/>
        <w:rPr>
          <w:rFonts w:cs="Arial"/>
          <w:b w:val="0"/>
          <w:bCs/>
          <w:i w:val="0"/>
          <w:szCs w:val="22"/>
        </w:rPr>
      </w:pPr>
      <w:bookmarkStart w:id="126" w:name="_Toc420316444"/>
      <w:r w:rsidRPr="002E2454">
        <w:rPr>
          <w:i w:val="0"/>
        </w:rPr>
        <w:lastRenderedPageBreak/>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1.3</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1</w:t>
      </w:r>
      <w:r w:rsidR="00B80A05">
        <w:rPr>
          <w:i w:val="0"/>
        </w:rPr>
        <w:fldChar w:fldCharType="end"/>
      </w:r>
      <w:r w:rsidR="00C85203">
        <w:rPr>
          <w:i w:val="0"/>
        </w:rPr>
        <w:t>.</w:t>
      </w:r>
      <w:r w:rsidRPr="002E2454">
        <w:rPr>
          <w:b w:val="0"/>
          <w:i w:val="0"/>
        </w:rPr>
        <w:t xml:space="preserve"> - </w:t>
      </w:r>
      <w:r w:rsidR="00862C6D" w:rsidRPr="002E2454">
        <w:rPr>
          <w:rFonts w:cs="Arial"/>
          <w:b w:val="0"/>
          <w:bCs/>
          <w:i w:val="0"/>
          <w:szCs w:val="22"/>
        </w:rPr>
        <w:t xml:space="preserve">Caracterização do Impacto - </w:t>
      </w:r>
      <w:r w:rsidR="002C4586" w:rsidRPr="002E2454">
        <w:rPr>
          <w:b w:val="0"/>
          <w:i w:val="0"/>
        </w:rPr>
        <w:t>Alteração no Microclima no Entorno dos Reservatórios</w:t>
      </w:r>
      <w:r w:rsidR="006F4DA4" w:rsidRPr="002E2454">
        <w:rPr>
          <w:rFonts w:cs="Arial"/>
          <w:b w:val="0"/>
          <w:bCs/>
          <w:i w:val="0"/>
          <w:szCs w:val="22"/>
        </w:rPr>
        <w:t xml:space="preserve"> </w:t>
      </w:r>
      <w:r w:rsidR="00862C6D" w:rsidRPr="002E2454">
        <w:rPr>
          <w:rFonts w:cs="Arial"/>
          <w:b w:val="0"/>
          <w:bCs/>
          <w:i w:val="0"/>
          <w:szCs w:val="22"/>
        </w:rPr>
        <w:t>Barrage</w:t>
      </w:r>
      <w:r w:rsidR="006F4DA4" w:rsidRPr="002E2454">
        <w:rPr>
          <w:rFonts w:cs="Arial"/>
          <w:b w:val="0"/>
          <w:bCs/>
          <w:i w:val="0"/>
          <w:szCs w:val="22"/>
        </w:rPr>
        <w:t>ns</w:t>
      </w:r>
      <w:r w:rsidR="00862C6D" w:rsidRPr="002E2454">
        <w:rPr>
          <w:rFonts w:cs="Arial"/>
          <w:b w:val="0"/>
          <w:bCs/>
          <w:i w:val="0"/>
          <w:szCs w:val="22"/>
        </w:rPr>
        <w:t xml:space="preserve"> Pedreira </w:t>
      </w:r>
      <w:r w:rsidR="00E9141C" w:rsidRPr="002E2454">
        <w:rPr>
          <w:rFonts w:cs="Arial"/>
          <w:b w:val="0"/>
          <w:bCs/>
          <w:i w:val="0"/>
          <w:szCs w:val="22"/>
        </w:rPr>
        <w:t>e Duas Pontes</w:t>
      </w:r>
      <w:bookmarkEnd w:id="126"/>
      <w:r w:rsidR="00E9141C" w:rsidRPr="002E2454">
        <w:rPr>
          <w:rFonts w:cs="Arial"/>
          <w:b w:val="0"/>
          <w:bCs/>
          <w:i w:val="0"/>
          <w:szCs w:val="22"/>
        </w:rPr>
        <w:t xml:space="preserve"> </w:t>
      </w:r>
    </w:p>
    <w:p w:rsidR="002E2454" w:rsidRPr="002E2454" w:rsidRDefault="002E2454" w:rsidP="002E2454"/>
    <w:tbl>
      <w:tblPr>
        <w:tblW w:w="0" w:type="auto"/>
        <w:jc w:val="center"/>
        <w:tblInd w:w="-4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7"/>
        <w:gridCol w:w="1217"/>
        <w:gridCol w:w="1701"/>
        <w:gridCol w:w="1701"/>
        <w:gridCol w:w="2998"/>
      </w:tblGrid>
      <w:tr w:rsidR="00862C6D" w:rsidRPr="0086069B" w:rsidTr="00E9141C">
        <w:trPr>
          <w:trHeight w:val="397"/>
          <w:jc w:val="center"/>
        </w:trPr>
        <w:tc>
          <w:tcPr>
            <w:tcW w:w="1217" w:type="dxa"/>
            <w:shd w:val="clear" w:color="auto" w:fill="D9D9D9"/>
            <w:vAlign w:val="center"/>
          </w:tcPr>
          <w:p w:rsidR="00862C6D" w:rsidRPr="0086069B" w:rsidRDefault="00862C6D" w:rsidP="00E9141C">
            <w:pPr>
              <w:autoSpaceDE w:val="0"/>
              <w:autoSpaceDN w:val="0"/>
              <w:adjustRightInd w:val="0"/>
              <w:spacing w:before="120" w:after="120" w:line="240" w:lineRule="auto"/>
              <w:jc w:val="center"/>
              <w:rPr>
                <w:rFonts w:cs="Arial"/>
                <w:b/>
                <w:sz w:val="20"/>
              </w:rPr>
            </w:pPr>
            <w:r w:rsidRPr="0086069B">
              <w:rPr>
                <w:rFonts w:cs="Arial"/>
                <w:b/>
                <w:sz w:val="20"/>
              </w:rPr>
              <w:t>Natureza</w:t>
            </w:r>
          </w:p>
        </w:tc>
        <w:tc>
          <w:tcPr>
            <w:tcW w:w="1217" w:type="dxa"/>
            <w:shd w:val="clear" w:color="auto" w:fill="D9D9D9"/>
            <w:vAlign w:val="center"/>
          </w:tcPr>
          <w:p w:rsidR="00862C6D" w:rsidRPr="0086069B" w:rsidRDefault="00862C6D" w:rsidP="00E9141C">
            <w:pPr>
              <w:autoSpaceDE w:val="0"/>
              <w:autoSpaceDN w:val="0"/>
              <w:adjustRightInd w:val="0"/>
              <w:spacing w:before="120" w:after="120" w:line="240" w:lineRule="auto"/>
              <w:jc w:val="center"/>
              <w:rPr>
                <w:rFonts w:cs="Arial"/>
                <w:b/>
                <w:sz w:val="20"/>
              </w:rPr>
            </w:pPr>
            <w:r w:rsidRPr="0086069B">
              <w:rPr>
                <w:rFonts w:cs="Arial"/>
                <w:b/>
                <w:sz w:val="20"/>
              </w:rPr>
              <w:t>Ordem</w:t>
            </w:r>
          </w:p>
        </w:tc>
        <w:tc>
          <w:tcPr>
            <w:tcW w:w="1701" w:type="dxa"/>
            <w:shd w:val="clear" w:color="auto" w:fill="D9D9D9"/>
            <w:vAlign w:val="center"/>
          </w:tcPr>
          <w:p w:rsidR="00862C6D" w:rsidRPr="0086069B" w:rsidRDefault="00862C6D" w:rsidP="00E9141C">
            <w:pPr>
              <w:autoSpaceDE w:val="0"/>
              <w:autoSpaceDN w:val="0"/>
              <w:adjustRightInd w:val="0"/>
              <w:spacing w:before="120" w:after="120" w:line="240" w:lineRule="auto"/>
              <w:jc w:val="center"/>
              <w:rPr>
                <w:rFonts w:cs="Arial"/>
                <w:b/>
                <w:sz w:val="20"/>
              </w:rPr>
            </w:pPr>
            <w:r w:rsidRPr="0086069B">
              <w:rPr>
                <w:rFonts w:cs="Arial"/>
                <w:b/>
                <w:sz w:val="20"/>
              </w:rPr>
              <w:t>Abrangência</w:t>
            </w:r>
          </w:p>
        </w:tc>
        <w:tc>
          <w:tcPr>
            <w:tcW w:w="1701" w:type="dxa"/>
            <w:shd w:val="clear" w:color="auto" w:fill="D9D9D9"/>
            <w:vAlign w:val="center"/>
          </w:tcPr>
          <w:p w:rsidR="00862C6D" w:rsidRPr="0086069B" w:rsidRDefault="00862C6D" w:rsidP="00E9141C">
            <w:pPr>
              <w:autoSpaceDE w:val="0"/>
              <w:autoSpaceDN w:val="0"/>
              <w:adjustRightInd w:val="0"/>
              <w:spacing w:before="120" w:after="120" w:line="240" w:lineRule="auto"/>
              <w:jc w:val="center"/>
              <w:rPr>
                <w:rFonts w:cs="Arial"/>
                <w:b/>
                <w:sz w:val="20"/>
              </w:rPr>
            </w:pPr>
            <w:r w:rsidRPr="0086069B">
              <w:rPr>
                <w:rFonts w:cs="Arial"/>
                <w:b/>
                <w:sz w:val="20"/>
              </w:rPr>
              <w:t>Duração</w:t>
            </w:r>
          </w:p>
        </w:tc>
        <w:tc>
          <w:tcPr>
            <w:tcW w:w="2998" w:type="dxa"/>
            <w:shd w:val="clear" w:color="auto" w:fill="D9D9D9"/>
            <w:vAlign w:val="center"/>
          </w:tcPr>
          <w:p w:rsidR="00862C6D" w:rsidRPr="0086069B" w:rsidRDefault="00862C6D" w:rsidP="00E9141C">
            <w:pPr>
              <w:autoSpaceDE w:val="0"/>
              <w:autoSpaceDN w:val="0"/>
              <w:adjustRightInd w:val="0"/>
              <w:spacing w:before="120" w:after="120" w:line="240" w:lineRule="auto"/>
              <w:jc w:val="center"/>
              <w:rPr>
                <w:rFonts w:cs="Arial"/>
                <w:b/>
                <w:sz w:val="20"/>
              </w:rPr>
            </w:pPr>
            <w:r w:rsidRPr="0086069B">
              <w:rPr>
                <w:rFonts w:cs="Arial"/>
                <w:b/>
                <w:sz w:val="20"/>
              </w:rPr>
              <w:t>Probabilidade de Ocorrência</w:t>
            </w:r>
          </w:p>
        </w:tc>
      </w:tr>
      <w:tr w:rsidR="00862C6D" w:rsidRPr="0086069B" w:rsidTr="00E9141C">
        <w:trPr>
          <w:jc w:val="center"/>
        </w:trPr>
        <w:tc>
          <w:tcPr>
            <w:tcW w:w="1217" w:type="dxa"/>
            <w:shd w:val="clear" w:color="auto" w:fill="auto"/>
            <w:vAlign w:val="center"/>
          </w:tcPr>
          <w:p w:rsidR="00862C6D" w:rsidRPr="0086069B" w:rsidRDefault="00862C6D" w:rsidP="00144825">
            <w:pPr>
              <w:autoSpaceDE w:val="0"/>
              <w:autoSpaceDN w:val="0"/>
              <w:adjustRightInd w:val="0"/>
              <w:spacing w:before="120" w:after="120"/>
              <w:jc w:val="center"/>
              <w:rPr>
                <w:rFonts w:cs="Arial"/>
                <w:sz w:val="20"/>
              </w:rPr>
            </w:pPr>
            <w:r w:rsidRPr="0086069B">
              <w:rPr>
                <w:rFonts w:cs="Arial"/>
                <w:sz w:val="20"/>
              </w:rPr>
              <w:t>Positiva</w:t>
            </w:r>
          </w:p>
        </w:tc>
        <w:tc>
          <w:tcPr>
            <w:tcW w:w="1217" w:type="dxa"/>
            <w:shd w:val="clear" w:color="auto" w:fill="auto"/>
            <w:vAlign w:val="center"/>
          </w:tcPr>
          <w:p w:rsidR="00862C6D" w:rsidRPr="0086069B" w:rsidRDefault="00862C6D" w:rsidP="00144825">
            <w:pPr>
              <w:autoSpaceDE w:val="0"/>
              <w:autoSpaceDN w:val="0"/>
              <w:adjustRightInd w:val="0"/>
              <w:spacing w:before="120" w:after="120"/>
              <w:jc w:val="center"/>
              <w:rPr>
                <w:rFonts w:cs="Arial"/>
                <w:sz w:val="20"/>
              </w:rPr>
            </w:pPr>
            <w:r w:rsidRPr="0086069B">
              <w:rPr>
                <w:rFonts w:cs="Arial"/>
                <w:sz w:val="20"/>
              </w:rPr>
              <w:t>Direta</w:t>
            </w:r>
          </w:p>
        </w:tc>
        <w:tc>
          <w:tcPr>
            <w:tcW w:w="1701" w:type="dxa"/>
            <w:shd w:val="clear" w:color="auto" w:fill="auto"/>
            <w:vAlign w:val="center"/>
          </w:tcPr>
          <w:p w:rsidR="00862C6D" w:rsidRPr="0086069B" w:rsidRDefault="00862C6D" w:rsidP="00144825">
            <w:pPr>
              <w:autoSpaceDE w:val="0"/>
              <w:autoSpaceDN w:val="0"/>
              <w:adjustRightInd w:val="0"/>
              <w:spacing w:before="120" w:after="120"/>
              <w:jc w:val="center"/>
              <w:rPr>
                <w:rFonts w:cs="Arial"/>
                <w:sz w:val="20"/>
              </w:rPr>
            </w:pPr>
            <w:r w:rsidRPr="0086069B">
              <w:rPr>
                <w:rFonts w:cs="Arial"/>
                <w:sz w:val="20"/>
              </w:rPr>
              <w:t>Local (ADA/AID)</w:t>
            </w:r>
          </w:p>
        </w:tc>
        <w:tc>
          <w:tcPr>
            <w:tcW w:w="1701" w:type="dxa"/>
            <w:shd w:val="clear" w:color="auto" w:fill="auto"/>
            <w:vAlign w:val="center"/>
          </w:tcPr>
          <w:p w:rsidR="00862C6D" w:rsidRPr="0086069B" w:rsidRDefault="00862C6D" w:rsidP="00144825">
            <w:pPr>
              <w:autoSpaceDE w:val="0"/>
              <w:autoSpaceDN w:val="0"/>
              <w:adjustRightInd w:val="0"/>
              <w:spacing w:before="120" w:after="120"/>
              <w:jc w:val="center"/>
              <w:rPr>
                <w:rFonts w:cs="Arial"/>
                <w:sz w:val="20"/>
              </w:rPr>
            </w:pPr>
            <w:r w:rsidRPr="0086069B">
              <w:rPr>
                <w:rFonts w:cs="Arial"/>
                <w:sz w:val="20"/>
              </w:rPr>
              <w:t>Permanente</w:t>
            </w:r>
          </w:p>
        </w:tc>
        <w:tc>
          <w:tcPr>
            <w:tcW w:w="2998" w:type="dxa"/>
            <w:shd w:val="clear" w:color="auto" w:fill="auto"/>
            <w:vAlign w:val="center"/>
          </w:tcPr>
          <w:p w:rsidR="00862C6D" w:rsidRPr="0086069B" w:rsidRDefault="00862C6D" w:rsidP="00144825">
            <w:pPr>
              <w:autoSpaceDE w:val="0"/>
              <w:autoSpaceDN w:val="0"/>
              <w:adjustRightInd w:val="0"/>
              <w:spacing w:before="120" w:after="120"/>
              <w:jc w:val="center"/>
              <w:rPr>
                <w:rFonts w:cs="Arial"/>
                <w:sz w:val="20"/>
              </w:rPr>
            </w:pPr>
            <w:r w:rsidRPr="0086069B">
              <w:rPr>
                <w:rFonts w:cs="Arial"/>
                <w:sz w:val="20"/>
              </w:rPr>
              <w:t>Certa</w:t>
            </w:r>
          </w:p>
        </w:tc>
      </w:tr>
    </w:tbl>
    <w:p w:rsidR="00862C6D" w:rsidRPr="0086069B" w:rsidRDefault="00862C6D" w:rsidP="002E2454">
      <w:pPr>
        <w:autoSpaceDE w:val="0"/>
        <w:autoSpaceDN w:val="0"/>
        <w:adjustRightInd w:val="0"/>
        <w:spacing w:line="240" w:lineRule="auto"/>
        <w:jc w:val="left"/>
        <w:rPr>
          <w:rFonts w:cs="Arial"/>
          <w:sz w:val="20"/>
        </w:rPr>
      </w:pPr>
    </w:p>
    <w:tbl>
      <w:tblPr>
        <w:tblW w:w="0" w:type="auto"/>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0"/>
        <w:gridCol w:w="1701"/>
        <w:gridCol w:w="1662"/>
        <w:gridCol w:w="1417"/>
        <w:gridCol w:w="1576"/>
      </w:tblGrid>
      <w:tr w:rsidR="00862C6D" w:rsidRPr="0086069B" w:rsidTr="00E9141C">
        <w:trPr>
          <w:trHeight w:val="397"/>
          <w:jc w:val="center"/>
        </w:trPr>
        <w:tc>
          <w:tcPr>
            <w:tcW w:w="2390" w:type="dxa"/>
            <w:shd w:val="clear" w:color="auto" w:fill="D9D9D9"/>
            <w:vAlign w:val="center"/>
          </w:tcPr>
          <w:p w:rsidR="00862C6D" w:rsidRPr="0086069B" w:rsidRDefault="00862C6D" w:rsidP="00144825">
            <w:pPr>
              <w:autoSpaceDE w:val="0"/>
              <w:autoSpaceDN w:val="0"/>
              <w:adjustRightInd w:val="0"/>
              <w:spacing w:before="120" w:after="120"/>
              <w:jc w:val="center"/>
              <w:rPr>
                <w:rFonts w:cs="Arial"/>
                <w:b/>
                <w:sz w:val="20"/>
              </w:rPr>
            </w:pPr>
            <w:r w:rsidRPr="0086069B">
              <w:rPr>
                <w:rFonts w:cs="Arial"/>
                <w:b/>
                <w:sz w:val="20"/>
              </w:rPr>
              <w:t>Época de Ocorrência</w:t>
            </w:r>
          </w:p>
        </w:tc>
        <w:tc>
          <w:tcPr>
            <w:tcW w:w="1701" w:type="dxa"/>
            <w:shd w:val="clear" w:color="auto" w:fill="D9D9D9"/>
            <w:vAlign w:val="center"/>
          </w:tcPr>
          <w:p w:rsidR="00862C6D" w:rsidRPr="0086069B" w:rsidRDefault="00862C6D" w:rsidP="00144825">
            <w:pPr>
              <w:autoSpaceDE w:val="0"/>
              <w:autoSpaceDN w:val="0"/>
              <w:adjustRightInd w:val="0"/>
              <w:spacing w:before="120" w:after="120"/>
              <w:jc w:val="center"/>
              <w:rPr>
                <w:rFonts w:cs="Arial"/>
                <w:b/>
                <w:sz w:val="20"/>
              </w:rPr>
            </w:pPr>
            <w:r w:rsidRPr="0086069B">
              <w:rPr>
                <w:rFonts w:cs="Arial"/>
                <w:b/>
                <w:sz w:val="20"/>
              </w:rPr>
              <w:t>Reversibilidade</w:t>
            </w:r>
          </w:p>
        </w:tc>
        <w:tc>
          <w:tcPr>
            <w:tcW w:w="1662" w:type="dxa"/>
            <w:shd w:val="clear" w:color="auto" w:fill="D9D9D9"/>
            <w:vAlign w:val="center"/>
          </w:tcPr>
          <w:p w:rsidR="00862C6D" w:rsidRPr="0086069B" w:rsidRDefault="00862C6D" w:rsidP="00144825">
            <w:pPr>
              <w:autoSpaceDE w:val="0"/>
              <w:autoSpaceDN w:val="0"/>
              <w:adjustRightInd w:val="0"/>
              <w:spacing w:before="120" w:after="120"/>
              <w:jc w:val="center"/>
              <w:rPr>
                <w:rFonts w:cs="Arial"/>
                <w:b/>
                <w:sz w:val="20"/>
              </w:rPr>
            </w:pPr>
            <w:r w:rsidRPr="0086069B">
              <w:rPr>
                <w:rFonts w:cs="Arial"/>
                <w:b/>
                <w:sz w:val="20"/>
              </w:rPr>
              <w:t>Magnitude</w:t>
            </w:r>
          </w:p>
        </w:tc>
        <w:tc>
          <w:tcPr>
            <w:tcW w:w="1417" w:type="dxa"/>
            <w:shd w:val="clear" w:color="auto" w:fill="D9D9D9"/>
            <w:vAlign w:val="center"/>
          </w:tcPr>
          <w:p w:rsidR="00862C6D" w:rsidRPr="0086069B" w:rsidRDefault="00862C6D" w:rsidP="00144825">
            <w:pPr>
              <w:autoSpaceDE w:val="0"/>
              <w:autoSpaceDN w:val="0"/>
              <w:adjustRightInd w:val="0"/>
              <w:spacing w:before="120" w:after="120"/>
              <w:jc w:val="center"/>
              <w:rPr>
                <w:rFonts w:cs="Arial"/>
                <w:b/>
                <w:sz w:val="20"/>
              </w:rPr>
            </w:pPr>
            <w:r w:rsidRPr="0086069B">
              <w:rPr>
                <w:rFonts w:cs="Arial"/>
                <w:b/>
                <w:sz w:val="20"/>
              </w:rPr>
              <w:t>Importância</w:t>
            </w:r>
          </w:p>
        </w:tc>
        <w:tc>
          <w:tcPr>
            <w:tcW w:w="1576" w:type="dxa"/>
            <w:shd w:val="clear" w:color="auto" w:fill="D9D9D9"/>
            <w:vAlign w:val="center"/>
          </w:tcPr>
          <w:p w:rsidR="00862C6D" w:rsidRPr="0086069B" w:rsidRDefault="00862C6D" w:rsidP="00144825">
            <w:pPr>
              <w:autoSpaceDE w:val="0"/>
              <w:autoSpaceDN w:val="0"/>
              <w:adjustRightInd w:val="0"/>
              <w:spacing w:before="120" w:after="120"/>
              <w:jc w:val="center"/>
              <w:rPr>
                <w:rFonts w:cs="Arial"/>
                <w:b/>
                <w:sz w:val="20"/>
              </w:rPr>
            </w:pPr>
            <w:r w:rsidRPr="0086069B">
              <w:rPr>
                <w:rFonts w:cs="Arial"/>
                <w:b/>
                <w:sz w:val="20"/>
              </w:rPr>
              <w:t>Mitigação</w:t>
            </w:r>
          </w:p>
        </w:tc>
      </w:tr>
      <w:tr w:rsidR="00862C6D" w:rsidRPr="0086069B" w:rsidTr="00E9141C">
        <w:trPr>
          <w:jc w:val="center"/>
        </w:trPr>
        <w:tc>
          <w:tcPr>
            <w:tcW w:w="2390" w:type="dxa"/>
            <w:shd w:val="clear" w:color="auto" w:fill="auto"/>
            <w:vAlign w:val="center"/>
          </w:tcPr>
          <w:p w:rsidR="00862C6D" w:rsidRPr="0086069B" w:rsidRDefault="00862C6D" w:rsidP="00144825">
            <w:pPr>
              <w:autoSpaceDE w:val="0"/>
              <w:autoSpaceDN w:val="0"/>
              <w:adjustRightInd w:val="0"/>
              <w:spacing w:before="120" w:after="120"/>
              <w:jc w:val="center"/>
              <w:rPr>
                <w:rFonts w:cs="Arial"/>
                <w:sz w:val="20"/>
              </w:rPr>
            </w:pPr>
            <w:r w:rsidRPr="0086069B">
              <w:rPr>
                <w:rFonts w:cs="Arial"/>
                <w:sz w:val="20"/>
              </w:rPr>
              <w:t>Médio/Longo Prazo</w:t>
            </w:r>
          </w:p>
        </w:tc>
        <w:tc>
          <w:tcPr>
            <w:tcW w:w="1701" w:type="dxa"/>
            <w:shd w:val="clear" w:color="auto" w:fill="auto"/>
            <w:vAlign w:val="center"/>
          </w:tcPr>
          <w:p w:rsidR="00862C6D" w:rsidRPr="0086069B" w:rsidRDefault="00862C6D" w:rsidP="00144825">
            <w:pPr>
              <w:autoSpaceDE w:val="0"/>
              <w:autoSpaceDN w:val="0"/>
              <w:adjustRightInd w:val="0"/>
              <w:spacing w:before="120" w:after="120"/>
              <w:jc w:val="center"/>
              <w:rPr>
                <w:rFonts w:cs="Arial"/>
                <w:sz w:val="20"/>
              </w:rPr>
            </w:pPr>
            <w:r w:rsidRPr="0086069B">
              <w:rPr>
                <w:rFonts w:cs="Arial"/>
                <w:sz w:val="20"/>
              </w:rPr>
              <w:t>Irreversível</w:t>
            </w:r>
          </w:p>
        </w:tc>
        <w:tc>
          <w:tcPr>
            <w:tcW w:w="1662" w:type="dxa"/>
            <w:shd w:val="clear" w:color="auto" w:fill="auto"/>
            <w:vAlign w:val="center"/>
          </w:tcPr>
          <w:p w:rsidR="00862C6D" w:rsidRPr="0086069B" w:rsidRDefault="00862C6D" w:rsidP="00144825">
            <w:pPr>
              <w:autoSpaceDE w:val="0"/>
              <w:autoSpaceDN w:val="0"/>
              <w:adjustRightInd w:val="0"/>
              <w:spacing w:before="120" w:after="120"/>
              <w:jc w:val="center"/>
              <w:rPr>
                <w:rFonts w:cs="Arial"/>
                <w:sz w:val="20"/>
              </w:rPr>
            </w:pPr>
            <w:r w:rsidRPr="0086069B">
              <w:rPr>
                <w:rFonts w:cs="Arial"/>
                <w:sz w:val="20"/>
              </w:rPr>
              <w:t>Pequena</w:t>
            </w:r>
          </w:p>
        </w:tc>
        <w:tc>
          <w:tcPr>
            <w:tcW w:w="1417" w:type="dxa"/>
            <w:shd w:val="clear" w:color="auto" w:fill="auto"/>
            <w:vAlign w:val="center"/>
          </w:tcPr>
          <w:p w:rsidR="00862C6D" w:rsidRPr="0086069B" w:rsidRDefault="00862C6D" w:rsidP="00144825">
            <w:pPr>
              <w:autoSpaceDE w:val="0"/>
              <w:autoSpaceDN w:val="0"/>
              <w:adjustRightInd w:val="0"/>
              <w:spacing w:before="120" w:after="120"/>
              <w:jc w:val="center"/>
              <w:rPr>
                <w:rFonts w:cs="Arial"/>
                <w:sz w:val="20"/>
              </w:rPr>
            </w:pPr>
            <w:r w:rsidRPr="0086069B">
              <w:rPr>
                <w:rFonts w:cs="Arial"/>
                <w:sz w:val="20"/>
              </w:rPr>
              <w:t>Baixa</w:t>
            </w:r>
          </w:p>
        </w:tc>
        <w:tc>
          <w:tcPr>
            <w:tcW w:w="1576" w:type="dxa"/>
            <w:shd w:val="clear" w:color="auto" w:fill="auto"/>
            <w:vAlign w:val="center"/>
          </w:tcPr>
          <w:p w:rsidR="00862C6D" w:rsidRPr="0086069B" w:rsidRDefault="009D1B48" w:rsidP="00144825">
            <w:pPr>
              <w:autoSpaceDE w:val="0"/>
              <w:autoSpaceDN w:val="0"/>
              <w:adjustRightInd w:val="0"/>
              <w:spacing w:before="120" w:after="120"/>
              <w:jc w:val="center"/>
              <w:rPr>
                <w:rFonts w:cs="Arial"/>
                <w:sz w:val="20"/>
              </w:rPr>
            </w:pPr>
            <w:r>
              <w:rPr>
                <w:rFonts w:cs="Arial"/>
                <w:sz w:val="20"/>
              </w:rPr>
              <w:t>---</w:t>
            </w:r>
          </w:p>
        </w:tc>
      </w:tr>
    </w:tbl>
    <w:p w:rsidR="00E9141C" w:rsidRPr="00E9141C" w:rsidRDefault="00E9141C" w:rsidP="00E9141C">
      <w:pPr>
        <w:tabs>
          <w:tab w:val="num" w:pos="720"/>
        </w:tabs>
        <w:autoSpaceDE w:val="0"/>
        <w:autoSpaceDN w:val="0"/>
        <w:adjustRightInd w:val="0"/>
        <w:spacing w:line="240" w:lineRule="auto"/>
        <w:rPr>
          <w:rFonts w:cs="Arial"/>
          <w:szCs w:val="22"/>
        </w:rPr>
      </w:pPr>
    </w:p>
    <w:p w:rsidR="00862C6D" w:rsidRPr="0086069B" w:rsidRDefault="00862C6D" w:rsidP="00E9141C">
      <w:pPr>
        <w:tabs>
          <w:tab w:val="num" w:pos="720"/>
        </w:tabs>
        <w:autoSpaceDE w:val="0"/>
        <w:autoSpaceDN w:val="0"/>
        <w:adjustRightInd w:val="0"/>
        <w:spacing w:before="240" w:after="120" w:line="240" w:lineRule="auto"/>
        <w:rPr>
          <w:rFonts w:cs="Arial"/>
          <w:b/>
          <w:szCs w:val="22"/>
        </w:rPr>
      </w:pPr>
      <w:r w:rsidRPr="0086069B">
        <w:rPr>
          <w:rFonts w:cs="Arial"/>
          <w:b/>
          <w:szCs w:val="22"/>
        </w:rPr>
        <w:t>Ações Ambientais Propostas:</w:t>
      </w:r>
    </w:p>
    <w:p w:rsidR="00862C6D" w:rsidRPr="0086069B" w:rsidRDefault="00862C6D" w:rsidP="00E9141C">
      <w:pPr>
        <w:autoSpaceDE w:val="0"/>
        <w:autoSpaceDN w:val="0"/>
        <w:adjustRightInd w:val="0"/>
        <w:spacing w:before="120" w:after="120" w:line="240" w:lineRule="auto"/>
        <w:rPr>
          <w:rFonts w:cs="Arial"/>
          <w:szCs w:val="22"/>
        </w:rPr>
      </w:pPr>
      <w:r w:rsidRPr="0086069B">
        <w:rPr>
          <w:rFonts w:cs="Arial"/>
          <w:szCs w:val="22"/>
        </w:rPr>
        <w:t>Propõem-se o monitoramento do clima local, considerando que este é um impacto de natureza positiva, e recomenda-se a implantação de uma estação meteorológica, junto ao</w:t>
      </w:r>
      <w:r>
        <w:rPr>
          <w:rFonts w:cs="Arial"/>
          <w:szCs w:val="22"/>
        </w:rPr>
        <w:t>s</w:t>
      </w:r>
      <w:r w:rsidRPr="0086069B">
        <w:rPr>
          <w:rFonts w:cs="Arial"/>
          <w:szCs w:val="22"/>
        </w:rPr>
        <w:t xml:space="preserve"> reservatório</w:t>
      </w:r>
      <w:r>
        <w:rPr>
          <w:rFonts w:cs="Arial"/>
          <w:szCs w:val="22"/>
        </w:rPr>
        <w:t>s</w:t>
      </w:r>
      <w:r w:rsidRPr="0086069B">
        <w:rPr>
          <w:rFonts w:cs="Arial"/>
          <w:szCs w:val="22"/>
        </w:rPr>
        <w:t>, para monitoramento contínuo dos diferentes parâmetros climáticos.</w:t>
      </w:r>
    </w:p>
    <w:p w:rsidR="00973BCF" w:rsidRPr="00C64127" w:rsidRDefault="00A71868" w:rsidP="002E2454">
      <w:pPr>
        <w:pStyle w:val="Ttulo3"/>
        <w:spacing w:after="240"/>
      </w:pPr>
      <w:bookmarkStart w:id="127" w:name="_Toc418758204"/>
      <w:bookmarkStart w:id="128" w:name="_Toc418758806"/>
      <w:bookmarkStart w:id="129" w:name="_Toc419813571"/>
      <w:r w:rsidRPr="00C64127">
        <w:t>1.3.1.</w:t>
      </w:r>
      <w:r w:rsidR="00973BCF" w:rsidRPr="00C64127">
        <w:t>2. Alteração na Qualidade do Ar</w:t>
      </w:r>
      <w:bookmarkEnd w:id="127"/>
      <w:bookmarkEnd w:id="128"/>
      <w:bookmarkEnd w:id="129"/>
    </w:p>
    <w:p w:rsidR="00D50F31" w:rsidRPr="00DD4EE8" w:rsidRDefault="00D50F31" w:rsidP="00D50F31">
      <w:pPr>
        <w:tabs>
          <w:tab w:val="num" w:pos="720"/>
        </w:tabs>
        <w:autoSpaceDE w:val="0"/>
        <w:autoSpaceDN w:val="0"/>
        <w:adjustRightInd w:val="0"/>
        <w:spacing w:before="120" w:after="120" w:line="240" w:lineRule="auto"/>
        <w:rPr>
          <w:rFonts w:cs="Arial"/>
          <w:b/>
          <w:szCs w:val="22"/>
        </w:rPr>
      </w:pPr>
      <w:r>
        <w:rPr>
          <w:rFonts w:cs="Arial"/>
          <w:b/>
          <w:szCs w:val="22"/>
        </w:rPr>
        <w:t>Fase: Implantação</w:t>
      </w:r>
      <w:r w:rsidRPr="00DD4EE8">
        <w:rPr>
          <w:rFonts w:cs="Arial"/>
          <w:b/>
          <w:szCs w:val="22"/>
        </w:rPr>
        <w:t xml:space="preserve"> </w:t>
      </w:r>
    </w:p>
    <w:p w:rsidR="00E9141C" w:rsidRPr="00D50F31" w:rsidRDefault="00E9141C" w:rsidP="00311919">
      <w:pPr>
        <w:spacing w:before="120" w:after="120" w:line="240" w:lineRule="auto"/>
        <w:rPr>
          <w:rFonts w:cs="Arial"/>
          <w:szCs w:val="22"/>
        </w:rPr>
      </w:pPr>
      <w:r w:rsidRPr="00D50F31">
        <w:rPr>
          <w:rFonts w:cs="Arial"/>
          <w:szCs w:val="22"/>
        </w:rPr>
        <w:t xml:space="preserve">A emissão atmosférica de material particulado e gases de combustão pelo tráfego de veículos e equipamentos está presente em quase todas as fases de construção das Barragens Pedreira e Duas Pontes. </w:t>
      </w:r>
    </w:p>
    <w:p w:rsidR="00E9141C" w:rsidRPr="00D50F31" w:rsidRDefault="00E9141C" w:rsidP="00D50F31">
      <w:pPr>
        <w:autoSpaceDE w:val="0"/>
        <w:autoSpaceDN w:val="0"/>
        <w:adjustRightInd w:val="0"/>
        <w:spacing w:before="120" w:after="120" w:line="240" w:lineRule="auto"/>
        <w:rPr>
          <w:rFonts w:cs="Arial"/>
          <w:szCs w:val="22"/>
        </w:rPr>
      </w:pPr>
      <w:r w:rsidRPr="00D50F31">
        <w:rPr>
          <w:rFonts w:cs="Arial"/>
          <w:szCs w:val="22"/>
        </w:rPr>
        <w:t xml:space="preserve">A ocorrência do impacto se da já no início da fase de implantação da infraestrutura básica de apoio à construção. Toda esta infraestrutura demanda uma grande quantidade de veículos em movimento, com a </w:t>
      </w:r>
      <w:r w:rsidR="00D50F31" w:rsidRPr="00D50F31">
        <w:rPr>
          <w:rFonts w:cs="Arial"/>
          <w:szCs w:val="22"/>
        </w:rPr>
        <w:t>consequente</w:t>
      </w:r>
      <w:r w:rsidRPr="00D50F31">
        <w:rPr>
          <w:rFonts w:cs="Arial"/>
          <w:szCs w:val="22"/>
        </w:rPr>
        <w:t xml:space="preserve"> emissão de material particulado</w:t>
      </w:r>
      <w:r w:rsidR="00D50F31">
        <w:rPr>
          <w:rFonts w:cs="Arial"/>
          <w:szCs w:val="22"/>
        </w:rPr>
        <w:t xml:space="preserve"> (poeira)</w:t>
      </w:r>
      <w:r w:rsidRPr="00D50F31">
        <w:rPr>
          <w:rFonts w:cs="Arial"/>
          <w:szCs w:val="22"/>
        </w:rPr>
        <w:t xml:space="preserve"> e de gases de combustão.</w:t>
      </w:r>
    </w:p>
    <w:p w:rsidR="00E9141C" w:rsidRPr="00D50F31" w:rsidRDefault="00E9141C" w:rsidP="00D50F31">
      <w:pPr>
        <w:autoSpaceDE w:val="0"/>
        <w:autoSpaceDN w:val="0"/>
        <w:adjustRightInd w:val="0"/>
        <w:spacing w:before="120" w:after="120" w:line="240" w:lineRule="auto"/>
        <w:rPr>
          <w:rFonts w:cs="Arial"/>
          <w:szCs w:val="22"/>
        </w:rPr>
      </w:pPr>
      <w:r w:rsidRPr="00D50F31">
        <w:rPr>
          <w:rFonts w:cs="Arial"/>
          <w:szCs w:val="22"/>
        </w:rPr>
        <w:t>Já para a fase de implantação das obras principais, é de se prever que o impacto torne-se mais significativo, pois é o período em que se atinge o pico das obras.</w:t>
      </w:r>
    </w:p>
    <w:p w:rsidR="00E9141C" w:rsidRPr="00D50F31" w:rsidRDefault="00E9141C" w:rsidP="00D50F31">
      <w:pPr>
        <w:autoSpaceDE w:val="0"/>
        <w:autoSpaceDN w:val="0"/>
        <w:adjustRightInd w:val="0"/>
        <w:spacing w:before="120" w:after="120" w:line="240" w:lineRule="auto"/>
        <w:rPr>
          <w:rFonts w:cs="Arial"/>
          <w:szCs w:val="22"/>
        </w:rPr>
      </w:pPr>
      <w:r w:rsidRPr="00D50F31">
        <w:rPr>
          <w:rFonts w:cs="Arial"/>
          <w:szCs w:val="22"/>
        </w:rPr>
        <w:t>Apesar de sua abrangência, pode-se afirmar que o impacto é reversível no curto prazo, com relevância e magnitude baixas, prazo de manifestação imediata</w:t>
      </w:r>
      <w:r w:rsidR="00D50F31">
        <w:rPr>
          <w:rFonts w:cs="Arial"/>
          <w:szCs w:val="22"/>
        </w:rPr>
        <w:t>,</w:t>
      </w:r>
      <w:r w:rsidRPr="00D50F31">
        <w:rPr>
          <w:rFonts w:cs="Arial"/>
          <w:szCs w:val="22"/>
        </w:rPr>
        <w:t xml:space="preserve"> de curto prazo e natureza negativa.</w:t>
      </w:r>
    </w:p>
    <w:p w:rsidR="00E9141C" w:rsidRDefault="00E9141C" w:rsidP="0066142C">
      <w:pPr>
        <w:autoSpaceDE w:val="0"/>
        <w:autoSpaceDN w:val="0"/>
        <w:adjustRightInd w:val="0"/>
        <w:spacing w:before="120" w:after="120" w:line="240" w:lineRule="auto"/>
        <w:rPr>
          <w:rFonts w:cs="Arial"/>
          <w:szCs w:val="22"/>
        </w:rPr>
      </w:pPr>
      <w:r w:rsidRPr="00BA57E8">
        <w:rPr>
          <w:rFonts w:cs="Arial"/>
          <w:szCs w:val="22"/>
        </w:rPr>
        <w:t xml:space="preserve">O principal efeito do impacto aqui descrito é a possibilidade de incidência de </w:t>
      </w:r>
      <w:r w:rsidR="00D50F31" w:rsidRPr="00BA57E8">
        <w:rPr>
          <w:rFonts w:cs="Arial"/>
          <w:szCs w:val="22"/>
        </w:rPr>
        <w:t>problemas respiratório</w:t>
      </w:r>
      <w:r w:rsidRPr="00BA57E8">
        <w:rPr>
          <w:rFonts w:cs="Arial"/>
          <w:szCs w:val="22"/>
        </w:rPr>
        <w:t>s.</w:t>
      </w:r>
    </w:p>
    <w:p w:rsidR="006F4DA4" w:rsidRPr="002E2454" w:rsidRDefault="002E2454" w:rsidP="002E2454">
      <w:pPr>
        <w:pStyle w:val="Legenda"/>
        <w:spacing w:before="0" w:after="0"/>
        <w:jc w:val="center"/>
        <w:rPr>
          <w:rFonts w:cs="Arial"/>
          <w:b w:val="0"/>
          <w:bCs/>
          <w:i w:val="0"/>
          <w:szCs w:val="22"/>
        </w:rPr>
      </w:pPr>
      <w:bookmarkStart w:id="130" w:name="_Toc420316445"/>
      <w:r w:rsidRPr="002E2454">
        <w:rPr>
          <w:i w:val="0"/>
        </w:rPr>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1.3</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2</w:t>
      </w:r>
      <w:r w:rsidR="00B80A05">
        <w:rPr>
          <w:i w:val="0"/>
        </w:rPr>
        <w:fldChar w:fldCharType="end"/>
      </w:r>
      <w:r w:rsidRPr="002E2454">
        <w:rPr>
          <w:i w:val="0"/>
        </w:rPr>
        <w:t>.</w:t>
      </w:r>
      <w:r w:rsidRPr="002E2454">
        <w:rPr>
          <w:b w:val="0"/>
          <w:i w:val="0"/>
        </w:rPr>
        <w:t xml:space="preserve"> - </w:t>
      </w:r>
      <w:r w:rsidR="00E9141C" w:rsidRPr="002E2454">
        <w:rPr>
          <w:rFonts w:cs="Arial"/>
          <w:b w:val="0"/>
          <w:bCs/>
          <w:i w:val="0"/>
          <w:szCs w:val="22"/>
        </w:rPr>
        <w:t>Caracterização do Impacto - Alteração da Qualidade do</w:t>
      </w:r>
      <w:r w:rsidR="006F4DA4" w:rsidRPr="002E2454">
        <w:rPr>
          <w:rFonts w:cs="Arial"/>
          <w:b w:val="0"/>
          <w:bCs/>
          <w:i w:val="0"/>
          <w:szCs w:val="22"/>
        </w:rPr>
        <w:t xml:space="preserve"> Ar</w:t>
      </w:r>
      <w:bookmarkEnd w:id="130"/>
    </w:p>
    <w:p w:rsidR="00E9141C" w:rsidRPr="002E2454" w:rsidRDefault="006F4DA4" w:rsidP="002E2454">
      <w:pPr>
        <w:autoSpaceDE w:val="0"/>
        <w:autoSpaceDN w:val="0"/>
        <w:adjustRightInd w:val="0"/>
        <w:spacing w:line="240" w:lineRule="auto"/>
        <w:jc w:val="center"/>
        <w:rPr>
          <w:rFonts w:cs="Arial"/>
          <w:bCs/>
          <w:szCs w:val="22"/>
        </w:rPr>
      </w:pPr>
      <w:r w:rsidRPr="002E2454">
        <w:rPr>
          <w:rFonts w:cs="Arial"/>
          <w:bCs/>
          <w:szCs w:val="22"/>
        </w:rPr>
        <w:t>Barragens Pedreira e Duas Pontes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1144"/>
        <w:gridCol w:w="1701"/>
        <w:gridCol w:w="1559"/>
        <w:gridCol w:w="3022"/>
      </w:tblGrid>
      <w:tr w:rsidR="00E9141C" w:rsidRPr="00DD4EE8" w:rsidTr="00D50F31">
        <w:trPr>
          <w:trHeight w:val="397"/>
          <w:jc w:val="center"/>
        </w:trPr>
        <w:tc>
          <w:tcPr>
            <w:tcW w:w="1172" w:type="dxa"/>
            <w:shd w:val="clear" w:color="auto" w:fill="D9D9D9"/>
            <w:vAlign w:val="center"/>
          </w:tcPr>
          <w:p w:rsidR="00E9141C" w:rsidRPr="00DD4EE8" w:rsidRDefault="00E9141C" w:rsidP="00D50F31">
            <w:pPr>
              <w:autoSpaceDE w:val="0"/>
              <w:autoSpaceDN w:val="0"/>
              <w:adjustRightInd w:val="0"/>
              <w:spacing w:before="120" w:after="120" w:line="240" w:lineRule="auto"/>
              <w:jc w:val="center"/>
              <w:rPr>
                <w:rFonts w:cs="Arial"/>
                <w:b/>
                <w:sz w:val="20"/>
              </w:rPr>
            </w:pPr>
            <w:r w:rsidRPr="00DD4EE8">
              <w:rPr>
                <w:rFonts w:cs="Arial"/>
                <w:b/>
                <w:sz w:val="20"/>
              </w:rPr>
              <w:t>Natureza</w:t>
            </w:r>
          </w:p>
        </w:tc>
        <w:tc>
          <w:tcPr>
            <w:tcW w:w="1144" w:type="dxa"/>
            <w:shd w:val="clear" w:color="auto" w:fill="D9D9D9"/>
            <w:vAlign w:val="center"/>
          </w:tcPr>
          <w:p w:rsidR="00E9141C" w:rsidRPr="00DD4EE8" w:rsidRDefault="00E9141C" w:rsidP="00D50F31">
            <w:pPr>
              <w:autoSpaceDE w:val="0"/>
              <w:autoSpaceDN w:val="0"/>
              <w:adjustRightInd w:val="0"/>
              <w:spacing w:before="120" w:after="120" w:line="240" w:lineRule="auto"/>
              <w:jc w:val="center"/>
              <w:rPr>
                <w:rFonts w:cs="Arial"/>
                <w:b/>
                <w:sz w:val="20"/>
              </w:rPr>
            </w:pPr>
            <w:r w:rsidRPr="00DD4EE8">
              <w:rPr>
                <w:rFonts w:cs="Arial"/>
                <w:b/>
                <w:sz w:val="20"/>
              </w:rPr>
              <w:t>Ordem</w:t>
            </w:r>
          </w:p>
        </w:tc>
        <w:tc>
          <w:tcPr>
            <w:tcW w:w="1701" w:type="dxa"/>
            <w:shd w:val="clear" w:color="auto" w:fill="D9D9D9"/>
            <w:vAlign w:val="center"/>
          </w:tcPr>
          <w:p w:rsidR="00E9141C" w:rsidRPr="00DD4EE8" w:rsidRDefault="00E9141C" w:rsidP="00D50F31">
            <w:pPr>
              <w:autoSpaceDE w:val="0"/>
              <w:autoSpaceDN w:val="0"/>
              <w:adjustRightInd w:val="0"/>
              <w:spacing w:before="120" w:after="120" w:line="240" w:lineRule="auto"/>
              <w:jc w:val="center"/>
              <w:rPr>
                <w:rFonts w:cs="Arial"/>
                <w:b/>
                <w:sz w:val="20"/>
              </w:rPr>
            </w:pPr>
            <w:r w:rsidRPr="00DD4EE8">
              <w:rPr>
                <w:rFonts w:cs="Arial"/>
                <w:b/>
                <w:sz w:val="20"/>
              </w:rPr>
              <w:t>Abrangência</w:t>
            </w:r>
          </w:p>
        </w:tc>
        <w:tc>
          <w:tcPr>
            <w:tcW w:w="1559" w:type="dxa"/>
            <w:shd w:val="clear" w:color="auto" w:fill="D9D9D9"/>
            <w:vAlign w:val="center"/>
          </w:tcPr>
          <w:p w:rsidR="00E9141C" w:rsidRPr="00DD4EE8" w:rsidRDefault="00E9141C" w:rsidP="00D50F31">
            <w:pPr>
              <w:autoSpaceDE w:val="0"/>
              <w:autoSpaceDN w:val="0"/>
              <w:adjustRightInd w:val="0"/>
              <w:spacing w:before="120" w:after="120" w:line="240" w:lineRule="auto"/>
              <w:jc w:val="center"/>
              <w:rPr>
                <w:rFonts w:cs="Arial"/>
                <w:b/>
                <w:sz w:val="20"/>
              </w:rPr>
            </w:pPr>
            <w:r w:rsidRPr="00DD4EE8">
              <w:rPr>
                <w:rFonts w:cs="Arial"/>
                <w:b/>
                <w:sz w:val="20"/>
              </w:rPr>
              <w:t>Duração</w:t>
            </w:r>
          </w:p>
        </w:tc>
        <w:tc>
          <w:tcPr>
            <w:tcW w:w="3022" w:type="dxa"/>
            <w:shd w:val="clear" w:color="auto" w:fill="D9D9D9"/>
            <w:vAlign w:val="center"/>
          </w:tcPr>
          <w:p w:rsidR="00E9141C" w:rsidRPr="00DD4EE8" w:rsidRDefault="00E9141C" w:rsidP="00D50F31">
            <w:pPr>
              <w:autoSpaceDE w:val="0"/>
              <w:autoSpaceDN w:val="0"/>
              <w:adjustRightInd w:val="0"/>
              <w:spacing w:before="120" w:after="120" w:line="240" w:lineRule="auto"/>
              <w:jc w:val="center"/>
              <w:rPr>
                <w:rFonts w:cs="Arial"/>
                <w:b/>
                <w:sz w:val="20"/>
              </w:rPr>
            </w:pPr>
            <w:r w:rsidRPr="00DD4EE8">
              <w:rPr>
                <w:rFonts w:cs="Arial"/>
                <w:b/>
                <w:sz w:val="20"/>
              </w:rPr>
              <w:t>Probabilidade de Ocorrência</w:t>
            </w:r>
          </w:p>
        </w:tc>
      </w:tr>
      <w:tr w:rsidR="00E9141C" w:rsidRPr="00DD4EE8" w:rsidTr="00D50F31">
        <w:trPr>
          <w:jc w:val="center"/>
        </w:trPr>
        <w:tc>
          <w:tcPr>
            <w:tcW w:w="1172" w:type="dxa"/>
            <w:shd w:val="clear" w:color="auto" w:fill="auto"/>
            <w:vAlign w:val="center"/>
          </w:tcPr>
          <w:p w:rsidR="00E9141C" w:rsidRPr="00DD4EE8" w:rsidRDefault="00E9141C" w:rsidP="00D50F31">
            <w:pPr>
              <w:autoSpaceDE w:val="0"/>
              <w:autoSpaceDN w:val="0"/>
              <w:adjustRightInd w:val="0"/>
              <w:spacing w:before="120" w:after="120" w:line="240" w:lineRule="auto"/>
              <w:jc w:val="center"/>
              <w:rPr>
                <w:rFonts w:cs="Arial"/>
                <w:sz w:val="20"/>
              </w:rPr>
            </w:pPr>
            <w:r>
              <w:rPr>
                <w:rFonts w:cs="Arial"/>
                <w:sz w:val="20"/>
              </w:rPr>
              <w:t>Negativa</w:t>
            </w:r>
          </w:p>
        </w:tc>
        <w:tc>
          <w:tcPr>
            <w:tcW w:w="1144" w:type="dxa"/>
            <w:shd w:val="clear" w:color="auto" w:fill="auto"/>
            <w:vAlign w:val="center"/>
          </w:tcPr>
          <w:p w:rsidR="00E9141C" w:rsidRPr="00DD4EE8" w:rsidRDefault="00E9141C" w:rsidP="00D50F31">
            <w:pPr>
              <w:autoSpaceDE w:val="0"/>
              <w:autoSpaceDN w:val="0"/>
              <w:adjustRightInd w:val="0"/>
              <w:spacing w:before="120" w:after="120" w:line="240" w:lineRule="auto"/>
              <w:jc w:val="center"/>
              <w:rPr>
                <w:rFonts w:cs="Arial"/>
                <w:sz w:val="20"/>
              </w:rPr>
            </w:pPr>
            <w:r w:rsidRPr="00DD4EE8">
              <w:rPr>
                <w:rFonts w:cs="Arial"/>
                <w:sz w:val="20"/>
              </w:rPr>
              <w:t>Direta</w:t>
            </w:r>
          </w:p>
        </w:tc>
        <w:tc>
          <w:tcPr>
            <w:tcW w:w="1701" w:type="dxa"/>
            <w:shd w:val="clear" w:color="auto" w:fill="auto"/>
            <w:vAlign w:val="center"/>
          </w:tcPr>
          <w:p w:rsidR="00E9141C" w:rsidRPr="00DD4EE8" w:rsidRDefault="00E9141C" w:rsidP="00D50F31">
            <w:pPr>
              <w:autoSpaceDE w:val="0"/>
              <w:autoSpaceDN w:val="0"/>
              <w:adjustRightInd w:val="0"/>
              <w:spacing w:before="120" w:after="120" w:line="240" w:lineRule="auto"/>
              <w:jc w:val="center"/>
              <w:rPr>
                <w:rFonts w:cs="Arial"/>
                <w:sz w:val="20"/>
              </w:rPr>
            </w:pPr>
            <w:r w:rsidRPr="00DD4EE8">
              <w:rPr>
                <w:rFonts w:cs="Arial"/>
                <w:sz w:val="20"/>
              </w:rPr>
              <w:t>Local (ADA/AID)</w:t>
            </w:r>
          </w:p>
        </w:tc>
        <w:tc>
          <w:tcPr>
            <w:tcW w:w="1559" w:type="dxa"/>
            <w:shd w:val="clear" w:color="auto" w:fill="auto"/>
            <w:vAlign w:val="center"/>
          </w:tcPr>
          <w:p w:rsidR="00E9141C" w:rsidRPr="00DD4EE8" w:rsidRDefault="00E9141C" w:rsidP="00D50F31">
            <w:pPr>
              <w:autoSpaceDE w:val="0"/>
              <w:autoSpaceDN w:val="0"/>
              <w:adjustRightInd w:val="0"/>
              <w:spacing w:before="120" w:after="120" w:line="240" w:lineRule="auto"/>
              <w:jc w:val="center"/>
              <w:rPr>
                <w:rFonts w:cs="Arial"/>
                <w:sz w:val="20"/>
              </w:rPr>
            </w:pPr>
            <w:r>
              <w:rPr>
                <w:rFonts w:cs="Arial"/>
                <w:sz w:val="20"/>
              </w:rPr>
              <w:t>Temporária</w:t>
            </w:r>
          </w:p>
        </w:tc>
        <w:tc>
          <w:tcPr>
            <w:tcW w:w="3022" w:type="dxa"/>
            <w:shd w:val="clear" w:color="auto" w:fill="auto"/>
            <w:vAlign w:val="center"/>
          </w:tcPr>
          <w:p w:rsidR="00E9141C" w:rsidRPr="00DD4EE8" w:rsidRDefault="00E9141C" w:rsidP="00D50F31">
            <w:pPr>
              <w:autoSpaceDE w:val="0"/>
              <w:autoSpaceDN w:val="0"/>
              <w:adjustRightInd w:val="0"/>
              <w:spacing w:before="120" w:after="120" w:line="240" w:lineRule="auto"/>
              <w:jc w:val="center"/>
              <w:rPr>
                <w:rFonts w:cs="Arial"/>
                <w:sz w:val="20"/>
              </w:rPr>
            </w:pPr>
            <w:r w:rsidRPr="00DD4EE8">
              <w:rPr>
                <w:rFonts w:cs="Arial"/>
                <w:sz w:val="20"/>
              </w:rPr>
              <w:t>Certa</w:t>
            </w:r>
          </w:p>
        </w:tc>
      </w:tr>
    </w:tbl>
    <w:p w:rsidR="00E9141C" w:rsidRPr="00DD4EE8" w:rsidRDefault="00E9141C" w:rsidP="00D50F31">
      <w:pPr>
        <w:autoSpaceDE w:val="0"/>
        <w:autoSpaceDN w:val="0"/>
        <w:adjustRightInd w:val="0"/>
        <w:spacing w:line="240" w:lineRule="auto"/>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462"/>
        <w:gridCol w:w="1528"/>
        <w:gridCol w:w="1529"/>
      </w:tblGrid>
      <w:tr w:rsidR="00E9141C" w:rsidRPr="00DD4EE8" w:rsidTr="00D50F31">
        <w:trPr>
          <w:trHeight w:val="397"/>
          <w:jc w:val="center"/>
        </w:trPr>
        <w:tc>
          <w:tcPr>
            <w:tcW w:w="2329" w:type="dxa"/>
            <w:shd w:val="clear" w:color="auto" w:fill="D9D9D9"/>
            <w:vAlign w:val="center"/>
          </w:tcPr>
          <w:p w:rsidR="00E9141C" w:rsidRPr="00DD4EE8" w:rsidRDefault="00E9141C" w:rsidP="00D50F31">
            <w:pPr>
              <w:autoSpaceDE w:val="0"/>
              <w:autoSpaceDN w:val="0"/>
              <w:adjustRightInd w:val="0"/>
              <w:spacing w:before="120" w:after="120" w:line="240" w:lineRule="auto"/>
              <w:jc w:val="center"/>
              <w:rPr>
                <w:rFonts w:cs="Arial"/>
                <w:b/>
                <w:sz w:val="20"/>
              </w:rPr>
            </w:pPr>
            <w:r w:rsidRPr="00DD4EE8">
              <w:rPr>
                <w:rFonts w:cs="Arial"/>
                <w:b/>
                <w:sz w:val="20"/>
              </w:rPr>
              <w:t>Época de Ocorrência</w:t>
            </w:r>
          </w:p>
        </w:tc>
        <w:tc>
          <w:tcPr>
            <w:tcW w:w="1796" w:type="dxa"/>
            <w:shd w:val="clear" w:color="auto" w:fill="D9D9D9"/>
            <w:vAlign w:val="center"/>
          </w:tcPr>
          <w:p w:rsidR="00E9141C" w:rsidRPr="00DD4EE8" w:rsidRDefault="00E9141C" w:rsidP="00D50F31">
            <w:pPr>
              <w:autoSpaceDE w:val="0"/>
              <w:autoSpaceDN w:val="0"/>
              <w:adjustRightInd w:val="0"/>
              <w:spacing w:before="120" w:after="120" w:line="240" w:lineRule="auto"/>
              <w:jc w:val="center"/>
              <w:rPr>
                <w:rFonts w:cs="Arial"/>
                <w:b/>
                <w:sz w:val="20"/>
              </w:rPr>
            </w:pPr>
            <w:r w:rsidRPr="00DD4EE8">
              <w:rPr>
                <w:rFonts w:cs="Arial"/>
                <w:b/>
                <w:sz w:val="20"/>
              </w:rPr>
              <w:t>Reversibilidade</w:t>
            </w:r>
          </w:p>
        </w:tc>
        <w:tc>
          <w:tcPr>
            <w:tcW w:w="1462" w:type="dxa"/>
            <w:shd w:val="clear" w:color="auto" w:fill="D9D9D9"/>
            <w:vAlign w:val="center"/>
          </w:tcPr>
          <w:p w:rsidR="00E9141C" w:rsidRPr="00DD4EE8" w:rsidRDefault="00E9141C" w:rsidP="00D50F31">
            <w:pPr>
              <w:autoSpaceDE w:val="0"/>
              <w:autoSpaceDN w:val="0"/>
              <w:adjustRightInd w:val="0"/>
              <w:spacing w:before="120" w:after="120" w:line="240" w:lineRule="auto"/>
              <w:jc w:val="center"/>
              <w:rPr>
                <w:rFonts w:cs="Arial"/>
                <w:b/>
                <w:sz w:val="20"/>
              </w:rPr>
            </w:pPr>
            <w:r w:rsidRPr="00DD4EE8">
              <w:rPr>
                <w:rFonts w:cs="Arial"/>
                <w:b/>
                <w:sz w:val="20"/>
              </w:rPr>
              <w:t>Magnitude</w:t>
            </w:r>
          </w:p>
        </w:tc>
        <w:tc>
          <w:tcPr>
            <w:tcW w:w="1528" w:type="dxa"/>
            <w:shd w:val="clear" w:color="auto" w:fill="D9D9D9"/>
            <w:vAlign w:val="center"/>
          </w:tcPr>
          <w:p w:rsidR="00E9141C" w:rsidRPr="00DD4EE8" w:rsidRDefault="00E9141C" w:rsidP="00D50F31">
            <w:pPr>
              <w:autoSpaceDE w:val="0"/>
              <w:autoSpaceDN w:val="0"/>
              <w:adjustRightInd w:val="0"/>
              <w:spacing w:before="120" w:after="120" w:line="240" w:lineRule="auto"/>
              <w:jc w:val="center"/>
              <w:rPr>
                <w:rFonts w:cs="Arial"/>
                <w:b/>
                <w:sz w:val="20"/>
              </w:rPr>
            </w:pPr>
            <w:r w:rsidRPr="00DD4EE8">
              <w:rPr>
                <w:rFonts w:cs="Arial"/>
                <w:b/>
                <w:sz w:val="20"/>
              </w:rPr>
              <w:t>Importância</w:t>
            </w:r>
          </w:p>
        </w:tc>
        <w:tc>
          <w:tcPr>
            <w:tcW w:w="1529" w:type="dxa"/>
            <w:shd w:val="clear" w:color="auto" w:fill="D9D9D9"/>
            <w:vAlign w:val="center"/>
          </w:tcPr>
          <w:p w:rsidR="00E9141C" w:rsidRPr="00DD4EE8" w:rsidRDefault="00E9141C" w:rsidP="00D50F31">
            <w:pPr>
              <w:autoSpaceDE w:val="0"/>
              <w:autoSpaceDN w:val="0"/>
              <w:adjustRightInd w:val="0"/>
              <w:spacing w:before="120" w:after="120" w:line="240" w:lineRule="auto"/>
              <w:jc w:val="center"/>
              <w:rPr>
                <w:rFonts w:cs="Arial"/>
                <w:b/>
                <w:sz w:val="20"/>
              </w:rPr>
            </w:pPr>
            <w:r w:rsidRPr="00DD4EE8">
              <w:rPr>
                <w:rFonts w:cs="Arial"/>
                <w:b/>
                <w:sz w:val="20"/>
              </w:rPr>
              <w:t>Mitigação</w:t>
            </w:r>
          </w:p>
        </w:tc>
      </w:tr>
      <w:tr w:rsidR="00E9141C" w:rsidRPr="00DD4EE8" w:rsidTr="003D2C66">
        <w:trPr>
          <w:jc w:val="center"/>
        </w:trPr>
        <w:tc>
          <w:tcPr>
            <w:tcW w:w="2329" w:type="dxa"/>
            <w:shd w:val="clear" w:color="auto" w:fill="auto"/>
            <w:vAlign w:val="center"/>
          </w:tcPr>
          <w:p w:rsidR="00E9141C" w:rsidRPr="00DD4EE8" w:rsidRDefault="00E9141C" w:rsidP="00D50F31">
            <w:pPr>
              <w:autoSpaceDE w:val="0"/>
              <w:autoSpaceDN w:val="0"/>
              <w:adjustRightInd w:val="0"/>
              <w:spacing w:before="120" w:after="120" w:line="240" w:lineRule="auto"/>
              <w:jc w:val="center"/>
              <w:rPr>
                <w:rFonts w:cs="Arial"/>
                <w:sz w:val="20"/>
              </w:rPr>
            </w:pPr>
            <w:r>
              <w:rPr>
                <w:rFonts w:cs="Arial"/>
                <w:sz w:val="20"/>
              </w:rPr>
              <w:t>Curto</w:t>
            </w:r>
            <w:r w:rsidRPr="00DD4EE8">
              <w:rPr>
                <w:rFonts w:cs="Arial"/>
                <w:sz w:val="20"/>
              </w:rPr>
              <w:t xml:space="preserve"> Prazo</w:t>
            </w:r>
          </w:p>
        </w:tc>
        <w:tc>
          <w:tcPr>
            <w:tcW w:w="1796" w:type="dxa"/>
            <w:shd w:val="clear" w:color="auto" w:fill="auto"/>
            <w:vAlign w:val="center"/>
          </w:tcPr>
          <w:p w:rsidR="00E9141C" w:rsidRPr="00DD4EE8" w:rsidRDefault="00E9141C" w:rsidP="00D50F31">
            <w:pPr>
              <w:autoSpaceDE w:val="0"/>
              <w:autoSpaceDN w:val="0"/>
              <w:adjustRightInd w:val="0"/>
              <w:spacing w:before="120" w:after="120" w:line="240" w:lineRule="auto"/>
              <w:jc w:val="center"/>
              <w:rPr>
                <w:rFonts w:cs="Arial"/>
                <w:sz w:val="20"/>
              </w:rPr>
            </w:pPr>
            <w:r>
              <w:rPr>
                <w:rFonts w:cs="Arial"/>
                <w:sz w:val="20"/>
              </w:rPr>
              <w:t>Reversível</w:t>
            </w:r>
          </w:p>
        </w:tc>
        <w:tc>
          <w:tcPr>
            <w:tcW w:w="1462" w:type="dxa"/>
            <w:shd w:val="clear" w:color="auto" w:fill="auto"/>
            <w:vAlign w:val="center"/>
          </w:tcPr>
          <w:p w:rsidR="00E9141C" w:rsidRPr="00DD4EE8" w:rsidRDefault="003D2C66" w:rsidP="00D50F31">
            <w:pPr>
              <w:autoSpaceDE w:val="0"/>
              <w:autoSpaceDN w:val="0"/>
              <w:adjustRightInd w:val="0"/>
              <w:spacing w:before="120" w:after="120" w:line="240" w:lineRule="auto"/>
              <w:jc w:val="center"/>
              <w:rPr>
                <w:rFonts w:cs="Arial"/>
                <w:sz w:val="20"/>
              </w:rPr>
            </w:pPr>
            <w:r>
              <w:rPr>
                <w:rFonts w:cs="Arial"/>
                <w:sz w:val="20"/>
              </w:rPr>
              <w:t>Pequena</w:t>
            </w:r>
          </w:p>
        </w:tc>
        <w:tc>
          <w:tcPr>
            <w:tcW w:w="1528" w:type="dxa"/>
            <w:shd w:val="clear" w:color="auto" w:fill="auto"/>
            <w:vAlign w:val="center"/>
          </w:tcPr>
          <w:p w:rsidR="00E9141C" w:rsidRPr="00DD4EE8" w:rsidRDefault="00E9141C" w:rsidP="00D50F31">
            <w:pPr>
              <w:autoSpaceDE w:val="0"/>
              <w:autoSpaceDN w:val="0"/>
              <w:adjustRightInd w:val="0"/>
              <w:spacing w:before="120" w:after="120" w:line="240" w:lineRule="auto"/>
              <w:jc w:val="center"/>
              <w:rPr>
                <w:rFonts w:cs="Arial"/>
                <w:sz w:val="20"/>
              </w:rPr>
            </w:pPr>
            <w:r>
              <w:rPr>
                <w:rFonts w:cs="Arial"/>
                <w:sz w:val="20"/>
              </w:rPr>
              <w:t>Média</w:t>
            </w:r>
          </w:p>
        </w:tc>
        <w:tc>
          <w:tcPr>
            <w:tcW w:w="1529" w:type="dxa"/>
            <w:shd w:val="clear" w:color="auto" w:fill="auto"/>
            <w:vAlign w:val="center"/>
          </w:tcPr>
          <w:p w:rsidR="00E9141C" w:rsidRPr="00DD4EE8" w:rsidRDefault="00E9141C" w:rsidP="00D50F31">
            <w:pPr>
              <w:autoSpaceDE w:val="0"/>
              <w:autoSpaceDN w:val="0"/>
              <w:adjustRightInd w:val="0"/>
              <w:spacing w:before="120" w:after="120" w:line="240" w:lineRule="auto"/>
              <w:jc w:val="center"/>
              <w:rPr>
                <w:rFonts w:cs="Arial"/>
                <w:sz w:val="20"/>
              </w:rPr>
            </w:pPr>
            <w:r w:rsidRPr="00DD4EE8">
              <w:rPr>
                <w:rFonts w:cs="Arial"/>
                <w:sz w:val="20"/>
              </w:rPr>
              <w:t xml:space="preserve"> Mitigável</w:t>
            </w:r>
          </w:p>
        </w:tc>
      </w:tr>
    </w:tbl>
    <w:p w:rsidR="00E9141C" w:rsidRDefault="00E9141C" w:rsidP="00D50F31">
      <w:pPr>
        <w:spacing w:line="240" w:lineRule="auto"/>
      </w:pPr>
    </w:p>
    <w:p w:rsidR="00C64127" w:rsidRDefault="00C64127" w:rsidP="00D50F31">
      <w:pPr>
        <w:spacing w:line="240" w:lineRule="auto"/>
      </w:pPr>
      <w:r>
        <w:br w:type="page"/>
      </w:r>
    </w:p>
    <w:p w:rsidR="00E9141C" w:rsidRPr="00805F29" w:rsidRDefault="00E9141C" w:rsidP="00D50F31">
      <w:pPr>
        <w:spacing w:before="120" w:after="120" w:line="240" w:lineRule="auto"/>
        <w:rPr>
          <w:b/>
        </w:rPr>
      </w:pPr>
      <w:r w:rsidRPr="00805F29">
        <w:rPr>
          <w:b/>
        </w:rPr>
        <w:lastRenderedPageBreak/>
        <w:t>Ações Ambientais Propostas:</w:t>
      </w:r>
    </w:p>
    <w:p w:rsidR="004E46F7" w:rsidRPr="00805F29" w:rsidRDefault="004E46F7" w:rsidP="004E46F7">
      <w:pPr>
        <w:spacing w:before="120" w:after="120" w:line="240" w:lineRule="auto"/>
        <w:rPr>
          <w:rFonts w:cs="Arial"/>
          <w:szCs w:val="22"/>
        </w:rPr>
      </w:pPr>
      <w:r w:rsidRPr="00131CFA">
        <w:rPr>
          <w:rFonts w:cs="Arial"/>
          <w:szCs w:val="22"/>
        </w:rPr>
        <w:t>Estes efeitos devem ser atenuados/minimizados através da implantação do Programa de Controle Ambiental da Obra (Controle de Tráfego de Veículos e Máquinas Durante as Obras, Controle da Formação de Poeira).</w:t>
      </w:r>
    </w:p>
    <w:p w:rsidR="00973BCF" w:rsidRPr="00C64127" w:rsidRDefault="00A71868" w:rsidP="002E2454">
      <w:pPr>
        <w:pStyle w:val="Ttulo3"/>
        <w:spacing w:after="240"/>
      </w:pPr>
      <w:bookmarkStart w:id="131" w:name="_Toc418758205"/>
      <w:bookmarkStart w:id="132" w:name="_Toc418758807"/>
      <w:bookmarkStart w:id="133" w:name="_Toc419813572"/>
      <w:r w:rsidRPr="00C64127">
        <w:t>1.3.1.</w:t>
      </w:r>
      <w:r w:rsidR="00973BCF" w:rsidRPr="00C64127">
        <w:t>3. Aumento no Nível de Ruídos</w:t>
      </w:r>
      <w:bookmarkEnd w:id="131"/>
      <w:bookmarkEnd w:id="132"/>
      <w:bookmarkEnd w:id="133"/>
    </w:p>
    <w:p w:rsidR="00AD62B5" w:rsidRPr="00AD62B5" w:rsidRDefault="00AD62B5" w:rsidP="00AD62B5">
      <w:pPr>
        <w:spacing w:before="120" w:after="120" w:line="240" w:lineRule="auto"/>
        <w:rPr>
          <w:b/>
        </w:rPr>
      </w:pPr>
      <w:r w:rsidRPr="00AD62B5">
        <w:rPr>
          <w:b/>
        </w:rPr>
        <w:t>Fase</w:t>
      </w:r>
      <w:r w:rsidR="00F42F79">
        <w:rPr>
          <w:b/>
        </w:rPr>
        <w:t>: Implantação</w:t>
      </w:r>
    </w:p>
    <w:p w:rsidR="00AD62B5" w:rsidRPr="00EB24D9" w:rsidRDefault="00AD62B5" w:rsidP="00AD62B5">
      <w:pPr>
        <w:spacing w:before="120" w:after="120" w:line="240" w:lineRule="auto"/>
        <w:rPr>
          <w:rFonts w:cs="Arial"/>
          <w:szCs w:val="22"/>
        </w:rPr>
      </w:pPr>
      <w:r w:rsidRPr="00EB24D9">
        <w:rPr>
          <w:rFonts w:cs="Arial"/>
          <w:szCs w:val="22"/>
        </w:rPr>
        <w:t xml:space="preserve">A alteração de níveis de pressão sonora e vibração ocorrem pela circulação de veículos e </w:t>
      </w:r>
      <w:r>
        <w:rPr>
          <w:rFonts w:cs="Arial"/>
          <w:szCs w:val="22"/>
        </w:rPr>
        <w:t>equipamentos diversos na</w:t>
      </w:r>
      <w:r w:rsidRPr="00EB24D9">
        <w:rPr>
          <w:rFonts w:cs="Arial"/>
          <w:szCs w:val="22"/>
        </w:rPr>
        <w:t xml:space="preserve"> Implantação</w:t>
      </w:r>
      <w:r>
        <w:rPr>
          <w:rFonts w:cs="Arial"/>
          <w:szCs w:val="22"/>
        </w:rPr>
        <w:t xml:space="preserve"> das Barragens</w:t>
      </w:r>
      <w:r w:rsidRPr="00EB24D9">
        <w:rPr>
          <w:rFonts w:cs="Arial"/>
          <w:szCs w:val="22"/>
        </w:rPr>
        <w:t xml:space="preserve">, considerando </w:t>
      </w:r>
      <w:r>
        <w:rPr>
          <w:rFonts w:cs="Arial"/>
          <w:szCs w:val="22"/>
        </w:rPr>
        <w:t>a Implantação da Infrae</w:t>
      </w:r>
      <w:r w:rsidRPr="00EB24D9">
        <w:rPr>
          <w:rFonts w:cs="Arial"/>
          <w:szCs w:val="22"/>
        </w:rPr>
        <w:t xml:space="preserve">strutura de Apoio à Construção e das Obras Principais. </w:t>
      </w:r>
    </w:p>
    <w:p w:rsidR="00AD62B5" w:rsidRPr="00EB24D9" w:rsidRDefault="00AD62B5" w:rsidP="00AD62B5">
      <w:pPr>
        <w:spacing w:before="120" w:after="120" w:line="240" w:lineRule="auto"/>
        <w:rPr>
          <w:rFonts w:cs="Arial"/>
          <w:szCs w:val="22"/>
        </w:rPr>
      </w:pPr>
      <w:r w:rsidRPr="00EB24D9">
        <w:rPr>
          <w:rFonts w:cs="Arial"/>
          <w:szCs w:val="22"/>
        </w:rPr>
        <w:t>Como o impacto está ligado a Etapa de Implantação, sua ocorrência se da junto aos locais das obras, destacando-se a região do eixo da barragem</w:t>
      </w:r>
      <w:r w:rsidR="00555533">
        <w:rPr>
          <w:rFonts w:cs="Arial"/>
          <w:szCs w:val="22"/>
        </w:rPr>
        <w:t>, mas ocorrendo, também, em outros locais como nas áreas de empréstimo</w:t>
      </w:r>
      <w:r w:rsidRPr="00EB24D9">
        <w:rPr>
          <w:rFonts w:cs="Arial"/>
          <w:szCs w:val="22"/>
        </w:rPr>
        <w:t>.</w:t>
      </w:r>
      <w:r w:rsidR="00555533">
        <w:rPr>
          <w:rFonts w:cs="Arial"/>
          <w:szCs w:val="22"/>
        </w:rPr>
        <w:t xml:space="preserve"> </w:t>
      </w:r>
    </w:p>
    <w:p w:rsidR="00722DCD" w:rsidRDefault="00AD62B5" w:rsidP="00AD62B5">
      <w:pPr>
        <w:spacing w:before="120" w:after="120" w:line="240" w:lineRule="auto"/>
        <w:rPr>
          <w:rFonts w:cs="Arial"/>
          <w:szCs w:val="22"/>
        </w:rPr>
      </w:pPr>
      <w:r w:rsidRPr="00EB24D9">
        <w:rPr>
          <w:rFonts w:cs="Arial"/>
          <w:szCs w:val="22"/>
        </w:rPr>
        <w:t>Considera</w:t>
      </w:r>
      <w:r w:rsidR="00791DD0">
        <w:rPr>
          <w:rFonts w:cs="Arial"/>
          <w:szCs w:val="22"/>
        </w:rPr>
        <w:t>ndo-se</w:t>
      </w:r>
      <w:r w:rsidR="00562904">
        <w:rPr>
          <w:rFonts w:cs="Arial"/>
          <w:szCs w:val="22"/>
        </w:rPr>
        <w:t xml:space="preserve"> </w:t>
      </w:r>
      <w:r w:rsidRPr="00EB24D9">
        <w:rPr>
          <w:rFonts w:cs="Arial"/>
          <w:szCs w:val="22"/>
        </w:rPr>
        <w:t xml:space="preserve">a região dos eixos </w:t>
      </w:r>
      <w:r>
        <w:rPr>
          <w:rFonts w:cs="Arial"/>
          <w:szCs w:val="22"/>
        </w:rPr>
        <w:t>das Barragens</w:t>
      </w:r>
      <w:r w:rsidRPr="00EB24D9">
        <w:rPr>
          <w:rFonts w:cs="Arial"/>
          <w:szCs w:val="22"/>
        </w:rPr>
        <w:t xml:space="preserve"> Pedreira e Duas Pontes, com abrangência junto a ADA e AID, o impacto se</w:t>
      </w:r>
      <w:r w:rsidR="00555533">
        <w:rPr>
          <w:rFonts w:cs="Arial"/>
          <w:szCs w:val="22"/>
        </w:rPr>
        <w:t xml:space="preserve"> inicia </w:t>
      </w:r>
      <w:r w:rsidRPr="00EB24D9">
        <w:rPr>
          <w:rFonts w:cs="Arial"/>
          <w:szCs w:val="22"/>
        </w:rPr>
        <w:t xml:space="preserve">nos processos de Construção de </w:t>
      </w:r>
      <w:r>
        <w:rPr>
          <w:rFonts w:cs="Arial"/>
          <w:szCs w:val="22"/>
        </w:rPr>
        <w:t>Acessos</w:t>
      </w:r>
      <w:r w:rsidRPr="00EB24D9">
        <w:rPr>
          <w:rFonts w:cs="Arial"/>
          <w:szCs w:val="22"/>
        </w:rPr>
        <w:t>, Canteiros, Linha de Transmissão para atendimento a Obra e</w:t>
      </w:r>
      <w:r w:rsidR="00555533">
        <w:rPr>
          <w:rFonts w:cs="Arial"/>
          <w:szCs w:val="22"/>
        </w:rPr>
        <w:t xml:space="preserve"> se intensifica na construção das obras principais.</w:t>
      </w:r>
    </w:p>
    <w:p w:rsidR="00722DCD" w:rsidRDefault="00555533" w:rsidP="00AD62B5">
      <w:pPr>
        <w:spacing w:before="120" w:after="120" w:line="240" w:lineRule="auto"/>
        <w:rPr>
          <w:rFonts w:cs="Arial"/>
          <w:szCs w:val="22"/>
        </w:rPr>
      </w:pPr>
      <w:r>
        <w:rPr>
          <w:rFonts w:cs="Arial"/>
          <w:szCs w:val="22"/>
        </w:rPr>
        <w:t>O</w:t>
      </w:r>
      <w:r w:rsidR="00AD62B5">
        <w:rPr>
          <w:rFonts w:cs="Arial"/>
          <w:szCs w:val="22"/>
        </w:rPr>
        <w:t xml:space="preserve"> impacto se manifesta</w:t>
      </w:r>
      <w:r>
        <w:rPr>
          <w:rFonts w:cs="Arial"/>
          <w:szCs w:val="22"/>
        </w:rPr>
        <w:t>, também,</w:t>
      </w:r>
      <w:r w:rsidR="00AD62B5">
        <w:rPr>
          <w:rFonts w:cs="Arial"/>
          <w:szCs w:val="22"/>
        </w:rPr>
        <w:t xml:space="preserve"> na aquisição de insumos e e</w:t>
      </w:r>
      <w:r w:rsidR="00AD62B5" w:rsidRPr="00EB24D9">
        <w:rPr>
          <w:rFonts w:cs="Arial"/>
          <w:szCs w:val="22"/>
        </w:rPr>
        <w:t>quipamentos</w:t>
      </w:r>
      <w:r w:rsidR="00AD62B5">
        <w:rPr>
          <w:rFonts w:cs="Arial"/>
          <w:szCs w:val="22"/>
        </w:rPr>
        <w:t>, cujo transporte por via t</w:t>
      </w:r>
      <w:r w:rsidR="00AD62B5" w:rsidRPr="00EB24D9">
        <w:rPr>
          <w:rFonts w:cs="Arial"/>
          <w:szCs w:val="22"/>
        </w:rPr>
        <w:t xml:space="preserve">errestre, </w:t>
      </w:r>
      <w:r w:rsidR="00A16456">
        <w:rPr>
          <w:rFonts w:cs="Arial"/>
          <w:szCs w:val="22"/>
        </w:rPr>
        <w:t xml:space="preserve">significa uma </w:t>
      </w:r>
      <w:r w:rsidR="00AD62B5" w:rsidRPr="00EB24D9">
        <w:rPr>
          <w:rFonts w:cs="Arial"/>
          <w:szCs w:val="22"/>
        </w:rPr>
        <w:t>grande demanda de veículos ao longo de toda a</w:t>
      </w:r>
      <w:r>
        <w:rPr>
          <w:rFonts w:cs="Arial"/>
          <w:szCs w:val="22"/>
        </w:rPr>
        <w:t xml:space="preserve"> obra.</w:t>
      </w:r>
    </w:p>
    <w:p w:rsidR="00AD62B5" w:rsidRPr="00EB24D9" w:rsidRDefault="00AD62B5" w:rsidP="00AD62B5">
      <w:pPr>
        <w:spacing w:before="120" w:after="120" w:line="240" w:lineRule="auto"/>
        <w:rPr>
          <w:rFonts w:cs="Arial"/>
          <w:szCs w:val="22"/>
        </w:rPr>
      </w:pPr>
      <w:r w:rsidRPr="00EB24D9">
        <w:rPr>
          <w:rFonts w:cs="Arial"/>
          <w:szCs w:val="22"/>
        </w:rPr>
        <w:t>Considera-se também a manifestação do impacto, com abrangência na ADA e AID</w:t>
      </w:r>
      <w:r w:rsidR="00451E90">
        <w:rPr>
          <w:rFonts w:cs="Arial"/>
          <w:szCs w:val="22"/>
        </w:rPr>
        <w:t>,</w:t>
      </w:r>
      <w:r w:rsidRPr="00EB24D9">
        <w:rPr>
          <w:rFonts w:cs="Arial"/>
          <w:szCs w:val="22"/>
        </w:rPr>
        <w:t xml:space="preserve"> na Exploração de Áreas de Empréstimo</w:t>
      </w:r>
      <w:r w:rsidR="00A16456">
        <w:rPr>
          <w:rFonts w:cs="Arial"/>
          <w:szCs w:val="22"/>
        </w:rPr>
        <w:t xml:space="preserve"> e</w:t>
      </w:r>
      <w:r w:rsidRPr="00EB24D9">
        <w:rPr>
          <w:rFonts w:cs="Arial"/>
          <w:szCs w:val="22"/>
        </w:rPr>
        <w:t xml:space="preserve"> Pedreiras, que demanda grande quantidade de veículos para </w:t>
      </w:r>
      <w:r w:rsidR="00A16456">
        <w:rPr>
          <w:rFonts w:cs="Arial"/>
          <w:szCs w:val="22"/>
        </w:rPr>
        <w:t>o transporte do material,</w:t>
      </w:r>
      <w:r w:rsidRPr="00EB24D9">
        <w:rPr>
          <w:rFonts w:cs="Arial"/>
          <w:szCs w:val="22"/>
        </w:rPr>
        <w:t xml:space="preserve"> com a intensificação dos ruído</w:t>
      </w:r>
      <w:r w:rsidR="00A16456">
        <w:rPr>
          <w:rFonts w:cs="Arial"/>
          <w:szCs w:val="22"/>
        </w:rPr>
        <w:t>s e vibrações.</w:t>
      </w:r>
    </w:p>
    <w:p w:rsidR="00AD62B5" w:rsidRDefault="00AD62B5" w:rsidP="00AD62B5">
      <w:pPr>
        <w:spacing w:before="120" w:after="120" w:line="240" w:lineRule="auto"/>
        <w:rPr>
          <w:rFonts w:cs="Arial"/>
          <w:szCs w:val="22"/>
        </w:rPr>
      </w:pPr>
      <w:r w:rsidRPr="00EB24D9">
        <w:rPr>
          <w:rFonts w:cs="Arial"/>
          <w:szCs w:val="22"/>
        </w:rPr>
        <w:t>O impacto é de duração temporária, manifestação e incidência direta, com prazo de manifestação no curto prazo, sendo consideração de natureza negativa</w:t>
      </w:r>
      <w:r w:rsidR="00451E90">
        <w:rPr>
          <w:rFonts w:cs="Arial"/>
          <w:szCs w:val="22"/>
        </w:rPr>
        <w:t>, magnitude pequena e importância média</w:t>
      </w:r>
      <w:r w:rsidRPr="00EB24D9">
        <w:rPr>
          <w:rFonts w:cs="Arial"/>
          <w:szCs w:val="22"/>
        </w:rPr>
        <w:t>.</w:t>
      </w:r>
    </w:p>
    <w:p w:rsidR="00AD62B5" w:rsidRDefault="00B55600" w:rsidP="0066142C">
      <w:pPr>
        <w:spacing w:before="120" w:after="120" w:line="240" w:lineRule="auto"/>
        <w:rPr>
          <w:rFonts w:cs="Arial"/>
          <w:szCs w:val="22"/>
        </w:rPr>
      </w:pPr>
      <w:r>
        <w:rPr>
          <w:rFonts w:cs="Arial"/>
          <w:szCs w:val="22"/>
        </w:rPr>
        <w:t>O</w:t>
      </w:r>
      <w:r w:rsidR="00AD62B5" w:rsidRPr="00EB24D9">
        <w:rPr>
          <w:rFonts w:cs="Arial"/>
          <w:szCs w:val="22"/>
        </w:rPr>
        <w:t xml:space="preserve"> principal efeito do impacto aqui descrito é </w:t>
      </w:r>
      <w:r w:rsidR="00A16456" w:rsidRPr="00EB24D9">
        <w:rPr>
          <w:rFonts w:cs="Arial"/>
          <w:szCs w:val="22"/>
        </w:rPr>
        <w:t>a ocorrência de distúrbios da audição na população atingida</w:t>
      </w:r>
      <w:r w:rsidR="00A16456">
        <w:rPr>
          <w:rFonts w:cs="Arial"/>
          <w:szCs w:val="22"/>
        </w:rPr>
        <w:t xml:space="preserve"> e </w:t>
      </w:r>
      <w:r w:rsidR="00AD62B5" w:rsidRPr="00EB24D9">
        <w:rPr>
          <w:rFonts w:cs="Arial"/>
          <w:szCs w:val="22"/>
        </w:rPr>
        <w:t>o afug</w:t>
      </w:r>
      <w:r w:rsidR="00A16456">
        <w:rPr>
          <w:rFonts w:cs="Arial"/>
          <w:szCs w:val="22"/>
        </w:rPr>
        <w:t>entamento da fauna.</w:t>
      </w:r>
    </w:p>
    <w:p w:rsidR="002E2454" w:rsidRDefault="002E2454" w:rsidP="0066142C">
      <w:pPr>
        <w:spacing w:before="120" w:after="120" w:line="240" w:lineRule="auto"/>
        <w:rPr>
          <w:rFonts w:cs="Arial"/>
          <w:szCs w:val="22"/>
        </w:rPr>
      </w:pPr>
    </w:p>
    <w:p w:rsidR="006F4DA4" w:rsidRPr="002E2454" w:rsidRDefault="002E2454" w:rsidP="002E2454">
      <w:pPr>
        <w:pStyle w:val="Legenda"/>
        <w:spacing w:before="0" w:after="0" w:line="240" w:lineRule="auto"/>
        <w:jc w:val="center"/>
        <w:rPr>
          <w:rFonts w:cs="Arial"/>
          <w:b w:val="0"/>
          <w:bCs/>
          <w:i w:val="0"/>
          <w:szCs w:val="22"/>
        </w:rPr>
      </w:pPr>
      <w:bookmarkStart w:id="134" w:name="_Toc420316446"/>
      <w:r w:rsidRPr="002E2454">
        <w:rPr>
          <w:i w:val="0"/>
        </w:rPr>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1.3</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3</w:t>
      </w:r>
      <w:r w:rsidR="00B80A05">
        <w:rPr>
          <w:i w:val="0"/>
        </w:rPr>
        <w:fldChar w:fldCharType="end"/>
      </w:r>
      <w:r w:rsidRPr="002E2454">
        <w:rPr>
          <w:i w:val="0"/>
        </w:rPr>
        <w:t>.</w:t>
      </w:r>
      <w:r w:rsidRPr="002E2454">
        <w:rPr>
          <w:b w:val="0"/>
          <w:i w:val="0"/>
        </w:rPr>
        <w:t xml:space="preserve"> - </w:t>
      </w:r>
      <w:r w:rsidR="00AD62B5" w:rsidRPr="002E2454">
        <w:rPr>
          <w:rFonts w:cs="Arial"/>
          <w:b w:val="0"/>
          <w:bCs/>
          <w:i w:val="0"/>
          <w:szCs w:val="22"/>
        </w:rPr>
        <w:t>Caracterização do Impact</w:t>
      </w:r>
      <w:r w:rsidR="006F4DA4" w:rsidRPr="002E2454">
        <w:rPr>
          <w:rFonts w:cs="Arial"/>
          <w:b w:val="0"/>
          <w:bCs/>
          <w:i w:val="0"/>
          <w:szCs w:val="22"/>
        </w:rPr>
        <w:t>o – Aumento no Nível de Ruído</w:t>
      </w:r>
      <w:bookmarkEnd w:id="134"/>
    </w:p>
    <w:p w:rsidR="00AD62B5" w:rsidRDefault="00AD62B5" w:rsidP="002E2454">
      <w:pPr>
        <w:autoSpaceDE w:val="0"/>
        <w:autoSpaceDN w:val="0"/>
        <w:adjustRightInd w:val="0"/>
        <w:spacing w:line="240" w:lineRule="auto"/>
        <w:jc w:val="center"/>
        <w:rPr>
          <w:rFonts w:cs="Arial"/>
          <w:bCs/>
          <w:szCs w:val="22"/>
        </w:rPr>
      </w:pPr>
      <w:r w:rsidRPr="002E2454">
        <w:rPr>
          <w:rFonts w:cs="Arial"/>
          <w:bCs/>
          <w:szCs w:val="22"/>
        </w:rPr>
        <w:t>Barrage</w:t>
      </w:r>
      <w:r w:rsidR="006F4DA4" w:rsidRPr="002E2454">
        <w:rPr>
          <w:rFonts w:cs="Arial"/>
          <w:bCs/>
          <w:szCs w:val="22"/>
        </w:rPr>
        <w:t>ns</w:t>
      </w:r>
      <w:r w:rsidRPr="002E2454">
        <w:rPr>
          <w:rFonts w:cs="Arial"/>
          <w:bCs/>
          <w:szCs w:val="22"/>
        </w:rPr>
        <w:t xml:space="preserve"> Pedreira </w:t>
      </w:r>
      <w:r w:rsidR="006F4DA4" w:rsidRPr="002E2454">
        <w:rPr>
          <w:rFonts w:cs="Arial"/>
          <w:bCs/>
          <w:szCs w:val="22"/>
        </w:rPr>
        <w:t xml:space="preserve">e </w:t>
      </w:r>
      <w:r w:rsidR="00A16456" w:rsidRPr="002E2454">
        <w:rPr>
          <w:rFonts w:cs="Arial"/>
          <w:bCs/>
          <w:szCs w:val="22"/>
        </w:rPr>
        <w:t>Duas Pontes</w:t>
      </w:r>
    </w:p>
    <w:p w:rsidR="002E2454" w:rsidRPr="002E2454" w:rsidRDefault="002E2454" w:rsidP="002E2454">
      <w:pPr>
        <w:autoSpaceDE w:val="0"/>
        <w:autoSpaceDN w:val="0"/>
        <w:adjustRightInd w:val="0"/>
        <w:spacing w:line="240" w:lineRule="auto"/>
        <w:jc w:val="center"/>
        <w:rPr>
          <w:rFonts w:cs="Arial"/>
          <w:bCs/>
          <w:szCs w:val="22"/>
        </w:rPr>
      </w:pPr>
    </w:p>
    <w:tbl>
      <w:tblPr>
        <w:tblW w:w="0" w:type="auto"/>
        <w:jc w:val="center"/>
        <w:tblInd w:w="-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5"/>
        <w:gridCol w:w="1213"/>
        <w:gridCol w:w="1843"/>
        <w:gridCol w:w="1701"/>
        <w:gridCol w:w="3274"/>
      </w:tblGrid>
      <w:tr w:rsidR="00AD62B5" w:rsidRPr="00EB24D9" w:rsidTr="00A16456">
        <w:trPr>
          <w:trHeight w:val="397"/>
          <w:jc w:val="center"/>
        </w:trPr>
        <w:tc>
          <w:tcPr>
            <w:tcW w:w="1355" w:type="dxa"/>
            <w:shd w:val="clear" w:color="auto" w:fill="D9D9D9"/>
            <w:vAlign w:val="center"/>
          </w:tcPr>
          <w:p w:rsidR="00AD62B5" w:rsidRPr="00EB24D9" w:rsidRDefault="00AD62B5" w:rsidP="00A16456">
            <w:pPr>
              <w:autoSpaceDE w:val="0"/>
              <w:autoSpaceDN w:val="0"/>
              <w:adjustRightInd w:val="0"/>
              <w:spacing w:before="120" w:after="120" w:line="240" w:lineRule="auto"/>
              <w:jc w:val="center"/>
              <w:rPr>
                <w:rFonts w:cs="Arial"/>
                <w:b/>
                <w:szCs w:val="22"/>
              </w:rPr>
            </w:pPr>
            <w:r w:rsidRPr="00EB24D9">
              <w:rPr>
                <w:rFonts w:cs="Arial"/>
                <w:b/>
                <w:szCs w:val="22"/>
              </w:rPr>
              <w:t>Natureza</w:t>
            </w:r>
          </w:p>
        </w:tc>
        <w:tc>
          <w:tcPr>
            <w:tcW w:w="1213" w:type="dxa"/>
            <w:shd w:val="clear" w:color="auto" w:fill="D9D9D9"/>
            <w:vAlign w:val="center"/>
          </w:tcPr>
          <w:p w:rsidR="00AD62B5" w:rsidRPr="00EB24D9" w:rsidRDefault="00AD62B5" w:rsidP="00A16456">
            <w:pPr>
              <w:autoSpaceDE w:val="0"/>
              <w:autoSpaceDN w:val="0"/>
              <w:adjustRightInd w:val="0"/>
              <w:spacing w:before="120" w:after="120" w:line="240" w:lineRule="auto"/>
              <w:jc w:val="center"/>
              <w:rPr>
                <w:rFonts w:cs="Arial"/>
                <w:b/>
                <w:szCs w:val="22"/>
              </w:rPr>
            </w:pPr>
            <w:r w:rsidRPr="00EB24D9">
              <w:rPr>
                <w:rFonts w:cs="Arial"/>
                <w:b/>
                <w:szCs w:val="22"/>
              </w:rPr>
              <w:t>Ordem</w:t>
            </w:r>
          </w:p>
        </w:tc>
        <w:tc>
          <w:tcPr>
            <w:tcW w:w="1843" w:type="dxa"/>
            <w:shd w:val="clear" w:color="auto" w:fill="D9D9D9"/>
            <w:vAlign w:val="center"/>
          </w:tcPr>
          <w:p w:rsidR="00AD62B5" w:rsidRPr="00EB24D9" w:rsidRDefault="00AD62B5" w:rsidP="00A16456">
            <w:pPr>
              <w:autoSpaceDE w:val="0"/>
              <w:autoSpaceDN w:val="0"/>
              <w:adjustRightInd w:val="0"/>
              <w:spacing w:before="120" w:after="120" w:line="240" w:lineRule="auto"/>
              <w:jc w:val="center"/>
              <w:rPr>
                <w:rFonts w:cs="Arial"/>
                <w:b/>
                <w:szCs w:val="22"/>
              </w:rPr>
            </w:pPr>
            <w:r w:rsidRPr="00EB24D9">
              <w:rPr>
                <w:rFonts w:cs="Arial"/>
                <w:b/>
                <w:szCs w:val="22"/>
              </w:rPr>
              <w:t>Abrangência</w:t>
            </w:r>
          </w:p>
        </w:tc>
        <w:tc>
          <w:tcPr>
            <w:tcW w:w="1701" w:type="dxa"/>
            <w:shd w:val="clear" w:color="auto" w:fill="D9D9D9"/>
            <w:vAlign w:val="center"/>
          </w:tcPr>
          <w:p w:rsidR="00AD62B5" w:rsidRPr="00EB24D9" w:rsidRDefault="00AD62B5" w:rsidP="00A16456">
            <w:pPr>
              <w:autoSpaceDE w:val="0"/>
              <w:autoSpaceDN w:val="0"/>
              <w:adjustRightInd w:val="0"/>
              <w:spacing w:before="120" w:after="120" w:line="240" w:lineRule="auto"/>
              <w:jc w:val="center"/>
              <w:rPr>
                <w:rFonts w:cs="Arial"/>
                <w:b/>
                <w:szCs w:val="22"/>
              </w:rPr>
            </w:pPr>
            <w:r w:rsidRPr="00EB24D9">
              <w:rPr>
                <w:rFonts w:cs="Arial"/>
                <w:b/>
                <w:szCs w:val="22"/>
              </w:rPr>
              <w:t>Duração</w:t>
            </w:r>
          </w:p>
        </w:tc>
        <w:tc>
          <w:tcPr>
            <w:tcW w:w="3274" w:type="dxa"/>
            <w:shd w:val="clear" w:color="auto" w:fill="D9D9D9"/>
            <w:vAlign w:val="center"/>
          </w:tcPr>
          <w:p w:rsidR="00AD62B5" w:rsidRPr="00EB24D9" w:rsidRDefault="00AD62B5" w:rsidP="00A16456">
            <w:pPr>
              <w:autoSpaceDE w:val="0"/>
              <w:autoSpaceDN w:val="0"/>
              <w:adjustRightInd w:val="0"/>
              <w:spacing w:before="120" w:after="120" w:line="240" w:lineRule="auto"/>
              <w:jc w:val="center"/>
              <w:rPr>
                <w:rFonts w:cs="Arial"/>
                <w:b/>
                <w:szCs w:val="22"/>
              </w:rPr>
            </w:pPr>
            <w:r w:rsidRPr="00EB24D9">
              <w:rPr>
                <w:rFonts w:cs="Arial"/>
                <w:b/>
                <w:szCs w:val="22"/>
              </w:rPr>
              <w:t>Probabilidade de Ocorrência</w:t>
            </w:r>
          </w:p>
        </w:tc>
      </w:tr>
      <w:tr w:rsidR="00AD62B5" w:rsidRPr="00EB24D9" w:rsidTr="00A16456">
        <w:trPr>
          <w:jc w:val="center"/>
        </w:trPr>
        <w:tc>
          <w:tcPr>
            <w:tcW w:w="1355" w:type="dxa"/>
            <w:shd w:val="clear" w:color="auto" w:fill="auto"/>
            <w:vAlign w:val="center"/>
          </w:tcPr>
          <w:p w:rsidR="00AD62B5" w:rsidRPr="00EB24D9" w:rsidRDefault="00AD62B5" w:rsidP="00A16456">
            <w:pPr>
              <w:autoSpaceDE w:val="0"/>
              <w:autoSpaceDN w:val="0"/>
              <w:adjustRightInd w:val="0"/>
              <w:spacing w:before="120" w:after="120" w:line="240" w:lineRule="auto"/>
              <w:jc w:val="center"/>
              <w:rPr>
                <w:rFonts w:cs="Arial"/>
                <w:szCs w:val="22"/>
              </w:rPr>
            </w:pPr>
            <w:r w:rsidRPr="00EB24D9">
              <w:rPr>
                <w:rFonts w:cs="Arial"/>
                <w:szCs w:val="22"/>
              </w:rPr>
              <w:t>Negativa</w:t>
            </w:r>
          </w:p>
        </w:tc>
        <w:tc>
          <w:tcPr>
            <w:tcW w:w="1213" w:type="dxa"/>
            <w:shd w:val="clear" w:color="auto" w:fill="auto"/>
            <w:vAlign w:val="center"/>
          </w:tcPr>
          <w:p w:rsidR="00AD62B5" w:rsidRPr="00EB24D9" w:rsidRDefault="00AD62B5" w:rsidP="00A16456">
            <w:pPr>
              <w:autoSpaceDE w:val="0"/>
              <w:autoSpaceDN w:val="0"/>
              <w:adjustRightInd w:val="0"/>
              <w:spacing w:before="120" w:after="120" w:line="240" w:lineRule="auto"/>
              <w:jc w:val="center"/>
              <w:rPr>
                <w:rFonts w:cs="Arial"/>
                <w:szCs w:val="22"/>
              </w:rPr>
            </w:pPr>
            <w:r w:rsidRPr="00EB24D9">
              <w:rPr>
                <w:rFonts w:cs="Arial"/>
                <w:szCs w:val="22"/>
              </w:rPr>
              <w:t>Direta</w:t>
            </w:r>
          </w:p>
        </w:tc>
        <w:tc>
          <w:tcPr>
            <w:tcW w:w="1843" w:type="dxa"/>
            <w:shd w:val="clear" w:color="auto" w:fill="auto"/>
            <w:vAlign w:val="center"/>
          </w:tcPr>
          <w:p w:rsidR="00AD62B5" w:rsidRPr="00EB24D9" w:rsidRDefault="00AD62B5" w:rsidP="00A16456">
            <w:pPr>
              <w:autoSpaceDE w:val="0"/>
              <w:autoSpaceDN w:val="0"/>
              <w:adjustRightInd w:val="0"/>
              <w:spacing w:before="120" w:after="120" w:line="240" w:lineRule="auto"/>
              <w:jc w:val="center"/>
              <w:rPr>
                <w:rFonts w:cs="Arial"/>
                <w:szCs w:val="22"/>
              </w:rPr>
            </w:pPr>
            <w:r w:rsidRPr="00EB24D9">
              <w:rPr>
                <w:rFonts w:cs="Arial"/>
                <w:szCs w:val="22"/>
              </w:rPr>
              <w:t>Local (ADA/AID)</w:t>
            </w:r>
          </w:p>
        </w:tc>
        <w:tc>
          <w:tcPr>
            <w:tcW w:w="1701" w:type="dxa"/>
            <w:shd w:val="clear" w:color="auto" w:fill="auto"/>
            <w:vAlign w:val="center"/>
          </w:tcPr>
          <w:p w:rsidR="00AD62B5" w:rsidRPr="00EB24D9" w:rsidRDefault="00AD62B5" w:rsidP="00A16456">
            <w:pPr>
              <w:autoSpaceDE w:val="0"/>
              <w:autoSpaceDN w:val="0"/>
              <w:adjustRightInd w:val="0"/>
              <w:spacing w:before="120" w:after="120" w:line="240" w:lineRule="auto"/>
              <w:jc w:val="center"/>
              <w:rPr>
                <w:rFonts w:cs="Arial"/>
                <w:szCs w:val="22"/>
              </w:rPr>
            </w:pPr>
            <w:r w:rsidRPr="00EB24D9">
              <w:rPr>
                <w:rFonts w:cs="Arial"/>
                <w:szCs w:val="22"/>
              </w:rPr>
              <w:t>Temporária</w:t>
            </w:r>
          </w:p>
        </w:tc>
        <w:tc>
          <w:tcPr>
            <w:tcW w:w="3274" w:type="dxa"/>
            <w:shd w:val="clear" w:color="auto" w:fill="auto"/>
            <w:vAlign w:val="center"/>
          </w:tcPr>
          <w:p w:rsidR="00AD62B5" w:rsidRPr="00EB24D9" w:rsidRDefault="00AD62B5" w:rsidP="00A16456">
            <w:pPr>
              <w:autoSpaceDE w:val="0"/>
              <w:autoSpaceDN w:val="0"/>
              <w:adjustRightInd w:val="0"/>
              <w:spacing w:before="120" w:after="120" w:line="240" w:lineRule="auto"/>
              <w:jc w:val="center"/>
              <w:rPr>
                <w:rFonts w:cs="Arial"/>
                <w:szCs w:val="22"/>
              </w:rPr>
            </w:pPr>
            <w:r w:rsidRPr="00EB24D9">
              <w:rPr>
                <w:rFonts w:cs="Arial"/>
                <w:szCs w:val="22"/>
              </w:rPr>
              <w:t>Certa</w:t>
            </w:r>
          </w:p>
        </w:tc>
      </w:tr>
    </w:tbl>
    <w:p w:rsidR="00AD62B5" w:rsidRPr="00EB24D9" w:rsidRDefault="00AD62B5" w:rsidP="00A16456">
      <w:pPr>
        <w:autoSpaceDE w:val="0"/>
        <w:autoSpaceDN w:val="0"/>
        <w:adjustRightInd w:val="0"/>
        <w:spacing w:line="240" w:lineRule="auto"/>
        <w:jc w:val="center"/>
        <w:rPr>
          <w:rFonts w:cs="Arial"/>
          <w:szCs w:val="22"/>
        </w:rPr>
      </w:pPr>
    </w:p>
    <w:tbl>
      <w:tblPr>
        <w:tblW w:w="0" w:type="auto"/>
        <w:jc w:val="center"/>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3"/>
        <w:gridCol w:w="1843"/>
        <w:gridCol w:w="1678"/>
        <w:gridCol w:w="1621"/>
        <w:gridCol w:w="1622"/>
      </w:tblGrid>
      <w:tr w:rsidR="00AD62B5" w:rsidRPr="00EB24D9" w:rsidTr="00A16456">
        <w:trPr>
          <w:trHeight w:val="397"/>
          <w:jc w:val="center"/>
        </w:trPr>
        <w:tc>
          <w:tcPr>
            <w:tcW w:w="2513" w:type="dxa"/>
            <w:shd w:val="clear" w:color="auto" w:fill="D9D9D9"/>
            <w:vAlign w:val="center"/>
          </w:tcPr>
          <w:p w:rsidR="00AD62B5" w:rsidRPr="00EB24D9" w:rsidRDefault="00AD62B5" w:rsidP="00A16456">
            <w:pPr>
              <w:autoSpaceDE w:val="0"/>
              <w:autoSpaceDN w:val="0"/>
              <w:adjustRightInd w:val="0"/>
              <w:spacing w:before="120" w:after="120" w:line="240" w:lineRule="auto"/>
              <w:jc w:val="center"/>
              <w:rPr>
                <w:rFonts w:cs="Arial"/>
                <w:b/>
                <w:szCs w:val="22"/>
              </w:rPr>
            </w:pPr>
            <w:r w:rsidRPr="00EB24D9">
              <w:rPr>
                <w:rFonts w:cs="Arial"/>
                <w:b/>
                <w:szCs w:val="22"/>
              </w:rPr>
              <w:t>Época de Ocorrência</w:t>
            </w:r>
          </w:p>
        </w:tc>
        <w:tc>
          <w:tcPr>
            <w:tcW w:w="1843" w:type="dxa"/>
            <w:shd w:val="clear" w:color="auto" w:fill="D9D9D9"/>
            <w:vAlign w:val="center"/>
          </w:tcPr>
          <w:p w:rsidR="00AD62B5" w:rsidRPr="00EB24D9" w:rsidRDefault="00AD62B5" w:rsidP="00A16456">
            <w:pPr>
              <w:autoSpaceDE w:val="0"/>
              <w:autoSpaceDN w:val="0"/>
              <w:adjustRightInd w:val="0"/>
              <w:spacing w:before="120" w:after="120" w:line="240" w:lineRule="auto"/>
              <w:jc w:val="center"/>
              <w:rPr>
                <w:rFonts w:cs="Arial"/>
                <w:b/>
                <w:szCs w:val="22"/>
              </w:rPr>
            </w:pPr>
            <w:r w:rsidRPr="00EB24D9">
              <w:rPr>
                <w:rFonts w:cs="Arial"/>
                <w:b/>
                <w:szCs w:val="22"/>
              </w:rPr>
              <w:t>Reversibilidade</w:t>
            </w:r>
          </w:p>
        </w:tc>
        <w:tc>
          <w:tcPr>
            <w:tcW w:w="1678" w:type="dxa"/>
            <w:shd w:val="clear" w:color="auto" w:fill="D9D9D9"/>
            <w:vAlign w:val="center"/>
          </w:tcPr>
          <w:p w:rsidR="00AD62B5" w:rsidRPr="00EB24D9" w:rsidRDefault="00AD62B5" w:rsidP="00A16456">
            <w:pPr>
              <w:autoSpaceDE w:val="0"/>
              <w:autoSpaceDN w:val="0"/>
              <w:adjustRightInd w:val="0"/>
              <w:spacing w:before="120" w:after="120" w:line="240" w:lineRule="auto"/>
              <w:jc w:val="center"/>
              <w:rPr>
                <w:rFonts w:cs="Arial"/>
                <w:b/>
                <w:szCs w:val="22"/>
              </w:rPr>
            </w:pPr>
            <w:r w:rsidRPr="00EB24D9">
              <w:rPr>
                <w:rFonts w:cs="Arial"/>
                <w:b/>
                <w:szCs w:val="22"/>
              </w:rPr>
              <w:t>Magnitude</w:t>
            </w:r>
          </w:p>
        </w:tc>
        <w:tc>
          <w:tcPr>
            <w:tcW w:w="1621" w:type="dxa"/>
            <w:shd w:val="clear" w:color="auto" w:fill="D9D9D9"/>
            <w:vAlign w:val="center"/>
          </w:tcPr>
          <w:p w:rsidR="00AD62B5" w:rsidRPr="00EB24D9" w:rsidRDefault="00AD62B5" w:rsidP="00A16456">
            <w:pPr>
              <w:autoSpaceDE w:val="0"/>
              <w:autoSpaceDN w:val="0"/>
              <w:adjustRightInd w:val="0"/>
              <w:spacing w:before="120" w:after="120" w:line="240" w:lineRule="auto"/>
              <w:jc w:val="center"/>
              <w:rPr>
                <w:rFonts w:cs="Arial"/>
                <w:b/>
                <w:szCs w:val="22"/>
              </w:rPr>
            </w:pPr>
            <w:r w:rsidRPr="00EB24D9">
              <w:rPr>
                <w:rFonts w:cs="Arial"/>
                <w:b/>
                <w:szCs w:val="22"/>
              </w:rPr>
              <w:t>Importância</w:t>
            </w:r>
          </w:p>
        </w:tc>
        <w:tc>
          <w:tcPr>
            <w:tcW w:w="1622" w:type="dxa"/>
            <w:shd w:val="clear" w:color="auto" w:fill="D9D9D9"/>
            <w:vAlign w:val="center"/>
          </w:tcPr>
          <w:p w:rsidR="00AD62B5" w:rsidRPr="00EB24D9" w:rsidRDefault="00AD62B5" w:rsidP="00A16456">
            <w:pPr>
              <w:autoSpaceDE w:val="0"/>
              <w:autoSpaceDN w:val="0"/>
              <w:adjustRightInd w:val="0"/>
              <w:spacing w:before="120" w:after="120" w:line="240" w:lineRule="auto"/>
              <w:jc w:val="center"/>
              <w:rPr>
                <w:rFonts w:cs="Arial"/>
                <w:b/>
                <w:szCs w:val="22"/>
              </w:rPr>
            </w:pPr>
            <w:r w:rsidRPr="00EB24D9">
              <w:rPr>
                <w:rFonts w:cs="Arial"/>
                <w:b/>
                <w:szCs w:val="22"/>
              </w:rPr>
              <w:t>Mitigação</w:t>
            </w:r>
          </w:p>
        </w:tc>
      </w:tr>
      <w:tr w:rsidR="00AD62B5" w:rsidRPr="00EB24D9" w:rsidTr="00A16456">
        <w:trPr>
          <w:jc w:val="center"/>
        </w:trPr>
        <w:tc>
          <w:tcPr>
            <w:tcW w:w="2513" w:type="dxa"/>
            <w:shd w:val="clear" w:color="auto" w:fill="auto"/>
            <w:vAlign w:val="center"/>
          </w:tcPr>
          <w:p w:rsidR="00AD62B5" w:rsidRPr="00EB24D9" w:rsidRDefault="00AD62B5" w:rsidP="00A16456">
            <w:pPr>
              <w:autoSpaceDE w:val="0"/>
              <w:autoSpaceDN w:val="0"/>
              <w:adjustRightInd w:val="0"/>
              <w:spacing w:before="120" w:after="120" w:line="240" w:lineRule="auto"/>
              <w:jc w:val="center"/>
              <w:rPr>
                <w:rFonts w:cs="Arial"/>
                <w:szCs w:val="22"/>
              </w:rPr>
            </w:pPr>
            <w:r w:rsidRPr="00EB24D9">
              <w:rPr>
                <w:rFonts w:cs="Arial"/>
                <w:szCs w:val="22"/>
              </w:rPr>
              <w:t>Curto Prazo</w:t>
            </w:r>
          </w:p>
        </w:tc>
        <w:tc>
          <w:tcPr>
            <w:tcW w:w="1843" w:type="dxa"/>
            <w:shd w:val="clear" w:color="auto" w:fill="auto"/>
            <w:vAlign w:val="center"/>
          </w:tcPr>
          <w:p w:rsidR="00AD62B5" w:rsidRPr="00EB24D9" w:rsidRDefault="00AD62B5" w:rsidP="00A16456">
            <w:pPr>
              <w:autoSpaceDE w:val="0"/>
              <w:autoSpaceDN w:val="0"/>
              <w:adjustRightInd w:val="0"/>
              <w:spacing w:before="120" w:after="120" w:line="240" w:lineRule="auto"/>
              <w:jc w:val="center"/>
              <w:rPr>
                <w:rFonts w:cs="Arial"/>
                <w:szCs w:val="22"/>
              </w:rPr>
            </w:pPr>
            <w:r w:rsidRPr="00EB24D9">
              <w:rPr>
                <w:rFonts w:cs="Arial"/>
                <w:szCs w:val="22"/>
              </w:rPr>
              <w:t>Reversível</w:t>
            </w:r>
          </w:p>
        </w:tc>
        <w:tc>
          <w:tcPr>
            <w:tcW w:w="1678" w:type="dxa"/>
            <w:shd w:val="clear" w:color="auto" w:fill="auto"/>
            <w:vAlign w:val="center"/>
          </w:tcPr>
          <w:p w:rsidR="00AD62B5" w:rsidRPr="00EB24D9" w:rsidRDefault="00AD62B5" w:rsidP="00A16456">
            <w:pPr>
              <w:autoSpaceDE w:val="0"/>
              <w:autoSpaceDN w:val="0"/>
              <w:adjustRightInd w:val="0"/>
              <w:spacing w:before="120" w:after="120" w:line="240" w:lineRule="auto"/>
              <w:jc w:val="center"/>
              <w:rPr>
                <w:rFonts w:cs="Arial"/>
                <w:szCs w:val="22"/>
              </w:rPr>
            </w:pPr>
            <w:r w:rsidRPr="00EB24D9">
              <w:rPr>
                <w:rFonts w:cs="Arial"/>
                <w:szCs w:val="22"/>
              </w:rPr>
              <w:t>Pequena</w:t>
            </w:r>
          </w:p>
        </w:tc>
        <w:tc>
          <w:tcPr>
            <w:tcW w:w="1621" w:type="dxa"/>
            <w:shd w:val="clear" w:color="auto" w:fill="auto"/>
            <w:vAlign w:val="center"/>
          </w:tcPr>
          <w:p w:rsidR="00AD62B5" w:rsidRPr="00EB24D9" w:rsidRDefault="00AD62B5" w:rsidP="00A16456">
            <w:pPr>
              <w:autoSpaceDE w:val="0"/>
              <w:autoSpaceDN w:val="0"/>
              <w:adjustRightInd w:val="0"/>
              <w:spacing w:before="120" w:after="120" w:line="240" w:lineRule="auto"/>
              <w:jc w:val="center"/>
              <w:rPr>
                <w:rFonts w:cs="Arial"/>
                <w:szCs w:val="22"/>
              </w:rPr>
            </w:pPr>
            <w:r w:rsidRPr="00EB24D9">
              <w:rPr>
                <w:rFonts w:cs="Arial"/>
                <w:szCs w:val="22"/>
              </w:rPr>
              <w:t>Média</w:t>
            </w:r>
          </w:p>
        </w:tc>
        <w:tc>
          <w:tcPr>
            <w:tcW w:w="1622" w:type="dxa"/>
            <w:shd w:val="clear" w:color="auto" w:fill="auto"/>
            <w:vAlign w:val="center"/>
          </w:tcPr>
          <w:p w:rsidR="00AD62B5" w:rsidRPr="00EB24D9" w:rsidRDefault="00AD62B5" w:rsidP="00A16456">
            <w:pPr>
              <w:autoSpaceDE w:val="0"/>
              <w:autoSpaceDN w:val="0"/>
              <w:adjustRightInd w:val="0"/>
              <w:spacing w:before="120" w:after="120" w:line="240" w:lineRule="auto"/>
              <w:jc w:val="center"/>
              <w:rPr>
                <w:rFonts w:cs="Arial"/>
                <w:szCs w:val="22"/>
              </w:rPr>
            </w:pPr>
            <w:r w:rsidRPr="00EB24D9">
              <w:rPr>
                <w:rFonts w:cs="Arial"/>
                <w:szCs w:val="22"/>
              </w:rPr>
              <w:t>Não Mitigável</w:t>
            </w:r>
          </w:p>
        </w:tc>
      </w:tr>
    </w:tbl>
    <w:p w:rsidR="00AD62B5" w:rsidRPr="00A16456" w:rsidRDefault="00AD62B5" w:rsidP="00A211FE">
      <w:pPr>
        <w:autoSpaceDE w:val="0"/>
        <w:autoSpaceDN w:val="0"/>
        <w:adjustRightInd w:val="0"/>
        <w:spacing w:line="240" w:lineRule="auto"/>
        <w:rPr>
          <w:rFonts w:cs="Arial"/>
          <w:bCs/>
          <w:szCs w:val="22"/>
        </w:rPr>
      </w:pPr>
    </w:p>
    <w:p w:rsidR="00AD62B5" w:rsidRPr="00ED16DB" w:rsidRDefault="00AD62B5" w:rsidP="00A16456">
      <w:pPr>
        <w:spacing w:before="120" w:after="120" w:line="240" w:lineRule="auto"/>
        <w:rPr>
          <w:b/>
        </w:rPr>
      </w:pPr>
      <w:r w:rsidRPr="00ED16DB">
        <w:rPr>
          <w:b/>
        </w:rPr>
        <w:t>Ações Ambientais Propostas</w:t>
      </w:r>
    </w:p>
    <w:p w:rsidR="00ED16DB" w:rsidRDefault="00ED16DB" w:rsidP="00ED16DB">
      <w:pPr>
        <w:spacing w:before="120" w:after="120" w:line="240" w:lineRule="auto"/>
        <w:rPr>
          <w:rFonts w:cs="Arial"/>
        </w:rPr>
      </w:pPr>
      <w:r w:rsidRPr="00131CFA">
        <w:rPr>
          <w:rFonts w:cs="Arial"/>
          <w:szCs w:val="22"/>
        </w:rPr>
        <w:t xml:space="preserve">Estes efeitos devem ser atenuados/minimizados através da implantação do Programa de Controle Ambiental da Obra </w:t>
      </w:r>
      <w:r>
        <w:rPr>
          <w:rFonts w:cs="Arial"/>
          <w:szCs w:val="22"/>
        </w:rPr>
        <w:t xml:space="preserve">- </w:t>
      </w:r>
      <w:r w:rsidRPr="00ED16DB">
        <w:rPr>
          <w:rFonts w:cs="Arial"/>
        </w:rPr>
        <w:t>Emissão de Ruído</w:t>
      </w:r>
      <w:r>
        <w:rPr>
          <w:rFonts w:cs="Arial"/>
        </w:rPr>
        <w:t>.</w:t>
      </w:r>
    </w:p>
    <w:p w:rsidR="00C64127" w:rsidRDefault="00C64127" w:rsidP="00ED16DB">
      <w:pPr>
        <w:spacing w:before="120" w:after="120" w:line="240" w:lineRule="auto"/>
        <w:rPr>
          <w:rFonts w:cs="Arial"/>
          <w:szCs w:val="22"/>
        </w:rPr>
      </w:pPr>
      <w:r>
        <w:rPr>
          <w:rFonts w:cs="Arial"/>
          <w:szCs w:val="22"/>
        </w:rPr>
        <w:br w:type="page"/>
      </w:r>
    </w:p>
    <w:p w:rsidR="00973BCF" w:rsidRPr="00C64127" w:rsidRDefault="00A71868" w:rsidP="002E2454">
      <w:pPr>
        <w:pStyle w:val="Ttulo3"/>
        <w:spacing w:after="240"/>
      </w:pPr>
      <w:bookmarkStart w:id="135" w:name="_Toc418758206"/>
      <w:bookmarkStart w:id="136" w:name="_Toc418758808"/>
      <w:bookmarkStart w:id="137" w:name="_Toc419813573"/>
      <w:r w:rsidRPr="00C64127">
        <w:lastRenderedPageBreak/>
        <w:t>1.3.1.</w:t>
      </w:r>
      <w:r w:rsidR="00973BCF" w:rsidRPr="00C64127">
        <w:t>4. Emissão de Gases de Efeito Estufa</w:t>
      </w:r>
      <w:bookmarkEnd w:id="135"/>
      <w:bookmarkEnd w:id="136"/>
      <w:bookmarkEnd w:id="137"/>
    </w:p>
    <w:p w:rsidR="00ED16DB" w:rsidRPr="00DD4EE8" w:rsidRDefault="00ED16DB" w:rsidP="00ED16DB">
      <w:pPr>
        <w:tabs>
          <w:tab w:val="num" w:pos="720"/>
        </w:tabs>
        <w:autoSpaceDE w:val="0"/>
        <w:autoSpaceDN w:val="0"/>
        <w:adjustRightInd w:val="0"/>
        <w:spacing w:before="120" w:after="120" w:line="240" w:lineRule="auto"/>
        <w:rPr>
          <w:rFonts w:cs="Arial"/>
          <w:b/>
          <w:szCs w:val="22"/>
        </w:rPr>
      </w:pPr>
      <w:r>
        <w:rPr>
          <w:rFonts w:cs="Arial"/>
          <w:b/>
          <w:szCs w:val="22"/>
        </w:rPr>
        <w:t>Fase: Implantação</w:t>
      </w:r>
      <w:r w:rsidRPr="00DD4EE8">
        <w:rPr>
          <w:rFonts w:cs="Arial"/>
          <w:b/>
          <w:szCs w:val="22"/>
        </w:rPr>
        <w:t xml:space="preserve"> </w:t>
      </w:r>
      <w:r w:rsidR="00B4091F">
        <w:rPr>
          <w:rFonts w:cs="Arial"/>
          <w:b/>
          <w:szCs w:val="22"/>
        </w:rPr>
        <w:t>e Operação</w:t>
      </w:r>
    </w:p>
    <w:p w:rsidR="00ED16DB" w:rsidRPr="00ED16DB" w:rsidRDefault="00ED16DB" w:rsidP="00ED16DB">
      <w:pPr>
        <w:spacing w:before="120" w:after="120" w:line="240" w:lineRule="auto"/>
      </w:pPr>
      <w:r w:rsidRPr="00ED16DB">
        <w:t>O impacto em</w:t>
      </w:r>
      <w:r>
        <w:t xml:space="preserve"> questão deverá ocorrer na</w:t>
      </w:r>
      <w:r w:rsidRPr="00ED16DB">
        <w:t xml:space="preserve"> implantação </w:t>
      </w:r>
      <w:r>
        <w:t xml:space="preserve">das Barragens, após o </w:t>
      </w:r>
      <w:r w:rsidRPr="00ED16DB">
        <w:t xml:space="preserve">enchimento dos reservatórios, sendo gerado pela elevação do nível d’água para operação dos Reservatórios.  </w:t>
      </w:r>
    </w:p>
    <w:p w:rsidR="00ED16DB" w:rsidRPr="00ED16DB" w:rsidRDefault="00ED16DB" w:rsidP="00ED16DB">
      <w:pPr>
        <w:spacing w:before="120" w:after="120" w:line="240" w:lineRule="auto"/>
      </w:pPr>
      <w:r>
        <w:t>O metano n</w:t>
      </w:r>
      <w:r w:rsidRPr="00ED16DB">
        <w:t>os reservatórios é produzido principalmente por bactérias (aeróbica e anaeróbica) de material orgânico resultantes da decomposição subaquática do carbono existente na matéria orgânica proveniente da própria região inundada (autóctone) ou transportada de regiões vizinhas (alóctone). O gás (CO</w:t>
      </w:r>
      <w:r w:rsidRPr="00ED16DB">
        <w:rPr>
          <w:vertAlign w:val="subscript"/>
        </w:rPr>
        <w:t>2</w:t>
      </w:r>
      <w:r w:rsidRPr="00ED16DB">
        <w:t>, CH</w:t>
      </w:r>
      <w:r w:rsidRPr="00ED16DB">
        <w:rPr>
          <w:vertAlign w:val="subscript"/>
        </w:rPr>
        <w:t>4</w:t>
      </w:r>
      <w:r w:rsidRPr="00ED16DB">
        <w:t xml:space="preserve"> e N</w:t>
      </w:r>
      <w:r w:rsidRPr="00ED16DB">
        <w:rPr>
          <w:vertAlign w:val="subscript"/>
        </w:rPr>
        <w:t>2</w:t>
      </w:r>
      <w:r w:rsidRPr="00ED16DB">
        <w:t xml:space="preserve">) permanece dissolvido na água, principalmente nas camadas mais profundas do lago e escapa para a atmosfera quando passa pelas </w:t>
      </w:r>
      <w:r>
        <w:t xml:space="preserve">válvulas reguladoras, </w:t>
      </w:r>
      <w:r w:rsidRPr="00ED16DB">
        <w:t xml:space="preserve">pelo vertedouro da </w:t>
      </w:r>
      <w:r w:rsidR="00A211FE">
        <w:t>barragem e pelas turbinas (uma vez implantas)</w:t>
      </w:r>
      <w:r w:rsidRPr="00ED16DB">
        <w:t>.</w:t>
      </w:r>
    </w:p>
    <w:p w:rsidR="00451E90" w:rsidRPr="00311919" w:rsidRDefault="00ED16DB" w:rsidP="00ED16DB">
      <w:pPr>
        <w:spacing w:before="120" w:after="120" w:line="240" w:lineRule="auto"/>
      </w:pPr>
      <w:r w:rsidRPr="00ED16DB">
        <w:t>O principal efeito do impacto aqui descrito é a possível contribuição para o efeito estufa do planeta</w:t>
      </w:r>
      <w:r w:rsidR="00B4091F">
        <w:t>.</w:t>
      </w:r>
    </w:p>
    <w:p w:rsidR="006F4DA4" w:rsidRPr="002E2454" w:rsidRDefault="002E2454" w:rsidP="002E2454">
      <w:pPr>
        <w:pStyle w:val="Legenda"/>
        <w:spacing w:before="0" w:after="0" w:line="240" w:lineRule="auto"/>
        <w:jc w:val="center"/>
        <w:rPr>
          <w:rFonts w:cs="Arial"/>
          <w:b w:val="0"/>
          <w:bCs/>
          <w:i w:val="0"/>
          <w:szCs w:val="22"/>
        </w:rPr>
      </w:pPr>
      <w:bookmarkStart w:id="138" w:name="_Toc420316447"/>
      <w:r w:rsidRPr="002E2454">
        <w:rPr>
          <w:i w:val="0"/>
        </w:rPr>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1.3</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4</w:t>
      </w:r>
      <w:r w:rsidR="00B80A05">
        <w:rPr>
          <w:i w:val="0"/>
        </w:rPr>
        <w:fldChar w:fldCharType="end"/>
      </w:r>
      <w:r w:rsidRPr="002E2454">
        <w:rPr>
          <w:i w:val="0"/>
        </w:rPr>
        <w:t>.</w:t>
      </w:r>
      <w:r w:rsidRPr="002E2454">
        <w:rPr>
          <w:b w:val="0"/>
          <w:i w:val="0"/>
        </w:rPr>
        <w:t xml:space="preserve"> - </w:t>
      </w:r>
      <w:r w:rsidR="00ED16DB" w:rsidRPr="002E2454">
        <w:rPr>
          <w:rFonts w:cs="Arial"/>
          <w:b w:val="0"/>
          <w:bCs/>
          <w:i w:val="0"/>
          <w:szCs w:val="22"/>
        </w:rPr>
        <w:t>Caracterização do Impacto – Emissão de Gases Efeito Estufa</w:t>
      </w:r>
      <w:bookmarkEnd w:id="138"/>
    </w:p>
    <w:p w:rsidR="00ED16DB" w:rsidRDefault="006F4DA4" w:rsidP="002E2454">
      <w:pPr>
        <w:autoSpaceDE w:val="0"/>
        <w:autoSpaceDN w:val="0"/>
        <w:adjustRightInd w:val="0"/>
        <w:spacing w:line="240" w:lineRule="auto"/>
        <w:jc w:val="center"/>
        <w:rPr>
          <w:rFonts w:cs="Arial"/>
          <w:bCs/>
          <w:szCs w:val="22"/>
        </w:rPr>
      </w:pPr>
      <w:r w:rsidRPr="002E2454">
        <w:rPr>
          <w:rFonts w:cs="Arial"/>
          <w:bCs/>
          <w:szCs w:val="22"/>
        </w:rPr>
        <w:t>Barragens Pedreira e Duas Pontes</w:t>
      </w:r>
    </w:p>
    <w:p w:rsidR="002E2454" w:rsidRPr="002E2454" w:rsidRDefault="002E2454" w:rsidP="002E2454">
      <w:pPr>
        <w:autoSpaceDE w:val="0"/>
        <w:autoSpaceDN w:val="0"/>
        <w:adjustRightInd w:val="0"/>
        <w:spacing w:line="240" w:lineRule="auto"/>
        <w:jc w:val="center"/>
        <w:rPr>
          <w:rFonts w:cs="Arial"/>
          <w:bCs/>
          <w:szCs w:val="22"/>
        </w:rPr>
      </w:pPr>
    </w:p>
    <w:tbl>
      <w:tblPr>
        <w:tblW w:w="0" w:type="auto"/>
        <w:jc w:val="center"/>
        <w:tblInd w:w="-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0"/>
        <w:gridCol w:w="972"/>
        <w:gridCol w:w="1795"/>
        <w:gridCol w:w="1417"/>
        <w:gridCol w:w="3051"/>
      </w:tblGrid>
      <w:tr w:rsidR="00ED16DB" w:rsidRPr="00A211FE" w:rsidTr="00A211FE">
        <w:trPr>
          <w:trHeight w:val="397"/>
          <w:jc w:val="center"/>
        </w:trPr>
        <w:tc>
          <w:tcPr>
            <w:tcW w:w="1220" w:type="dxa"/>
            <w:shd w:val="clear" w:color="auto" w:fill="D9D9D9"/>
            <w:vAlign w:val="center"/>
          </w:tcPr>
          <w:p w:rsidR="00ED16DB" w:rsidRPr="00A211FE" w:rsidRDefault="00ED16DB" w:rsidP="00A211FE">
            <w:pPr>
              <w:autoSpaceDE w:val="0"/>
              <w:autoSpaceDN w:val="0"/>
              <w:adjustRightInd w:val="0"/>
              <w:spacing w:before="120" w:after="120" w:line="240" w:lineRule="auto"/>
              <w:jc w:val="center"/>
              <w:rPr>
                <w:rFonts w:cs="Arial"/>
                <w:b/>
                <w:sz w:val="20"/>
              </w:rPr>
            </w:pPr>
            <w:r w:rsidRPr="00A211FE">
              <w:rPr>
                <w:rFonts w:cs="Arial"/>
                <w:b/>
                <w:sz w:val="20"/>
              </w:rPr>
              <w:t>Natureza</w:t>
            </w:r>
          </w:p>
        </w:tc>
        <w:tc>
          <w:tcPr>
            <w:tcW w:w="972" w:type="dxa"/>
            <w:shd w:val="clear" w:color="auto" w:fill="D9D9D9"/>
            <w:vAlign w:val="center"/>
          </w:tcPr>
          <w:p w:rsidR="00ED16DB" w:rsidRPr="00A211FE" w:rsidRDefault="00ED16DB" w:rsidP="00A211FE">
            <w:pPr>
              <w:autoSpaceDE w:val="0"/>
              <w:autoSpaceDN w:val="0"/>
              <w:adjustRightInd w:val="0"/>
              <w:spacing w:before="120" w:after="120" w:line="240" w:lineRule="auto"/>
              <w:jc w:val="center"/>
              <w:rPr>
                <w:rFonts w:cs="Arial"/>
                <w:b/>
                <w:sz w:val="20"/>
              </w:rPr>
            </w:pPr>
            <w:r w:rsidRPr="00A211FE">
              <w:rPr>
                <w:rFonts w:cs="Arial"/>
                <w:b/>
                <w:sz w:val="20"/>
              </w:rPr>
              <w:t>Ordem</w:t>
            </w:r>
          </w:p>
        </w:tc>
        <w:tc>
          <w:tcPr>
            <w:tcW w:w="1795" w:type="dxa"/>
            <w:shd w:val="clear" w:color="auto" w:fill="D9D9D9"/>
            <w:vAlign w:val="center"/>
          </w:tcPr>
          <w:p w:rsidR="00ED16DB" w:rsidRPr="00A211FE" w:rsidRDefault="00ED16DB" w:rsidP="00A211FE">
            <w:pPr>
              <w:autoSpaceDE w:val="0"/>
              <w:autoSpaceDN w:val="0"/>
              <w:adjustRightInd w:val="0"/>
              <w:spacing w:before="120" w:after="120" w:line="240" w:lineRule="auto"/>
              <w:jc w:val="center"/>
              <w:rPr>
                <w:rFonts w:cs="Arial"/>
                <w:b/>
                <w:sz w:val="20"/>
              </w:rPr>
            </w:pPr>
            <w:r w:rsidRPr="00A211FE">
              <w:rPr>
                <w:rFonts w:cs="Arial"/>
                <w:b/>
                <w:sz w:val="20"/>
              </w:rPr>
              <w:t>Abrangência</w:t>
            </w:r>
          </w:p>
        </w:tc>
        <w:tc>
          <w:tcPr>
            <w:tcW w:w="1417" w:type="dxa"/>
            <w:shd w:val="clear" w:color="auto" w:fill="D9D9D9"/>
            <w:vAlign w:val="center"/>
          </w:tcPr>
          <w:p w:rsidR="00ED16DB" w:rsidRPr="00A211FE" w:rsidRDefault="00ED16DB" w:rsidP="00A211FE">
            <w:pPr>
              <w:autoSpaceDE w:val="0"/>
              <w:autoSpaceDN w:val="0"/>
              <w:adjustRightInd w:val="0"/>
              <w:spacing w:before="120" w:after="120" w:line="240" w:lineRule="auto"/>
              <w:jc w:val="center"/>
              <w:rPr>
                <w:rFonts w:cs="Arial"/>
                <w:b/>
                <w:sz w:val="20"/>
              </w:rPr>
            </w:pPr>
            <w:r w:rsidRPr="00A211FE">
              <w:rPr>
                <w:rFonts w:cs="Arial"/>
                <w:b/>
                <w:sz w:val="20"/>
              </w:rPr>
              <w:t>Duração</w:t>
            </w:r>
          </w:p>
        </w:tc>
        <w:tc>
          <w:tcPr>
            <w:tcW w:w="3051" w:type="dxa"/>
            <w:shd w:val="clear" w:color="auto" w:fill="D9D9D9"/>
            <w:vAlign w:val="center"/>
          </w:tcPr>
          <w:p w:rsidR="00ED16DB" w:rsidRPr="00A211FE" w:rsidRDefault="00ED16DB" w:rsidP="00A211FE">
            <w:pPr>
              <w:autoSpaceDE w:val="0"/>
              <w:autoSpaceDN w:val="0"/>
              <w:adjustRightInd w:val="0"/>
              <w:spacing w:before="120" w:after="120" w:line="240" w:lineRule="auto"/>
              <w:jc w:val="center"/>
              <w:rPr>
                <w:rFonts w:cs="Arial"/>
                <w:b/>
                <w:sz w:val="20"/>
              </w:rPr>
            </w:pPr>
            <w:r w:rsidRPr="00A211FE">
              <w:rPr>
                <w:rFonts w:cs="Arial"/>
                <w:b/>
                <w:sz w:val="20"/>
              </w:rPr>
              <w:t>Probabilidade de Ocorrência</w:t>
            </w:r>
          </w:p>
        </w:tc>
      </w:tr>
      <w:tr w:rsidR="00ED16DB" w:rsidRPr="00A211FE" w:rsidTr="00A211FE">
        <w:trPr>
          <w:jc w:val="center"/>
        </w:trPr>
        <w:tc>
          <w:tcPr>
            <w:tcW w:w="1220" w:type="dxa"/>
            <w:shd w:val="clear" w:color="auto" w:fill="auto"/>
            <w:vAlign w:val="center"/>
          </w:tcPr>
          <w:p w:rsidR="00ED16DB" w:rsidRPr="00A211FE" w:rsidRDefault="00ED16DB" w:rsidP="00A211FE">
            <w:pPr>
              <w:autoSpaceDE w:val="0"/>
              <w:autoSpaceDN w:val="0"/>
              <w:adjustRightInd w:val="0"/>
              <w:spacing w:before="120" w:after="120" w:line="240" w:lineRule="auto"/>
              <w:jc w:val="center"/>
              <w:rPr>
                <w:rFonts w:cs="Arial"/>
                <w:sz w:val="20"/>
              </w:rPr>
            </w:pPr>
            <w:r w:rsidRPr="00A211FE">
              <w:rPr>
                <w:rFonts w:cs="Arial"/>
                <w:sz w:val="20"/>
              </w:rPr>
              <w:t>Negativa</w:t>
            </w:r>
          </w:p>
        </w:tc>
        <w:tc>
          <w:tcPr>
            <w:tcW w:w="972" w:type="dxa"/>
            <w:shd w:val="clear" w:color="auto" w:fill="auto"/>
            <w:vAlign w:val="center"/>
          </w:tcPr>
          <w:p w:rsidR="00ED16DB" w:rsidRPr="00A211FE" w:rsidRDefault="00ED16DB" w:rsidP="00A211FE">
            <w:pPr>
              <w:autoSpaceDE w:val="0"/>
              <w:autoSpaceDN w:val="0"/>
              <w:adjustRightInd w:val="0"/>
              <w:spacing w:before="120" w:after="120" w:line="240" w:lineRule="auto"/>
              <w:jc w:val="center"/>
              <w:rPr>
                <w:rFonts w:cs="Arial"/>
                <w:sz w:val="20"/>
              </w:rPr>
            </w:pPr>
            <w:r w:rsidRPr="00A211FE">
              <w:rPr>
                <w:rFonts w:cs="Arial"/>
                <w:sz w:val="20"/>
              </w:rPr>
              <w:t>Direta</w:t>
            </w:r>
          </w:p>
        </w:tc>
        <w:tc>
          <w:tcPr>
            <w:tcW w:w="1795" w:type="dxa"/>
            <w:shd w:val="clear" w:color="auto" w:fill="auto"/>
            <w:vAlign w:val="center"/>
          </w:tcPr>
          <w:p w:rsidR="00ED16DB" w:rsidRPr="00A211FE" w:rsidRDefault="00ED16DB" w:rsidP="00A211FE">
            <w:pPr>
              <w:autoSpaceDE w:val="0"/>
              <w:autoSpaceDN w:val="0"/>
              <w:adjustRightInd w:val="0"/>
              <w:spacing w:before="120" w:after="120" w:line="240" w:lineRule="auto"/>
              <w:jc w:val="center"/>
              <w:rPr>
                <w:rFonts w:cs="Arial"/>
                <w:sz w:val="20"/>
              </w:rPr>
            </w:pPr>
            <w:r w:rsidRPr="00A211FE">
              <w:rPr>
                <w:rFonts w:cs="Arial"/>
                <w:sz w:val="20"/>
              </w:rPr>
              <w:t>Local (ADA/AID)</w:t>
            </w:r>
          </w:p>
        </w:tc>
        <w:tc>
          <w:tcPr>
            <w:tcW w:w="1417" w:type="dxa"/>
            <w:shd w:val="clear" w:color="auto" w:fill="auto"/>
            <w:vAlign w:val="center"/>
          </w:tcPr>
          <w:p w:rsidR="00ED16DB" w:rsidRPr="00A211FE" w:rsidRDefault="00ED16DB" w:rsidP="00A211FE">
            <w:pPr>
              <w:autoSpaceDE w:val="0"/>
              <w:autoSpaceDN w:val="0"/>
              <w:adjustRightInd w:val="0"/>
              <w:spacing w:before="120" w:after="120" w:line="240" w:lineRule="auto"/>
              <w:jc w:val="center"/>
              <w:rPr>
                <w:rFonts w:cs="Arial"/>
                <w:sz w:val="20"/>
              </w:rPr>
            </w:pPr>
            <w:r w:rsidRPr="00A211FE">
              <w:rPr>
                <w:rFonts w:cs="Arial"/>
                <w:sz w:val="20"/>
              </w:rPr>
              <w:t>Permanente</w:t>
            </w:r>
          </w:p>
        </w:tc>
        <w:tc>
          <w:tcPr>
            <w:tcW w:w="3051" w:type="dxa"/>
            <w:shd w:val="clear" w:color="auto" w:fill="auto"/>
            <w:vAlign w:val="center"/>
          </w:tcPr>
          <w:p w:rsidR="00ED16DB" w:rsidRPr="00A211FE" w:rsidRDefault="00ED16DB" w:rsidP="00A211FE">
            <w:pPr>
              <w:autoSpaceDE w:val="0"/>
              <w:autoSpaceDN w:val="0"/>
              <w:adjustRightInd w:val="0"/>
              <w:spacing w:before="120" w:after="120" w:line="240" w:lineRule="auto"/>
              <w:jc w:val="center"/>
              <w:rPr>
                <w:rFonts w:cs="Arial"/>
                <w:sz w:val="20"/>
              </w:rPr>
            </w:pPr>
            <w:r w:rsidRPr="00A211FE">
              <w:rPr>
                <w:rFonts w:cs="Arial"/>
                <w:sz w:val="20"/>
              </w:rPr>
              <w:t>Certa</w:t>
            </w:r>
          </w:p>
        </w:tc>
      </w:tr>
    </w:tbl>
    <w:p w:rsidR="00ED16DB" w:rsidRPr="00A211FE" w:rsidRDefault="00ED16DB" w:rsidP="00A211FE">
      <w:pPr>
        <w:autoSpaceDE w:val="0"/>
        <w:autoSpaceDN w:val="0"/>
        <w:adjustRightInd w:val="0"/>
        <w:spacing w:line="240" w:lineRule="auto"/>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ED16DB" w:rsidRPr="00A211FE" w:rsidTr="00144825">
        <w:trPr>
          <w:trHeight w:val="397"/>
          <w:jc w:val="center"/>
        </w:trPr>
        <w:tc>
          <w:tcPr>
            <w:tcW w:w="2329" w:type="dxa"/>
            <w:shd w:val="clear" w:color="auto" w:fill="D9D9D9"/>
            <w:vAlign w:val="center"/>
          </w:tcPr>
          <w:p w:rsidR="00ED16DB" w:rsidRPr="00A211FE" w:rsidRDefault="00ED16DB" w:rsidP="00A211FE">
            <w:pPr>
              <w:autoSpaceDE w:val="0"/>
              <w:autoSpaceDN w:val="0"/>
              <w:adjustRightInd w:val="0"/>
              <w:spacing w:before="120" w:after="120" w:line="240" w:lineRule="auto"/>
              <w:jc w:val="center"/>
              <w:rPr>
                <w:rFonts w:cs="Arial"/>
                <w:b/>
                <w:sz w:val="20"/>
              </w:rPr>
            </w:pPr>
            <w:r w:rsidRPr="00A211FE">
              <w:rPr>
                <w:rFonts w:cs="Arial"/>
                <w:b/>
                <w:sz w:val="20"/>
              </w:rPr>
              <w:t>Época de Ocorrência</w:t>
            </w:r>
          </w:p>
        </w:tc>
        <w:tc>
          <w:tcPr>
            <w:tcW w:w="1796" w:type="dxa"/>
            <w:shd w:val="clear" w:color="auto" w:fill="D9D9D9"/>
            <w:vAlign w:val="center"/>
          </w:tcPr>
          <w:p w:rsidR="00ED16DB" w:rsidRPr="00A211FE" w:rsidRDefault="00ED16DB" w:rsidP="00A211FE">
            <w:pPr>
              <w:autoSpaceDE w:val="0"/>
              <w:autoSpaceDN w:val="0"/>
              <w:adjustRightInd w:val="0"/>
              <w:spacing w:before="120" w:after="120" w:line="240" w:lineRule="auto"/>
              <w:jc w:val="center"/>
              <w:rPr>
                <w:rFonts w:cs="Arial"/>
                <w:b/>
                <w:sz w:val="20"/>
              </w:rPr>
            </w:pPr>
            <w:r w:rsidRPr="00A211FE">
              <w:rPr>
                <w:rFonts w:cs="Arial"/>
                <w:b/>
                <w:sz w:val="20"/>
              </w:rPr>
              <w:t>Reversibilidade</w:t>
            </w:r>
          </w:p>
        </w:tc>
        <w:tc>
          <w:tcPr>
            <w:tcW w:w="1328" w:type="dxa"/>
            <w:shd w:val="clear" w:color="auto" w:fill="D9D9D9"/>
            <w:vAlign w:val="center"/>
          </w:tcPr>
          <w:p w:rsidR="00ED16DB" w:rsidRPr="00A211FE" w:rsidRDefault="00ED16DB" w:rsidP="00A211FE">
            <w:pPr>
              <w:autoSpaceDE w:val="0"/>
              <w:autoSpaceDN w:val="0"/>
              <w:adjustRightInd w:val="0"/>
              <w:spacing w:before="120" w:after="120" w:line="240" w:lineRule="auto"/>
              <w:jc w:val="center"/>
              <w:rPr>
                <w:rFonts w:cs="Arial"/>
                <w:b/>
                <w:sz w:val="20"/>
              </w:rPr>
            </w:pPr>
            <w:r w:rsidRPr="00A211FE">
              <w:rPr>
                <w:rFonts w:cs="Arial"/>
                <w:b/>
                <w:sz w:val="20"/>
              </w:rPr>
              <w:t>Magnitude</w:t>
            </w:r>
          </w:p>
        </w:tc>
        <w:tc>
          <w:tcPr>
            <w:tcW w:w="1461" w:type="dxa"/>
            <w:shd w:val="clear" w:color="auto" w:fill="D9D9D9"/>
            <w:vAlign w:val="center"/>
          </w:tcPr>
          <w:p w:rsidR="00ED16DB" w:rsidRPr="00A211FE" w:rsidRDefault="00ED16DB" w:rsidP="00A211FE">
            <w:pPr>
              <w:autoSpaceDE w:val="0"/>
              <w:autoSpaceDN w:val="0"/>
              <w:adjustRightInd w:val="0"/>
              <w:spacing w:before="120" w:after="120" w:line="240" w:lineRule="auto"/>
              <w:jc w:val="center"/>
              <w:rPr>
                <w:rFonts w:cs="Arial"/>
                <w:b/>
                <w:sz w:val="20"/>
              </w:rPr>
            </w:pPr>
            <w:r w:rsidRPr="00A211FE">
              <w:rPr>
                <w:rFonts w:cs="Arial"/>
                <w:b/>
                <w:sz w:val="20"/>
              </w:rPr>
              <w:t>Importância</w:t>
            </w:r>
          </w:p>
        </w:tc>
        <w:tc>
          <w:tcPr>
            <w:tcW w:w="1539" w:type="dxa"/>
            <w:shd w:val="clear" w:color="auto" w:fill="D9D9D9"/>
            <w:vAlign w:val="center"/>
          </w:tcPr>
          <w:p w:rsidR="00ED16DB" w:rsidRPr="00A211FE" w:rsidRDefault="00ED16DB" w:rsidP="00A211FE">
            <w:pPr>
              <w:autoSpaceDE w:val="0"/>
              <w:autoSpaceDN w:val="0"/>
              <w:adjustRightInd w:val="0"/>
              <w:spacing w:before="120" w:after="120" w:line="240" w:lineRule="auto"/>
              <w:jc w:val="center"/>
              <w:rPr>
                <w:rFonts w:cs="Arial"/>
                <w:b/>
                <w:sz w:val="20"/>
              </w:rPr>
            </w:pPr>
            <w:r w:rsidRPr="00A211FE">
              <w:rPr>
                <w:rFonts w:cs="Arial"/>
                <w:b/>
                <w:sz w:val="20"/>
              </w:rPr>
              <w:t>Mitigação</w:t>
            </w:r>
          </w:p>
        </w:tc>
      </w:tr>
      <w:tr w:rsidR="00ED16DB" w:rsidRPr="00A211FE" w:rsidTr="00144825">
        <w:trPr>
          <w:jc w:val="center"/>
        </w:trPr>
        <w:tc>
          <w:tcPr>
            <w:tcW w:w="2329" w:type="dxa"/>
            <w:shd w:val="clear" w:color="auto" w:fill="auto"/>
            <w:vAlign w:val="center"/>
          </w:tcPr>
          <w:p w:rsidR="00ED16DB" w:rsidRPr="00A211FE" w:rsidRDefault="00ED16DB" w:rsidP="00A211FE">
            <w:pPr>
              <w:autoSpaceDE w:val="0"/>
              <w:autoSpaceDN w:val="0"/>
              <w:adjustRightInd w:val="0"/>
              <w:spacing w:before="120" w:after="120" w:line="240" w:lineRule="auto"/>
              <w:jc w:val="center"/>
              <w:rPr>
                <w:rFonts w:cs="Arial"/>
                <w:sz w:val="20"/>
              </w:rPr>
            </w:pPr>
            <w:r w:rsidRPr="00A211FE">
              <w:rPr>
                <w:rFonts w:cs="Arial"/>
                <w:sz w:val="20"/>
              </w:rPr>
              <w:t>Longo Prazo</w:t>
            </w:r>
          </w:p>
        </w:tc>
        <w:tc>
          <w:tcPr>
            <w:tcW w:w="1796" w:type="dxa"/>
            <w:shd w:val="clear" w:color="auto" w:fill="auto"/>
            <w:vAlign w:val="center"/>
          </w:tcPr>
          <w:p w:rsidR="00ED16DB" w:rsidRPr="00A211FE" w:rsidRDefault="00ED16DB" w:rsidP="00A211FE">
            <w:pPr>
              <w:autoSpaceDE w:val="0"/>
              <w:autoSpaceDN w:val="0"/>
              <w:adjustRightInd w:val="0"/>
              <w:spacing w:before="120" w:after="120" w:line="240" w:lineRule="auto"/>
              <w:jc w:val="center"/>
              <w:rPr>
                <w:rFonts w:cs="Arial"/>
                <w:sz w:val="20"/>
              </w:rPr>
            </w:pPr>
            <w:r w:rsidRPr="00A211FE">
              <w:rPr>
                <w:rFonts w:cs="Arial"/>
                <w:sz w:val="20"/>
              </w:rPr>
              <w:t>Irreversível</w:t>
            </w:r>
          </w:p>
        </w:tc>
        <w:tc>
          <w:tcPr>
            <w:tcW w:w="1328" w:type="dxa"/>
            <w:shd w:val="clear" w:color="auto" w:fill="auto"/>
            <w:vAlign w:val="center"/>
          </w:tcPr>
          <w:p w:rsidR="00ED16DB" w:rsidRPr="0039752B" w:rsidRDefault="00722DCD" w:rsidP="00A211FE">
            <w:pPr>
              <w:autoSpaceDE w:val="0"/>
              <w:autoSpaceDN w:val="0"/>
              <w:adjustRightInd w:val="0"/>
              <w:spacing w:before="120" w:after="120" w:line="240" w:lineRule="auto"/>
              <w:jc w:val="center"/>
              <w:rPr>
                <w:rFonts w:cs="Arial"/>
                <w:sz w:val="20"/>
                <w:highlight w:val="yellow"/>
              </w:rPr>
            </w:pPr>
            <w:r>
              <w:rPr>
                <w:rFonts w:cs="Arial"/>
                <w:sz w:val="20"/>
              </w:rPr>
              <w:t>Pequena</w:t>
            </w:r>
          </w:p>
        </w:tc>
        <w:tc>
          <w:tcPr>
            <w:tcW w:w="1461" w:type="dxa"/>
            <w:shd w:val="clear" w:color="auto" w:fill="auto"/>
            <w:vAlign w:val="center"/>
          </w:tcPr>
          <w:p w:rsidR="00ED16DB" w:rsidRPr="0039752B" w:rsidRDefault="00722DCD" w:rsidP="00A211FE">
            <w:pPr>
              <w:autoSpaceDE w:val="0"/>
              <w:autoSpaceDN w:val="0"/>
              <w:adjustRightInd w:val="0"/>
              <w:spacing w:before="120" w:after="120" w:line="240" w:lineRule="auto"/>
              <w:jc w:val="center"/>
              <w:rPr>
                <w:rFonts w:cs="Arial"/>
                <w:sz w:val="20"/>
              </w:rPr>
            </w:pPr>
            <w:r>
              <w:rPr>
                <w:rFonts w:cs="Arial"/>
                <w:sz w:val="20"/>
              </w:rPr>
              <w:t>Média</w:t>
            </w:r>
          </w:p>
        </w:tc>
        <w:tc>
          <w:tcPr>
            <w:tcW w:w="1539" w:type="dxa"/>
            <w:shd w:val="clear" w:color="auto" w:fill="auto"/>
            <w:vAlign w:val="center"/>
          </w:tcPr>
          <w:p w:rsidR="00ED16DB" w:rsidRPr="00A211FE" w:rsidRDefault="00ED16DB" w:rsidP="00A211FE">
            <w:pPr>
              <w:autoSpaceDE w:val="0"/>
              <w:autoSpaceDN w:val="0"/>
              <w:adjustRightInd w:val="0"/>
              <w:spacing w:before="120" w:after="120" w:line="240" w:lineRule="auto"/>
              <w:jc w:val="center"/>
              <w:rPr>
                <w:rFonts w:cs="Arial"/>
                <w:sz w:val="20"/>
              </w:rPr>
            </w:pPr>
            <w:r w:rsidRPr="00A211FE">
              <w:rPr>
                <w:rFonts w:cs="Arial"/>
                <w:sz w:val="20"/>
              </w:rPr>
              <w:t>Não Mitigável</w:t>
            </w:r>
          </w:p>
        </w:tc>
      </w:tr>
    </w:tbl>
    <w:p w:rsidR="003D2C66" w:rsidRPr="00A16456" w:rsidRDefault="003D2C66" w:rsidP="00A211FE">
      <w:pPr>
        <w:autoSpaceDE w:val="0"/>
        <w:autoSpaceDN w:val="0"/>
        <w:adjustRightInd w:val="0"/>
        <w:spacing w:line="240" w:lineRule="auto"/>
        <w:rPr>
          <w:rFonts w:cs="Arial"/>
          <w:bCs/>
          <w:szCs w:val="22"/>
        </w:rPr>
      </w:pPr>
    </w:p>
    <w:p w:rsidR="00A211FE" w:rsidRPr="00ED16DB" w:rsidRDefault="00A211FE" w:rsidP="00A211FE">
      <w:pPr>
        <w:spacing w:before="120" w:after="120" w:line="240" w:lineRule="auto"/>
        <w:rPr>
          <w:b/>
        </w:rPr>
      </w:pPr>
      <w:r w:rsidRPr="00ED16DB">
        <w:rPr>
          <w:b/>
        </w:rPr>
        <w:t>Ações Ambientais Propostas</w:t>
      </w:r>
    </w:p>
    <w:p w:rsidR="00EC4B92" w:rsidRDefault="00EC4B92" w:rsidP="00EC4B92">
      <w:pPr>
        <w:spacing w:before="120" w:after="120" w:line="240" w:lineRule="auto"/>
      </w:pPr>
      <w:r w:rsidRPr="00EC4B92">
        <w:t>De forma a minimizar os efeitos negativos do impacto aqui identificado recomenda-se</w:t>
      </w:r>
      <w:r>
        <w:t>, como ação preventiva</w:t>
      </w:r>
      <w:r w:rsidRPr="00EC4B92">
        <w:t>,</w:t>
      </w:r>
      <w:r>
        <w:t xml:space="preserve"> a implementação do Programa de Supressão de Vegetação que visa a redução da matéria vegetal a ser afogada, principal fonte de produção de gases de efeito estufa. Também deve ser implementado o Programa de Limpeza do Reservatório como contribuição à redução das fontes de matéria orgânica presentes na área do reservatório.</w:t>
      </w:r>
    </w:p>
    <w:p w:rsidR="00BA57E8" w:rsidRPr="00C64127" w:rsidRDefault="00BA57E8" w:rsidP="002E2454">
      <w:pPr>
        <w:pStyle w:val="Ttulo3"/>
        <w:spacing w:after="240"/>
      </w:pPr>
      <w:bookmarkStart w:id="139" w:name="_Toc418758207"/>
      <w:bookmarkStart w:id="140" w:name="_Toc418758809"/>
      <w:bookmarkStart w:id="141" w:name="_Toc419813574"/>
      <w:r w:rsidRPr="00C64127">
        <w:t xml:space="preserve">1.3.1.5. Alteração do Nível </w:t>
      </w:r>
      <w:r w:rsidR="0039752B" w:rsidRPr="00C64127">
        <w:t>d</w:t>
      </w:r>
      <w:r w:rsidR="002C4586" w:rsidRPr="00C64127">
        <w:t>’</w:t>
      </w:r>
      <w:r w:rsidR="00722DCD" w:rsidRPr="00C64127">
        <w:t>Á</w:t>
      </w:r>
      <w:r w:rsidR="002C4586" w:rsidRPr="00C64127">
        <w:t>gua a Montante da</w:t>
      </w:r>
      <w:r w:rsidRPr="00C64127">
        <w:t>s Barra</w:t>
      </w:r>
      <w:r w:rsidR="002C4586" w:rsidRPr="00C64127">
        <w:t>gens</w:t>
      </w:r>
      <w:bookmarkEnd w:id="139"/>
      <w:bookmarkEnd w:id="140"/>
      <w:bookmarkEnd w:id="141"/>
    </w:p>
    <w:p w:rsidR="00BA57E8" w:rsidRPr="00DD4EE8" w:rsidRDefault="00BA57E8" w:rsidP="00BA57E8">
      <w:pPr>
        <w:tabs>
          <w:tab w:val="num" w:pos="720"/>
        </w:tabs>
        <w:autoSpaceDE w:val="0"/>
        <w:autoSpaceDN w:val="0"/>
        <w:adjustRightInd w:val="0"/>
        <w:spacing w:before="120" w:after="120" w:line="240" w:lineRule="auto"/>
        <w:rPr>
          <w:rFonts w:cs="Arial"/>
          <w:b/>
          <w:szCs w:val="22"/>
        </w:rPr>
      </w:pPr>
      <w:r>
        <w:rPr>
          <w:rFonts w:cs="Arial"/>
          <w:b/>
          <w:szCs w:val="22"/>
        </w:rPr>
        <w:t>Fase: Implantação</w:t>
      </w:r>
      <w:r w:rsidRPr="00DD4EE8">
        <w:rPr>
          <w:rFonts w:cs="Arial"/>
          <w:b/>
          <w:szCs w:val="22"/>
        </w:rPr>
        <w:t xml:space="preserve"> </w:t>
      </w:r>
    </w:p>
    <w:p w:rsidR="00BA57E8" w:rsidRPr="006F4DA4" w:rsidRDefault="00BA57E8" w:rsidP="00BA57E8">
      <w:pPr>
        <w:spacing w:before="120" w:after="120" w:line="240" w:lineRule="auto"/>
        <w:rPr>
          <w:b/>
        </w:rPr>
      </w:pPr>
      <w:r w:rsidRPr="006F4DA4">
        <w:t>A grande alteração será consequência do enchimento dos reservatórios, que será efetuada em duas etapas, conforme detalhado a seguir</w:t>
      </w:r>
      <w:r w:rsidR="00311919">
        <w:t xml:space="preserve"> para cada um dos empreendimentos</w:t>
      </w:r>
      <w:r w:rsidRPr="006F4DA4">
        <w:t>:</w:t>
      </w:r>
    </w:p>
    <w:p w:rsidR="00BA57E8" w:rsidRPr="00C64127" w:rsidRDefault="00BA57E8" w:rsidP="00C64127">
      <w:pPr>
        <w:pStyle w:val="Item-Trainho"/>
        <w:rPr>
          <w:b/>
        </w:rPr>
      </w:pPr>
      <w:r w:rsidRPr="00C64127">
        <w:rPr>
          <w:b/>
        </w:rPr>
        <w:t>Barragem Pedreira</w:t>
      </w:r>
    </w:p>
    <w:p w:rsidR="00BA57E8" w:rsidRPr="006F4DA4" w:rsidRDefault="00BA57E8" w:rsidP="00BA57E8">
      <w:pPr>
        <w:pStyle w:val="Corpodetexto"/>
      </w:pPr>
      <w:r w:rsidRPr="006F4DA4">
        <w:t>Numa primeira etapa de enchimento o reservatório deverá atingir o NA</w:t>
      </w:r>
      <w:r w:rsidR="001D2EEF" w:rsidRPr="006F4DA4">
        <w:t xml:space="preserve"> </w:t>
      </w:r>
      <w:r w:rsidRPr="006F4DA4">
        <w:t>min. previsto (613,00), levando 8 dias até esta cota.</w:t>
      </w:r>
    </w:p>
    <w:p w:rsidR="00BA57E8" w:rsidRPr="006F4DA4" w:rsidRDefault="00BA57E8" w:rsidP="00BA57E8">
      <w:pPr>
        <w:pStyle w:val="Corpodetexto"/>
      </w:pPr>
      <w:r w:rsidRPr="006F4DA4">
        <w:t>Assim, com a hipótese de vazão média do mês de novembro (11,76 m</w:t>
      </w:r>
      <w:r w:rsidRPr="006F4DA4">
        <w:rPr>
          <w:vertAlign w:val="superscript"/>
        </w:rPr>
        <w:t>3</w:t>
      </w:r>
      <w:r w:rsidRPr="006F4DA4">
        <w:t xml:space="preserve">/s), o nível d’água </w:t>
      </w:r>
      <w:r w:rsidR="008C15C3" w:rsidRPr="006F4DA4">
        <w:t>na Barragem</w:t>
      </w:r>
      <w:r w:rsidRPr="006F4DA4">
        <w:t xml:space="preserve"> Pedreira subirá 3,50m por dia até a cota 613,00m (cota NA</w:t>
      </w:r>
      <w:r w:rsidR="001D2EEF" w:rsidRPr="006F4DA4">
        <w:t xml:space="preserve"> </w:t>
      </w:r>
      <w:r w:rsidRPr="006F4DA4">
        <w:t>min.). A partir desta cota, o reservatório subirá apenas 0,45m por dia até atingir a cota do NA</w:t>
      </w:r>
      <w:r w:rsidR="001D2EEF" w:rsidRPr="006F4DA4">
        <w:t xml:space="preserve"> </w:t>
      </w:r>
      <w:r w:rsidRPr="006F4DA4">
        <w:t>máx. normal (637,00m).</w:t>
      </w:r>
    </w:p>
    <w:p w:rsidR="00BA57E8" w:rsidRDefault="00BA57E8" w:rsidP="00BA57E8">
      <w:pPr>
        <w:pStyle w:val="Corpodetexto"/>
      </w:pPr>
      <w:r w:rsidRPr="006F4DA4">
        <w:t>Desta forma, após o grande impacto de elevação dos níveis d’água durante o enchimento, o maior impacto em relação às condições naturais será sentido nos trechos do reservatório mais próximos à barragem, onde os níveis d’água serão mais estáveis que nas condições naturais. Essa permanência dos níveis facilitará outros usos além da extração para consumo, tais como: irrigação, lazer e esportes náuticos, o que pode ser considerado um aspecto positivo.</w:t>
      </w:r>
    </w:p>
    <w:p w:rsidR="00887645" w:rsidRPr="004B289D" w:rsidRDefault="00887645" w:rsidP="00BA57E8">
      <w:pPr>
        <w:pStyle w:val="Corpodetexto"/>
      </w:pPr>
    </w:p>
    <w:p w:rsidR="00BA57E8" w:rsidRPr="00C64127" w:rsidRDefault="00BA57E8" w:rsidP="00C64127">
      <w:pPr>
        <w:pStyle w:val="Item-Trainho"/>
        <w:rPr>
          <w:b/>
        </w:rPr>
      </w:pPr>
      <w:r w:rsidRPr="00C64127">
        <w:rPr>
          <w:b/>
        </w:rPr>
        <w:t>Barragem Duas Pontes</w:t>
      </w:r>
    </w:p>
    <w:p w:rsidR="00FE3DAE" w:rsidRPr="00FE3DAE" w:rsidRDefault="00BA57E8" w:rsidP="00BA57E8">
      <w:pPr>
        <w:pStyle w:val="Corpodetexto"/>
      </w:pPr>
      <w:r>
        <w:t>Numa primeira etapa de enchimento o reservatório deverá atingir o NA</w:t>
      </w:r>
      <w:r w:rsidR="00DB6D30">
        <w:t xml:space="preserve"> </w:t>
      </w:r>
      <w:r>
        <w:t xml:space="preserve">min. previsto (625,00), </w:t>
      </w:r>
      <w:r w:rsidRPr="00FE3DAE">
        <w:t>levando 4 dias até esta cota.</w:t>
      </w:r>
      <w:r w:rsidR="00FA17EF" w:rsidRPr="00FE3DAE">
        <w:t xml:space="preserve"> </w:t>
      </w:r>
    </w:p>
    <w:p w:rsidR="00BA57E8" w:rsidRDefault="00BA57E8" w:rsidP="00BA57E8">
      <w:pPr>
        <w:pStyle w:val="Corpodetexto"/>
      </w:pPr>
      <w:r w:rsidRPr="004C3CF9">
        <w:t>Assim, com a hipótese de vazão</w:t>
      </w:r>
      <w:r>
        <w:t xml:space="preserve"> média do mês de novembro (10,79 m</w:t>
      </w:r>
      <w:r w:rsidRPr="000E6466">
        <w:rPr>
          <w:vertAlign w:val="superscript"/>
        </w:rPr>
        <w:t>3</w:t>
      </w:r>
      <w:r w:rsidR="008C15C3">
        <w:t>/s), o nível d’água na Barragem</w:t>
      </w:r>
      <w:r>
        <w:t xml:space="preserve"> Duas Pontes subirá 3,90m por dia até atingir a cota 625,00m (cota NA</w:t>
      </w:r>
      <w:r w:rsidR="00DB6D30">
        <w:t xml:space="preserve"> </w:t>
      </w:r>
      <w:r>
        <w:t>min.). A partir desta cota, o reservatório subirá apenas 0,26m por dia até atingir a cota do NA</w:t>
      </w:r>
      <w:r w:rsidR="00DB6D30">
        <w:t xml:space="preserve"> </w:t>
      </w:r>
      <w:r>
        <w:t>máx. normal (646,00m).</w:t>
      </w:r>
    </w:p>
    <w:p w:rsidR="00BA57E8" w:rsidRPr="00A96004" w:rsidRDefault="00BA57E8" w:rsidP="00BA57E8">
      <w:pPr>
        <w:pStyle w:val="Corpodetexto"/>
      </w:pPr>
      <w:r w:rsidRPr="00A96004">
        <w:t>O final do reservatório</w:t>
      </w:r>
      <w:r>
        <w:t xml:space="preserve"> no rio Camanducaia</w:t>
      </w:r>
      <w:r w:rsidRPr="00A96004">
        <w:t xml:space="preserve">, onde a elevação </w:t>
      </w:r>
      <w:r>
        <w:t xml:space="preserve">do reservatório </w:t>
      </w:r>
      <w:r w:rsidRPr="00A96004">
        <w:t xml:space="preserve">deixará de ser sentida, está </w:t>
      </w:r>
      <w:r>
        <w:t xml:space="preserve">cerca de </w:t>
      </w:r>
      <w:r w:rsidR="001D07AD">
        <w:t>950</w:t>
      </w:r>
      <w:r>
        <w:t xml:space="preserve">m a jusante da foz do Córrego Mosquito, localizado no Distrito de Arcadas, rio abaixo da </w:t>
      </w:r>
      <w:r w:rsidRPr="00A96004">
        <w:t xml:space="preserve">cidade de </w:t>
      </w:r>
      <w:r>
        <w:t>Amparo.</w:t>
      </w:r>
    </w:p>
    <w:p w:rsidR="00311919" w:rsidRPr="00311919" w:rsidRDefault="00BA57E8" w:rsidP="00BA57E8">
      <w:pPr>
        <w:pStyle w:val="Corpodetexto"/>
        <w:rPr>
          <w:b/>
        </w:rPr>
      </w:pPr>
      <w:r>
        <w:t>Desta forma, após o grande impacto de elevação dos níveis d’água durante o enchimento, o maior impacto em relação às condições naturais será sentido nos trechos do reservatório mais próximos à barragem, onde os níveis d’água serão mais estáveis que nas condições naturais. Essa permanência dos níveis facilitará outros usos além da extração para consumo, tais como: irrigação, lazer e esportes náuticos, o que pode ser considerado um aspecto positivo.</w:t>
      </w:r>
    </w:p>
    <w:p w:rsidR="00BA57E8" w:rsidRDefault="00BA57E8" w:rsidP="00BA57E8">
      <w:pPr>
        <w:pStyle w:val="Corpodetexto"/>
      </w:pPr>
      <w:r>
        <w:t>Em conclusão, este impacto é considerado certo, negativo/positivo, de média magnitude e importância, sendo qualificados em separado impactos derivados deste como</w:t>
      </w:r>
      <w:r w:rsidR="00D1055C">
        <w:t>:</w:t>
      </w:r>
      <w:r>
        <w:t xml:space="preserve"> possibilidade de erosão nas encostas marginais do reservatório, redução de vegetação e da fauna por sobrelevação do nível d’água, alteração da comunidade de peixes, deslocamento compulsório da população rural, entre outros.</w:t>
      </w:r>
    </w:p>
    <w:p w:rsidR="00BA57E8" w:rsidRDefault="00BA57E8" w:rsidP="00BA57E8">
      <w:pPr>
        <w:pStyle w:val="Corpodetexto"/>
      </w:pPr>
      <w:r>
        <w:t xml:space="preserve">A abrangência do impacto deve ocorrer na ADA/AID, no curto prazo, de duração permanente, irreversível e não mitigável. </w:t>
      </w:r>
    </w:p>
    <w:p w:rsidR="006F4DA4" w:rsidRPr="002E2454" w:rsidRDefault="002E2454" w:rsidP="002E2454">
      <w:pPr>
        <w:pStyle w:val="Legenda"/>
        <w:spacing w:before="0" w:after="0" w:line="240" w:lineRule="auto"/>
        <w:jc w:val="center"/>
        <w:rPr>
          <w:rFonts w:cs="Arial"/>
          <w:b w:val="0"/>
          <w:bCs/>
          <w:i w:val="0"/>
          <w:szCs w:val="22"/>
        </w:rPr>
      </w:pPr>
      <w:bookmarkStart w:id="142" w:name="_Toc420316448"/>
      <w:r w:rsidRPr="002E2454">
        <w:rPr>
          <w:i w:val="0"/>
        </w:rPr>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1.3</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5</w:t>
      </w:r>
      <w:r w:rsidR="00B80A05">
        <w:rPr>
          <w:i w:val="0"/>
        </w:rPr>
        <w:fldChar w:fldCharType="end"/>
      </w:r>
      <w:r w:rsidRPr="002E2454">
        <w:rPr>
          <w:i w:val="0"/>
        </w:rPr>
        <w:t>.</w:t>
      </w:r>
      <w:r w:rsidRPr="002E2454">
        <w:rPr>
          <w:b w:val="0"/>
          <w:i w:val="0"/>
        </w:rPr>
        <w:t xml:space="preserve"> - </w:t>
      </w:r>
      <w:r w:rsidR="00BA57E8" w:rsidRPr="002E2454">
        <w:rPr>
          <w:rFonts w:cs="Arial"/>
          <w:b w:val="0"/>
          <w:bCs/>
          <w:i w:val="0"/>
          <w:szCs w:val="22"/>
        </w:rPr>
        <w:t>Caracterização do Impacto - Alteração do N</w:t>
      </w:r>
      <w:r w:rsidR="00BA57E8" w:rsidRPr="002E2454">
        <w:rPr>
          <w:rFonts w:cs="Arial" w:hint="eastAsia"/>
          <w:b w:val="0"/>
          <w:bCs/>
          <w:i w:val="0"/>
          <w:szCs w:val="22"/>
        </w:rPr>
        <w:t>í</w:t>
      </w:r>
      <w:r w:rsidR="00BA57E8" w:rsidRPr="002E2454">
        <w:rPr>
          <w:rFonts w:cs="Arial"/>
          <w:b w:val="0"/>
          <w:bCs/>
          <w:i w:val="0"/>
          <w:szCs w:val="22"/>
        </w:rPr>
        <w:t>vel d</w:t>
      </w:r>
      <w:r w:rsidR="00B55600" w:rsidRPr="002E2454">
        <w:rPr>
          <w:rFonts w:cs="Arial"/>
          <w:b w:val="0"/>
          <w:bCs/>
          <w:i w:val="0"/>
          <w:szCs w:val="22"/>
        </w:rPr>
        <w:t>’</w:t>
      </w:r>
      <w:r w:rsidR="00722DCD" w:rsidRPr="002E2454">
        <w:rPr>
          <w:rFonts w:cs="Arial"/>
          <w:b w:val="0"/>
          <w:bCs/>
          <w:i w:val="0"/>
          <w:szCs w:val="22"/>
        </w:rPr>
        <w:t>Á</w:t>
      </w:r>
      <w:r w:rsidR="006F4DA4" w:rsidRPr="002E2454">
        <w:rPr>
          <w:rFonts w:cs="Arial"/>
          <w:b w:val="0"/>
          <w:bCs/>
          <w:i w:val="0"/>
          <w:szCs w:val="22"/>
        </w:rPr>
        <w:t>gua a Montante</w:t>
      </w:r>
      <w:bookmarkEnd w:id="142"/>
    </w:p>
    <w:p w:rsidR="00BA57E8" w:rsidRDefault="008C15C3" w:rsidP="002E2454">
      <w:pPr>
        <w:autoSpaceDE w:val="0"/>
        <w:autoSpaceDN w:val="0"/>
        <w:adjustRightInd w:val="0"/>
        <w:spacing w:line="240" w:lineRule="auto"/>
        <w:jc w:val="center"/>
        <w:rPr>
          <w:rFonts w:cs="Arial"/>
          <w:bCs/>
          <w:szCs w:val="22"/>
        </w:rPr>
      </w:pPr>
      <w:r w:rsidRPr="002E2454">
        <w:rPr>
          <w:rFonts w:cs="Arial"/>
          <w:bCs/>
          <w:szCs w:val="22"/>
        </w:rPr>
        <w:t>Barragens</w:t>
      </w:r>
      <w:r w:rsidR="00BA57E8" w:rsidRPr="002E2454">
        <w:rPr>
          <w:rFonts w:cs="Arial"/>
          <w:bCs/>
          <w:szCs w:val="22"/>
        </w:rPr>
        <w:t xml:space="preserve"> Pedreira e Duas Pontes </w:t>
      </w:r>
    </w:p>
    <w:p w:rsidR="002E2454" w:rsidRPr="002E2454" w:rsidRDefault="002E2454" w:rsidP="002E2454">
      <w:pPr>
        <w:autoSpaceDE w:val="0"/>
        <w:autoSpaceDN w:val="0"/>
        <w:adjustRightInd w:val="0"/>
        <w:spacing w:line="240" w:lineRule="auto"/>
        <w:jc w:val="center"/>
        <w:rPr>
          <w:rFonts w:cs="Arial"/>
          <w:bCs/>
          <w:szCs w:val="22"/>
        </w:rPr>
      </w:pPr>
    </w:p>
    <w:tbl>
      <w:tblPr>
        <w:tblW w:w="8595" w:type="dxa"/>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2"/>
        <w:gridCol w:w="1081"/>
        <w:gridCol w:w="1643"/>
        <w:gridCol w:w="1306"/>
        <w:gridCol w:w="2803"/>
      </w:tblGrid>
      <w:tr w:rsidR="00BA57E8" w:rsidRPr="00424216" w:rsidTr="00530E61">
        <w:trPr>
          <w:trHeight w:val="164"/>
          <w:jc w:val="center"/>
        </w:trPr>
        <w:tc>
          <w:tcPr>
            <w:tcW w:w="1761" w:type="dxa"/>
            <w:shd w:val="clear" w:color="auto" w:fill="D9D9D9"/>
            <w:vAlign w:val="center"/>
          </w:tcPr>
          <w:p w:rsidR="00BA57E8" w:rsidRPr="00424216" w:rsidRDefault="00BA57E8" w:rsidP="00530E61">
            <w:pPr>
              <w:spacing w:before="60" w:after="60" w:line="240" w:lineRule="auto"/>
              <w:jc w:val="center"/>
              <w:rPr>
                <w:rFonts w:eastAsia="Calibri" w:cs="Arial"/>
                <w:b/>
                <w:sz w:val="20"/>
                <w:lang w:eastAsia="en-US"/>
              </w:rPr>
            </w:pPr>
            <w:r w:rsidRPr="00424216">
              <w:rPr>
                <w:rFonts w:eastAsia="Calibri" w:cs="Arial"/>
                <w:b/>
                <w:sz w:val="20"/>
                <w:lang w:eastAsia="en-US"/>
              </w:rPr>
              <w:t>Natureza</w:t>
            </w:r>
          </w:p>
        </w:tc>
        <w:tc>
          <w:tcPr>
            <w:tcW w:w="1081" w:type="dxa"/>
            <w:shd w:val="clear" w:color="auto" w:fill="D9D9D9"/>
            <w:vAlign w:val="center"/>
          </w:tcPr>
          <w:p w:rsidR="00BA57E8" w:rsidRPr="00424216" w:rsidRDefault="00BA57E8" w:rsidP="00530E61">
            <w:pPr>
              <w:spacing w:before="60" w:after="60" w:line="240" w:lineRule="auto"/>
              <w:jc w:val="center"/>
              <w:rPr>
                <w:rFonts w:eastAsia="Calibri" w:cs="Arial"/>
                <w:b/>
                <w:sz w:val="20"/>
                <w:lang w:eastAsia="en-US"/>
              </w:rPr>
            </w:pPr>
            <w:r w:rsidRPr="00424216">
              <w:rPr>
                <w:rFonts w:eastAsia="Calibri" w:cs="Arial"/>
                <w:b/>
                <w:sz w:val="20"/>
                <w:lang w:eastAsia="en-US"/>
              </w:rPr>
              <w:t>Ordem</w:t>
            </w:r>
          </w:p>
        </w:tc>
        <w:tc>
          <w:tcPr>
            <w:tcW w:w="1643" w:type="dxa"/>
            <w:shd w:val="clear" w:color="auto" w:fill="D9D9D9"/>
            <w:vAlign w:val="center"/>
          </w:tcPr>
          <w:p w:rsidR="00BA57E8" w:rsidRPr="00424216" w:rsidRDefault="00BA57E8" w:rsidP="00530E61">
            <w:pPr>
              <w:spacing w:before="60" w:after="60" w:line="240" w:lineRule="auto"/>
              <w:jc w:val="center"/>
              <w:rPr>
                <w:rFonts w:eastAsia="Calibri" w:cs="Arial"/>
                <w:b/>
                <w:sz w:val="20"/>
                <w:lang w:eastAsia="en-US"/>
              </w:rPr>
            </w:pPr>
            <w:r w:rsidRPr="00424216">
              <w:rPr>
                <w:rFonts w:eastAsia="Calibri" w:cs="Arial"/>
                <w:b/>
                <w:sz w:val="20"/>
                <w:lang w:eastAsia="en-US"/>
              </w:rPr>
              <w:t>Abrangência</w:t>
            </w:r>
          </w:p>
        </w:tc>
        <w:tc>
          <w:tcPr>
            <w:tcW w:w="1306" w:type="dxa"/>
            <w:shd w:val="clear" w:color="auto" w:fill="D9D9D9"/>
            <w:vAlign w:val="center"/>
          </w:tcPr>
          <w:p w:rsidR="00BA57E8" w:rsidRPr="00424216" w:rsidRDefault="00BA57E8" w:rsidP="00530E61">
            <w:pPr>
              <w:spacing w:before="60" w:after="60" w:line="240" w:lineRule="auto"/>
              <w:jc w:val="center"/>
              <w:rPr>
                <w:rFonts w:eastAsia="Calibri" w:cs="Arial"/>
                <w:b/>
                <w:sz w:val="20"/>
                <w:lang w:eastAsia="en-US"/>
              </w:rPr>
            </w:pPr>
            <w:r w:rsidRPr="00424216">
              <w:rPr>
                <w:rFonts w:eastAsia="Calibri" w:cs="Arial"/>
                <w:b/>
                <w:sz w:val="20"/>
                <w:lang w:eastAsia="en-US"/>
              </w:rPr>
              <w:t>Duração</w:t>
            </w:r>
          </w:p>
        </w:tc>
        <w:tc>
          <w:tcPr>
            <w:tcW w:w="2804" w:type="dxa"/>
            <w:shd w:val="clear" w:color="auto" w:fill="D9D9D9"/>
            <w:vAlign w:val="center"/>
          </w:tcPr>
          <w:p w:rsidR="00BA57E8" w:rsidRPr="00424216" w:rsidRDefault="00BA57E8" w:rsidP="00530E61">
            <w:pPr>
              <w:spacing w:before="60" w:after="60" w:line="240" w:lineRule="auto"/>
              <w:jc w:val="center"/>
              <w:rPr>
                <w:rFonts w:eastAsia="Calibri" w:cs="Arial"/>
                <w:b/>
                <w:sz w:val="20"/>
                <w:lang w:eastAsia="en-US"/>
              </w:rPr>
            </w:pPr>
            <w:r w:rsidRPr="00424216">
              <w:rPr>
                <w:rFonts w:eastAsia="Calibri" w:cs="Arial"/>
                <w:b/>
                <w:sz w:val="20"/>
                <w:lang w:eastAsia="en-US"/>
              </w:rPr>
              <w:t>Probabilidade de Ocorrência</w:t>
            </w:r>
          </w:p>
        </w:tc>
      </w:tr>
      <w:tr w:rsidR="00BA57E8" w:rsidRPr="00424216" w:rsidTr="00530E61">
        <w:trPr>
          <w:trHeight w:val="225"/>
          <w:jc w:val="center"/>
        </w:trPr>
        <w:tc>
          <w:tcPr>
            <w:tcW w:w="1761" w:type="dxa"/>
            <w:shd w:val="clear" w:color="auto" w:fill="auto"/>
            <w:vAlign w:val="center"/>
          </w:tcPr>
          <w:p w:rsidR="00BA57E8" w:rsidRPr="00424216" w:rsidRDefault="00BA57E8" w:rsidP="00530E61">
            <w:pPr>
              <w:spacing w:before="60" w:after="60" w:line="240" w:lineRule="auto"/>
              <w:jc w:val="center"/>
              <w:rPr>
                <w:rFonts w:eastAsia="Calibri" w:cs="Arial"/>
                <w:sz w:val="20"/>
                <w:lang w:eastAsia="en-US"/>
              </w:rPr>
            </w:pPr>
            <w:r w:rsidRPr="00424216">
              <w:rPr>
                <w:rFonts w:eastAsia="Calibri" w:cs="Arial"/>
                <w:sz w:val="20"/>
                <w:lang w:eastAsia="en-US"/>
              </w:rPr>
              <w:t>Negativo/Positivo</w:t>
            </w:r>
          </w:p>
        </w:tc>
        <w:tc>
          <w:tcPr>
            <w:tcW w:w="1081" w:type="dxa"/>
            <w:shd w:val="clear" w:color="auto" w:fill="auto"/>
            <w:vAlign w:val="center"/>
          </w:tcPr>
          <w:p w:rsidR="00BA57E8" w:rsidRPr="00424216" w:rsidRDefault="00BA57E8" w:rsidP="00530E61">
            <w:pPr>
              <w:spacing w:before="60" w:after="60" w:line="240" w:lineRule="auto"/>
              <w:jc w:val="center"/>
              <w:rPr>
                <w:rFonts w:eastAsia="Calibri" w:cs="Arial"/>
                <w:sz w:val="20"/>
                <w:lang w:eastAsia="en-US"/>
              </w:rPr>
            </w:pPr>
            <w:r w:rsidRPr="00424216">
              <w:rPr>
                <w:rFonts w:eastAsia="Calibri" w:cs="Arial"/>
                <w:sz w:val="20"/>
                <w:lang w:eastAsia="en-US"/>
              </w:rPr>
              <w:t>Direta</w:t>
            </w:r>
          </w:p>
        </w:tc>
        <w:tc>
          <w:tcPr>
            <w:tcW w:w="1643" w:type="dxa"/>
            <w:shd w:val="clear" w:color="auto" w:fill="auto"/>
            <w:vAlign w:val="center"/>
          </w:tcPr>
          <w:p w:rsidR="00BA57E8" w:rsidRPr="00424216" w:rsidRDefault="00BA57E8" w:rsidP="00530E61">
            <w:pPr>
              <w:spacing w:before="60" w:after="60" w:line="240" w:lineRule="auto"/>
              <w:jc w:val="center"/>
              <w:rPr>
                <w:rFonts w:eastAsia="Calibri" w:cs="Arial"/>
                <w:sz w:val="20"/>
                <w:lang w:eastAsia="en-US"/>
              </w:rPr>
            </w:pPr>
            <w:r>
              <w:rPr>
                <w:rFonts w:eastAsia="Calibri" w:cs="Arial"/>
                <w:sz w:val="20"/>
                <w:lang w:eastAsia="en-US"/>
              </w:rPr>
              <w:t>Local (</w:t>
            </w:r>
            <w:r w:rsidRPr="00424216">
              <w:rPr>
                <w:rFonts w:eastAsia="Calibri" w:cs="Arial"/>
                <w:sz w:val="20"/>
                <w:lang w:eastAsia="en-US"/>
              </w:rPr>
              <w:t>ADA/AID</w:t>
            </w:r>
            <w:r>
              <w:rPr>
                <w:rFonts w:eastAsia="Calibri" w:cs="Arial"/>
                <w:sz w:val="20"/>
                <w:lang w:eastAsia="en-US"/>
              </w:rPr>
              <w:t>)</w:t>
            </w:r>
          </w:p>
        </w:tc>
        <w:tc>
          <w:tcPr>
            <w:tcW w:w="1306" w:type="dxa"/>
            <w:shd w:val="clear" w:color="auto" w:fill="auto"/>
            <w:vAlign w:val="center"/>
          </w:tcPr>
          <w:p w:rsidR="00BA57E8" w:rsidRPr="00424216" w:rsidRDefault="00BA57E8" w:rsidP="00530E61">
            <w:pPr>
              <w:spacing w:before="60" w:after="60" w:line="240" w:lineRule="auto"/>
              <w:jc w:val="center"/>
              <w:rPr>
                <w:rFonts w:eastAsia="Calibri" w:cs="Arial"/>
                <w:sz w:val="20"/>
                <w:lang w:eastAsia="en-US"/>
              </w:rPr>
            </w:pPr>
            <w:r w:rsidRPr="00424216">
              <w:rPr>
                <w:rFonts w:eastAsia="Calibri" w:cs="Arial"/>
                <w:sz w:val="20"/>
                <w:lang w:eastAsia="en-US"/>
              </w:rPr>
              <w:t>Permanente</w:t>
            </w:r>
          </w:p>
        </w:tc>
        <w:tc>
          <w:tcPr>
            <w:tcW w:w="2804" w:type="dxa"/>
            <w:shd w:val="clear" w:color="auto" w:fill="auto"/>
            <w:vAlign w:val="center"/>
          </w:tcPr>
          <w:p w:rsidR="00BA57E8" w:rsidRPr="00424216" w:rsidRDefault="00BA57E8" w:rsidP="00530E61">
            <w:pPr>
              <w:spacing w:before="60" w:after="60" w:line="240" w:lineRule="auto"/>
              <w:jc w:val="center"/>
              <w:rPr>
                <w:rFonts w:eastAsia="Calibri" w:cs="Arial"/>
                <w:sz w:val="20"/>
                <w:lang w:eastAsia="en-US"/>
              </w:rPr>
            </w:pPr>
            <w:r w:rsidRPr="00424216">
              <w:rPr>
                <w:rFonts w:eastAsia="Calibri" w:cs="Arial"/>
                <w:sz w:val="20"/>
                <w:lang w:eastAsia="en-US"/>
              </w:rPr>
              <w:t>Certa</w:t>
            </w:r>
          </w:p>
        </w:tc>
      </w:tr>
    </w:tbl>
    <w:p w:rsidR="00BA57E8" w:rsidRPr="00424216" w:rsidRDefault="00BA57E8" w:rsidP="00BA57E8">
      <w:pPr>
        <w:spacing w:line="240" w:lineRule="auto"/>
        <w:jc w:val="center"/>
        <w:rPr>
          <w:rFonts w:eastAsia="Calibri" w:cs="Arial"/>
          <w:sz w:val="20"/>
          <w:lang w:eastAsia="en-US"/>
        </w:rPr>
      </w:pPr>
    </w:p>
    <w:tbl>
      <w:tblPr>
        <w:tblW w:w="0" w:type="auto"/>
        <w:jc w:val="center"/>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1"/>
        <w:gridCol w:w="1695"/>
        <w:gridCol w:w="1513"/>
        <w:gridCol w:w="1698"/>
        <w:gridCol w:w="1520"/>
      </w:tblGrid>
      <w:tr w:rsidR="00BA57E8" w:rsidRPr="00424216" w:rsidTr="00530E61">
        <w:trPr>
          <w:trHeight w:val="96"/>
          <w:jc w:val="center"/>
        </w:trPr>
        <w:tc>
          <w:tcPr>
            <w:tcW w:w="2281" w:type="dxa"/>
            <w:shd w:val="clear" w:color="auto" w:fill="D9D9D9"/>
            <w:vAlign w:val="center"/>
          </w:tcPr>
          <w:p w:rsidR="00BA57E8" w:rsidRPr="00424216" w:rsidRDefault="00BA57E8" w:rsidP="00530E61">
            <w:pPr>
              <w:spacing w:before="60" w:after="60" w:line="240" w:lineRule="auto"/>
              <w:jc w:val="center"/>
              <w:rPr>
                <w:rFonts w:eastAsia="Calibri" w:cs="Arial"/>
                <w:b/>
                <w:sz w:val="20"/>
                <w:lang w:eastAsia="en-US"/>
              </w:rPr>
            </w:pPr>
            <w:r w:rsidRPr="00424216">
              <w:rPr>
                <w:rFonts w:eastAsia="Calibri" w:cs="Arial"/>
                <w:b/>
                <w:sz w:val="20"/>
                <w:lang w:eastAsia="en-US"/>
              </w:rPr>
              <w:t>Época de Ocorrência</w:t>
            </w:r>
          </w:p>
        </w:tc>
        <w:tc>
          <w:tcPr>
            <w:tcW w:w="1695" w:type="dxa"/>
            <w:shd w:val="clear" w:color="auto" w:fill="D9D9D9"/>
            <w:vAlign w:val="center"/>
          </w:tcPr>
          <w:p w:rsidR="00BA57E8" w:rsidRPr="00424216" w:rsidRDefault="00BA57E8" w:rsidP="00530E61">
            <w:pPr>
              <w:spacing w:before="60" w:after="60" w:line="240" w:lineRule="auto"/>
              <w:jc w:val="center"/>
              <w:rPr>
                <w:rFonts w:eastAsia="Calibri" w:cs="Arial"/>
                <w:b/>
                <w:sz w:val="20"/>
                <w:lang w:eastAsia="en-US"/>
              </w:rPr>
            </w:pPr>
            <w:r w:rsidRPr="00424216">
              <w:rPr>
                <w:rFonts w:eastAsia="Calibri" w:cs="Arial"/>
                <w:b/>
                <w:sz w:val="20"/>
                <w:lang w:eastAsia="en-US"/>
              </w:rPr>
              <w:t>Reversibilidade</w:t>
            </w:r>
          </w:p>
        </w:tc>
        <w:tc>
          <w:tcPr>
            <w:tcW w:w="1513" w:type="dxa"/>
            <w:shd w:val="clear" w:color="auto" w:fill="D9D9D9"/>
            <w:vAlign w:val="center"/>
          </w:tcPr>
          <w:p w:rsidR="00BA57E8" w:rsidRPr="00424216" w:rsidRDefault="00BA57E8" w:rsidP="00530E61">
            <w:pPr>
              <w:spacing w:before="60" w:after="60" w:line="240" w:lineRule="auto"/>
              <w:jc w:val="center"/>
              <w:rPr>
                <w:rFonts w:eastAsia="Calibri" w:cs="Arial"/>
                <w:b/>
                <w:sz w:val="20"/>
                <w:lang w:eastAsia="en-US"/>
              </w:rPr>
            </w:pPr>
            <w:r w:rsidRPr="00424216">
              <w:rPr>
                <w:rFonts w:eastAsia="Calibri" w:cs="Arial"/>
                <w:b/>
                <w:sz w:val="20"/>
                <w:lang w:eastAsia="en-US"/>
              </w:rPr>
              <w:t>Magnitude</w:t>
            </w:r>
          </w:p>
        </w:tc>
        <w:tc>
          <w:tcPr>
            <w:tcW w:w="1698" w:type="dxa"/>
            <w:shd w:val="clear" w:color="auto" w:fill="D9D9D9"/>
            <w:vAlign w:val="center"/>
          </w:tcPr>
          <w:p w:rsidR="00BA57E8" w:rsidRPr="00424216" w:rsidRDefault="00BA57E8" w:rsidP="00530E61">
            <w:pPr>
              <w:spacing w:before="60" w:after="60" w:line="240" w:lineRule="auto"/>
              <w:jc w:val="center"/>
              <w:rPr>
                <w:rFonts w:eastAsia="Calibri" w:cs="Arial"/>
                <w:b/>
                <w:sz w:val="20"/>
                <w:lang w:eastAsia="en-US"/>
              </w:rPr>
            </w:pPr>
            <w:r w:rsidRPr="00424216">
              <w:rPr>
                <w:rFonts w:eastAsia="Calibri" w:cs="Arial"/>
                <w:b/>
                <w:sz w:val="20"/>
                <w:lang w:eastAsia="en-US"/>
              </w:rPr>
              <w:t>Importância</w:t>
            </w:r>
          </w:p>
        </w:tc>
        <w:tc>
          <w:tcPr>
            <w:tcW w:w="1520" w:type="dxa"/>
            <w:shd w:val="clear" w:color="auto" w:fill="D9D9D9"/>
            <w:vAlign w:val="center"/>
          </w:tcPr>
          <w:p w:rsidR="00BA57E8" w:rsidRPr="00424216" w:rsidRDefault="00BA57E8" w:rsidP="00530E61">
            <w:pPr>
              <w:spacing w:before="60" w:after="60" w:line="240" w:lineRule="auto"/>
              <w:jc w:val="center"/>
              <w:rPr>
                <w:rFonts w:eastAsia="Calibri" w:cs="Arial"/>
                <w:b/>
                <w:sz w:val="20"/>
                <w:lang w:eastAsia="en-US"/>
              </w:rPr>
            </w:pPr>
            <w:r w:rsidRPr="00424216">
              <w:rPr>
                <w:rFonts w:eastAsia="Calibri" w:cs="Arial"/>
                <w:b/>
                <w:sz w:val="20"/>
                <w:lang w:eastAsia="en-US"/>
              </w:rPr>
              <w:t>Mitigação</w:t>
            </w:r>
          </w:p>
        </w:tc>
      </w:tr>
      <w:tr w:rsidR="00BA57E8" w:rsidRPr="00424216" w:rsidTr="00530E61">
        <w:trPr>
          <w:trHeight w:val="157"/>
          <w:jc w:val="center"/>
        </w:trPr>
        <w:tc>
          <w:tcPr>
            <w:tcW w:w="2281" w:type="dxa"/>
            <w:shd w:val="clear" w:color="auto" w:fill="auto"/>
            <w:vAlign w:val="center"/>
          </w:tcPr>
          <w:p w:rsidR="00BA57E8" w:rsidRPr="00424216" w:rsidRDefault="00BA57E8" w:rsidP="00530E61">
            <w:pPr>
              <w:spacing w:before="60" w:after="60" w:line="240" w:lineRule="auto"/>
              <w:jc w:val="center"/>
              <w:rPr>
                <w:rFonts w:eastAsia="Calibri" w:cs="Arial"/>
                <w:sz w:val="20"/>
                <w:lang w:eastAsia="en-US"/>
              </w:rPr>
            </w:pPr>
            <w:r w:rsidRPr="00424216">
              <w:rPr>
                <w:rFonts w:eastAsia="Calibri" w:cs="Arial"/>
                <w:sz w:val="20"/>
                <w:lang w:eastAsia="en-US"/>
              </w:rPr>
              <w:t>Curto Prazo</w:t>
            </w:r>
          </w:p>
        </w:tc>
        <w:tc>
          <w:tcPr>
            <w:tcW w:w="1695" w:type="dxa"/>
            <w:shd w:val="clear" w:color="auto" w:fill="auto"/>
            <w:vAlign w:val="center"/>
          </w:tcPr>
          <w:p w:rsidR="00BA57E8" w:rsidRPr="00424216" w:rsidRDefault="00BA57E8" w:rsidP="00530E61">
            <w:pPr>
              <w:spacing w:before="60" w:after="60" w:line="240" w:lineRule="auto"/>
              <w:jc w:val="center"/>
              <w:rPr>
                <w:rFonts w:eastAsia="Calibri" w:cs="Arial"/>
                <w:sz w:val="20"/>
                <w:lang w:eastAsia="en-US"/>
              </w:rPr>
            </w:pPr>
            <w:r w:rsidRPr="00424216">
              <w:rPr>
                <w:rFonts w:eastAsia="Calibri" w:cs="Arial"/>
                <w:sz w:val="20"/>
                <w:lang w:eastAsia="en-US"/>
              </w:rPr>
              <w:t>Irreversível</w:t>
            </w:r>
          </w:p>
        </w:tc>
        <w:tc>
          <w:tcPr>
            <w:tcW w:w="1513" w:type="dxa"/>
            <w:shd w:val="clear" w:color="auto" w:fill="auto"/>
            <w:vAlign w:val="center"/>
          </w:tcPr>
          <w:p w:rsidR="00BA57E8" w:rsidRPr="00424216" w:rsidRDefault="00BA57E8" w:rsidP="00530E61">
            <w:pPr>
              <w:autoSpaceDE w:val="0"/>
              <w:autoSpaceDN w:val="0"/>
              <w:adjustRightInd w:val="0"/>
              <w:spacing w:before="60" w:after="60" w:line="240" w:lineRule="auto"/>
              <w:jc w:val="center"/>
              <w:rPr>
                <w:rFonts w:eastAsia="Calibri" w:cs="Arial"/>
                <w:sz w:val="20"/>
                <w:lang w:eastAsia="en-US"/>
              </w:rPr>
            </w:pPr>
            <w:r w:rsidRPr="00424216">
              <w:rPr>
                <w:rFonts w:eastAsia="Calibri" w:cs="Arial"/>
                <w:sz w:val="20"/>
                <w:lang w:eastAsia="en-US"/>
              </w:rPr>
              <w:t>Média</w:t>
            </w:r>
          </w:p>
        </w:tc>
        <w:tc>
          <w:tcPr>
            <w:tcW w:w="1698" w:type="dxa"/>
            <w:shd w:val="clear" w:color="auto" w:fill="auto"/>
            <w:vAlign w:val="center"/>
          </w:tcPr>
          <w:p w:rsidR="00BA57E8" w:rsidRPr="00424216" w:rsidRDefault="00BA57E8" w:rsidP="00530E61">
            <w:pPr>
              <w:autoSpaceDE w:val="0"/>
              <w:autoSpaceDN w:val="0"/>
              <w:adjustRightInd w:val="0"/>
              <w:spacing w:before="60" w:after="60" w:line="240" w:lineRule="auto"/>
              <w:jc w:val="center"/>
              <w:rPr>
                <w:rFonts w:eastAsia="Calibri" w:cs="Arial"/>
                <w:sz w:val="20"/>
                <w:lang w:eastAsia="en-US"/>
              </w:rPr>
            </w:pPr>
            <w:r w:rsidRPr="00424216">
              <w:rPr>
                <w:rFonts w:eastAsia="Calibri" w:cs="Arial"/>
                <w:sz w:val="20"/>
                <w:lang w:eastAsia="en-US"/>
              </w:rPr>
              <w:t>Média</w:t>
            </w:r>
          </w:p>
        </w:tc>
        <w:tc>
          <w:tcPr>
            <w:tcW w:w="1520" w:type="dxa"/>
            <w:shd w:val="clear" w:color="auto" w:fill="auto"/>
            <w:vAlign w:val="center"/>
          </w:tcPr>
          <w:p w:rsidR="00BA57E8" w:rsidRPr="00424216" w:rsidRDefault="00BA57E8" w:rsidP="00530E61">
            <w:pPr>
              <w:autoSpaceDE w:val="0"/>
              <w:autoSpaceDN w:val="0"/>
              <w:adjustRightInd w:val="0"/>
              <w:spacing w:before="60" w:after="60" w:line="240" w:lineRule="auto"/>
              <w:jc w:val="center"/>
              <w:rPr>
                <w:rFonts w:eastAsia="Calibri" w:cs="Arial"/>
                <w:sz w:val="20"/>
                <w:lang w:eastAsia="en-US"/>
              </w:rPr>
            </w:pPr>
            <w:r w:rsidRPr="00424216">
              <w:rPr>
                <w:rFonts w:eastAsia="Calibri" w:cs="Arial"/>
                <w:sz w:val="20"/>
                <w:lang w:eastAsia="en-US"/>
              </w:rPr>
              <w:t>Não Mitigável</w:t>
            </w:r>
          </w:p>
        </w:tc>
      </w:tr>
    </w:tbl>
    <w:p w:rsidR="00BA57E8" w:rsidRPr="00ED16DB" w:rsidRDefault="00BA57E8" w:rsidP="00BA57E8">
      <w:pPr>
        <w:spacing w:before="240" w:after="120" w:line="240" w:lineRule="auto"/>
        <w:rPr>
          <w:b/>
        </w:rPr>
      </w:pPr>
      <w:r w:rsidRPr="00ED16DB">
        <w:rPr>
          <w:b/>
        </w:rPr>
        <w:t>Ações Ambientais Propostas</w:t>
      </w:r>
    </w:p>
    <w:p w:rsidR="00BA57E8" w:rsidRDefault="00BA57E8" w:rsidP="00BA57E8">
      <w:pPr>
        <w:spacing w:before="120" w:after="120" w:line="240" w:lineRule="auto"/>
        <w:rPr>
          <w:rFonts w:eastAsia="Calibri"/>
          <w:bCs/>
          <w:szCs w:val="22"/>
          <w:lang w:eastAsia="en-US"/>
        </w:rPr>
      </w:pPr>
      <w:r>
        <w:rPr>
          <w:rFonts w:eastAsia="Calibri"/>
          <w:bCs/>
          <w:szCs w:val="22"/>
          <w:lang w:eastAsia="en-US"/>
        </w:rPr>
        <w:t>Este impacto deve ser acompanhado pelos programas ambientais de Gestão Ambiental da Obra</w:t>
      </w:r>
      <w:r w:rsidRPr="00270F4B">
        <w:rPr>
          <w:rFonts w:eastAsia="Calibri"/>
          <w:bCs/>
          <w:szCs w:val="22"/>
          <w:lang w:eastAsia="en-US"/>
        </w:rPr>
        <w:t xml:space="preserve">, Controle Ambiental das Obras, </w:t>
      </w:r>
      <w:r>
        <w:rPr>
          <w:rFonts w:eastAsia="Calibri"/>
          <w:bCs/>
          <w:szCs w:val="22"/>
          <w:lang w:eastAsia="en-US"/>
        </w:rPr>
        <w:t xml:space="preserve">Relocação da População, Supressão da Vegetação e Limpeza da Área de Inundação, </w:t>
      </w:r>
      <w:r w:rsidRPr="00270F4B">
        <w:rPr>
          <w:rFonts w:eastAsia="Calibri"/>
          <w:bCs/>
          <w:szCs w:val="22"/>
          <w:lang w:eastAsia="en-US"/>
        </w:rPr>
        <w:t>Monitoramento Hidrológico, Monitoramento das Encostas Marginais</w:t>
      </w:r>
      <w:r>
        <w:rPr>
          <w:rFonts w:eastAsia="Calibri"/>
          <w:bCs/>
          <w:szCs w:val="22"/>
          <w:lang w:eastAsia="en-US"/>
        </w:rPr>
        <w:t>,</w:t>
      </w:r>
      <w:r w:rsidRPr="00270F4B">
        <w:rPr>
          <w:rFonts w:eastAsia="Calibri"/>
          <w:bCs/>
          <w:szCs w:val="22"/>
          <w:lang w:eastAsia="en-US"/>
        </w:rPr>
        <w:t xml:space="preserve"> de Revegetação</w:t>
      </w:r>
      <w:r>
        <w:rPr>
          <w:rFonts w:eastAsia="Calibri"/>
          <w:bCs/>
          <w:szCs w:val="22"/>
          <w:lang w:eastAsia="en-US"/>
        </w:rPr>
        <w:t xml:space="preserve"> e Enriquecimento Florestal, Reflorestamento da APP do Futuro Reservatório</w:t>
      </w:r>
      <w:r w:rsidRPr="00270F4B">
        <w:rPr>
          <w:rFonts w:eastAsia="Calibri"/>
          <w:bCs/>
          <w:szCs w:val="22"/>
          <w:lang w:eastAsia="en-US"/>
        </w:rPr>
        <w:t xml:space="preserve"> </w:t>
      </w:r>
      <w:r>
        <w:rPr>
          <w:rFonts w:eastAsia="Calibri"/>
          <w:bCs/>
          <w:szCs w:val="22"/>
          <w:lang w:eastAsia="en-US"/>
        </w:rPr>
        <w:t xml:space="preserve">e Programa de </w:t>
      </w:r>
      <w:r w:rsidR="00D225D5">
        <w:rPr>
          <w:rFonts w:eastAsia="Calibri"/>
          <w:bCs/>
          <w:szCs w:val="22"/>
          <w:lang w:eastAsia="en-US"/>
        </w:rPr>
        <w:t>Comunicação e Interação Social</w:t>
      </w:r>
      <w:r>
        <w:rPr>
          <w:rFonts w:eastAsia="Calibri"/>
          <w:bCs/>
          <w:szCs w:val="22"/>
          <w:lang w:eastAsia="en-US"/>
        </w:rPr>
        <w:t>.</w:t>
      </w:r>
    </w:p>
    <w:p w:rsidR="00C64127" w:rsidRDefault="00C64127" w:rsidP="00BA57E8">
      <w:pPr>
        <w:spacing w:before="120" w:after="120" w:line="240" w:lineRule="auto"/>
        <w:rPr>
          <w:rFonts w:eastAsia="Calibri"/>
          <w:bCs/>
          <w:szCs w:val="22"/>
          <w:lang w:eastAsia="en-US"/>
        </w:rPr>
      </w:pPr>
      <w:r>
        <w:rPr>
          <w:rFonts w:eastAsia="Calibri"/>
          <w:bCs/>
          <w:szCs w:val="22"/>
          <w:lang w:eastAsia="en-US"/>
        </w:rPr>
        <w:br w:type="page"/>
      </w:r>
    </w:p>
    <w:p w:rsidR="00973BCF" w:rsidRPr="00C64127" w:rsidRDefault="00A71868" w:rsidP="002E2454">
      <w:pPr>
        <w:pStyle w:val="Ttulo3"/>
      </w:pPr>
      <w:bookmarkStart w:id="143" w:name="_Toc418758208"/>
      <w:bookmarkStart w:id="144" w:name="_Toc418758810"/>
      <w:bookmarkStart w:id="145" w:name="_Toc419813575"/>
      <w:r w:rsidRPr="00C64127">
        <w:lastRenderedPageBreak/>
        <w:t>1.3.1.</w:t>
      </w:r>
      <w:r w:rsidR="00FE3DAE">
        <w:t>6. Alteração</w:t>
      </w:r>
      <w:r w:rsidR="00973BCF" w:rsidRPr="00C64127">
        <w:t xml:space="preserve"> do Nível d’</w:t>
      </w:r>
      <w:r w:rsidR="00722DCD" w:rsidRPr="00C64127">
        <w:t>Á</w:t>
      </w:r>
      <w:r w:rsidR="00973BCF" w:rsidRPr="00C64127">
        <w:t xml:space="preserve">gua </w:t>
      </w:r>
      <w:r w:rsidR="00280B9A" w:rsidRPr="00C64127">
        <w:t xml:space="preserve">a </w:t>
      </w:r>
      <w:r w:rsidR="0039752B" w:rsidRPr="00C64127">
        <w:t>J</w:t>
      </w:r>
      <w:r w:rsidR="00280B9A" w:rsidRPr="00C64127">
        <w:t>usante</w:t>
      </w:r>
      <w:r w:rsidR="00973BCF" w:rsidRPr="00C64127">
        <w:t xml:space="preserve"> dos Barramentos</w:t>
      </w:r>
      <w:r w:rsidR="0039752B" w:rsidRPr="00C64127">
        <w:t xml:space="preserve"> pelo Enchimento e Operação dos Reservatórios</w:t>
      </w:r>
      <w:bookmarkEnd w:id="143"/>
      <w:bookmarkEnd w:id="144"/>
      <w:bookmarkEnd w:id="145"/>
      <w:r w:rsidR="00973BCF" w:rsidRPr="00C64127">
        <w:t xml:space="preserve"> </w:t>
      </w:r>
    </w:p>
    <w:p w:rsidR="00BA57E8" w:rsidRPr="00B36EB9" w:rsidRDefault="00BA57E8" w:rsidP="00BA57E8">
      <w:pPr>
        <w:spacing w:before="120" w:after="120" w:line="240" w:lineRule="auto"/>
        <w:rPr>
          <w:b/>
        </w:rPr>
      </w:pPr>
      <w:r w:rsidRPr="00B36EB9">
        <w:rPr>
          <w:b/>
        </w:rPr>
        <w:t>Fase</w:t>
      </w:r>
      <w:r w:rsidR="00FC177D">
        <w:rPr>
          <w:b/>
        </w:rPr>
        <w:t>s</w:t>
      </w:r>
      <w:r w:rsidRPr="00B36EB9">
        <w:rPr>
          <w:b/>
        </w:rPr>
        <w:t>: Implantação</w:t>
      </w:r>
      <w:r w:rsidR="00FC177D">
        <w:rPr>
          <w:b/>
        </w:rPr>
        <w:t xml:space="preserve"> e Operação</w:t>
      </w:r>
      <w:r w:rsidRPr="00B36EB9">
        <w:rPr>
          <w:b/>
        </w:rPr>
        <w:t xml:space="preserve"> </w:t>
      </w:r>
    </w:p>
    <w:p w:rsidR="00BA57E8" w:rsidRPr="00B36EB9" w:rsidRDefault="00125F44" w:rsidP="00BA57E8">
      <w:pPr>
        <w:spacing w:before="120" w:after="120" w:line="240" w:lineRule="auto"/>
      </w:pPr>
      <w:r>
        <w:t xml:space="preserve">A </w:t>
      </w:r>
      <w:r w:rsidR="00FE3DAE">
        <w:t>alteração</w:t>
      </w:r>
      <w:r w:rsidR="00BA57E8" w:rsidRPr="00B36EB9">
        <w:t xml:space="preserve"> dos níveis d’água a jusante das Barragens Pedreira e Duas Pontes ter</w:t>
      </w:r>
      <w:r w:rsidR="00B62210">
        <w:t>á</w:t>
      </w:r>
      <w:r w:rsidR="00BA57E8" w:rsidRPr="00B36EB9">
        <w:t xml:space="preserve"> início durante a fase de enchimento dos reservatórios, quando a vazão mínima remanescente foi fixada em 2,80 m</w:t>
      </w:r>
      <w:r w:rsidR="00BA57E8" w:rsidRPr="00B36EB9">
        <w:rPr>
          <w:vertAlign w:val="superscript"/>
        </w:rPr>
        <w:t>3</w:t>
      </w:r>
      <w:r w:rsidR="00BA57E8" w:rsidRPr="00B36EB9">
        <w:t xml:space="preserve">/s para os dois aproveitamentos. Estas vazões permanecerão por 8 dias no caso da Barragem Pedreira e 4 dias no caso da </w:t>
      </w:r>
      <w:r w:rsidR="00FC177D">
        <w:t>B</w:t>
      </w:r>
      <w:r w:rsidR="00BA57E8" w:rsidRPr="00B36EB9">
        <w:t xml:space="preserve">arragem Duas Pontes, passando a partir de então, a verter as vazões regularizadas projetadas de 8,50 m³/s e 8,70 m³/s, respectivamente, que </w:t>
      </w:r>
      <w:r w:rsidR="00BA57E8" w:rsidRPr="00FE3DAE">
        <w:t>são bem superiores às vazões mínimas médias diárias observadas na região</w:t>
      </w:r>
      <w:r w:rsidRPr="00FE3DAE">
        <w:t>, provocando um aumento no nível d’água de jusante dos barramentos em função d</w:t>
      </w:r>
      <w:r w:rsidR="00FE3DAE" w:rsidRPr="00FE3DAE">
        <w:t>a</w:t>
      </w:r>
      <w:r w:rsidRPr="00FE3DAE">
        <w:t xml:space="preserve"> operação dos reservatórios</w:t>
      </w:r>
      <w:r w:rsidR="00BA57E8" w:rsidRPr="00FE3DAE">
        <w:t>.</w:t>
      </w:r>
      <w:r w:rsidR="00BA57E8" w:rsidRPr="00B36EB9">
        <w:t xml:space="preserve"> </w:t>
      </w:r>
    </w:p>
    <w:p w:rsidR="00BA57E8" w:rsidRPr="00B36EB9" w:rsidRDefault="00BA57E8" w:rsidP="00BA57E8">
      <w:pPr>
        <w:spacing w:before="120" w:after="120" w:line="240" w:lineRule="auto"/>
      </w:pPr>
      <w:r w:rsidRPr="00B36EB9">
        <w:t xml:space="preserve">Após o enchimento é de se prever uma melhora no escoamento no trecho de jusante, principalmente no período de estiagem, por conta do efeito da regularização. O efeito benéfico da regularização será sentido ao longo do trecho de jusante dos dois cursos d’água e região do entorno das barragens, destaque-se a cidade de Pedreira por se situar logo a jusante da Barragem Pedreira. </w:t>
      </w:r>
    </w:p>
    <w:p w:rsidR="00311919" w:rsidRDefault="00BA57E8" w:rsidP="00BA57E8">
      <w:pPr>
        <w:spacing w:before="120" w:after="120" w:line="240" w:lineRule="auto"/>
      </w:pPr>
      <w:r w:rsidRPr="00B36EB9">
        <w:t>A real consequência deste impacto é a possibilidade de beneficiar um grande número de habitantes por conta da regularização das vazões. Descontando a vazão mínima média mensal da série 1930/20</w:t>
      </w:r>
      <w:r w:rsidR="001E59D9">
        <w:t xml:space="preserve">12, </w:t>
      </w:r>
      <w:r w:rsidRPr="00B36EB9">
        <w:t>o ganho da regularização será de 9,0 m</w:t>
      </w:r>
      <w:r w:rsidRPr="00B36EB9">
        <w:rPr>
          <w:vertAlign w:val="superscript"/>
        </w:rPr>
        <w:t>3</w:t>
      </w:r>
      <w:r w:rsidRPr="00B36EB9">
        <w:t>/s (3,7 m³/s na Barragem Pedreira e 5,3 m³/s na Barragem Duas Pontes), considerando um consumo per capita de 200 l/hab/dia e uma eficiência de 70% (valor conservador), chegar-se-ia a cerca de 2.500.000 de habitantes beneficiados pelo efeito de regularização destes dois empreendimentos.</w:t>
      </w:r>
    </w:p>
    <w:p w:rsidR="00BA57E8" w:rsidRDefault="00BA57E8" w:rsidP="00BA57E8">
      <w:pPr>
        <w:spacing w:before="120" w:after="120" w:line="240" w:lineRule="auto"/>
      </w:pPr>
      <w:r w:rsidRPr="00B36EB9">
        <w:t>A magnitude é considerada grande e a importância alta, pelo beneficio social apresentado.</w:t>
      </w:r>
    </w:p>
    <w:p w:rsidR="002C534B" w:rsidRPr="002E2454" w:rsidRDefault="002E2454" w:rsidP="002E2454">
      <w:pPr>
        <w:pStyle w:val="Legenda"/>
        <w:spacing w:before="0" w:after="0" w:line="240" w:lineRule="auto"/>
        <w:jc w:val="center"/>
        <w:rPr>
          <w:rFonts w:cs="Arial"/>
          <w:b w:val="0"/>
          <w:bCs/>
          <w:i w:val="0"/>
          <w:szCs w:val="22"/>
        </w:rPr>
      </w:pPr>
      <w:bookmarkStart w:id="146" w:name="_Toc420316449"/>
      <w:r w:rsidRPr="002E2454">
        <w:rPr>
          <w:i w:val="0"/>
        </w:rPr>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1.3</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6</w:t>
      </w:r>
      <w:r w:rsidR="00B80A05">
        <w:rPr>
          <w:i w:val="0"/>
        </w:rPr>
        <w:fldChar w:fldCharType="end"/>
      </w:r>
      <w:r w:rsidRPr="002E2454">
        <w:rPr>
          <w:i w:val="0"/>
        </w:rPr>
        <w:t>.</w:t>
      </w:r>
      <w:r w:rsidRPr="002E2454">
        <w:rPr>
          <w:b w:val="0"/>
          <w:i w:val="0"/>
        </w:rPr>
        <w:t xml:space="preserve"> - </w:t>
      </w:r>
      <w:r w:rsidR="00BA57E8" w:rsidRPr="002E2454">
        <w:rPr>
          <w:rFonts w:cs="Arial"/>
          <w:b w:val="0"/>
          <w:bCs/>
          <w:i w:val="0"/>
          <w:szCs w:val="22"/>
        </w:rPr>
        <w:t xml:space="preserve">Caracterização do Impacto </w:t>
      </w:r>
      <w:r w:rsidR="00125F44" w:rsidRPr="002E2454">
        <w:rPr>
          <w:rFonts w:cs="Arial"/>
          <w:b w:val="0"/>
          <w:bCs/>
          <w:i w:val="0"/>
          <w:szCs w:val="22"/>
        </w:rPr>
        <w:t>–</w:t>
      </w:r>
      <w:r w:rsidR="00BA57E8" w:rsidRPr="002E2454">
        <w:rPr>
          <w:rFonts w:cs="Arial"/>
          <w:b w:val="0"/>
          <w:bCs/>
          <w:i w:val="0"/>
          <w:szCs w:val="22"/>
        </w:rPr>
        <w:t xml:space="preserve"> </w:t>
      </w:r>
      <w:r w:rsidR="00FE3DAE" w:rsidRPr="002E2454">
        <w:rPr>
          <w:rFonts w:cs="Arial"/>
          <w:b w:val="0"/>
          <w:bCs/>
          <w:i w:val="0"/>
          <w:szCs w:val="22"/>
        </w:rPr>
        <w:t>Alteração</w:t>
      </w:r>
      <w:r w:rsidR="006F4DA4" w:rsidRPr="002E2454">
        <w:rPr>
          <w:rFonts w:cs="Arial"/>
          <w:b w:val="0"/>
          <w:bCs/>
          <w:i w:val="0"/>
          <w:szCs w:val="22"/>
        </w:rPr>
        <w:t xml:space="preserve"> do Nível d’</w:t>
      </w:r>
      <w:r w:rsidR="00722DCD" w:rsidRPr="002E2454">
        <w:rPr>
          <w:rFonts w:cs="Arial"/>
          <w:b w:val="0"/>
          <w:bCs/>
          <w:i w:val="0"/>
          <w:szCs w:val="22"/>
        </w:rPr>
        <w:t>Á</w:t>
      </w:r>
      <w:r w:rsidR="006F4DA4" w:rsidRPr="002E2454">
        <w:rPr>
          <w:rFonts w:cs="Arial"/>
          <w:b w:val="0"/>
          <w:bCs/>
          <w:i w:val="0"/>
          <w:szCs w:val="22"/>
        </w:rPr>
        <w:t xml:space="preserve">gua a </w:t>
      </w:r>
      <w:r w:rsidR="00CC4348" w:rsidRPr="002E2454">
        <w:rPr>
          <w:rFonts w:cs="Arial"/>
          <w:b w:val="0"/>
          <w:bCs/>
          <w:i w:val="0"/>
          <w:szCs w:val="22"/>
        </w:rPr>
        <w:t>J</w:t>
      </w:r>
      <w:r w:rsidR="006F4DA4" w:rsidRPr="002E2454">
        <w:rPr>
          <w:rFonts w:cs="Arial"/>
          <w:b w:val="0"/>
          <w:bCs/>
          <w:i w:val="0"/>
          <w:szCs w:val="22"/>
        </w:rPr>
        <w:t>usante dos Barramentos pelo Enchimento e Operação dos Reservatórios</w:t>
      </w:r>
      <w:bookmarkEnd w:id="146"/>
    </w:p>
    <w:p w:rsidR="00BA57E8" w:rsidRPr="002E2454" w:rsidRDefault="00BA57E8" w:rsidP="002E2454">
      <w:pPr>
        <w:autoSpaceDE w:val="0"/>
        <w:autoSpaceDN w:val="0"/>
        <w:adjustRightInd w:val="0"/>
        <w:spacing w:line="240" w:lineRule="auto"/>
        <w:jc w:val="center"/>
        <w:rPr>
          <w:rFonts w:cs="Arial"/>
          <w:bCs/>
          <w:szCs w:val="22"/>
        </w:rPr>
      </w:pPr>
      <w:r w:rsidRPr="002E2454">
        <w:rPr>
          <w:rFonts w:cs="Arial"/>
          <w:bCs/>
          <w:szCs w:val="22"/>
        </w:rPr>
        <w:t>Barrage</w:t>
      </w:r>
      <w:r w:rsidR="006F4DA4" w:rsidRPr="002E2454">
        <w:rPr>
          <w:rFonts w:cs="Arial"/>
          <w:bCs/>
          <w:szCs w:val="22"/>
        </w:rPr>
        <w:t>ns</w:t>
      </w:r>
      <w:r w:rsidRPr="002E2454">
        <w:rPr>
          <w:rFonts w:cs="Arial"/>
          <w:bCs/>
          <w:szCs w:val="22"/>
        </w:rPr>
        <w:t xml:space="preserve"> Pedreira e Duas Pontes</w:t>
      </w:r>
    </w:p>
    <w:p w:rsidR="002C534B" w:rsidRPr="002C534B" w:rsidRDefault="002C534B" w:rsidP="002C534B">
      <w:pPr>
        <w:autoSpaceDE w:val="0"/>
        <w:autoSpaceDN w:val="0"/>
        <w:adjustRightInd w:val="0"/>
        <w:spacing w:line="240" w:lineRule="auto"/>
        <w:jc w:val="center"/>
        <w:rPr>
          <w:rFonts w:cs="Arial"/>
          <w:bCs/>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134"/>
        <w:gridCol w:w="1701"/>
        <w:gridCol w:w="1418"/>
        <w:gridCol w:w="3225"/>
      </w:tblGrid>
      <w:tr w:rsidR="00BA57E8" w:rsidRPr="00B36EB9" w:rsidTr="00530E61">
        <w:trPr>
          <w:trHeight w:val="164"/>
          <w:jc w:val="center"/>
        </w:trPr>
        <w:tc>
          <w:tcPr>
            <w:tcW w:w="1242" w:type="dxa"/>
            <w:shd w:val="clear" w:color="auto" w:fill="D9D9D9"/>
            <w:vAlign w:val="center"/>
          </w:tcPr>
          <w:p w:rsidR="00BA57E8" w:rsidRPr="00B36EB9" w:rsidRDefault="00BA57E8" w:rsidP="00530E61">
            <w:pPr>
              <w:spacing w:before="120" w:after="120" w:line="240" w:lineRule="auto"/>
              <w:jc w:val="center"/>
              <w:rPr>
                <w:b/>
              </w:rPr>
            </w:pPr>
            <w:r w:rsidRPr="00B36EB9">
              <w:rPr>
                <w:b/>
              </w:rPr>
              <w:t>Natureza</w:t>
            </w:r>
          </w:p>
        </w:tc>
        <w:tc>
          <w:tcPr>
            <w:tcW w:w="1134" w:type="dxa"/>
            <w:shd w:val="clear" w:color="auto" w:fill="D9D9D9"/>
            <w:vAlign w:val="center"/>
          </w:tcPr>
          <w:p w:rsidR="00BA57E8" w:rsidRPr="00B36EB9" w:rsidRDefault="00BA57E8" w:rsidP="00530E61">
            <w:pPr>
              <w:spacing w:before="120" w:after="120" w:line="240" w:lineRule="auto"/>
              <w:jc w:val="center"/>
              <w:rPr>
                <w:b/>
              </w:rPr>
            </w:pPr>
            <w:r w:rsidRPr="00B36EB9">
              <w:rPr>
                <w:b/>
              </w:rPr>
              <w:t>Ordem</w:t>
            </w:r>
          </w:p>
        </w:tc>
        <w:tc>
          <w:tcPr>
            <w:tcW w:w="1701" w:type="dxa"/>
            <w:shd w:val="clear" w:color="auto" w:fill="D9D9D9"/>
            <w:vAlign w:val="center"/>
          </w:tcPr>
          <w:p w:rsidR="00BA57E8" w:rsidRPr="00B36EB9" w:rsidRDefault="00BA57E8" w:rsidP="00530E61">
            <w:pPr>
              <w:spacing w:before="120" w:after="120" w:line="240" w:lineRule="auto"/>
              <w:jc w:val="center"/>
              <w:rPr>
                <w:b/>
              </w:rPr>
            </w:pPr>
            <w:r w:rsidRPr="00B36EB9">
              <w:rPr>
                <w:b/>
              </w:rPr>
              <w:t>Abrangência</w:t>
            </w:r>
          </w:p>
        </w:tc>
        <w:tc>
          <w:tcPr>
            <w:tcW w:w="1418" w:type="dxa"/>
            <w:shd w:val="clear" w:color="auto" w:fill="D9D9D9"/>
            <w:vAlign w:val="center"/>
          </w:tcPr>
          <w:p w:rsidR="00BA57E8" w:rsidRPr="00B36EB9" w:rsidRDefault="00BA57E8" w:rsidP="00530E61">
            <w:pPr>
              <w:spacing w:before="120" w:after="120" w:line="240" w:lineRule="auto"/>
              <w:jc w:val="center"/>
              <w:rPr>
                <w:b/>
              </w:rPr>
            </w:pPr>
            <w:r w:rsidRPr="00B36EB9">
              <w:rPr>
                <w:b/>
              </w:rPr>
              <w:t>Duração</w:t>
            </w:r>
          </w:p>
        </w:tc>
        <w:tc>
          <w:tcPr>
            <w:tcW w:w="3225" w:type="dxa"/>
            <w:shd w:val="clear" w:color="auto" w:fill="D9D9D9"/>
            <w:vAlign w:val="center"/>
          </w:tcPr>
          <w:p w:rsidR="00BA57E8" w:rsidRPr="00B36EB9" w:rsidRDefault="00BA57E8" w:rsidP="00530E61">
            <w:pPr>
              <w:spacing w:before="120" w:after="120" w:line="240" w:lineRule="auto"/>
              <w:jc w:val="center"/>
              <w:rPr>
                <w:b/>
              </w:rPr>
            </w:pPr>
            <w:r w:rsidRPr="00B36EB9">
              <w:rPr>
                <w:b/>
              </w:rPr>
              <w:t>Probabilidade de Ocorrência</w:t>
            </w:r>
          </w:p>
        </w:tc>
      </w:tr>
      <w:tr w:rsidR="00BA57E8" w:rsidRPr="00B36EB9" w:rsidTr="00530E61">
        <w:trPr>
          <w:trHeight w:val="225"/>
          <w:jc w:val="center"/>
        </w:trPr>
        <w:tc>
          <w:tcPr>
            <w:tcW w:w="1242" w:type="dxa"/>
            <w:shd w:val="clear" w:color="auto" w:fill="auto"/>
            <w:vAlign w:val="center"/>
          </w:tcPr>
          <w:p w:rsidR="00BA57E8" w:rsidRPr="00B36EB9" w:rsidRDefault="00BA57E8" w:rsidP="00530E61">
            <w:pPr>
              <w:spacing w:before="120" w:after="120" w:line="240" w:lineRule="auto"/>
              <w:jc w:val="center"/>
            </w:pPr>
            <w:r w:rsidRPr="00B36EB9">
              <w:t>Positiva</w:t>
            </w:r>
          </w:p>
        </w:tc>
        <w:tc>
          <w:tcPr>
            <w:tcW w:w="1134" w:type="dxa"/>
            <w:shd w:val="clear" w:color="auto" w:fill="auto"/>
            <w:vAlign w:val="center"/>
          </w:tcPr>
          <w:p w:rsidR="00BA57E8" w:rsidRPr="00B36EB9" w:rsidRDefault="00BA57E8" w:rsidP="00530E61">
            <w:pPr>
              <w:spacing w:before="120" w:after="120" w:line="240" w:lineRule="auto"/>
              <w:jc w:val="center"/>
            </w:pPr>
            <w:r w:rsidRPr="00B36EB9">
              <w:t>Direta</w:t>
            </w:r>
          </w:p>
        </w:tc>
        <w:tc>
          <w:tcPr>
            <w:tcW w:w="1701" w:type="dxa"/>
            <w:shd w:val="clear" w:color="auto" w:fill="auto"/>
            <w:vAlign w:val="center"/>
          </w:tcPr>
          <w:p w:rsidR="00BA57E8" w:rsidRPr="00B36EB9" w:rsidRDefault="00BA57E8" w:rsidP="00530E61">
            <w:pPr>
              <w:spacing w:before="120" w:after="120" w:line="240" w:lineRule="auto"/>
              <w:jc w:val="center"/>
            </w:pPr>
            <w:r w:rsidRPr="00B36EB9">
              <w:t>ADA/AID</w:t>
            </w:r>
          </w:p>
        </w:tc>
        <w:tc>
          <w:tcPr>
            <w:tcW w:w="1418" w:type="dxa"/>
            <w:shd w:val="clear" w:color="auto" w:fill="auto"/>
            <w:vAlign w:val="center"/>
          </w:tcPr>
          <w:p w:rsidR="00BA57E8" w:rsidRPr="00B36EB9" w:rsidRDefault="00BA57E8" w:rsidP="00530E61">
            <w:pPr>
              <w:spacing w:before="120" w:after="120" w:line="240" w:lineRule="auto"/>
              <w:jc w:val="center"/>
            </w:pPr>
            <w:r w:rsidRPr="00B36EB9">
              <w:t>Permanente</w:t>
            </w:r>
          </w:p>
        </w:tc>
        <w:tc>
          <w:tcPr>
            <w:tcW w:w="3225" w:type="dxa"/>
            <w:shd w:val="clear" w:color="auto" w:fill="auto"/>
            <w:vAlign w:val="center"/>
          </w:tcPr>
          <w:p w:rsidR="00BA57E8" w:rsidRPr="00B36EB9" w:rsidRDefault="00BA57E8" w:rsidP="00530E61">
            <w:pPr>
              <w:spacing w:before="120" w:after="120" w:line="240" w:lineRule="auto"/>
              <w:jc w:val="center"/>
            </w:pPr>
            <w:r w:rsidRPr="00B36EB9">
              <w:t>Certa</w:t>
            </w:r>
          </w:p>
        </w:tc>
      </w:tr>
    </w:tbl>
    <w:p w:rsidR="00BA57E8" w:rsidRPr="00B36EB9" w:rsidRDefault="00BA57E8" w:rsidP="00BA57E8">
      <w:pPr>
        <w:spacing w:line="240" w:lineRule="auto"/>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1984"/>
        <w:gridCol w:w="1418"/>
        <w:gridCol w:w="1559"/>
        <w:gridCol w:w="1666"/>
      </w:tblGrid>
      <w:tr w:rsidR="00BA57E8" w:rsidRPr="00B36EB9" w:rsidTr="00530E61">
        <w:trPr>
          <w:trHeight w:val="96"/>
          <w:jc w:val="center"/>
        </w:trPr>
        <w:tc>
          <w:tcPr>
            <w:tcW w:w="2093" w:type="dxa"/>
            <w:shd w:val="clear" w:color="auto" w:fill="D9D9D9"/>
            <w:vAlign w:val="center"/>
          </w:tcPr>
          <w:p w:rsidR="00BA57E8" w:rsidRPr="00B36EB9" w:rsidRDefault="00BA57E8" w:rsidP="00530E61">
            <w:pPr>
              <w:spacing w:before="120" w:after="120" w:line="240" w:lineRule="auto"/>
              <w:jc w:val="center"/>
              <w:rPr>
                <w:b/>
              </w:rPr>
            </w:pPr>
            <w:r w:rsidRPr="00B36EB9">
              <w:rPr>
                <w:b/>
              </w:rPr>
              <w:t>Época de Ocorrência</w:t>
            </w:r>
          </w:p>
        </w:tc>
        <w:tc>
          <w:tcPr>
            <w:tcW w:w="1984" w:type="dxa"/>
            <w:shd w:val="clear" w:color="auto" w:fill="D9D9D9"/>
            <w:vAlign w:val="center"/>
          </w:tcPr>
          <w:p w:rsidR="00BA57E8" w:rsidRPr="00B36EB9" w:rsidRDefault="00BA57E8" w:rsidP="00530E61">
            <w:pPr>
              <w:spacing w:before="120" w:after="120" w:line="240" w:lineRule="auto"/>
              <w:jc w:val="center"/>
              <w:rPr>
                <w:b/>
              </w:rPr>
            </w:pPr>
            <w:r w:rsidRPr="00B36EB9">
              <w:rPr>
                <w:b/>
              </w:rPr>
              <w:t>Reversibilidade</w:t>
            </w:r>
          </w:p>
        </w:tc>
        <w:tc>
          <w:tcPr>
            <w:tcW w:w="1418" w:type="dxa"/>
            <w:shd w:val="clear" w:color="auto" w:fill="D9D9D9"/>
            <w:vAlign w:val="center"/>
          </w:tcPr>
          <w:p w:rsidR="00BA57E8" w:rsidRPr="00B36EB9" w:rsidRDefault="00BA57E8" w:rsidP="00530E61">
            <w:pPr>
              <w:spacing w:before="120" w:after="120" w:line="240" w:lineRule="auto"/>
              <w:jc w:val="center"/>
              <w:rPr>
                <w:b/>
              </w:rPr>
            </w:pPr>
            <w:r w:rsidRPr="00B36EB9">
              <w:rPr>
                <w:b/>
              </w:rPr>
              <w:t>Magnitude</w:t>
            </w:r>
          </w:p>
        </w:tc>
        <w:tc>
          <w:tcPr>
            <w:tcW w:w="1559" w:type="dxa"/>
            <w:shd w:val="clear" w:color="auto" w:fill="D9D9D9"/>
            <w:vAlign w:val="center"/>
          </w:tcPr>
          <w:p w:rsidR="00BA57E8" w:rsidRPr="00B36EB9" w:rsidRDefault="00BA57E8" w:rsidP="00530E61">
            <w:pPr>
              <w:spacing w:before="120" w:after="120" w:line="240" w:lineRule="auto"/>
              <w:jc w:val="center"/>
              <w:rPr>
                <w:b/>
              </w:rPr>
            </w:pPr>
            <w:r w:rsidRPr="00B36EB9">
              <w:rPr>
                <w:b/>
              </w:rPr>
              <w:t>Importância</w:t>
            </w:r>
          </w:p>
        </w:tc>
        <w:tc>
          <w:tcPr>
            <w:tcW w:w="1666" w:type="dxa"/>
            <w:shd w:val="clear" w:color="auto" w:fill="D9D9D9"/>
            <w:vAlign w:val="center"/>
          </w:tcPr>
          <w:p w:rsidR="00BA57E8" w:rsidRPr="00B36EB9" w:rsidRDefault="00BA57E8" w:rsidP="00530E61">
            <w:pPr>
              <w:spacing w:before="120" w:after="120" w:line="240" w:lineRule="auto"/>
              <w:jc w:val="center"/>
              <w:rPr>
                <w:b/>
              </w:rPr>
            </w:pPr>
            <w:r w:rsidRPr="00B36EB9">
              <w:rPr>
                <w:b/>
              </w:rPr>
              <w:t>Mitigação</w:t>
            </w:r>
          </w:p>
        </w:tc>
      </w:tr>
      <w:tr w:rsidR="00BA57E8" w:rsidRPr="00B36EB9" w:rsidTr="00530E61">
        <w:trPr>
          <w:trHeight w:val="157"/>
          <w:jc w:val="center"/>
        </w:trPr>
        <w:tc>
          <w:tcPr>
            <w:tcW w:w="2093" w:type="dxa"/>
            <w:shd w:val="clear" w:color="auto" w:fill="auto"/>
            <w:vAlign w:val="center"/>
          </w:tcPr>
          <w:p w:rsidR="00BA57E8" w:rsidRPr="00B36EB9" w:rsidRDefault="00BA57E8" w:rsidP="00530E61">
            <w:pPr>
              <w:spacing w:before="120" w:after="120" w:line="240" w:lineRule="auto"/>
              <w:jc w:val="center"/>
            </w:pPr>
            <w:r w:rsidRPr="00B36EB9">
              <w:t>Curto Prazo</w:t>
            </w:r>
          </w:p>
        </w:tc>
        <w:tc>
          <w:tcPr>
            <w:tcW w:w="1984" w:type="dxa"/>
            <w:shd w:val="clear" w:color="auto" w:fill="auto"/>
            <w:vAlign w:val="center"/>
          </w:tcPr>
          <w:p w:rsidR="00BA57E8" w:rsidRPr="00B36EB9" w:rsidRDefault="00BA57E8" w:rsidP="00530E61">
            <w:pPr>
              <w:spacing w:before="120" w:after="120" w:line="240" w:lineRule="auto"/>
              <w:jc w:val="center"/>
            </w:pPr>
            <w:r w:rsidRPr="00B36EB9">
              <w:t>Irreversível</w:t>
            </w:r>
          </w:p>
        </w:tc>
        <w:tc>
          <w:tcPr>
            <w:tcW w:w="1418" w:type="dxa"/>
            <w:shd w:val="clear" w:color="auto" w:fill="auto"/>
            <w:vAlign w:val="center"/>
          </w:tcPr>
          <w:p w:rsidR="00BA57E8" w:rsidRPr="00B36EB9" w:rsidRDefault="00BA57E8" w:rsidP="00530E61">
            <w:pPr>
              <w:spacing w:before="120" w:after="120" w:line="240" w:lineRule="auto"/>
              <w:jc w:val="center"/>
            </w:pPr>
            <w:r w:rsidRPr="00B36EB9">
              <w:t>Grande</w:t>
            </w:r>
          </w:p>
        </w:tc>
        <w:tc>
          <w:tcPr>
            <w:tcW w:w="1559" w:type="dxa"/>
            <w:shd w:val="clear" w:color="auto" w:fill="auto"/>
            <w:vAlign w:val="center"/>
          </w:tcPr>
          <w:p w:rsidR="00BA57E8" w:rsidRPr="00B36EB9" w:rsidRDefault="00BA57E8" w:rsidP="00530E61">
            <w:pPr>
              <w:spacing w:before="120" w:after="120" w:line="240" w:lineRule="auto"/>
              <w:jc w:val="center"/>
            </w:pPr>
            <w:r w:rsidRPr="00B36EB9">
              <w:t>Alta</w:t>
            </w:r>
          </w:p>
        </w:tc>
        <w:tc>
          <w:tcPr>
            <w:tcW w:w="1666" w:type="dxa"/>
            <w:shd w:val="clear" w:color="auto" w:fill="auto"/>
            <w:vAlign w:val="center"/>
          </w:tcPr>
          <w:p w:rsidR="00BA57E8" w:rsidRPr="00B36EB9" w:rsidRDefault="00E82C7F" w:rsidP="00530E61">
            <w:pPr>
              <w:spacing w:before="120" w:after="120" w:line="240" w:lineRule="auto"/>
              <w:jc w:val="center"/>
            </w:pPr>
            <w:r>
              <w:t>---</w:t>
            </w:r>
          </w:p>
        </w:tc>
      </w:tr>
    </w:tbl>
    <w:p w:rsidR="00BA57E8" w:rsidRPr="00ED16DB" w:rsidRDefault="00BA57E8" w:rsidP="00BA57E8">
      <w:pPr>
        <w:spacing w:before="240" w:after="120" w:line="240" w:lineRule="auto"/>
        <w:rPr>
          <w:b/>
        </w:rPr>
      </w:pPr>
      <w:r w:rsidRPr="00ED16DB">
        <w:rPr>
          <w:b/>
        </w:rPr>
        <w:t>Ações Ambientais Propostas</w:t>
      </w:r>
    </w:p>
    <w:p w:rsidR="00BA57E8" w:rsidRDefault="00BA57E8" w:rsidP="00BA57E8">
      <w:pPr>
        <w:spacing w:before="120" w:after="120" w:line="240" w:lineRule="auto"/>
        <w:rPr>
          <w:rFonts w:eastAsia="Calibri"/>
          <w:bCs/>
          <w:szCs w:val="22"/>
          <w:lang w:eastAsia="en-US"/>
        </w:rPr>
      </w:pPr>
      <w:r>
        <w:rPr>
          <w:rFonts w:eastAsia="Calibri"/>
          <w:bCs/>
          <w:szCs w:val="22"/>
          <w:lang w:eastAsia="en-US"/>
        </w:rPr>
        <w:t>Este impacto deve ser acompanhado pelos programas ambientais de Gestão Ambiental da Obra</w:t>
      </w:r>
      <w:r w:rsidRPr="00270F4B">
        <w:rPr>
          <w:rFonts w:eastAsia="Calibri"/>
          <w:bCs/>
          <w:szCs w:val="22"/>
          <w:lang w:eastAsia="en-US"/>
        </w:rPr>
        <w:t>, Controle Ambiental das Obras, Monitoramento Hidrológico, Monitoramento das Encostas Marginais</w:t>
      </w:r>
      <w:r>
        <w:rPr>
          <w:rFonts w:eastAsia="Calibri"/>
          <w:bCs/>
          <w:szCs w:val="22"/>
          <w:lang w:eastAsia="en-US"/>
        </w:rPr>
        <w:t xml:space="preserve">, e Programa de </w:t>
      </w:r>
      <w:r w:rsidR="00D225D5">
        <w:rPr>
          <w:rFonts w:eastAsia="Calibri"/>
          <w:bCs/>
          <w:szCs w:val="22"/>
          <w:lang w:eastAsia="en-US"/>
        </w:rPr>
        <w:t>Comunicação e Interação Social</w:t>
      </w:r>
      <w:r>
        <w:rPr>
          <w:rFonts w:eastAsia="Calibri"/>
          <w:bCs/>
          <w:szCs w:val="22"/>
          <w:lang w:eastAsia="en-US"/>
        </w:rPr>
        <w:t>.</w:t>
      </w:r>
    </w:p>
    <w:p w:rsidR="00973BCF" w:rsidRPr="00C64127" w:rsidRDefault="00A71868" w:rsidP="002E2454">
      <w:pPr>
        <w:pStyle w:val="Ttulo3"/>
        <w:spacing w:after="240"/>
      </w:pPr>
      <w:bookmarkStart w:id="147" w:name="_Toc418758209"/>
      <w:bookmarkStart w:id="148" w:name="_Toc418758811"/>
      <w:bookmarkStart w:id="149" w:name="_Toc419813576"/>
      <w:r w:rsidRPr="00C64127">
        <w:t>1.3.1.</w:t>
      </w:r>
      <w:r w:rsidR="00973BCF" w:rsidRPr="00C64127">
        <w:t>7. Transformação do Regime de Escoamento dos Corpos de Água</w:t>
      </w:r>
      <w:bookmarkEnd w:id="147"/>
      <w:bookmarkEnd w:id="148"/>
      <w:bookmarkEnd w:id="149"/>
    </w:p>
    <w:p w:rsidR="00B90902" w:rsidRPr="00D379F9" w:rsidRDefault="00B90902" w:rsidP="00B90902">
      <w:pPr>
        <w:spacing w:before="120" w:after="120" w:line="240" w:lineRule="auto"/>
        <w:rPr>
          <w:b/>
        </w:rPr>
      </w:pPr>
      <w:r>
        <w:rPr>
          <w:b/>
        </w:rPr>
        <w:t>Fase</w:t>
      </w:r>
      <w:r w:rsidR="00DB6D30">
        <w:rPr>
          <w:b/>
        </w:rPr>
        <w:t>s:</w:t>
      </w:r>
      <w:r>
        <w:rPr>
          <w:b/>
        </w:rPr>
        <w:t xml:space="preserve"> Implantação</w:t>
      </w:r>
      <w:r w:rsidR="00FC177D">
        <w:rPr>
          <w:b/>
        </w:rPr>
        <w:t xml:space="preserve"> e Operação</w:t>
      </w:r>
      <w:r>
        <w:rPr>
          <w:b/>
        </w:rPr>
        <w:t xml:space="preserve"> </w:t>
      </w:r>
    </w:p>
    <w:p w:rsidR="00AB17DC" w:rsidRDefault="00AB17DC" w:rsidP="00AB17DC">
      <w:pPr>
        <w:tabs>
          <w:tab w:val="left" w:pos="567"/>
        </w:tabs>
        <w:spacing w:before="120" w:after="120" w:line="240" w:lineRule="auto"/>
        <w:rPr>
          <w:rFonts w:cs="Arial"/>
          <w:szCs w:val="22"/>
        </w:rPr>
      </w:pPr>
      <w:r w:rsidRPr="00AB17DC">
        <w:rPr>
          <w:rFonts w:cs="Arial"/>
          <w:szCs w:val="22"/>
        </w:rPr>
        <w:t xml:space="preserve">A implantação das </w:t>
      </w:r>
      <w:r w:rsidRPr="00AB17DC">
        <w:rPr>
          <w:rFonts w:cs="Arial"/>
          <w:szCs w:val="22"/>
          <w:lang w:val="fr-FR"/>
        </w:rPr>
        <w:t>barragens de regularização Pedreira e Duas Pontes nos rios Jaguari e Camanducaia, visando aumentar a</w:t>
      </w:r>
      <w:r w:rsidRPr="00AB17DC">
        <w:rPr>
          <w:rFonts w:cs="Arial"/>
          <w:szCs w:val="22"/>
        </w:rPr>
        <w:t xml:space="preserve"> disponibilidade hídrica e servir ao abastecimento público, constitui uma interferência no sistema hídrico natural que ocorrerá a partir do início de formação dos lagos artificiais, condicionando o escoamento fluvial local e o respectivo regime </w:t>
      </w:r>
      <w:r w:rsidRPr="00AB17DC">
        <w:rPr>
          <w:rFonts w:cs="Arial"/>
          <w:szCs w:val="22"/>
        </w:rPr>
        <w:lastRenderedPageBreak/>
        <w:t>de vazões a jusante. As estruturas dessas barragens foram projetadas também para comportar</w:t>
      </w:r>
      <w:r w:rsidR="00C53C39">
        <w:rPr>
          <w:rFonts w:cs="Arial"/>
          <w:szCs w:val="22"/>
        </w:rPr>
        <w:t xml:space="preserve"> futuramente</w:t>
      </w:r>
      <w:r w:rsidRPr="00AB17DC">
        <w:rPr>
          <w:rFonts w:cs="Arial"/>
          <w:szCs w:val="22"/>
        </w:rPr>
        <w:t xml:space="preserve"> duas pequenas centrais hidrelétricas com cerca de 5,0 MW de potência instalada (Barragem Pedreira) e 3,0 MW (Barragem Duas Pontes). </w:t>
      </w:r>
    </w:p>
    <w:p w:rsidR="00AB17DC" w:rsidRDefault="00AB17DC" w:rsidP="00AB17DC">
      <w:pPr>
        <w:tabs>
          <w:tab w:val="left" w:pos="567"/>
        </w:tabs>
        <w:spacing w:before="120" w:after="120" w:line="240" w:lineRule="auto"/>
        <w:rPr>
          <w:rFonts w:cs="Arial"/>
          <w:szCs w:val="22"/>
        </w:rPr>
      </w:pPr>
      <w:r w:rsidRPr="00AB17DC">
        <w:rPr>
          <w:rFonts w:cs="Arial"/>
          <w:szCs w:val="22"/>
        </w:rPr>
        <w:t xml:space="preserve">No </w:t>
      </w:r>
      <w:r w:rsidRPr="00AB17DC">
        <w:rPr>
          <w:rFonts w:cs="Arial"/>
          <w:b/>
          <w:szCs w:val="22"/>
        </w:rPr>
        <w:t xml:space="preserve">Quadro </w:t>
      </w:r>
      <w:r>
        <w:rPr>
          <w:rFonts w:cs="Arial"/>
          <w:b/>
          <w:szCs w:val="22"/>
        </w:rPr>
        <w:t xml:space="preserve">1.3.7 </w:t>
      </w:r>
      <w:r w:rsidRPr="00AB17DC">
        <w:rPr>
          <w:rFonts w:cs="Arial"/>
          <w:szCs w:val="22"/>
        </w:rPr>
        <w:t xml:space="preserve">a seguir, constam as principais características desses empreendimentos. </w:t>
      </w:r>
    </w:p>
    <w:p w:rsidR="00AB17DC" w:rsidRPr="00AB17DC" w:rsidRDefault="00AB17DC" w:rsidP="00AB17DC">
      <w:pPr>
        <w:tabs>
          <w:tab w:val="left" w:pos="567"/>
        </w:tabs>
        <w:spacing w:before="120" w:after="120" w:line="240" w:lineRule="auto"/>
        <w:rPr>
          <w:rFonts w:cs="Arial"/>
          <w:szCs w:val="22"/>
        </w:rPr>
      </w:pPr>
    </w:p>
    <w:p w:rsidR="00AB17DC" w:rsidRPr="00AB17DC" w:rsidRDefault="00AB17DC" w:rsidP="00AB17DC">
      <w:pPr>
        <w:pStyle w:val="Legenda"/>
        <w:spacing w:after="0"/>
        <w:jc w:val="center"/>
        <w:rPr>
          <w:b w:val="0"/>
          <w:i w:val="0"/>
        </w:rPr>
      </w:pPr>
      <w:bookmarkStart w:id="150" w:name="_Toc420316450"/>
      <w:r w:rsidRPr="00AB17DC">
        <w:rPr>
          <w:i w:val="0"/>
        </w:rPr>
        <w:t xml:space="preserve">Quadro </w:t>
      </w:r>
      <w:r w:rsidR="00B80A05" w:rsidRPr="00AB17DC">
        <w:rPr>
          <w:i w:val="0"/>
        </w:rPr>
        <w:fldChar w:fldCharType="begin"/>
      </w:r>
      <w:r w:rsidRPr="00AB17DC">
        <w:rPr>
          <w:i w:val="0"/>
        </w:rPr>
        <w:instrText xml:space="preserve"> STYLEREF 2 \s </w:instrText>
      </w:r>
      <w:r w:rsidR="00B80A05" w:rsidRPr="00AB17DC">
        <w:rPr>
          <w:i w:val="0"/>
        </w:rPr>
        <w:fldChar w:fldCharType="separate"/>
      </w:r>
      <w:r w:rsidR="00316060">
        <w:rPr>
          <w:i w:val="0"/>
          <w:noProof/>
        </w:rPr>
        <w:t>1.3</w:t>
      </w:r>
      <w:r w:rsidR="00B80A05" w:rsidRPr="00AB17DC">
        <w:rPr>
          <w:i w:val="0"/>
        </w:rPr>
        <w:fldChar w:fldCharType="end"/>
      </w:r>
      <w:r w:rsidRPr="00AB17DC">
        <w:rPr>
          <w:i w:val="0"/>
        </w:rPr>
        <w:t>.</w:t>
      </w:r>
      <w:r w:rsidR="00B80A05" w:rsidRPr="00AB17DC">
        <w:rPr>
          <w:i w:val="0"/>
        </w:rPr>
        <w:fldChar w:fldCharType="begin"/>
      </w:r>
      <w:r w:rsidRPr="00AB17DC">
        <w:rPr>
          <w:i w:val="0"/>
        </w:rPr>
        <w:instrText xml:space="preserve"> SEQ Quadro \* ARABIC \s 2 </w:instrText>
      </w:r>
      <w:r w:rsidR="00B80A05" w:rsidRPr="00AB17DC">
        <w:rPr>
          <w:i w:val="0"/>
        </w:rPr>
        <w:fldChar w:fldCharType="separate"/>
      </w:r>
      <w:r w:rsidR="00316060">
        <w:rPr>
          <w:i w:val="0"/>
          <w:noProof/>
        </w:rPr>
        <w:t>7</w:t>
      </w:r>
      <w:r w:rsidR="00B80A05" w:rsidRPr="00AB17DC">
        <w:rPr>
          <w:i w:val="0"/>
        </w:rPr>
        <w:fldChar w:fldCharType="end"/>
      </w:r>
      <w:r w:rsidRPr="00AB17DC">
        <w:rPr>
          <w:i w:val="0"/>
        </w:rPr>
        <w:t>.</w:t>
      </w:r>
      <w:r w:rsidRPr="00AB17DC">
        <w:rPr>
          <w:b w:val="0"/>
          <w:i w:val="0"/>
        </w:rPr>
        <w:t xml:space="preserve"> - Caracterização Comparativa das Barragens Pedreira e Duas Pontes</w:t>
      </w:r>
      <w:bookmarkEnd w:id="150"/>
      <w:r w:rsidRPr="00AB17DC">
        <w:rPr>
          <w:b w:val="0"/>
          <w:i w:val="0"/>
        </w:rPr>
        <w:t xml:space="preserve"> </w:t>
      </w:r>
    </w:p>
    <w:tbl>
      <w:tblPr>
        <w:tblW w:w="4405" w:type="pct"/>
        <w:jc w:val="center"/>
        <w:tblInd w:w="70" w:type="dxa"/>
        <w:tblCellMar>
          <w:left w:w="70" w:type="dxa"/>
          <w:right w:w="70" w:type="dxa"/>
        </w:tblCellMar>
        <w:tblLook w:val="04A0" w:firstRow="1" w:lastRow="0" w:firstColumn="1" w:lastColumn="0" w:noHBand="0" w:noVBand="1"/>
      </w:tblPr>
      <w:tblGrid>
        <w:gridCol w:w="3908"/>
        <w:gridCol w:w="2228"/>
        <w:gridCol w:w="2228"/>
      </w:tblGrid>
      <w:tr w:rsidR="00AB17DC" w:rsidRPr="00E60504" w:rsidTr="00AB17DC">
        <w:trPr>
          <w:trHeight w:hRule="exact" w:val="340"/>
          <w:jc w:val="center"/>
        </w:trPr>
        <w:tc>
          <w:tcPr>
            <w:tcW w:w="2336"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AB17DC" w:rsidRPr="00E60504" w:rsidRDefault="00AB17DC" w:rsidP="00AB17DC">
            <w:pPr>
              <w:spacing w:line="240" w:lineRule="auto"/>
              <w:jc w:val="center"/>
              <w:rPr>
                <w:rFonts w:cs="Arial"/>
                <w:b/>
                <w:bCs/>
                <w:color w:val="000000"/>
                <w:sz w:val="18"/>
                <w:szCs w:val="18"/>
              </w:rPr>
            </w:pPr>
            <w:r w:rsidRPr="00E60504">
              <w:rPr>
                <w:rFonts w:cs="Arial"/>
                <w:b/>
                <w:bCs/>
                <w:color w:val="000000"/>
                <w:sz w:val="18"/>
                <w:szCs w:val="18"/>
              </w:rPr>
              <w:t>Empreendimento</w:t>
            </w:r>
          </w:p>
        </w:tc>
        <w:tc>
          <w:tcPr>
            <w:tcW w:w="1332" w:type="pct"/>
            <w:tcBorders>
              <w:top w:val="single" w:sz="4" w:space="0" w:color="auto"/>
              <w:left w:val="nil"/>
              <w:bottom w:val="single" w:sz="4" w:space="0" w:color="auto"/>
              <w:right w:val="single" w:sz="4" w:space="0" w:color="auto"/>
            </w:tcBorders>
            <w:shd w:val="clear" w:color="000000" w:fill="D9D9D9"/>
            <w:vAlign w:val="center"/>
            <w:hideMark/>
          </w:tcPr>
          <w:p w:rsidR="00AB17DC" w:rsidRPr="00E60504" w:rsidRDefault="00AB17DC" w:rsidP="00AB17DC">
            <w:pPr>
              <w:spacing w:line="240" w:lineRule="auto"/>
              <w:jc w:val="center"/>
              <w:rPr>
                <w:rFonts w:cs="Arial"/>
                <w:b/>
                <w:bCs/>
                <w:color w:val="000000"/>
                <w:sz w:val="18"/>
                <w:szCs w:val="18"/>
              </w:rPr>
            </w:pPr>
            <w:r w:rsidRPr="00E60504">
              <w:rPr>
                <w:rFonts w:cs="Arial"/>
                <w:b/>
                <w:bCs/>
                <w:color w:val="000000"/>
                <w:sz w:val="18"/>
                <w:szCs w:val="18"/>
              </w:rPr>
              <w:t>Barragem Pedreira</w:t>
            </w:r>
          </w:p>
        </w:tc>
        <w:tc>
          <w:tcPr>
            <w:tcW w:w="1332" w:type="pct"/>
            <w:tcBorders>
              <w:top w:val="single" w:sz="4" w:space="0" w:color="auto"/>
              <w:left w:val="nil"/>
              <w:bottom w:val="single" w:sz="4" w:space="0" w:color="auto"/>
              <w:right w:val="single" w:sz="4" w:space="0" w:color="auto"/>
            </w:tcBorders>
            <w:shd w:val="clear" w:color="000000" w:fill="D9D9D9"/>
            <w:vAlign w:val="center"/>
            <w:hideMark/>
          </w:tcPr>
          <w:p w:rsidR="00AB17DC" w:rsidRPr="00E60504" w:rsidRDefault="00AB17DC" w:rsidP="00AB17DC">
            <w:pPr>
              <w:spacing w:line="240" w:lineRule="auto"/>
              <w:jc w:val="center"/>
              <w:rPr>
                <w:rFonts w:cs="Arial"/>
                <w:b/>
                <w:bCs/>
                <w:color w:val="000000"/>
                <w:sz w:val="18"/>
                <w:szCs w:val="18"/>
              </w:rPr>
            </w:pPr>
            <w:r w:rsidRPr="00E60504">
              <w:rPr>
                <w:rFonts w:cs="Arial"/>
                <w:b/>
                <w:bCs/>
                <w:color w:val="000000"/>
                <w:sz w:val="18"/>
                <w:szCs w:val="18"/>
              </w:rPr>
              <w:t>Barragem Duas Pontes</w:t>
            </w:r>
          </w:p>
        </w:tc>
      </w:tr>
      <w:tr w:rsidR="00AB17DC" w:rsidRPr="00E60504" w:rsidTr="00AB17DC">
        <w:trPr>
          <w:trHeight w:hRule="exact" w:val="340"/>
          <w:jc w:val="center"/>
        </w:trPr>
        <w:tc>
          <w:tcPr>
            <w:tcW w:w="2336" w:type="pct"/>
            <w:tcBorders>
              <w:top w:val="nil"/>
              <w:left w:val="single" w:sz="4" w:space="0" w:color="auto"/>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left"/>
              <w:rPr>
                <w:rFonts w:cs="Arial"/>
                <w:color w:val="000000"/>
                <w:sz w:val="18"/>
                <w:szCs w:val="18"/>
              </w:rPr>
            </w:pPr>
            <w:r>
              <w:rPr>
                <w:rFonts w:cs="Arial"/>
                <w:color w:val="000000"/>
                <w:sz w:val="18"/>
                <w:szCs w:val="18"/>
              </w:rPr>
              <w:t xml:space="preserve">Curso d’água </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Pr>
                <w:rFonts w:cs="Arial"/>
                <w:color w:val="000000"/>
                <w:sz w:val="18"/>
                <w:szCs w:val="18"/>
              </w:rPr>
              <w:t xml:space="preserve">Rio </w:t>
            </w:r>
            <w:r w:rsidRPr="00E60504">
              <w:rPr>
                <w:rFonts w:cs="Arial"/>
                <w:color w:val="000000"/>
                <w:sz w:val="18"/>
                <w:szCs w:val="18"/>
              </w:rPr>
              <w:t>Jaquari</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Pr>
                <w:rFonts w:cs="Arial"/>
                <w:color w:val="000000"/>
                <w:sz w:val="18"/>
                <w:szCs w:val="18"/>
              </w:rPr>
              <w:t xml:space="preserve">Rio </w:t>
            </w:r>
            <w:r w:rsidRPr="00E60504">
              <w:rPr>
                <w:rFonts w:cs="Arial"/>
                <w:color w:val="000000"/>
                <w:sz w:val="18"/>
                <w:szCs w:val="18"/>
              </w:rPr>
              <w:t>Camanducaia</w:t>
            </w:r>
          </w:p>
        </w:tc>
      </w:tr>
      <w:tr w:rsidR="00AB17DC" w:rsidRPr="00E60504" w:rsidTr="00AB17DC">
        <w:trPr>
          <w:trHeight w:hRule="exact" w:val="340"/>
          <w:jc w:val="center"/>
        </w:trPr>
        <w:tc>
          <w:tcPr>
            <w:tcW w:w="2336" w:type="pct"/>
            <w:tcBorders>
              <w:top w:val="nil"/>
              <w:left w:val="single" w:sz="4" w:space="0" w:color="auto"/>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left"/>
              <w:rPr>
                <w:rFonts w:cs="Arial"/>
                <w:color w:val="000000"/>
                <w:sz w:val="18"/>
                <w:szCs w:val="18"/>
              </w:rPr>
            </w:pPr>
            <w:r w:rsidRPr="00E60504">
              <w:rPr>
                <w:rFonts w:cs="Arial"/>
                <w:color w:val="000000"/>
                <w:sz w:val="18"/>
                <w:szCs w:val="18"/>
              </w:rPr>
              <w:t>Cota no NA máx. normal (m)</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18"/>
              </w:rPr>
              <w:t>637</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18"/>
              </w:rPr>
              <w:t>646</w:t>
            </w:r>
          </w:p>
        </w:tc>
      </w:tr>
      <w:tr w:rsidR="00AB17DC" w:rsidRPr="00E60504" w:rsidTr="00AB17DC">
        <w:trPr>
          <w:trHeight w:hRule="exact" w:val="340"/>
          <w:jc w:val="center"/>
        </w:trPr>
        <w:tc>
          <w:tcPr>
            <w:tcW w:w="2336" w:type="pct"/>
            <w:tcBorders>
              <w:top w:val="nil"/>
              <w:left w:val="single" w:sz="4" w:space="0" w:color="auto"/>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left"/>
              <w:rPr>
                <w:rFonts w:cs="Arial"/>
                <w:color w:val="000000"/>
                <w:sz w:val="18"/>
                <w:szCs w:val="18"/>
              </w:rPr>
            </w:pPr>
            <w:r w:rsidRPr="00E60504">
              <w:rPr>
                <w:rFonts w:cs="Arial"/>
                <w:color w:val="000000"/>
                <w:sz w:val="18"/>
                <w:szCs w:val="18"/>
              </w:rPr>
              <w:t>Área do reservatório no NA max. normal (ha</w:t>
            </w:r>
            <w:r w:rsidRPr="00E60504">
              <w:rPr>
                <w:rFonts w:cs="Arial"/>
                <w:color w:val="000000"/>
                <w:sz w:val="16"/>
                <w:szCs w:val="16"/>
              </w:rPr>
              <w:t> </w:t>
            </w:r>
            <w:r w:rsidRPr="00E60504">
              <w:rPr>
                <w:rFonts w:cs="Arial"/>
                <w:color w:val="000000"/>
                <w:sz w:val="18"/>
                <w:szCs w:val="18"/>
              </w:rPr>
              <w:t>)</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18"/>
              </w:rPr>
              <w:t>202</w:t>
            </w:r>
            <w:r w:rsidRPr="00E60504">
              <w:rPr>
                <w:rFonts w:cs="Arial"/>
                <w:color w:val="000000"/>
                <w:sz w:val="16"/>
                <w:szCs w:val="16"/>
              </w:rPr>
              <w:t> </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18"/>
              </w:rPr>
              <w:t>489</w:t>
            </w:r>
          </w:p>
        </w:tc>
      </w:tr>
      <w:tr w:rsidR="00AB17DC" w:rsidRPr="00E60504" w:rsidTr="00AB17DC">
        <w:trPr>
          <w:trHeight w:hRule="exact" w:val="340"/>
          <w:jc w:val="center"/>
        </w:trPr>
        <w:tc>
          <w:tcPr>
            <w:tcW w:w="2336" w:type="pct"/>
            <w:tcBorders>
              <w:top w:val="nil"/>
              <w:left w:val="single" w:sz="4" w:space="0" w:color="auto"/>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left"/>
              <w:rPr>
                <w:rFonts w:cs="Arial"/>
                <w:color w:val="000000"/>
                <w:sz w:val="18"/>
                <w:szCs w:val="18"/>
              </w:rPr>
            </w:pPr>
            <w:r w:rsidRPr="00E60504">
              <w:rPr>
                <w:rFonts w:cs="Arial"/>
                <w:color w:val="000000"/>
                <w:sz w:val="18"/>
                <w:szCs w:val="18"/>
              </w:rPr>
              <w:t>Área alagada</w:t>
            </w:r>
            <w:r w:rsidRPr="00E60504">
              <w:rPr>
                <w:rFonts w:cs="Arial"/>
                <w:color w:val="000000"/>
                <w:sz w:val="16"/>
                <w:szCs w:val="16"/>
              </w:rPr>
              <w:t> </w:t>
            </w:r>
            <w:r w:rsidRPr="00E60504">
              <w:rPr>
                <w:rFonts w:cs="Arial"/>
                <w:color w:val="000000"/>
                <w:sz w:val="18"/>
                <w:szCs w:val="18"/>
              </w:rPr>
              <w:t xml:space="preserve"> (ha)</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18"/>
              </w:rPr>
              <w:t>181</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18"/>
              </w:rPr>
              <w:t>464</w:t>
            </w:r>
          </w:p>
        </w:tc>
      </w:tr>
      <w:tr w:rsidR="00AB17DC" w:rsidRPr="00E60504" w:rsidTr="00AB17DC">
        <w:trPr>
          <w:trHeight w:hRule="exact" w:val="340"/>
          <w:jc w:val="center"/>
        </w:trPr>
        <w:tc>
          <w:tcPr>
            <w:tcW w:w="2336" w:type="pct"/>
            <w:tcBorders>
              <w:top w:val="nil"/>
              <w:left w:val="single" w:sz="4" w:space="0" w:color="auto"/>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left"/>
              <w:rPr>
                <w:rFonts w:cs="Arial"/>
                <w:color w:val="000000"/>
                <w:sz w:val="18"/>
                <w:szCs w:val="18"/>
              </w:rPr>
            </w:pPr>
            <w:r w:rsidRPr="00E60504">
              <w:rPr>
                <w:rFonts w:cs="Arial"/>
                <w:color w:val="000000"/>
                <w:sz w:val="18"/>
                <w:szCs w:val="18"/>
              </w:rPr>
              <w:t>Volume total do reservatório (hm³)</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18"/>
              </w:rPr>
              <w:t>38,34</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18"/>
              </w:rPr>
              <w:t>55,88</w:t>
            </w:r>
          </w:p>
        </w:tc>
      </w:tr>
      <w:tr w:rsidR="00AB17DC" w:rsidRPr="00E60504" w:rsidTr="00AB17DC">
        <w:trPr>
          <w:trHeight w:hRule="exact" w:val="340"/>
          <w:jc w:val="center"/>
        </w:trPr>
        <w:tc>
          <w:tcPr>
            <w:tcW w:w="2336" w:type="pct"/>
            <w:tcBorders>
              <w:top w:val="nil"/>
              <w:left w:val="single" w:sz="4" w:space="0" w:color="auto"/>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left"/>
              <w:rPr>
                <w:rFonts w:cs="Arial"/>
                <w:color w:val="000000"/>
                <w:sz w:val="18"/>
                <w:szCs w:val="18"/>
              </w:rPr>
            </w:pPr>
            <w:r w:rsidRPr="00E60504">
              <w:rPr>
                <w:rFonts w:cs="Arial"/>
                <w:color w:val="000000"/>
                <w:sz w:val="18"/>
                <w:szCs w:val="18"/>
              </w:rPr>
              <w:t>Volume útil do reservatório (hm³)</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18"/>
              </w:rPr>
              <w:t>31,92</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18"/>
              </w:rPr>
              <w:t>53,37</w:t>
            </w:r>
          </w:p>
        </w:tc>
      </w:tr>
      <w:tr w:rsidR="00AB17DC" w:rsidRPr="00E60504" w:rsidTr="00AB17DC">
        <w:trPr>
          <w:trHeight w:hRule="exact" w:val="340"/>
          <w:jc w:val="center"/>
        </w:trPr>
        <w:tc>
          <w:tcPr>
            <w:tcW w:w="2336" w:type="pct"/>
            <w:tcBorders>
              <w:top w:val="nil"/>
              <w:left w:val="single" w:sz="4" w:space="0" w:color="auto"/>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left"/>
              <w:rPr>
                <w:rFonts w:ascii="Helvetica-Bold" w:hAnsi="Helvetica-Bold" w:cs="Calibri"/>
                <w:color w:val="000000"/>
                <w:sz w:val="18"/>
                <w:szCs w:val="18"/>
              </w:rPr>
            </w:pPr>
            <w:r w:rsidRPr="00E60504">
              <w:rPr>
                <w:rFonts w:ascii="Helvetica-Bold" w:hAnsi="Helvetica-Bold" w:cs="Calibri"/>
                <w:color w:val="000000"/>
                <w:sz w:val="18"/>
                <w:szCs w:val="18"/>
              </w:rPr>
              <w:t xml:space="preserve">Vazão regularizada </w:t>
            </w:r>
            <w:r>
              <w:rPr>
                <w:rFonts w:cs="Arial"/>
                <w:color w:val="000000"/>
                <w:sz w:val="18"/>
                <w:szCs w:val="18"/>
              </w:rPr>
              <w:t>com 98</w:t>
            </w:r>
            <w:r w:rsidRPr="00E60504">
              <w:rPr>
                <w:rFonts w:cs="Arial"/>
                <w:color w:val="000000"/>
                <w:sz w:val="18"/>
                <w:szCs w:val="18"/>
              </w:rPr>
              <w:t>% garantia (m³/s)</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Pr>
                <w:rFonts w:cs="Arial"/>
                <w:color w:val="000000"/>
                <w:sz w:val="18"/>
                <w:szCs w:val="18"/>
              </w:rPr>
              <w:t>8,46</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Pr>
                <w:rFonts w:cs="Arial"/>
                <w:color w:val="000000"/>
                <w:sz w:val="18"/>
                <w:szCs w:val="18"/>
              </w:rPr>
              <w:t>8,72</w:t>
            </w:r>
          </w:p>
        </w:tc>
      </w:tr>
      <w:tr w:rsidR="00AB17DC" w:rsidRPr="00E60504" w:rsidTr="00AB17DC">
        <w:trPr>
          <w:trHeight w:hRule="exact" w:val="340"/>
          <w:jc w:val="center"/>
        </w:trPr>
        <w:tc>
          <w:tcPr>
            <w:tcW w:w="2336" w:type="pct"/>
            <w:tcBorders>
              <w:top w:val="nil"/>
              <w:left w:val="single" w:sz="4" w:space="0" w:color="auto"/>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left"/>
              <w:rPr>
                <w:rFonts w:ascii="Helvetica-Bold" w:hAnsi="Helvetica-Bold" w:cs="Calibri"/>
                <w:color w:val="000000"/>
                <w:sz w:val="18"/>
                <w:szCs w:val="18"/>
              </w:rPr>
            </w:pPr>
            <w:r w:rsidRPr="00E60504">
              <w:rPr>
                <w:rFonts w:ascii="Helvetica-Bold" w:hAnsi="Helvetica-Bold" w:cs="Calibri"/>
                <w:color w:val="000000"/>
                <w:sz w:val="18"/>
                <w:szCs w:val="22"/>
              </w:rPr>
              <w:t>Profundidade máxima (m)</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22"/>
              </w:rPr>
              <w:t>46</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22"/>
              </w:rPr>
              <w:t>36</w:t>
            </w:r>
          </w:p>
        </w:tc>
      </w:tr>
      <w:tr w:rsidR="00AB17DC" w:rsidRPr="00E60504" w:rsidTr="00AB17DC">
        <w:trPr>
          <w:trHeight w:hRule="exact" w:val="340"/>
          <w:jc w:val="center"/>
        </w:trPr>
        <w:tc>
          <w:tcPr>
            <w:tcW w:w="2336" w:type="pct"/>
            <w:tcBorders>
              <w:top w:val="nil"/>
              <w:left w:val="single" w:sz="4" w:space="0" w:color="auto"/>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left"/>
              <w:rPr>
                <w:rFonts w:ascii="Helvetica-Bold" w:hAnsi="Helvetica-Bold" w:cs="Calibri"/>
                <w:color w:val="000000"/>
                <w:sz w:val="18"/>
                <w:szCs w:val="18"/>
              </w:rPr>
            </w:pPr>
            <w:r w:rsidRPr="00E60504">
              <w:rPr>
                <w:rFonts w:ascii="Helvetica-Bold" w:hAnsi="Helvetica-Bold" w:cs="Calibri"/>
                <w:color w:val="000000"/>
                <w:sz w:val="18"/>
                <w:szCs w:val="22"/>
              </w:rPr>
              <w:t>Profundidade média (m)</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22"/>
              </w:rPr>
              <w:t>18,98</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22"/>
              </w:rPr>
              <w:t>11,43</w:t>
            </w:r>
          </w:p>
        </w:tc>
      </w:tr>
      <w:tr w:rsidR="00AB17DC" w:rsidRPr="00E60504" w:rsidTr="00AB17DC">
        <w:trPr>
          <w:trHeight w:hRule="exact" w:val="340"/>
          <w:jc w:val="center"/>
        </w:trPr>
        <w:tc>
          <w:tcPr>
            <w:tcW w:w="2336" w:type="pct"/>
            <w:tcBorders>
              <w:top w:val="nil"/>
              <w:left w:val="single" w:sz="4" w:space="0" w:color="auto"/>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left"/>
              <w:rPr>
                <w:rFonts w:ascii="Helvetica-Bold" w:hAnsi="Helvetica-Bold" w:cs="Calibri"/>
                <w:color w:val="000000"/>
                <w:sz w:val="18"/>
                <w:szCs w:val="18"/>
              </w:rPr>
            </w:pPr>
            <w:r w:rsidRPr="00E60504">
              <w:rPr>
                <w:rFonts w:ascii="Helvetica-Bold" w:hAnsi="Helvetica-Bold" w:cs="Calibri"/>
                <w:color w:val="000000"/>
                <w:sz w:val="18"/>
                <w:szCs w:val="22"/>
              </w:rPr>
              <w:t>Tempo de retenção médio (dias)</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22"/>
              </w:rPr>
              <w:t>24,75</w:t>
            </w:r>
          </w:p>
        </w:tc>
        <w:tc>
          <w:tcPr>
            <w:tcW w:w="1332" w:type="pct"/>
            <w:tcBorders>
              <w:top w:val="nil"/>
              <w:left w:val="nil"/>
              <w:bottom w:val="single" w:sz="4" w:space="0" w:color="auto"/>
              <w:right w:val="single" w:sz="4" w:space="0" w:color="auto"/>
            </w:tcBorders>
            <w:shd w:val="clear" w:color="000000" w:fill="FFFFFF"/>
            <w:vAlign w:val="center"/>
            <w:hideMark/>
          </w:tcPr>
          <w:p w:rsidR="00AB17DC" w:rsidRPr="00E60504" w:rsidRDefault="00AB17DC" w:rsidP="00AB17DC">
            <w:pPr>
              <w:spacing w:line="240" w:lineRule="auto"/>
              <w:jc w:val="center"/>
              <w:rPr>
                <w:rFonts w:cs="Arial"/>
                <w:color w:val="000000"/>
                <w:sz w:val="18"/>
                <w:szCs w:val="18"/>
              </w:rPr>
            </w:pPr>
            <w:r w:rsidRPr="00E60504">
              <w:rPr>
                <w:rFonts w:cs="Arial"/>
                <w:color w:val="000000"/>
                <w:sz w:val="18"/>
                <w:szCs w:val="22"/>
              </w:rPr>
              <w:t>46,3</w:t>
            </w:r>
          </w:p>
        </w:tc>
      </w:tr>
    </w:tbl>
    <w:p w:rsidR="00AB17DC" w:rsidRPr="00AB17DC" w:rsidRDefault="00AB17DC" w:rsidP="00AB17DC">
      <w:pPr>
        <w:tabs>
          <w:tab w:val="left" w:pos="567"/>
        </w:tabs>
        <w:spacing w:before="120" w:after="120" w:line="240" w:lineRule="auto"/>
        <w:rPr>
          <w:rFonts w:cs="Arial"/>
          <w:szCs w:val="22"/>
        </w:rPr>
      </w:pPr>
    </w:p>
    <w:p w:rsidR="00AB17DC" w:rsidRDefault="00AB17DC" w:rsidP="00B90902">
      <w:pPr>
        <w:pStyle w:val="CorpodoTexto"/>
        <w:rPr>
          <w:rFonts w:cs="Arial"/>
          <w:szCs w:val="22"/>
        </w:rPr>
      </w:pPr>
      <w:r w:rsidRPr="00AB17DC">
        <w:rPr>
          <w:rFonts w:cs="Arial"/>
          <w:szCs w:val="22"/>
        </w:rPr>
        <w:t>De modo geral, as mudanças esperadas no sistema hídrico possivelmente serão mais relevantes no rio Camanducaia, considerando que a Barragem Duas Pontes apresentará maior área inundada (</w:t>
      </w:r>
      <w:r>
        <w:rPr>
          <w:rFonts w:cs="Arial"/>
          <w:szCs w:val="22"/>
        </w:rPr>
        <w:t>463</w:t>
      </w:r>
      <w:r w:rsidRPr="00AB17DC">
        <w:rPr>
          <w:rFonts w:cs="Arial"/>
          <w:szCs w:val="22"/>
        </w:rPr>
        <w:t xml:space="preserve"> ha) quando comparada à Barragem Pedreira (181 </w:t>
      </w:r>
      <w:r>
        <w:rPr>
          <w:rFonts w:cs="Arial"/>
          <w:szCs w:val="22"/>
        </w:rPr>
        <w:t>ha</w:t>
      </w:r>
      <w:r w:rsidRPr="00AB17DC">
        <w:rPr>
          <w:rFonts w:cs="Arial"/>
          <w:szCs w:val="22"/>
        </w:rPr>
        <w:t xml:space="preserve">). </w:t>
      </w:r>
    </w:p>
    <w:p w:rsidR="00AB17DC" w:rsidRPr="00AB17DC" w:rsidRDefault="00AB17DC" w:rsidP="00AB17DC">
      <w:pPr>
        <w:pStyle w:val="CorpodoTexto"/>
      </w:pPr>
      <w:r w:rsidRPr="00AB17DC">
        <w:t xml:space="preserve">A alteração do regime de vazões dos corpos d’água é mais sensível nos reservatórios dotados de volume útil, pois os mesmos reservam água no período chuvoso visando sua liberação na época seca, de forma a manter um efeito regularizador de vazões e abater as operações de vertimento. Nesse sentido, merece maior atenção o reservatório da Barragem Duas Pontes, cujo volume útil foi estimado em 53,37 hm³, que é superior quando comparado ao do reservatório da Barragem Pedreira (31,92 hm³). </w:t>
      </w:r>
    </w:p>
    <w:p w:rsidR="00AB17DC" w:rsidRPr="00AB17DC" w:rsidRDefault="00AB17DC" w:rsidP="00AB17DC">
      <w:pPr>
        <w:pStyle w:val="CorpodoTexto"/>
      </w:pPr>
      <w:r w:rsidRPr="00AB17DC">
        <w:t>Ambos os reservatórios deverão começar a ser formados em novembro, no início do período chuvoso, sendo que o enchimento será subdividido em duas fases, conforme especificado a seguir:</w:t>
      </w:r>
    </w:p>
    <w:p w:rsidR="00AB17DC" w:rsidRPr="00AB17DC" w:rsidRDefault="00AB17DC" w:rsidP="00AB17DC">
      <w:pPr>
        <w:pStyle w:val="CorpodoTexto"/>
        <w:numPr>
          <w:ilvl w:val="0"/>
          <w:numId w:val="85"/>
        </w:numPr>
      </w:pPr>
      <w:r w:rsidRPr="00AB17DC">
        <w:t>Barragem Pedreira</w:t>
      </w:r>
    </w:p>
    <w:p w:rsidR="00AB17DC" w:rsidRPr="00AB17DC" w:rsidRDefault="00AB17DC" w:rsidP="00AB17DC">
      <w:pPr>
        <w:pStyle w:val="CorpodoTexto"/>
      </w:pPr>
      <w:r w:rsidRPr="00AB17DC">
        <w:t>Primeira fase: enchimento com liberação de vazão sanitária de 2,80 m</w:t>
      </w:r>
      <w:r w:rsidRPr="00AB17DC">
        <w:rPr>
          <w:vertAlign w:val="superscript"/>
        </w:rPr>
        <w:t>3</w:t>
      </w:r>
      <w:r w:rsidRPr="00AB17DC">
        <w:t>/s até completar o volume de 6,421X10</w:t>
      </w:r>
      <w:r w:rsidRPr="00AB17DC">
        <w:rPr>
          <w:vertAlign w:val="superscript"/>
        </w:rPr>
        <w:t>6</w:t>
      </w:r>
      <w:r w:rsidRPr="00AB17DC">
        <w:t xml:space="preserve"> m</w:t>
      </w:r>
      <w:r w:rsidRPr="00AB17DC">
        <w:rPr>
          <w:vertAlign w:val="superscript"/>
        </w:rPr>
        <w:t>3</w:t>
      </w:r>
      <w:r w:rsidRPr="00AB17DC">
        <w:t xml:space="preserve"> correspondente ao nível d’água mínimo normal de 613,00 m. Esta fase terá duração de cerca de 8 dias.</w:t>
      </w:r>
    </w:p>
    <w:p w:rsidR="00AB17DC" w:rsidRPr="00AB17DC" w:rsidRDefault="00AB17DC" w:rsidP="00AB17DC">
      <w:pPr>
        <w:pStyle w:val="CorpodoTexto"/>
      </w:pPr>
      <w:r w:rsidRPr="00AB17DC">
        <w:t>Segunda fase: prosseguimento do enchimento, com liberação de vazão de 8,46 m</w:t>
      </w:r>
      <w:r w:rsidRPr="00AB17DC">
        <w:rPr>
          <w:vertAlign w:val="superscript"/>
        </w:rPr>
        <w:t>3</w:t>
      </w:r>
      <w:r w:rsidRPr="00AB17DC">
        <w:t>/s, até completar o volume de 31,92 X 10</w:t>
      </w:r>
      <w:r w:rsidRPr="00AB17DC">
        <w:rPr>
          <w:vertAlign w:val="superscript"/>
        </w:rPr>
        <w:t>6</w:t>
      </w:r>
      <w:r w:rsidRPr="00AB17DC">
        <w:t xml:space="preserve"> m</w:t>
      </w:r>
      <w:r w:rsidRPr="00AB17DC">
        <w:rPr>
          <w:vertAlign w:val="superscript"/>
        </w:rPr>
        <w:t>3</w:t>
      </w:r>
      <w:r w:rsidRPr="00AB17DC">
        <w:t>, correspondente ao nível d’água máximo normal de operação de 637,00 m, com duração de aproximadamente 53 dias. Tempo total do enchimento: 61 dias.</w:t>
      </w:r>
    </w:p>
    <w:p w:rsidR="00AB17DC" w:rsidRPr="00AB17DC" w:rsidRDefault="00AB17DC" w:rsidP="00AB17DC">
      <w:pPr>
        <w:pStyle w:val="CorpodoTexto"/>
        <w:numPr>
          <w:ilvl w:val="0"/>
          <w:numId w:val="85"/>
        </w:numPr>
      </w:pPr>
      <w:r w:rsidRPr="00AB17DC">
        <w:t xml:space="preserve">Barragem Duas Pontes: </w:t>
      </w:r>
    </w:p>
    <w:p w:rsidR="00AB17DC" w:rsidRPr="00AB17DC" w:rsidRDefault="00AB17DC" w:rsidP="00AB17DC">
      <w:pPr>
        <w:pStyle w:val="CorpodoTexto"/>
      </w:pPr>
      <w:r w:rsidRPr="00AB17DC">
        <w:t>Primeira fase: nos primeiros quatro dias está prevista a liberação da vazão sanitária de 2,80 m</w:t>
      </w:r>
      <w:r w:rsidRPr="00AB17DC">
        <w:rPr>
          <w:vertAlign w:val="superscript"/>
        </w:rPr>
        <w:t>3</w:t>
      </w:r>
      <w:r w:rsidRPr="00AB17DC">
        <w:t xml:space="preserve">/s </w:t>
      </w:r>
      <w:r>
        <w:t>até completar o volume de 2,513X</w:t>
      </w:r>
      <w:r w:rsidRPr="00AB17DC">
        <w:t>10</w:t>
      </w:r>
      <w:r w:rsidRPr="00AB17DC">
        <w:rPr>
          <w:vertAlign w:val="superscript"/>
        </w:rPr>
        <w:t>6</w:t>
      </w:r>
      <w:r w:rsidRPr="00AB17DC">
        <w:t xml:space="preserve"> m</w:t>
      </w:r>
      <w:r w:rsidRPr="00AB17DC">
        <w:rPr>
          <w:vertAlign w:val="superscript"/>
        </w:rPr>
        <w:t>3</w:t>
      </w:r>
      <w:r w:rsidRPr="00AB17DC">
        <w:t>, correspondente ao nível d’água mínimo normal de 625,00m.</w:t>
      </w:r>
    </w:p>
    <w:p w:rsidR="00C53C39" w:rsidRPr="00C53C39" w:rsidRDefault="00C53C39" w:rsidP="00C53C39">
      <w:pPr>
        <w:pStyle w:val="CorpodoTexto"/>
      </w:pPr>
      <w:r w:rsidRPr="00C53C39">
        <w:lastRenderedPageBreak/>
        <w:t>Segunda fase: prosseguimento do enchimento ao longo dos 82 dias, com liberação de vazão de 8,46 m</w:t>
      </w:r>
      <w:r w:rsidRPr="00C53C39">
        <w:rPr>
          <w:vertAlign w:val="superscript"/>
        </w:rPr>
        <w:t>3</w:t>
      </w:r>
      <w:r w:rsidRPr="00C53C39">
        <w:t>/s, até completar o volume de 53,37*10</w:t>
      </w:r>
      <w:r w:rsidRPr="00C53C39">
        <w:rPr>
          <w:vertAlign w:val="superscript"/>
        </w:rPr>
        <w:t>6</w:t>
      </w:r>
      <w:r w:rsidRPr="00C53C39">
        <w:t xml:space="preserve"> m</w:t>
      </w:r>
      <w:r w:rsidRPr="00C53C39">
        <w:rPr>
          <w:vertAlign w:val="superscript"/>
        </w:rPr>
        <w:t>3</w:t>
      </w:r>
      <w:r w:rsidRPr="00C53C39">
        <w:t>, correspondente ao nível d’água máximo normal de operação de 646,00 m, com tempo total de enchimento de 86 dias.</w:t>
      </w:r>
    </w:p>
    <w:p w:rsidR="00C53C39" w:rsidRPr="00C53C39" w:rsidRDefault="00C53C39" w:rsidP="00C53C39">
      <w:pPr>
        <w:pStyle w:val="CorpodoTexto"/>
      </w:pPr>
      <w:r w:rsidRPr="00C53C39">
        <w:t xml:space="preserve">Em ambos os reservatórios, as alterações no regime hidráulico deverão ocorrer com maior intensidade durante a primeira fase do enchimento até que os mesmos alcancem a cota prevista para a regularização das vazões, o que restringirá o fluxo de águas a jusante. Nessa etapa, deverá merecer atenção o ponto de captação de água para abastecimento público situado no rio Jaguari, no município de Pedreira, cerca de 2 km a jusante da Barragem Pedreira. </w:t>
      </w:r>
    </w:p>
    <w:p w:rsidR="00C53C39" w:rsidRDefault="00C53C39" w:rsidP="00C53C39">
      <w:pPr>
        <w:pStyle w:val="CorpodoTexto"/>
      </w:pPr>
      <w:r w:rsidRPr="00C53C39">
        <w:t xml:space="preserve">Em cada reservatório, a partir nível d’água máximo normal de operação, a vazão de saída será mantida igual à somatória das vazões de entrada de forma a manter a continuidade do sistema e atender as demandas para os usos múltiplos a jusante dos reservatórios projetados nos rios Jaguari e Camanducaia. </w:t>
      </w:r>
    </w:p>
    <w:p w:rsidR="00AB17DC" w:rsidRPr="00AB17DC" w:rsidRDefault="00AB17DC" w:rsidP="00C53C39">
      <w:pPr>
        <w:pStyle w:val="CorpodoTexto"/>
      </w:pPr>
      <w:r w:rsidRPr="00AB17DC">
        <w:t>De acordo com Straskraba (1999), o ambiente aquático pode ser classificado em três categorias de acordo com o tempo de residência das suas águas: até duas semanas é considerado como rio; até um ano é classificado como ambiente intermediário entre rio e lago (semi-lêntico) e acima de um ano como lago (lêntico). Para as Barragens Pedreira e Duas Pontes, o tempo de residência foi estimado entre 24,75 dias e 46,3 dias, respectivamente, configurando um comportamento característico intermediário entre rio e lago.</w:t>
      </w:r>
    </w:p>
    <w:p w:rsidR="00AB17DC" w:rsidRPr="00AB17DC" w:rsidRDefault="00AB17DC" w:rsidP="00AB17DC">
      <w:pPr>
        <w:pStyle w:val="CorpodoTexto"/>
      </w:pPr>
      <w:r w:rsidRPr="00AB17DC">
        <w:t>A alteração do regime hidráulico é um impacto negativo, certo, de ordem direta, localizado na ADA, de ocorrência no curto prazo, irreversível e permanente, pois essa alteração persistirá durante toda a vida útil das Barragens Pedreira e Duas Pontes.</w:t>
      </w:r>
    </w:p>
    <w:p w:rsidR="00AB17DC" w:rsidRDefault="00AB17DC" w:rsidP="00AB17DC">
      <w:pPr>
        <w:pStyle w:val="CorpodoTexto"/>
      </w:pPr>
      <w:r w:rsidRPr="00AB17DC">
        <w:t>De acordo com as características de cada empreendimento, esse impacto foi avaliado como sendo de pequena e de média magnitude nas Barragens Pedreira e Duas Pontes, respectivamente.</w:t>
      </w:r>
    </w:p>
    <w:p w:rsidR="00AB17DC" w:rsidRPr="00AB17DC" w:rsidRDefault="00AB17DC" w:rsidP="00AB17DC">
      <w:pPr>
        <w:pStyle w:val="CorpodoTexto"/>
      </w:pPr>
      <w:r w:rsidRPr="00AB17DC">
        <w:t xml:space="preserve">Vale ressaltar que os rios Camanducaia e Jaguari já apresentam barramentos, com destaque para as Pequenas Centrais Hidroelétricas – PCHs dos Feixos e do Macaco Branco, pois ambas situam-se nas áreas a serem inundadas pelas Barragens Duas Pontes e Pedreira, respectivamente, devendo ser suprimidas a partir da formação desses reservatórios. </w:t>
      </w:r>
      <w:r>
        <w:t>No</w:t>
      </w:r>
      <w:r w:rsidRPr="00AB17DC">
        <w:t xml:space="preserve"> rio Jaguari também </w:t>
      </w:r>
      <w:r>
        <w:t xml:space="preserve">encontra-se localizada a </w:t>
      </w:r>
      <w:r w:rsidRPr="00AB17DC">
        <w:t>PCH do Jaguari, situada imediatamente a montante do reservatório projetado da Barragem Pedreira.</w:t>
      </w:r>
    </w:p>
    <w:p w:rsidR="00076658" w:rsidRPr="00076658" w:rsidRDefault="00076658" w:rsidP="00076658">
      <w:pPr>
        <w:pStyle w:val="Corpodetexto"/>
      </w:pPr>
      <w:r w:rsidRPr="00076658">
        <w:t xml:space="preserve">Nesse sentido, o impacto de transformação do regime de escoamento dos corpos de água já ocorre, em menor proporção, nos cursos d’água mencionados. </w:t>
      </w:r>
    </w:p>
    <w:p w:rsidR="00C64127" w:rsidRDefault="00C64127" w:rsidP="00C64127">
      <w:pPr>
        <w:pStyle w:val="Corpodetexto"/>
        <w:rPr>
          <w:rStyle w:val="CorpodetextoChar1"/>
        </w:rPr>
      </w:pPr>
    </w:p>
    <w:p w:rsidR="00B90902" w:rsidRPr="008D76DA" w:rsidRDefault="002E2454" w:rsidP="002E2454">
      <w:pPr>
        <w:pStyle w:val="Legenda"/>
        <w:spacing w:before="0" w:after="0" w:line="240" w:lineRule="auto"/>
        <w:jc w:val="center"/>
        <w:rPr>
          <w:rStyle w:val="CorpodetextoChar1"/>
          <w:b w:val="0"/>
          <w:i w:val="0"/>
        </w:rPr>
      </w:pPr>
      <w:bookmarkStart w:id="151" w:name="_Toc420316451"/>
      <w:r w:rsidRPr="008D76DA">
        <w:rPr>
          <w:i w:val="0"/>
        </w:rPr>
        <w:t xml:space="preserve">Quadro </w:t>
      </w:r>
      <w:r w:rsidR="00B80A05" w:rsidRPr="008D76DA">
        <w:rPr>
          <w:i w:val="0"/>
        </w:rPr>
        <w:fldChar w:fldCharType="begin"/>
      </w:r>
      <w:r w:rsidR="00402E81" w:rsidRPr="008D76DA">
        <w:rPr>
          <w:i w:val="0"/>
        </w:rPr>
        <w:instrText xml:space="preserve"> STYLEREF 2 \s </w:instrText>
      </w:r>
      <w:r w:rsidR="00B80A05" w:rsidRPr="008D76DA">
        <w:rPr>
          <w:i w:val="0"/>
        </w:rPr>
        <w:fldChar w:fldCharType="separate"/>
      </w:r>
      <w:r w:rsidR="00316060">
        <w:rPr>
          <w:i w:val="0"/>
          <w:noProof/>
        </w:rPr>
        <w:t>1.3</w:t>
      </w:r>
      <w:r w:rsidR="00B80A05" w:rsidRPr="008D76DA">
        <w:rPr>
          <w:i w:val="0"/>
        </w:rPr>
        <w:fldChar w:fldCharType="end"/>
      </w:r>
      <w:r w:rsidR="00402E81" w:rsidRPr="008D76DA">
        <w:rPr>
          <w:i w:val="0"/>
        </w:rPr>
        <w:t>.</w:t>
      </w:r>
      <w:r w:rsidR="00B80A05" w:rsidRPr="008D76DA">
        <w:rPr>
          <w:i w:val="0"/>
        </w:rPr>
        <w:fldChar w:fldCharType="begin"/>
      </w:r>
      <w:r w:rsidR="00402E81" w:rsidRPr="008D76DA">
        <w:rPr>
          <w:i w:val="0"/>
        </w:rPr>
        <w:instrText xml:space="preserve"> SEQ Quadro \* ARABIC \s 2 </w:instrText>
      </w:r>
      <w:r w:rsidR="00B80A05" w:rsidRPr="008D76DA">
        <w:rPr>
          <w:i w:val="0"/>
        </w:rPr>
        <w:fldChar w:fldCharType="separate"/>
      </w:r>
      <w:r w:rsidR="00316060">
        <w:rPr>
          <w:i w:val="0"/>
          <w:noProof/>
        </w:rPr>
        <w:t>8</w:t>
      </w:r>
      <w:r w:rsidR="00B80A05" w:rsidRPr="008D76DA">
        <w:rPr>
          <w:i w:val="0"/>
        </w:rPr>
        <w:fldChar w:fldCharType="end"/>
      </w:r>
      <w:r w:rsidRPr="008D76DA">
        <w:rPr>
          <w:i w:val="0"/>
        </w:rPr>
        <w:t>.</w:t>
      </w:r>
      <w:r w:rsidRPr="008D76DA">
        <w:rPr>
          <w:b w:val="0"/>
          <w:i w:val="0"/>
        </w:rPr>
        <w:t xml:space="preserve"> - </w:t>
      </w:r>
      <w:r w:rsidR="00B90902" w:rsidRPr="008D76DA">
        <w:rPr>
          <w:rStyle w:val="CorpodetextoChar1"/>
          <w:b w:val="0"/>
          <w:i w:val="0"/>
        </w:rPr>
        <w:t>Caracterização do Impacto - Transformação do Regime de Escoamento dos Corpos de Água - Barragem Pedreira</w:t>
      </w:r>
      <w:bookmarkEnd w:id="151"/>
    </w:p>
    <w:p w:rsidR="002E2454" w:rsidRPr="008D76DA" w:rsidRDefault="002E2454" w:rsidP="002E2454"/>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69"/>
        <w:gridCol w:w="3547"/>
      </w:tblGrid>
      <w:tr w:rsidR="00B90902" w:rsidRPr="008D76DA" w:rsidTr="00627FA2">
        <w:trPr>
          <w:trHeight w:val="518"/>
          <w:jc w:val="center"/>
        </w:trPr>
        <w:tc>
          <w:tcPr>
            <w:tcW w:w="645" w:type="pct"/>
            <w:shd w:val="clear" w:color="auto" w:fill="D9D9D9"/>
            <w:vAlign w:val="center"/>
          </w:tcPr>
          <w:p w:rsidR="00B90902" w:rsidRPr="008D76DA" w:rsidRDefault="00B90902" w:rsidP="00B90902">
            <w:pPr>
              <w:autoSpaceDE w:val="0"/>
              <w:autoSpaceDN w:val="0"/>
              <w:adjustRightInd w:val="0"/>
              <w:spacing w:before="120" w:after="120" w:line="240" w:lineRule="auto"/>
              <w:jc w:val="center"/>
              <w:rPr>
                <w:rFonts w:cs="Arial"/>
                <w:b/>
                <w:sz w:val="20"/>
              </w:rPr>
            </w:pPr>
            <w:r w:rsidRPr="008D76DA">
              <w:rPr>
                <w:rFonts w:cs="Arial"/>
                <w:b/>
                <w:sz w:val="20"/>
              </w:rPr>
              <w:t>Natureza</w:t>
            </w:r>
          </w:p>
        </w:tc>
        <w:tc>
          <w:tcPr>
            <w:tcW w:w="591" w:type="pct"/>
            <w:shd w:val="clear" w:color="auto" w:fill="D9D9D9"/>
            <w:vAlign w:val="center"/>
          </w:tcPr>
          <w:p w:rsidR="00B90902" w:rsidRPr="008D76DA" w:rsidRDefault="00B90902" w:rsidP="00B90902">
            <w:pPr>
              <w:autoSpaceDE w:val="0"/>
              <w:autoSpaceDN w:val="0"/>
              <w:adjustRightInd w:val="0"/>
              <w:spacing w:before="120" w:after="120" w:line="240" w:lineRule="auto"/>
              <w:jc w:val="center"/>
              <w:rPr>
                <w:rFonts w:cs="Arial"/>
                <w:b/>
                <w:sz w:val="20"/>
              </w:rPr>
            </w:pPr>
            <w:r w:rsidRPr="008D76DA">
              <w:rPr>
                <w:rFonts w:cs="Arial"/>
                <w:b/>
                <w:sz w:val="20"/>
              </w:rPr>
              <w:t>Ordem</w:t>
            </w:r>
          </w:p>
        </w:tc>
        <w:tc>
          <w:tcPr>
            <w:tcW w:w="1091" w:type="pct"/>
            <w:shd w:val="clear" w:color="auto" w:fill="D9D9D9"/>
            <w:vAlign w:val="center"/>
          </w:tcPr>
          <w:p w:rsidR="00B90902" w:rsidRPr="008D76DA" w:rsidRDefault="00B90902" w:rsidP="00B90902">
            <w:pPr>
              <w:autoSpaceDE w:val="0"/>
              <w:autoSpaceDN w:val="0"/>
              <w:adjustRightInd w:val="0"/>
              <w:spacing w:before="120" w:after="120" w:line="240" w:lineRule="auto"/>
              <w:jc w:val="center"/>
              <w:rPr>
                <w:rFonts w:cs="Arial"/>
                <w:b/>
                <w:sz w:val="20"/>
              </w:rPr>
            </w:pPr>
            <w:r w:rsidRPr="008D76DA">
              <w:rPr>
                <w:rFonts w:cs="Arial"/>
                <w:b/>
                <w:sz w:val="20"/>
              </w:rPr>
              <w:t>Abrangência</w:t>
            </w:r>
          </w:p>
        </w:tc>
        <w:tc>
          <w:tcPr>
            <w:tcW w:w="820" w:type="pct"/>
            <w:shd w:val="clear" w:color="auto" w:fill="D9D9D9"/>
            <w:vAlign w:val="center"/>
          </w:tcPr>
          <w:p w:rsidR="00B90902" w:rsidRPr="008D76DA" w:rsidRDefault="00B90902" w:rsidP="00B90902">
            <w:pPr>
              <w:autoSpaceDE w:val="0"/>
              <w:autoSpaceDN w:val="0"/>
              <w:adjustRightInd w:val="0"/>
              <w:spacing w:before="120" w:after="120" w:line="240" w:lineRule="auto"/>
              <w:jc w:val="center"/>
              <w:rPr>
                <w:rFonts w:cs="Arial"/>
                <w:b/>
                <w:sz w:val="20"/>
              </w:rPr>
            </w:pPr>
            <w:r w:rsidRPr="008D76DA">
              <w:rPr>
                <w:rFonts w:cs="Arial"/>
                <w:b/>
                <w:sz w:val="20"/>
              </w:rPr>
              <w:t>Duração</w:t>
            </w:r>
          </w:p>
        </w:tc>
        <w:tc>
          <w:tcPr>
            <w:tcW w:w="1854" w:type="pct"/>
            <w:shd w:val="clear" w:color="auto" w:fill="D9D9D9"/>
            <w:vAlign w:val="center"/>
          </w:tcPr>
          <w:p w:rsidR="00B90902" w:rsidRPr="008D76DA" w:rsidRDefault="00B90902" w:rsidP="00B90902">
            <w:pPr>
              <w:autoSpaceDE w:val="0"/>
              <w:autoSpaceDN w:val="0"/>
              <w:adjustRightInd w:val="0"/>
              <w:spacing w:before="120" w:after="120" w:line="240" w:lineRule="auto"/>
              <w:jc w:val="center"/>
              <w:rPr>
                <w:rFonts w:cs="Arial"/>
                <w:b/>
                <w:sz w:val="20"/>
              </w:rPr>
            </w:pPr>
            <w:r w:rsidRPr="008D76DA">
              <w:rPr>
                <w:rFonts w:cs="Arial"/>
                <w:b/>
                <w:sz w:val="20"/>
              </w:rPr>
              <w:t>Probabilidade de Ocorrência</w:t>
            </w:r>
          </w:p>
        </w:tc>
      </w:tr>
      <w:tr w:rsidR="00B90902" w:rsidRPr="008D76DA" w:rsidTr="00627FA2">
        <w:trPr>
          <w:trHeight w:val="273"/>
          <w:jc w:val="center"/>
        </w:trPr>
        <w:tc>
          <w:tcPr>
            <w:tcW w:w="645" w:type="pct"/>
            <w:shd w:val="clear" w:color="auto" w:fill="auto"/>
            <w:vAlign w:val="center"/>
          </w:tcPr>
          <w:p w:rsidR="00B90902" w:rsidRPr="008D76DA" w:rsidRDefault="00B90902" w:rsidP="00B90902">
            <w:pPr>
              <w:autoSpaceDE w:val="0"/>
              <w:autoSpaceDN w:val="0"/>
              <w:adjustRightInd w:val="0"/>
              <w:spacing w:before="120" w:after="120" w:line="240" w:lineRule="auto"/>
              <w:jc w:val="center"/>
              <w:rPr>
                <w:rFonts w:cs="Arial"/>
                <w:sz w:val="20"/>
              </w:rPr>
            </w:pPr>
            <w:r w:rsidRPr="008D76DA">
              <w:rPr>
                <w:rFonts w:cs="Arial"/>
                <w:sz w:val="20"/>
              </w:rPr>
              <w:t>Negativa</w:t>
            </w:r>
          </w:p>
        </w:tc>
        <w:tc>
          <w:tcPr>
            <w:tcW w:w="591" w:type="pct"/>
            <w:shd w:val="clear" w:color="auto" w:fill="auto"/>
            <w:vAlign w:val="center"/>
          </w:tcPr>
          <w:p w:rsidR="00B90902" w:rsidRPr="008D76DA" w:rsidRDefault="00B90902" w:rsidP="00B90902">
            <w:pPr>
              <w:autoSpaceDE w:val="0"/>
              <w:autoSpaceDN w:val="0"/>
              <w:adjustRightInd w:val="0"/>
              <w:spacing w:before="120" w:after="120" w:line="240" w:lineRule="auto"/>
              <w:jc w:val="center"/>
              <w:rPr>
                <w:rFonts w:cs="Arial"/>
                <w:sz w:val="20"/>
              </w:rPr>
            </w:pPr>
            <w:r w:rsidRPr="008D76DA">
              <w:rPr>
                <w:rFonts w:cs="Arial"/>
                <w:sz w:val="20"/>
              </w:rPr>
              <w:t>Direta</w:t>
            </w:r>
          </w:p>
        </w:tc>
        <w:tc>
          <w:tcPr>
            <w:tcW w:w="1091" w:type="pct"/>
            <w:shd w:val="clear" w:color="auto" w:fill="auto"/>
            <w:vAlign w:val="center"/>
          </w:tcPr>
          <w:p w:rsidR="00B90902" w:rsidRPr="008D76DA" w:rsidRDefault="008D76DA" w:rsidP="00B90902">
            <w:pPr>
              <w:autoSpaceDE w:val="0"/>
              <w:autoSpaceDN w:val="0"/>
              <w:adjustRightInd w:val="0"/>
              <w:spacing w:before="120" w:after="120" w:line="240" w:lineRule="auto"/>
              <w:jc w:val="center"/>
              <w:rPr>
                <w:rFonts w:cs="Arial"/>
                <w:sz w:val="20"/>
              </w:rPr>
            </w:pPr>
            <w:r>
              <w:rPr>
                <w:rFonts w:cs="Arial"/>
                <w:sz w:val="20"/>
              </w:rPr>
              <w:t>Local (ADA</w:t>
            </w:r>
            <w:r w:rsidR="00B90902" w:rsidRPr="008D76DA">
              <w:rPr>
                <w:rFonts w:cs="Arial"/>
                <w:sz w:val="20"/>
              </w:rPr>
              <w:t>)</w:t>
            </w:r>
          </w:p>
        </w:tc>
        <w:tc>
          <w:tcPr>
            <w:tcW w:w="820" w:type="pct"/>
            <w:shd w:val="clear" w:color="auto" w:fill="auto"/>
            <w:vAlign w:val="center"/>
          </w:tcPr>
          <w:p w:rsidR="00B90902" w:rsidRPr="008D76DA" w:rsidRDefault="00B90902" w:rsidP="00B90902">
            <w:pPr>
              <w:autoSpaceDE w:val="0"/>
              <w:autoSpaceDN w:val="0"/>
              <w:adjustRightInd w:val="0"/>
              <w:spacing w:before="120" w:after="120" w:line="240" w:lineRule="auto"/>
              <w:jc w:val="center"/>
              <w:rPr>
                <w:rFonts w:cs="Arial"/>
                <w:sz w:val="20"/>
              </w:rPr>
            </w:pPr>
            <w:r w:rsidRPr="008D76DA">
              <w:rPr>
                <w:rFonts w:cs="Arial"/>
                <w:sz w:val="20"/>
              </w:rPr>
              <w:t>Permanente</w:t>
            </w:r>
          </w:p>
        </w:tc>
        <w:tc>
          <w:tcPr>
            <w:tcW w:w="1854" w:type="pct"/>
            <w:shd w:val="clear" w:color="auto" w:fill="auto"/>
            <w:vAlign w:val="center"/>
          </w:tcPr>
          <w:p w:rsidR="00B90902" w:rsidRPr="008D76DA" w:rsidRDefault="00B90902" w:rsidP="00B90902">
            <w:pPr>
              <w:autoSpaceDE w:val="0"/>
              <w:autoSpaceDN w:val="0"/>
              <w:adjustRightInd w:val="0"/>
              <w:spacing w:before="120" w:after="120" w:line="240" w:lineRule="auto"/>
              <w:jc w:val="center"/>
              <w:rPr>
                <w:rFonts w:cs="Arial"/>
                <w:sz w:val="20"/>
              </w:rPr>
            </w:pPr>
            <w:r w:rsidRPr="008D76DA">
              <w:rPr>
                <w:rFonts w:cs="Arial"/>
                <w:sz w:val="20"/>
              </w:rPr>
              <w:t>Certa</w:t>
            </w:r>
          </w:p>
        </w:tc>
      </w:tr>
    </w:tbl>
    <w:p w:rsidR="00B90902" w:rsidRPr="008D76DA" w:rsidRDefault="00B90902" w:rsidP="002774E2">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2"/>
      </w:tblGrid>
      <w:tr w:rsidR="00B90902" w:rsidRPr="008D76DA" w:rsidTr="00627FA2">
        <w:trPr>
          <w:trHeight w:val="397"/>
          <w:jc w:val="center"/>
        </w:trPr>
        <w:tc>
          <w:tcPr>
            <w:tcW w:w="1342" w:type="pct"/>
            <w:shd w:val="clear" w:color="auto" w:fill="D9D9D9"/>
            <w:vAlign w:val="center"/>
          </w:tcPr>
          <w:p w:rsidR="00B90902" w:rsidRPr="008D76DA" w:rsidRDefault="00B90902" w:rsidP="00B90902">
            <w:pPr>
              <w:autoSpaceDE w:val="0"/>
              <w:autoSpaceDN w:val="0"/>
              <w:adjustRightInd w:val="0"/>
              <w:spacing w:before="120" w:after="120" w:line="240" w:lineRule="auto"/>
              <w:jc w:val="center"/>
              <w:rPr>
                <w:rFonts w:cs="Arial"/>
                <w:b/>
                <w:sz w:val="20"/>
              </w:rPr>
            </w:pPr>
            <w:r w:rsidRPr="008D76DA">
              <w:rPr>
                <w:rFonts w:cs="Arial"/>
                <w:b/>
                <w:sz w:val="20"/>
              </w:rPr>
              <w:t>Época de Ocorrência</w:t>
            </w:r>
          </w:p>
        </w:tc>
        <w:tc>
          <w:tcPr>
            <w:tcW w:w="977" w:type="pct"/>
            <w:shd w:val="clear" w:color="auto" w:fill="D9D9D9"/>
            <w:vAlign w:val="center"/>
          </w:tcPr>
          <w:p w:rsidR="00B90902" w:rsidRPr="008D76DA" w:rsidRDefault="00B90902" w:rsidP="00B90902">
            <w:pPr>
              <w:autoSpaceDE w:val="0"/>
              <w:autoSpaceDN w:val="0"/>
              <w:adjustRightInd w:val="0"/>
              <w:spacing w:before="120" w:after="120" w:line="240" w:lineRule="auto"/>
              <w:jc w:val="center"/>
              <w:rPr>
                <w:rFonts w:cs="Arial"/>
                <w:b/>
                <w:sz w:val="20"/>
              </w:rPr>
            </w:pPr>
            <w:r w:rsidRPr="008D76DA">
              <w:rPr>
                <w:rFonts w:cs="Arial"/>
                <w:b/>
                <w:sz w:val="20"/>
              </w:rPr>
              <w:t>Reversibilidade</w:t>
            </w:r>
          </w:p>
        </w:tc>
        <w:tc>
          <w:tcPr>
            <w:tcW w:w="721" w:type="pct"/>
            <w:shd w:val="clear" w:color="auto" w:fill="D9D9D9"/>
            <w:vAlign w:val="center"/>
          </w:tcPr>
          <w:p w:rsidR="00B90902" w:rsidRPr="008D76DA" w:rsidRDefault="00B90902" w:rsidP="00B90902">
            <w:pPr>
              <w:autoSpaceDE w:val="0"/>
              <w:autoSpaceDN w:val="0"/>
              <w:adjustRightInd w:val="0"/>
              <w:spacing w:before="120" w:after="120" w:line="240" w:lineRule="auto"/>
              <w:jc w:val="center"/>
              <w:rPr>
                <w:rFonts w:cs="Arial"/>
                <w:b/>
                <w:sz w:val="20"/>
              </w:rPr>
            </w:pPr>
            <w:r w:rsidRPr="008D76DA">
              <w:rPr>
                <w:rFonts w:cs="Arial"/>
                <w:b/>
                <w:sz w:val="20"/>
              </w:rPr>
              <w:t>Magnitude</w:t>
            </w:r>
          </w:p>
        </w:tc>
        <w:tc>
          <w:tcPr>
            <w:tcW w:w="778" w:type="pct"/>
            <w:shd w:val="clear" w:color="auto" w:fill="D9D9D9"/>
            <w:vAlign w:val="center"/>
          </w:tcPr>
          <w:p w:rsidR="00B90902" w:rsidRPr="008D76DA" w:rsidRDefault="00B90902" w:rsidP="00B90902">
            <w:pPr>
              <w:autoSpaceDE w:val="0"/>
              <w:autoSpaceDN w:val="0"/>
              <w:adjustRightInd w:val="0"/>
              <w:spacing w:before="120" w:after="120" w:line="240" w:lineRule="auto"/>
              <w:jc w:val="center"/>
              <w:rPr>
                <w:rFonts w:cs="Arial"/>
                <w:b/>
                <w:sz w:val="20"/>
              </w:rPr>
            </w:pPr>
            <w:r w:rsidRPr="008D76DA">
              <w:rPr>
                <w:rFonts w:cs="Arial"/>
                <w:b/>
                <w:sz w:val="20"/>
              </w:rPr>
              <w:t>Importância</w:t>
            </w:r>
          </w:p>
        </w:tc>
        <w:tc>
          <w:tcPr>
            <w:tcW w:w="1182" w:type="pct"/>
            <w:shd w:val="clear" w:color="auto" w:fill="D9D9D9"/>
            <w:vAlign w:val="center"/>
          </w:tcPr>
          <w:p w:rsidR="00B90902" w:rsidRPr="008D76DA" w:rsidRDefault="00B90902" w:rsidP="00B90902">
            <w:pPr>
              <w:autoSpaceDE w:val="0"/>
              <w:autoSpaceDN w:val="0"/>
              <w:adjustRightInd w:val="0"/>
              <w:spacing w:before="120" w:after="120" w:line="240" w:lineRule="auto"/>
              <w:jc w:val="center"/>
              <w:rPr>
                <w:rFonts w:cs="Arial"/>
                <w:b/>
                <w:sz w:val="20"/>
              </w:rPr>
            </w:pPr>
            <w:r w:rsidRPr="008D76DA">
              <w:rPr>
                <w:rFonts w:cs="Arial"/>
                <w:b/>
                <w:sz w:val="20"/>
              </w:rPr>
              <w:t>Mitigação</w:t>
            </w:r>
          </w:p>
        </w:tc>
      </w:tr>
      <w:tr w:rsidR="00B90902" w:rsidRPr="00B90902" w:rsidTr="00627FA2">
        <w:trPr>
          <w:trHeight w:val="344"/>
          <w:jc w:val="center"/>
        </w:trPr>
        <w:tc>
          <w:tcPr>
            <w:tcW w:w="1342" w:type="pct"/>
            <w:shd w:val="clear" w:color="auto" w:fill="auto"/>
            <w:vAlign w:val="center"/>
          </w:tcPr>
          <w:p w:rsidR="00B90902" w:rsidRPr="008D76DA" w:rsidRDefault="00B90902" w:rsidP="00B90902">
            <w:pPr>
              <w:autoSpaceDE w:val="0"/>
              <w:autoSpaceDN w:val="0"/>
              <w:adjustRightInd w:val="0"/>
              <w:spacing w:before="120" w:after="120" w:line="240" w:lineRule="auto"/>
              <w:jc w:val="center"/>
              <w:rPr>
                <w:rFonts w:cs="Arial"/>
                <w:sz w:val="20"/>
              </w:rPr>
            </w:pPr>
            <w:r w:rsidRPr="008D76DA">
              <w:rPr>
                <w:rFonts w:cs="Arial"/>
                <w:sz w:val="20"/>
              </w:rPr>
              <w:t>Curto Prazo</w:t>
            </w:r>
          </w:p>
        </w:tc>
        <w:tc>
          <w:tcPr>
            <w:tcW w:w="977" w:type="pct"/>
            <w:shd w:val="clear" w:color="auto" w:fill="auto"/>
            <w:vAlign w:val="center"/>
          </w:tcPr>
          <w:p w:rsidR="00B90902" w:rsidRPr="008D76DA" w:rsidRDefault="00B90902" w:rsidP="00B90902">
            <w:pPr>
              <w:autoSpaceDE w:val="0"/>
              <w:autoSpaceDN w:val="0"/>
              <w:adjustRightInd w:val="0"/>
              <w:spacing w:before="120" w:after="120" w:line="240" w:lineRule="auto"/>
              <w:jc w:val="center"/>
              <w:rPr>
                <w:rFonts w:cs="Arial"/>
                <w:sz w:val="20"/>
              </w:rPr>
            </w:pPr>
            <w:r w:rsidRPr="008D76DA">
              <w:rPr>
                <w:rFonts w:cs="Arial"/>
                <w:sz w:val="20"/>
              </w:rPr>
              <w:t>Irreversível</w:t>
            </w:r>
          </w:p>
        </w:tc>
        <w:tc>
          <w:tcPr>
            <w:tcW w:w="721" w:type="pct"/>
            <w:shd w:val="clear" w:color="auto" w:fill="auto"/>
            <w:vAlign w:val="center"/>
          </w:tcPr>
          <w:p w:rsidR="00B90902" w:rsidRPr="008D76DA" w:rsidRDefault="00076658" w:rsidP="00B90902">
            <w:pPr>
              <w:autoSpaceDE w:val="0"/>
              <w:autoSpaceDN w:val="0"/>
              <w:adjustRightInd w:val="0"/>
              <w:spacing w:before="120" w:after="120" w:line="240" w:lineRule="auto"/>
              <w:jc w:val="center"/>
              <w:rPr>
                <w:rFonts w:cs="Arial"/>
                <w:sz w:val="20"/>
              </w:rPr>
            </w:pPr>
            <w:r w:rsidRPr="008D76DA">
              <w:rPr>
                <w:rFonts w:cs="Arial"/>
                <w:sz w:val="20"/>
              </w:rPr>
              <w:t>Pequena</w:t>
            </w:r>
          </w:p>
        </w:tc>
        <w:tc>
          <w:tcPr>
            <w:tcW w:w="778" w:type="pct"/>
            <w:shd w:val="clear" w:color="auto" w:fill="auto"/>
            <w:vAlign w:val="center"/>
          </w:tcPr>
          <w:p w:rsidR="00B90902" w:rsidRPr="008D76DA" w:rsidRDefault="00076658" w:rsidP="00B90902">
            <w:pPr>
              <w:autoSpaceDE w:val="0"/>
              <w:autoSpaceDN w:val="0"/>
              <w:adjustRightInd w:val="0"/>
              <w:spacing w:before="120" w:after="120" w:line="240" w:lineRule="auto"/>
              <w:jc w:val="center"/>
              <w:rPr>
                <w:rFonts w:cs="Arial"/>
                <w:sz w:val="20"/>
              </w:rPr>
            </w:pPr>
            <w:r w:rsidRPr="008D76DA">
              <w:rPr>
                <w:rFonts w:cs="Arial"/>
                <w:sz w:val="20"/>
              </w:rPr>
              <w:t>Média</w:t>
            </w:r>
          </w:p>
        </w:tc>
        <w:tc>
          <w:tcPr>
            <w:tcW w:w="1182" w:type="pct"/>
            <w:shd w:val="clear" w:color="auto" w:fill="auto"/>
            <w:vAlign w:val="center"/>
          </w:tcPr>
          <w:p w:rsidR="00B90902" w:rsidRPr="00B90902" w:rsidRDefault="00B90902" w:rsidP="00B90902">
            <w:pPr>
              <w:autoSpaceDE w:val="0"/>
              <w:autoSpaceDN w:val="0"/>
              <w:adjustRightInd w:val="0"/>
              <w:spacing w:before="120" w:after="120" w:line="240" w:lineRule="auto"/>
              <w:jc w:val="center"/>
              <w:rPr>
                <w:rFonts w:cs="Arial"/>
                <w:sz w:val="20"/>
              </w:rPr>
            </w:pPr>
            <w:r w:rsidRPr="008D76DA">
              <w:rPr>
                <w:rFonts w:cs="Arial"/>
                <w:sz w:val="20"/>
              </w:rPr>
              <w:t>Não Mitigável</w:t>
            </w:r>
          </w:p>
        </w:tc>
      </w:tr>
    </w:tbl>
    <w:p w:rsidR="0079329A" w:rsidRDefault="0079329A" w:rsidP="00490734">
      <w:pPr>
        <w:autoSpaceDE w:val="0"/>
        <w:autoSpaceDN w:val="0"/>
        <w:adjustRightInd w:val="0"/>
        <w:spacing w:before="120" w:after="120" w:line="240" w:lineRule="auto"/>
        <w:rPr>
          <w:rFonts w:cs="Arial"/>
          <w:szCs w:val="22"/>
        </w:rPr>
      </w:pPr>
      <w:r>
        <w:rPr>
          <w:rFonts w:cs="Arial"/>
          <w:szCs w:val="22"/>
        </w:rPr>
        <w:br w:type="page"/>
      </w:r>
    </w:p>
    <w:p w:rsidR="00B90902" w:rsidRDefault="002E2454" w:rsidP="002E2454">
      <w:pPr>
        <w:pStyle w:val="Legenda"/>
        <w:spacing w:before="0" w:after="0" w:line="240" w:lineRule="auto"/>
        <w:jc w:val="center"/>
        <w:rPr>
          <w:b w:val="0"/>
          <w:i w:val="0"/>
        </w:rPr>
      </w:pPr>
      <w:bookmarkStart w:id="152" w:name="_Toc418590173"/>
      <w:bookmarkStart w:id="153" w:name="_Toc418590639"/>
      <w:bookmarkStart w:id="154" w:name="_Toc418595699"/>
      <w:bookmarkStart w:id="155" w:name="_Toc418758210"/>
      <w:bookmarkStart w:id="156" w:name="_Toc418758812"/>
      <w:bookmarkStart w:id="157" w:name="_Toc420316452"/>
      <w:r w:rsidRPr="008D3A12">
        <w:rPr>
          <w:i w:val="0"/>
        </w:rPr>
        <w:lastRenderedPageBreak/>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1.3</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9</w:t>
      </w:r>
      <w:r w:rsidR="00B80A05">
        <w:rPr>
          <w:i w:val="0"/>
        </w:rPr>
        <w:fldChar w:fldCharType="end"/>
      </w:r>
      <w:r w:rsidRPr="008D3A12">
        <w:rPr>
          <w:i w:val="0"/>
        </w:rPr>
        <w:t>.</w:t>
      </w:r>
      <w:r w:rsidRPr="002E2454">
        <w:rPr>
          <w:b w:val="0"/>
          <w:i w:val="0"/>
        </w:rPr>
        <w:t xml:space="preserve"> - </w:t>
      </w:r>
      <w:r w:rsidR="00B90902" w:rsidRPr="002E2454">
        <w:rPr>
          <w:b w:val="0"/>
          <w:i w:val="0"/>
        </w:rPr>
        <w:t>Caracterização do Impacto - Transformação do Regime de Escoamento dos Corpos de Água - Barragem Duas Pontes</w:t>
      </w:r>
      <w:bookmarkEnd w:id="152"/>
      <w:bookmarkEnd w:id="153"/>
      <w:bookmarkEnd w:id="154"/>
      <w:bookmarkEnd w:id="155"/>
      <w:bookmarkEnd w:id="156"/>
      <w:bookmarkEnd w:id="157"/>
    </w:p>
    <w:p w:rsidR="002E2454" w:rsidRPr="002E2454" w:rsidRDefault="002E2454" w:rsidP="002E2454"/>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69"/>
        <w:gridCol w:w="3547"/>
      </w:tblGrid>
      <w:tr w:rsidR="00B90902" w:rsidRPr="00B90902" w:rsidTr="00627FA2">
        <w:trPr>
          <w:trHeight w:val="518"/>
          <w:jc w:val="center"/>
        </w:trPr>
        <w:tc>
          <w:tcPr>
            <w:tcW w:w="645" w:type="pct"/>
            <w:shd w:val="clear" w:color="auto" w:fill="D9D9D9"/>
            <w:vAlign w:val="center"/>
          </w:tcPr>
          <w:p w:rsidR="00B90902" w:rsidRPr="00B90902" w:rsidRDefault="00B90902" w:rsidP="00B90902">
            <w:pPr>
              <w:autoSpaceDE w:val="0"/>
              <w:autoSpaceDN w:val="0"/>
              <w:adjustRightInd w:val="0"/>
              <w:spacing w:before="120" w:after="120" w:line="240" w:lineRule="auto"/>
              <w:jc w:val="center"/>
              <w:rPr>
                <w:rFonts w:cs="Arial"/>
                <w:b/>
                <w:sz w:val="20"/>
              </w:rPr>
            </w:pPr>
            <w:r w:rsidRPr="00B90902">
              <w:rPr>
                <w:rFonts w:cs="Arial"/>
                <w:b/>
                <w:sz w:val="20"/>
              </w:rPr>
              <w:t>Natureza</w:t>
            </w:r>
          </w:p>
        </w:tc>
        <w:tc>
          <w:tcPr>
            <w:tcW w:w="591" w:type="pct"/>
            <w:shd w:val="clear" w:color="auto" w:fill="D9D9D9"/>
            <w:vAlign w:val="center"/>
          </w:tcPr>
          <w:p w:rsidR="00B90902" w:rsidRPr="00B90902" w:rsidRDefault="00B90902" w:rsidP="00B90902">
            <w:pPr>
              <w:autoSpaceDE w:val="0"/>
              <w:autoSpaceDN w:val="0"/>
              <w:adjustRightInd w:val="0"/>
              <w:spacing w:before="120" w:after="120" w:line="240" w:lineRule="auto"/>
              <w:jc w:val="center"/>
              <w:rPr>
                <w:rFonts w:cs="Arial"/>
                <w:b/>
                <w:sz w:val="20"/>
              </w:rPr>
            </w:pPr>
            <w:r w:rsidRPr="00B90902">
              <w:rPr>
                <w:rFonts w:cs="Arial"/>
                <w:b/>
                <w:sz w:val="20"/>
              </w:rPr>
              <w:t>Ordem</w:t>
            </w:r>
          </w:p>
        </w:tc>
        <w:tc>
          <w:tcPr>
            <w:tcW w:w="1091" w:type="pct"/>
            <w:shd w:val="clear" w:color="auto" w:fill="D9D9D9"/>
            <w:vAlign w:val="center"/>
          </w:tcPr>
          <w:p w:rsidR="00B90902" w:rsidRPr="00B90902" w:rsidRDefault="00B90902" w:rsidP="00B90902">
            <w:pPr>
              <w:autoSpaceDE w:val="0"/>
              <w:autoSpaceDN w:val="0"/>
              <w:adjustRightInd w:val="0"/>
              <w:spacing w:before="120" w:after="120" w:line="240" w:lineRule="auto"/>
              <w:jc w:val="center"/>
              <w:rPr>
                <w:rFonts w:cs="Arial"/>
                <w:b/>
                <w:sz w:val="20"/>
              </w:rPr>
            </w:pPr>
            <w:r w:rsidRPr="00B90902">
              <w:rPr>
                <w:rFonts w:cs="Arial"/>
                <w:b/>
                <w:sz w:val="20"/>
              </w:rPr>
              <w:t>Abrangência</w:t>
            </w:r>
          </w:p>
        </w:tc>
        <w:tc>
          <w:tcPr>
            <w:tcW w:w="820" w:type="pct"/>
            <w:shd w:val="clear" w:color="auto" w:fill="D9D9D9"/>
            <w:vAlign w:val="center"/>
          </w:tcPr>
          <w:p w:rsidR="00B90902" w:rsidRPr="00B90902" w:rsidRDefault="00B90902" w:rsidP="00B90902">
            <w:pPr>
              <w:autoSpaceDE w:val="0"/>
              <w:autoSpaceDN w:val="0"/>
              <w:adjustRightInd w:val="0"/>
              <w:spacing w:before="120" w:after="120" w:line="240" w:lineRule="auto"/>
              <w:jc w:val="center"/>
              <w:rPr>
                <w:rFonts w:cs="Arial"/>
                <w:b/>
                <w:sz w:val="20"/>
              </w:rPr>
            </w:pPr>
            <w:r w:rsidRPr="00B90902">
              <w:rPr>
                <w:rFonts w:cs="Arial"/>
                <w:b/>
                <w:sz w:val="20"/>
              </w:rPr>
              <w:t>Duração</w:t>
            </w:r>
          </w:p>
        </w:tc>
        <w:tc>
          <w:tcPr>
            <w:tcW w:w="1854" w:type="pct"/>
            <w:shd w:val="clear" w:color="auto" w:fill="D9D9D9"/>
            <w:vAlign w:val="center"/>
          </w:tcPr>
          <w:p w:rsidR="00B90902" w:rsidRPr="00B90902" w:rsidRDefault="00B90902" w:rsidP="00B90902">
            <w:pPr>
              <w:autoSpaceDE w:val="0"/>
              <w:autoSpaceDN w:val="0"/>
              <w:adjustRightInd w:val="0"/>
              <w:spacing w:before="120" w:after="120" w:line="240" w:lineRule="auto"/>
              <w:jc w:val="center"/>
              <w:rPr>
                <w:rFonts w:cs="Arial"/>
                <w:b/>
                <w:sz w:val="20"/>
              </w:rPr>
            </w:pPr>
            <w:r w:rsidRPr="00B90902">
              <w:rPr>
                <w:rFonts w:cs="Arial"/>
                <w:b/>
                <w:sz w:val="20"/>
              </w:rPr>
              <w:t>Probabilidade de Ocorrência</w:t>
            </w:r>
          </w:p>
        </w:tc>
      </w:tr>
      <w:tr w:rsidR="00B90902" w:rsidRPr="00B90902" w:rsidTr="00627FA2">
        <w:trPr>
          <w:trHeight w:val="273"/>
          <w:jc w:val="center"/>
        </w:trPr>
        <w:tc>
          <w:tcPr>
            <w:tcW w:w="645" w:type="pct"/>
            <w:shd w:val="clear" w:color="auto" w:fill="auto"/>
            <w:vAlign w:val="center"/>
          </w:tcPr>
          <w:p w:rsidR="00B90902" w:rsidRPr="00B90902" w:rsidRDefault="00B90902" w:rsidP="00B90902">
            <w:pPr>
              <w:autoSpaceDE w:val="0"/>
              <w:autoSpaceDN w:val="0"/>
              <w:adjustRightInd w:val="0"/>
              <w:spacing w:before="120" w:after="120" w:line="240" w:lineRule="auto"/>
              <w:jc w:val="center"/>
              <w:rPr>
                <w:rFonts w:cs="Arial"/>
                <w:sz w:val="20"/>
              </w:rPr>
            </w:pPr>
            <w:r w:rsidRPr="00B90902">
              <w:rPr>
                <w:rFonts w:cs="Arial"/>
                <w:sz w:val="20"/>
              </w:rPr>
              <w:t>Negativa</w:t>
            </w:r>
          </w:p>
        </w:tc>
        <w:tc>
          <w:tcPr>
            <w:tcW w:w="591" w:type="pct"/>
            <w:shd w:val="clear" w:color="auto" w:fill="auto"/>
            <w:vAlign w:val="center"/>
          </w:tcPr>
          <w:p w:rsidR="00B90902" w:rsidRPr="00B90902" w:rsidRDefault="00B90902" w:rsidP="00B90902">
            <w:pPr>
              <w:autoSpaceDE w:val="0"/>
              <w:autoSpaceDN w:val="0"/>
              <w:adjustRightInd w:val="0"/>
              <w:spacing w:before="120" w:after="120" w:line="240" w:lineRule="auto"/>
              <w:jc w:val="center"/>
              <w:rPr>
                <w:rFonts w:cs="Arial"/>
                <w:sz w:val="20"/>
              </w:rPr>
            </w:pPr>
            <w:r w:rsidRPr="00B90902">
              <w:rPr>
                <w:rFonts w:cs="Arial"/>
                <w:sz w:val="20"/>
              </w:rPr>
              <w:t>Direta</w:t>
            </w:r>
          </w:p>
        </w:tc>
        <w:tc>
          <w:tcPr>
            <w:tcW w:w="1091" w:type="pct"/>
            <w:shd w:val="clear" w:color="auto" w:fill="auto"/>
            <w:vAlign w:val="center"/>
          </w:tcPr>
          <w:p w:rsidR="00B90902" w:rsidRPr="00B90902" w:rsidRDefault="008D76DA" w:rsidP="00B90902">
            <w:pPr>
              <w:autoSpaceDE w:val="0"/>
              <w:autoSpaceDN w:val="0"/>
              <w:adjustRightInd w:val="0"/>
              <w:spacing w:before="120" w:after="120" w:line="240" w:lineRule="auto"/>
              <w:jc w:val="center"/>
              <w:rPr>
                <w:rFonts w:cs="Arial"/>
                <w:sz w:val="20"/>
              </w:rPr>
            </w:pPr>
            <w:r>
              <w:rPr>
                <w:rFonts w:cs="Arial"/>
                <w:sz w:val="20"/>
              </w:rPr>
              <w:t>Local (ADA</w:t>
            </w:r>
            <w:r w:rsidR="00B90902" w:rsidRPr="00B90902">
              <w:rPr>
                <w:rFonts w:cs="Arial"/>
                <w:sz w:val="20"/>
              </w:rPr>
              <w:t>)</w:t>
            </w:r>
          </w:p>
        </w:tc>
        <w:tc>
          <w:tcPr>
            <w:tcW w:w="820" w:type="pct"/>
            <w:shd w:val="clear" w:color="auto" w:fill="auto"/>
            <w:vAlign w:val="center"/>
          </w:tcPr>
          <w:p w:rsidR="00B90902" w:rsidRPr="00B90902" w:rsidRDefault="00B90902" w:rsidP="00B90902">
            <w:pPr>
              <w:autoSpaceDE w:val="0"/>
              <w:autoSpaceDN w:val="0"/>
              <w:adjustRightInd w:val="0"/>
              <w:spacing w:before="120" w:after="120" w:line="240" w:lineRule="auto"/>
              <w:jc w:val="center"/>
              <w:rPr>
                <w:rFonts w:cs="Arial"/>
                <w:sz w:val="20"/>
              </w:rPr>
            </w:pPr>
            <w:r w:rsidRPr="00B90902">
              <w:rPr>
                <w:rFonts w:cs="Arial"/>
                <w:sz w:val="20"/>
              </w:rPr>
              <w:t>Permanente</w:t>
            </w:r>
          </w:p>
        </w:tc>
        <w:tc>
          <w:tcPr>
            <w:tcW w:w="1854" w:type="pct"/>
            <w:shd w:val="clear" w:color="auto" w:fill="auto"/>
            <w:vAlign w:val="center"/>
          </w:tcPr>
          <w:p w:rsidR="00B90902" w:rsidRPr="00B90902" w:rsidRDefault="00B90902" w:rsidP="00B90902">
            <w:pPr>
              <w:autoSpaceDE w:val="0"/>
              <w:autoSpaceDN w:val="0"/>
              <w:adjustRightInd w:val="0"/>
              <w:spacing w:before="120" w:after="120" w:line="240" w:lineRule="auto"/>
              <w:jc w:val="center"/>
              <w:rPr>
                <w:rFonts w:cs="Arial"/>
                <w:sz w:val="20"/>
              </w:rPr>
            </w:pPr>
            <w:r w:rsidRPr="00B90902">
              <w:rPr>
                <w:rFonts w:cs="Arial"/>
                <w:sz w:val="20"/>
              </w:rPr>
              <w:t>Certa</w:t>
            </w:r>
          </w:p>
        </w:tc>
      </w:tr>
    </w:tbl>
    <w:p w:rsidR="00B90902" w:rsidRPr="00B90902" w:rsidRDefault="00B90902" w:rsidP="002774E2">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2"/>
      </w:tblGrid>
      <w:tr w:rsidR="00B90902" w:rsidRPr="00B90902" w:rsidTr="00627FA2">
        <w:trPr>
          <w:trHeight w:val="397"/>
          <w:jc w:val="center"/>
        </w:trPr>
        <w:tc>
          <w:tcPr>
            <w:tcW w:w="1342" w:type="pct"/>
            <w:shd w:val="clear" w:color="auto" w:fill="D9D9D9"/>
            <w:vAlign w:val="center"/>
          </w:tcPr>
          <w:p w:rsidR="00B90902" w:rsidRPr="00B90902" w:rsidRDefault="00B90902" w:rsidP="00B90902">
            <w:pPr>
              <w:autoSpaceDE w:val="0"/>
              <w:autoSpaceDN w:val="0"/>
              <w:adjustRightInd w:val="0"/>
              <w:spacing w:before="120" w:after="120" w:line="240" w:lineRule="auto"/>
              <w:jc w:val="center"/>
              <w:rPr>
                <w:rFonts w:cs="Arial"/>
                <w:b/>
                <w:sz w:val="20"/>
              </w:rPr>
            </w:pPr>
            <w:r w:rsidRPr="00B90902">
              <w:rPr>
                <w:rFonts w:cs="Arial"/>
                <w:b/>
                <w:sz w:val="20"/>
              </w:rPr>
              <w:t>Época de Ocorrência</w:t>
            </w:r>
          </w:p>
        </w:tc>
        <w:tc>
          <w:tcPr>
            <w:tcW w:w="977" w:type="pct"/>
            <w:shd w:val="clear" w:color="auto" w:fill="D9D9D9"/>
            <w:vAlign w:val="center"/>
          </w:tcPr>
          <w:p w:rsidR="00B90902" w:rsidRPr="00B90902" w:rsidRDefault="00B90902" w:rsidP="00B90902">
            <w:pPr>
              <w:autoSpaceDE w:val="0"/>
              <w:autoSpaceDN w:val="0"/>
              <w:adjustRightInd w:val="0"/>
              <w:spacing w:before="120" w:after="120" w:line="240" w:lineRule="auto"/>
              <w:jc w:val="center"/>
              <w:rPr>
                <w:rFonts w:cs="Arial"/>
                <w:b/>
                <w:sz w:val="20"/>
              </w:rPr>
            </w:pPr>
            <w:r w:rsidRPr="00B90902">
              <w:rPr>
                <w:rFonts w:cs="Arial"/>
                <w:b/>
                <w:sz w:val="20"/>
              </w:rPr>
              <w:t>Reversibilidade</w:t>
            </w:r>
          </w:p>
        </w:tc>
        <w:tc>
          <w:tcPr>
            <w:tcW w:w="721" w:type="pct"/>
            <w:shd w:val="clear" w:color="auto" w:fill="D9D9D9"/>
            <w:vAlign w:val="center"/>
          </w:tcPr>
          <w:p w:rsidR="00B90902" w:rsidRPr="00B90902" w:rsidRDefault="00B90902" w:rsidP="00B90902">
            <w:pPr>
              <w:autoSpaceDE w:val="0"/>
              <w:autoSpaceDN w:val="0"/>
              <w:adjustRightInd w:val="0"/>
              <w:spacing w:before="120" w:after="120" w:line="240" w:lineRule="auto"/>
              <w:jc w:val="center"/>
              <w:rPr>
                <w:rFonts w:cs="Arial"/>
                <w:b/>
                <w:sz w:val="20"/>
              </w:rPr>
            </w:pPr>
            <w:r w:rsidRPr="00B90902">
              <w:rPr>
                <w:rFonts w:cs="Arial"/>
                <w:b/>
                <w:sz w:val="20"/>
              </w:rPr>
              <w:t>Magnitude</w:t>
            </w:r>
          </w:p>
        </w:tc>
        <w:tc>
          <w:tcPr>
            <w:tcW w:w="778" w:type="pct"/>
            <w:shd w:val="clear" w:color="auto" w:fill="D9D9D9"/>
            <w:vAlign w:val="center"/>
          </w:tcPr>
          <w:p w:rsidR="00B90902" w:rsidRPr="00B90902" w:rsidRDefault="00B90902" w:rsidP="00B90902">
            <w:pPr>
              <w:autoSpaceDE w:val="0"/>
              <w:autoSpaceDN w:val="0"/>
              <w:adjustRightInd w:val="0"/>
              <w:spacing w:before="120" w:after="120" w:line="240" w:lineRule="auto"/>
              <w:jc w:val="center"/>
              <w:rPr>
                <w:rFonts w:cs="Arial"/>
                <w:b/>
                <w:sz w:val="20"/>
              </w:rPr>
            </w:pPr>
            <w:r w:rsidRPr="00B90902">
              <w:rPr>
                <w:rFonts w:cs="Arial"/>
                <w:b/>
                <w:sz w:val="20"/>
              </w:rPr>
              <w:t>Importância</w:t>
            </w:r>
          </w:p>
        </w:tc>
        <w:tc>
          <w:tcPr>
            <w:tcW w:w="1182" w:type="pct"/>
            <w:shd w:val="clear" w:color="auto" w:fill="D9D9D9"/>
            <w:vAlign w:val="center"/>
          </w:tcPr>
          <w:p w:rsidR="00B90902" w:rsidRPr="00B90902" w:rsidRDefault="00B90902" w:rsidP="00B90902">
            <w:pPr>
              <w:autoSpaceDE w:val="0"/>
              <w:autoSpaceDN w:val="0"/>
              <w:adjustRightInd w:val="0"/>
              <w:spacing w:before="120" w:after="120" w:line="240" w:lineRule="auto"/>
              <w:jc w:val="center"/>
              <w:rPr>
                <w:rFonts w:cs="Arial"/>
                <w:b/>
                <w:sz w:val="20"/>
              </w:rPr>
            </w:pPr>
            <w:r w:rsidRPr="00B90902">
              <w:rPr>
                <w:rFonts w:cs="Arial"/>
                <w:b/>
                <w:sz w:val="20"/>
              </w:rPr>
              <w:t>Mitigação</w:t>
            </w:r>
          </w:p>
        </w:tc>
      </w:tr>
      <w:tr w:rsidR="00B90902" w:rsidRPr="00B90902" w:rsidTr="00627FA2">
        <w:trPr>
          <w:trHeight w:val="344"/>
          <w:jc w:val="center"/>
        </w:trPr>
        <w:tc>
          <w:tcPr>
            <w:tcW w:w="1342" w:type="pct"/>
            <w:shd w:val="clear" w:color="auto" w:fill="auto"/>
            <w:vAlign w:val="center"/>
          </w:tcPr>
          <w:p w:rsidR="00B90902" w:rsidRPr="00B90902" w:rsidRDefault="00B90902" w:rsidP="00B90902">
            <w:pPr>
              <w:autoSpaceDE w:val="0"/>
              <w:autoSpaceDN w:val="0"/>
              <w:adjustRightInd w:val="0"/>
              <w:spacing w:before="120" w:after="120" w:line="240" w:lineRule="auto"/>
              <w:jc w:val="center"/>
              <w:rPr>
                <w:rFonts w:cs="Arial"/>
                <w:sz w:val="20"/>
              </w:rPr>
            </w:pPr>
            <w:r w:rsidRPr="00B90902">
              <w:rPr>
                <w:rFonts w:cs="Arial"/>
                <w:sz w:val="20"/>
              </w:rPr>
              <w:t>Curto Prazo</w:t>
            </w:r>
          </w:p>
        </w:tc>
        <w:tc>
          <w:tcPr>
            <w:tcW w:w="977" w:type="pct"/>
            <w:shd w:val="clear" w:color="auto" w:fill="auto"/>
            <w:vAlign w:val="center"/>
          </w:tcPr>
          <w:p w:rsidR="00B90902" w:rsidRPr="00B90902" w:rsidRDefault="00B90902" w:rsidP="00B90902">
            <w:pPr>
              <w:autoSpaceDE w:val="0"/>
              <w:autoSpaceDN w:val="0"/>
              <w:adjustRightInd w:val="0"/>
              <w:spacing w:before="120" w:after="120" w:line="240" w:lineRule="auto"/>
              <w:jc w:val="center"/>
              <w:rPr>
                <w:rFonts w:cs="Arial"/>
                <w:sz w:val="20"/>
              </w:rPr>
            </w:pPr>
            <w:r w:rsidRPr="00B90902">
              <w:rPr>
                <w:rFonts w:cs="Arial"/>
                <w:sz w:val="20"/>
              </w:rPr>
              <w:t>Irreversível</w:t>
            </w:r>
          </w:p>
        </w:tc>
        <w:tc>
          <w:tcPr>
            <w:tcW w:w="721" w:type="pct"/>
            <w:shd w:val="clear" w:color="auto" w:fill="auto"/>
            <w:vAlign w:val="center"/>
          </w:tcPr>
          <w:p w:rsidR="00B90902" w:rsidRPr="00B90902" w:rsidRDefault="008D76DA" w:rsidP="00B90902">
            <w:pPr>
              <w:autoSpaceDE w:val="0"/>
              <w:autoSpaceDN w:val="0"/>
              <w:adjustRightInd w:val="0"/>
              <w:spacing w:before="120" w:after="120" w:line="240" w:lineRule="auto"/>
              <w:jc w:val="center"/>
              <w:rPr>
                <w:rFonts w:cs="Arial"/>
                <w:sz w:val="20"/>
              </w:rPr>
            </w:pPr>
            <w:r>
              <w:rPr>
                <w:rFonts w:cs="Arial"/>
                <w:sz w:val="20"/>
              </w:rPr>
              <w:t>Média</w:t>
            </w:r>
          </w:p>
        </w:tc>
        <w:tc>
          <w:tcPr>
            <w:tcW w:w="778" w:type="pct"/>
            <w:shd w:val="clear" w:color="auto" w:fill="auto"/>
            <w:vAlign w:val="center"/>
          </w:tcPr>
          <w:p w:rsidR="00B90902" w:rsidRPr="00B90902" w:rsidRDefault="008D76DA" w:rsidP="00B90902">
            <w:pPr>
              <w:autoSpaceDE w:val="0"/>
              <w:autoSpaceDN w:val="0"/>
              <w:adjustRightInd w:val="0"/>
              <w:spacing w:before="120" w:after="120" w:line="240" w:lineRule="auto"/>
              <w:jc w:val="center"/>
              <w:rPr>
                <w:rFonts w:cs="Arial"/>
                <w:sz w:val="20"/>
              </w:rPr>
            </w:pPr>
            <w:r>
              <w:rPr>
                <w:rFonts w:cs="Arial"/>
                <w:sz w:val="20"/>
              </w:rPr>
              <w:t>Média</w:t>
            </w:r>
          </w:p>
        </w:tc>
        <w:tc>
          <w:tcPr>
            <w:tcW w:w="1182" w:type="pct"/>
            <w:shd w:val="clear" w:color="auto" w:fill="auto"/>
            <w:vAlign w:val="center"/>
          </w:tcPr>
          <w:p w:rsidR="00B90902" w:rsidRPr="00B90902" w:rsidRDefault="00B90902" w:rsidP="00B90902">
            <w:pPr>
              <w:autoSpaceDE w:val="0"/>
              <w:autoSpaceDN w:val="0"/>
              <w:adjustRightInd w:val="0"/>
              <w:spacing w:before="120" w:after="120" w:line="240" w:lineRule="auto"/>
              <w:jc w:val="center"/>
              <w:rPr>
                <w:rFonts w:cs="Arial"/>
                <w:sz w:val="20"/>
              </w:rPr>
            </w:pPr>
            <w:r w:rsidRPr="00B90902">
              <w:rPr>
                <w:rFonts w:cs="Arial"/>
                <w:sz w:val="20"/>
              </w:rPr>
              <w:t>Não Mitigável</w:t>
            </w:r>
          </w:p>
        </w:tc>
      </w:tr>
    </w:tbl>
    <w:p w:rsidR="00B90902" w:rsidRPr="00B90902" w:rsidRDefault="00B90902" w:rsidP="0092000C">
      <w:pPr>
        <w:autoSpaceDE w:val="0"/>
        <w:autoSpaceDN w:val="0"/>
        <w:adjustRightInd w:val="0"/>
        <w:spacing w:before="120" w:after="120" w:line="240" w:lineRule="auto"/>
        <w:jc w:val="left"/>
        <w:rPr>
          <w:rFonts w:cs="Arial"/>
          <w:b/>
          <w:bCs/>
          <w:szCs w:val="22"/>
        </w:rPr>
      </w:pPr>
    </w:p>
    <w:p w:rsidR="00B90902" w:rsidRPr="00B90902" w:rsidRDefault="00B90902" w:rsidP="00B90902">
      <w:pPr>
        <w:autoSpaceDE w:val="0"/>
        <w:autoSpaceDN w:val="0"/>
        <w:adjustRightInd w:val="0"/>
        <w:spacing w:before="120" w:after="120" w:line="240" w:lineRule="auto"/>
        <w:rPr>
          <w:rFonts w:cs="Arial"/>
          <w:b/>
          <w:szCs w:val="22"/>
        </w:rPr>
      </w:pPr>
      <w:r w:rsidRPr="00B90902">
        <w:rPr>
          <w:rFonts w:cs="Arial"/>
          <w:b/>
          <w:szCs w:val="22"/>
        </w:rPr>
        <w:t>Ações Ambientais Propostas:</w:t>
      </w:r>
    </w:p>
    <w:p w:rsidR="008D76DA" w:rsidRPr="008D76DA" w:rsidRDefault="008D76DA" w:rsidP="008D76DA">
      <w:pPr>
        <w:spacing w:before="120" w:after="120" w:line="240" w:lineRule="auto"/>
      </w:pPr>
      <w:bookmarkStart w:id="158" w:name="_Toc418758211"/>
      <w:bookmarkStart w:id="159" w:name="_Toc418758813"/>
      <w:bookmarkStart w:id="160" w:name="_Toc419813577"/>
      <w:r w:rsidRPr="008D76DA">
        <w:t xml:space="preserve">Não existem medidas mitigadoras associadas a esse impacto. Contudo, cabe destacar que será implantado o Programa de Monitoramento Hidrológico que irá acompanhar o regime de vazões, na área de influência do empreendimento, incluindo os segmentos a jusante das barragens.  </w:t>
      </w:r>
    </w:p>
    <w:p w:rsidR="002F6096" w:rsidRPr="00125F44" w:rsidRDefault="00A71868" w:rsidP="008D3A12">
      <w:pPr>
        <w:pStyle w:val="Ttulo3"/>
        <w:spacing w:after="240"/>
      </w:pPr>
      <w:r w:rsidRPr="00125F44">
        <w:t>1.3.1.</w:t>
      </w:r>
      <w:r w:rsidR="00973BCF" w:rsidRPr="00125F44">
        <w:t>8. Assoreamento dos Reservat</w:t>
      </w:r>
      <w:r w:rsidR="00973BCF" w:rsidRPr="00125F44">
        <w:rPr>
          <w:rFonts w:hint="eastAsia"/>
        </w:rPr>
        <w:t>ó</w:t>
      </w:r>
      <w:r w:rsidR="00973BCF" w:rsidRPr="00125F44">
        <w:t>rios</w:t>
      </w:r>
      <w:bookmarkEnd w:id="158"/>
      <w:bookmarkEnd w:id="159"/>
      <w:bookmarkEnd w:id="160"/>
    </w:p>
    <w:p w:rsidR="00500BF4" w:rsidRPr="00D379F9" w:rsidRDefault="00500BF4" w:rsidP="00500BF4">
      <w:pPr>
        <w:spacing w:before="120" w:after="120" w:line="240" w:lineRule="auto"/>
        <w:rPr>
          <w:b/>
        </w:rPr>
      </w:pPr>
      <w:r>
        <w:rPr>
          <w:b/>
        </w:rPr>
        <w:t>Fase</w:t>
      </w:r>
      <w:r w:rsidR="00E73761">
        <w:rPr>
          <w:b/>
        </w:rPr>
        <w:t>:</w:t>
      </w:r>
      <w:r>
        <w:rPr>
          <w:b/>
        </w:rPr>
        <w:t xml:space="preserve"> Implantação</w:t>
      </w:r>
      <w:r w:rsidR="00B7463A">
        <w:rPr>
          <w:b/>
        </w:rPr>
        <w:t xml:space="preserve"> e Operação</w:t>
      </w:r>
      <w:r>
        <w:rPr>
          <w:b/>
        </w:rPr>
        <w:t xml:space="preserve"> </w:t>
      </w:r>
    </w:p>
    <w:p w:rsidR="00500BF4" w:rsidRPr="00500BF4" w:rsidRDefault="00500BF4" w:rsidP="00500BF4">
      <w:pPr>
        <w:spacing w:before="120" w:after="120" w:line="240" w:lineRule="auto"/>
      </w:pPr>
      <w:r w:rsidRPr="00500BF4">
        <w:t xml:space="preserve">O impacto em questão deverá ocorrer na fase de construção das barragens e respectivas estruturas (ensecadeiras, desvio do rio, vertedouro, </w:t>
      </w:r>
      <w:r>
        <w:t>etc.)</w:t>
      </w:r>
      <w:r w:rsidR="00B7463A">
        <w:t xml:space="preserve"> e durante o enchimento e operação dos reservatórios</w:t>
      </w:r>
      <w:r>
        <w:t>.</w:t>
      </w:r>
    </w:p>
    <w:p w:rsidR="00500BF4" w:rsidRPr="00500BF4" w:rsidRDefault="00500BF4" w:rsidP="00500BF4">
      <w:pPr>
        <w:spacing w:before="120" w:after="120" w:line="240" w:lineRule="auto"/>
      </w:pPr>
      <w:r w:rsidRPr="00500BF4">
        <w:t>A implantação da barragem e das estruturas nos sítios Pedreira e Duas Pontes provocará uma grande movimentação de pedras, rochas e solos, com o consequente carreamento deste material para o leito dos cursos d’água nas proximidades dos sítios.</w:t>
      </w:r>
    </w:p>
    <w:p w:rsidR="00500BF4" w:rsidRPr="00500BF4" w:rsidRDefault="00500BF4" w:rsidP="00500BF4">
      <w:pPr>
        <w:spacing w:before="120" w:after="120" w:line="240" w:lineRule="auto"/>
      </w:pPr>
      <w:r w:rsidRPr="00500BF4">
        <w:t>A ocorrência do impacto se dará nos reservatório d</w:t>
      </w:r>
      <w:r>
        <w:t>as Barragens</w:t>
      </w:r>
      <w:r w:rsidRPr="00500BF4">
        <w:t xml:space="preserve"> Pedreira e Duas Pontes</w:t>
      </w:r>
      <w:r>
        <w:t>, com abrangência</w:t>
      </w:r>
      <w:r w:rsidRPr="00500BF4">
        <w:t xml:space="preserve"> na ADA.</w:t>
      </w:r>
    </w:p>
    <w:p w:rsidR="00500BF4" w:rsidRPr="006F4DA4" w:rsidRDefault="00500BF4" w:rsidP="00500BF4">
      <w:pPr>
        <w:pStyle w:val="Corpodetexto"/>
        <w:rPr>
          <w:rFonts w:cs="Arial"/>
          <w:szCs w:val="22"/>
        </w:rPr>
      </w:pPr>
      <w:r w:rsidRPr="006F4DA4">
        <w:rPr>
          <w:rFonts w:cs="Arial"/>
          <w:szCs w:val="22"/>
        </w:rPr>
        <w:t>O aporte de sedimentos ao reservatório é função das vazões afluentes e das concentrações sólidas, que por sua vez estão diretamente relacionadas com a ação antrópica na bacia, variável ao longo do tempo.</w:t>
      </w:r>
    </w:p>
    <w:p w:rsidR="00500BF4" w:rsidRPr="006F4DA4" w:rsidRDefault="00500BF4" w:rsidP="00500BF4">
      <w:pPr>
        <w:spacing w:before="120" w:after="120" w:line="240" w:lineRule="auto"/>
        <w:rPr>
          <w:rFonts w:cs="Arial"/>
          <w:szCs w:val="22"/>
        </w:rPr>
      </w:pPr>
      <w:r w:rsidRPr="006F4DA4">
        <w:rPr>
          <w:rFonts w:cs="Arial"/>
          <w:szCs w:val="22"/>
        </w:rPr>
        <w:t xml:space="preserve">Com o enchimento dos reservatórios, os sólidos que na condição natural eram transportados para o trecho de jusante, ficarão retidos nos dois reservatórios, mudando desta forma a morfologia fluvial. </w:t>
      </w:r>
    </w:p>
    <w:p w:rsidR="00500BF4" w:rsidRPr="006F4DA4" w:rsidRDefault="00500BF4" w:rsidP="00500BF4">
      <w:pPr>
        <w:spacing w:before="120" w:after="120" w:line="240" w:lineRule="auto"/>
        <w:rPr>
          <w:rFonts w:cs="Arial"/>
          <w:szCs w:val="22"/>
        </w:rPr>
      </w:pPr>
      <w:r w:rsidRPr="006F4DA4">
        <w:rPr>
          <w:rFonts w:cs="Arial"/>
          <w:szCs w:val="22"/>
        </w:rPr>
        <w:t xml:space="preserve">Os estudos desenvolvidos com base nos dados disponíveis de transporte sólido na bacia mostraram que o carreamento sólido na calha dos rios Jaguari e Camanducaia é baixo, considerando as condições vigentes na bacia nos dias de hoje. </w:t>
      </w:r>
    </w:p>
    <w:p w:rsidR="00500BF4" w:rsidRPr="006F4DA4" w:rsidRDefault="00500BF4" w:rsidP="00500BF4">
      <w:pPr>
        <w:spacing w:before="120" w:after="120" w:line="240" w:lineRule="auto"/>
        <w:rPr>
          <w:rFonts w:cs="Arial"/>
          <w:szCs w:val="22"/>
        </w:rPr>
      </w:pPr>
      <w:r w:rsidRPr="006F4DA4">
        <w:rPr>
          <w:rFonts w:cs="Arial"/>
          <w:szCs w:val="22"/>
        </w:rPr>
        <w:t>Com o passar dos anos, ao longo da operação das barragens, o acumulo de sedimentos nos reservatórios poderão provocar modificações dos remansos dos dois reservatórios.</w:t>
      </w:r>
    </w:p>
    <w:p w:rsidR="00500BF4" w:rsidRPr="006F4DA4" w:rsidRDefault="007D1A4D" w:rsidP="00500BF4">
      <w:pPr>
        <w:spacing w:before="120" w:after="120" w:line="240" w:lineRule="auto"/>
        <w:rPr>
          <w:rFonts w:cs="Arial"/>
          <w:szCs w:val="22"/>
        </w:rPr>
      </w:pPr>
      <w:r w:rsidRPr="006F4DA4">
        <w:rPr>
          <w:rFonts w:cs="Arial"/>
          <w:szCs w:val="22"/>
        </w:rPr>
        <w:t xml:space="preserve">O impacto é direto, de ocorrência certa e no curto prazo. Considerado </w:t>
      </w:r>
      <w:r w:rsidR="00500BF4" w:rsidRPr="006F4DA4">
        <w:rPr>
          <w:rFonts w:cs="Arial"/>
          <w:szCs w:val="22"/>
        </w:rPr>
        <w:t>reversível</w:t>
      </w:r>
      <w:r w:rsidRPr="006F4DA4">
        <w:rPr>
          <w:rFonts w:cs="Arial"/>
          <w:szCs w:val="22"/>
        </w:rPr>
        <w:t>, de magnitude pequena e importância baixa, com manifestação contínua</w:t>
      </w:r>
      <w:r w:rsidR="00500BF4" w:rsidRPr="006F4DA4">
        <w:rPr>
          <w:rFonts w:cs="Arial"/>
          <w:szCs w:val="22"/>
        </w:rPr>
        <w:t>, sendo considerado negativo.</w:t>
      </w:r>
    </w:p>
    <w:p w:rsidR="00500BF4" w:rsidRDefault="00500BF4" w:rsidP="00500BF4">
      <w:pPr>
        <w:spacing w:before="120" w:after="120" w:line="240" w:lineRule="auto"/>
        <w:rPr>
          <w:rFonts w:cs="Arial"/>
          <w:szCs w:val="22"/>
        </w:rPr>
      </w:pPr>
      <w:r w:rsidRPr="006F4DA4">
        <w:rPr>
          <w:rFonts w:cs="Arial"/>
          <w:szCs w:val="22"/>
        </w:rPr>
        <w:t>Identifica-se como possível impacto indireto, a alteração dos remansos dos reservatórios no seu trecho mais</w:t>
      </w:r>
      <w:r w:rsidR="007D1A4D" w:rsidRPr="006F4DA4">
        <w:rPr>
          <w:rFonts w:cs="Arial"/>
          <w:szCs w:val="22"/>
        </w:rPr>
        <w:t xml:space="preserve"> de montante, devendo-se manter o controle regular do nível de assoreamento nesse trecho.</w:t>
      </w:r>
    </w:p>
    <w:p w:rsidR="00785A33" w:rsidRDefault="00785A33">
      <w:pPr>
        <w:spacing w:line="240" w:lineRule="auto"/>
        <w:jc w:val="left"/>
        <w:rPr>
          <w:b/>
        </w:rPr>
      </w:pPr>
      <w:bookmarkStart w:id="161" w:name="_Toc420316453"/>
      <w:r>
        <w:rPr>
          <w:i/>
        </w:rPr>
        <w:br w:type="page"/>
      </w:r>
    </w:p>
    <w:p w:rsidR="006F4DA4" w:rsidRPr="008D3A12" w:rsidRDefault="008D3A12" w:rsidP="008D3A12">
      <w:pPr>
        <w:pStyle w:val="Legenda"/>
        <w:spacing w:before="0" w:after="0" w:line="240" w:lineRule="auto"/>
        <w:jc w:val="center"/>
        <w:rPr>
          <w:rFonts w:cs="Arial"/>
          <w:b w:val="0"/>
          <w:bCs/>
          <w:i w:val="0"/>
          <w:szCs w:val="22"/>
        </w:rPr>
      </w:pPr>
      <w:r w:rsidRPr="008D3A12">
        <w:rPr>
          <w:i w:val="0"/>
        </w:rPr>
        <w:lastRenderedPageBreak/>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1.3</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10</w:t>
      </w:r>
      <w:r w:rsidR="00B80A05">
        <w:rPr>
          <w:i w:val="0"/>
        </w:rPr>
        <w:fldChar w:fldCharType="end"/>
      </w:r>
      <w:r w:rsidRPr="008D3A12">
        <w:rPr>
          <w:i w:val="0"/>
        </w:rPr>
        <w:t>.</w:t>
      </w:r>
      <w:r w:rsidRPr="008D3A12">
        <w:rPr>
          <w:b w:val="0"/>
          <w:i w:val="0"/>
        </w:rPr>
        <w:t xml:space="preserve"> - </w:t>
      </w:r>
      <w:r w:rsidR="00500BF4" w:rsidRPr="008D3A12">
        <w:rPr>
          <w:rFonts w:cs="Arial"/>
          <w:b w:val="0"/>
          <w:bCs/>
          <w:i w:val="0"/>
          <w:szCs w:val="22"/>
        </w:rPr>
        <w:t>Caracterização do Impacto – Assoreamento do</w:t>
      </w:r>
      <w:r w:rsidR="007D4C4E" w:rsidRPr="008D3A12">
        <w:rPr>
          <w:rFonts w:cs="Arial"/>
          <w:b w:val="0"/>
          <w:bCs/>
          <w:i w:val="0"/>
          <w:szCs w:val="22"/>
        </w:rPr>
        <w:t>s</w:t>
      </w:r>
      <w:r w:rsidR="00500BF4" w:rsidRPr="008D3A12">
        <w:rPr>
          <w:rFonts w:cs="Arial"/>
          <w:b w:val="0"/>
          <w:bCs/>
          <w:i w:val="0"/>
          <w:szCs w:val="22"/>
        </w:rPr>
        <w:t xml:space="preserve"> Reservatório</w:t>
      </w:r>
      <w:r w:rsidR="007D4C4E" w:rsidRPr="008D3A12">
        <w:rPr>
          <w:rFonts w:cs="Arial"/>
          <w:b w:val="0"/>
          <w:bCs/>
          <w:i w:val="0"/>
          <w:szCs w:val="22"/>
        </w:rPr>
        <w:t>s</w:t>
      </w:r>
      <w:bookmarkEnd w:id="161"/>
    </w:p>
    <w:p w:rsidR="00500BF4" w:rsidRDefault="00500BF4" w:rsidP="008D3A12">
      <w:pPr>
        <w:autoSpaceDE w:val="0"/>
        <w:autoSpaceDN w:val="0"/>
        <w:adjustRightInd w:val="0"/>
        <w:spacing w:line="240" w:lineRule="auto"/>
        <w:jc w:val="center"/>
        <w:rPr>
          <w:rFonts w:cs="Arial"/>
          <w:bCs/>
          <w:szCs w:val="22"/>
        </w:rPr>
      </w:pPr>
      <w:r w:rsidRPr="008D3A12">
        <w:rPr>
          <w:rFonts w:cs="Arial"/>
          <w:bCs/>
          <w:szCs w:val="22"/>
        </w:rPr>
        <w:t>Barragens Pedreira e Duas Pontes</w:t>
      </w:r>
    </w:p>
    <w:p w:rsidR="008D3A12" w:rsidRPr="008D3A12" w:rsidRDefault="008D3A12" w:rsidP="008D3A12">
      <w:pPr>
        <w:autoSpaceDE w:val="0"/>
        <w:autoSpaceDN w:val="0"/>
        <w:adjustRightInd w:val="0"/>
        <w:spacing w:line="240" w:lineRule="auto"/>
        <w:jc w:val="center"/>
        <w:rPr>
          <w:rFonts w:cs="Arial"/>
          <w:bCs/>
          <w:szCs w:val="22"/>
        </w:rPr>
      </w:pPr>
    </w:p>
    <w:tbl>
      <w:tblPr>
        <w:tblW w:w="0" w:type="auto"/>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3"/>
        <w:gridCol w:w="1264"/>
        <w:gridCol w:w="1744"/>
        <w:gridCol w:w="1399"/>
        <w:gridCol w:w="3069"/>
      </w:tblGrid>
      <w:tr w:rsidR="00500BF4" w:rsidRPr="00500BF4" w:rsidTr="00E43555">
        <w:trPr>
          <w:trHeight w:val="397"/>
          <w:jc w:val="center"/>
        </w:trPr>
        <w:tc>
          <w:tcPr>
            <w:tcW w:w="1263" w:type="dxa"/>
            <w:shd w:val="clear" w:color="auto" w:fill="D9D9D9"/>
            <w:vAlign w:val="center"/>
          </w:tcPr>
          <w:p w:rsidR="00500BF4" w:rsidRPr="00500BF4" w:rsidRDefault="00500BF4" w:rsidP="00E43555">
            <w:pPr>
              <w:autoSpaceDE w:val="0"/>
              <w:autoSpaceDN w:val="0"/>
              <w:adjustRightInd w:val="0"/>
              <w:spacing w:before="120" w:after="120" w:line="240" w:lineRule="auto"/>
              <w:jc w:val="center"/>
              <w:rPr>
                <w:rFonts w:cs="Arial"/>
                <w:b/>
                <w:sz w:val="20"/>
              </w:rPr>
            </w:pPr>
            <w:r w:rsidRPr="00500BF4">
              <w:rPr>
                <w:rFonts w:cs="Arial"/>
                <w:b/>
                <w:sz w:val="20"/>
              </w:rPr>
              <w:t>Natureza</w:t>
            </w:r>
          </w:p>
        </w:tc>
        <w:tc>
          <w:tcPr>
            <w:tcW w:w="1264" w:type="dxa"/>
            <w:shd w:val="clear" w:color="auto" w:fill="D9D9D9"/>
            <w:vAlign w:val="center"/>
          </w:tcPr>
          <w:p w:rsidR="00500BF4" w:rsidRPr="00500BF4" w:rsidRDefault="00500BF4" w:rsidP="00E43555">
            <w:pPr>
              <w:autoSpaceDE w:val="0"/>
              <w:autoSpaceDN w:val="0"/>
              <w:adjustRightInd w:val="0"/>
              <w:spacing w:before="120" w:after="120" w:line="240" w:lineRule="auto"/>
              <w:jc w:val="center"/>
              <w:rPr>
                <w:rFonts w:cs="Arial"/>
                <w:b/>
                <w:sz w:val="20"/>
              </w:rPr>
            </w:pPr>
            <w:r w:rsidRPr="00500BF4">
              <w:rPr>
                <w:rFonts w:cs="Arial"/>
                <w:b/>
                <w:sz w:val="20"/>
              </w:rPr>
              <w:t>Ordem</w:t>
            </w:r>
          </w:p>
        </w:tc>
        <w:tc>
          <w:tcPr>
            <w:tcW w:w="1744" w:type="dxa"/>
            <w:shd w:val="clear" w:color="auto" w:fill="D9D9D9"/>
            <w:vAlign w:val="center"/>
          </w:tcPr>
          <w:p w:rsidR="00500BF4" w:rsidRPr="00500BF4" w:rsidRDefault="00500BF4" w:rsidP="00E43555">
            <w:pPr>
              <w:autoSpaceDE w:val="0"/>
              <w:autoSpaceDN w:val="0"/>
              <w:adjustRightInd w:val="0"/>
              <w:spacing w:before="120" w:after="120" w:line="240" w:lineRule="auto"/>
              <w:jc w:val="center"/>
              <w:rPr>
                <w:rFonts w:cs="Arial"/>
                <w:b/>
                <w:sz w:val="20"/>
              </w:rPr>
            </w:pPr>
            <w:r w:rsidRPr="00500BF4">
              <w:rPr>
                <w:rFonts w:cs="Arial"/>
                <w:b/>
                <w:sz w:val="20"/>
              </w:rPr>
              <w:t>Abrangência</w:t>
            </w:r>
          </w:p>
        </w:tc>
        <w:tc>
          <w:tcPr>
            <w:tcW w:w="1399" w:type="dxa"/>
            <w:shd w:val="clear" w:color="auto" w:fill="D9D9D9"/>
            <w:vAlign w:val="center"/>
          </w:tcPr>
          <w:p w:rsidR="00500BF4" w:rsidRPr="00500BF4" w:rsidRDefault="00500BF4" w:rsidP="00E43555">
            <w:pPr>
              <w:autoSpaceDE w:val="0"/>
              <w:autoSpaceDN w:val="0"/>
              <w:adjustRightInd w:val="0"/>
              <w:spacing w:before="120" w:after="120" w:line="240" w:lineRule="auto"/>
              <w:jc w:val="center"/>
              <w:rPr>
                <w:rFonts w:cs="Arial"/>
                <w:b/>
                <w:sz w:val="20"/>
              </w:rPr>
            </w:pPr>
            <w:r w:rsidRPr="00500BF4">
              <w:rPr>
                <w:rFonts w:cs="Arial"/>
                <w:b/>
                <w:sz w:val="20"/>
              </w:rPr>
              <w:t>Duração</w:t>
            </w:r>
          </w:p>
        </w:tc>
        <w:tc>
          <w:tcPr>
            <w:tcW w:w="3069" w:type="dxa"/>
            <w:shd w:val="clear" w:color="auto" w:fill="D9D9D9"/>
            <w:vAlign w:val="center"/>
          </w:tcPr>
          <w:p w:rsidR="00500BF4" w:rsidRPr="00500BF4" w:rsidRDefault="00500BF4" w:rsidP="00E43555">
            <w:pPr>
              <w:autoSpaceDE w:val="0"/>
              <w:autoSpaceDN w:val="0"/>
              <w:adjustRightInd w:val="0"/>
              <w:spacing w:before="120" w:after="120" w:line="240" w:lineRule="auto"/>
              <w:jc w:val="center"/>
              <w:rPr>
                <w:rFonts w:cs="Arial"/>
                <w:b/>
                <w:sz w:val="20"/>
              </w:rPr>
            </w:pPr>
            <w:r w:rsidRPr="00500BF4">
              <w:rPr>
                <w:rFonts w:cs="Arial"/>
                <w:b/>
                <w:sz w:val="20"/>
              </w:rPr>
              <w:t>Probabilidade de Ocorrência</w:t>
            </w:r>
          </w:p>
        </w:tc>
      </w:tr>
      <w:tr w:rsidR="00500BF4" w:rsidRPr="00500BF4" w:rsidTr="00E43555">
        <w:trPr>
          <w:jc w:val="center"/>
        </w:trPr>
        <w:tc>
          <w:tcPr>
            <w:tcW w:w="1263" w:type="dxa"/>
            <w:shd w:val="clear" w:color="auto" w:fill="auto"/>
            <w:vAlign w:val="center"/>
          </w:tcPr>
          <w:p w:rsidR="00500BF4" w:rsidRPr="00500BF4" w:rsidRDefault="00500BF4" w:rsidP="00E43555">
            <w:pPr>
              <w:autoSpaceDE w:val="0"/>
              <w:autoSpaceDN w:val="0"/>
              <w:adjustRightInd w:val="0"/>
              <w:spacing w:before="120" w:after="120" w:line="240" w:lineRule="auto"/>
              <w:jc w:val="center"/>
              <w:rPr>
                <w:rFonts w:cs="Arial"/>
                <w:sz w:val="20"/>
              </w:rPr>
            </w:pPr>
            <w:r w:rsidRPr="00500BF4">
              <w:rPr>
                <w:rFonts w:cs="Arial"/>
                <w:sz w:val="20"/>
              </w:rPr>
              <w:t>Negativa</w:t>
            </w:r>
          </w:p>
        </w:tc>
        <w:tc>
          <w:tcPr>
            <w:tcW w:w="1264" w:type="dxa"/>
            <w:shd w:val="clear" w:color="auto" w:fill="auto"/>
            <w:vAlign w:val="center"/>
          </w:tcPr>
          <w:p w:rsidR="00500BF4" w:rsidRPr="00500BF4" w:rsidRDefault="00500BF4" w:rsidP="00E43555">
            <w:pPr>
              <w:autoSpaceDE w:val="0"/>
              <w:autoSpaceDN w:val="0"/>
              <w:adjustRightInd w:val="0"/>
              <w:spacing w:before="120" w:after="120" w:line="240" w:lineRule="auto"/>
              <w:jc w:val="center"/>
              <w:rPr>
                <w:rFonts w:cs="Arial"/>
                <w:sz w:val="20"/>
              </w:rPr>
            </w:pPr>
            <w:r w:rsidRPr="00500BF4">
              <w:rPr>
                <w:rFonts w:cs="Arial"/>
                <w:sz w:val="20"/>
              </w:rPr>
              <w:t>Direta</w:t>
            </w:r>
          </w:p>
        </w:tc>
        <w:tc>
          <w:tcPr>
            <w:tcW w:w="1744" w:type="dxa"/>
            <w:shd w:val="clear" w:color="auto" w:fill="auto"/>
            <w:vAlign w:val="center"/>
          </w:tcPr>
          <w:p w:rsidR="00500BF4" w:rsidRPr="00500BF4" w:rsidRDefault="00500BF4" w:rsidP="00E43555">
            <w:pPr>
              <w:autoSpaceDE w:val="0"/>
              <w:autoSpaceDN w:val="0"/>
              <w:adjustRightInd w:val="0"/>
              <w:spacing w:before="120" w:after="120" w:line="240" w:lineRule="auto"/>
              <w:jc w:val="center"/>
              <w:rPr>
                <w:rFonts w:cs="Arial"/>
                <w:sz w:val="20"/>
              </w:rPr>
            </w:pPr>
            <w:r w:rsidRPr="00500BF4">
              <w:rPr>
                <w:rFonts w:cs="Arial"/>
                <w:sz w:val="20"/>
              </w:rPr>
              <w:t>Local (ADA)</w:t>
            </w:r>
          </w:p>
        </w:tc>
        <w:tc>
          <w:tcPr>
            <w:tcW w:w="1399" w:type="dxa"/>
            <w:shd w:val="clear" w:color="auto" w:fill="auto"/>
            <w:vAlign w:val="center"/>
          </w:tcPr>
          <w:p w:rsidR="00500BF4" w:rsidRPr="00500BF4" w:rsidRDefault="007D1A4D" w:rsidP="00E43555">
            <w:pPr>
              <w:autoSpaceDE w:val="0"/>
              <w:autoSpaceDN w:val="0"/>
              <w:adjustRightInd w:val="0"/>
              <w:spacing w:before="120" w:after="120" w:line="240" w:lineRule="auto"/>
              <w:jc w:val="center"/>
              <w:rPr>
                <w:rFonts w:cs="Arial"/>
                <w:sz w:val="20"/>
              </w:rPr>
            </w:pPr>
            <w:r>
              <w:rPr>
                <w:rFonts w:cs="Arial"/>
                <w:sz w:val="20"/>
              </w:rPr>
              <w:t>Permanente</w:t>
            </w:r>
          </w:p>
        </w:tc>
        <w:tc>
          <w:tcPr>
            <w:tcW w:w="3069" w:type="dxa"/>
            <w:shd w:val="clear" w:color="auto" w:fill="auto"/>
            <w:vAlign w:val="center"/>
          </w:tcPr>
          <w:p w:rsidR="00500BF4" w:rsidRPr="00500BF4" w:rsidRDefault="00500BF4" w:rsidP="00E43555">
            <w:pPr>
              <w:autoSpaceDE w:val="0"/>
              <w:autoSpaceDN w:val="0"/>
              <w:adjustRightInd w:val="0"/>
              <w:spacing w:before="120" w:after="120" w:line="240" w:lineRule="auto"/>
              <w:jc w:val="center"/>
              <w:rPr>
                <w:rFonts w:cs="Arial"/>
                <w:sz w:val="20"/>
              </w:rPr>
            </w:pPr>
            <w:r w:rsidRPr="00500BF4">
              <w:rPr>
                <w:rFonts w:cs="Arial"/>
                <w:sz w:val="20"/>
              </w:rPr>
              <w:t>Certa</w:t>
            </w:r>
          </w:p>
        </w:tc>
      </w:tr>
    </w:tbl>
    <w:p w:rsidR="00500BF4" w:rsidRPr="00500BF4" w:rsidRDefault="00500BF4" w:rsidP="00500BF4">
      <w:pPr>
        <w:autoSpaceDE w:val="0"/>
        <w:autoSpaceDN w:val="0"/>
        <w:adjustRightInd w:val="0"/>
        <w:spacing w:line="240" w:lineRule="auto"/>
        <w:jc w:val="center"/>
        <w:rPr>
          <w:rFonts w:cs="Arial"/>
          <w:sz w:val="20"/>
        </w:rPr>
      </w:pPr>
    </w:p>
    <w:tbl>
      <w:tblPr>
        <w:tblW w:w="0" w:type="auto"/>
        <w:jc w:val="center"/>
        <w:tblInd w:w="-1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6"/>
        <w:gridCol w:w="1796"/>
        <w:gridCol w:w="1357"/>
        <w:gridCol w:w="1472"/>
        <w:gridCol w:w="1624"/>
      </w:tblGrid>
      <w:tr w:rsidR="00500BF4" w:rsidRPr="00500BF4" w:rsidTr="00E43555">
        <w:trPr>
          <w:trHeight w:val="397"/>
          <w:jc w:val="center"/>
        </w:trPr>
        <w:tc>
          <w:tcPr>
            <w:tcW w:w="2496" w:type="dxa"/>
            <w:shd w:val="clear" w:color="auto" w:fill="D9D9D9"/>
            <w:vAlign w:val="center"/>
          </w:tcPr>
          <w:p w:rsidR="00500BF4" w:rsidRPr="00500BF4" w:rsidRDefault="00500BF4" w:rsidP="00E43555">
            <w:pPr>
              <w:autoSpaceDE w:val="0"/>
              <w:autoSpaceDN w:val="0"/>
              <w:adjustRightInd w:val="0"/>
              <w:spacing w:before="120" w:after="120" w:line="240" w:lineRule="auto"/>
              <w:jc w:val="center"/>
              <w:rPr>
                <w:rFonts w:cs="Arial"/>
                <w:b/>
                <w:sz w:val="20"/>
              </w:rPr>
            </w:pPr>
            <w:r w:rsidRPr="00500BF4">
              <w:rPr>
                <w:rFonts w:cs="Arial"/>
                <w:b/>
                <w:sz w:val="20"/>
              </w:rPr>
              <w:t>Época de Ocorrência</w:t>
            </w:r>
          </w:p>
        </w:tc>
        <w:tc>
          <w:tcPr>
            <w:tcW w:w="1796" w:type="dxa"/>
            <w:shd w:val="clear" w:color="auto" w:fill="D9D9D9"/>
            <w:vAlign w:val="center"/>
          </w:tcPr>
          <w:p w:rsidR="00500BF4" w:rsidRPr="00500BF4" w:rsidRDefault="00500BF4" w:rsidP="00E43555">
            <w:pPr>
              <w:autoSpaceDE w:val="0"/>
              <w:autoSpaceDN w:val="0"/>
              <w:adjustRightInd w:val="0"/>
              <w:spacing w:before="120" w:after="120" w:line="240" w:lineRule="auto"/>
              <w:jc w:val="center"/>
              <w:rPr>
                <w:rFonts w:cs="Arial"/>
                <w:b/>
                <w:sz w:val="20"/>
              </w:rPr>
            </w:pPr>
            <w:r w:rsidRPr="00500BF4">
              <w:rPr>
                <w:rFonts w:cs="Arial"/>
                <w:b/>
                <w:sz w:val="20"/>
              </w:rPr>
              <w:t>Reversibilidade</w:t>
            </w:r>
          </w:p>
        </w:tc>
        <w:tc>
          <w:tcPr>
            <w:tcW w:w="1357" w:type="dxa"/>
            <w:shd w:val="clear" w:color="auto" w:fill="D9D9D9"/>
            <w:vAlign w:val="center"/>
          </w:tcPr>
          <w:p w:rsidR="00500BF4" w:rsidRPr="00500BF4" w:rsidRDefault="00500BF4" w:rsidP="00E43555">
            <w:pPr>
              <w:autoSpaceDE w:val="0"/>
              <w:autoSpaceDN w:val="0"/>
              <w:adjustRightInd w:val="0"/>
              <w:spacing w:before="120" w:after="120" w:line="240" w:lineRule="auto"/>
              <w:jc w:val="center"/>
              <w:rPr>
                <w:rFonts w:cs="Arial"/>
                <w:b/>
                <w:sz w:val="20"/>
              </w:rPr>
            </w:pPr>
            <w:r w:rsidRPr="00500BF4">
              <w:rPr>
                <w:rFonts w:cs="Arial"/>
                <w:b/>
                <w:sz w:val="20"/>
              </w:rPr>
              <w:t>Magnitude</w:t>
            </w:r>
          </w:p>
        </w:tc>
        <w:tc>
          <w:tcPr>
            <w:tcW w:w="1472" w:type="dxa"/>
            <w:shd w:val="clear" w:color="auto" w:fill="D9D9D9"/>
            <w:vAlign w:val="center"/>
          </w:tcPr>
          <w:p w:rsidR="00500BF4" w:rsidRPr="00500BF4" w:rsidRDefault="00500BF4" w:rsidP="00E43555">
            <w:pPr>
              <w:autoSpaceDE w:val="0"/>
              <w:autoSpaceDN w:val="0"/>
              <w:adjustRightInd w:val="0"/>
              <w:spacing w:before="120" w:after="120" w:line="240" w:lineRule="auto"/>
              <w:jc w:val="center"/>
              <w:rPr>
                <w:rFonts w:cs="Arial"/>
                <w:b/>
                <w:sz w:val="20"/>
              </w:rPr>
            </w:pPr>
            <w:r w:rsidRPr="00500BF4">
              <w:rPr>
                <w:rFonts w:cs="Arial"/>
                <w:b/>
                <w:sz w:val="20"/>
              </w:rPr>
              <w:t>Importância</w:t>
            </w:r>
          </w:p>
        </w:tc>
        <w:tc>
          <w:tcPr>
            <w:tcW w:w="1624" w:type="dxa"/>
            <w:shd w:val="clear" w:color="auto" w:fill="D9D9D9"/>
            <w:vAlign w:val="center"/>
          </w:tcPr>
          <w:p w:rsidR="00500BF4" w:rsidRPr="00500BF4" w:rsidRDefault="00500BF4" w:rsidP="00E43555">
            <w:pPr>
              <w:autoSpaceDE w:val="0"/>
              <w:autoSpaceDN w:val="0"/>
              <w:adjustRightInd w:val="0"/>
              <w:spacing w:before="120" w:after="120" w:line="240" w:lineRule="auto"/>
              <w:jc w:val="center"/>
              <w:rPr>
                <w:rFonts w:cs="Arial"/>
                <w:b/>
                <w:sz w:val="20"/>
              </w:rPr>
            </w:pPr>
            <w:r w:rsidRPr="00500BF4">
              <w:rPr>
                <w:rFonts w:cs="Arial"/>
                <w:b/>
                <w:sz w:val="20"/>
              </w:rPr>
              <w:t>Mitigação</w:t>
            </w:r>
          </w:p>
        </w:tc>
      </w:tr>
      <w:tr w:rsidR="00500BF4" w:rsidRPr="00500BF4" w:rsidTr="00E43555">
        <w:trPr>
          <w:jc w:val="center"/>
        </w:trPr>
        <w:tc>
          <w:tcPr>
            <w:tcW w:w="2496" w:type="dxa"/>
            <w:shd w:val="clear" w:color="auto" w:fill="auto"/>
            <w:vAlign w:val="center"/>
          </w:tcPr>
          <w:p w:rsidR="00500BF4" w:rsidRPr="00500BF4" w:rsidRDefault="00500BF4" w:rsidP="00E43555">
            <w:pPr>
              <w:autoSpaceDE w:val="0"/>
              <w:autoSpaceDN w:val="0"/>
              <w:adjustRightInd w:val="0"/>
              <w:spacing w:before="120" w:after="120" w:line="240" w:lineRule="auto"/>
              <w:jc w:val="center"/>
              <w:rPr>
                <w:rFonts w:cs="Arial"/>
                <w:sz w:val="20"/>
              </w:rPr>
            </w:pPr>
            <w:r w:rsidRPr="00500BF4">
              <w:rPr>
                <w:rFonts w:cs="Arial"/>
                <w:sz w:val="20"/>
              </w:rPr>
              <w:t>Curto Prazo</w:t>
            </w:r>
          </w:p>
        </w:tc>
        <w:tc>
          <w:tcPr>
            <w:tcW w:w="1796" w:type="dxa"/>
            <w:shd w:val="clear" w:color="auto" w:fill="auto"/>
            <w:vAlign w:val="center"/>
          </w:tcPr>
          <w:p w:rsidR="00500BF4" w:rsidRPr="00500BF4" w:rsidRDefault="00500BF4" w:rsidP="00E43555">
            <w:pPr>
              <w:autoSpaceDE w:val="0"/>
              <w:autoSpaceDN w:val="0"/>
              <w:adjustRightInd w:val="0"/>
              <w:spacing w:before="120" w:after="120" w:line="240" w:lineRule="auto"/>
              <w:jc w:val="center"/>
              <w:rPr>
                <w:rFonts w:cs="Arial"/>
                <w:sz w:val="20"/>
              </w:rPr>
            </w:pPr>
            <w:r w:rsidRPr="00500BF4">
              <w:rPr>
                <w:rFonts w:cs="Arial"/>
                <w:sz w:val="20"/>
              </w:rPr>
              <w:t>Reversível</w:t>
            </w:r>
          </w:p>
        </w:tc>
        <w:tc>
          <w:tcPr>
            <w:tcW w:w="1357" w:type="dxa"/>
            <w:shd w:val="clear" w:color="auto" w:fill="auto"/>
            <w:vAlign w:val="center"/>
          </w:tcPr>
          <w:p w:rsidR="00500BF4" w:rsidRPr="00500BF4" w:rsidRDefault="007D1A4D" w:rsidP="00E43555">
            <w:pPr>
              <w:autoSpaceDE w:val="0"/>
              <w:autoSpaceDN w:val="0"/>
              <w:adjustRightInd w:val="0"/>
              <w:spacing w:before="120" w:after="120" w:line="240" w:lineRule="auto"/>
              <w:jc w:val="center"/>
              <w:rPr>
                <w:rFonts w:cs="Arial"/>
                <w:sz w:val="20"/>
              </w:rPr>
            </w:pPr>
            <w:r>
              <w:rPr>
                <w:rFonts w:cs="Arial"/>
                <w:sz w:val="20"/>
              </w:rPr>
              <w:t>Pequena</w:t>
            </w:r>
          </w:p>
        </w:tc>
        <w:tc>
          <w:tcPr>
            <w:tcW w:w="1472" w:type="dxa"/>
            <w:shd w:val="clear" w:color="auto" w:fill="auto"/>
            <w:vAlign w:val="center"/>
          </w:tcPr>
          <w:p w:rsidR="00500BF4" w:rsidRPr="00500BF4" w:rsidRDefault="007D1A4D" w:rsidP="007D1A4D">
            <w:pPr>
              <w:autoSpaceDE w:val="0"/>
              <w:autoSpaceDN w:val="0"/>
              <w:adjustRightInd w:val="0"/>
              <w:spacing w:before="120" w:after="120" w:line="240" w:lineRule="auto"/>
              <w:jc w:val="center"/>
              <w:rPr>
                <w:rFonts w:cs="Arial"/>
                <w:sz w:val="20"/>
              </w:rPr>
            </w:pPr>
            <w:r>
              <w:rPr>
                <w:rFonts w:cs="Arial"/>
                <w:sz w:val="20"/>
              </w:rPr>
              <w:t>Baixa</w:t>
            </w:r>
          </w:p>
        </w:tc>
        <w:tc>
          <w:tcPr>
            <w:tcW w:w="1624" w:type="dxa"/>
            <w:shd w:val="clear" w:color="auto" w:fill="auto"/>
            <w:vAlign w:val="center"/>
          </w:tcPr>
          <w:p w:rsidR="00500BF4" w:rsidRPr="00500BF4" w:rsidRDefault="00500BF4" w:rsidP="00E43555">
            <w:pPr>
              <w:autoSpaceDE w:val="0"/>
              <w:autoSpaceDN w:val="0"/>
              <w:adjustRightInd w:val="0"/>
              <w:spacing w:before="120" w:after="120" w:line="240" w:lineRule="auto"/>
              <w:jc w:val="center"/>
              <w:rPr>
                <w:rFonts w:cs="Arial"/>
                <w:sz w:val="20"/>
              </w:rPr>
            </w:pPr>
            <w:r w:rsidRPr="00500BF4">
              <w:rPr>
                <w:rFonts w:cs="Arial"/>
                <w:sz w:val="20"/>
              </w:rPr>
              <w:t>Mitigável</w:t>
            </w:r>
          </w:p>
        </w:tc>
      </w:tr>
    </w:tbl>
    <w:p w:rsidR="007D1A4D" w:rsidRPr="00E43555" w:rsidRDefault="007D1A4D" w:rsidP="00542335">
      <w:pPr>
        <w:spacing w:before="240" w:after="120" w:line="240" w:lineRule="auto"/>
        <w:rPr>
          <w:b/>
        </w:rPr>
      </w:pPr>
      <w:r w:rsidRPr="00E43555">
        <w:rPr>
          <w:b/>
        </w:rPr>
        <w:t>Ações Ambientais Propostas</w:t>
      </w:r>
    </w:p>
    <w:p w:rsidR="00542335" w:rsidRDefault="00542335" w:rsidP="007D1A4D">
      <w:pPr>
        <w:spacing w:before="120" w:after="120" w:line="240" w:lineRule="auto"/>
      </w:pPr>
      <w:r>
        <w:t>O impacto deve ser acompanhado pelos programas de Monitoramento Hidrológico e de Controle do Assoreamento.</w:t>
      </w:r>
    </w:p>
    <w:p w:rsidR="00973BCF" w:rsidRPr="00125F44" w:rsidRDefault="00A71868" w:rsidP="008D3A12">
      <w:pPr>
        <w:pStyle w:val="Ttulo3"/>
        <w:spacing w:after="240"/>
      </w:pPr>
      <w:bookmarkStart w:id="162" w:name="_Toc418758212"/>
      <w:bookmarkStart w:id="163" w:name="_Toc418758814"/>
      <w:bookmarkStart w:id="164" w:name="_Toc419813578"/>
      <w:r w:rsidRPr="00125F44">
        <w:t>1.3.1.</w:t>
      </w:r>
      <w:r w:rsidR="00973BCF" w:rsidRPr="00125F44">
        <w:t>9. Altera</w:t>
      </w:r>
      <w:r w:rsidR="00973BCF" w:rsidRPr="00125F44">
        <w:rPr>
          <w:rFonts w:hint="eastAsia"/>
        </w:rPr>
        <w:t>çã</w:t>
      </w:r>
      <w:r w:rsidR="00973BCF" w:rsidRPr="00125F44">
        <w:t xml:space="preserve">o na Qualidade das </w:t>
      </w:r>
      <w:r w:rsidR="00973BCF" w:rsidRPr="00125F44">
        <w:rPr>
          <w:rFonts w:hint="eastAsia"/>
        </w:rPr>
        <w:t>Á</w:t>
      </w:r>
      <w:r w:rsidR="00973BCF" w:rsidRPr="00125F44">
        <w:t>guas Superficiais</w:t>
      </w:r>
      <w:bookmarkEnd w:id="162"/>
      <w:bookmarkEnd w:id="163"/>
      <w:bookmarkEnd w:id="164"/>
    </w:p>
    <w:p w:rsidR="008D76DA" w:rsidRPr="008D76DA" w:rsidRDefault="008D76DA" w:rsidP="008D76DA">
      <w:pPr>
        <w:tabs>
          <w:tab w:val="left" w:pos="284"/>
        </w:tabs>
        <w:spacing w:before="120" w:after="120" w:line="240" w:lineRule="auto"/>
        <w:rPr>
          <w:rFonts w:eastAsia="Calibri"/>
          <w:szCs w:val="22"/>
          <w:lang w:eastAsia="en-US"/>
        </w:rPr>
      </w:pPr>
      <w:r w:rsidRPr="008D76DA">
        <w:rPr>
          <w:rFonts w:eastAsia="Calibri"/>
          <w:szCs w:val="22"/>
          <w:lang w:eastAsia="en-US"/>
        </w:rPr>
        <w:t>As alterações na qualidade das águas e dos sedimentos na fase de implantação das Barragens Pedreira e Duas Pontes são passíveis de ocorrer devido, principalmente, ao aporte de sólidos (cargas difusas), de efluentes e de resíduos sólidos (cargas pontuais), bem como pelas interferências relacionadas à formação dos reservatórios durante o enchimento, conforme detalhado a seguir.</w:t>
      </w:r>
      <w:r>
        <w:rPr>
          <w:rFonts w:eastAsia="Calibri"/>
          <w:szCs w:val="22"/>
          <w:lang w:eastAsia="en-US"/>
        </w:rPr>
        <w:t xml:space="preserve"> </w:t>
      </w:r>
    </w:p>
    <w:p w:rsidR="006016CC" w:rsidRDefault="00E73761" w:rsidP="00CB130A">
      <w:pPr>
        <w:tabs>
          <w:tab w:val="left" w:pos="284"/>
        </w:tabs>
        <w:spacing w:before="120" w:after="120" w:line="240" w:lineRule="auto"/>
        <w:rPr>
          <w:rFonts w:eastAsia="Calibri"/>
          <w:b/>
          <w:szCs w:val="22"/>
          <w:lang w:eastAsia="en-US"/>
        </w:rPr>
      </w:pPr>
      <w:r>
        <w:rPr>
          <w:rFonts w:eastAsia="Calibri"/>
          <w:b/>
          <w:szCs w:val="22"/>
          <w:lang w:eastAsia="en-US"/>
        </w:rPr>
        <w:t xml:space="preserve">a) </w:t>
      </w:r>
      <w:r w:rsidR="00627FA2" w:rsidRPr="004F0B7D">
        <w:rPr>
          <w:rFonts w:eastAsia="Calibri"/>
          <w:b/>
          <w:szCs w:val="22"/>
          <w:lang w:eastAsia="en-US"/>
        </w:rPr>
        <w:t xml:space="preserve">Alteração na </w:t>
      </w:r>
      <w:r w:rsidR="002774E2">
        <w:rPr>
          <w:rFonts w:eastAsia="Calibri"/>
          <w:b/>
          <w:szCs w:val="22"/>
          <w:lang w:eastAsia="en-US"/>
        </w:rPr>
        <w:t>Q</w:t>
      </w:r>
      <w:r w:rsidR="00627FA2" w:rsidRPr="004F0B7D">
        <w:rPr>
          <w:rFonts w:eastAsia="Calibri"/>
          <w:b/>
          <w:szCs w:val="22"/>
          <w:lang w:eastAsia="en-US"/>
        </w:rPr>
        <w:t xml:space="preserve">ualidade das </w:t>
      </w:r>
      <w:r w:rsidR="002774E2">
        <w:rPr>
          <w:rFonts w:eastAsia="Calibri"/>
          <w:b/>
          <w:szCs w:val="22"/>
          <w:lang w:eastAsia="en-US"/>
        </w:rPr>
        <w:t>Á</w:t>
      </w:r>
      <w:r w:rsidR="00627FA2" w:rsidRPr="004F0B7D">
        <w:rPr>
          <w:rFonts w:eastAsia="Calibri"/>
          <w:b/>
          <w:szCs w:val="22"/>
          <w:lang w:eastAsia="en-US"/>
        </w:rPr>
        <w:t xml:space="preserve">guas </w:t>
      </w:r>
      <w:r w:rsidR="002774E2">
        <w:rPr>
          <w:rFonts w:eastAsia="Calibri"/>
          <w:b/>
          <w:szCs w:val="22"/>
          <w:lang w:eastAsia="en-US"/>
        </w:rPr>
        <w:t>S</w:t>
      </w:r>
      <w:r w:rsidR="00627FA2" w:rsidRPr="004F0B7D">
        <w:rPr>
          <w:rFonts w:eastAsia="Calibri"/>
          <w:b/>
          <w:szCs w:val="22"/>
          <w:lang w:eastAsia="en-US"/>
        </w:rPr>
        <w:t xml:space="preserve">uperficiais e dos </w:t>
      </w:r>
      <w:r w:rsidR="002774E2">
        <w:rPr>
          <w:rFonts w:eastAsia="Calibri"/>
          <w:b/>
          <w:szCs w:val="22"/>
          <w:lang w:eastAsia="en-US"/>
        </w:rPr>
        <w:t>S</w:t>
      </w:r>
      <w:r w:rsidR="00627FA2" w:rsidRPr="004F0B7D">
        <w:rPr>
          <w:rFonts w:eastAsia="Calibri"/>
          <w:b/>
          <w:szCs w:val="22"/>
          <w:lang w:eastAsia="en-US"/>
        </w:rPr>
        <w:t xml:space="preserve">edimentos pelo </w:t>
      </w:r>
      <w:r w:rsidR="002774E2">
        <w:rPr>
          <w:rFonts w:eastAsia="Calibri"/>
          <w:b/>
          <w:szCs w:val="22"/>
          <w:lang w:eastAsia="en-US"/>
        </w:rPr>
        <w:t>A</w:t>
      </w:r>
      <w:r w:rsidR="00627FA2" w:rsidRPr="004F0B7D">
        <w:rPr>
          <w:rFonts w:eastAsia="Calibri"/>
          <w:b/>
          <w:szCs w:val="22"/>
          <w:lang w:eastAsia="en-US"/>
        </w:rPr>
        <w:t xml:space="preserve">porte de </w:t>
      </w:r>
      <w:r w:rsidR="002774E2">
        <w:rPr>
          <w:rFonts w:eastAsia="Calibri"/>
          <w:b/>
          <w:szCs w:val="22"/>
          <w:lang w:eastAsia="en-US"/>
        </w:rPr>
        <w:t>C</w:t>
      </w:r>
      <w:r w:rsidR="00627FA2" w:rsidRPr="004F0B7D">
        <w:rPr>
          <w:rFonts w:eastAsia="Calibri"/>
          <w:b/>
          <w:szCs w:val="22"/>
          <w:lang w:eastAsia="en-US"/>
        </w:rPr>
        <w:t xml:space="preserve">argas </w:t>
      </w:r>
      <w:r w:rsidR="002774E2">
        <w:rPr>
          <w:rFonts w:eastAsia="Calibri"/>
          <w:b/>
          <w:szCs w:val="22"/>
          <w:lang w:eastAsia="en-US"/>
        </w:rPr>
        <w:t>D</w:t>
      </w:r>
      <w:r w:rsidR="00627FA2" w:rsidRPr="004F0B7D">
        <w:rPr>
          <w:rFonts w:eastAsia="Calibri"/>
          <w:b/>
          <w:szCs w:val="22"/>
          <w:lang w:eastAsia="en-US"/>
        </w:rPr>
        <w:t>ifusas</w:t>
      </w:r>
    </w:p>
    <w:p w:rsidR="006016CC" w:rsidRPr="004F0B7D" w:rsidRDefault="006016CC" w:rsidP="00CB130A">
      <w:pPr>
        <w:tabs>
          <w:tab w:val="left" w:pos="284"/>
        </w:tabs>
        <w:spacing w:before="120" w:after="120" w:line="240" w:lineRule="auto"/>
        <w:rPr>
          <w:rFonts w:eastAsia="Calibri"/>
          <w:b/>
          <w:szCs w:val="22"/>
          <w:lang w:eastAsia="en-US"/>
        </w:rPr>
      </w:pPr>
      <w:r>
        <w:rPr>
          <w:rFonts w:eastAsia="Calibri"/>
          <w:b/>
          <w:szCs w:val="22"/>
          <w:lang w:eastAsia="en-US"/>
        </w:rPr>
        <w:t>Fase: Implantação</w:t>
      </w:r>
    </w:p>
    <w:p w:rsidR="00627FA2" w:rsidRPr="00627FA2" w:rsidRDefault="00C032E5" w:rsidP="00627FA2">
      <w:pPr>
        <w:tabs>
          <w:tab w:val="left" w:pos="567"/>
        </w:tabs>
        <w:spacing w:before="120" w:after="120" w:line="240" w:lineRule="auto"/>
        <w:rPr>
          <w:rFonts w:eastAsia="Calibri"/>
          <w:szCs w:val="22"/>
          <w:lang w:eastAsia="en-US"/>
        </w:rPr>
      </w:pPr>
      <w:r w:rsidRPr="00C032E5">
        <w:rPr>
          <w:rFonts w:eastAsia="Calibri"/>
          <w:szCs w:val="22"/>
          <w:lang w:eastAsia="en-US"/>
        </w:rPr>
        <w:t xml:space="preserve">Os impactos derivados das obras civis na fase de implantação das Barragens Pedreira e Duas Pontes estão relacionados aos movimentos de terra previstos para o estabelecimento das infraestruturas e serviços de apoio, compreendendo, para cada um dos reservatórios projetados: instalação de canteiro de obras, implantação de estradas de acesso, limpeza do terreno, incluindo desmatamento, terraplenagem, instalação das ensecadeiras, da barragem e da escada de peixes. </w:t>
      </w:r>
    </w:p>
    <w:p w:rsidR="00C032E5" w:rsidRPr="00C032E5" w:rsidRDefault="00C032E5" w:rsidP="00C032E5">
      <w:pPr>
        <w:tabs>
          <w:tab w:val="left" w:pos="567"/>
        </w:tabs>
        <w:spacing w:before="120" w:after="120" w:line="240" w:lineRule="auto"/>
        <w:rPr>
          <w:rFonts w:eastAsia="Calibri"/>
          <w:szCs w:val="22"/>
          <w:lang w:eastAsia="en-US"/>
        </w:rPr>
      </w:pPr>
      <w:r w:rsidRPr="00C032E5">
        <w:rPr>
          <w:rFonts w:eastAsia="Calibri"/>
          <w:szCs w:val="22"/>
          <w:lang w:eastAsia="en-US"/>
        </w:rPr>
        <w:t>Nesta fase está prevista também a implantação do canal de desvio (Barragem Pedreira) e da galeria de desvio (Barragem Duas Pontes), projetados nas margens esquerda dos rios Jaguari e Camanducaia, respectivamente, permitindo isolar o leito dos cursos d’água.</w:t>
      </w:r>
    </w:p>
    <w:p w:rsidR="00627FA2" w:rsidRPr="00627FA2" w:rsidRDefault="00C032E5" w:rsidP="00627FA2">
      <w:pPr>
        <w:tabs>
          <w:tab w:val="left" w:pos="567"/>
        </w:tabs>
        <w:spacing w:before="120" w:after="120" w:line="240" w:lineRule="auto"/>
        <w:rPr>
          <w:rFonts w:eastAsia="Calibri"/>
          <w:szCs w:val="22"/>
          <w:lang w:eastAsia="en-US"/>
        </w:rPr>
      </w:pPr>
      <w:r w:rsidRPr="00C032E5">
        <w:rPr>
          <w:rFonts w:eastAsia="Calibri"/>
          <w:szCs w:val="22"/>
          <w:lang w:eastAsia="en-US"/>
        </w:rPr>
        <w:t xml:space="preserve">Essas atividades associadas às obras civis tenderão a desencadear processos erosivos, com intensificação do transporte de sedimentos, que causam alteração na qualidade das águas receptoras. </w:t>
      </w:r>
    </w:p>
    <w:p w:rsidR="00627FA2" w:rsidRPr="00627FA2" w:rsidRDefault="00627FA2" w:rsidP="00627FA2">
      <w:pPr>
        <w:tabs>
          <w:tab w:val="left" w:pos="567"/>
        </w:tabs>
        <w:spacing w:before="120" w:after="120" w:line="240" w:lineRule="auto"/>
        <w:rPr>
          <w:rFonts w:eastAsia="Calibri"/>
          <w:szCs w:val="22"/>
          <w:lang w:eastAsia="en-US"/>
        </w:rPr>
      </w:pPr>
      <w:r w:rsidRPr="00627FA2">
        <w:rPr>
          <w:rFonts w:eastAsia="Calibri"/>
          <w:szCs w:val="22"/>
          <w:lang w:eastAsia="en-US"/>
        </w:rPr>
        <w:t xml:space="preserve">Conforme detalhado na </w:t>
      </w:r>
      <w:r w:rsidR="001E4F22">
        <w:rPr>
          <w:rFonts w:eastAsia="Calibri"/>
          <w:szCs w:val="22"/>
          <w:lang w:eastAsia="en-US"/>
        </w:rPr>
        <w:t xml:space="preserve">Descrição e </w:t>
      </w:r>
      <w:r w:rsidR="00D1055C">
        <w:rPr>
          <w:rFonts w:eastAsia="Calibri"/>
          <w:szCs w:val="22"/>
          <w:lang w:eastAsia="en-US"/>
        </w:rPr>
        <w:t>C</w:t>
      </w:r>
      <w:r w:rsidRPr="00627FA2">
        <w:rPr>
          <w:rFonts w:eastAsia="Calibri"/>
          <w:szCs w:val="22"/>
          <w:lang w:eastAsia="en-US"/>
        </w:rPr>
        <w:t xml:space="preserve">aracterização do </w:t>
      </w:r>
      <w:r w:rsidR="00D1055C">
        <w:rPr>
          <w:rFonts w:eastAsia="Calibri"/>
          <w:szCs w:val="22"/>
          <w:lang w:eastAsia="en-US"/>
        </w:rPr>
        <w:t>E</w:t>
      </w:r>
      <w:r w:rsidRPr="00627FA2">
        <w:rPr>
          <w:rFonts w:eastAsia="Calibri"/>
          <w:szCs w:val="22"/>
          <w:lang w:eastAsia="en-US"/>
        </w:rPr>
        <w:t xml:space="preserve">mpreendimento </w:t>
      </w:r>
      <w:r w:rsidRPr="001E4F22">
        <w:rPr>
          <w:rFonts w:eastAsia="Calibri"/>
          <w:szCs w:val="22"/>
          <w:lang w:eastAsia="en-US"/>
        </w:rPr>
        <w:t>(</w:t>
      </w:r>
      <w:r w:rsidR="00D1055C" w:rsidRPr="001E4F22">
        <w:rPr>
          <w:rFonts w:eastAsia="Calibri"/>
          <w:szCs w:val="22"/>
          <w:lang w:eastAsia="en-US"/>
        </w:rPr>
        <w:t xml:space="preserve">Volume I </w:t>
      </w:r>
      <w:r w:rsidR="001E4F22">
        <w:rPr>
          <w:rFonts w:eastAsia="Calibri"/>
          <w:szCs w:val="22"/>
          <w:lang w:eastAsia="en-US"/>
        </w:rPr>
        <w:t xml:space="preserve">Tomo 1 </w:t>
      </w:r>
      <w:r w:rsidR="00D1055C" w:rsidRPr="001E4F22">
        <w:rPr>
          <w:rFonts w:eastAsia="Calibri"/>
          <w:szCs w:val="22"/>
          <w:lang w:eastAsia="en-US"/>
        </w:rPr>
        <w:t xml:space="preserve">– Capítulo </w:t>
      </w:r>
      <w:r w:rsidRPr="001E4F22">
        <w:rPr>
          <w:rFonts w:eastAsia="Calibri"/>
          <w:szCs w:val="22"/>
          <w:lang w:eastAsia="en-US"/>
        </w:rPr>
        <w:t>7), a instalação das Barragens Pedreira e Duas Pontes ocorrerá d</w:t>
      </w:r>
      <w:r w:rsidRPr="00627FA2">
        <w:rPr>
          <w:rFonts w:eastAsia="Calibri"/>
          <w:szCs w:val="22"/>
          <w:lang w:eastAsia="en-US"/>
        </w:rPr>
        <w:t xml:space="preserve">e forma simultânea, prevendo-se um prazo de 32 meses de execução, entre o início da mobilização do canteiro de obras até o enchimento dos reservatórios. </w:t>
      </w:r>
    </w:p>
    <w:p w:rsidR="00C032E5" w:rsidRPr="00C032E5" w:rsidRDefault="00C032E5" w:rsidP="00C032E5">
      <w:pPr>
        <w:tabs>
          <w:tab w:val="left" w:pos="567"/>
        </w:tabs>
        <w:spacing w:before="120" w:after="120" w:line="240" w:lineRule="auto"/>
        <w:rPr>
          <w:rFonts w:eastAsia="Calibri"/>
          <w:szCs w:val="22"/>
          <w:lang w:eastAsia="en-US"/>
        </w:rPr>
      </w:pPr>
      <w:r w:rsidRPr="00C032E5">
        <w:rPr>
          <w:rFonts w:eastAsia="Calibri"/>
          <w:szCs w:val="22"/>
          <w:lang w:eastAsia="en-US"/>
        </w:rPr>
        <w:t>Caso não sejam tomados os devidos cuidados durante o período mencionado, os sedimentos gerados por essas atividades poderão ser carreados por escoamento superficial para os cursos d’água, com maior intensidade para os rios Jaguari e Camanducaia, principais corpos hídricos receptores da AID e ADA. A introdução de sedimentos e de detritos resultantes da remoção da vegetação tenderá ocasionar uma queda nos padrões de qualidade das águas, sobretudo quanto ao conteúdo de sólidos.</w:t>
      </w:r>
    </w:p>
    <w:p w:rsidR="00C032E5" w:rsidRPr="00C032E5" w:rsidRDefault="00C032E5" w:rsidP="00C032E5">
      <w:pPr>
        <w:tabs>
          <w:tab w:val="left" w:pos="567"/>
        </w:tabs>
        <w:spacing w:before="120" w:after="120" w:line="240" w:lineRule="auto"/>
        <w:rPr>
          <w:rFonts w:eastAsia="Calibri"/>
          <w:szCs w:val="22"/>
          <w:lang w:eastAsia="en-US"/>
        </w:rPr>
      </w:pPr>
      <w:r w:rsidRPr="00C032E5">
        <w:rPr>
          <w:rFonts w:eastAsia="Calibri"/>
          <w:szCs w:val="22"/>
          <w:lang w:eastAsia="en-US"/>
        </w:rPr>
        <w:t xml:space="preserve">O aumento no teor de sólidos deverá acentuar os índices de cor e de turbidez das águas, e acarretar também um incremento nas concentrações de ferro, manganês e alumínio, entre </w:t>
      </w:r>
      <w:r w:rsidRPr="00C032E5">
        <w:rPr>
          <w:rFonts w:eastAsia="Calibri"/>
          <w:szCs w:val="22"/>
          <w:lang w:eastAsia="en-US"/>
        </w:rPr>
        <w:lastRenderedPageBreak/>
        <w:t xml:space="preserve">outros metais constituintes da matriz geológica regional, podendo ocorrer a ultrapassagem dos valores máximos definidos pela Resolução </w:t>
      </w:r>
      <w:r w:rsidR="00504078">
        <w:rPr>
          <w:rFonts w:eastAsia="Calibri"/>
          <w:szCs w:val="22"/>
          <w:lang w:eastAsia="en-US"/>
        </w:rPr>
        <w:t>CONAMA</w:t>
      </w:r>
      <w:r w:rsidRPr="00C032E5">
        <w:rPr>
          <w:rFonts w:eastAsia="Calibri"/>
          <w:szCs w:val="22"/>
          <w:lang w:eastAsia="en-US"/>
        </w:rPr>
        <w:t xml:space="preserve"> 357/05 para águas doces classe 2. </w:t>
      </w:r>
    </w:p>
    <w:p w:rsidR="00627FA2" w:rsidRPr="00627FA2" w:rsidRDefault="00C032E5" w:rsidP="00627FA2">
      <w:pPr>
        <w:tabs>
          <w:tab w:val="left" w:pos="567"/>
        </w:tabs>
        <w:spacing w:before="120" w:after="120" w:line="240" w:lineRule="auto"/>
        <w:rPr>
          <w:rFonts w:eastAsia="Calibri"/>
          <w:szCs w:val="22"/>
          <w:lang w:eastAsia="en-US"/>
        </w:rPr>
      </w:pPr>
      <w:r w:rsidRPr="00C032E5">
        <w:rPr>
          <w:rFonts w:eastAsia="Calibri"/>
          <w:szCs w:val="22"/>
          <w:lang w:eastAsia="en-US"/>
        </w:rPr>
        <w:t xml:space="preserve">Vale ressaltar que, no âmbito do diagnóstico ambiental (Volume II Diagnóstico Ambiental do Meio Biótico Capítulo 4 Qualidade das Águas e dos Sedimentos), registraram-se índices de cor, turbidez e de sólidos dissolvidos totais compatíveis com os limites da Resolução </w:t>
      </w:r>
      <w:r w:rsidR="00504078">
        <w:rPr>
          <w:rFonts w:eastAsia="Calibri"/>
          <w:szCs w:val="22"/>
          <w:lang w:eastAsia="en-US"/>
        </w:rPr>
        <w:t>CONAMA</w:t>
      </w:r>
      <w:r w:rsidRPr="00C032E5">
        <w:rPr>
          <w:rFonts w:eastAsia="Calibri"/>
          <w:szCs w:val="22"/>
          <w:lang w:eastAsia="en-US"/>
        </w:rPr>
        <w:t xml:space="preserve"> 357/05 para águas doces classe 2, em todos os pontos avaliados nas sub-bacias dos rios Jaguari e Camanducaia. Os metais ferro dissolvido, manganês total e alumínio dissolvido mantiveram-se sistematicamente elevados na sub-bacia do rio Camanducaia, ocorrendo extrapolação pontual na sub-bacia do rio Jaguari apenas do metal ferro dissolvido.</w:t>
      </w:r>
    </w:p>
    <w:p w:rsidR="00C032E5" w:rsidRPr="00C032E5" w:rsidRDefault="00C032E5" w:rsidP="00C032E5">
      <w:pPr>
        <w:tabs>
          <w:tab w:val="left" w:pos="567"/>
        </w:tabs>
        <w:spacing w:before="120" w:after="120" w:line="240" w:lineRule="auto"/>
        <w:rPr>
          <w:rFonts w:eastAsia="Calibri"/>
          <w:szCs w:val="22"/>
          <w:lang w:eastAsia="en-US"/>
        </w:rPr>
      </w:pPr>
      <w:r w:rsidRPr="00C032E5">
        <w:rPr>
          <w:rFonts w:eastAsia="Calibri"/>
          <w:szCs w:val="22"/>
          <w:lang w:eastAsia="en-US"/>
        </w:rPr>
        <w:t xml:space="preserve">O eventual acúmulo de sólidos e detritos de vegetais nos rios deverá intensificar o grau de assoreamento e aumentar localmente o teor de materiais orgânicos no leito dos corpos hídricos, além de propiciar uma maior concentração de metais como ferro e manganês nos sedimentos. </w:t>
      </w:r>
    </w:p>
    <w:p w:rsidR="00C032E5" w:rsidRPr="00C032E5" w:rsidRDefault="00C032E5" w:rsidP="00C032E5">
      <w:pPr>
        <w:tabs>
          <w:tab w:val="left" w:pos="567"/>
        </w:tabs>
        <w:spacing w:before="120" w:after="120" w:line="240" w:lineRule="auto"/>
        <w:rPr>
          <w:rFonts w:eastAsia="Calibri"/>
          <w:szCs w:val="22"/>
          <w:lang w:eastAsia="en-US"/>
        </w:rPr>
      </w:pPr>
      <w:r w:rsidRPr="00C032E5">
        <w:rPr>
          <w:rFonts w:eastAsia="Calibri"/>
          <w:szCs w:val="22"/>
          <w:lang w:eastAsia="en-US"/>
        </w:rPr>
        <w:t xml:space="preserve">Levando-se em conta as características construtivas de cada empreendimento, o fluxo de cargas difusas tenderá a ocorrer com maior intensidade no rio Camanducaia, pois a Barragem Duas Pontes será uma obra de maior porte quando comparada à Barragem Pedreira. </w:t>
      </w:r>
    </w:p>
    <w:p w:rsidR="00C032E5" w:rsidRPr="00C032E5" w:rsidRDefault="00C032E5" w:rsidP="00C032E5">
      <w:pPr>
        <w:tabs>
          <w:tab w:val="left" w:pos="567"/>
        </w:tabs>
        <w:spacing w:before="120" w:after="120" w:line="240" w:lineRule="auto"/>
        <w:rPr>
          <w:rFonts w:eastAsia="Calibri"/>
          <w:szCs w:val="22"/>
          <w:lang w:eastAsia="en-US"/>
        </w:rPr>
      </w:pPr>
      <w:r w:rsidRPr="00C032E5">
        <w:rPr>
          <w:rFonts w:eastAsia="Calibri"/>
          <w:szCs w:val="22"/>
          <w:lang w:eastAsia="en-US"/>
        </w:rPr>
        <w:t xml:space="preserve">Do ponto de vista sazonal, o transporte de sólidos deverá ser mais expressivo entre os meses de dezembro a março, que corresponde ao período chuvoso, intensificando as cargas difusas já existentes nas sub-bacias dos rios Camanducaia e Jaguari. </w:t>
      </w:r>
    </w:p>
    <w:p w:rsidR="00C032E5" w:rsidRPr="00C032E5" w:rsidRDefault="00C032E5" w:rsidP="00C032E5">
      <w:pPr>
        <w:tabs>
          <w:tab w:val="left" w:pos="567"/>
        </w:tabs>
        <w:spacing w:before="120" w:after="120" w:line="240" w:lineRule="auto"/>
        <w:rPr>
          <w:rFonts w:eastAsia="Calibri"/>
          <w:szCs w:val="22"/>
          <w:lang w:eastAsia="en-US"/>
        </w:rPr>
      </w:pPr>
      <w:r w:rsidRPr="00C032E5">
        <w:rPr>
          <w:rFonts w:eastAsia="Calibri"/>
          <w:szCs w:val="22"/>
          <w:lang w:eastAsia="en-US"/>
        </w:rPr>
        <w:t>Cabe destacar que os efeitos da introdução de sólidos poderão se propagar a jusante desses empreendimentos, podendo afetar temporariamente os usos das águas, com destaque para a captação de abastecimento público situada no rio Jaguari, no município de Pedreira.</w:t>
      </w:r>
    </w:p>
    <w:p w:rsidR="00C032E5" w:rsidRPr="00C032E5" w:rsidRDefault="00C032E5" w:rsidP="00C032E5">
      <w:pPr>
        <w:tabs>
          <w:tab w:val="left" w:pos="567"/>
        </w:tabs>
        <w:spacing w:before="120" w:after="120" w:line="240" w:lineRule="auto"/>
        <w:rPr>
          <w:rFonts w:eastAsia="Calibri"/>
          <w:szCs w:val="22"/>
          <w:lang w:eastAsia="en-US"/>
        </w:rPr>
      </w:pPr>
      <w:r w:rsidRPr="00C032E5">
        <w:rPr>
          <w:rFonts w:eastAsia="Calibri"/>
          <w:szCs w:val="22"/>
          <w:lang w:eastAsia="en-US"/>
        </w:rPr>
        <w:t xml:space="preserve">A alteração da qualidade das águas superficiais e dos sedimentos pelo aporte de cargas difusas é um impacto negativo, provável, indireto, de ocorrência no curto prazo, de abrangência regional, ao longo dos rios Camanducaia e Jaguari e de alguns tributários, reversível, pois a carga difusa é passível de controle. Trata-se de um impacto temporário, pois, uma vez controlado o aporte de sólidos, a qualidade do ambiente aquático tenderá a se restabelecer. </w:t>
      </w:r>
    </w:p>
    <w:p w:rsidR="00C032E5" w:rsidRDefault="00C032E5" w:rsidP="00C032E5">
      <w:pPr>
        <w:tabs>
          <w:tab w:val="left" w:pos="567"/>
        </w:tabs>
        <w:spacing w:before="120" w:after="120" w:line="240" w:lineRule="auto"/>
        <w:rPr>
          <w:rFonts w:eastAsia="Calibri"/>
          <w:szCs w:val="22"/>
          <w:lang w:eastAsia="en-US"/>
        </w:rPr>
      </w:pPr>
      <w:r w:rsidRPr="00C032E5">
        <w:rPr>
          <w:rFonts w:eastAsia="Calibri"/>
          <w:szCs w:val="22"/>
          <w:lang w:eastAsia="en-US"/>
        </w:rPr>
        <w:t>Esse impacto é considerado de grande magnitude para ambos os empreendimentos, levando-se em conta a atividade prolongada das obras civis, o porte da Barragem Duas Pontes e a captação para abastecimento público existente a jusante da Barragem Pedreir</w:t>
      </w:r>
      <w:r>
        <w:rPr>
          <w:rFonts w:eastAsia="Calibri"/>
          <w:szCs w:val="22"/>
          <w:lang w:eastAsia="en-US"/>
        </w:rPr>
        <w:t>a.</w:t>
      </w:r>
    </w:p>
    <w:p w:rsidR="00C64127" w:rsidRDefault="00C64127" w:rsidP="00C032E5">
      <w:pPr>
        <w:tabs>
          <w:tab w:val="left" w:pos="567"/>
        </w:tabs>
        <w:spacing w:before="120" w:after="120" w:line="240" w:lineRule="auto"/>
        <w:rPr>
          <w:rFonts w:eastAsia="Calibri"/>
          <w:szCs w:val="22"/>
          <w:lang w:eastAsia="en-US"/>
        </w:rPr>
      </w:pPr>
      <w:r>
        <w:rPr>
          <w:rFonts w:eastAsia="Calibri"/>
          <w:szCs w:val="22"/>
          <w:lang w:eastAsia="en-US"/>
        </w:rPr>
        <w:br w:type="page"/>
      </w:r>
    </w:p>
    <w:p w:rsidR="008D3A12" w:rsidRPr="008D3A12" w:rsidRDefault="008D3A12" w:rsidP="00504078">
      <w:pPr>
        <w:pStyle w:val="Legenda"/>
        <w:spacing w:line="240" w:lineRule="auto"/>
        <w:jc w:val="center"/>
      </w:pPr>
      <w:bookmarkStart w:id="165" w:name="_Toc420316454"/>
      <w:r w:rsidRPr="008D3A12">
        <w:rPr>
          <w:i w:val="0"/>
        </w:rPr>
        <w:lastRenderedPageBreak/>
        <w:t xml:space="preserve">Quadro </w:t>
      </w:r>
      <w:r w:rsidR="00B80A05">
        <w:rPr>
          <w:i w:val="0"/>
        </w:rPr>
        <w:fldChar w:fldCharType="begin"/>
      </w:r>
      <w:r w:rsidR="00402E81">
        <w:rPr>
          <w:i w:val="0"/>
        </w:rPr>
        <w:instrText xml:space="preserve"> STYLEREF 2 \s </w:instrText>
      </w:r>
      <w:r w:rsidR="00B80A05">
        <w:rPr>
          <w:i w:val="0"/>
        </w:rPr>
        <w:fldChar w:fldCharType="separate"/>
      </w:r>
      <w:r w:rsidR="00316060">
        <w:rPr>
          <w:i w:val="0"/>
          <w:noProof/>
        </w:rPr>
        <w:t>1.3</w:t>
      </w:r>
      <w:r w:rsidR="00B80A05">
        <w:rPr>
          <w:i w:val="0"/>
        </w:rPr>
        <w:fldChar w:fldCharType="end"/>
      </w:r>
      <w:r w:rsidR="00402E81">
        <w:rPr>
          <w:i w:val="0"/>
        </w:rPr>
        <w:t>.</w:t>
      </w:r>
      <w:r w:rsidR="00B80A05">
        <w:rPr>
          <w:i w:val="0"/>
        </w:rPr>
        <w:fldChar w:fldCharType="begin"/>
      </w:r>
      <w:r w:rsidR="00402E81">
        <w:rPr>
          <w:i w:val="0"/>
        </w:rPr>
        <w:instrText xml:space="preserve"> SEQ Quadro \* ARABIC \s 2 </w:instrText>
      </w:r>
      <w:r w:rsidR="00B80A05">
        <w:rPr>
          <w:i w:val="0"/>
        </w:rPr>
        <w:fldChar w:fldCharType="separate"/>
      </w:r>
      <w:r w:rsidR="00316060">
        <w:rPr>
          <w:i w:val="0"/>
          <w:noProof/>
        </w:rPr>
        <w:t>11</w:t>
      </w:r>
      <w:r w:rsidR="00B80A05">
        <w:rPr>
          <w:i w:val="0"/>
        </w:rPr>
        <w:fldChar w:fldCharType="end"/>
      </w:r>
      <w:r w:rsidRPr="008D3A12">
        <w:rPr>
          <w:i w:val="0"/>
        </w:rPr>
        <w:t>.</w:t>
      </w:r>
      <w:r w:rsidRPr="008D3A12">
        <w:rPr>
          <w:b w:val="0"/>
          <w:i w:val="0"/>
        </w:rPr>
        <w:t xml:space="preserve"> - </w:t>
      </w:r>
      <w:r w:rsidR="00627FA2" w:rsidRPr="008D3A12">
        <w:rPr>
          <w:rFonts w:cs="Arial"/>
          <w:b w:val="0"/>
          <w:i w:val="0"/>
          <w:spacing w:val="-2"/>
          <w:szCs w:val="22"/>
        </w:rPr>
        <w:t xml:space="preserve">Caracterização do Impacto - </w:t>
      </w:r>
      <w:r w:rsidR="00627FA2" w:rsidRPr="008D3A12">
        <w:rPr>
          <w:b w:val="0"/>
          <w:i w:val="0"/>
          <w:spacing w:val="-2"/>
        </w:rPr>
        <w:t>Alteração na Qualidade das Águas Superficiais e dos Sedimentos</w:t>
      </w:r>
      <w:r w:rsidR="003A778E" w:rsidRPr="008D3A12">
        <w:rPr>
          <w:b w:val="0"/>
          <w:i w:val="0"/>
          <w:spacing w:val="-2"/>
        </w:rPr>
        <w:t xml:space="preserve"> pelo </w:t>
      </w:r>
      <w:r w:rsidR="00825811" w:rsidRPr="008D3A12">
        <w:rPr>
          <w:b w:val="0"/>
          <w:i w:val="0"/>
          <w:spacing w:val="-2"/>
        </w:rPr>
        <w:t>A</w:t>
      </w:r>
      <w:r w:rsidR="003A778E" w:rsidRPr="008D3A12">
        <w:rPr>
          <w:b w:val="0"/>
          <w:i w:val="0"/>
          <w:spacing w:val="-2"/>
        </w:rPr>
        <w:t xml:space="preserve">porte de </w:t>
      </w:r>
      <w:r w:rsidR="00825811" w:rsidRPr="008D3A12">
        <w:rPr>
          <w:b w:val="0"/>
          <w:i w:val="0"/>
          <w:spacing w:val="-2"/>
        </w:rPr>
        <w:t>C</w:t>
      </w:r>
      <w:r w:rsidR="003A778E" w:rsidRPr="008D3A12">
        <w:rPr>
          <w:b w:val="0"/>
          <w:i w:val="0"/>
          <w:spacing w:val="-2"/>
        </w:rPr>
        <w:t xml:space="preserve">argas </w:t>
      </w:r>
      <w:r w:rsidR="00825811" w:rsidRPr="008D3A12">
        <w:rPr>
          <w:b w:val="0"/>
          <w:i w:val="0"/>
          <w:spacing w:val="-2"/>
        </w:rPr>
        <w:t>D</w:t>
      </w:r>
      <w:r w:rsidR="003A778E" w:rsidRPr="008D3A12">
        <w:rPr>
          <w:b w:val="0"/>
          <w:i w:val="0"/>
          <w:spacing w:val="-2"/>
        </w:rPr>
        <w:t>ifusas</w:t>
      </w:r>
      <w:r w:rsidR="00627FA2" w:rsidRPr="008D3A12">
        <w:rPr>
          <w:b w:val="0"/>
          <w:i w:val="0"/>
          <w:spacing w:val="-2"/>
        </w:rPr>
        <w:t xml:space="preserve"> - </w:t>
      </w:r>
      <w:r w:rsidR="00627FA2" w:rsidRPr="008D3A12">
        <w:rPr>
          <w:rFonts w:cs="Arial"/>
          <w:b w:val="0"/>
          <w:i w:val="0"/>
          <w:spacing w:val="-2"/>
          <w:szCs w:val="22"/>
        </w:rPr>
        <w:t xml:space="preserve">Barragem </w:t>
      </w:r>
      <w:r w:rsidR="00627FA2" w:rsidRPr="00504078">
        <w:rPr>
          <w:rFonts w:cs="Arial"/>
          <w:b w:val="0"/>
          <w:bCs/>
          <w:i w:val="0"/>
          <w:spacing w:val="-2"/>
          <w:szCs w:val="22"/>
        </w:rPr>
        <w:t>Pedreira</w:t>
      </w:r>
      <w:bookmarkEnd w:id="16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69"/>
        <w:gridCol w:w="3547"/>
      </w:tblGrid>
      <w:tr w:rsidR="00627FA2" w:rsidRPr="00627FA2" w:rsidTr="00627FA2">
        <w:trPr>
          <w:trHeight w:val="518"/>
          <w:jc w:val="center"/>
        </w:trPr>
        <w:tc>
          <w:tcPr>
            <w:tcW w:w="645"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Natureza</w:t>
            </w:r>
          </w:p>
        </w:tc>
        <w:tc>
          <w:tcPr>
            <w:tcW w:w="5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Ordem</w:t>
            </w:r>
          </w:p>
        </w:tc>
        <w:tc>
          <w:tcPr>
            <w:tcW w:w="10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Abrangência</w:t>
            </w:r>
          </w:p>
        </w:tc>
        <w:tc>
          <w:tcPr>
            <w:tcW w:w="820"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Duração</w:t>
            </w:r>
          </w:p>
        </w:tc>
        <w:tc>
          <w:tcPr>
            <w:tcW w:w="1854"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Probabilidade de Ocorrência</w:t>
            </w:r>
          </w:p>
        </w:tc>
      </w:tr>
      <w:tr w:rsidR="00627FA2" w:rsidRPr="00627FA2" w:rsidTr="00627FA2">
        <w:trPr>
          <w:trHeight w:val="273"/>
          <w:jc w:val="center"/>
        </w:trPr>
        <w:tc>
          <w:tcPr>
            <w:tcW w:w="645"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Negativa</w:t>
            </w:r>
          </w:p>
        </w:tc>
        <w:tc>
          <w:tcPr>
            <w:tcW w:w="5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Indireta</w:t>
            </w:r>
          </w:p>
        </w:tc>
        <w:tc>
          <w:tcPr>
            <w:tcW w:w="10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Regional (AII)</w:t>
            </w:r>
          </w:p>
        </w:tc>
        <w:tc>
          <w:tcPr>
            <w:tcW w:w="820"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Temporário</w:t>
            </w:r>
          </w:p>
        </w:tc>
        <w:tc>
          <w:tcPr>
            <w:tcW w:w="1854"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Provável</w:t>
            </w:r>
          </w:p>
        </w:tc>
      </w:tr>
    </w:tbl>
    <w:p w:rsidR="00627FA2" w:rsidRPr="00627FA2" w:rsidRDefault="00627FA2" w:rsidP="00504078">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2"/>
      </w:tblGrid>
      <w:tr w:rsidR="00627FA2" w:rsidRPr="00627FA2" w:rsidTr="00627FA2">
        <w:trPr>
          <w:trHeight w:val="397"/>
          <w:jc w:val="center"/>
        </w:trPr>
        <w:tc>
          <w:tcPr>
            <w:tcW w:w="134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Época de Ocorrência</w:t>
            </w:r>
          </w:p>
        </w:tc>
        <w:tc>
          <w:tcPr>
            <w:tcW w:w="977"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Reversibilidade</w:t>
            </w:r>
          </w:p>
        </w:tc>
        <w:tc>
          <w:tcPr>
            <w:tcW w:w="72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Magnitude</w:t>
            </w:r>
          </w:p>
        </w:tc>
        <w:tc>
          <w:tcPr>
            <w:tcW w:w="778"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Importância</w:t>
            </w:r>
          </w:p>
        </w:tc>
        <w:tc>
          <w:tcPr>
            <w:tcW w:w="118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Mitigação</w:t>
            </w:r>
          </w:p>
        </w:tc>
      </w:tr>
      <w:tr w:rsidR="00627FA2" w:rsidRPr="00627FA2" w:rsidTr="00627FA2">
        <w:trPr>
          <w:trHeight w:val="344"/>
          <w:jc w:val="center"/>
        </w:trPr>
        <w:tc>
          <w:tcPr>
            <w:tcW w:w="134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Curto Prazo</w:t>
            </w:r>
          </w:p>
        </w:tc>
        <w:tc>
          <w:tcPr>
            <w:tcW w:w="977"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Reversível</w:t>
            </w:r>
          </w:p>
        </w:tc>
        <w:tc>
          <w:tcPr>
            <w:tcW w:w="72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Grande</w:t>
            </w:r>
          </w:p>
        </w:tc>
        <w:tc>
          <w:tcPr>
            <w:tcW w:w="778"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Alta</w:t>
            </w:r>
          </w:p>
        </w:tc>
        <w:tc>
          <w:tcPr>
            <w:tcW w:w="118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Mitigável</w:t>
            </w:r>
          </w:p>
        </w:tc>
      </w:tr>
    </w:tbl>
    <w:p w:rsidR="00C64127" w:rsidRPr="00C64127" w:rsidRDefault="00C64127" w:rsidP="00C64127">
      <w:pPr>
        <w:pStyle w:val="CorpodetextoBodyTextCharCharCharCharCharCharCharCharBodyTextCharBodyTextCharCharCharCharCharCharCharCharCharCharCharCharCharCharChar"/>
        <w:ind w:left="1134" w:hanging="1134"/>
        <w:rPr>
          <w:rFonts w:cs="Arial"/>
          <w:b/>
          <w:bCs/>
          <w:spacing w:val="-2"/>
          <w:szCs w:val="22"/>
        </w:rPr>
      </w:pPr>
    </w:p>
    <w:p w:rsidR="00627FA2" w:rsidRPr="004C2664" w:rsidRDefault="008D3A12" w:rsidP="004C2664">
      <w:pPr>
        <w:pStyle w:val="Legenda"/>
        <w:spacing w:line="240" w:lineRule="auto"/>
        <w:jc w:val="center"/>
        <w:rPr>
          <w:b w:val="0"/>
          <w:i w:val="0"/>
          <w:spacing w:val="-2"/>
        </w:rPr>
      </w:pPr>
      <w:bookmarkStart w:id="166" w:name="_Toc420316455"/>
      <w:r w:rsidRPr="004C2664">
        <w:rPr>
          <w:i w:val="0"/>
        </w:rPr>
        <w:t xml:space="preserve">Quadro </w:t>
      </w:r>
      <w:r w:rsidR="00B80A05" w:rsidRPr="004C2664">
        <w:rPr>
          <w:i w:val="0"/>
        </w:rPr>
        <w:fldChar w:fldCharType="begin"/>
      </w:r>
      <w:r w:rsidR="00402E81" w:rsidRPr="004C2664">
        <w:rPr>
          <w:i w:val="0"/>
        </w:rPr>
        <w:instrText xml:space="preserve"> STYLEREF 2 \s </w:instrText>
      </w:r>
      <w:r w:rsidR="00B80A05" w:rsidRPr="004C2664">
        <w:rPr>
          <w:i w:val="0"/>
        </w:rPr>
        <w:fldChar w:fldCharType="separate"/>
      </w:r>
      <w:r w:rsidR="00316060">
        <w:rPr>
          <w:i w:val="0"/>
          <w:noProof/>
        </w:rPr>
        <w:t>1.3</w:t>
      </w:r>
      <w:r w:rsidR="00B80A05" w:rsidRPr="004C2664">
        <w:rPr>
          <w:i w:val="0"/>
        </w:rPr>
        <w:fldChar w:fldCharType="end"/>
      </w:r>
      <w:r w:rsidR="00402E81" w:rsidRPr="004C2664">
        <w:rPr>
          <w:i w:val="0"/>
        </w:rPr>
        <w:t>.</w:t>
      </w:r>
      <w:r w:rsidR="00B80A05" w:rsidRPr="004C2664">
        <w:rPr>
          <w:i w:val="0"/>
        </w:rPr>
        <w:fldChar w:fldCharType="begin"/>
      </w:r>
      <w:r w:rsidR="00402E81" w:rsidRPr="004C2664">
        <w:rPr>
          <w:i w:val="0"/>
        </w:rPr>
        <w:instrText xml:space="preserve"> SEQ Quadro \* ARABIC \s 2 </w:instrText>
      </w:r>
      <w:r w:rsidR="00B80A05" w:rsidRPr="004C2664">
        <w:rPr>
          <w:i w:val="0"/>
        </w:rPr>
        <w:fldChar w:fldCharType="separate"/>
      </w:r>
      <w:r w:rsidR="00316060">
        <w:rPr>
          <w:i w:val="0"/>
          <w:noProof/>
        </w:rPr>
        <w:t>12</w:t>
      </w:r>
      <w:r w:rsidR="00B80A05" w:rsidRPr="004C2664">
        <w:rPr>
          <w:i w:val="0"/>
        </w:rPr>
        <w:fldChar w:fldCharType="end"/>
      </w:r>
      <w:r w:rsidR="004C2664" w:rsidRPr="004C2664">
        <w:rPr>
          <w:i w:val="0"/>
        </w:rPr>
        <w:t>.</w:t>
      </w:r>
      <w:r w:rsidR="004C2664" w:rsidRPr="004C2664">
        <w:rPr>
          <w:b w:val="0"/>
          <w:i w:val="0"/>
        </w:rPr>
        <w:t xml:space="preserve"> - </w:t>
      </w:r>
      <w:r w:rsidR="00627FA2" w:rsidRPr="004C2664">
        <w:rPr>
          <w:rFonts w:cs="Arial"/>
          <w:b w:val="0"/>
          <w:bCs/>
          <w:i w:val="0"/>
          <w:spacing w:val="-2"/>
          <w:szCs w:val="22"/>
        </w:rPr>
        <w:t xml:space="preserve">Caracterização do Impacto - </w:t>
      </w:r>
      <w:r w:rsidR="00627FA2" w:rsidRPr="004C2664">
        <w:rPr>
          <w:b w:val="0"/>
          <w:i w:val="0"/>
          <w:spacing w:val="-2"/>
        </w:rPr>
        <w:t>Alteração na Qualidade das Águas Superficiais e dos Sedimentos</w:t>
      </w:r>
      <w:r w:rsidR="003A778E" w:rsidRPr="004C2664">
        <w:rPr>
          <w:b w:val="0"/>
          <w:i w:val="0"/>
          <w:spacing w:val="-2"/>
        </w:rPr>
        <w:t xml:space="preserve"> pelo </w:t>
      </w:r>
      <w:r w:rsidR="00825811" w:rsidRPr="004C2664">
        <w:rPr>
          <w:b w:val="0"/>
          <w:i w:val="0"/>
          <w:spacing w:val="-2"/>
        </w:rPr>
        <w:t>A</w:t>
      </w:r>
      <w:r w:rsidR="003A778E" w:rsidRPr="004C2664">
        <w:rPr>
          <w:b w:val="0"/>
          <w:i w:val="0"/>
          <w:spacing w:val="-2"/>
        </w:rPr>
        <w:t xml:space="preserve">porte de </w:t>
      </w:r>
      <w:r w:rsidR="00825811" w:rsidRPr="004C2664">
        <w:rPr>
          <w:b w:val="0"/>
          <w:i w:val="0"/>
          <w:spacing w:val="-2"/>
        </w:rPr>
        <w:t>C</w:t>
      </w:r>
      <w:r w:rsidR="003A778E" w:rsidRPr="004C2664">
        <w:rPr>
          <w:b w:val="0"/>
          <w:i w:val="0"/>
          <w:spacing w:val="-2"/>
        </w:rPr>
        <w:t xml:space="preserve">argas </w:t>
      </w:r>
      <w:r w:rsidR="00825811" w:rsidRPr="004C2664">
        <w:rPr>
          <w:b w:val="0"/>
          <w:i w:val="0"/>
          <w:spacing w:val="-2"/>
        </w:rPr>
        <w:t>D</w:t>
      </w:r>
      <w:r w:rsidR="003A778E" w:rsidRPr="004C2664">
        <w:rPr>
          <w:b w:val="0"/>
          <w:i w:val="0"/>
          <w:spacing w:val="-2"/>
        </w:rPr>
        <w:t>ifusas</w:t>
      </w:r>
      <w:r w:rsidR="00627FA2" w:rsidRPr="004C2664">
        <w:rPr>
          <w:b w:val="0"/>
          <w:i w:val="0"/>
          <w:spacing w:val="-2"/>
        </w:rPr>
        <w:t xml:space="preserve"> – </w:t>
      </w:r>
      <w:r w:rsidR="00627FA2" w:rsidRPr="004C2664">
        <w:rPr>
          <w:rFonts w:cs="Arial"/>
          <w:b w:val="0"/>
          <w:bCs/>
          <w:i w:val="0"/>
          <w:spacing w:val="-2"/>
          <w:szCs w:val="22"/>
        </w:rPr>
        <w:t>Barragem Duas Pontes</w:t>
      </w:r>
      <w:bookmarkEnd w:id="16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69"/>
        <w:gridCol w:w="3547"/>
      </w:tblGrid>
      <w:tr w:rsidR="00627FA2" w:rsidRPr="00627FA2" w:rsidTr="00627FA2">
        <w:trPr>
          <w:trHeight w:val="518"/>
          <w:jc w:val="center"/>
        </w:trPr>
        <w:tc>
          <w:tcPr>
            <w:tcW w:w="645"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Natureza</w:t>
            </w:r>
          </w:p>
        </w:tc>
        <w:tc>
          <w:tcPr>
            <w:tcW w:w="5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Ordem</w:t>
            </w:r>
          </w:p>
        </w:tc>
        <w:tc>
          <w:tcPr>
            <w:tcW w:w="10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Abrangência</w:t>
            </w:r>
          </w:p>
        </w:tc>
        <w:tc>
          <w:tcPr>
            <w:tcW w:w="820"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Duração</w:t>
            </w:r>
          </w:p>
        </w:tc>
        <w:tc>
          <w:tcPr>
            <w:tcW w:w="1854"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Probabilidade de Ocorrência</w:t>
            </w:r>
          </w:p>
        </w:tc>
      </w:tr>
      <w:tr w:rsidR="00627FA2" w:rsidRPr="00627FA2" w:rsidTr="00627FA2">
        <w:trPr>
          <w:trHeight w:val="273"/>
          <w:jc w:val="center"/>
        </w:trPr>
        <w:tc>
          <w:tcPr>
            <w:tcW w:w="645"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Negativa</w:t>
            </w:r>
          </w:p>
        </w:tc>
        <w:tc>
          <w:tcPr>
            <w:tcW w:w="5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Indireta</w:t>
            </w:r>
          </w:p>
        </w:tc>
        <w:tc>
          <w:tcPr>
            <w:tcW w:w="10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Regional (AII)</w:t>
            </w:r>
          </w:p>
        </w:tc>
        <w:tc>
          <w:tcPr>
            <w:tcW w:w="820"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Temporário</w:t>
            </w:r>
          </w:p>
        </w:tc>
        <w:tc>
          <w:tcPr>
            <w:tcW w:w="1854"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Provável</w:t>
            </w:r>
          </w:p>
        </w:tc>
      </w:tr>
    </w:tbl>
    <w:p w:rsidR="00627FA2" w:rsidRPr="00627FA2" w:rsidRDefault="00627FA2" w:rsidP="00504078">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2"/>
      </w:tblGrid>
      <w:tr w:rsidR="00627FA2" w:rsidRPr="00627FA2" w:rsidTr="00627FA2">
        <w:trPr>
          <w:trHeight w:val="397"/>
          <w:jc w:val="center"/>
        </w:trPr>
        <w:tc>
          <w:tcPr>
            <w:tcW w:w="134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Época de Ocorrência</w:t>
            </w:r>
          </w:p>
        </w:tc>
        <w:tc>
          <w:tcPr>
            <w:tcW w:w="977"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Reversibilidade</w:t>
            </w:r>
          </w:p>
        </w:tc>
        <w:tc>
          <w:tcPr>
            <w:tcW w:w="72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Magnitude</w:t>
            </w:r>
          </w:p>
        </w:tc>
        <w:tc>
          <w:tcPr>
            <w:tcW w:w="778"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Importância</w:t>
            </w:r>
          </w:p>
        </w:tc>
        <w:tc>
          <w:tcPr>
            <w:tcW w:w="118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Mitigação</w:t>
            </w:r>
          </w:p>
        </w:tc>
      </w:tr>
      <w:tr w:rsidR="00627FA2" w:rsidRPr="00627FA2" w:rsidTr="00627FA2">
        <w:trPr>
          <w:trHeight w:val="344"/>
          <w:jc w:val="center"/>
        </w:trPr>
        <w:tc>
          <w:tcPr>
            <w:tcW w:w="134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Curto Prazo</w:t>
            </w:r>
          </w:p>
        </w:tc>
        <w:tc>
          <w:tcPr>
            <w:tcW w:w="977"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Reversível</w:t>
            </w:r>
          </w:p>
        </w:tc>
        <w:tc>
          <w:tcPr>
            <w:tcW w:w="72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Grande</w:t>
            </w:r>
          </w:p>
        </w:tc>
        <w:tc>
          <w:tcPr>
            <w:tcW w:w="778"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Média</w:t>
            </w:r>
          </w:p>
        </w:tc>
        <w:tc>
          <w:tcPr>
            <w:tcW w:w="118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Mitigável</w:t>
            </w:r>
          </w:p>
        </w:tc>
      </w:tr>
    </w:tbl>
    <w:p w:rsidR="004812B5" w:rsidRPr="00490734" w:rsidRDefault="004812B5" w:rsidP="00627FA2">
      <w:pPr>
        <w:autoSpaceDE w:val="0"/>
        <w:autoSpaceDN w:val="0"/>
        <w:adjustRightInd w:val="0"/>
        <w:spacing w:before="120" w:after="120" w:line="240" w:lineRule="auto"/>
        <w:rPr>
          <w:rFonts w:cs="Arial"/>
          <w:b/>
          <w:szCs w:val="22"/>
        </w:rPr>
      </w:pPr>
    </w:p>
    <w:p w:rsidR="00627FA2" w:rsidRPr="00627FA2" w:rsidRDefault="00627FA2" w:rsidP="00627FA2">
      <w:pPr>
        <w:autoSpaceDE w:val="0"/>
        <w:autoSpaceDN w:val="0"/>
        <w:adjustRightInd w:val="0"/>
        <w:spacing w:before="120" w:after="120" w:line="240" w:lineRule="auto"/>
        <w:rPr>
          <w:rFonts w:cs="Arial"/>
          <w:b/>
          <w:szCs w:val="22"/>
        </w:rPr>
      </w:pPr>
      <w:r w:rsidRPr="00627FA2">
        <w:rPr>
          <w:rFonts w:cs="Arial"/>
          <w:b/>
          <w:szCs w:val="22"/>
        </w:rPr>
        <w:t>Ações Ambientais Propostas:</w:t>
      </w:r>
    </w:p>
    <w:p w:rsidR="00C032E5" w:rsidRPr="00C032E5" w:rsidRDefault="00C032E5" w:rsidP="00C032E5">
      <w:pPr>
        <w:tabs>
          <w:tab w:val="left" w:pos="567"/>
        </w:tabs>
        <w:spacing w:before="120" w:after="120" w:line="240" w:lineRule="auto"/>
        <w:rPr>
          <w:rFonts w:eastAsia="Calibri"/>
          <w:szCs w:val="22"/>
          <w:lang w:eastAsia="en-US"/>
        </w:rPr>
      </w:pPr>
      <w:r w:rsidRPr="00C032E5">
        <w:rPr>
          <w:rFonts w:eastAsia="Calibri"/>
          <w:szCs w:val="22"/>
          <w:lang w:eastAsia="en-US"/>
        </w:rPr>
        <w:t xml:space="preserve">Como medidas mitigadoras de caráter geral, será adotado o mesmo conjunto de ações indicadas para evitar a ocorrência de focos erosivos dos solos, tais como: supressão da vegetação dentro dos parâmetros técnico/legais e restrita essencialmente às áreas destinadas à instalação dos empreendimentos; implantação e manutenção das estruturas de contenção e de sistemas de drenagens provisórios e permanentes; proteção superficial dos solos; manutenção periódica das vias com tráfego de veículos e em áreas de maior fragilidade aos processos erosivos. </w:t>
      </w:r>
    </w:p>
    <w:p w:rsidR="00627FA2" w:rsidRPr="00627FA2" w:rsidRDefault="00C032E5" w:rsidP="00627FA2">
      <w:pPr>
        <w:tabs>
          <w:tab w:val="left" w:pos="567"/>
        </w:tabs>
        <w:spacing w:before="120" w:after="120" w:line="240" w:lineRule="auto"/>
        <w:rPr>
          <w:rFonts w:eastAsia="Calibri"/>
          <w:szCs w:val="22"/>
          <w:lang w:eastAsia="en-US"/>
        </w:rPr>
      </w:pPr>
      <w:r w:rsidRPr="00C032E5">
        <w:rPr>
          <w:rFonts w:eastAsia="Calibri"/>
          <w:szCs w:val="22"/>
          <w:lang w:eastAsia="en-US"/>
        </w:rPr>
        <w:t xml:space="preserve">As medidas recomendadas para mitigação do impacto incluem também a cobertura das pilhas ou leiras de solos estocados, implantação de um sistema de drenagem periférico às mesmas e adoção de procedimentos, visando à estabilização dos taludes, e a revegetação das áreas com solos expostos. </w:t>
      </w:r>
      <w:r w:rsidR="00627FA2" w:rsidRPr="00627FA2">
        <w:rPr>
          <w:rFonts w:eastAsia="Calibri"/>
          <w:szCs w:val="22"/>
          <w:lang w:eastAsia="en-US"/>
        </w:rPr>
        <w:t xml:space="preserve"> </w:t>
      </w:r>
    </w:p>
    <w:p w:rsidR="00627FA2" w:rsidRPr="00627FA2" w:rsidRDefault="00627FA2" w:rsidP="00627FA2">
      <w:pPr>
        <w:tabs>
          <w:tab w:val="left" w:pos="567"/>
        </w:tabs>
        <w:spacing w:before="120" w:after="120" w:line="240" w:lineRule="auto"/>
        <w:rPr>
          <w:rFonts w:eastAsia="Calibri"/>
          <w:szCs w:val="22"/>
          <w:lang w:eastAsia="en-US"/>
        </w:rPr>
      </w:pPr>
      <w:r w:rsidRPr="00627FA2">
        <w:rPr>
          <w:rFonts w:eastAsia="Calibri"/>
          <w:szCs w:val="22"/>
          <w:lang w:eastAsia="en-US"/>
        </w:rPr>
        <w:t xml:space="preserve">Está prevista </w:t>
      </w:r>
      <w:r w:rsidR="007F6278">
        <w:rPr>
          <w:rFonts w:eastAsia="Calibri"/>
          <w:szCs w:val="22"/>
          <w:lang w:eastAsia="en-US"/>
        </w:rPr>
        <w:t>a implantação de um</w:t>
      </w:r>
      <w:r w:rsidRPr="00627FA2">
        <w:rPr>
          <w:rFonts w:eastAsia="Calibri"/>
          <w:szCs w:val="22"/>
          <w:lang w:eastAsia="en-US"/>
        </w:rPr>
        <w:t xml:space="preserve"> </w:t>
      </w:r>
      <w:r w:rsidR="004F0B7D">
        <w:rPr>
          <w:rFonts w:eastAsia="Calibri"/>
          <w:szCs w:val="22"/>
          <w:lang w:eastAsia="en-US"/>
        </w:rPr>
        <w:t xml:space="preserve">Programa de Controle Ambiental das Obras </w:t>
      </w:r>
      <w:r w:rsidR="007F6278">
        <w:rPr>
          <w:rFonts w:eastAsia="Calibri"/>
          <w:szCs w:val="22"/>
          <w:lang w:eastAsia="en-US"/>
        </w:rPr>
        <w:t xml:space="preserve">com </w:t>
      </w:r>
      <w:r w:rsidR="004F0B7D">
        <w:rPr>
          <w:rFonts w:eastAsia="Calibri"/>
          <w:szCs w:val="22"/>
          <w:lang w:eastAsia="en-US"/>
        </w:rPr>
        <w:t xml:space="preserve">ações de </w:t>
      </w:r>
      <w:r w:rsidRPr="00627FA2">
        <w:rPr>
          <w:rFonts w:eastAsia="Calibri"/>
          <w:szCs w:val="22"/>
          <w:lang w:eastAsia="en-US"/>
        </w:rPr>
        <w:t>Controle de Erosão</w:t>
      </w:r>
      <w:r w:rsidR="004F0B7D">
        <w:rPr>
          <w:rFonts w:eastAsia="Calibri"/>
          <w:szCs w:val="22"/>
          <w:lang w:eastAsia="en-US"/>
        </w:rPr>
        <w:t xml:space="preserve"> e Assoreamento</w:t>
      </w:r>
      <w:r w:rsidR="007F6278">
        <w:rPr>
          <w:rFonts w:eastAsia="Calibri"/>
          <w:szCs w:val="22"/>
          <w:lang w:eastAsia="en-US"/>
        </w:rPr>
        <w:t>; como também um</w:t>
      </w:r>
      <w:r w:rsidRPr="00627FA2">
        <w:rPr>
          <w:rFonts w:eastAsia="Calibri"/>
          <w:szCs w:val="22"/>
          <w:lang w:eastAsia="en-US"/>
        </w:rPr>
        <w:t xml:space="preserve"> Programa de Recuperação de Áreas Degradadas</w:t>
      </w:r>
      <w:r w:rsidR="007F6278">
        <w:rPr>
          <w:rFonts w:eastAsia="Calibri"/>
          <w:szCs w:val="22"/>
          <w:lang w:eastAsia="en-US"/>
        </w:rPr>
        <w:t>;</w:t>
      </w:r>
      <w:r w:rsidRPr="00627FA2">
        <w:rPr>
          <w:rFonts w:eastAsia="Calibri"/>
          <w:szCs w:val="22"/>
          <w:lang w:eastAsia="en-US"/>
        </w:rPr>
        <w:t xml:space="preserve"> de Monitoramento das Encostas Marginais</w:t>
      </w:r>
      <w:r w:rsidR="007F7FA5">
        <w:rPr>
          <w:rFonts w:eastAsia="Calibri"/>
          <w:szCs w:val="22"/>
          <w:lang w:eastAsia="en-US"/>
        </w:rPr>
        <w:t>,</w:t>
      </w:r>
      <w:r w:rsidRPr="00627FA2">
        <w:rPr>
          <w:rFonts w:eastAsia="Calibri"/>
          <w:szCs w:val="22"/>
          <w:lang w:eastAsia="en-US"/>
        </w:rPr>
        <w:t xml:space="preserve"> de Supressão de Vegetação</w:t>
      </w:r>
      <w:r w:rsidR="007F7FA5">
        <w:rPr>
          <w:rFonts w:eastAsia="Calibri"/>
          <w:szCs w:val="22"/>
          <w:lang w:eastAsia="en-US"/>
        </w:rPr>
        <w:t xml:space="preserve"> e </w:t>
      </w:r>
      <w:r w:rsidR="007F7FA5" w:rsidRPr="007F7FA5">
        <w:rPr>
          <w:rFonts w:eastAsia="Calibri"/>
          <w:szCs w:val="22"/>
          <w:lang w:eastAsia="en-US"/>
        </w:rPr>
        <w:t>de Revegetação e Enriquecimento Florestal.</w:t>
      </w:r>
    </w:p>
    <w:p w:rsidR="007F7FA5" w:rsidRPr="007F7FA5" w:rsidRDefault="007F7FA5" w:rsidP="007F7FA5">
      <w:pPr>
        <w:tabs>
          <w:tab w:val="left" w:pos="284"/>
        </w:tabs>
        <w:spacing w:before="120" w:after="120" w:line="240" w:lineRule="auto"/>
        <w:rPr>
          <w:rFonts w:eastAsia="Calibri"/>
          <w:szCs w:val="22"/>
          <w:lang w:eastAsia="en-US"/>
        </w:rPr>
      </w:pPr>
      <w:r w:rsidRPr="007F7FA5">
        <w:rPr>
          <w:rFonts w:eastAsia="Calibri"/>
          <w:szCs w:val="22"/>
          <w:lang w:eastAsia="en-US"/>
        </w:rPr>
        <w:t>As ações de recomposição de mata ciliar e de medidas conservacionistas do solo deverão se estender aos principais formadores e tributários contribuintes dos futuros reservatórios, tais como o ribeirão do Pantaleão, principal braço formador do reservatório Duas Pontes, e o córrego Entre-Montes, contribuinte do rio Jaguari.</w:t>
      </w:r>
    </w:p>
    <w:p w:rsidR="007F7FA5" w:rsidRPr="007F7FA5" w:rsidRDefault="007F7FA5" w:rsidP="007F7FA5">
      <w:pPr>
        <w:tabs>
          <w:tab w:val="left" w:pos="284"/>
        </w:tabs>
        <w:spacing w:before="120" w:after="120" w:line="240" w:lineRule="auto"/>
        <w:rPr>
          <w:rFonts w:eastAsia="Calibri"/>
          <w:szCs w:val="22"/>
          <w:lang w:eastAsia="en-US"/>
        </w:rPr>
      </w:pPr>
      <w:r w:rsidRPr="007F7FA5">
        <w:rPr>
          <w:rFonts w:eastAsia="Calibri"/>
          <w:szCs w:val="22"/>
          <w:lang w:eastAsia="en-US"/>
        </w:rPr>
        <w:t>Essas medidas serão acompanhadas por inspeção visual periódica do aterro, dos taludes, e ainda pela manutenção do sistema de drenagem pluvial, além de observações sistemáticas sobre o aspecto geral dos rios Jaguari, Camanducaia e principais contribuintes afetados, registrando-se eventual presença de detritos e pontos de assoreamento.</w:t>
      </w:r>
    </w:p>
    <w:p w:rsidR="007F7FA5" w:rsidRPr="007F7FA5" w:rsidRDefault="007F7FA5" w:rsidP="007F7FA5">
      <w:pPr>
        <w:tabs>
          <w:tab w:val="left" w:pos="284"/>
        </w:tabs>
        <w:spacing w:before="120" w:after="240" w:line="240" w:lineRule="auto"/>
        <w:rPr>
          <w:rFonts w:eastAsia="Calibri"/>
          <w:szCs w:val="22"/>
          <w:lang w:eastAsia="en-US"/>
        </w:rPr>
      </w:pPr>
      <w:r w:rsidRPr="007F7FA5">
        <w:rPr>
          <w:rFonts w:eastAsia="Calibri"/>
          <w:szCs w:val="22"/>
          <w:lang w:eastAsia="en-US"/>
        </w:rPr>
        <w:t xml:space="preserve">Será adotado o Programa de Monitoramento da Qualidade das Águas Superficiais e dos Sedimentos, que compreende a análise do teor de sólidos e de compostos orgânicos nos </w:t>
      </w:r>
      <w:r w:rsidRPr="007F7FA5">
        <w:rPr>
          <w:rFonts w:eastAsia="Calibri"/>
          <w:szCs w:val="22"/>
          <w:lang w:eastAsia="en-US"/>
        </w:rPr>
        <w:lastRenderedPageBreak/>
        <w:t>corpos hídricos, entre outros parâmetros de controle, permitindo a tomada de ações preventivas e corretivas durante toda a fase de implantação e também de operação do projeto.</w:t>
      </w:r>
    </w:p>
    <w:p w:rsidR="00627FA2" w:rsidRDefault="00825811" w:rsidP="00C26E04">
      <w:pPr>
        <w:tabs>
          <w:tab w:val="left" w:pos="284"/>
        </w:tabs>
        <w:spacing w:before="120" w:after="120" w:line="240" w:lineRule="auto"/>
        <w:rPr>
          <w:rFonts w:eastAsia="Calibri"/>
          <w:b/>
          <w:szCs w:val="22"/>
          <w:lang w:eastAsia="en-US"/>
        </w:rPr>
      </w:pPr>
      <w:r>
        <w:rPr>
          <w:rFonts w:eastAsia="Calibri"/>
          <w:b/>
          <w:szCs w:val="22"/>
          <w:lang w:eastAsia="en-US"/>
        </w:rPr>
        <w:t xml:space="preserve">b) </w:t>
      </w:r>
      <w:r w:rsidR="00627FA2" w:rsidRPr="007F6278">
        <w:rPr>
          <w:rFonts w:eastAsia="Calibri"/>
          <w:b/>
          <w:szCs w:val="22"/>
          <w:lang w:eastAsia="en-US"/>
        </w:rPr>
        <w:t xml:space="preserve">Alteração na </w:t>
      </w:r>
      <w:r>
        <w:rPr>
          <w:rFonts w:eastAsia="Calibri"/>
          <w:b/>
          <w:szCs w:val="22"/>
          <w:lang w:eastAsia="en-US"/>
        </w:rPr>
        <w:t>Q</w:t>
      </w:r>
      <w:r w:rsidR="00627FA2" w:rsidRPr="007F6278">
        <w:rPr>
          <w:rFonts w:eastAsia="Calibri"/>
          <w:b/>
          <w:szCs w:val="22"/>
          <w:lang w:eastAsia="en-US"/>
        </w:rPr>
        <w:t xml:space="preserve">ualidade das </w:t>
      </w:r>
      <w:r>
        <w:rPr>
          <w:rFonts w:eastAsia="Calibri"/>
          <w:b/>
          <w:szCs w:val="22"/>
          <w:lang w:eastAsia="en-US"/>
        </w:rPr>
        <w:t>Á</w:t>
      </w:r>
      <w:r w:rsidR="00627FA2" w:rsidRPr="007F6278">
        <w:rPr>
          <w:rFonts w:eastAsia="Calibri"/>
          <w:b/>
          <w:szCs w:val="22"/>
          <w:lang w:eastAsia="en-US"/>
        </w:rPr>
        <w:t xml:space="preserve">guas </w:t>
      </w:r>
      <w:r>
        <w:rPr>
          <w:rFonts w:eastAsia="Calibri"/>
          <w:b/>
          <w:szCs w:val="22"/>
          <w:lang w:eastAsia="en-US"/>
        </w:rPr>
        <w:t>S</w:t>
      </w:r>
      <w:r w:rsidR="00627FA2" w:rsidRPr="007F6278">
        <w:rPr>
          <w:rFonts w:eastAsia="Calibri"/>
          <w:b/>
          <w:szCs w:val="22"/>
          <w:lang w:eastAsia="en-US"/>
        </w:rPr>
        <w:t xml:space="preserve">uperficiais e dos </w:t>
      </w:r>
      <w:r>
        <w:rPr>
          <w:rFonts w:eastAsia="Calibri"/>
          <w:b/>
          <w:szCs w:val="22"/>
          <w:lang w:eastAsia="en-US"/>
        </w:rPr>
        <w:t>S</w:t>
      </w:r>
      <w:r w:rsidR="00627FA2" w:rsidRPr="007F6278">
        <w:rPr>
          <w:rFonts w:eastAsia="Calibri"/>
          <w:b/>
          <w:szCs w:val="22"/>
          <w:lang w:eastAsia="en-US"/>
        </w:rPr>
        <w:t xml:space="preserve">edimentos pelo </w:t>
      </w:r>
      <w:r>
        <w:rPr>
          <w:rFonts w:eastAsia="Calibri"/>
          <w:b/>
          <w:szCs w:val="22"/>
          <w:lang w:eastAsia="en-US"/>
        </w:rPr>
        <w:t>A</w:t>
      </w:r>
      <w:r w:rsidR="00627FA2" w:rsidRPr="007F6278">
        <w:rPr>
          <w:rFonts w:eastAsia="Calibri"/>
          <w:b/>
          <w:szCs w:val="22"/>
          <w:lang w:eastAsia="en-US"/>
        </w:rPr>
        <w:t xml:space="preserve">porte de </w:t>
      </w:r>
      <w:r>
        <w:rPr>
          <w:rFonts w:eastAsia="Calibri"/>
          <w:b/>
          <w:szCs w:val="22"/>
          <w:lang w:eastAsia="en-US"/>
        </w:rPr>
        <w:t>C</w:t>
      </w:r>
      <w:r w:rsidR="00627FA2" w:rsidRPr="007F6278">
        <w:rPr>
          <w:rFonts w:eastAsia="Calibri"/>
          <w:b/>
          <w:szCs w:val="22"/>
          <w:lang w:eastAsia="en-US"/>
        </w:rPr>
        <w:t xml:space="preserve">argas </w:t>
      </w:r>
      <w:r>
        <w:rPr>
          <w:rFonts w:eastAsia="Calibri"/>
          <w:b/>
          <w:szCs w:val="22"/>
          <w:lang w:eastAsia="en-US"/>
        </w:rPr>
        <w:t>P</w:t>
      </w:r>
      <w:r w:rsidR="00627FA2" w:rsidRPr="007F6278">
        <w:rPr>
          <w:rFonts w:eastAsia="Calibri"/>
          <w:b/>
          <w:szCs w:val="22"/>
          <w:lang w:eastAsia="en-US"/>
        </w:rPr>
        <w:t>ontuais</w:t>
      </w:r>
    </w:p>
    <w:p w:rsidR="00825811" w:rsidRPr="007F6278" w:rsidRDefault="00825811" w:rsidP="00C26E04">
      <w:pPr>
        <w:tabs>
          <w:tab w:val="left" w:pos="284"/>
        </w:tabs>
        <w:spacing w:before="120" w:after="120" w:line="240" w:lineRule="auto"/>
        <w:rPr>
          <w:rFonts w:eastAsia="Calibri"/>
          <w:b/>
          <w:szCs w:val="22"/>
          <w:lang w:eastAsia="en-US"/>
        </w:rPr>
      </w:pPr>
      <w:r>
        <w:rPr>
          <w:rFonts w:eastAsia="Calibri"/>
          <w:b/>
          <w:szCs w:val="22"/>
          <w:lang w:eastAsia="en-US"/>
        </w:rPr>
        <w:t>Fase: Implantação</w:t>
      </w:r>
    </w:p>
    <w:p w:rsidR="00627FA2" w:rsidRPr="00627FA2" w:rsidRDefault="00627FA2" w:rsidP="00627FA2">
      <w:pPr>
        <w:tabs>
          <w:tab w:val="left" w:pos="567"/>
        </w:tabs>
        <w:spacing w:before="120" w:after="120" w:line="240" w:lineRule="auto"/>
        <w:rPr>
          <w:rFonts w:eastAsia="Calibri"/>
          <w:szCs w:val="22"/>
          <w:lang w:eastAsia="en-US"/>
        </w:rPr>
      </w:pPr>
      <w:r w:rsidRPr="00627FA2">
        <w:rPr>
          <w:rFonts w:eastAsia="Calibri"/>
          <w:szCs w:val="22"/>
          <w:lang w:eastAsia="en-US"/>
        </w:rPr>
        <w:t xml:space="preserve">Durante a implantação das Barragens Pedreira e Duas Pontes haverá a geração de cargas pontuais representadas por resíduos sólidos e por efluentes líquidos de origem doméstica provenientes do refeitório, sanitários e das áreas administrativas dos canteiros de obras. Os efluentes domésticos são em geral caracterizados pelo elevado teor de matéria orgânica e fecal. </w:t>
      </w:r>
    </w:p>
    <w:p w:rsidR="009802E1" w:rsidRDefault="009802E1" w:rsidP="00627FA2">
      <w:pPr>
        <w:tabs>
          <w:tab w:val="left" w:pos="567"/>
        </w:tabs>
        <w:spacing w:before="120" w:after="120" w:line="240" w:lineRule="auto"/>
        <w:rPr>
          <w:rFonts w:eastAsia="Calibri"/>
          <w:szCs w:val="22"/>
          <w:lang w:eastAsia="en-US"/>
        </w:rPr>
      </w:pPr>
      <w:r w:rsidRPr="009802E1">
        <w:rPr>
          <w:rFonts w:eastAsia="Calibri"/>
          <w:szCs w:val="22"/>
          <w:lang w:eastAsia="en-US"/>
        </w:rPr>
        <w:t xml:space="preserve">Nos canteiros de obras, está prevista a geração de resíduos oleosos, relacionados à operação e manutenção dos equipamentos e de veículos pesados, com risco potencial de derramamento no solo de combustíveis e de lubrificantes. De modo geral, os possíveis derramamentos costumam ser em pequenos volumes, porém, caso atinjam os corpos d’água, poderão acarretar problemas de origem estética, além de causar prejuízos à biota aquática. </w:t>
      </w:r>
    </w:p>
    <w:p w:rsidR="00627FA2" w:rsidRPr="00627FA2" w:rsidRDefault="00627FA2" w:rsidP="00627FA2">
      <w:pPr>
        <w:tabs>
          <w:tab w:val="left" w:pos="567"/>
        </w:tabs>
        <w:spacing w:before="120" w:after="120" w:line="240" w:lineRule="auto"/>
        <w:rPr>
          <w:rFonts w:eastAsia="Calibri"/>
          <w:szCs w:val="22"/>
          <w:lang w:eastAsia="en-US"/>
        </w:rPr>
      </w:pPr>
      <w:r w:rsidRPr="00627FA2">
        <w:rPr>
          <w:rFonts w:eastAsia="Calibri"/>
          <w:szCs w:val="22"/>
          <w:lang w:eastAsia="en-US"/>
        </w:rPr>
        <w:t xml:space="preserve">Os resíduos sólidos que serão produzidos na fase de implantação das Barragens Pedreira e Duas Pontes são indicados a seguir, conforme classificação da Norma ABNT 10.004/04: </w:t>
      </w:r>
    </w:p>
    <w:p w:rsidR="00627FA2" w:rsidRPr="00627FA2" w:rsidRDefault="00627FA2" w:rsidP="00C64127">
      <w:pPr>
        <w:pStyle w:val="Item-Trainho"/>
        <w:rPr>
          <w:rFonts w:eastAsia="Calibri"/>
          <w:lang w:eastAsia="en-US"/>
        </w:rPr>
      </w:pPr>
      <w:r w:rsidRPr="00627FA2">
        <w:rPr>
          <w:rFonts w:eastAsia="Calibri"/>
          <w:lang w:eastAsia="en-US"/>
        </w:rPr>
        <w:t>Resíduos inertes de obra (entulhos - classe IIB).</w:t>
      </w:r>
    </w:p>
    <w:p w:rsidR="00627FA2" w:rsidRPr="00627FA2" w:rsidRDefault="00627FA2" w:rsidP="00C64127">
      <w:pPr>
        <w:pStyle w:val="Item-Trainho"/>
        <w:rPr>
          <w:rFonts w:eastAsia="Calibri"/>
          <w:lang w:eastAsia="en-US"/>
        </w:rPr>
      </w:pPr>
      <w:r w:rsidRPr="00627FA2">
        <w:rPr>
          <w:rFonts w:eastAsia="Calibri"/>
          <w:lang w:eastAsia="en-US"/>
        </w:rPr>
        <w:t>Resíduos domésticos (classe IIA) provenientes de estruturas de apoio como escritórios, refeitórios, almoxarifado (restos de alimentos, papel de limpeza e similares) e dos sanitários (papéis higiênicos e similares).</w:t>
      </w:r>
    </w:p>
    <w:p w:rsidR="00627FA2" w:rsidRPr="00627FA2" w:rsidRDefault="00627FA2" w:rsidP="00C64127">
      <w:pPr>
        <w:pStyle w:val="Item-Trainho"/>
        <w:rPr>
          <w:rFonts w:eastAsia="Calibri"/>
          <w:lang w:eastAsia="en-US"/>
        </w:rPr>
      </w:pPr>
      <w:r w:rsidRPr="00627FA2">
        <w:rPr>
          <w:rFonts w:eastAsia="Calibri"/>
          <w:lang w:eastAsia="en-US"/>
        </w:rPr>
        <w:t>Resíduos perigosos (classe I): oleosos e produtos químicos provenientes do abastecimento, manutenção e operação de veículos e equipamentos, bem como panos, estopas, papéis contaminados por esses produtos. Entre outros produtos perigosos destacam-se lâmpadas, pilhas, baterias e cartuchos de tintas de impressão.</w:t>
      </w:r>
    </w:p>
    <w:p w:rsidR="007F7FA5" w:rsidRDefault="009802E1" w:rsidP="00627FA2">
      <w:pPr>
        <w:tabs>
          <w:tab w:val="left" w:pos="567"/>
        </w:tabs>
        <w:spacing w:before="120" w:after="120" w:line="240" w:lineRule="auto"/>
        <w:rPr>
          <w:rFonts w:eastAsia="Calibri"/>
          <w:szCs w:val="22"/>
          <w:lang w:eastAsia="en-US"/>
        </w:rPr>
      </w:pPr>
      <w:r w:rsidRPr="009802E1">
        <w:rPr>
          <w:rFonts w:eastAsia="Calibri"/>
          <w:szCs w:val="22"/>
          <w:lang w:eastAsia="en-US"/>
        </w:rPr>
        <w:t xml:space="preserve">A eventual introdução desses resíduos no sistema aquático poderá acarretar alterações na qualidade das águas e dos sedimentos, resultando em extrapolações dos padrões de qualidade estabelecidos pelas Resoluções </w:t>
      </w:r>
      <w:r w:rsidR="00504078">
        <w:rPr>
          <w:rFonts w:eastAsia="Calibri"/>
          <w:szCs w:val="22"/>
          <w:lang w:eastAsia="en-US"/>
        </w:rPr>
        <w:t>CONAMA</w:t>
      </w:r>
      <w:r w:rsidRPr="009802E1">
        <w:rPr>
          <w:rFonts w:eastAsia="Calibri"/>
          <w:szCs w:val="22"/>
          <w:lang w:eastAsia="en-US"/>
        </w:rPr>
        <w:t xml:space="preserve"> 357/05 e 454/12</w:t>
      </w:r>
      <w:r w:rsidR="007F7FA5" w:rsidRPr="007F7FA5">
        <w:rPr>
          <w:rFonts w:eastAsia="Calibri"/>
          <w:szCs w:val="22"/>
          <w:lang w:eastAsia="en-US"/>
        </w:rPr>
        <w:t>.</w:t>
      </w:r>
      <w:r>
        <w:rPr>
          <w:rFonts w:eastAsia="Calibri"/>
          <w:szCs w:val="22"/>
          <w:lang w:eastAsia="en-US"/>
        </w:rPr>
        <w:t xml:space="preserve"> </w:t>
      </w:r>
    </w:p>
    <w:p w:rsidR="007F7FA5" w:rsidRDefault="00627FA2" w:rsidP="00627FA2">
      <w:pPr>
        <w:tabs>
          <w:tab w:val="left" w:pos="567"/>
        </w:tabs>
        <w:spacing w:before="120" w:after="120" w:line="240" w:lineRule="auto"/>
        <w:rPr>
          <w:rFonts w:eastAsia="Calibri"/>
          <w:szCs w:val="22"/>
          <w:lang w:eastAsia="en-US"/>
        </w:rPr>
      </w:pPr>
      <w:r w:rsidRPr="00627FA2">
        <w:rPr>
          <w:rFonts w:eastAsia="Calibri"/>
          <w:szCs w:val="22"/>
          <w:lang w:eastAsia="en-US"/>
        </w:rPr>
        <w:t>Os levantamentos apresentados no âmbito do</w:t>
      </w:r>
      <w:r w:rsidR="001E4F22">
        <w:rPr>
          <w:rFonts w:eastAsia="Calibri"/>
          <w:szCs w:val="22"/>
          <w:lang w:eastAsia="en-US"/>
        </w:rPr>
        <w:t xml:space="preserve"> Diagnóstico A</w:t>
      </w:r>
      <w:r w:rsidRPr="00627FA2">
        <w:rPr>
          <w:rFonts w:eastAsia="Calibri"/>
          <w:szCs w:val="22"/>
          <w:lang w:eastAsia="en-US"/>
        </w:rPr>
        <w:t xml:space="preserve">mbiental </w:t>
      </w:r>
      <w:r w:rsidRPr="001E4F22">
        <w:rPr>
          <w:rFonts w:eastAsia="Calibri"/>
          <w:szCs w:val="22"/>
          <w:lang w:eastAsia="en-US"/>
        </w:rPr>
        <w:t>(</w:t>
      </w:r>
      <w:r w:rsidR="008902D1" w:rsidRPr="001E4F22">
        <w:rPr>
          <w:rFonts w:eastAsia="Calibri"/>
          <w:szCs w:val="22"/>
          <w:lang w:eastAsia="en-US"/>
        </w:rPr>
        <w:t>Volume II– Diagnóstico</w:t>
      </w:r>
      <w:r w:rsidR="001E4F22" w:rsidRPr="001E4F22">
        <w:rPr>
          <w:rFonts w:eastAsia="Calibri"/>
          <w:szCs w:val="22"/>
          <w:lang w:eastAsia="en-US"/>
        </w:rPr>
        <w:t xml:space="preserve"> do</w:t>
      </w:r>
      <w:r w:rsidR="008902D1" w:rsidRPr="001E4F22">
        <w:rPr>
          <w:rFonts w:eastAsia="Calibri"/>
          <w:szCs w:val="22"/>
          <w:lang w:eastAsia="en-US"/>
        </w:rPr>
        <w:t xml:space="preserve"> Meio Físico, </w:t>
      </w:r>
      <w:r w:rsidR="001E4F22">
        <w:rPr>
          <w:rFonts w:eastAsia="Calibri"/>
          <w:szCs w:val="22"/>
          <w:lang w:eastAsia="en-US"/>
        </w:rPr>
        <w:t xml:space="preserve">Tomo 1 </w:t>
      </w:r>
      <w:r w:rsidR="008902D1" w:rsidRPr="001E4F22">
        <w:rPr>
          <w:rFonts w:eastAsia="Calibri"/>
          <w:szCs w:val="22"/>
          <w:lang w:eastAsia="en-US"/>
        </w:rPr>
        <w:t>Capítulo</w:t>
      </w:r>
      <w:r w:rsidR="001E4F22" w:rsidRPr="001E4F22">
        <w:rPr>
          <w:rFonts w:eastAsia="Calibri"/>
          <w:szCs w:val="22"/>
          <w:lang w:eastAsia="en-US"/>
        </w:rPr>
        <w:t xml:space="preserve"> 4)</w:t>
      </w:r>
      <w:r w:rsidRPr="001E4F22">
        <w:rPr>
          <w:rFonts w:eastAsia="Calibri"/>
          <w:szCs w:val="22"/>
          <w:lang w:eastAsia="en-US"/>
        </w:rPr>
        <w:t xml:space="preserve"> </w:t>
      </w:r>
      <w:r w:rsidR="009802E1" w:rsidRPr="009802E1">
        <w:rPr>
          <w:rFonts w:eastAsia="Calibri"/>
          <w:szCs w:val="22"/>
          <w:lang w:eastAsia="en-US"/>
        </w:rPr>
        <w:t>apontam que o rio Jaguari, no trecho onde esta projetada a Barragem Pedreira, mantém, em geral, qualidade da água satisfatória em termos ecológico e sanitário, com concentrações adequadas de oxigênio dissolvido, baixos teores de compostos orgânicos e de nutrientes minerais. Em contraste, no rio Camanducaia, a análise da qualidade da água evidenciou interferências associadas principalmente ao aporte de esgotos domésticos e industriais gerados na zona urbana de Amparo, implicando comprometimento sanitário e elevados níveis de nutrientes, dentre outros.</w:t>
      </w:r>
    </w:p>
    <w:p w:rsidR="007F7FA5" w:rsidRPr="007F7FA5" w:rsidRDefault="009802E1" w:rsidP="007F7FA5">
      <w:pPr>
        <w:tabs>
          <w:tab w:val="left" w:pos="567"/>
        </w:tabs>
        <w:spacing w:before="120" w:after="120" w:line="240" w:lineRule="auto"/>
        <w:rPr>
          <w:rFonts w:eastAsia="Calibri"/>
          <w:szCs w:val="22"/>
          <w:lang w:eastAsia="en-US"/>
        </w:rPr>
      </w:pPr>
      <w:r w:rsidRPr="009802E1">
        <w:rPr>
          <w:rFonts w:eastAsia="Calibri"/>
          <w:szCs w:val="22"/>
          <w:lang w:eastAsia="en-US"/>
        </w:rPr>
        <w:t xml:space="preserve">Na avaliação dos sedimentos, verificou-se o atendimento aos padrões estabelecidos pela Resolução </w:t>
      </w:r>
      <w:r w:rsidR="00504078">
        <w:rPr>
          <w:rFonts w:eastAsia="Calibri"/>
          <w:szCs w:val="22"/>
          <w:lang w:eastAsia="en-US"/>
        </w:rPr>
        <w:t>CONAMA</w:t>
      </w:r>
      <w:r w:rsidRPr="009802E1">
        <w:rPr>
          <w:rFonts w:eastAsia="Calibri"/>
          <w:szCs w:val="22"/>
          <w:lang w:eastAsia="en-US"/>
        </w:rPr>
        <w:t xml:space="preserve"> 454/12 para a maioria dos parâmetros amostrados na sub-bacia do rio Jaguari, sendo observado na sub-bacia do rio Camanducaia um maior nível de alteração relacionado principalmente a nutrientes e metais</w:t>
      </w:r>
      <w:r w:rsidR="007F7FA5" w:rsidRPr="007F7FA5">
        <w:rPr>
          <w:rFonts w:eastAsia="Calibri"/>
          <w:szCs w:val="22"/>
          <w:lang w:eastAsia="en-US"/>
        </w:rPr>
        <w:t>.</w:t>
      </w:r>
    </w:p>
    <w:p w:rsidR="007F7FA5" w:rsidRPr="007F7FA5" w:rsidRDefault="007F7FA5" w:rsidP="007F7FA5">
      <w:pPr>
        <w:tabs>
          <w:tab w:val="left" w:pos="567"/>
        </w:tabs>
        <w:spacing w:before="120" w:after="120" w:line="240" w:lineRule="auto"/>
        <w:rPr>
          <w:rFonts w:eastAsia="Calibri"/>
          <w:szCs w:val="22"/>
          <w:lang w:eastAsia="en-US"/>
        </w:rPr>
      </w:pPr>
      <w:r w:rsidRPr="007F7FA5">
        <w:rPr>
          <w:rFonts w:eastAsia="Calibri"/>
          <w:szCs w:val="22"/>
          <w:lang w:eastAsia="en-US"/>
        </w:rPr>
        <w:t xml:space="preserve">A alteração da qualidade das águas superficiais e dos sedimentos pelo aporte de cargas pontuais é um impacto negativo, direto e de ocorrência no curto prazo. Trata-se de um impacto localizado, pois as cargas pontuais estarão concentradas nas áreas dos canteiros de obras na ADA dos respectivos empreendimentos. </w:t>
      </w:r>
    </w:p>
    <w:p w:rsidR="007F7FA5" w:rsidRPr="007F7FA5" w:rsidRDefault="007F7FA5" w:rsidP="007F7FA5">
      <w:pPr>
        <w:tabs>
          <w:tab w:val="left" w:pos="567"/>
        </w:tabs>
        <w:spacing w:before="120" w:after="120" w:line="240" w:lineRule="auto"/>
        <w:rPr>
          <w:rFonts w:eastAsia="Calibri"/>
          <w:szCs w:val="22"/>
          <w:lang w:eastAsia="en-US"/>
        </w:rPr>
      </w:pPr>
      <w:r w:rsidRPr="007F7FA5">
        <w:rPr>
          <w:rFonts w:eastAsia="Calibri"/>
          <w:szCs w:val="22"/>
          <w:lang w:eastAsia="en-US"/>
        </w:rPr>
        <w:t xml:space="preserve">É um impacto reversível e temporário, pois, uma vez controlada a fonte poluidora, a qualidade das águas superficiais e dos sedimentos tende a se restabelecer aos padrões atuais. Esse impacto é considerado de média magnitude e importância para a Barragem Pedreira, considerando o maior grau de preservação deste curso d’água. Para a Barragem Duas Pontes, </w:t>
      </w:r>
      <w:r w:rsidRPr="007F7FA5">
        <w:rPr>
          <w:rFonts w:eastAsia="Calibri"/>
          <w:szCs w:val="22"/>
          <w:lang w:eastAsia="en-US"/>
        </w:rPr>
        <w:lastRenderedPageBreak/>
        <w:t>esse impacto foi avaliado como de média magnitude e baixa importância, levando-se em consideração as interferências já detectadas nesse curso d’água.</w:t>
      </w:r>
    </w:p>
    <w:p w:rsidR="00627FA2" w:rsidRPr="004C2664" w:rsidRDefault="008D3A12" w:rsidP="004C2664">
      <w:pPr>
        <w:pStyle w:val="Legenda"/>
        <w:spacing w:line="240" w:lineRule="auto"/>
        <w:jc w:val="center"/>
        <w:rPr>
          <w:b w:val="0"/>
          <w:i w:val="0"/>
        </w:rPr>
      </w:pPr>
      <w:bookmarkStart w:id="167" w:name="_Toc418590176"/>
      <w:bookmarkStart w:id="168" w:name="_Toc418590642"/>
      <w:bookmarkStart w:id="169" w:name="_Toc418595702"/>
      <w:bookmarkStart w:id="170" w:name="_Toc418758213"/>
      <w:bookmarkStart w:id="171" w:name="_Toc418758815"/>
      <w:bookmarkStart w:id="172" w:name="_Toc420316456"/>
      <w:r w:rsidRPr="004C2664">
        <w:rPr>
          <w:i w:val="0"/>
        </w:rPr>
        <w:t xml:space="preserve">Quadro </w:t>
      </w:r>
      <w:r w:rsidR="00B80A05" w:rsidRPr="004C2664">
        <w:rPr>
          <w:i w:val="0"/>
        </w:rPr>
        <w:fldChar w:fldCharType="begin"/>
      </w:r>
      <w:r w:rsidR="00402E81" w:rsidRPr="004C2664">
        <w:rPr>
          <w:i w:val="0"/>
        </w:rPr>
        <w:instrText xml:space="preserve"> STYLEREF 2 \s </w:instrText>
      </w:r>
      <w:r w:rsidR="00B80A05" w:rsidRPr="004C2664">
        <w:rPr>
          <w:i w:val="0"/>
        </w:rPr>
        <w:fldChar w:fldCharType="separate"/>
      </w:r>
      <w:r w:rsidR="00316060">
        <w:rPr>
          <w:i w:val="0"/>
          <w:noProof/>
        </w:rPr>
        <w:t>1.3</w:t>
      </w:r>
      <w:r w:rsidR="00B80A05" w:rsidRPr="004C2664">
        <w:rPr>
          <w:i w:val="0"/>
        </w:rPr>
        <w:fldChar w:fldCharType="end"/>
      </w:r>
      <w:r w:rsidR="00402E81" w:rsidRPr="004C2664">
        <w:rPr>
          <w:i w:val="0"/>
        </w:rPr>
        <w:t>.</w:t>
      </w:r>
      <w:r w:rsidR="00B80A05" w:rsidRPr="004C2664">
        <w:rPr>
          <w:i w:val="0"/>
        </w:rPr>
        <w:fldChar w:fldCharType="begin"/>
      </w:r>
      <w:r w:rsidR="00402E81" w:rsidRPr="004C2664">
        <w:rPr>
          <w:i w:val="0"/>
        </w:rPr>
        <w:instrText xml:space="preserve"> SEQ Quadro \* ARABIC \s 2 </w:instrText>
      </w:r>
      <w:r w:rsidR="00B80A05" w:rsidRPr="004C2664">
        <w:rPr>
          <w:i w:val="0"/>
        </w:rPr>
        <w:fldChar w:fldCharType="separate"/>
      </w:r>
      <w:r w:rsidR="00316060">
        <w:rPr>
          <w:i w:val="0"/>
          <w:noProof/>
        </w:rPr>
        <w:t>13</w:t>
      </w:r>
      <w:r w:rsidR="00B80A05" w:rsidRPr="004C2664">
        <w:rPr>
          <w:i w:val="0"/>
        </w:rPr>
        <w:fldChar w:fldCharType="end"/>
      </w:r>
      <w:r w:rsidR="004C2664" w:rsidRPr="004C2664">
        <w:rPr>
          <w:i w:val="0"/>
        </w:rPr>
        <w:t>.</w:t>
      </w:r>
      <w:r w:rsidR="004C2664" w:rsidRPr="004C2664">
        <w:rPr>
          <w:b w:val="0"/>
          <w:i w:val="0"/>
        </w:rPr>
        <w:t xml:space="preserve"> - </w:t>
      </w:r>
      <w:r w:rsidR="00627FA2" w:rsidRPr="004C2664">
        <w:rPr>
          <w:rFonts w:cs="Arial"/>
          <w:b w:val="0"/>
          <w:bCs/>
          <w:i w:val="0"/>
          <w:szCs w:val="22"/>
        </w:rPr>
        <w:t xml:space="preserve">Caracterização do Impacto - </w:t>
      </w:r>
      <w:r w:rsidR="00627FA2" w:rsidRPr="004C2664">
        <w:rPr>
          <w:b w:val="0"/>
          <w:i w:val="0"/>
        </w:rPr>
        <w:t>Alteração na Qualidade das Águas Superficiais e dos Sedimentos</w:t>
      </w:r>
      <w:r w:rsidR="003A778E" w:rsidRPr="004C2664">
        <w:rPr>
          <w:b w:val="0"/>
          <w:i w:val="0"/>
        </w:rPr>
        <w:t xml:space="preserve"> pelo </w:t>
      </w:r>
      <w:r w:rsidR="004812B5" w:rsidRPr="004C2664">
        <w:rPr>
          <w:b w:val="0"/>
          <w:i w:val="0"/>
        </w:rPr>
        <w:t>A</w:t>
      </w:r>
      <w:r w:rsidR="003A778E" w:rsidRPr="004C2664">
        <w:rPr>
          <w:b w:val="0"/>
          <w:i w:val="0"/>
        </w:rPr>
        <w:t xml:space="preserve">porte de </w:t>
      </w:r>
      <w:r w:rsidR="004812B5" w:rsidRPr="004C2664">
        <w:rPr>
          <w:b w:val="0"/>
          <w:i w:val="0"/>
        </w:rPr>
        <w:t>C</w:t>
      </w:r>
      <w:r w:rsidR="003A778E" w:rsidRPr="004C2664">
        <w:rPr>
          <w:b w:val="0"/>
          <w:i w:val="0"/>
        </w:rPr>
        <w:t xml:space="preserve">argas </w:t>
      </w:r>
      <w:r w:rsidR="004812B5" w:rsidRPr="004C2664">
        <w:rPr>
          <w:b w:val="0"/>
          <w:i w:val="0"/>
        </w:rPr>
        <w:t>P</w:t>
      </w:r>
      <w:r w:rsidR="003A778E" w:rsidRPr="004C2664">
        <w:rPr>
          <w:b w:val="0"/>
          <w:i w:val="0"/>
        </w:rPr>
        <w:t>ontuais</w:t>
      </w:r>
      <w:r w:rsidR="00627FA2" w:rsidRPr="004C2664">
        <w:rPr>
          <w:b w:val="0"/>
          <w:i w:val="0"/>
        </w:rPr>
        <w:t xml:space="preserve"> - </w:t>
      </w:r>
      <w:r w:rsidR="00627FA2" w:rsidRPr="004C2664">
        <w:rPr>
          <w:rFonts w:cs="Arial"/>
          <w:b w:val="0"/>
          <w:bCs/>
          <w:i w:val="0"/>
          <w:szCs w:val="22"/>
        </w:rPr>
        <w:t>Barragem Pedreira</w:t>
      </w:r>
      <w:bookmarkEnd w:id="167"/>
      <w:bookmarkEnd w:id="168"/>
      <w:bookmarkEnd w:id="169"/>
      <w:bookmarkEnd w:id="170"/>
      <w:bookmarkEnd w:id="171"/>
      <w:bookmarkEnd w:id="17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69"/>
        <w:gridCol w:w="3547"/>
      </w:tblGrid>
      <w:tr w:rsidR="00627FA2" w:rsidRPr="00627FA2" w:rsidTr="00627FA2">
        <w:trPr>
          <w:trHeight w:val="518"/>
          <w:jc w:val="center"/>
        </w:trPr>
        <w:tc>
          <w:tcPr>
            <w:tcW w:w="645"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Natureza</w:t>
            </w:r>
          </w:p>
        </w:tc>
        <w:tc>
          <w:tcPr>
            <w:tcW w:w="5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Ordem</w:t>
            </w:r>
          </w:p>
        </w:tc>
        <w:tc>
          <w:tcPr>
            <w:tcW w:w="10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Abrangência</w:t>
            </w:r>
          </w:p>
        </w:tc>
        <w:tc>
          <w:tcPr>
            <w:tcW w:w="820"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Duração</w:t>
            </w:r>
          </w:p>
        </w:tc>
        <w:tc>
          <w:tcPr>
            <w:tcW w:w="1854"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Probabilidade de Ocorrência</w:t>
            </w:r>
          </w:p>
        </w:tc>
      </w:tr>
      <w:tr w:rsidR="00627FA2" w:rsidRPr="00627FA2" w:rsidTr="00627FA2">
        <w:trPr>
          <w:trHeight w:val="273"/>
          <w:jc w:val="center"/>
        </w:trPr>
        <w:tc>
          <w:tcPr>
            <w:tcW w:w="645"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Negativa</w:t>
            </w:r>
          </w:p>
        </w:tc>
        <w:tc>
          <w:tcPr>
            <w:tcW w:w="5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Direta</w:t>
            </w:r>
          </w:p>
        </w:tc>
        <w:tc>
          <w:tcPr>
            <w:tcW w:w="10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Local (ADA)</w:t>
            </w:r>
          </w:p>
        </w:tc>
        <w:tc>
          <w:tcPr>
            <w:tcW w:w="820"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Temporário</w:t>
            </w:r>
          </w:p>
        </w:tc>
        <w:tc>
          <w:tcPr>
            <w:tcW w:w="1854"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Provável</w:t>
            </w:r>
          </w:p>
        </w:tc>
      </w:tr>
    </w:tbl>
    <w:p w:rsidR="00627FA2" w:rsidRPr="00627FA2" w:rsidRDefault="00627FA2" w:rsidP="007F6278">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2"/>
      </w:tblGrid>
      <w:tr w:rsidR="00627FA2" w:rsidRPr="00627FA2" w:rsidTr="00627FA2">
        <w:trPr>
          <w:trHeight w:val="397"/>
          <w:jc w:val="center"/>
        </w:trPr>
        <w:tc>
          <w:tcPr>
            <w:tcW w:w="134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Época de Ocorrência</w:t>
            </w:r>
          </w:p>
        </w:tc>
        <w:tc>
          <w:tcPr>
            <w:tcW w:w="977"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Reversibilidade</w:t>
            </w:r>
          </w:p>
        </w:tc>
        <w:tc>
          <w:tcPr>
            <w:tcW w:w="72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Magnitude</w:t>
            </w:r>
          </w:p>
        </w:tc>
        <w:tc>
          <w:tcPr>
            <w:tcW w:w="778"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Importância</w:t>
            </w:r>
          </w:p>
        </w:tc>
        <w:tc>
          <w:tcPr>
            <w:tcW w:w="118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Mitigação</w:t>
            </w:r>
          </w:p>
        </w:tc>
      </w:tr>
      <w:tr w:rsidR="00627FA2" w:rsidRPr="00627FA2" w:rsidTr="00627FA2">
        <w:trPr>
          <w:trHeight w:val="344"/>
          <w:jc w:val="center"/>
        </w:trPr>
        <w:tc>
          <w:tcPr>
            <w:tcW w:w="134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Curto Prazo</w:t>
            </w:r>
          </w:p>
        </w:tc>
        <w:tc>
          <w:tcPr>
            <w:tcW w:w="977"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Reversível</w:t>
            </w:r>
          </w:p>
        </w:tc>
        <w:tc>
          <w:tcPr>
            <w:tcW w:w="72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 xml:space="preserve">Média </w:t>
            </w:r>
          </w:p>
        </w:tc>
        <w:tc>
          <w:tcPr>
            <w:tcW w:w="778" w:type="pct"/>
            <w:shd w:val="clear" w:color="auto" w:fill="auto"/>
            <w:vAlign w:val="center"/>
          </w:tcPr>
          <w:p w:rsidR="00627FA2" w:rsidRPr="00627FA2" w:rsidRDefault="007F7FA5" w:rsidP="00627FA2">
            <w:pPr>
              <w:autoSpaceDE w:val="0"/>
              <w:autoSpaceDN w:val="0"/>
              <w:adjustRightInd w:val="0"/>
              <w:spacing w:before="120" w:after="120" w:line="240" w:lineRule="auto"/>
              <w:jc w:val="center"/>
              <w:rPr>
                <w:rFonts w:cs="Arial"/>
                <w:sz w:val="20"/>
              </w:rPr>
            </w:pPr>
            <w:r>
              <w:rPr>
                <w:rFonts w:cs="Arial"/>
                <w:sz w:val="20"/>
              </w:rPr>
              <w:t>Media</w:t>
            </w:r>
          </w:p>
        </w:tc>
        <w:tc>
          <w:tcPr>
            <w:tcW w:w="118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Mitigável</w:t>
            </w:r>
          </w:p>
        </w:tc>
      </w:tr>
    </w:tbl>
    <w:p w:rsidR="004C2664" w:rsidRDefault="004C2664" w:rsidP="004C2664">
      <w:pPr>
        <w:pStyle w:val="Legenda"/>
        <w:spacing w:line="240" w:lineRule="auto"/>
        <w:jc w:val="center"/>
        <w:rPr>
          <w:i w:val="0"/>
        </w:rPr>
      </w:pPr>
      <w:bookmarkStart w:id="173" w:name="_Toc418590177"/>
      <w:bookmarkStart w:id="174" w:name="_Toc418590643"/>
      <w:bookmarkStart w:id="175" w:name="_Toc418595703"/>
      <w:bookmarkStart w:id="176" w:name="_Toc418758214"/>
      <w:bookmarkStart w:id="177" w:name="_Toc418758816"/>
    </w:p>
    <w:p w:rsidR="00627FA2" w:rsidRPr="004C2664" w:rsidRDefault="008D3A12" w:rsidP="004C2664">
      <w:pPr>
        <w:pStyle w:val="Legenda"/>
        <w:spacing w:line="240" w:lineRule="auto"/>
        <w:jc w:val="center"/>
        <w:rPr>
          <w:rFonts w:cs="Arial"/>
          <w:b w:val="0"/>
          <w:bCs/>
          <w:i w:val="0"/>
          <w:szCs w:val="22"/>
        </w:rPr>
      </w:pPr>
      <w:bookmarkStart w:id="178" w:name="_Toc420316457"/>
      <w:r w:rsidRPr="004C2664">
        <w:rPr>
          <w:i w:val="0"/>
        </w:rPr>
        <w:t xml:space="preserve">Quadro </w:t>
      </w:r>
      <w:r w:rsidR="00B80A05" w:rsidRPr="004C2664">
        <w:rPr>
          <w:i w:val="0"/>
        </w:rPr>
        <w:fldChar w:fldCharType="begin"/>
      </w:r>
      <w:r w:rsidR="00402E81" w:rsidRPr="004C2664">
        <w:rPr>
          <w:i w:val="0"/>
        </w:rPr>
        <w:instrText xml:space="preserve"> STYLEREF 2 \s </w:instrText>
      </w:r>
      <w:r w:rsidR="00B80A05" w:rsidRPr="004C2664">
        <w:rPr>
          <w:i w:val="0"/>
        </w:rPr>
        <w:fldChar w:fldCharType="separate"/>
      </w:r>
      <w:r w:rsidR="00316060">
        <w:rPr>
          <w:i w:val="0"/>
          <w:noProof/>
        </w:rPr>
        <w:t>1.3</w:t>
      </w:r>
      <w:r w:rsidR="00B80A05" w:rsidRPr="004C2664">
        <w:rPr>
          <w:i w:val="0"/>
        </w:rPr>
        <w:fldChar w:fldCharType="end"/>
      </w:r>
      <w:r w:rsidR="00402E81" w:rsidRPr="004C2664">
        <w:rPr>
          <w:i w:val="0"/>
        </w:rPr>
        <w:t>.</w:t>
      </w:r>
      <w:r w:rsidR="00B80A05" w:rsidRPr="004C2664">
        <w:rPr>
          <w:i w:val="0"/>
        </w:rPr>
        <w:fldChar w:fldCharType="begin"/>
      </w:r>
      <w:r w:rsidR="00402E81" w:rsidRPr="004C2664">
        <w:rPr>
          <w:i w:val="0"/>
        </w:rPr>
        <w:instrText xml:space="preserve"> SEQ Quadro \* ARABIC \s 2 </w:instrText>
      </w:r>
      <w:r w:rsidR="00B80A05" w:rsidRPr="004C2664">
        <w:rPr>
          <w:i w:val="0"/>
        </w:rPr>
        <w:fldChar w:fldCharType="separate"/>
      </w:r>
      <w:r w:rsidR="00316060">
        <w:rPr>
          <w:i w:val="0"/>
          <w:noProof/>
        </w:rPr>
        <w:t>14</w:t>
      </w:r>
      <w:r w:rsidR="00B80A05" w:rsidRPr="004C2664">
        <w:rPr>
          <w:i w:val="0"/>
        </w:rPr>
        <w:fldChar w:fldCharType="end"/>
      </w:r>
      <w:r w:rsidR="004C2664" w:rsidRPr="004C2664">
        <w:rPr>
          <w:i w:val="0"/>
        </w:rPr>
        <w:t>.</w:t>
      </w:r>
      <w:r w:rsidR="004C2664" w:rsidRPr="004C2664">
        <w:rPr>
          <w:b w:val="0"/>
          <w:i w:val="0"/>
        </w:rPr>
        <w:t xml:space="preserve"> - </w:t>
      </w:r>
      <w:r w:rsidR="00627FA2" w:rsidRPr="004C2664">
        <w:rPr>
          <w:rFonts w:cs="Arial"/>
          <w:b w:val="0"/>
          <w:bCs/>
          <w:i w:val="0"/>
          <w:szCs w:val="22"/>
        </w:rPr>
        <w:t xml:space="preserve">Caracterização do Impacto - </w:t>
      </w:r>
      <w:r w:rsidR="00627FA2" w:rsidRPr="004C2664">
        <w:rPr>
          <w:b w:val="0"/>
          <w:i w:val="0"/>
        </w:rPr>
        <w:t xml:space="preserve">Alteração na Qualidade das Águas Superficiais e dos Sedimentos </w:t>
      </w:r>
      <w:r w:rsidR="003A778E" w:rsidRPr="004C2664">
        <w:rPr>
          <w:b w:val="0"/>
          <w:i w:val="0"/>
        </w:rPr>
        <w:t xml:space="preserve">pelo </w:t>
      </w:r>
      <w:r w:rsidR="004812B5" w:rsidRPr="004C2664">
        <w:rPr>
          <w:b w:val="0"/>
          <w:i w:val="0"/>
        </w:rPr>
        <w:t>A</w:t>
      </w:r>
      <w:r w:rsidR="003A778E" w:rsidRPr="004C2664">
        <w:rPr>
          <w:b w:val="0"/>
          <w:i w:val="0"/>
        </w:rPr>
        <w:t xml:space="preserve">porte de </w:t>
      </w:r>
      <w:r w:rsidR="004812B5" w:rsidRPr="004C2664">
        <w:rPr>
          <w:b w:val="0"/>
          <w:i w:val="0"/>
        </w:rPr>
        <w:t>C</w:t>
      </w:r>
      <w:r w:rsidR="003A778E" w:rsidRPr="004C2664">
        <w:rPr>
          <w:b w:val="0"/>
          <w:i w:val="0"/>
        </w:rPr>
        <w:t xml:space="preserve">argas </w:t>
      </w:r>
      <w:r w:rsidR="004812B5" w:rsidRPr="004C2664">
        <w:rPr>
          <w:b w:val="0"/>
          <w:i w:val="0"/>
        </w:rPr>
        <w:t>P</w:t>
      </w:r>
      <w:r w:rsidR="003A778E" w:rsidRPr="004C2664">
        <w:rPr>
          <w:b w:val="0"/>
          <w:i w:val="0"/>
        </w:rPr>
        <w:t xml:space="preserve">ontuais </w:t>
      </w:r>
      <w:r w:rsidR="00627FA2" w:rsidRPr="004C2664">
        <w:rPr>
          <w:b w:val="0"/>
          <w:i w:val="0"/>
        </w:rPr>
        <w:t xml:space="preserve">– </w:t>
      </w:r>
      <w:r w:rsidR="00627FA2" w:rsidRPr="004C2664">
        <w:rPr>
          <w:rFonts w:cs="Arial"/>
          <w:b w:val="0"/>
          <w:bCs/>
          <w:i w:val="0"/>
          <w:szCs w:val="22"/>
        </w:rPr>
        <w:t>Barragem Duas Pontes</w:t>
      </w:r>
      <w:bookmarkEnd w:id="173"/>
      <w:bookmarkEnd w:id="174"/>
      <w:bookmarkEnd w:id="175"/>
      <w:bookmarkEnd w:id="176"/>
      <w:bookmarkEnd w:id="177"/>
      <w:bookmarkEnd w:id="17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69"/>
        <w:gridCol w:w="3547"/>
      </w:tblGrid>
      <w:tr w:rsidR="00627FA2" w:rsidRPr="00627FA2" w:rsidTr="00627FA2">
        <w:trPr>
          <w:trHeight w:val="518"/>
          <w:jc w:val="center"/>
        </w:trPr>
        <w:tc>
          <w:tcPr>
            <w:tcW w:w="645"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Natureza</w:t>
            </w:r>
          </w:p>
        </w:tc>
        <w:tc>
          <w:tcPr>
            <w:tcW w:w="5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Ordem</w:t>
            </w:r>
          </w:p>
        </w:tc>
        <w:tc>
          <w:tcPr>
            <w:tcW w:w="10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Abrangência</w:t>
            </w:r>
          </w:p>
        </w:tc>
        <w:tc>
          <w:tcPr>
            <w:tcW w:w="820"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Duração</w:t>
            </w:r>
          </w:p>
        </w:tc>
        <w:tc>
          <w:tcPr>
            <w:tcW w:w="1853"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Probabilidade de Ocorrência</w:t>
            </w:r>
          </w:p>
        </w:tc>
      </w:tr>
      <w:tr w:rsidR="00627FA2" w:rsidRPr="00627FA2" w:rsidTr="00627FA2">
        <w:trPr>
          <w:trHeight w:val="273"/>
          <w:jc w:val="center"/>
        </w:trPr>
        <w:tc>
          <w:tcPr>
            <w:tcW w:w="645"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Negativa</w:t>
            </w:r>
          </w:p>
        </w:tc>
        <w:tc>
          <w:tcPr>
            <w:tcW w:w="5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Direta</w:t>
            </w:r>
          </w:p>
        </w:tc>
        <w:tc>
          <w:tcPr>
            <w:tcW w:w="10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Local (ADA)</w:t>
            </w:r>
          </w:p>
        </w:tc>
        <w:tc>
          <w:tcPr>
            <w:tcW w:w="820"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Temporário</w:t>
            </w:r>
          </w:p>
        </w:tc>
        <w:tc>
          <w:tcPr>
            <w:tcW w:w="1853"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Provável</w:t>
            </w:r>
          </w:p>
        </w:tc>
      </w:tr>
    </w:tbl>
    <w:p w:rsidR="00627FA2" w:rsidRPr="00627FA2" w:rsidRDefault="00627FA2" w:rsidP="007F6278">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2"/>
      </w:tblGrid>
      <w:tr w:rsidR="00627FA2" w:rsidRPr="00627FA2" w:rsidTr="00627FA2">
        <w:trPr>
          <w:trHeight w:val="397"/>
          <w:jc w:val="center"/>
        </w:trPr>
        <w:tc>
          <w:tcPr>
            <w:tcW w:w="134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Época de Ocorrência</w:t>
            </w:r>
          </w:p>
        </w:tc>
        <w:tc>
          <w:tcPr>
            <w:tcW w:w="977"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Reversibilidade</w:t>
            </w:r>
          </w:p>
        </w:tc>
        <w:tc>
          <w:tcPr>
            <w:tcW w:w="72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Magnitude</w:t>
            </w:r>
          </w:p>
        </w:tc>
        <w:tc>
          <w:tcPr>
            <w:tcW w:w="778"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Importância</w:t>
            </w:r>
          </w:p>
        </w:tc>
        <w:tc>
          <w:tcPr>
            <w:tcW w:w="118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Mitigação</w:t>
            </w:r>
          </w:p>
        </w:tc>
      </w:tr>
      <w:tr w:rsidR="00627FA2" w:rsidRPr="00627FA2" w:rsidTr="00627FA2">
        <w:trPr>
          <w:trHeight w:val="344"/>
          <w:jc w:val="center"/>
        </w:trPr>
        <w:tc>
          <w:tcPr>
            <w:tcW w:w="134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Curto Prazo</w:t>
            </w:r>
          </w:p>
        </w:tc>
        <w:tc>
          <w:tcPr>
            <w:tcW w:w="977"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Reversível</w:t>
            </w:r>
          </w:p>
        </w:tc>
        <w:tc>
          <w:tcPr>
            <w:tcW w:w="72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Média</w:t>
            </w:r>
          </w:p>
        </w:tc>
        <w:tc>
          <w:tcPr>
            <w:tcW w:w="778"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Baixa</w:t>
            </w:r>
          </w:p>
        </w:tc>
        <w:tc>
          <w:tcPr>
            <w:tcW w:w="118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Mitigável</w:t>
            </w:r>
          </w:p>
        </w:tc>
      </w:tr>
    </w:tbl>
    <w:p w:rsidR="00627FA2" w:rsidRPr="00627FA2" w:rsidRDefault="00627FA2" w:rsidP="00627FA2">
      <w:pPr>
        <w:autoSpaceDE w:val="0"/>
        <w:autoSpaceDN w:val="0"/>
        <w:adjustRightInd w:val="0"/>
        <w:spacing w:before="120" w:after="120" w:line="240" w:lineRule="auto"/>
        <w:rPr>
          <w:rFonts w:cs="Arial"/>
          <w:b/>
          <w:szCs w:val="22"/>
        </w:rPr>
      </w:pPr>
      <w:r w:rsidRPr="00627FA2">
        <w:rPr>
          <w:rFonts w:cs="Arial"/>
          <w:b/>
          <w:szCs w:val="22"/>
        </w:rPr>
        <w:t>Ações Ambientais Propostas:</w:t>
      </w:r>
    </w:p>
    <w:p w:rsidR="008447E7" w:rsidRPr="005D5845" w:rsidRDefault="008447E7" w:rsidP="008447E7">
      <w:pPr>
        <w:tabs>
          <w:tab w:val="left" w:pos="567"/>
        </w:tabs>
        <w:spacing w:before="120" w:after="120" w:line="240" w:lineRule="auto"/>
        <w:rPr>
          <w:rFonts w:eastAsia="Calibri"/>
          <w:szCs w:val="22"/>
          <w:lang w:eastAsia="en-US"/>
        </w:rPr>
      </w:pPr>
      <w:r w:rsidRPr="005D5845">
        <w:rPr>
          <w:rFonts w:eastAsia="Calibri"/>
          <w:szCs w:val="22"/>
          <w:lang w:eastAsia="en-US"/>
        </w:rPr>
        <w:t>De acordo com a Caracterização do Empreendimento (</w:t>
      </w:r>
      <w:r w:rsidR="009802E1">
        <w:rPr>
          <w:rFonts w:eastAsia="Calibri"/>
          <w:szCs w:val="22"/>
          <w:lang w:eastAsia="en-US"/>
        </w:rPr>
        <w:t>Volume I –Tomo 1 –</w:t>
      </w:r>
      <w:r w:rsidR="009136B6">
        <w:rPr>
          <w:rFonts w:eastAsia="Calibri"/>
          <w:szCs w:val="22"/>
          <w:lang w:eastAsia="en-US"/>
        </w:rPr>
        <w:t xml:space="preserve"> Texto, Capítulo 7</w:t>
      </w:r>
      <w:r w:rsidRPr="005D5845">
        <w:rPr>
          <w:rFonts w:eastAsia="Calibri"/>
          <w:szCs w:val="22"/>
          <w:lang w:eastAsia="en-US"/>
        </w:rPr>
        <w:t xml:space="preserve">), na fase de implantação das barragens, está prevista a instalação de sistema de fossas sépticas para atender as instalações do canteiro de obras. </w:t>
      </w:r>
    </w:p>
    <w:p w:rsidR="00627FA2" w:rsidRPr="00627FA2" w:rsidRDefault="008447E7" w:rsidP="00627FA2">
      <w:pPr>
        <w:tabs>
          <w:tab w:val="left" w:pos="567"/>
        </w:tabs>
        <w:spacing w:before="120" w:after="120" w:line="240" w:lineRule="auto"/>
        <w:rPr>
          <w:rFonts w:eastAsia="Calibri"/>
          <w:szCs w:val="22"/>
          <w:lang w:eastAsia="en-US"/>
        </w:rPr>
      </w:pPr>
      <w:r w:rsidRPr="005D5845">
        <w:rPr>
          <w:rFonts w:eastAsia="Calibri"/>
          <w:szCs w:val="22"/>
          <w:lang w:eastAsia="en-US"/>
        </w:rPr>
        <w:t xml:space="preserve">Os resíduos sólidos gerados terão a sua destinação final adequada e serão segregados segundo os padrões previstos na legislação vigente. Será implantado o Programa de Monitoramento da Qualidade das Águas Superficiais e dos Sedimentos, que permitirá o acompanhamento sistemático dos parâmetros de controle ambiental dos mananciais. </w:t>
      </w:r>
    </w:p>
    <w:p w:rsidR="00627FA2" w:rsidRPr="009136B6" w:rsidRDefault="004812B5" w:rsidP="00C26E04">
      <w:pPr>
        <w:tabs>
          <w:tab w:val="left" w:pos="284"/>
        </w:tabs>
        <w:spacing w:before="120" w:after="120" w:line="240" w:lineRule="auto"/>
        <w:rPr>
          <w:rFonts w:eastAsia="Calibri"/>
          <w:b/>
          <w:szCs w:val="22"/>
          <w:lang w:eastAsia="en-US"/>
        </w:rPr>
      </w:pPr>
      <w:r w:rsidRPr="009136B6">
        <w:rPr>
          <w:rFonts w:eastAsia="Calibri"/>
          <w:b/>
          <w:szCs w:val="22"/>
          <w:lang w:eastAsia="en-US"/>
        </w:rPr>
        <w:t xml:space="preserve">c) </w:t>
      </w:r>
      <w:r w:rsidR="00627FA2" w:rsidRPr="009136B6">
        <w:rPr>
          <w:rFonts w:eastAsia="Calibri"/>
          <w:b/>
          <w:szCs w:val="22"/>
          <w:lang w:eastAsia="en-US"/>
        </w:rPr>
        <w:t xml:space="preserve">Alteração na </w:t>
      </w:r>
      <w:r w:rsidRPr="009136B6">
        <w:rPr>
          <w:rFonts w:eastAsia="Calibri"/>
          <w:b/>
          <w:szCs w:val="22"/>
          <w:lang w:eastAsia="en-US"/>
        </w:rPr>
        <w:t>Q</w:t>
      </w:r>
      <w:r w:rsidR="00627FA2" w:rsidRPr="009136B6">
        <w:rPr>
          <w:rFonts w:eastAsia="Calibri"/>
          <w:b/>
          <w:szCs w:val="22"/>
          <w:lang w:eastAsia="en-US"/>
        </w:rPr>
        <w:t xml:space="preserve">ualidade das </w:t>
      </w:r>
      <w:r w:rsidRPr="009136B6">
        <w:rPr>
          <w:rFonts w:eastAsia="Calibri"/>
          <w:b/>
          <w:szCs w:val="22"/>
          <w:lang w:eastAsia="en-US"/>
        </w:rPr>
        <w:t>Á</w:t>
      </w:r>
      <w:r w:rsidR="00627FA2" w:rsidRPr="009136B6">
        <w:rPr>
          <w:rFonts w:eastAsia="Calibri"/>
          <w:b/>
          <w:szCs w:val="22"/>
          <w:lang w:eastAsia="en-US"/>
        </w:rPr>
        <w:t xml:space="preserve">guas </w:t>
      </w:r>
      <w:r w:rsidRPr="009136B6">
        <w:rPr>
          <w:rFonts w:eastAsia="Calibri"/>
          <w:b/>
          <w:szCs w:val="22"/>
          <w:lang w:eastAsia="en-US"/>
        </w:rPr>
        <w:t>S</w:t>
      </w:r>
      <w:r w:rsidR="00627FA2" w:rsidRPr="009136B6">
        <w:rPr>
          <w:rFonts w:eastAsia="Calibri"/>
          <w:b/>
          <w:szCs w:val="22"/>
          <w:lang w:eastAsia="en-US"/>
        </w:rPr>
        <w:t xml:space="preserve">uperficiais e dos </w:t>
      </w:r>
      <w:r w:rsidRPr="009136B6">
        <w:rPr>
          <w:rFonts w:eastAsia="Calibri"/>
          <w:b/>
          <w:szCs w:val="22"/>
          <w:lang w:eastAsia="en-US"/>
        </w:rPr>
        <w:t>S</w:t>
      </w:r>
      <w:r w:rsidR="00627FA2" w:rsidRPr="009136B6">
        <w:rPr>
          <w:rFonts w:eastAsia="Calibri"/>
          <w:b/>
          <w:szCs w:val="22"/>
          <w:lang w:eastAsia="en-US"/>
        </w:rPr>
        <w:t xml:space="preserve">edimentos pela </w:t>
      </w:r>
      <w:r w:rsidRPr="009136B6">
        <w:rPr>
          <w:rFonts w:eastAsia="Calibri"/>
          <w:b/>
          <w:szCs w:val="22"/>
          <w:lang w:eastAsia="en-US"/>
        </w:rPr>
        <w:t>F</w:t>
      </w:r>
      <w:r w:rsidR="00627FA2" w:rsidRPr="009136B6">
        <w:rPr>
          <w:rFonts w:eastAsia="Calibri"/>
          <w:b/>
          <w:szCs w:val="22"/>
          <w:lang w:eastAsia="en-US"/>
        </w:rPr>
        <w:t xml:space="preserve">ormação dos </w:t>
      </w:r>
      <w:r w:rsidRPr="009136B6">
        <w:rPr>
          <w:rFonts w:eastAsia="Calibri"/>
          <w:b/>
          <w:szCs w:val="22"/>
          <w:lang w:eastAsia="en-US"/>
        </w:rPr>
        <w:t>R</w:t>
      </w:r>
      <w:r w:rsidR="00627FA2" w:rsidRPr="009136B6">
        <w:rPr>
          <w:rFonts w:eastAsia="Calibri"/>
          <w:b/>
          <w:szCs w:val="22"/>
          <w:lang w:eastAsia="en-US"/>
        </w:rPr>
        <w:t>eservatórios</w:t>
      </w:r>
    </w:p>
    <w:p w:rsidR="004812B5" w:rsidRPr="009136B6" w:rsidRDefault="004812B5" w:rsidP="00627FA2">
      <w:pPr>
        <w:spacing w:before="120" w:after="120" w:line="240" w:lineRule="auto"/>
        <w:rPr>
          <w:b/>
          <w:szCs w:val="24"/>
        </w:rPr>
      </w:pPr>
      <w:r w:rsidRPr="009136B6">
        <w:rPr>
          <w:b/>
          <w:szCs w:val="24"/>
        </w:rPr>
        <w:t>Fase: Implantação</w:t>
      </w:r>
    </w:p>
    <w:p w:rsidR="00037429" w:rsidRPr="00037429" w:rsidRDefault="00037429" w:rsidP="00037429">
      <w:pPr>
        <w:spacing w:before="120" w:after="120" w:line="240" w:lineRule="auto"/>
        <w:rPr>
          <w:szCs w:val="24"/>
        </w:rPr>
      </w:pPr>
      <w:r w:rsidRPr="00037429">
        <w:rPr>
          <w:szCs w:val="24"/>
        </w:rPr>
        <w:t xml:space="preserve">As transformações de ambientes lóticos em lênticos de um curso d’água, decorrentes da implantação de reservatórios, causam alterações nas características físicas, químicas e biológicas dos ecossistemas aquáticos. </w:t>
      </w:r>
    </w:p>
    <w:p w:rsidR="00627FA2" w:rsidRDefault="00037429" w:rsidP="00627FA2">
      <w:pPr>
        <w:spacing w:before="120" w:after="120" w:line="240" w:lineRule="auto"/>
        <w:rPr>
          <w:szCs w:val="24"/>
        </w:rPr>
      </w:pPr>
      <w:r w:rsidRPr="00037429">
        <w:rPr>
          <w:szCs w:val="24"/>
        </w:rPr>
        <w:t>Durante o enchimento de reservatórios artificiais, as alterações na qualidade da água estão relacionadas principalmente à submersão dos solos e da vegetação (TUNDISI, 1978; BAXTER &amp; GLAUDE, 1980). A biomassa vegetal residente afogada se decompõe, liberando uma grande quantidade de compostos orgânicos e de nutrientes que tendem a se acumular nos sedimentos, com possibilidade de estabelecimento de condições anóxicas. Esse processo tende a ocorre até o reservatório alcançar o seu nível operacional, a partir do qual toda a vegetação estará incorporada.</w:t>
      </w:r>
      <w:r w:rsidR="00627FA2" w:rsidRPr="00627FA2">
        <w:rPr>
          <w:szCs w:val="24"/>
        </w:rPr>
        <w:t>.</w:t>
      </w:r>
    </w:p>
    <w:p w:rsidR="009136B6" w:rsidRDefault="009136B6" w:rsidP="00627FA2">
      <w:pPr>
        <w:spacing w:before="120" w:after="120" w:line="240" w:lineRule="auto"/>
        <w:rPr>
          <w:szCs w:val="24"/>
        </w:rPr>
      </w:pPr>
      <w:r w:rsidRPr="009136B6">
        <w:rPr>
          <w:szCs w:val="24"/>
        </w:rPr>
        <w:t>Nesta etapa inicial, o oxigênio dissolvido constitui um dos parâmetros mais importantes, dentre os participantes nos processos bioquímicos e cinéticos de qualidade da água, sendo determinante para a preservação da biota aquática aeróbia, incluindo a ictiofauna</w:t>
      </w:r>
      <w:r>
        <w:rPr>
          <w:szCs w:val="24"/>
        </w:rPr>
        <w:t>.</w:t>
      </w:r>
    </w:p>
    <w:p w:rsidR="009136B6" w:rsidRDefault="009136B6" w:rsidP="00627FA2">
      <w:pPr>
        <w:spacing w:before="120" w:after="120" w:line="240" w:lineRule="auto"/>
        <w:rPr>
          <w:szCs w:val="24"/>
        </w:rPr>
      </w:pPr>
      <w:r w:rsidRPr="009136B6">
        <w:rPr>
          <w:szCs w:val="24"/>
        </w:rPr>
        <w:lastRenderedPageBreak/>
        <w:t>A presença de oxigênio condiciona a precipitação de cátions metálicos, como ferro e alumínio, que se ligam a espécies fosfatadas por adsorção. Ainda nesta condição (oxidante) as formas fosfatadas podem reagir com argilas e, de maneira similar, tendem a se depositar nos sedimentos (WETZEL, 1983).</w:t>
      </w:r>
    </w:p>
    <w:p w:rsidR="009136B6" w:rsidRPr="009136B6" w:rsidRDefault="009136B6" w:rsidP="009136B6">
      <w:pPr>
        <w:spacing w:before="120" w:after="120" w:line="240" w:lineRule="auto"/>
        <w:rPr>
          <w:szCs w:val="24"/>
        </w:rPr>
      </w:pPr>
      <w:r w:rsidRPr="009136B6">
        <w:rPr>
          <w:szCs w:val="24"/>
        </w:rPr>
        <w:t xml:space="preserve">A manutenção das condições oxidantes conserva os precipitados ricos em fósforo e outros nutrientes imobilizados nas camadas superficiais dos sedimentos que, por sua vez, ainda formam uma camada que contribui para restringir a difusão de elementos nutrientes dos sedimentos para a coluna d’água. </w:t>
      </w:r>
    </w:p>
    <w:p w:rsidR="009136B6" w:rsidRPr="009136B6" w:rsidRDefault="009136B6" w:rsidP="009136B6">
      <w:pPr>
        <w:spacing w:before="120" w:after="120" w:line="240" w:lineRule="auto"/>
        <w:rPr>
          <w:szCs w:val="24"/>
        </w:rPr>
      </w:pPr>
      <w:r w:rsidRPr="009136B6">
        <w:rPr>
          <w:szCs w:val="24"/>
        </w:rPr>
        <w:t xml:space="preserve">Na ocorrência de rebaixamento do potencial de oxi-redução, pelo evento de anaerobiose ou anoxia, estes compostos precipitados dissolvem-se e, juntamente com os demais elementos reduzidos do interior dos sedimentos, se difundem para a coluna d’água, contribuído para a eutrofização do ambiente aquático. Este processo de eutrofização induzido pela ausência de oxigênio é usualmente denominado “autofertilização” (ESTEVES, 1988). </w:t>
      </w:r>
    </w:p>
    <w:p w:rsidR="009136B6" w:rsidRDefault="009136B6" w:rsidP="00627FA2">
      <w:pPr>
        <w:spacing w:before="120" w:after="120" w:line="240" w:lineRule="auto"/>
        <w:rPr>
          <w:szCs w:val="24"/>
        </w:rPr>
      </w:pPr>
      <w:r w:rsidRPr="009136B6">
        <w:rPr>
          <w:szCs w:val="24"/>
        </w:rPr>
        <w:t xml:space="preserve">Um dos métodos empregados para minimizar as alterações na qualidade da água consiste na remoção prévia, na área a ser inundada, da biomassa vegetal nas suas diferentes formas. Nesse contexto, estudos de simulação da qualidade da água de futuros reservatórios têm sido utilizados para o estabelecimento do grau de desmatamento necessário para atenuar e/ou neutralizar alguns impactos (GARZON, 1984; BIANCHINI JR., 1997). </w:t>
      </w:r>
    </w:p>
    <w:p w:rsidR="009136B6" w:rsidRDefault="009136B6" w:rsidP="009136B6">
      <w:pPr>
        <w:spacing w:before="120" w:after="120" w:line="240" w:lineRule="auto"/>
      </w:pPr>
      <w:r w:rsidRPr="00F1088E">
        <w:t xml:space="preserve">Para </w:t>
      </w:r>
      <w:r>
        <w:t>avaliar as alterações previstas na qualidade da água durante o enchimento e a operação dos reservatórios projetados nos rios Jaguari e Camanducaia,</w:t>
      </w:r>
      <w:r w:rsidRPr="00F1088E">
        <w:t xml:space="preserve"> </w:t>
      </w:r>
      <w:r>
        <w:t>foram</w:t>
      </w:r>
      <w:r w:rsidRPr="00F1088E">
        <w:t xml:space="preserve"> utilizados</w:t>
      </w:r>
      <w:r>
        <w:t xml:space="preserve"> os seguintes</w:t>
      </w:r>
      <w:r w:rsidRPr="00F1088E">
        <w:t xml:space="preserve"> </w:t>
      </w:r>
      <w:r>
        <w:t>sistemas</w:t>
      </w:r>
      <w:r w:rsidRPr="00F1088E">
        <w:t xml:space="preserve"> de simulação</w:t>
      </w:r>
      <w:r>
        <w:t xml:space="preserve"> matemática da qualidade das águas: </w:t>
      </w:r>
      <w:r w:rsidRPr="007248D0">
        <w:t xml:space="preserve">Modelo Hidráulico, Modelo de Eutrofização e Modelo de Estratificação Térmica, conforme </w:t>
      </w:r>
      <w:r w:rsidRPr="00D241BD">
        <w:t xml:space="preserve">detalhado no Volume II Tomo 1 – Parte 1 Capítulo </w:t>
      </w:r>
      <w:r w:rsidR="00D241BD" w:rsidRPr="00D241BD">
        <w:t>4</w:t>
      </w:r>
      <w:r w:rsidR="00554D81">
        <w:t>.</w:t>
      </w:r>
    </w:p>
    <w:p w:rsidR="00D241BD" w:rsidRPr="00D241BD" w:rsidRDefault="00D241BD" w:rsidP="00D241BD">
      <w:pPr>
        <w:spacing w:before="120" w:after="120" w:line="240" w:lineRule="auto"/>
        <w:rPr>
          <w:szCs w:val="24"/>
        </w:rPr>
      </w:pPr>
      <w:r w:rsidRPr="00D241BD">
        <w:rPr>
          <w:szCs w:val="24"/>
        </w:rPr>
        <w:t xml:space="preserve">Para ambos os empreendimentos, ponderou-se na modelagem um cenário sem desmatamento dos reservatórios, prevendo-se a incorporação de toda a biomassa vegetal, representada pelas distintas fitofisionomias identificadas nas áreas de inundação, e outro cenário com desmatamento. Em caráter complementar, realizou-se uma estimativa da supressão da biomassa vegetal necessária para que sejam alcançadas concentrações de oxigênio dissolvido mínimas de 4 mg/L, subsidiando o estabelecimento das medidas mitigadoras em relação ao percentual da área de vegetação que deverá ser suprimido. </w:t>
      </w:r>
    </w:p>
    <w:p w:rsidR="00D241BD" w:rsidRPr="00D241BD" w:rsidRDefault="00D241BD" w:rsidP="00D241BD">
      <w:pPr>
        <w:spacing w:before="120" w:after="120" w:line="240" w:lineRule="auto"/>
        <w:rPr>
          <w:szCs w:val="24"/>
        </w:rPr>
      </w:pPr>
      <w:r w:rsidRPr="00D241BD">
        <w:rPr>
          <w:szCs w:val="24"/>
        </w:rPr>
        <w:t xml:space="preserve">As simulações foram realizadas a partir da análise dos parâmetros de qualidade da água mais sensíveis ao enchimento e operação dos reservatórios, destacando-se: Demanda Bioquímica de Oxigênio (DBO), Oxigênio Dissolvido (OD), série de nitrogênio e de fósforo. </w:t>
      </w:r>
    </w:p>
    <w:p w:rsidR="009136B6" w:rsidRDefault="00D241BD" w:rsidP="00627FA2">
      <w:pPr>
        <w:spacing w:before="120" w:after="120" w:line="240" w:lineRule="auto"/>
        <w:rPr>
          <w:szCs w:val="24"/>
        </w:rPr>
      </w:pPr>
      <w:r w:rsidRPr="00D241BD">
        <w:rPr>
          <w:szCs w:val="24"/>
        </w:rPr>
        <w:t>Os dados de entrada dos parâmetros mencionados foram obtidos a partir dos resultados descritos no contexto do diagnóstico ambiental (Volume II Tomo 1 – Parte 1 Capítulo 4)</w:t>
      </w:r>
      <w:r>
        <w:rPr>
          <w:szCs w:val="24"/>
        </w:rPr>
        <w:t xml:space="preserve"> </w:t>
      </w:r>
      <w:r w:rsidRPr="00D241BD">
        <w:rPr>
          <w:szCs w:val="24"/>
        </w:rPr>
        <w:t>levando-se em conta duas campanhas de amostragem realizadas no ano de 2014. A primeira delas ocorreu entre agosto e setembro, representativa do período seco. A segunda coleta foi realizada em dezembro, no período chuvoso. Em cada barragem, foram amostrados seis pontos, distribuídos nos rios principais (Jaguari e Camanducaia) e nos principais contribuintes. Deve-se ressaltar que o ano de 2014 se caracterizou por um período atípico de estiagem, de forma que os dados simulados nesses eventos representam uma condição crítica da qualidade da água.</w:t>
      </w:r>
    </w:p>
    <w:p w:rsidR="00D241BD" w:rsidRPr="00D241BD" w:rsidRDefault="00D241BD" w:rsidP="00D241BD">
      <w:pPr>
        <w:spacing w:before="120" w:after="120" w:line="240" w:lineRule="auto"/>
        <w:rPr>
          <w:szCs w:val="24"/>
        </w:rPr>
      </w:pPr>
      <w:r w:rsidRPr="00D241BD">
        <w:rPr>
          <w:szCs w:val="24"/>
        </w:rPr>
        <w:t xml:space="preserve">Na modelo matemático, consideraram-se também os resultados da rede de monitoramento da Companhia Ambiental do Estado de São Paulo – </w:t>
      </w:r>
      <w:r>
        <w:rPr>
          <w:szCs w:val="24"/>
        </w:rPr>
        <w:t>CETESB</w:t>
      </w:r>
      <w:r w:rsidRPr="00D241BD">
        <w:rPr>
          <w:szCs w:val="24"/>
        </w:rPr>
        <w:t xml:space="preserve">, por meio de seis campanhas bimestrais realizada em 2013, que correspondem às informações mais recentes disponíveis. Para a Barragem Pedreira, foram utilizados os dados do ponto JAGR 02200, situado no rio Jaguari, na ponte Pênsil, na captação de Pedreira. Em relação à Barragem Duas Pontes, adotaram-se os resultados obtidos no rio Camanducaia, a jusante do córrego do Mosquito (ponto CMDC 02400). </w:t>
      </w:r>
    </w:p>
    <w:p w:rsidR="009136B6" w:rsidRDefault="00D241BD" w:rsidP="00627FA2">
      <w:pPr>
        <w:spacing w:before="120" w:after="120" w:line="240" w:lineRule="auto"/>
        <w:rPr>
          <w:szCs w:val="24"/>
        </w:rPr>
      </w:pPr>
      <w:r w:rsidRPr="00D241BD">
        <w:rPr>
          <w:szCs w:val="24"/>
        </w:rPr>
        <w:t xml:space="preserve">A seguir é apresentada uma síntese dos resultados antevistos para a qualidade da água nos reservatórios projetados – Barragens Pedreira e Duas Pontes, na etapa de enchimento. O </w:t>
      </w:r>
      <w:r w:rsidRPr="00D241BD">
        <w:rPr>
          <w:szCs w:val="24"/>
        </w:rPr>
        <w:lastRenderedPageBreak/>
        <w:t>detalhamento dos dados da modelagem matemática</w:t>
      </w:r>
      <w:r>
        <w:rPr>
          <w:szCs w:val="24"/>
        </w:rPr>
        <w:t xml:space="preserve"> consta no </w:t>
      </w:r>
      <w:r w:rsidRPr="00D241BD">
        <w:rPr>
          <w:szCs w:val="24"/>
        </w:rPr>
        <w:t xml:space="preserve">Volume II Tomo 1 – Parte 1 Capítulo </w:t>
      </w:r>
      <w:r>
        <w:rPr>
          <w:szCs w:val="24"/>
        </w:rPr>
        <w:t>4.</w:t>
      </w:r>
    </w:p>
    <w:p w:rsidR="00627FA2" w:rsidRPr="00C64127" w:rsidRDefault="00627FA2" w:rsidP="00C64127">
      <w:pPr>
        <w:pStyle w:val="Item-Trainho"/>
        <w:rPr>
          <w:b/>
        </w:rPr>
      </w:pPr>
      <w:r w:rsidRPr="00C64127">
        <w:rPr>
          <w:b/>
        </w:rPr>
        <w:t>Barragem Pedreira</w:t>
      </w:r>
    </w:p>
    <w:p w:rsidR="00C64127" w:rsidRDefault="00D241BD" w:rsidP="00627FA2">
      <w:pPr>
        <w:spacing w:before="120" w:after="120" w:line="240" w:lineRule="auto"/>
      </w:pPr>
      <w:r w:rsidRPr="00D241BD">
        <w:t xml:space="preserve">No processo da modelagem matemática, os cursos d’água foram segmentados por meio de uma sequência de compartimentos, procurando-se separar o corpo central do reservatório, onde o fluxo ocorre de forma preferencial, dos braços tributários laterais, nos quais o escoamento se processa de forma mais lenta, assumindo comportamento hidrobiológico distinto. </w:t>
      </w:r>
      <w:r w:rsidR="00627FA2" w:rsidRPr="004C2664">
        <w:t xml:space="preserve">Na Figura </w:t>
      </w:r>
      <w:r w:rsidR="00B11E51" w:rsidRPr="004C2664">
        <w:t xml:space="preserve">1.3.1. </w:t>
      </w:r>
      <w:r w:rsidR="00627FA2" w:rsidRPr="004C2664">
        <w:t>é apresentado</w:t>
      </w:r>
      <w:r w:rsidR="00627FA2" w:rsidRPr="00627FA2">
        <w:t xml:space="preserve"> o esquema de compartimentação do reservatório da Barragem Pedreira. </w:t>
      </w:r>
    </w:p>
    <w:p w:rsidR="00C64127" w:rsidRPr="00627FA2" w:rsidRDefault="00C64127" w:rsidP="00627FA2">
      <w:pPr>
        <w:spacing w:before="120" w:after="120" w:line="240" w:lineRule="auto"/>
      </w:pPr>
      <w:r>
        <w:rPr>
          <w:noProof/>
        </w:rPr>
        <w:drawing>
          <wp:anchor distT="0" distB="0" distL="114300" distR="114300" simplePos="0" relativeHeight="251665408" behindDoc="0" locked="0" layoutInCell="1" allowOverlap="1" wp14:anchorId="2D8C0515" wp14:editId="6FABB351">
            <wp:simplePos x="0" y="0"/>
            <wp:positionH relativeFrom="column">
              <wp:posOffset>291465</wp:posOffset>
            </wp:positionH>
            <wp:positionV relativeFrom="paragraph">
              <wp:posOffset>39370</wp:posOffset>
            </wp:positionV>
            <wp:extent cx="5402507" cy="3543300"/>
            <wp:effectExtent l="0" t="0" r="8255" b="0"/>
            <wp:wrapNone/>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6" cstate="print"/>
                    <a:srcRect/>
                    <a:stretch>
                      <a:fillRect/>
                    </a:stretch>
                  </pic:blipFill>
                  <pic:spPr bwMode="auto">
                    <a:xfrm>
                      <a:off x="0" y="0"/>
                      <a:ext cx="5402507" cy="3543300"/>
                    </a:xfrm>
                    <a:prstGeom prst="rect">
                      <a:avLst/>
                    </a:prstGeom>
                    <a:noFill/>
                    <a:ln w="9525">
                      <a:noFill/>
                      <a:miter lim="800000"/>
                      <a:headEnd/>
                      <a:tailEnd/>
                    </a:ln>
                  </pic:spPr>
                </pic:pic>
              </a:graphicData>
            </a:graphic>
          </wp:anchor>
        </w:drawing>
      </w:r>
    </w:p>
    <w:p w:rsidR="00490734" w:rsidRDefault="00490734" w:rsidP="00627FA2">
      <w:pPr>
        <w:spacing w:before="120" w:after="120" w:line="240" w:lineRule="auto"/>
      </w:pPr>
    </w:p>
    <w:p w:rsidR="00490734" w:rsidRDefault="00490734" w:rsidP="00627FA2">
      <w:pPr>
        <w:spacing w:before="120" w:after="120" w:line="240" w:lineRule="auto"/>
      </w:pPr>
    </w:p>
    <w:p w:rsidR="00490734" w:rsidRDefault="00490734" w:rsidP="00627FA2">
      <w:pPr>
        <w:spacing w:before="120" w:after="120" w:line="240" w:lineRule="auto"/>
      </w:pPr>
    </w:p>
    <w:p w:rsidR="00490734" w:rsidRDefault="00490734" w:rsidP="00627FA2">
      <w:pPr>
        <w:spacing w:before="120" w:after="120" w:line="240" w:lineRule="auto"/>
      </w:pPr>
    </w:p>
    <w:p w:rsidR="00627FA2" w:rsidRPr="00627FA2" w:rsidRDefault="00627FA2" w:rsidP="00627FA2">
      <w:pPr>
        <w:spacing w:before="120" w:after="120" w:line="240" w:lineRule="auto"/>
      </w:pPr>
    </w:p>
    <w:p w:rsidR="00627FA2" w:rsidRPr="00627FA2" w:rsidRDefault="00627FA2" w:rsidP="00627FA2">
      <w:pPr>
        <w:spacing w:before="120" w:after="120" w:line="240" w:lineRule="auto"/>
      </w:pPr>
    </w:p>
    <w:p w:rsidR="00627FA2" w:rsidRPr="00627FA2" w:rsidRDefault="00627FA2" w:rsidP="00627FA2">
      <w:pPr>
        <w:spacing w:before="120" w:after="120" w:line="240" w:lineRule="auto"/>
      </w:pPr>
    </w:p>
    <w:p w:rsidR="00627FA2" w:rsidRPr="00627FA2" w:rsidRDefault="00627FA2" w:rsidP="00627FA2">
      <w:pPr>
        <w:spacing w:before="120" w:after="120" w:line="240" w:lineRule="auto"/>
      </w:pPr>
    </w:p>
    <w:p w:rsidR="00627FA2" w:rsidRDefault="00627FA2" w:rsidP="00627FA2">
      <w:pPr>
        <w:spacing w:before="120" w:after="120" w:line="240" w:lineRule="auto"/>
      </w:pPr>
    </w:p>
    <w:p w:rsidR="00490734" w:rsidRDefault="00490734" w:rsidP="00627FA2">
      <w:pPr>
        <w:spacing w:before="120" w:after="120" w:line="240" w:lineRule="auto"/>
      </w:pPr>
    </w:p>
    <w:p w:rsidR="00627FA2" w:rsidRPr="00627FA2" w:rsidRDefault="00627FA2" w:rsidP="00627FA2">
      <w:pPr>
        <w:spacing w:before="120" w:after="120" w:line="240" w:lineRule="auto"/>
      </w:pPr>
    </w:p>
    <w:p w:rsidR="00177FEF" w:rsidRDefault="00177FEF" w:rsidP="00627FA2">
      <w:pPr>
        <w:spacing w:before="120" w:after="120" w:line="240" w:lineRule="auto"/>
        <w:rPr>
          <w:b/>
        </w:rPr>
      </w:pPr>
    </w:p>
    <w:p w:rsidR="00177FEF" w:rsidRDefault="00177FEF" w:rsidP="00627FA2">
      <w:pPr>
        <w:spacing w:before="120" w:after="120" w:line="240" w:lineRule="auto"/>
        <w:rPr>
          <w:b/>
        </w:rPr>
      </w:pPr>
    </w:p>
    <w:p w:rsidR="00177FEF" w:rsidRDefault="00177FEF" w:rsidP="00627FA2">
      <w:pPr>
        <w:spacing w:before="120" w:after="120" w:line="240" w:lineRule="auto"/>
        <w:rPr>
          <w:b/>
        </w:rPr>
      </w:pPr>
    </w:p>
    <w:p w:rsidR="00627FA2" w:rsidRPr="004C2664" w:rsidRDefault="004C2664" w:rsidP="004C2664">
      <w:pPr>
        <w:pStyle w:val="Legenda"/>
        <w:jc w:val="center"/>
        <w:rPr>
          <w:b w:val="0"/>
          <w:i w:val="0"/>
        </w:rPr>
      </w:pPr>
      <w:bookmarkStart w:id="179" w:name="_Toc420332062"/>
      <w:r w:rsidRPr="004C2664">
        <w:rPr>
          <w:i w:val="0"/>
        </w:rPr>
        <w:t>Figura 1.3.</w:t>
      </w:r>
      <w:r w:rsidR="00B80A05" w:rsidRPr="004C2664">
        <w:rPr>
          <w:i w:val="0"/>
        </w:rPr>
        <w:fldChar w:fldCharType="begin"/>
      </w:r>
      <w:r w:rsidRPr="004C2664">
        <w:rPr>
          <w:i w:val="0"/>
        </w:rPr>
        <w:instrText xml:space="preserve"> SEQ Figura_1.3. \* ARABIC </w:instrText>
      </w:r>
      <w:r w:rsidR="00B80A05" w:rsidRPr="004C2664">
        <w:rPr>
          <w:i w:val="0"/>
        </w:rPr>
        <w:fldChar w:fldCharType="separate"/>
      </w:r>
      <w:r w:rsidR="00316060">
        <w:rPr>
          <w:i w:val="0"/>
          <w:noProof/>
        </w:rPr>
        <w:t>1</w:t>
      </w:r>
      <w:r w:rsidR="00B80A05" w:rsidRPr="004C2664">
        <w:rPr>
          <w:i w:val="0"/>
        </w:rPr>
        <w:fldChar w:fldCharType="end"/>
      </w:r>
      <w:r w:rsidRPr="004C2664">
        <w:rPr>
          <w:i w:val="0"/>
        </w:rPr>
        <w:t>.</w:t>
      </w:r>
      <w:r w:rsidRPr="004C2664">
        <w:rPr>
          <w:b w:val="0"/>
          <w:i w:val="0"/>
        </w:rPr>
        <w:t xml:space="preserve"> - </w:t>
      </w:r>
      <w:r w:rsidR="00627FA2" w:rsidRPr="004C2664">
        <w:rPr>
          <w:b w:val="0"/>
          <w:i w:val="0"/>
        </w:rPr>
        <w:t>Esquema de Compartimentação do Reservatório da Barragem Pedreira.</w:t>
      </w:r>
      <w:bookmarkEnd w:id="179"/>
    </w:p>
    <w:p w:rsidR="00D241BD" w:rsidRDefault="00D241BD" w:rsidP="00627FA2">
      <w:pPr>
        <w:tabs>
          <w:tab w:val="left" w:pos="0"/>
        </w:tabs>
        <w:spacing w:before="120" w:after="120" w:line="240" w:lineRule="auto"/>
        <w:rPr>
          <w:szCs w:val="22"/>
        </w:rPr>
      </w:pPr>
      <w:r w:rsidRPr="00D241BD">
        <w:rPr>
          <w:szCs w:val="22"/>
        </w:rPr>
        <w:t xml:space="preserve">A etapa de enchimento do reservatório Pedreira terá duração aproximada de 61 dias, sendo que previamente será realizada a remoção da biomassa vegetal, na área a ser inundada. Nesse sentido, os estudos da modelagem apontam que os segmentos a serem desmatados somam </w:t>
      </w:r>
      <w:r w:rsidR="00037429">
        <w:rPr>
          <w:szCs w:val="22"/>
        </w:rPr>
        <w:t>46,5</w:t>
      </w:r>
      <w:r w:rsidRPr="00D241BD">
        <w:rPr>
          <w:szCs w:val="22"/>
        </w:rPr>
        <w:t xml:space="preserve"> ha ou </w:t>
      </w:r>
      <w:r w:rsidR="00037429">
        <w:rPr>
          <w:szCs w:val="22"/>
        </w:rPr>
        <w:t>27,8</w:t>
      </w:r>
      <w:r w:rsidRPr="00D241BD">
        <w:rPr>
          <w:szCs w:val="22"/>
        </w:rPr>
        <w:t xml:space="preserve">% da área total ocupada pela vegetação inundável. Cabe salientar que nem toda a biomassa residente é passível de remoção, devido à presença de taludes íngremes, entre outras condições que limitam os trabalhos de supressão vegetal. </w:t>
      </w:r>
    </w:p>
    <w:p w:rsidR="00D241BD" w:rsidRPr="00D241BD" w:rsidRDefault="00D241BD" w:rsidP="00D241BD">
      <w:pPr>
        <w:tabs>
          <w:tab w:val="left" w:pos="0"/>
        </w:tabs>
        <w:spacing w:before="120" w:after="120" w:line="240" w:lineRule="auto"/>
        <w:rPr>
          <w:szCs w:val="22"/>
        </w:rPr>
      </w:pPr>
      <w:r w:rsidRPr="00D241BD">
        <w:rPr>
          <w:szCs w:val="22"/>
        </w:rPr>
        <w:t xml:space="preserve">As simulações indicam a necessidade de ações de desmatamento e limpeza do reservatório centradas principalmente nos compartimentos abrangidos pelos braços tributários, onde o tempo de residência da água tende a ser mais elevado. Nesses locais, estimam-se percentuais de remoção máximos de 80%. </w:t>
      </w:r>
    </w:p>
    <w:p w:rsidR="00037429" w:rsidRDefault="00037429" w:rsidP="00D241BD">
      <w:pPr>
        <w:tabs>
          <w:tab w:val="left" w:pos="0"/>
        </w:tabs>
        <w:spacing w:before="120" w:after="120" w:line="240" w:lineRule="auto"/>
        <w:rPr>
          <w:szCs w:val="22"/>
        </w:rPr>
      </w:pPr>
      <w:r w:rsidRPr="00037429">
        <w:rPr>
          <w:szCs w:val="22"/>
        </w:rPr>
        <w:t xml:space="preserve">Na etapa de enchimento, os resultados da modelagem apontam que, após as ações de desmatamento e limpeza do reservatório, são esperados níveis de oxigênio dissolvido - OD sempre superiores a 4,0 mg/L, no corpo central, sobretudo nos compartimentos mais distantes do eixo (Seg-01 e Seg-02). Como aspecto positivo, em todos os compartimentos do corpo central, os teores de oxigênio dissolvido permanecerão compatíveis com o padrão da Resolução </w:t>
      </w:r>
      <w:r w:rsidR="00504078">
        <w:rPr>
          <w:szCs w:val="22"/>
        </w:rPr>
        <w:t>CONAMA</w:t>
      </w:r>
      <w:r w:rsidRPr="00037429">
        <w:rPr>
          <w:szCs w:val="22"/>
        </w:rPr>
        <w:t xml:space="preserve"> 357/05 para águas classe 2 (≥ 5 mg/L), cerca de 20 dias após o início do enchimento. </w:t>
      </w:r>
    </w:p>
    <w:p w:rsidR="00D241BD" w:rsidRPr="00D241BD" w:rsidRDefault="00D241BD" w:rsidP="00D241BD">
      <w:pPr>
        <w:tabs>
          <w:tab w:val="left" w:pos="0"/>
        </w:tabs>
        <w:spacing w:before="120" w:after="120" w:line="240" w:lineRule="auto"/>
        <w:rPr>
          <w:szCs w:val="22"/>
        </w:rPr>
      </w:pPr>
      <w:r w:rsidRPr="00D241BD">
        <w:rPr>
          <w:szCs w:val="22"/>
        </w:rPr>
        <w:t xml:space="preserve">Nos braços laterais, as simulações evidenciam, na etapa inicial do enchimento, uma redução nas concentrações de oxigênio dissolvido para níveis abaixo de 4 mg/L (segmentos 06, 07, 11 </w:t>
      </w:r>
      <w:r w:rsidRPr="00D241BD">
        <w:rPr>
          <w:szCs w:val="22"/>
        </w:rPr>
        <w:lastRenderedPageBreak/>
        <w:t xml:space="preserve">e 13), com posterior aumento para índices próximos a 5 mg/L, não sendo prevista condição de anoxia em nenhum dos tributários. </w:t>
      </w:r>
    </w:p>
    <w:p w:rsidR="00037429" w:rsidRPr="00037429" w:rsidRDefault="00037429" w:rsidP="00037429">
      <w:pPr>
        <w:tabs>
          <w:tab w:val="left" w:pos="0"/>
        </w:tabs>
        <w:spacing w:before="120" w:after="120" w:line="240" w:lineRule="auto"/>
        <w:rPr>
          <w:szCs w:val="22"/>
        </w:rPr>
      </w:pPr>
      <w:r w:rsidRPr="00037429">
        <w:rPr>
          <w:szCs w:val="22"/>
        </w:rPr>
        <w:t>Os níveis de oxigênio dissolvido refletem os resultados previstos de DBO, que permanecerão acima de 3 mg/L, no corpo central, durante a maior período do enchimento, com pico localizado de 9 mg/L (Seg-05). Nos braços tributários, estão previstas concentrações mais elevadas de matéria orgânica em decomposição, sobretudo no tributário lateral da margem esquerda (Seg-06) e no córrego do Caracol (Seg-13).</w:t>
      </w:r>
    </w:p>
    <w:p w:rsidR="00D241BD" w:rsidRPr="00D241BD" w:rsidRDefault="00D241BD" w:rsidP="00D241BD">
      <w:pPr>
        <w:tabs>
          <w:tab w:val="left" w:pos="0"/>
        </w:tabs>
        <w:spacing w:before="120" w:after="120" w:line="240" w:lineRule="auto"/>
        <w:rPr>
          <w:szCs w:val="22"/>
        </w:rPr>
      </w:pPr>
      <w:r w:rsidRPr="00D241BD">
        <w:rPr>
          <w:szCs w:val="22"/>
        </w:rPr>
        <w:t xml:space="preserve">Os teores de nitrato tenderão a atingir valores </w:t>
      </w:r>
      <w:r w:rsidR="00037429">
        <w:rPr>
          <w:szCs w:val="22"/>
        </w:rPr>
        <w:t xml:space="preserve">máximos </w:t>
      </w:r>
      <w:r w:rsidRPr="00D241BD">
        <w:rPr>
          <w:szCs w:val="22"/>
        </w:rPr>
        <w:t xml:space="preserve">de aproximadamente 0,9 mg/L, no corpo central, e de 0,7 mg/L, nos braços tributários, mantendo-se compatíveis com o limite máximo de 10 mg/L estabelecido pela Resolução </w:t>
      </w:r>
      <w:r w:rsidR="00504078">
        <w:rPr>
          <w:szCs w:val="22"/>
        </w:rPr>
        <w:t>CONAMA</w:t>
      </w:r>
      <w:r w:rsidRPr="00D241BD">
        <w:rPr>
          <w:szCs w:val="22"/>
        </w:rPr>
        <w:t xml:space="preserve"> nº 357/05 para águas classe 2. </w:t>
      </w:r>
      <w:r w:rsidR="00037429">
        <w:rPr>
          <w:szCs w:val="22"/>
        </w:rPr>
        <w:t xml:space="preserve"> </w:t>
      </w:r>
    </w:p>
    <w:p w:rsidR="00D241BD" w:rsidRPr="00D241BD" w:rsidRDefault="00D241BD" w:rsidP="00D241BD">
      <w:pPr>
        <w:tabs>
          <w:tab w:val="left" w:pos="0"/>
        </w:tabs>
        <w:spacing w:before="120" w:after="120" w:line="240" w:lineRule="auto"/>
        <w:rPr>
          <w:szCs w:val="22"/>
        </w:rPr>
      </w:pPr>
      <w:r w:rsidRPr="00D241BD">
        <w:rPr>
          <w:szCs w:val="22"/>
        </w:rPr>
        <w:t xml:space="preserve">Essa condição também é válida para a amônia, com resultados </w:t>
      </w:r>
      <w:r w:rsidR="00037429">
        <w:rPr>
          <w:szCs w:val="22"/>
        </w:rPr>
        <w:t xml:space="preserve">máximos </w:t>
      </w:r>
      <w:r w:rsidRPr="00D241BD">
        <w:rPr>
          <w:szCs w:val="22"/>
        </w:rPr>
        <w:t xml:space="preserve">esperados em torno de 0,19 mg/L e 0,17 mg/L, no corpo central e nos braços tributários, respectivamente, que representam padrões compatíveis com a Resolução </w:t>
      </w:r>
      <w:r w:rsidR="00504078">
        <w:rPr>
          <w:szCs w:val="22"/>
        </w:rPr>
        <w:t>CONAMA</w:t>
      </w:r>
      <w:r w:rsidRPr="00D241BD">
        <w:rPr>
          <w:szCs w:val="22"/>
        </w:rPr>
        <w:t xml:space="preserve"> 357/05 (3,7 mg/L para pH inferior a 7,5 e de 2,0 mg/L para pH entre 7,5 e 8,0).</w:t>
      </w:r>
    </w:p>
    <w:p w:rsidR="00627FA2" w:rsidRPr="00601292" w:rsidRDefault="00D241BD" w:rsidP="00627FA2">
      <w:pPr>
        <w:tabs>
          <w:tab w:val="left" w:pos="0"/>
        </w:tabs>
        <w:spacing w:before="120" w:after="120" w:line="240" w:lineRule="auto"/>
        <w:rPr>
          <w:b/>
          <w:szCs w:val="22"/>
        </w:rPr>
      </w:pPr>
      <w:r w:rsidRPr="00D241BD">
        <w:rPr>
          <w:szCs w:val="22"/>
        </w:rPr>
        <w:t>Para avaliação do estado trófico predominante durante o enchimento do reservatório da Barragem Pedreira, adotaram-se as faixas de valores indicadas pela C</w:t>
      </w:r>
      <w:r>
        <w:rPr>
          <w:szCs w:val="22"/>
        </w:rPr>
        <w:t>ETESB</w:t>
      </w:r>
      <w:r w:rsidRPr="00D241BD">
        <w:rPr>
          <w:szCs w:val="22"/>
        </w:rPr>
        <w:t xml:space="preserve"> (2014) para fósforo total </w:t>
      </w:r>
      <w:r w:rsidR="00627FA2" w:rsidRPr="00601292">
        <w:rPr>
          <w:szCs w:val="22"/>
        </w:rPr>
        <w:t xml:space="preserve">(Quadro </w:t>
      </w:r>
      <w:r w:rsidR="00B11E51" w:rsidRPr="00601292">
        <w:rPr>
          <w:szCs w:val="22"/>
        </w:rPr>
        <w:t>1.3.15</w:t>
      </w:r>
      <w:r w:rsidR="00627FA2" w:rsidRPr="00601292">
        <w:rPr>
          <w:szCs w:val="22"/>
        </w:rPr>
        <w:t>).</w:t>
      </w:r>
    </w:p>
    <w:p w:rsidR="00627FA2" w:rsidRDefault="008D3A12" w:rsidP="00554D81">
      <w:pPr>
        <w:pStyle w:val="Legenda"/>
        <w:spacing w:line="240" w:lineRule="auto"/>
        <w:jc w:val="center"/>
        <w:rPr>
          <w:b w:val="0"/>
          <w:i w:val="0"/>
          <w:szCs w:val="22"/>
        </w:rPr>
      </w:pPr>
      <w:bookmarkStart w:id="180" w:name="_Toc420316458"/>
      <w:r w:rsidRPr="00601292">
        <w:rPr>
          <w:i w:val="0"/>
        </w:rPr>
        <w:t xml:space="preserve">Quadro </w:t>
      </w:r>
      <w:r w:rsidR="00B80A05" w:rsidRPr="00601292">
        <w:rPr>
          <w:i w:val="0"/>
        </w:rPr>
        <w:fldChar w:fldCharType="begin"/>
      </w:r>
      <w:r w:rsidR="00402E81" w:rsidRPr="00601292">
        <w:rPr>
          <w:i w:val="0"/>
        </w:rPr>
        <w:instrText xml:space="preserve"> STYLEREF 2 \s </w:instrText>
      </w:r>
      <w:r w:rsidR="00B80A05" w:rsidRPr="00601292">
        <w:rPr>
          <w:i w:val="0"/>
        </w:rPr>
        <w:fldChar w:fldCharType="separate"/>
      </w:r>
      <w:r w:rsidR="00316060">
        <w:rPr>
          <w:i w:val="0"/>
          <w:noProof/>
        </w:rPr>
        <w:t>1.3</w:t>
      </w:r>
      <w:r w:rsidR="00B80A05" w:rsidRPr="00601292">
        <w:rPr>
          <w:i w:val="0"/>
        </w:rPr>
        <w:fldChar w:fldCharType="end"/>
      </w:r>
      <w:r w:rsidR="00402E81" w:rsidRPr="00601292">
        <w:rPr>
          <w:i w:val="0"/>
        </w:rPr>
        <w:t>.</w:t>
      </w:r>
      <w:r w:rsidR="00B80A05" w:rsidRPr="00601292">
        <w:rPr>
          <w:i w:val="0"/>
        </w:rPr>
        <w:fldChar w:fldCharType="begin"/>
      </w:r>
      <w:r w:rsidR="00402E81" w:rsidRPr="00601292">
        <w:rPr>
          <w:i w:val="0"/>
        </w:rPr>
        <w:instrText xml:space="preserve"> SEQ Quadro \* ARABIC \s 2 </w:instrText>
      </w:r>
      <w:r w:rsidR="00B80A05" w:rsidRPr="00601292">
        <w:rPr>
          <w:i w:val="0"/>
        </w:rPr>
        <w:fldChar w:fldCharType="separate"/>
      </w:r>
      <w:r w:rsidR="00316060">
        <w:rPr>
          <w:i w:val="0"/>
          <w:noProof/>
        </w:rPr>
        <w:t>15</w:t>
      </w:r>
      <w:r w:rsidR="00B80A05" w:rsidRPr="00601292">
        <w:rPr>
          <w:i w:val="0"/>
        </w:rPr>
        <w:fldChar w:fldCharType="end"/>
      </w:r>
      <w:r w:rsidR="00601292" w:rsidRPr="00601292">
        <w:rPr>
          <w:b w:val="0"/>
          <w:i w:val="0"/>
        </w:rPr>
        <w:t xml:space="preserve">. - </w:t>
      </w:r>
      <w:r w:rsidR="00627FA2" w:rsidRPr="00601292">
        <w:rPr>
          <w:b w:val="0"/>
          <w:i w:val="0"/>
          <w:szCs w:val="22"/>
        </w:rPr>
        <w:t>Classificação do Estado Trófico para Reservatórios.</w:t>
      </w:r>
      <w:bookmarkEnd w:id="180"/>
    </w:p>
    <w:tbl>
      <w:tblPr>
        <w:tblW w:w="9500" w:type="dxa"/>
        <w:tblInd w:w="55" w:type="dxa"/>
        <w:tblCellMar>
          <w:left w:w="70" w:type="dxa"/>
          <w:right w:w="70" w:type="dxa"/>
        </w:tblCellMar>
        <w:tblLook w:val="04A0" w:firstRow="1" w:lastRow="0" w:firstColumn="1" w:lastColumn="0" w:noHBand="0" w:noVBand="1"/>
      </w:tblPr>
      <w:tblGrid>
        <w:gridCol w:w="1716"/>
        <w:gridCol w:w="1843"/>
        <w:gridCol w:w="5941"/>
      </w:tblGrid>
      <w:tr w:rsidR="00554D81" w:rsidRPr="00554D81" w:rsidTr="004F2320">
        <w:trPr>
          <w:trHeight w:val="615"/>
          <w:tblHeader/>
        </w:trPr>
        <w:tc>
          <w:tcPr>
            <w:tcW w:w="1716" w:type="dxa"/>
            <w:tcBorders>
              <w:top w:val="single" w:sz="4" w:space="0" w:color="auto"/>
              <w:left w:val="single" w:sz="4" w:space="0" w:color="auto"/>
              <w:bottom w:val="single" w:sz="4" w:space="0" w:color="auto"/>
              <w:right w:val="single" w:sz="4" w:space="0" w:color="auto"/>
            </w:tcBorders>
            <w:shd w:val="clear" w:color="000000" w:fill="BFBFBF"/>
            <w:vAlign w:val="center"/>
            <w:hideMark/>
          </w:tcPr>
          <w:p w:rsidR="00554D81" w:rsidRPr="006E04E8" w:rsidRDefault="00554D81" w:rsidP="004F2320">
            <w:pPr>
              <w:spacing w:line="240" w:lineRule="auto"/>
              <w:jc w:val="center"/>
              <w:rPr>
                <w:rFonts w:cs="Arial"/>
                <w:b/>
                <w:bCs/>
                <w:color w:val="000000"/>
                <w:sz w:val="20"/>
              </w:rPr>
            </w:pPr>
            <w:r w:rsidRPr="00554D81">
              <w:rPr>
                <w:rFonts w:cs="Arial"/>
                <w:b/>
                <w:bCs/>
                <w:color w:val="000000"/>
                <w:sz w:val="20"/>
              </w:rPr>
              <w:t>Concentração de Fósforo Total (mg/L)</w:t>
            </w:r>
          </w:p>
        </w:tc>
        <w:tc>
          <w:tcPr>
            <w:tcW w:w="1843" w:type="dxa"/>
            <w:tcBorders>
              <w:top w:val="single" w:sz="4" w:space="0" w:color="auto"/>
              <w:left w:val="nil"/>
              <w:bottom w:val="single" w:sz="4" w:space="0" w:color="auto"/>
              <w:right w:val="single" w:sz="4" w:space="0" w:color="auto"/>
            </w:tcBorders>
            <w:shd w:val="clear" w:color="000000" w:fill="BFBFBF"/>
            <w:vAlign w:val="center"/>
            <w:hideMark/>
          </w:tcPr>
          <w:p w:rsidR="00554D81" w:rsidRPr="006E04E8" w:rsidRDefault="00554D81" w:rsidP="004F2320">
            <w:pPr>
              <w:spacing w:line="240" w:lineRule="auto"/>
              <w:jc w:val="center"/>
              <w:rPr>
                <w:rFonts w:cs="Arial"/>
                <w:b/>
                <w:bCs/>
                <w:color w:val="000000"/>
                <w:sz w:val="20"/>
              </w:rPr>
            </w:pPr>
            <w:r w:rsidRPr="00554D81">
              <w:rPr>
                <w:rFonts w:cs="Arial"/>
                <w:b/>
                <w:bCs/>
                <w:color w:val="000000"/>
                <w:sz w:val="20"/>
              </w:rPr>
              <w:t>Classificação do Estado Trófico</w:t>
            </w:r>
          </w:p>
        </w:tc>
        <w:tc>
          <w:tcPr>
            <w:tcW w:w="5941" w:type="dxa"/>
            <w:tcBorders>
              <w:top w:val="single" w:sz="4" w:space="0" w:color="auto"/>
              <w:left w:val="nil"/>
              <w:bottom w:val="single" w:sz="4" w:space="0" w:color="auto"/>
              <w:right w:val="single" w:sz="4" w:space="0" w:color="auto"/>
            </w:tcBorders>
            <w:shd w:val="clear" w:color="000000" w:fill="BFBFBF"/>
            <w:vAlign w:val="center"/>
            <w:hideMark/>
          </w:tcPr>
          <w:p w:rsidR="00554D81" w:rsidRPr="00E13C1E" w:rsidRDefault="00554D81" w:rsidP="004F2320">
            <w:pPr>
              <w:spacing w:line="240" w:lineRule="auto"/>
              <w:jc w:val="center"/>
              <w:rPr>
                <w:rFonts w:cs="Arial"/>
                <w:b/>
                <w:bCs/>
                <w:color w:val="000000"/>
                <w:sz w:val="20"/>
              </w:rPr>
            </w:pPr>
            <w:r w:rsidRPr="00E13C1E">
              <w:rPr>
                <w:rFonts w:cs="Arial"/>
                <w:b/>
                <w:bCs/>
                <w:color w:val="000000"/>
                <w:sz w:val="20"/>
              </w:rPr>
              <w:t>Características do Estado Trófico</w:t>
            </w:r>
          </w:p>
        </w:tc>
      </w:tr>
      <w:tr w:rsidR="00554D81" w:rsidRPr="00554D81" w:rsidTr="004F2320">
        <w:trPr>
          <w:trHeight w:val="615"/>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554D81" w:rsidRPr="006E04E8" w:rsidRDefault="00554D81" w:rsidP="004F2320">
            <w:pPr>
              <w:spacing w:line="240" w:lineRule="auto"/>
              <w:jc w:val="center"/>
              <w:rPr>
                <w:rFonts w:cs="Arial"/>
                <w:color w:val="000000"/>
                <w:sz w:val="20"/>
              </w:rPr>
            </w:pPr>
            <w:r w:rsidRPr="00554D81">
              <w:rPr>
                <w:rFonts w:cs="Arial"/>
                <w:color w:val="000000"/>
                <w:sz w:val="20"/>
              </w:rPr>
              <w:t xml:space="preserve">P ≤ 0,008 </w:t>
            </w:r>
          </w:p>
        </w:tc>
        <w:tc>
          <w:tcPr>
            <w:tcW w:w="1843" w:type="dxa"/>
            <w:tcBorders>
              <w:top w:val="nil"/>
              <w:left w:val="nil"/>
              <w:bottom w:val="single" w:sz="4" w:space="0" w:color="auto"/>
              <w:right w:val="single" w:sz="4" w:space="0" w:color="auto"/>
            </w:tcBorders>
            <w:shd w:val="clear" w:color="auto" w:fill="auto"/>
            <w:vAlign w:val="center"/>
            <w:hideMark/>
          </w:tcPr>
          <w:p w:rsidR="00554D81" w:rsidRPr="006E04E8" w:rsidRDefault="00554D81" w:rsidP="004F2320">
            <w:pPr>
              <w:spacing w:line="240" w:lineRule="auto"/>
              <w:jc w:val="center"/>
              <w:rPr>
                <w:rFonts w:cs="Arial"/>
                <w:color w:val="000000"/>
                <w:sz w:val="20"/>
              </w:rPr>
            </w:pPr>
            <w:r w:rsidRPr="00554D81">
              <w:rPr>
                <w:rFonts w:cs="Arial"/>
                <w:color w:val="000000"/>
                <w:sz w:val="20"/>
              </w:rPr>
              <w:t>Ultraoligotrófico</w:t>
            </w:r>
          </w:p>
        </w:tc>
        <w:tc>
          <w:tcPr>
            <w:tcW w:w="5941" w:type="dxa"/>
            <w:tcBorders>
              <w:top w:val="nil"/>
              <w:left w:val="nil"/>
              <w:bottom w:val="single" w:sz="4" w:space="0" w:color="auto"/>
              <w:right w:val="single" w:sz="4" w:space="0" w:color="auto"/>
            </w:tcBorders>
            <w:shd w:val="clear" w:color="000000" w:fill="FFFFFF"/>
            <w:vAlign w:val="center"/>
            <w:hideMark/>
          </w:tcPr>
          <w:p w:rsidR="00554D81" w:rsidRPr="006E04E8" w:rsidRDefault="00554D81" w:rsidP="004F2320">
            <w:pPr>
              <w:spacing w:line="240" w:lineRule="auto"/>
              <w:jc w:val="left"/>
              <w:rPr>
                <w:rFonts w:cs="Arial"/>
                <w:color w:val="000000"/>
                <w:sz w:val="20"/>
              </w:rPr>
            </w:pPr>
            <w:r w:rsidRPr="00554D81">
              <w:rPr>
                <w:rFonts w:cs="Arial"/>
                <w:color w:val="000000"/>
                <w:sz w:val="20"/>
              </w:rPr>
              <w:t>Corpos d’água de produtividade muito baixa e concentrações insignificantes de nutrientes que não acarretam prejuízos aos usos da água.</w:t>
            </w:r>
          </w:p>
        </w:tc>
      </w:tr>
      <w:tr w:rsidR="00554D81" w:rsidRPr="00554D81" w:rsidTr="004F2320">
        <w:trPr>
          <w:trHeight w:val="615"/>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554D81" w:rsidRPr="006E04E8" w:rsidRDefault="00554D81" w:rsidP="004F2320">
            <w:pPr>
              <w:spacing w:line="240" w:lineRule="auto"/>
              <w:jc w:val="center"/>
              <w:rPr>
                <w:rFonts w:cs="Arial"/>
                <w:color w:val="000000"/>
                <w:sz w:val="20"/>
              </w:rPr>
            </w:pPr>
            <w:r w:rsidRPr="00554D81">
              <w:rPr>
                <w:rFonts w:cs="Arial"/>
                <w:color w:val="000000"/>
                <w:sz w:val="20"/>
              </w:rPr>
              <w:t xml:space="preserve"> 0,008 &lt; P ≤ 0,019</w:t>
            </w:r>
          </w:p>
        </w:tc>
        <w:tc>
          <w:tcPr>
            <w:tcW w:w="1843" w:type="dxa"/>
            <w:tcBorders>
              <w:top w:val="nil"/>
              <w:left w:val="nil"/>
              <w:bottom w:val="single" w:sz="4" w:space="0" w:color="auto"/>
              <w:right w:val="single" w:sz="4" w:space="0" w:color="auto"/>
            </w:tcBorders>
            <w:shd w:val="clear" w:color="auto" w:fill="auto"/>
            <w:vAlign w:val="center"/>
            <w:hideMark/>
          </w:tcPr>
          <w:p w:rsidR="00554D81" w:rsidRPr="006E04E8" w:rsidRDefault="00554D81" w:rsidP="004F2320">
            <w:pPr>
              <w:spacing w:line="240" w:lineRule="auto"/>
              <w:jc w:val="center"/>
              <w:rPr>
                <w:rFonts w:cs="Arial"/>
                <w:color w:val="000000"/>
                <w:sz w:val="20"/>
              </w:rPr>
            </w:pPr>
            <w:r w:rsidRPr="00554D81">
              <w:rPr>
                <w:rFonts w:cs="Arial"/>
                <w:color w:val="000000"/>
                <w:sz w:val="20"/>
              </w:rPr>
              <w:t>Oligotrófico</w:t>
            </w:r>
          </w:p>
        </w:tc>
        <w:tc>
          <w:tcPr>
            <w:tcW w:w="5941" w:type="dxa"/>
            <w:tcBorders>
              <w:top w:val="nil"/>
              <w:left w:val="nil"/>
              <w:bottom w:val="single" w:sz="4" w:space="0" w:color="auto"/>
              <w:right w:val="single" w:sz="4" w:space="0" w:color="auto"/>
            </w:tcBorders>
            <w:shd w:val="clear" w:color="000000" w:fill="FFFFFF"/>
            <w:vAlign w:val="center"/>
            <w:hideMark/>
          </w:tcPr>
          <w:p w:rsidR="00554D81" w:rsidRPr="006E04E8" w:rsidRDefault="00554D81" w:rsidP="004F2320">
            <w:pPr>
              <w:spacing w:line="240" w:lineRule="auto"/>
              <w:jc w:val="left"/>
              <w:rPr>
                <w:rFonts w:cs="Arial"/>
                <w:color w:val="000000"/>
                <w:sz w:val="20"/>
              </w:rPr>
            </w:pPr>
            <w:r w:rsidRPr="00554D81">
              <w:rPr>
                <w:rFonts w:cs="Arial"/>
                <w:color w:val="000000"/>
                <w:sz w:val="20"/>
              </w:rPr>
              <w:t>Corpos d’água limpos, de baixa produtividade, nos quais não há interferências indesejáveis sobre os usos da água, decorrentes da presença de nutrientes.</w:t>
            </w:r>
          </w:p>
        </w:tc>
      </w:tr>
      <w:tr w:rsidR="00554D81" w:rsidRPr="00554D81" w:rsidTr="004F2320">
        <w:trPr>
          <w:trHeight w:val="615"/>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554D81" w:rsidRPr="006E04E8" w:rsidRDefault="00554D81" w:rsidP="004F2320">
            <w:pPr>
              <w:spacing w:line="240" w:lineRule="auto"/>
              <w:jc w:val="center"/>
              <w:rPr>
                <w:rFonts w:cs="Arial"/>
                <w:color w:val="000000"/>
                <w:sz w:val="20"/>
              </w:rPr>
            </w:pPr>
            <w:r w:rsidRPr="00554D81">
              <w:rPr>
                <w:rFonts w:cs="Arial"/>
                <w:color w:val="000000"/>
                <w:sz w:val="20"/>
              </w:rPr>
              <w:t xml:space="preserve"> 0,019 &lt; P ≤ 0,052</w:t>
            </w:r>
          </w:p>
        </w:tc>
        <w:tc>
          <w:tcPr>
            <w:tcW w:w="1843" w:type="dxa"/>
            <w:tcBorders>
              <w:top w:val="nil"/>
              <w:left w:val="nil"/>
              <w:bottom w:val="single" w:sz="4" w:space="0" w:color="auto"/>
              <w:right w:val="single" w:sz="4" w:space="0" w:color="auto"/>
            </w:tcBorders>
            <w:shd w:val="clear" w:color="auto" w:fill="auto"/>
            <w:vAlign w:val="center"/>
            <w:hideMark/>
          </w:tcPr>
          <w:p w:rsidR="00554D81" w:rsidRPr="006E04E8" w:rsidRDefault="00554D81" w:rsidP="004F2320">
            <w:pPr>
              <w:spacing w:line="240" w:lineRule="auto"/>
              <w:jc w:val="center"/>
              <w:rPr>
                <w:rFonts w:cs="Arial"/>
                <w:color w:val="000000"/>
                <w:sz w:val="20"/>
              </w:rPr>
            </w:pPr>
            <w:r w:rsidRPr="00554D81">
              <w:rPr>
                <w:rFonts w:cs="Arial"/>
                <w:color w:val="000000"/>
                <w:sz w:val="20"/>
              </w:rPr>
              <w:t>Mesotrófico</w:t>
            </w:r>
          </w:p>
        </w:tc>
        <w:tc>
          <w:tcPr>
            <w:tcW w:w="5941" w:type="dxa"/>
            <w:tcBorders>
              <w:top w:val="nil"/>
              <w:left w:val="nil"/>
              <w:bottom w:val="single" w:sz="4" w:space="0" w:color="auto"/>
              <w:right w:val="single" w:sz="4" w:space="0" w:color="auto"/>
            </w:tcBorders>
            <w:shd w:val="clear" w:color="000000" w:fill="FFFFFF"/>
            <w:vAlign w:val="center"/>
            <w:hideMark/>
          </w:tcPr>
          <w:p w:rsidR="00554D81" w:rsidRPr="006E04E8" w:rsidRDefault="00554D81" w:rsidP="004F2320">
            <w:pPr>
              <w:spacing w:line="240" w:lineRule="auto"/>
              <w:jc w:val="left"/>
              <w:rPr>
                <w:rFonts w:cs="Arial"/>
                <w:color w:val="000000"/>
                <w:sz w:val="20"/>
              </w:rPr>
            </w:pPr>
            <w:r w:rsidRPr="00554D81">
              <w:rPr>
                <w:rFonts w:cs="Arial"/>
                <w:color w:val="000000"/>
                <w:sz w:val="20"/>
              </w:rPr>
              <w:t>Corpos d’água com produtividade intermediária, com possíveis implicações sobre a qualidade da água, mas em níveis aceitáveis, na maioria dos casos.</w:t>
            </w:r>
          </w:p>
        </w:tc>
      </w:tr>
      <w:tr w:rsidR="00554D81" w:rsidRPr="00554D81" w:rsidTr="004F2320">
        <w:trPr>
          <w:trHeight w:val="615"/>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554D81" w:rsidRPr="006E04E8" w:rsidRDefault="00554D81" w:rsidP="004F2320">
            <w:pPr>
              <w:spacing w:line="240" w:lineRule="auto"/>
              <w:jc w:val="center"/>
              <w:rPr>
                <w:rFonts w:cs="Arial"/>
                <w:color w:val="000000"/>
                <w:sz w:val="20"/>
              </w:rPr>
            </w:pPr>
            <w:r w:rsidRPr="00554D81">
              <w:rPr>
                <w:rFonts w:cs="Arial"/>
                <w:color w:val="000000"/>
                <w:sz w:val="20"/>
              </w:rPr>
              <w:t xml:space="preserve"> 0,052 &lt; P ≤ 0,120</w:t>
            </w:r>
          </w:p>
        </w:tc>
        <w:tc>
          <w:tcPr>
            <w:tcW w:w="1843" w:type="dxa"/>
            <w:tcBorders>
              <w:top w:val="nil"/>
              <w:left w:val="nil"/>
              <w:bottom w:val="single" w:sz="4" w:space="0" w:color="auto"/>
              <w:right w:val="single" w:sz="4" w:space="0" w:color="auto"/>
            </w:tcBorders>
            <w:shd w:val="clear" w:color="auto" w:fill="auto"/>
            <w:vAlign w:val="center"/>
            <w:hideMark/>
          </w:tcPr>
          <w:p w:rsidR="00554D81" w:rsidRPr="006E04E8" w:rsidRDefault="00554D81" w:rsidP="004F2320">
            <w:pPr>
              <w:spacing w:line="240" w:lineRule="auto"/>
              <w:jc w:val="center"/>
              <w:rPr>
                <w:rFonts w:cs="Arial"/>
                <w:color w:val="000000"/>
                <w:sz w:val="20"/>
              </w:rPr>
            </w:pPr>
            <w:r w:rsidRPr="00554D81">
              <w:rPr>
                <w:rFonts w:cs="Arial"/>
                <w:color w:val="000000"/>
                <w:sz w:val="20"/>
              </w:rPr>
              <w:t>Eutrófico</w:t>
            </w:r>
          </w:p>
        </w:tc>
        <w:tc>
          <w:tcPr>
            <w:tcW w:w="5941" w:type="dxa"/>
            <w:tcBorders>
              <w:top w:val="nil"/>
              <w:left w:val="nil"/>
              <w:bottom w:val="single" w:sz="4" w:space="0" w:color="auto"/>
              <w:right w:val="single" w:sz="4" w:space="0" w:color="auto"/>
            </w:tcBorders>
            <w:shd w:val="clear" w:color="000000" w:fill="FFFFFF"/>
            <w:vAlign w:val="center"/>
            <w:hideMark/>
          </w:tcPr>
          <w:p w:rsidR="00554D81" w:rsidRPr="006E04E8" w:rsidRDefault="00554D81" w:rsidP="004F2320">
            <w:pPr>
              <w:spacing w:line="240" w:lineRule="auto"/>
              <w:jc w:val="left"/>
              <w:rPr>
                <w:rFonts w:cs="Arial"/>
                <w:color w:val="000000"/>
                <w:sz w:val="20"/>
              </w:rPr>
            </w:pPr>
            <w:r w:rsidRPr="00554D81">
              <w:rPr>
                <w:rFonts w:cs="Arial"/>
                <w:color w:val="000000"/>
                <w:sz w:val="20"/>
              </w:rPr>
              <w:t>Corpos d’água com alta produtividade em relação às condições naturais, o que implica em alteração indesejável na qualidade da água e interferências nos seus múltiplos usos.</w:t>
            </w:r>
          </w:p>
        </w:tc>
      </w:tr>
      <w:tr w:rsidR="00554D81" w:rsidRPr="00554D81" w:rsidTr="004F2320">
        <w:trPr>
          <w:trHeight w:val="615"/>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554D81" w:rsidRPr="006E04E8" w:rsidRDefault="00554D81" w:rsidP="004F2320">
            <w:pPr>
              <w:spacing w:line="240" w:lineRule="auto"/>
              <w:jc w:val="center"/>
              <w:rPr>
                <w:rFonts w:cs="Arial"/>
                <w:color w:val="000000"/>
                <w:sz w:val="20"/>
              </w:rPr>
            </w:pPr>
            <w:r w:rsidRPr="00554D81">
              <w:rPr>
                <w:rFonts w:cs="Arial"/>
                <w:color w:val="000000"/>
                <w:sz w:val="20"/>
              </w:rPr>
              <w:t>0,120 &lt; P ≤ 0,233</w:t>
            </w:r>
          </w:p>
        </w:tc>
        <w:tc>
          <w:tcPr>
            <w:tcW w:w="1843" w:type="dxa"/>
            <w:tcBorders>
              <w:top w:val="nil"/>
              <w:left w:val="nil"/>
              <w:bottom w:val="single" w:sz="4" w:space="0" w:color="auto"/>
              <w:right w:val="single" w:sz="4" w:space="0" w:color="auto"/>
            </w:tcBorders>
            <w:shd w:val="clear" w:color="auto" w:fill="auto"/>
            <w:vAlign w:val="center"/>
            <w:hideMark/>
          </w:tcPr>
          <w:p w:rsidR="00554D81" w:rsidRPr="006E04E8" w:rsidRDefault="00554D81" w:rsidP="004F2320">
            <w:pPr>
              <w:spacing w:line="240" w:lineRule="auto"/>
              <w:jc w:val="center"/>
              <w:rPr>
                <w:rFonts w:cs="Arial"/>
                <w:color w:val="000000"/>
                <w:sz w:val="20"/>
              </w:rPr>
            </w:pPr>
            <w:r w:rsidRPr="00554D81">
              <w:rPr>
                <w:rFonts w:cs="Arial"/>
                <w:color w:val="000000"/>
                <w:sz w:val="20"/>
              </w:rPr>
              <w:t>Supereutrófico </w:t>
            </w:r>
          </w:p>
        </w:tc>
        <w:tc>
          <w:tcPr>
            <w:tcW w:w="5941" w:type="dxa"/>
            <w:tcBorders>
              <w:top w:val="nil"/>
              <w:left w:val="nil"/>
              <w:bottom w:val="single" w:sz="4" w:space="0" w:color="auto"/>
              <w:right w:val="single" w:sz="4" w:space="0" w:color="auto"/>
            </w:tcBorders>
            <w:shd w:val="clear" w:color="000000" w:fill="FFFFFF"/>
            <w:vAlign w:val="center"/>
            <w:hideMark/>
          </w:tcPr>
          <w:p w:rsidR="00554D81" w:rsidRPr="006E04E8" w:rsidRDefault="00554D81" w:rsidP="004F2320">
            <w:pPr>
              <w:spacing w:line="240" w:lineRule="auto"/>
              <w:jc w:val="left"/>
              <w:rPr>
                <w:rFonts w:cs="Arial"/>
                <w:color w:val="000000"/>
                <w:sz w:val="20"/>
              </w:rPr>
            </w:pPr>
            <w:r w:rsidRPr="00554D81">
              <w:rPr>
                <w:rFonts w:cs="Arial"/>
                <w:color w:val="000000"/>
                <w:sz w:val="20"/>
              </w:rPr>
              <w:t xml:space="preserve">Corpos d’água com alta produtividade em relação às condições naturais, de baixa transparência, em geral afetados por atividades antrópicas, nos quais ocorrem com frequência alterações indesejáveis na qualidade da água, como a ocorrência de episódios </w:t>
            </w:r>
            <w:r w:rsidR="00504078">
              <w:rPr>
                <w:rFonts w:cs="Arial"/>
                <w:color w:val="000000"/>
                <w:sz w:val="20"/>
              </w:rPr>
              <w:t xml:space="preserve">de </w:t>
            </w:r>
            <w:r w:rsidRPr="00554D81">
              <w:rPr>
                <w:rFonts w:cs="Arial"/>
                <w:color w:val="000000"/>
                <w:sz w:val="20"/>
              </w:rPr>
              <w:t>florações de algas e interferências nos seus múltiplos usos.</w:t>
            </w:r>
          </w:p>
        </w:tc>
      </w:tr>
    </w:tbl>
    <w:p w:rsidR="00627FA2" w:rsidRPr="00627FA2" w:rsidRDefault="00627FA2" w:rsidP="00554D81">
      <w:pPr>
        <w:tabs>
          <w:tab w:val="left" w:pos="0"/>
        </w:tabs>
        <w:spacing w:after="120" w:line="240" w:lineRule="auto"/>
        <w:rPr>
          <w:sz w:val="16"/>
          <w:szCs w:val="16"/>
        </w:rPr>
      </w:pPr>
      <w:r w:rsidRPr="00627FA2">
        <w:rPr>
          <w:sz w:val="16"/>
          <w:szCs w:val="16"/>
        </w:rPr>
        <w:t xml:space="preserve">Fonte: </w:t>
      </w:r>
      <w:r w:rsidR="00504078">
        <w:rPr>
          <w:sz w:val="16"/>
          <w:szCs w:val="16"/>
        </w:rPr>
        <w:t>CETESB</w:t>
      </w:r>
      <w:r w:rsidRPr="00627FA2">
        <w:rPr>
          <w:sz w:val="16"/>
          <w:szCs w:val="16"/>
        </w:rPr>
        <w:t xml:space="preserve"> (2014).</w:t>
      </w:r>
    </w:p>
    <w:p w:rsidR="00554D81" w:rsidRDefault="00554D81" w:rsidP="00554D81">
      <w:pPr>
        <w:spacing w:line="240" w:lineRule="auto"/>
        <w:rPr>
          <w:szCs w:val="22"/>
        </w:rPr>
      </w:pPr>
      <w:r w:rsidRPr="00554D81">
        <w:rPr>
          <w:szCs w:val="22"/>
        </w:rPr>
        <w:t xml:space="preserve">As simulações demonstram que, na etapa de enchimento, as principais alterações na qualidade da água serão registradas nos braços contribuintes - córregos do Caracol (Seg-13) e sem denominação (Seg-06), resultando em condições Mesotrófica e Eutrófica, respectivamente. No corpo central, deverá prevalecer um ambiente Mesotrófico.  </w:t>
      </w:r>
    </w:p>
    <w:p w:rsidR="00554D81" w:rsidRPr="00554D81" w:rsidRDefault="00554D81" w:rsidP="00554D81">
      <w:pPr>
        <w:spacing w:line="240" w:lineRule="auto"/>
        <w:rPr>
          <w:szCs w:val="22"/>
        </w:rPr>
      </w:pPr>
    </w:p>
    <w:p w:rsidR="00554D81" w:rsidRDefault="00554D81" w:rsidP="00554D81">
      <w:pPr>
        <w:spacing w:line="240" w:lineRule="auto"/>
        <w:rPr>
          <w:szCs w:val="22"/>
        </w:rPr>
      </w:pPr>
      <w:r w:rsidRPr="00554D81">
        <w:rPr>
          <w:szCs w:val="22"/>
        </w:rPr>
        <w:t>Cabe destacar que as interferências previstas na etapa de enchimento poderão se propagar a jusante do reservatório projetado, porém, o potencial de autodepuração no trecho lótico do rio Jaguari não deverá comprometer a qualidade da água na captação para abastecimento público de Pedreira, que será objeto de avaliação na etapa de monitoramento ambiental.</w:t>
      </w:r>
    </w:p>
    <w:p w:rsidR="00627FA2" w:rsidRPr="00C64127" w:rsidRDefault="00627FA2" w:rsidP="00C64127">
      <w:pPr>
        <w:pStyle w:val="Item-Trainho"/>
        <w:rPr>
          <w:b/>
        </w:rPr>
      </w:pPr>
      <w:r w:rsidRPr="00C64127">
        <w:rPr>
          <w:b/>
        </w:rPr>
        <w:t>Barragem Duas Pontes</w:t>
      </w:r>
    </w:p>
    <w:p w:rsidR="00627FA2" w:rsidRDefault="00627FA2" w:rsidP="00D16410">
      <w:pPr>
        <w:spacing w:before="120" w:line="240" w:lineRule="auto"/>
      </w:pPr>
      <w:r w:rsidRPr="00601292">
        <w:t xml:space="preserve">Na Figura </w:t>
      </w:r>
      <w:r w:rsidR="00B11E51" w:rsidRPr="00601292">
        <w:t>1.3.</w:t>
      </w:r>
      <w:r w:rsidRPr="00601292">
        <w:t>2 é apresentado o esquema de compartimentação do reservatório da Barragem</w:t>
      </w:r>
      <w:r w:rsidRPr="00627FA2">
        <w:t xml:space="preserve"> Duas Pontes obtida no processo da modelagem.</w:t>
      </w:r>
    </w:p>
    <w:p w:rsidR="00E82C7F" w:rsidRDefault="00E82C7F" w:rsidP="00D16410">
      <w:pPr>
        <w:spacing w:before="120" w:line="240" w:lineRule="auto"/>
      </w:pPr>
    </w:p>
    <w:p w:rsidR="00627FA2" w:rsidRPr="00627FA2" w:rsidRDefault="00490734" w:rsidP="00627FA2">
      <w:pPr>
        <w:spacing w:before="120" w:after="120" w:line="240" w:lineRule="auto"/>
      </w:pPr>
      <w:r>
        <w:rPr>
          <w:noProof/>
        </w:rPr>
        <w:drawing>
          <wp:anchor distT="0" distB="0" distL="114300" distR="114300" simplePos="0" relativeHeight="251661312" behindDoc="0" locked="0" layoutInCell="1" allowOverlap="1" wp14:anchorId="290B2F93" wp14:editId="2D2CEBB3">
            <wp:simplePos x="0" y="0"/>
            <wp:positionH relativeFrom="column">
              <wp:posOffset>100965</wp:posOffset>
            </wp:positionH>
            <wp:positionV relativeFrom="paragraph">
              <wp:posOffset>98425</wp:posOffset>
            </wp:positionV>
            <wp:extent cx="5779067" cy="3486150"/>
            <wp:effectExtent l="0" t="0" r="0" b="0"/>
            <wp:wrapNone/>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7" cstate="print"/>
                    <a:srcRect/>
                    <a:stretch>
                      <a:fillRect/>
                    </a:stretch>
                  </pic:blipFill>
                  <pic:spPr bwMode="auto">
                    <a:xfrm>
                      <a:off x="0" y="0"/>
                      <a:ext cx="5783408" cy="3488769"/>
                    </a:xfrm>
                    <a:prstGeom prst="rect">
                      <a:avLst/>
                    </a:prstGeom>
                    <a:noFill/>
                    <a:ln w="9525">
                      <a:noFill/>
                      <a:miter lim="800000"/>
                      <a:headEnd/>
                      <a:tailEnd/>
                    </a:ln>
                  </pic:spPr>
                </pic:pic>
              </a:graphicData>
            </a:graphic>
          </wp:anchor>
        </w:drawing>
      </w:r>
    </w:p>
    <w:p w:rsidR="00627FA2" w:rsidRPr="00627FA2" w:rsidRDefault="00627FA2" w:rsidP="00627FA2">
      <w:pPr>
        <w:spacing w:before="120" w:after="120" w:line="240" w:lineRule="auto"/>
      </w:pPr>
    </w:p>
    <w:p w:rsidR="00627FA2" w:rsidRPr="00627FA2" w:rsidRDefault="00627FA2" w:rsidP="00627FA2">
      <w:pPr>
        <w:spacing w:before="120" w:after="120" w:line="240" w:lineRule="auto"/>
      </w:pPr>
    </w:p>
    <w:p w:rsidR="00627FA2" w:rsidRPr="00627FA2" w:rsidRDefault="00627FA2" w:rsidP="00627FA2">
      <w:pPr>
        <w:spacing w:before="120" w:after="120" w:line="240" w:lineRule="auto"/>
      </w:pPr>
    </w:p>
    <w:p w:rsidR="00627FA2" w:rsidRPr="00627FA2" w:rsidRDefault="00627FA2" w:rsidP="00627FA2">
      <w:pPr>
        <w:spacing w:before="120" w:after="120" w:line="240" w:lineRule="auto"/>
      </w:pPr>
    </w:p>
    <w:p w:rsidR="00627FA2" w:rsidRPr="00627FA2" w:rsidRDefault="00627FA2" w:rsidP="00627FA2">
      <w:pPr>
        <w:spacing w:before="120" w:after="120" w:line="240" w:lineRule="auto"/>
      </w:pPr>
    </w:p>
    <w:p w:rsidR="00627FA2" w:rsidRPr="00627FA2" w:rsidRDefault="00627FA2" w:rsidP="00627FA2">
      <w:pPr>
        <w:spacing w:before="120" w:after="120" w:line="240" w:lineRule="auto"/>
      </w:pPr>
    </w:p>
    <w:p w:rsidR="00627FA2" w:rsidRPr="00627FA2" w:rsidRDefault="00627FA2" w:rsidP="00627FA2">
      <w:pPr>
        <w:spacing w:before="120" w:after="120" w:line="240" w:lineRule="auto"/>
      </w:pPr>
    </w:p>
    <w:p w:rsidR="00627FA2" w:rsidRPr="00627FA2" w:rsidRDefault="00627FA2" w:rsidP="00627FA2">
      <w:pPr>
        <w:spacing w:before="120" w:after="120" w:line="240" w:lineRule="auto"/>
      </w:pPr>
    </w:p>
    <w:p w:rsidR="00627FA2" w:rsidRDefault="00627FA2" w:rsidP="00627FA2">
      <w:pPr>
        <w:spacing w:before="120" w:after="120" w:line="240" w:lineRule="auto"/>
      </w:pPr>
    </w:p>
    <w:p w:rsidR="00C53E66" w:rsidRDefault="00C53E66" w:rsidP="00627FA2">
      <w:pPr>
        <w:spacing w:before="120" w:after="120" w:line="240" w:lineRule="auto"/>
      </w:pPr>
    </w:p>
    <w:p w:rsidR="00490734" w:rsidRDefault="00490734" w:rsidP="00627FA2">
      <w:pPr>
        <w:spacing w:before="120" w:after="120" w:line="240" w:lineRule="auto"/>
      </w:pPr>
    </w:p>
    <w:p w:rsidR="00490734" w:rsidRDefault="00490734" w:rsidP="00627FA2">
      <w:pPr>
        <w:spacing w:before="120" w:after="120" w:line="240" w:lineRule="auto"/>
      </w:pPr>
    </w:p>
    <w:p w:rsidR="00C64127" w:rsidRDefault="00C64127" w:rsidP="00627FA2">
      <w:pPr>
        <w:spacing w:before="120" w:after="120" w:line="240" w:lineRule="auto"/>
      </w:pPr>
    </w:p>
    <w:p w:rsidR="00C64127" w:rsidRDefault="00C64127" w:rsidP="00627FA2">
      <w:pPr>
        <w:spacing w:before="120" w:after="120" w:line="240" w:lineRule="auto"/>
      </w:pPr>
    </w:p>
    <w:p w:rsidR="00627FA2" w:rsidRPr="00601292" w:rsidRDefault="00601292" w:rsidP="00601292">
      <w:pPr>
        <w:pStyle w:val="Legenda"/>
        <w:jc w:val="center"/>
        <w:rPr>
          <w:b w:val="0"/>
          <w:i w:val="0"/>
        </w:rPr>
      </w:pPr>
      <w:bookmarkStart w:id="181" w:name="_Toc420332063"/>
      <w:r w:rsidRPr="00601292">
        <w:rPr>
          <w:i w:val="0"/>
        </w:rPr>
        <w:t>Figura 1.3.</w:t>
      </w:r>
      <w:r w:rsidR="00B80A05" w:rsidRPr="00601292">
        <w:rPr>
          <w:i w:val="0"/>
        </w:rPr>
        <w:fldChar w:fldCharType="begin"/>
      </w:r>
      <w:r w:rsidRPr="00601292">
        <w:rPr>
          <w:i w:val="0"/>
        </w:rPr>
        <w:instrText xml:space="preserve"> SEQ Figura_1.3. \* ARABIC </w:instrText>
      </w:r>
      <w:r w:rsidR="00B80A05" w:rsidRPr="00601292">
        <w:rPr>
          <w:i w:val="0"/>
        </w:rPr>
        <w:fldChar w:fldCharType="separate"/>
      </w:r>
      <w:r w:rsidR="00316060">
        <w:rPr>
          <w:i w:val="0"/>
          <w:noProof/>
        </w:rPr>
        <w:t>2</w:t>
      </w:r>
      <w:r w:rsidR="00B80A05" w:rsidRPr="00601292">
        <w:rPr>
          <w:i w:val="0"/>
        </w:rPr>
        <w:fldChar w:fldCharType="end"/>
      </w:r>
      <w:r w:rsidRPr="00601292">
        <w:rPr>
          <w:i w:val="0"/>
        </w:rPr>
        <w:t>.</w:t>
      </w:r>
      <w:r w:rsidRPr="00601292">
        <w:rPr>
          <w:b w:val="0"/>
          <w:i w:val="0"/>
        </w:rPr>
        <w:t xml:space="preserve"> - </w:t>
      </w:r>
      <w:r w:rsidR="00627FA2" w:rsidRPr="00601292">
        <w:rPr>
          <w:b w:val="0"/>
          <w:i w:val="0"/>
        </w:rPr>
        <w:t>Esquema de Compartimentação do Reservatório da Barragem Duas Pontes.</w:t>
      </w:r>
      <w:bookmarkEnd w:id="181"/>
    </w:p>
    <w:p w:rsidR="00554D81" w:rsidRPr="00554D81" w:rsidRDefault="00554D81" w:rsidP="00554D81">
      <w:pPr>
        <w:spacing w:before="120" w:after="120" w:line="240" w:lineRule="auto"/>
        <w:jc w:val="left"/>
      </w:pPr>
      <w:r w:rsidRPr="00554D81">
        <w:t>Para a Barragem Duas Pontes, a etapa de enchimento do reservatório terá duração de 86 dias até atingir a cota do nível d’água máximo normal (646 m). Conforme apresentado no Volume II Tomo 1 – Parte 1 Capítulo 4</w:t>
      </w:r>
      <w:r>
        <w:t xml:space="preserve">, </w:t>
      </w:r>
      <w:r w:rsidRPr="00554D81">
        <w:t>antes do enchimento da Barragem Duas Pontes, deverá ser realizada a retirada da vegetação de uma área de 339,8 ha, que corresponde a 79,3% do total ocupado pela vegetação inundável, haja vista que nem toda a extensão abrangida pelo reservatório é passível de remoção da fitomassa.</w:t>
      </w:r>
    </w:p>
    <w:p w:rsidR="00554D81" w:rsidRPr="00554D81" w:rsidRDefault="00554D81" w:rsidP="00554D81">
      <w:pPr>
        <w:spacing w:before="120" w:after="120" w:line="240" w:lineRule="auto"/>
      </w:pPr>
      <w:r w:rsidRPr="00554D81">
        <w:t>Considerando a adoção de ações preventivas de desmatamento do reservatório, as simulações realizadas apontam que os níveis de oxigênio dissolvido se manterão inferiores a 5 mg/L, no corpo central, com redução nos segmentos mais próximos ao eixo da barragem (Seg-09 e Seg-12). Nos braços tributários, são esperados déficits mais acentuados de oxigênio dissolvido, com valores inferiores a 3 mg/L, na maioria dos segmentos, porém sem atingir anoxia. Condições mais satisfatórias serão verificadas no trecho do rio Camanducaia a montante, próximo à sede urbana de Amparo (Seg-06) e no córrego da Boa Vista (Seg-10), com teores de OD superiores a 5 mg/L na etapa inicial do enchimento.</w:t>
      </w:r>
    </w:p>
    <w:p w:rsidR="00554D81" w:rsidRPr="00554D81" w:rsidRDefault="00554D81" w:rsidP="00554D81">
      <w:pPr>
        <w:spacing w:before="120" w:after="120" w:line="240" w:lineRule="auto"/>
      </w:pPr>
      <w:r w:rsidRPr="00554D81">
        <w:t xml:space="preserve">O aumento da profundidade da coluna d’água e a extinção de trechos de corredeira irão interferir na introdução de oxigênio dissolvido no sistema aquático, reduzindo a capacidade de autodepuração das cargas orgânicas, provenientes principalmente da zona urbana de Amparo, o que poderá elevar o desprendimento de gás sulfídrico. No entanto, a turbulência das águas a jusante da barragem irá novamente estabelecer condições favoráveis para a introdução de oxigênio no ambiente aquático. </w:t>
      </w:r>
    </w:p>
    <w:p w:rsidR="00554D81" w:rsidRPr="00554D81" w:rsidRDefault="00554D81" w:rsidP="00554D81">
      <w:pPr>
        <w:spacing w:before="120" w:after="120" w:line="240" w:lineRule="auto"/>
      </w:pPr>
      <w:r w:rsidRPr="00554D81">
        <w:t xml:space="preserve">Conforme citado, em condições anóxicas, alguns metais como ferro e manganês são mobilizados dos sedimentos e permanecem dissolvidos na coluna d’água, enquanto que outros metais, como cádmio, cobre, zinco e cromo, podem ser removidos da coluna d’água por precipitação na forma de sulfetos ou por outro tipo de redução, tornando-se insolúveis (CHAPMAN </w:t>
      </w:r>
      <w:r w:rsidRPr="00554D81">
        <w:rPr>
          <w:i/>
        </w:rPr>
        <w:t>et al</w:t>
      </w:r>
      <w:r w:rsidRPr="00554D81">
        <w:t xml:space="preserve">., 2001). </w:t>
      </w:r>
    </w:p>
    <w:p w:rsidR="00554D81" w:rsidRPr="00554D81" w:rsidRDefault="00554D81" w:rsidP="00554D81">
      <w:pPr>
        <w:spacing w:before="120" w:after="120" w:line="240" w:lineRule="auto"/>
      </w:pPr>
      <w:r w:rsidRPr="00554D81">
        <w:t xml:space="preserve">No caso de metais pesados, a toxicidade tende a ser alta quando ocorrem dissolvidos na água. Na etapa de diagnóstico ambiental, a maioria dos metais analisados nos sedimentos </w:t>
      </w:r>
      <w:r w:rsidRPr="00554D81">
        <w:lastRenderedPageBreak/>
        <w:t xml:space="preserve">apresentou consonância com o padrão estabelecido pela Resolução </w:t>
      </w:r>
      <w:r w:rsidR="00504078">
        <w:t>CONAMA</w:t>
      </w:r>
      <w:r w:rsidRPr="00554D81">
        <w:t xml:space="preserve"> 454/12. Pontualmente, foram verificadas extrapolações do nível 1 (limiar abaixo do qual se prevê baixa probabilidade de efeitos adversos à biota) para os metais cobre, níquel, zinco e cromo, obtendo-se apenas para o cromo a ultrapassagem do nível 2 (limiar acima do qual se prevê um provável efeito adverso à biota), em um dos contribuintes do rio Camanducaia. </w:t>
      </w:r>
    </w:p>
    <w:p w:rsidR="00554D81" w:rsidRPr="00554D81" w:rsidRDefault="00554D81" w:rsidP="00554D81">
      <w:pPr>
        <w:spacing w:before="120" w:after="120" w:line="240" w:lineRule="auto"/>
      </w:pPr>
      <w:r w:rsidRPr="00554D81">
        <w:t>As simulações indicam níveis de DBO mais elevados nos braços laterais, sobretudo no ribeirão do Pantaleão (Seg-03), com 16 mg/L, reduzindo para concentrações inferiores a 4 mg/L, neste mesmo curso d’água, no trecho mais próximo à confluência com o rio Camanducaia (Seg-05), e no córrego da Boa Vista (Seg-11).</w:t>
      </w:r>
    </w:p>
    <w:p w:rsidR="00554D81" w:rsidRPr="00554D81" w:rsidRDefault="00554D81" w:rsidP="00554D81">
      <w:pPr>
        <w:spacing w:before="120" w:after="120" w:line="240" w:lineRule="auto"/>
      </w:pPr>
      <w:r w:rsidRPr="00554D81">
        <w:t xml:space="preserve">Estão previstos teores de nitrato abaixo do limite máximo de 10 mg/L estabelecido pela Resolução </w:t>
      </w:r>
      <w:r w:rsidR="00504078">
        <w:t>CONAMA</w:t>
      </w:r>
      <w:r w:rsidRPr="00554D81">
        <w:t xml:space="preserve"> 357/05 no corpo central e nos braços contribuintes durante toda a fase de enchimento, atingindo picos de 2,7 mg/L, no corpo central (Seg-08), e de 1,4 mg/L, nos braços tributários (Seg-11).</w:t>
      </w:r>
    </w:p>
    <w:p w:rsidR="00554D81" w:rsidRPr="00554D81" w:rsidRDefault="00554D81" w:rsidP="00554D81">
      <w:pPr>
        <w:spacing w:before="120" w:after="120" w:line="240" w:lineRule="auto"/>
      </w:pPr>
      <w:r w:rsidRPr="00554D81">
        <w:t>Os dados apontam uma tendência de redução gradativa das concentrações de amônia, nos segmentos mais próximos à futura barragem (Seg-09 e Seg-12), com valores abaixo de 3  mg/L. Em contraste, nos trechos a montante, nas proximidades da zona urbana de Amparo (Seg-06), é esperada uma maior concentração de amônia, com máximo de 4,4 mg/L. Nos braços contribuintes, as concentrações de amônia se mantêm inferiores a 1 mg/L, durante todo o enchimento, exceto no ribeirão do Pantaleão (Seg-05), com máximo de 1,2 mg/L.</w:t>
      </w:r>
    </w:p>
    <w:p w:rsidR="00554D81" w:rsidRPr="00554D81" w:rsidRDefault="00554D81" w:rsidP="00554D81">
      <w:pPr>
        <w:spacing w:before="120" w:after="120" w:line="240" w:lineRule="auto"/>
      </w:pPr>
      <w:r w:rsidRPr="00554D81">
        <w:t xml:space="preserve">Notam-se valores de amônia compatíveis com o padrão de 3,7 mg/L estabelecido pela Resolução </w:t>
      </w:r>
      <w:r w:rsidR="00504078">
        <w:t>CONAMA</w:t>
      </w:r>
      <w:r w:rsidRPr="00554D81">
        <w:t xml:space="preserve"> 357/05 para águas doces classe 2, na maioria dos compartimentos do corpo central e tributários. </w:t>
      </w:r>
    </w:p>
    <w:p w:rsidR="00554D81" w:rsidRPr="00554D81" w:rsidRDefault="00554D81" w:rsidP="00554D81">
      <w:pPr>
        <w:spacing w:before="120" w:after="120" w:line="240" w:lineRule="auto"/>
      </w:pPr>
      <w:r w:rsidRPr="00554D81">
        <w:t xml:space="preserve">Cabe salientar que elevadas concentrações de amônia podem causar toxicidade nos organismos aquáticos. De acordo com a </w:t>
      </w:r>
      <w:r w:rsidR="00504078">
        <w:t>CETESB</w:t>
      </w:r>
      <w:r w:rsidRPr="00554D81">
        <w:t xml:space="preserve"> (2014), algumas espécies de peixes são afetadas quando os níveis deste nutriente ultrapassam 5 mg/L. Conforme indicado no dia</w:t>
      </w:r>
      <w:r>
        <w:t>gnóstico ambiental (Volume II Tomo 1 - Parte 1</w:t>
      </w:r>
      <w:r w:rsidRPr="00554D81">
        <w:t xml:space="preserve">), foram registrados episódios de toxicidade crônica com </w:t>
      </w:r>
      <w:r w:rsidRPr="00554D81">
        <w:rPr>
          <w:i/>
        </w:rPr>
        <w:t>Ceriodaphnia dubia,</w:t>
      </w:r>
      <w:r w:rsidRPr="00554D81">
        <w:t xml:space="preserve"> em dezembro de 2014, nos três pontos amostrados no rio Camanducaia, o que pode estar relacionado aos elevados teores de nitrogênio amoniacal registrados nesse período. </w:t>
      </w:r>
    </w:p>
    <w:p w:rsidR="00554D81" w:rsidRPr="00554D81" w:rsidRDefault="00554D81" w:rsidP="00554D81">
      <w:pPr>
        <w:spacing w:before="120" w:after="120" w:line="240" w:lineRule="auto"/>
      </w:pPr>
      <w:bookmarkStart w:id="182" w:name="_Toc420316459"/>
      <w:r w:rsidRPr="00554D81">
        <w:t xml:space="preserve">Para a classificação do estado trófico das águas do reservatório da Barragem Duas Pontes adotaram-se também os critérios indicados pela </w:t>
      </w:r>
      <w:r w:rsidR="00504078">
        <w:t>CETESB</w:t>
      </w:r>
      <w:r w:rsidRPr="00554D81">
        <w:t xml:space="preserve"> (2014) para fósforo total, conforme faixas de valores apresentadas </w:t>
      </w:r>
      <w:r w:rsidRPr="0041080F">
        <w:t xml:space="preserve">anteriormente no Quadro </w:t>
      </w:r>
      <w:r w:rsidR="00B80A05" w:rsidRPr="0041080F">
        <w:fldChar w:fldCharType="begin"/>
      </w:r>
      <w:r w:rsidRPr="0041080F">
        <w:instrText xml:space="preserve"> STYLEREF 2 \s </w:instrText>
      </w:r>
      <w:r w:rsidR="00B80A05" w:rsidRPr="0041080F">
        <w:fldChar w:fldCharType="separate"/>
      </w:r>
      <w:r w:rsidR="00316060">
        <w:rPr>
          <w:noProof/>
        </w:rPr>
        <w:t>1.3</w:t>
      </w:r>
      <w:r w:rsidR="00B80A05" w:rsidRPr="0041080F">
        <w:fldChar w:fldCharType="end"/>
      </w:r>
      <w:r w:rsidRPr="0041080F">
        <w:t>.</w:t>
      </w:r>
      <w:r w:rsidR="00B80A05" w:rsidRPr="0041080F">
        <w:fldChar w:fldCharType="begin"/>
      </w:r>
      <w:r w:rsidRPr="0041080F">
        <w:instrText xml:space="preserve"> SEQ Quadro \* ARABIC \s 2 </w:instrText>
      </w:r>
      <w:r w:rsidR="00B80A05" w:rsidRPr="0041080F">
        <w:fldChar w:fldCharType="separate"/>
      </w:r>
      <w:r w:rsidR="00316060">
        <w:rPr>
          <w:noProof/>
        </w:rPr>
        <w:t>16</w:t>
      </w:r>
      <w:r w:rsidR="00B80A05" w:rsidRPr="0041080F">
        <w:fldChar w:fldCharType="end"/>
      </w:r>
      <w:r w:rsidRPr="0041080F">
        <w:t>.</w:t>
      </w:r>
      <w:bookmarkEnd w:id="182"/>
    </w:p>
    <w:p w:rsidR="00554D81" w:rsidRPr="00554D81" w:rsidRDefault="00554D81" w:rsidP="00554D81">
      <w:pPr>
        <w:spacing w:before="120" w:after="120" w:line="240" w:lineRule="auto"/>
      </w:pPr>
      <w:r w:rsidRPr="00554D81">
        <w:t xml:space="preserve">No corpo central, verificam-se as maiores concentrações de fósforo nos segmentos mais próximos à sede urbana de Amparo (Seg-06 e 07), com redução nas imediações da barragem (Seg-12), com valores de 0,3 mg/L e 0,24 mg/L, respectivamente. De modo geral, as águas do trecho central do reservatório tenderão a apresentar condição Supereutrófica, durante o enchimento, na maioria dos segmentos.  </w:t>
      </w:r>
    </w:p>
    <w:p w:rsidR="00554D81" w:rsidRPr="00554D81" w:rsidRDefault="00554D81" w:rsidP="00554D81">
      <w:pPr>
        <w:spacing w:before="120" w:after="120" w:line="240" w:lineRule="auto"/>
      </w:pPr>
      <w:r w:rsidRPr="00554D81">
        <w:t xml:space="preserve">Nos braços tributários, são esperados níveis elevados de fósforo, sobretudo no córrego da Boa Vista (Seg-11) e no ribeirão do Pantaleão (Seg-05), com posterior redução gradativa deste nutriente, em todos os segmentos, durante a etapa final do enchimento, entre 0,1 mg/L e 0,2 mg/L, indicativos de um ambiente Supereutrófico.   </w:t>
      </w:r>
    </w:p>
    <w:p w:rsidR="00554D81" w:rsidRPr="00554D81" w:rsidRDefault="00554D81" w:rsidP="00554D81">
      <w:pPr>
        <w:spacing w:before="120" w:after="120" w:line="240" w:lineRule="auto"/>
      </w:pPr>
      <w:r w:rsidRPr="00554D81">
        <w:t>Vale salientar, conforme citado, que o ano de 2014 se caracterizou como um período atípico de estiagem, de forma que as simulações nesses eventos reproduzem uma condição crítica da qualidade da água. Nesse sentido, deve ser esperada uma melhoria nos cenários simulados mediante o restabelecimento das condições hidrológicas regulares para a região.</w:t>
      </w:r>
    </w:p>
    <w:p w:rsidR="00E82C7F" w:rsidRPr="00554D81" w:rsidRDefault="00D46EAE" w:rsidP="00554D81">
      <w:pPr>
        <w:spacing w:before="120" w:after="120" w:line="240" w:lineRule="auto"/>
      </w:pPr>
      <w:r w:rsidRPr="00D46EAE">
        <w:t xml:space="preserve">Destaca-se que as interferências previstas na qualidade da água estão relacionadas também ao aporte das cargas de esgotos domésticos e industriais geradas na área urbana de Amparo, situada cerca de 3 km a montante do remanso do futuro reservatório Duas Pontes, condição também detectada no âmbito do diagnóstico </w:t>
      </w:r>
      <w:r>
        <w:t>ambiental (Volume II, Tomo 1 – Parte 1)</w:t>
      </w:r>
      <w:r w:rsidRPr="00D46EAE">
        <w:t>, o que requer necessariamente a adoção de medidas de saneamento básico</w:t>
      </w:r>
      <w:r>
        <w:t>.</w:t>
      </w:r>
    </w:p>
    <w:p w:rsidR="00D46EAE" w:rsidRPr="00D46EAE" w:rsidRDefault="00D46EAE" w:rsidP="00D46EAE">
      <w:pPr>
        <w:spacing w:before="120" w:after="120" w:line="240" w:lineRule="auto"/>
      </w:pPr>
      <w:r w:rsidRPr="00D46EAE">
        <w:lastRenderedPageBreak/>
        <w:t>A alteração da qualidade das águas superficiais e dos sedimentos pela formação dos reservatórios Pedreira e Duas Pontes é um impacto negativo e direto, pois a interferência na qualidade se dará em função do enchimento dos reservatórios. Considera-se certa a ocorrência deste impacto, no curto prazo, localizado na AID e ADA. Trata-se de um impacto de caráter irreversível e permanente, persistindo durante toda a vida útil do empreendimento.</w:t>
      </w:r>
    </w:p>
    <w:p w:rsidR="00D46EAE" w:rsidRPr="00D46EAE" w:rsidRDefault="00D46EAE" w:rsidP="00D46EAE">
      <w:pPr>
        <w:spacing w:before="120" w:after="120" w:line="240" w:lineRule="auto"/>
      </w:pPr>
      <w:r w:rsidRPr="00D46EAE">
        <w:t>O impacto foi classificado como de média magnitude para a Barragem Pedreira e de grande magnitude para a Barragem Duas Pontes, levando-se em conta os resultados antevistos pela modelagem matemática para os respectivos empreendimentos.</w:t>
      </w:r>
    </w:p>
    <w:p w:rsidR="00627FA2" w:rsidRPr="00601292" w:rsidRDefault="008D3A12" w:rsidP="00601292">
      <w:pPr>
        <w:pStyle w:val="Legenda"/>
        <w:spacing w:line="240" w:lineRule="auto"/>
        <w:jc w:val="center"/>
        <w:rPr>
          <w:b w:val="0"/>
          <w:i w:val="0"/>
        </w:rPr>
      </w:pPr>
      <w:bookmarkStart w:id="183" w:name="_Toc418590178"/>
      <w:bookmarkStart w:id="184" w:name="_Toc418590644"/>
      <w:bookmarkStart w:id="185" w:name="_Toc418595704"/>
      <w:bookmarkStart w:id="186" w:name="_Toc418758215"/>
      <w:bookmarkStart w:id="187" w:name="_Toc418758817"/>
      <w:bookmarkStart w:id="188" w:name="_Toc420316460"/>
      <w:r w:rsidRPr="00601292">
        <w:rPr>
          <w:i w:val="0"/>
        </w:rPr>
        <w:t xml:space="preserve">Quadro </w:t>
      </w:r>
      <w:r w:rsidR="00B80A05" w:rsidRPr="00601292">
        <w:rPr>
          <w:i w:val="0"/>
        </w:rPr>
        <w:fldChar w:fldCharType="begin"/>
      </w:r>
      <w:r w:rsidR="00402E81" w:rsidRPr="00601292">
        <w:rPr>
          <w:i w:val="0"/>
        </w:rPr>
        <w:instrText xml:space="preserve"> STYLEREF 2 \s </w:instrText>
      </w:r>
      <w:r w:rsidR="00B80A05" w:rsidRPr="00601292">
        <w:rPr>
          <w:i w:val="0"/>
        </w:rPr>
        <w:fldChar w:fldCharType="separate"/>
      </w:r>
      <w:r w:rsidR="00316060">
        <w:rPr>
          <w:i w:val="0"/>
          <w:noProof/>
        </w:rPr>
        <w:t>1.3</w:t>
      </w:r>
      <w:r w:rsidR="00B80A05" w:rsidRPr="00601292">
        <w:rPr>
          <w:i w:val="0"/>
        </w:rPr>
        <w:fldChar w:fldCharType="end"/>
      </w:r>
      <w:r w:rsidR="00402E81" w:rsidRPr="00601292">
        <w:rPr>
          <w:i w:val="0"/>
        </w:rPr>
        <w:t>.</w:t>
      </w:r>
      <w:r w:rsidR="00B80A05" w:rsidRPr="00601292">
        <w:rPr>
          <w:i w:val="0"/>
        </w:rPr>
        <w:fldChar w:fldCharType="begin"/>
      </w:r>
      <w:r w:rsidR="00402E81" w:rsidRPr="00601292">
        <w:rPr>
          <w:i w:val="0"/>
        </w:rPr>
        <w:instrText xml:space="preserve"> SEQ Quadro \* ARABIC \s 2 </w:instrText>
      </w:r>
      <w:r w:rsidR="00B80A05" w:rsidRPr="00601292">
        <w:rPr>
          <w:i w:val="0"/>
        </w:rPr>
        <w:fldChar w:fldCharType="separate"/>
      </w:r>
      <w:r w:rsidR="00316060">
        <w:rPr>
          <w:i w:val="0"/>
          <w:noProof/>
        </w:rPr>
        <w:t>17</w:t>
      </w:r>
      <w:r w:rsidR="00B80A05" w:rsidRPr="00601292">
        <w:rPr>
          <w:i w:val="0"/>
        </w:rPr>
        <w:fldChar w:fldCharType="end"/>
      </w:r>
      <w:r w:rsidR="00601292" w:rsidRPr="00601292">
        <w:rPr>
          <w:i w:val="0"/>
        </w:rPr>
        <w:t>.</w:t>
      </w:r>
      <w:r w:rsidR="00601292" w:rsidRPr="00601292">
        <w:rPr>
          <w:b w:val="0"/>
          <w:i w:val="0"/>
        </w:rPr>
        <w:t xml:space="preserve"> - </w:t>
      </w:r>
      <w:r w:rsidR="00627FA2" w:rsidRPr="00601292">
        <w:rPr>
          <w:rFonts w:cs="Arial"/>
          <w:b w:val="0"/>
          <w:bCs/>
          <w:i w:val="0"/>
          <w:szCs w:val="22"/>
        </w:rPr>
        <w:t xml:space="preserve">Caracterização do Impacto - </w:t>
      </w:r>
      <w:r w:rsidR="00627FA2" w:rsidRPr="00601292">
        <w:rPr>
          <w:b w:val="0"/>
          <w:i w:val="0"/>
        </w:rPr>
        <w:t>Alteração na Qualidade das Águas</w:t>
      </w:r>
      <w:r w:rsidR="00627FA2" w:rsidRPr="00C64127">
        <w:t xml:space="preserve"> </w:t>
      </w:r>
      <w:r w:rsidR="00627FA2" w:rsidRPr="00E234FB">
        <w:rPr>
          <w:b w:val="0"/>
          <w:i w:val="0"/>
        </w:rPr>
        <w:t xml:space="preserve">Superficiais </w:t>
      </w:r>
      <w:r w:rsidR="00627FA2" w:rsidRPr="00601292">
        <w:rPr>
          <w:b w:val="0"/>
          <w:i w:val="0"/>
        </w:rPr>
        <w:t>e dos Sedimentos</w:t>
      </w:r>
      <w:r w:rsidR="00ED5813" w:rsidRPr="00601292">
        <w:rPr>
          <w:b w:val="0"/>
          <w:i w:val="0"/>
        </w:rPr>
        <w:t xml:space="preserve"> pela </w:t>
      </w:r>
      <w:r w:rsidR="00F2398A" w:rsidRPr="00601292">
        <w:rPr>
          <w:b w:val="0"/>
          <w:i w:val="0"/>
        </w:rPr>
        <w:t>F</w:t>
      </w:r>
      <w:r w:rsidR="00ED5813" w:rsidRPr="00601292">
        <w:rPr>
          <w:b w:val="0"/>
          <w:i w:val="0"/>
        </w:rPr>
        <w:t xml:space="preserve">ormação do </w:t>
      </w:r>
      <w:r w:rsidR="00F2398A" w:rsidRPr="00601292">
        <w:rPr>
          <w:b w:val="0"/>
          <w:i w:val="0"/>
        </w:rPr>
        <w:t>R</w:t>
      </w:r>
      <w:r w:rsidR="00ED5813" w:rsidRPr="00601292">
        <w:rPr>
          <w:b w:val="0"/>
          <w:i w:val="0"/>
        </w:rPr>
        <w:t>eservatório</w:t>
      </w:r>
      <w:r w:rsidR="00627FA2" w:rsidRPr="00601292">
        <w:rPr>
          <w:b w:val="0"/>
          <w:i w:val="0"/>
        </w:rPr>
        <w:t xml:space="preserve"> - </w:t>
      </w:r>
      <w:r w:rsidR="00627FA2" w:rsidRPr="00601292">
        <w:rPr>
          <w:rFonts w:cs="Arial"/>
          <w:b w:val="0"/>
          <w:bCs/>
          <w:i w:val="0"/>
          <w:szCs w:val="22"/>
        </w:rPr>
        <w:t>Barragem Pedreira</w:t>
      </w:r>
      <w:bookmarkEnd w:id="183"/>
      <w:bookmarkEnd w:id="184"/>
      <w:bookmarkEnd w:id="185"/>
      <w:bookmarkEnd w:id="186"/>
      <w:bookmarkEnd w:id="187"/>
      <w:bookmarkEnd w:id="18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69"/>
        <w:gridCol w:w="3547"/>
      </w:tblGrid>
      <w:tr w:rsidR="00627FA2" w:rsidRPr="00627FA2" w:rsidTr="00627FA2">
        <w:trPr>
          <w:trHeight w:val="518"/>
          <w:jc w:val="center"/>
        </w:trPr>
        <w:tc>
          <w:tcPr>
            <w:tcW w:w="645"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Natureza</w:t>
            </w:r>
          </w:p>
        </w:tc>
        <w:tc>
          <w:tcPr>
            <w:tcW w:w="5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Ordem</w:t>
            </w:r>
          </w:p>
        </w:tc>
        <w:tc>
          <w:tcPr>
            <w:tcW w:w="10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Abrangência</w:t>
            </w:r>
          </w:p>
        </w:tc>
        <w:tc>
          <w:tcPr>
            <w:tcW w:w="820"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Duração</w:t>
            </w:r>
          </w:p>
        </w:tc>
        <w:tc>
          <w:tcPr>
            <w:tcW w:w="1854"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Probabilidade de Ocorrência</w:t>
            </w:r>
          </w:p>
        </w:tc>
      </w:tr>
      <w:tr w:rsidR="00627FA2" w:rsidRPr="00627FA2" w:rsidTr="00627FA2">
        <w:trPr>
          <w:trHeight w:val="273"/>
          <w:jc w:val="center"/>
        </w:trPr>
        <w:tc>
          <w:tcPr>
            <w:tcW w:w="645"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Negativa</w:t>
            </w:r>
          </w:p>
        </w:tc>
        <w:tc>
          <w:tcPr>
            <w:tcW w:w="5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Direta</w:t>
            </w:r>
          </w:p>
        </w:tc>
        <w:tc>
          <w:tcPr>
            <w:tcW w:w="10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Local (AID/ADA)</w:t>
            </w:r>
          </w:p>
        </w:tc>
        <w:tc>
          <w:tcPr>
            <w:tcW w:w="820"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Permanente</w:t>
            </w:r>
          </w:p>
        </w:tc>
        <w:tc>
          <w:tcPr>
            <w:tcW w:w="1854"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Certa</w:t>
            </w:r>
          </w:p>
        </w:tc>
      </w:tr>
    </w:tbl>
    <w:p w:rsidR="00627FA2" w:rsidRPr="00627FA2" w:rsidRDefault="00627FA2" w:rsidP="00AF03F8">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2"/>
      </w:tblGrid>
      <w:tr w:rsidR="00627FA2" w:rsidRPr="00627FA2" w:rsidTr="00627FA2">
        <w:trPr>
          <w:trHeight w:val="397"/>
          <w:jc w:val="center"/>
        </w:trPr>
        <w:tc>
          <w:tcPr>
            <w:tcW w:w="134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Época de Ocorrência</w:t>
            </w:r>
          </w:p>
        </w:tc>
        <w:tc>
          <w:tcPr>
            <w:tcW w:w="977"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Reversibilidade</w:t>
            </w:r>
          </w:p>
        </w:tc>
        <w:tc>
          <w:tcPr>
            <w:tcW w:w="72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Magnitude</w:t>
            </w:r>
          </w:p>
        </w:tc>
        <w:tc>
          <w:tcPr>
            <w:tcW w:w="778"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Importância</w:t>
            </w:r>
          </w:p>
        </w:tc>
        <w:tc>
          <w:tcPr>
            <w:tcW w:w="118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Mitigação</w:t>
            </w:r>
          </w:p>
        </w:tc>
      </w:tr>
      <w:tr w:rsidR="00627FA2" w:rsidRPr="00627FA2" w:rsidTr="00627FA2">
        <w:trPr>
          <w:trHeight w:val="344"/>
          <w:jc w:val="center"/>
        </w:trPr>
        <w:tc>
          <w:tcPr>
            <w:tcW w:w="134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Curto Prazo</w:t>
            </w:r>
          </w:p>
        </w:tc>
        <w:tc>
          <w:tcPr>
            <w:tcW w:w="977"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Irreversível</w:t>
            </w:r>
          </w:p>
        </w:tc>
        <w:tc>
          <w:tcPr>
            <w:tcW w:w="72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Média</w:t>
            </w:r>
          </w:p>
        </w:tc>
        <w:tc>
          <w:tcPr>
            <w:tcW w:w="778"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Alta</w:t>
            </w:r>
          </w:p>
        </w:tc>
        <w:tc>
          <w:tcPr>
            <w:tcW w:w="118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Mitigável</w:t>
            </w:r>
          </w:p>
        </w:tc>
      </w:tr>
    </w:tbl>
    <w:p w:rsidR="00601292" w:rsidRDefault="00601292" w:rsidP="00601292">
      <w:pPr>
        <w:pStyle w:val="Legenda"/>
        <w:jc w:val="left"/>
      </w:pPr>
      <w:bookmarkStart w:id="189" w:name="_Toc418590179"/>
      <w:bookmarkStart w:id="190" w:name="_Toc418590645"/>
      <w:bookmarkStart w:id="191" w:name="_Toc418595705"/>
      <w:bookmarkStart w:id="192" w:name="_Toc418758216"/>
      <w:bookmarkStart w:id="193" w:name="_Toc418758818"/>
    </w:p>
    <w:p w:rsidR="00627FA2" w:rsidRPr="00601292" w:rsidRDefault="008D3A12" w:rsidP="00601292">
      <w:pPr>
        <w:pStyle w:val="Legenda"/>
        <w:spacing w:line="240" w:lineRule="auto"/>
        <w:jc w:val="center"/>
        <w:rPr>
          <w:rFonts w:cs="Arial"/>
          <w:b w:val="0"/>
          <w:bCs/>
          <w:i w:val="0"/>
          <w:szCs w:val="22"/>
        </w:rPr>
      </w:pPr>
      <w:bookmarkStart w:id="194" w:name="_Toc420316461"/>
      <w:r w:rsidRPr="00601292">
        <w:rPr>
          <w:i w:val="0"/>
        </w:rPr>
        <w:t xml:space="preserve">Quadro </w:t>
      </w:r>
      <w:r w:rsidR="00B80A05" w:rsidRPr="00601292">
        <w:rPr>
          <w:i w:val="0"/>
        </w:rPr>
        <w:fldChar w:fldCharType="begin"/>
      </w:r>
      <w:r w:rsidR="00402E81" w:rsidRPr="00601292">
        <w:rPr>
          <w:i w:val="0"/>
        </w:rPr>
        <w:instrText xml:space="preserve"> STYLEREF 2 \s </w:instrText>
      </w:r>
      <w:r w:rsidR="00B80A05" w:rsidRPr="00601292">
        <w:rPr>
          <w:i w:val="0"/>
        </w:rPr>
        <w:fldChar w:fldCharType="separate"/>
      </w:r>
      <w:r w:rsidR="00316060">
        <w:rPr>
          <w:i w:val="0"/>
          <w:noProof/>
        </w:rPr>
        <w:t>1.3</w:t>
      </w:r>
      <w:r w:rsidR="00B80A05" w:rsidRPr="00601292">
        <w:rPr>
          <w:i w:val="0"/>
        </w:rPr>
        <w:fldChar w:fldCharType="end"/>
      </w:r>
      <w:r w:rsidR="00402E81" w:rsidRPr="00601292">
        <w:rPr>
          <w:i w:val="0"/>
        </w:rPr>
        <w:t>.</w:t>
      </w:r>
      <w:r w:rsidR="00B80A05" w:rsidRPr="00601292">
        <w:rPr>
          <w:i w:val="0"/>
        </w:rPr>
        <w:fldChar w:fldCharType="begin"/>
      </w:r>
      <w:r w:rsidR="00402E81" w:rsidRPr="00601292">
        <w:rPr>
          <w:i w:val="0"/>
        </w:rPr>
        <w:instrText xml:space="preserve"> SEQ Quadro \* ARABIC \s 2 </w:instrText>
      </w:r>
      <w:r w:rsidR="00B80A05" w:rsidRPr="00601292">
        <w:rPr>
          <w:i w:val="0"/>
        </w:rPr>
        <w:fldChar w:fldCharType="separate"/>
      </w:r>
      <w:r w:rsidR="00316060">
        <w:rPr>
          <w:i w:val="0"/>
          <w:noProof/>
        </w:rPr>
        <w:t>18</w:t>
      </w:r>
      <w:r w:rsidR="00B80A05" w:rsidRPr="00601292">
        <w:rPr>
          <w:i w:val="0"/>
        </w:rPr>
        <w:fldChar w:fldCharType="end"/>
      </w:r>
      <w:r w:rsidR="00601292" w:rsidRPr="00601292">
        <w:rPr>
          <w:i w:val="0"/>
        </w:rPr>
        <w:t>.</w:t>
      </w:r>
      <w:r w:rsidR="00601292" w:rsidRPr="00601292">
        <w:rPr>
          <w:b w:val="0"/>
          <w:i w:val="0"/>
        </w:rPr>
        <w:t xml:space="preserve"> - </w:t>
      </w:r>
      <w:r w:rsidR="00627FA2" w:rsidRPr="00601292">
        <w:rPr>
          <w:rFonts w:cs="Arial"/>
          <w:b w:val="0"/>
          <w:bCs/>
          <w:i w:val="0"/>
          <w:szCs w:val="22"/>
        </w:rPr>
        <w:t xml:space="preserve">Caracterização do Impacto - </w:t>
      </w:r>
      <w:r w:rsidR="00627FA2" w:rsidRPr="00601292">
        <w:rPr>
          <w:b w:val="0"/>
          <w:i w:val="0"/>
        </w:rPr>
        <w:t>Alteração na Qualidade das Águas Superficiais e dos Sedimentos</w:t>
      </w:r>
      <w:r w:rsidR="00ED5813" w:rsidRPr="00601292">
        <w:rPr>
          <w:b w:val="0"/>
          <w:i w:val="0"/>
        </w:rPr>
        <w:t xml:space="preserve"> pela </w:t>
      </w:r>
      <w:r w:rsidR="00F2398A" w:rsidRPr="00601292">
        <w:rPr>
          <w:b w:val="0"/>
          <w:i w:val="0"/>
        </w:rPr>
        <w:t>F</w:t>
      </w:r>
      <w:r w:rsidR="00ED5813" w:rsidRPr="00601292">
        <w:rPr>
          <w:b w:val="0"/>
          <w:i w:val="0"/>
        </w:rPr>
        <w:t xml:space="preserve">ormação do </w:t>
      </w:r>
      <w:r w:rsidR="00F2398A" w:rsidRPr="00601292">
        <w:rPr>
          <w:b w:val="0"/>
          <w:i w:val="0"/>
        </w:rPr>
        <w:t>R</w:t>
      </w:r>
      <w:r w:rsidR="00ED5813" w:rsidRPr="00601292">
        <w:rPr>
          <w:b w:val="0"/>
          <w:i w:val="0"/>
        </w:rPr>
        <w:t>eservatório</w:t>
      </w:r>
      <w:r w:rsidR="00627FA2" w:rsidRPr="00601292">
        <w:rPr>
          <w:b w:val="0"/>
          <w:i w:val="0"/>
        </w:rPr>
        <w:t xml:space="preserve"> – </w:t>
      </w:r>
      <w:r w:rsidR="00627FA2" w:rsidRPr="00601292">
        <w:rPr>
          <w:rFonts w:cs="Arial"/>
          <w:b w:val="0"/>
          <w:bCs/>
          <w:i w:val="0"/>
          <w:szCs w:val="22"/>
        </w:rPr>
        <w:t>Barragem Duas Pontes</w:t>
      </w:r>
      <w:bookmarkEnd w:id="189"/>
      <w:bookmarkEnd w:id="190"/>
      <w:bookmarkEnd w:id="191"/>
      <w:bookmarkEnd w:id="192"/>
      <w:bookmarkEnd w:id="193"/>
      <w:bookmarkEnd w:id="19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69"/>
        <w:gridCol w:w="3547"/>
      </w:tblGrid>
      <w:tr w:rsidR="00627FA2" w:rsidRPr="00627FA2" w:rsidTr="00627FA2">
        <w:trPr>
          <w:trHeight w:val="518"/>
          <w:jc w:val="center"/>
        </w:trPr>
        <w:tc>
          <w:tcPr>
            <w:tcW w:w="645"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Natureza</w:t>
            </w:r>
          </w:p>
        </w:tc>
        <w:tc>
          <w:tcPr>
            <w:tcW w:w="5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Ordem</w:t>
            </w:r>
          </w:p>
        </w:tc>
        <w:tc>
          <w:tcPr>
            <w:tcW w:w="10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Abrangência</w:t>
            </w:r>
          </w:p>
        </w:tc>
        <w:tc>
          <w:tcPr>
            <w:tcW w:w="820"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Duração</w:t>
            </w:r>
          </w:p>
        </w:tc>
        <w:tc>
          <w:tcPr>
            <w:tcW w:w="1854"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Probabilidade de Ocorrência</w:t>
            </w:r>
          </w:p>
        </w:tc>
      </w:tr>
      <w:tr w:rsidR="00627FA2" w:rsidRPr="00627FA2" w:rsidTr="00627FA2">
        <w:trPr>
          <w:trHeight w:val="273"/>
          <w:jc w:val="center"/>
        </w:trPr>
        <w:tc>
          <w:tcPr>
            <w:tcW w:w="645"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Negativa</w:t>
            </w:r>
          </w:p>
        </w:tc>
        <w:tc>
          <w:tcPr>
            <w:tcW w:w="5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Direta</w:t>
            </w:r>
          </w:p>
        </w:tc>
        <w:tc>
          <w:tcPr>
            <w:tcW w:w="10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Local (AID/ADA)</w:t>
            </w:r>
          </w:p>
        </w:tc>
        <w:tc>
          <w:tcPr>
            <w:tcW w:w="820"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Permanente</w:t>
            </w:r>
          </w:p>
        </w:tc>
        <w:tc>
          <w:tcPr>
            <w:tcW w:w="1854"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Certa</w:t>
            </w:r>
          </w:p>
        </w:tc>
      </w:tr>
    </w:tbl>
    <w:p w:rsidR="00627FA2" w:rsidRPr="00627FA2" w:rsidRDefault="00627FA2" w:rsidP="00AF03F8">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2"/>
      </w:tblGrid>
      <w:tr w:rsidR="00627FA2" w:rsidRPr="00627FA2" w:rsidTr="00627FA2">
        <w:trPr>
          <w:trHeight w:val="397"/>
          <w:jc w:val="center"/>
        </w:trPr>
        <w:tc>
          <w:tcPr>
            <w:tcW w:w="134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Época de Ocorrência</w:t>
            </w:r>
          </w:p>
        </w:tc>
        <w:tc>
          <w:tcPr>
            <w:tcW w:w="977"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Reversibilidade</w:t>
            </w:r>
          </w:p>
        </w:tc>
        <w:tc>
          <w:tcPr>
            <w:tcW w:w="72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Magnitude</w:t>
            </w:r>
          </w:p>
        </w:tc>
        <w:tc>
          <w:tcPr>
            <w:tcW w:w="778"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Importância</w:t>
            </w:r>
          </w:p>
        </w:tc>
        <w:tc>
          <w:tcPr>
            <w:tcW w:w="118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Mitigação</w:t>
            </w:r>
          </w:p>
        </w:tc>
      </w:tr>
      <w:tr w:rsidR="00627FA2" w:rsidRPr="00627FA2" w:rsidTr="00627FA2">
        <w:trPr>
          <w:trHeight w:val="344"/>
          <w:jc w:val="center"/>
        </w:trPr>
        <w:tc>
          <w:tcPr>
            <w:tcW w:w="134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Curto Prazo</w:t>
            </w:r>
          </w:p>
        </w:tc>
        <w:tc>
          <w:tcPr>
            <w:tcW w:w="977"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Irreversível</w:t>
            </w:r>
          </w:p>
        </w:tc>
        <w:tc>
          <w:tcPr>
            <w:tcW w:w="72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 xml:space="preserve">Grande </w:t>
            </w:r>
          </w:p>
        </w:tc>
        <w:tc>
          <w:tcPr>
            <w:tcW w:w="778"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Alta</w:t>
            </w:r>
          </w:p>
        </w:tc>
        <w:tc>
          <w:tcPr>
            <w:tcW w:w="118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Mitigável</w:t>
            </w:r>
          </w:p>
        </w:tc>
      </w:tr>
    </w:tbl>
    <w:p w:rsidR="00627FA2" w:rsidRPr="00627FA2" w:rsidRDefault="00627FA2" w:rsidP="00AF03F8">
      <w:pPr>
        <w:autoSpaceDE w:val="0"/>
        <w:autoSpaceDN w:val="0"/>
        <w:adjustRightInd w:val="0"/>
        <w:spacing w:before="240" w:after="120" w:line="240" w:lineRule="auto"/>
        <w:rPr>
          <w:rFonts w:cs="Arial"/>
          <w:b/>
          <w:szCs w:val="22"/>
        </w:rPr>
      </w:pPr>
      <w:r w:rsidRPr="00627FA2">
        <w:rPr>
          <w:rFonts w:cs="Arial"/>
          <w:b/>
          <w:szCs w:val="22"/>
        </w:rPr>
        <w:t>Ações Ambientais Propostas:</w:t>
      </w:r>
    </w:p>
    <w:p w:rsidR="00E234FB" w:rsidRPr="00E234FB" w:rsidRDefault="00E234FB" w:rsidP="00E234FB">
      <w:pPr>
        <w:tabs>
          <w:tab w:val="left" w:pos="0"/>
        </w:tabs>
        <w:spacing w:before="120" w:after="120" w:line="240" w:lineRule="auto"/>
        <w:rPr>
          <w:szCs w:val="22"/>
        </w:rPr>
      </w:pPr>
      <w:r w:rsidRPr="00E234FB">
        <w:rPr>
          <w:szCs w:val="22"/>
        </w:rPr>
        <w:t xml:space="preserve">Para minimizar o impacto será realizada a remoção da vegetação nas áreas inundadas dos reservatórios, previamente à etapa do enchimento. Conforme citado, as simulações indicam a necessidade de retirada de </w:t>
      </w:r>
      <w:r w:rsidR="00037429">
        <w:rPr>
          <w:szCs w:val="22"/>
        </w:rPr>
        <w:t>27,8</w:t>
      </w:r>
      <w:r w:rsidRPr="00E234FB">
        <w:rPr>
          <w:szCs w:val="22"/>
        </w:rPr>
        <w:t xml:space="preserve">% da biomassa residente no reservatório da Barragem Pedreira e de 79,3% para a Barragem Duas Pontes, devendo merecer especial atenção os braços contribuintes, que apresentam maior tendência ao processo de eutrofização. </w:t>
      </w:r>
    </w:p>
    <w:p w:rsidR="00E234FB" w:rsidRPr="00E234FB" w:rsidRDefault="00E234FB" w:rsidP="00E234FB">
      <w:pPr>
        <w:tabs>
          <w:tab w:val="left" w:pos="0"/>
        </w:tabs>
        <w:spacing w:before="120" w:after="120" w:line="240" w:lineRule="auto"/>
        <w:rPr>
          <w:szCs w:val="22"/>
        </w:rPr>
      </w:pPr>
      <w:r w:rsidRPr="00E234FB">
        <w:rPr>
          <w:szCs w:val="22"/>
        </w:rPr>
        <w:t xml:space="preserve">De acordo com o Ministério da Integração Nacional </w:t>
      </w:r>
      <w:r w:rsidRPr="00E234FB">
        <w:rPr>
          <w:i/>
          <w:szCs w:val="22"/>
        </w:rPr>
        <w:t>et. al.</w:t>
      </w:r>
      <w:r w:rsidRPr="00E234FB">
        <w:rPr>
          <w:szCs w:val="22"/>
        </w:rPr>
        <w:t xml:space="preserve"> (2005), em reservatórios cujas águas serão destinadas ao abastecimento público após tratamento convencional, devem prevalecer as condições Oligotrófica ou Mesotrófica. </w:t>
      </w:r>
    </w:p>
    <w:p w:rsidR="00E234FB" w:rsidRPr="00E234FB" w:rsidRDefault="00E234FB" w:rsidP="00E234FB">
      <w:pPr>
        <w:tabs>
          <w:tab w:val="left" w:pos="0"/>
        </w:tabs>
        <w:spacing w:before="120" w:after="120" w:line="240" w:lineRule="auto"/>
        <w:rPr>
          <w:szCs w:val="22"/>
        </w:rPr>
      </w:pPr>
      <w:r w:rsidRPr="00E234FB">
        <w:rPr>
          <w:szCs w:val="22"/>
        </w:rPr>
        <w:t xml:space="preserve">Em ambos os reservatórios projetados, o controle da eutrofização deverá ser complementado com a minimização do aporte de cargas nutrientes, especialmente o fósforo, que são geradas principalmente por atividades agropecuárias (Barragem Pedreira) e lançamento de esgotos domésticos e industriais no ambiente sem o adequado tratamento (Barragem Duas Pontes). </w:t>
      </w:r>
    </w:p>
    <w:p w:rsidR="00E234FB" w:rsidRDefault="00627FA2" w:rsidP="00627FA2">
      <w:pPr>
        <w:tabs>
          <w:tab w:val="left" w:pos="0"/>
        </w:tabs>
        <w:spacing w:before="120" w:after="120" w:line="240" w:lineRule="auto"/>
        <w:rPr>
          <w:szCs w:val="22"/>
        </w:rPr>
      </w:pPr>
      <w:r w:rsidRPr="006A2DF6">
        <w:rPr>
          <w:szCs w:val="22"/>
        </w:rPr>
        <w:t>Dados apresentados no âmbito do diagnóstico ambiental (</w:t>
      </w:r>
      <w:r w:rsidR="006A2DF6" w:rsidRPr="006A2DF6">
        <w:rPr>
          <w:szCs w:val="22"/>
        </w:rPr>
        <w:t xml:space="preserve">Volume II, Tomo 1 Capitulo </w:t>
      </w:r>
      <w:r w:rsidRPr="006A2DF6">
        <w:rPr>
          <w:szCs w:val="22"/>
        </w:rPr>
        <w:t xml:space="preserve">4) </w:t>
      </w:r>
      <w:r w:rsidR="00E234FB" w:rsidRPr="00E234FB">
        <w:rPr>
          <w:szCs w:val="22"/>
        </w:rPr>
        <w:t xml:space="preserve">apontam que, na zona urbana de Amparo, situada a montante da Barragem Duas Pontes, a coleta dos esgotos domésticos atinge 89% da população urbana, sendo que apenas 18% recebe tratamento. Nesse sentido, recomenda-se a ampliação dos sistemas de coleta e tratamento de esgotos domésticos, visando contemplar a totalidade da população urbana desta </w:t>
      </w:r>
      <w:r w:rsidR="00E234FB" w:rsidRPr="00E234FB">
        <w:rPr>
          <w:szCs w:val="22"/>
        </w:rPr>
        <w:lastRenderedPageBreak/>
        <w:t>cidade. Será também necessário verificar a eficiência da Estação de Tratamento de Esgotos – ETE, incluindo a adoção de tratamento terciário para reduzir a carga de fósforo no ambiente aquático</w:t>
      </w:r>
      <w:r w:rsidR="0069238B">
        <w:rPr>
          <w:szCs w:val="22"/>
        </w:rPr>
        <w:t xml:space="preserve">, </w:t>
      </w:r>
      <w:r w:rsidR="0069238B" w:rsidRPr="0069238B">
        <w:rPr>
          <w:szCs w:val="22"/>
        </w:rPr>
        <w:t>além do controle das fontes poluidoras de origem industrial.</w:t>
      </w:r>
    </w:p>
    <w:p w:rsidR="00E234FB" w:rsidRPr="00E234FB" w:rsidRDefault="00E234FB" w:rsidP="00E234FB">
      <w:pPr>
        <w:tabs>
          <w:tab w:val="left" w:pos="0"/>
        </w:tabs>
        <w:spacing w:before="120" w:after="120" w:line="240" w:lineRule="auto"/>
        <w:rPr>
          <w:szCs w:val="22"/>
        </w:rPr>
      </w:pPr>
      <w:r w:rsidRPr="00E234FB">
        <w:rPr>
          <w:szCs w:val="22"/>
        </w:rPr>
        <w:t xml:space="preserve">De acordo com o Plano das Bacias Piracicaba, Capivari e Jundiaí - PCJ (COBRAPE, 2011), as metas para a recuperação da qualidade da água destas bacias envolvem a ampliação dos sistemas de coleta e tratamento de esgoto, devendo ser no mínimo de 95%, nos municípios atendidos pela Sabesp (COBRAPE, 2011). </w:t>
      </w:r>
    </w:p>
    <w:p w:rsidR="00E234FB" w:rsidRPr="00E234FB" w:rsidRDefault="00E234FB" w:rsidP="00E234FB">
      <w:pPr>
        <w:tabs>
          <w:tab w:val="left" w:pos="0"/>
        </w:tabs>
        <w:spacing w:before="120" w:after="120" w:line="240" w:lineRule="auto"/>
        <w:rPr>
          <w:szCs w:val="22"/>
        </w:rPr>
      </w:pPr>
      <w:r w:rsidRPr="00E234FB">
        <w:rPr>
          <w:szCs w:val="22"/>
        </w:rPr>
        <w:t xml:space="preserve">Para o controle das cargas difusas associadas a atividades agropecuárias, será implantada uma faixa de vegetação ciliar no entorno dos reservatórios, de acordo com as diretrizes do Programa de Revegetação e Enriquecimento Florestal e o Subprograma Programa de Reflorestamento da APP do Futuro Reservatório. </w:t>
      </w:r>
    </w:p>
    <w:p w:rsidR="00CB7A26" w:rsidRDefault="00E234FB" w:rsidP="00627FA2">
      <w:pPr>
        <w:tabs>
          <w:tab w:val="left" w:pos="0"/>
        </w:tabs>
        <w:spacing w:before="120" w:after="120" w:line="240" w:lineRule="auto"/>
        <w:rPr>
          <w:szCs w:val="22"/>
        </w:rPr>
      </w:pPr>
      <w:r w:rsidRPr="00E234FB">
        <w:rPr>
          <w:szCs w:val="22"/>
        </w:rPr>
        <w:t>Também está prevista a realização do Programa de Monitoramento da Qualidade das Águas Superficiais e dos Sedimentos, que permitirá acompanhar sistematicamente o padrão de qualidade das águas durante todas as etapas dos empreendimentos. Este programa será conduzido em conjunto com as ações do Programa de Monitoramento da Biota Aquática, permitindo a integração dos resultados para avaliação do ecossistema aquático.</w:t>
      </w:r>
    </w:p>
    <w:p w:rsidR="00627FA2" w:rsidRPr="00627FA2" w:rsidRDefault="00CB7A26" w:rsidP="00627FA2">
      <w:pPr>
        <w:tabs>
          <w:tab w:val="left" w:pos="0"/>
        </w:tabs>
        <w:spacing w:before="120" w:after="120" w:line="240" w:lineRule="auto"/>
        <w:rPr>
          <w:szCs w:val="22"/>
        </w:rPr>
      </w:pPr>
      <w:r w:rsidRPr="00CB7A26">
        <w:rPr>
          <w:b/>
          <w:szCs w:val="22"/>
        </w:rPr>
        <w:t xml:space="preserve">d) </w:t>
      </w:r>
      <w:r w:rsidRPr="00CB7A26">
        <w:rPr>
          <w:b/>
        </w:rPr>
        <w:t>A</w:t>
      </w:r>
      <w:r w:rsidRPr="00627FA2">
        <w:rPr>
          <w:b/>
        </w:rPr>
        <w:t>lteração na Qualidade das Águas Superficiais e dos Sedimentos</w:t>
      </w:r>
      <w:r>
        <w:rPr>
          <w:b/>
        </w:rPr>
        <w:t xml:space="preserve"> na Fase de Operação</w:t>
      </w:r>
    </w:p>
    <w:p w:rsidR="00627FA2" w:rsidRPr="00CB7A26" w:rsidRDefault="00CB7A26" w:rsidP="00CB7A26">
      <w:pPr>
        <w:keepNext/>
        <w:spacing w:before="120" w:after="120" w:line="240" w:lineRule="auto"/>
        <w:outlineLvl w:val="1"/>
        <w:rPr>
          <w:b/>
        </w:rPr>
      </w:pPr>
      <w:bookmarkStart w:id="195" w:name="_Toc418590180"/>
      <w:bookmarkStart w:id="196" w:name="_Toc418590646"/>
      <w:bookmarkStart w:id="197" w:name="_Toc418595706"/>
      <w:bookmarkStart w:id="198" w:name="_Toc418758217"/>
      <w:bookmarkStart w:id="199" w:name="_Toc418758819"/>
      <w:bookmarkStart w:id="200" w:name="_Toc419813046"/>
      <w:bookmarkStart w:id="201" w:name="_Toc419813579"/>
      <w:r w:rsidRPr="00CB7A26">
        <w:rPr>
          <w:b/>
        </w:rPr>
        <w:t>Fase: Operação</w:t>
      </w:r>
      <w:bookmarkEnd w:id="195"/>
      <w:bookmarkEnd w:id="196"/>
      <w:bookmarkEnd w:id="197"/>
      <w:bookmarkEnd w:id="198"/>
      <w:bookmarkEnd w:id="199"/>
      <w:bookmarkEnd w:id="200"/>
      <w:bookmarkEnd w:id="201"/>
    </w:p>
    <w:p w:rsidR="00E234FB" w:rsidRPr="00E234FB" w:rsidRDefault="00E234FB" w:rsidP="00E234FB">
      <w:pPr>
        <w:tabs>
          <w:tab w:val="left" w:pos="567"/>
        </w:tabs>
        <w:spacing w:before="120" w:after="120" w:line="240" w:lineRule="auto"/>
        <w:rPr>
          <w:rFonts w:eastAsia="Calibri"/>
          <w:szCs w:val="22"/>
          <w:lang w:eastAsia="en-US"/>
        </w:rPr>
      </w:pPr>
      <w:r w:rsidRPr="00E234FB">
        <w:rPr>
          <w:rFonts w:eastAsia="Calibri"/>
          <w:szCs w:val="22"/>
          <w:lang w:eastAsia="en-US"/>
        </w:rPr>
        <w:t xml:space="preserve">Na fase de operação dos reservatórios tende a ocorrer o consumo de toda a matéria orgânica inundada ao longo do tempo e posterior estabilização das condições bioquímicas do meio aquático. A formação do reservatório propicia um novo equilíbrio ao sistema hídrico, com tempos de residência mais elevados que favorecem a ocorrência de processos eutróficos. </w:t>
      </w:r>
    </w:p>
    <w:p w:rsidR="00E234FB" w:rsidRDefault="00E234FB" w:rsidP="00E234FB">
      <w:pPr>
        <w:tabs>
          <w:tab w:val="left" w:pos="567"/>
        </w:tabs>
        <w:spacing w:before="120" w:after="120" w:line="240" w:lineRule="auto"/>
        <w:rPr>
          <w:rFonts w:eastAsia="Calibri"/>
          <w:szCs w:val="22"/>
          <w:lang w:eastAsia="en-US"/>
        </w:rPr>
      </w:pPr>
      <w:r w:rsidRPr="00E234FB">
        <w:rPr>
          <w:rFonts w:eastAsia="Calibri"/>
          <w:szCs w:val="22"/>
          <w:lang w:eastAsia="en-US"/>
        </w:rPr>
        <w:t>O processo de eutrofização nos reservatórios está associado ainda ao aporte contí</w:t>
      </w:r>
      <w:r w:rsidRPr="00E234FB">
        <w:rPr>
          <w:rFonts w:eastAsia="Calibri"/>
          <w:szCs w:val="22"/>
          <w:lang w:eastAsia="en-US"/>
        </w:rPr>
        <w:softHyphen/>
        <w:t>nuo de nutrientes derivados dos esgotos domésticos e das atividades agropecuárias e industriais na bacia de drenagem. Nesse sentido, merece maior atenção o reservatório da Barragem Duas Pontes, projetado a jusante da sede urbana de Amparo, que é responsável pelo lançamento de elevada carga de efluentes domésticos e industriais</w:t>
      </w:r>
      <w:r>
        <w:rPr>
          <w:rFonts w:eastAsia="Calibri"/>
          <w:szCs w:val="22"/>
          <w:lang w:eastAsia="en-US"/>
        </w:rPr>
        <w:t xml:space="preserve">. </w:t>
      </w:r>
    </w:p>
    <w:p w:rsidR="00E234FB" w:rsidRPr="00E234FB" w:rsidRDefault="00E234FB" w:rsidP="00E234FB">
      <w:pPr>
        <w:tabs>
          <w:tab w:val="left" w:pos="567"/>
        </w:tabs>
        <w:spacing w:before="120" w:after="120" w:line="240" w:lineRule="auto"/>
        <w:rPr>
          <w:rFonts w:eastAsia="Calibri"/>
          <w:szCs w:val="22"/>
          <w:lang w:eastAsia="en-US"/>
        </w:rPr>
      </w:pPr>
      <w:r w:rsidRPr="00E234FB">
        <w:rPr>
          <w:rFonts w:eastAsia="Calibri"/>
          <w:szCs w:val="22"/>
          <w:lang w:eastAsia="en-US"/>
        </w:rPr>
        <w:t xml:space="preserve">Os principais impactos decorrentes da eutrofização em mananciais de abastecimento público são o florescimento de algas e de cianobactérias, o aumento da matéria orgânica particulada, o incremento de substâncias orgânicas dissolvidas que podem conferir sabor e odor à água. Com a redução no teor de oxigênio poderá ocorrer a liberação de sulfeto de hidrogênio, que confere odor à água, além de outros compostos como o fósforo, que podem retroalimentar o ciclo de eutrofização, interferindo nos processos de tratamento de água para abastecimento (VON SPERLING, 2005). </w:t>
      </w:r>
    </w:p>
    <w:p w:rsidR="00E234FB" w:rsidRDefault="00E234FB" w:rsidP="00E234FB">
      <w:pPr>
        <w:tabs>
          <w:tab w:val="left" w:pos="567"/>
        </w:tabs>
        <w:spacing w:before="120" w:after="120" w:line="240" w:lineRule="auto"/>
        <w:rPr>
          <w:rFonts w:eastAsia="Calibri"/>
          <w:szCs w:val="22"/>
          <w:lang w:eastAsia="en-US"/>
        </w:rPr>
      </w:pPr>
      <w:r w:rsidRPr="00E234FB">
        <w:rPr>
          <w:rFonts w:eastAsia="Calibri"/>
          <w:szCs w:val="22"/>
          <w:lang w:eastAsia="en-US"/>
        </w:rPr>
        <w:t>A operação de reservatórios condiciona também a deposição de sedimentos e de eventuais contaminantes, o que implica menor concentração de sólidos em suspensão e redução dos níveis de turbidez e de cor aparente, conferindo maior transparência à coluna d’água.</w:t>
      </w:r>
    </w:p>
    <w:p w:rsidR="00E234FB" w:rsidRPr="00E234FB" w:rsidRDefault="00E234FB" w:rsidP="00E234FB">
      <w:pPr>
        <w:tabs>
          <w:tab w:val="left" w:pos="567"/>
        </w:tabs>
        <w:spacing w:before="120" w:after="120" w:line="240" w:lineRule="auto"/>
        <w:rPr>
          <w:rFonts w:eastAsia="Calibri"/>
          <w:szCs w:val="22"/>
          <w:lang w:eastAsia="en-US"/>
        </w:rPr>
      </w:pPr>
      <w:r w:rsidRPr="00E234FB">
        <w:rPr>
          <w:rFonts w:eastAsia="Calibri"/>
          <w:szCs w:val="22"/>
          <w:lang w:eastAsia="en-US"/>
        </w:rPr>
        <w:t>Desta forma, a qualidade da água observada no corpo dos reservatórios Pedreira e Duas Pontes se refletirá a jusante, tendendo a ocorrer uma retenção de compostos orgânicos, de fósforo, e de sólidos nos rios Jaguari e Camanducaia, liberando águas mais límpidas a jusante das respectivas barragens. Cabe destacar que a presença da PCH do Jaguari, imediatamente a montante da barragem Pedreira, atua na retenção desses constituintes gerados nas partições superiores da bacia, tendendo a promover uma melhoria no padrão de qualidade da água afluente ao futuro reservatório.</w:t>
      </w:r>
    </w:p>
    <w:p w:rsidR="00031D63" w:rsidRDefault="00031D63" w:rsidP="00031D63">
      <w:pPr>
        <w:tabs>
          <w:tab w:val="left" w:pos="567"/>
        </w:tabs>
        <w:spacing w:before="120" w:after="120" w:line="240" w:lineRule="auto"/>
        <w:rPr>
          <w:rFonts w:eastAsia="Calibri"/>
          <w:szCs w:val="22"/>
          <w:lang w:eastAsia="en-US"/>
        </w:rPr>
      </w:pPr>
      <w:r w:rsidRPr="00031D63">
        <w:rPr>
          <w:rFonts w:eastAsia="Calibri"/>
          <w:szCs w:val="22"/>
          <w:lang w:eastAsia="en-US"/>
        </w:rPr>
        <w:t>A seguir consta o panorama antevisto para a qualidade da água dos reservatórios projetados, na etapa de operação, de acordo com os resultados de</w:t>
      </w:r>
      <w:r>
        <w:rPr>
          <w:rFonts w:eastAsia="Calibri"/>
          <w:szCs w:val="22"/>
          <w:lang w:eastAsia="en-US"/>
        </w:rPr>
        <w:t xml:space="preserve"> modelagem matemática</w:t>
      </w:r>
      <w:r w:rsidRPr="00031D63">
        <w:rPr>
          <w:rFonts w:eastAsia="Calibri"/>
          <w:szCs w:val="22"/>
          <w:lang w:eastAsia="en-US"/>
        </w:rPr>
        <w:t xml:space="preserve">, no qual foram considerados dois cenários: </w:t>
      </w:r>
    </w:p>
    <w:p w:rsidR="00031D63" w:rsidRDefault="00031D63" w:rsidP="00031D63">
      <w:pPr>
        <w:tabs>
          <w:tab w:val="left" w:pos="567"/>
        </w:tabs>
        <w:spacing w:before="120" w:after="120" w:line="240" w:lineRule="auto"/>
        <w:ind w:left="567"/>
        <w:rPr>
          <w:rFonts w:eastAsia="Calibri"/>
          <w:szCs w:val="22"/>
          <w:lang w:eastAsia="en-US"/>
        </w:rPr>
      </w:pPr>
      <w:r>
        <w:rPr>
          <w:rFonts w:eastAsia="Calibri"/>
          <w:szCs w:val="22"/>
          <w:lang w:eastAsia="en-US"/>
        </w:rPr>
        <w:lastRenderedPageBreak/>
        <w:t xml:space="preserve">- </w:t>
      </w:r>
      <w:r w:rsidRPr="00031D63">
        <w:rPr>
          <w:rFonts w:eastAsia="Calibri"/>
          <w:szCs w:val="22"/>
          <w:lang w:eastAsia="en-US"/>
        </w:rPr>
        <w:t>Cenário 01 – operação do reservatório na cota correspondente ao nível d’água máximo normal (646,0 metros)</w:t>
      </w:r>
      <w:r>
        <w:rPr>
          <w:rFonts w:eastAsia="Calibri"/>
          <w:szCs w:val="22"/>
          <w:lang w:eastAsia="en-US"/>
        </w:rPr>
        <w:t>; e</w:t>
      </w:r>
    </w:p>
    <w:p w:rsidR="00031D63" w:rsidRPr="00031D63" w:rsidRDefault="00031D63" w:rsidP="00031D63">
      <w:pPr>
        <w:tabs>
          <w:tab w:val="left" w:pos="567"/>
        </w:tabs>
        <w:spacing w:before="120" w:after="120" w:line="240" w:lineRule="auto"/>
        <w:ind w:left="567"/>
        <w:rPr>
          <w:rFonts w:eastAsia="Calibri"/>
          <w:szCs w:val="22"/>
          <w:lang w:eastAsia="en-US"/>
        </w:rPr>
      </w:pPr>
      <w:r>
        <w:rPr>
          <w:rFonts w:eastAsia="Calibri"/>
          <w:szCs w:val="22"/>
          <w:lang w:eastAsia="en-US"/>
        </w:rPr>
        <w:t xml:space="preserve">- </w:t>
      </w:r>
      <w:r w:rsidRPr="00031D63">
        <w:rPr>
          <w:rFonts w:eastAsia="Calibri"/>
          <w:szCs w:val="22"/>
          <w:lang w:eastAsia="en-US"/>
        </w:rPr>
        <w:t xml:space="preserve">Cenário 02 – </w:t>
      </w:r>
      <w:r w:rsidR="0069238B" w:rsidRPr="00031D63">
        <w:rPr>
          <w:rFonts w:eastAsia="Calibri"/>
          <w:szCs w:val="22"/>
          <w:lang w:eastAsia="en-US"/>
        </w:rPr>
        <w:t>operação</w:t>
      </w:r>
      <w:r w:rsidRPr="00031D63">
        <w:rPr>
          <w:rFonts w:eastAsia="Calibri"/>
          <w:szCs w:val="22"/>
          <w:lang w:eastAsia="en-US"/>
        </w:rPr>
        <w:t xml:space="preserve"> na cota intermediária de 634,0 metros que corresponde a um nível de permanência próximo de 95%. </w:t>
      </w:r>
    </w:p>
    <w:p w:rsidR="00E234FB" w:rsidRPr="00E234FB" w:rsidRDefault="00031D63" w:rsidP="00627FA2">
      <w:pPr>
        <w:tabs>
          <w:tab w:val="left" w:pos="567"/>
        </w:tabs>
        <w:spacing w:before="120" w:after="120" w:line="240" w:lineRule="auto"/>
        <w:rPr>
          <w:rFonts w:eastAsia="Calibri"/>
          <w:szCs w:val="22"/>
          <w:lang w:eastAsia="en-US"/>
        </w:rPr>
      </w:pPr>
      <w:r w:rsidRPr="00031D63">
        <w:rPr>
          <w:rFonts w:eastAsia="Calibri"/>
          <w:szCs w:val="22"/>
          <w:lang w:eastAsia="en-US"/>
        </w:rPr>
        <w:t>Os ensaios de modelagem matemática na etapa de operação dos reservatórios das Barragens Pedreira e Duas Pontes incluem também a avaliação do processo de estratificação térmica ao longo do ano. Esse fenômeno resulta na formação de duas camadas de circulação distintas na coluna d’água, uma superior (epilímnio) e outra inferior (hipolímnio). Na condição estratificada, a camada do hipolímnio atua como um reator bioquímico isolado da atmosfera, restringindo a entrada de oxigênio, o que propicia a formação de um ambiente anóxico nas camadas mais profundas.</w:t>
      </w:r>
    </w:p>
    <w:p w:rsidR="00627FA2" w:rsidRPr="00C64127" w:rsidRDefault="00627FA2" w:rsidP="00031D63">
      <w:pPr>
        <w:pStyle w:val="Item-Trainho"/>
        <w:numPr>
          <w:ilvl w:val="0"/>
          <w:numId w:val="88"/>
        </w:numPr>
        <w:rPr>
          <w:b/>
        </w:rPr>
      </w:pPr>
      <w:r w:rsidRPr="00C64127">
        <w:rPr>
          <w:b/>
        </w:rPr>
        <w:t xml:space="preserve">Barragem Pedreira </w:t>
      </w:r>
    </w:p>
    <w:p w:rsidR="00031D63" w:rsidRDefault="00031D63" w:rsidP="00627FA2">
      <w:pPr>
        <w:tabs>
          <w:tab w:val="left" w:pos="0"/>
        </w:tabs>
        <w:spacing w:before="120" w:after="120" w:line="240" w:lineRule="auto"/>
        <w:rPr>
          <w:szCs w:val="22"/>
        </w:rPr>
      </w:pPr>
      <w:r w:rsidRPr="00031D63">
        <w:rPr>
          <w:szCs w:val="22"/>
        </w:rPr>
        <w:t>- Cenário 01: Operação do Reservatório na Cota do Nível d’água Máximo Normal - 637,0 metros</w:t>
      </w:r>
    </w:p>
    <w:p w:rsidR="0069238B" w:rsidRDefault="0069238B" w:rsidP="00031D63">
      <w:pPr>
        <w:tabs>
          <w:tab w:val="left" w:pos="0"/>
        </w:tabs>
        <w:spacing w:before="120" w:after="120" w:line="240" w:lineRule="auto"/>
        <w:rPr>
          <w:szCs w:val="22"/>
        </w:rPr>
      </w:pPr>
      <w:r w:rsidRPr="0069238B">
        <w:rPr>
          <w:szCs w:val="22"/>
        </w:rPr>
        <w:t xml:space="preserve">Na fase de operação da Barragem Pedreira, considerando as ações de desmatamento, são esperados níveis de oxigênio dissolvido superiores a 5 mg/L no corpo principal e nos tributários, mantendo-se compatíveis com o padrão da Resolução </w:t>
      </w:r>
      <w:r w:rsidR="00504078">
        <w:rPr>
          <w:szCs w:val="22"/>
        </w:rPr>
        <w:t>CONAMA</w:t>
      </w:r>
      <w:r w:rsidRPr="0069238B">
        <w:rPr>
          <w:szCs w:val="22"/>
        </w:rPr>
        <w:t xml:space="preserve"> 357/05 para águas classe 2</w:t>
      </w:r>
      <w:r>
        <w:rPr>
          <w:szCs w:val="22"/>
        </w:rPr>
        <w:t>.</w:t>
      </w:r>
    </w:p>
    <w:p w:rsidR="00627FA2" w:rsidRPr="00627FA2" w:rsidRDefault="00031D63" w:rsidP="00031D63">
      <w:pPr>
        <w:tabs>
          <w:tab w:val="left" w:pos="0"/>
        </w:tabs>
        <w:spacing w:before="120" w:after="120" w:line="240" w:lineRule="auto"/>
        <w:rPr>
          <w:szCs w:val="22"/>
        </w:rPr>
      </w:pPr>
      <w:r w:rsidRPr="00031D63">
        <w:rPr>
          <w:szCs w:val="22"/>
        </w:rPr>
        <w:t>Esses dados refletem os teores de DBO que tenderão a permanecer abaixo de 5 mg/L, no corp</w:t>
      </w:r>
      <w:r w:rsidR="0069238B">
        <w:rPr>
          <w:szCs w:val="22"/>
        </w:rPr>
        <w:t>o central, com tendência à</w:t>
      </w:r>
      <w:r w:rsidRPr="00031D63">
        <w:rPr>
          <w:szCs w:val="22"/>
        </w:rPr>
        <w:t xml:space="preserve"> redução nos segmentos mais próximos ao eixo da barragem (Seg-12 e Seg-14). Esse mesmo padrão será </w:t>
      </w:r>
      <w:r w:rsidR="0069238B">
        <w:rPr>
          <w:szCs w:val="22"/>
        </w:rPr>
        <w:t>estabelecido</w:t>
      </w:r>
      <w:r w:rsidRPr="00031D63">
        <w:rPr>
          <w:szCs w:val="22"/>
        </w:rPr>
        <w:t xml:space="preserve"> nos braços contribuintes, após a esta</w:t>
      </w:r>
      <w:r>
        <w:rPr>
          <w:szCs w:val="22"/>
        </w:rPr>
        <w:t>bilização da fitomassa inundada</w:t>
      </w:r>
      <w:r w:rsidR="00627FA2" w:rsidRPr="00627FA2">
        <w:rPr>
          <w:szCs w:val="22"/>
        </w:rPr>
        <w:t>.</w:t>
      </w:r>
    </w:p>
    <w:p w:rsidR="00031D63" w:rsidRPr="00031D63" w:rsidRDefault="0069238B" w:rsidP="00031D63">
      <w:pPr>
        <w:tabs>
          <w:tab w:val="left" w:pos="0"/>
        </w:tabs>
        <w:spacing w:before="120" w:after="120" w:line="240" w:lineRule="auto"/>
        <w:rPr>
          <w:szCs w:val="22"/>
        </w:rPr>
      </w:pPr>
      <w:r w:rsidRPr="0069238B">
        <w:rPr>
          <w:szCs w:val="22"/>
        </w:rPr>
        <w:t xml:space="preserve">As concentrações de compostos nitrogenados serão mantidas de acordo com os padrões da Resolução </w:t>
      </w:r>
      <w:r w:rsidR="00504078">
        <w:rPr>
          <w:szCs w:val="22"/>
        </w:rPr>
        <w:t>CONAMA</w:t>
      </w:r>
      <w:r w:rsidRPr="0069238B">
        <w:rPr>
          <w:szCs w:val="22"/>
        </w:rPr>
        <w:t xml:space="preserve"> 357/05 para águas doces classe 2 em toda a fase operacional do sistema. Os teores de nitrato atingirão índices próximos de 0,9 mg/L, no corpo central, e 0,65 mg/L, nos braços tributários, com queda gradual ao longo do tempo, principalmente nos compartimentos próximos à barragem (Seg-12 e Seg-14). Após a estabilização da fitomassa inundada, os teores de amônia reduzirão gradativamente, no corpo central e nos tributários, para valores inferiores a 0,19 mg/L e 0,13 mg/L, respectivamente</w:t>
      </w:r>
      <w:r>
        <w:rPr>
          <w:szCs w:val="22"/>
        </w:rPr>
        <w:t>.</w:t>
      </w:r>
    </w:p>
    <w:p w:rsidR="00627FA2" w:rsidRDefault="0069238B" w:rsidP="00031D63">
      <w:pPr>
        <w:tabs>
          <w:tab w:val="left" w:pos="0"/>
        </w:tabs>
        <w:spacing w:before="120" w:after="120" w:line="240" w:lineRule="auto"/>
        <w:rPr>
          <w:szCs w:val="22"/>
        </w:rPr>
      </w:pPr>
      <w:r w:rsidRPr="0069238B">
        <w:rPr>
          <w:szCs w:val="22"/>
        </w:rPr>
        <w:t>Levando-se em conta o fósforo total, o corpo principal do reservatório deverá manter uma concentração máxima em torno de 0,05 mg/L, com redução gradativa nos compartimentos mais próximos ao eixo da barragem (Seg-12 e  Seg-14), em torno de 0,036 mg/L, o que caracteriza um ambiente Mesotrófico. Condições semelhantes serão verificadas nos braços tributários, com concentrações inferiores a 0,05 mg/L, também resultando em classificação Mesotrófica</w:t>
      </w:r>
      <w:r w:rsidR="00031D63">
        <w:rPr>
          <w:szCs w:val="22"/>
        </w:rPr>
        <w:t>.</w:t>
      </w:r>
      <w:r w:rsidR="00627FA2" w:rsidRPr="00627FA2">
        <w:rPr>
          <w:szCs w:val="22"/>
        </w:rPr>
        <w:t xml:space="preserve"> </w:t>
      </w:r>
    </w:p>
    <w:p w:rsidR="0069238B" w:rsidRDefault="0069238B" w:rsidP="00031D63">
      <w:pPr>
        <w:tabs>
          <w:tab w:val="left" w:pos="0"/>
        </w:tabs>
        <w:spacing w:before="120" w:after="120" w:line="240" w:lineRule="auto"/>
        <w:rPr>
          <w:szCs w:val="22"/>
        </w:rPr>
      </w:pPr>
      <w:r w:rsidRPr="0069238B">
        <w:rPr>
          <w:szCs w:val="22"/>
        </w:rPr>
        <w:t>Em relação aos demais parâmetros avaliados no âmbito do diagnóstico ambiental, o rio Jaguari vai contribuir com águas de boa qualidade para o futuro reservatório da Barragem Pedreira</w:t>
      </w:r>
      <w:r>
        <w:rPr>
          <w:szCs w:val="22"/>
        </w:rPr>
        <w:t>.</w:t>
      </w:r>
    </w:p>
    <w:p w:rsidR="00031D63" w:rsidRPr="0069238B" w:rsidRDefault="0069238B" w:rsidP="00627FA2">
      <w:pPr>
        <w:tabs>
          <w:tab w:val="left" w:pos="0"/>
        </w:tabs>
        <w:spacing w:before="120" w:after="120" w:line="240" w:lineRule="auto"/>
        <w:rPr>
          <w:szCs w:val="22"/>
        </w:rPr>
      </w:pPr>
      <w:r w:rsidRPr="0069238B">
        <w:rPr>
          <w:szCs w:val="22"/>
        </w:rPr>
        <w:t>O padrão da estrutura térmica neste reservatório, avaliado por meio da modelagem (Anexo I), aponta uma variação da temperatura da água nas partições mais profundas do reservatório, com estratificação térmica no período de agosto a fevereiro. A partir do mês de março, inicia-se a quebra da termoclina e tendência de pouca variação no perfil de temperatura. A alternância de períodos de estratificação e mistura da massa de água podem ter implicações ecológicas, ocasionadas pelo transporte de nutrientes acumulados durante a formação de estratos e a sua distribuição por todo corpo da águ</w:t>
      </w:r>
      <w:r>
        <w:rPr>
          <w:szCs w:val="22"/>
        </w:rPr>
        <w:t>a durante o período de mistura.</w:t>
      </w:r>
    </w:p>
    <w:p w:rsidR="0069238B" w:rsidRDefault="0069238B" w:rsidP="00031D63">
      <w:pPr>
        <w:tabs>
          <w:tab w:val="left" w:pos="0"/>
        </w:tabs>
        <w:spacing w:before="120" w:after="120" w:line="240" w:lineRule="auto"/>
        <w:rPr>
          <w:i/>
          <w:szCs w:val="22"/>
        </w:rPr>
      </w:pPr>
    </w:p>
    <w:p w:rsidR="0069238B" w:rsidRDefault="0069238B" w:rsidP="00031D63">
      <w:pPr>
        <w:tabs>
          <w:tab w:val="left" w:pos="0"/>
        </w:tabs>
        <w:spacing w:before="120" w:after="120" w:line="240" w:lineRule="auto"/>
        <w:rPr>
          <w:i/>
          <w:szCs w:val="22"/>
        </w:rPr>
      </w:pPr>
    </w:p>
    <w:p w:rsidR="00785A33" w:rsidRDefault="00785A33" w:rsidP="00031D63">
      <w:pPr>
        <w:tabs>
          <w:tab w:val="left" w:pos="0"/>
        </w:tabs>
        <w:spacing w:before="120" w:after="120" w:line="240" w:lineRule="auto"/>
        <w:rPr>
          <w:i/>
          <w:szCs w:val="22"/>
        </w:rPr>
      </w:pPr>
    </w:p>
    <w:p w:rsidR="00785A33" w:rsidRDefault="00785A33">
      <w:pPr>
        <w:spacing w:line="240" w:lineRule="auto"/>
        <w:jc w:val="left"/>
        <w:rPr>
          <w:i/>
          <w:szCs w:val="22"/>
        </w:rPr>
      </w:pPr>
      <w:r>
        <w:rPr>
          <w:i/>
          <w:szCs w:val="22"/>
        </w:rPr>
        <w:br w:type="page"/>
      </w:r>
    </w:p>
    <w:p w:rsidR="00031D63" w:rsidRPr="00031D63" w:rsidRDefault="00031D63" w:rsidP="00031D63">
      <w:pPr>
        <w:tabs>
          <w:tab w:val="left" w:pos="0"/>
        </w:tabs>
        <w:spacing w:before="120" w:after="120" w:line="240" w:lineRule="auto"/>
        <w:rPr>
          <w:i/>
          <w:szCs w:val="22"/>
        </w:rPr>
      </w:pPr>
      <w:r w:rsidRPr="00031D63">
        <w:rPr>
          <w:i/>
          <w:szCs w:val="22"/>
        </w:rPr>
        <w:lastRenderedPageBreak/>
        <w:t>- Cenário 02: Operação do Reservatório na Cota 631,0 m – Permanência de 95%</w:t>
      </w:r>
    </w:p>
    <w:p w:rsidR="0069238B" w:rsidRPr="0069238B" w:rsidRDefault="0069238B" w:rsidP="0069238B">
      <w:pPr>
        <w:tabs>
          <w:tab w:val="left" w:pos="0"/>
        </w:tabs>
        <w:spacing w:before="120" w:after="120" w:line="240" w:lineRule="auto"/>
        <w:rPr>
          <w:szCs w:val="22"/>
        </w:rPr>
      </w:pPr>
      <w:r w:rsidRPr="0069238B">
        <w:rPr>
          <w:szCs w:val="22"/>
        </w:rPr>
        <w:t xml:space="preserve">Comparando-se os resultados obtidos da modelagem, em ambos os cenários adotados, verifica-se uma padrão semelhante nos resultados de oxigênio dissolvido, sendo esperadas concentrações acima de 5 mg/L, no corpo central e nos tributários, compatíveis com os dados obtidos com a operação no Nível d’Água Máximo Normal – NA (Cenário 01). </w:t>
      </w:r>
    </w:p>
    <w:p w:rsidR="0069238B" w:rsidRDefault="0069238B" w:rsidP="0069238B">
      <w:pPr>
        <w:tabs>
          <w:tab w:val="left" w:pos="0"/>
        </w:tabs>
        <w:spacing w:before="120" w:after="120" w:line="240" w:lineRule="auto"/>
        <w:rPr>
          <w:szCs w:val="22"/>
        </w:rPr>
      </w:pPr>
      <w:r w:rsidRPr="0069238B">
        <w:rPr>
          <w:szCs w:val="22"/>
        </w:rPr>
        <w:t xml:space="preserve">As concentrações de DBO também mantêm um padrão semelhante ao Cenário 01, com teores em torno de 4 mg/L, em acordo com o padrão da Resolução </w:t>
      </w:r>
      <w:r w:rsidR="00504078">
        <w:rPr>
          <w:szCs w:val="22"/>
        </w:rPr>
        <w:t>CONAMA</w:t>
      </w:r>
      <w:r w:rsidRPr="0069238B">
        <w:rPr>
          <w:szCs w:val="22"/>
        </w:rPr>
        <w:t xml:space="preserve"> 357/05, em todos os ambientes avaliados, após a estabilização da fitomassa. </w:t>
      </w:r>
    </w:p>
    <w:p w:rsidR="00031D63" w:rsidRPr="00031D63" w:rsidRDefault="0069238B" w:rsidP="00031D63">
      <w:pPr>
        <w:tabs>
          <w:tab w:val="left" w:pos="0"/>
        </w:tabs>
        <w:spacing w:before="120" w:after="120" w:line="240" w:lineRule="auto"/>
        <w:rPr>
          <w:szCs w:val="22"/>
        </w:rPr>
      </w:pPr>
      <w:r w:rsidRPr="0069238B">
        <w:rPr>
          <w:szCs w:val="22"/>
        </w:rPr>
        <w:t xml:space="preserve">Os compostos nitrogenados e de fósforo também apresentam um comportamento similar, nos dois cenários avaliados, com pequena elevação na cota 631, porém, com resultados compatíveis com a Resolução </w:t>
      </w:r>
      <w:r w:rsidR="00504078">
        <w:rPr>
          <w:szCs w:val="22"/>
        </w:rPr>
        <w:t>CONAMA</w:t>
      </w:r>
      <w:r w:rsidRPr="0069238B">
        <w:rPr>
          <w:szCs w:val="22"/>
        </w:rPr>
        <w:t xml:space="preserve"> 357/05.</w:t>
      </w:r>
    </w:p>
    <w:p w:rsidR="00031D63" w:rsidRPr="00031D63" w:rsidRDefault="00031D63" w:rsidP="00031D63">
      <w:pPr>
        <w:numPr>
          <w:ilvl w:val="0"/>
          <w:numId w:val="87"/>
        </w:numPr>
        <w:tabs>
          <w:tab w:val="left" w:pos="0"/>
        </w:tabs>
        <w:spacing w:before="120" w:after="120" w:line="240" w:lineRule="auto"/>
        <w:rPr>
          <w:b/>
          <w:szCs w:val="22"/>
        </w:rPr>
      </w:pPr>
      <w:r w:rsidRPr="00031D63">
        <w:rPr>
          <w:b/>
          <w:szCs w:val="22"/>
        </w:rPr>
        <w:t>Barragem Duas Pontes</w:t>
      </w:r>
    </w:p>
    <w:p w:rsidR="00031D63" w:rsidRPr="00031D63" w:rsidRDefault="00031D63" w:rsidP="00031D63">
      <w:pPr>
        <w:tabs>
          <w:tab w:val="left" w:pos="0"/>
        </w:tabs>
        <w:spacing w:before="120" w:after="120" w:line="240" w:lineRule="auto"/>
        <w:rPr>
          <w:szCs w:val="22"/>
        </w:rPr>
      </w:pPr>
      <w:r w:rsidRPr="00031D63">
        <w:rPr>
          <w:szCs w:val="22"/>
        </w:rPr>
        <w:t xml:space="preserve">- </w:t>
      </w:r>
      <w:r w:rsidRPr="00031D63">
        <w:rPr>
          <w:i/>
          <w:szCs w:val="22"/>
        </w:rPr>
        <w:t>Cenário 01 - Operação no Nível d’Água Máximo Normal – NA = 646,0 m</w:t>
      </w:r>
    </w:p>
    <w:p w:rsidR="00031D63" w:rsidRPr="00031D63" w:rsidRDefault="00031D63" w:rsidP="00031D63">
      <w:pPr>
        <w:tabs>
          <w:tab w:val="left" w:pos="0"/>
        </w:tabs>
        <w:spacing w:before="120" w:after="120" w:line="240" w:lineRule="auto"/>
        <w:rPr>
          <w:szCs w:val="22"/>
        </w:rPr>
      </w:pPr>
      <w:r w:rsidRPr="00031D63">
        <w:rPr>
          <w:szCs w:val="22"/>
        </w:rPr>
        <w:t xml:space="preserve">Na fase de operação da Barragem Duas Pontes, considerando as ações de desmatamento, são esperados reduzidos níveis de  oxigênio dissolvido, próximos de 4 mg/L, no corpo central do reservatório. As menores taxas de oxigênio dissolvido deverão ser registradas no segmento a jusante da foz do ribeirão do Pantaleão (Seg-09), com variação entre 2,2 mg/L e 3,8 mg/L. </w:t>
      </w:r>
    </w:p>
    <w:p w:rsidR="00031D63" w:rsidRPr="00031D63" w:rsidRDefault="00031D63" w:rsidP="00031D63">
      <w:pPr>
        <w:tabs>
          <w:tab w:val="left" w:pos="0"/>
        </w:tabs>
        <w:spacing w:before="120" w:after="120" w:line="240" w:lineRule="auto"/>
        <w:rPr>
          <w:szCs w:val="22"/>
        </w:rPr>
      </w:pPr>
      <w:r w:rsidRPr="00031D63">
        <w:rPr>
          <w:szCs w:val="22"/>
        </w:rPr>
        <w:t xml:space="preserve">As simulações apontam nos tributários um padrão semelhante de baixos índices de oxigênio dissolvido (&lt; 4 mg/L), abaixo do limite mínimo estabelecido pela Resolução </w:t>
      </w:r>
      <w:r w:rsidR="00504078">
        <w:rPr>
          <w:szCs w:val="22"/>
        </w:rPr>
        <w:t>CONAMA</w:t>
      </w:r>
      <w:r w:rsidRPr="00031D63">
        <w:rPr>
          <w:szCs w:val="22"/>
        </w:rPr>
        <w:t xml:space="preserve"> 357/05 (5 mg/L). A recuperação das taxas de OD para valores acima de 5 mg/L ocorrerá no córrego da Boa Vista (Seg-10 e 11), após a degradação da fitomassa. </w:t>
      </w:r>
    </w:p>
    <w:p w:rsidR="00031D63" w:rsidRPr="00031D63" w:rsidRDefault="00031D63" w:rsidP="00031D63">
      <w:pPr>
        <w:tabs>
          <w:tab w:val="left" w:pos="0"/>
        </w:tabs>
        <w:spacing w:before="120" w:after="120" w:line="240" w:lineRule="auto"/>
        <w:rPr>
          <w:szCs w:val="22"/>
        </w:rPr>
      </w:pPr>
      <w:r w:rsidRPr="00031D63">
        <w:rPr>
          <w:szCs w:val="22"/>
        </w:rPr>
        <w:t xml:space="preserve">Em termos de DBO, os níveis mais elevados, entre 5 e 6 mg/L, foram estimados nos compartimentos do corpo central mais próximos à sede urbana de Amparo (Seg-06 e 07), devido ao maior potencial de introdução de cargas poluidoras. Nos contribuintes, as concentrações de DBO tendem a decair para valores inferiores a 2 mg/L, compatíveis com o padrão da Resolução </w:t>
      </w:r>
      <w:r w:rsidR="00504078">
        <w:rPr>
          <w:szCs w:val="22"/>
        </w:rPr>
        <w:t>CONAMA</w:t>
      </w:r>
      <w:r w:rsidRPr="00031D63">
        <w:rPr>
          <w:szCs w:val="22"/>
        </w:rPr>
        <w:t xml:space="preserve"> 357/05 (≤5 mg/L), após cerca de 150 dias do enchimento.</w:t>
      </w:r>
    </w:p>
    <w:p w:rsidR="00031D63" w:rsidRPr="00031D63" w:rsidRDefault="00031D63" w:rsidP="00031D63">
      <w:pPr>
        <w:tabs>
          <w:tab w:val="left" w:pos="0"/>
        </w:tabs>
        <w:spacing w:before="120" w:after="120" w:line="240" w:lineRule="auto"/>
        <w:rPr>
          <w:szCs w:val="22"/>
        </w:rPr>
      </w:pPr>
      <w:r w:rsidRPr="00031D63">
        <w:rPr>
          <w:szCs w:val="22"/>
        </w:rPr>
        <w:t xml:space="preserve">Estão previstos teores de nitrato abaixo do limite máximo de 10 mg/L estabelecido pela Resolução </w:t>
      </w:r>
      <w:r w:rsidR="00504078">
        <w:rPr>
          <w:szCs w:val="22"/>
        </w:rPr>
        <w:t>CONAMA</w:t>
      </w:r>
      <w:r w:rsidRPr="00031D63">
        <w:rPr>
          <w:szCs w:val="22"/>
        </w:rPr>
        <w:t xml:space="preserve"> 357/05 no corpo central e nos braços contribuintes. </w:t>
      </w:r>
    </w:p>
    <w:p w:rsidR="00031D63" w:rsidRPr="00031D63" w:rsidRDefault="00031D63" w:rsidP="00031D63">
      <w:pPr>
        <w:tabs>
          <w:tab w:val="left" w:pos="0"/>
        </w:tabs>
        <w:spacing w:before="120" w:after="120" w:line="240" w:lineRule="auto"/>
        <w:rPr>
          <w:szCs w:val="22"/>
        </w:rPr>
      </w:pPr>
      <w:r w:rsidRPr="00031D63">
        <w:rPr>
          <w:szCs w:val="22"/>
        </w:rPr>
        <w:t xml:space="preserve">Contudo, os teores simulados de amônia extrapolam, no corpo central, os limites máximos preconizados pela Resolução </w:t>
      </w:r>
      <w:r w:rsidR="00504078">
        <w:rPr>
          <w:szCs w:val="22"/>
        </w:rPr>
        <w:t>CONAMA</w:t>
      </w:r>
      <w:r w:rsidRPr="00031D63">
        <w:rPr>
          <w:szCs w:val="22"/>
        </w:rPr>
        <w:t xml:space="preserve"> 357/05, sobretudo nos segmentos Seg-06 e Seg-07, com variação entre 3,4 e 4,2 mg/L, possivelmente devido às cargas de esgotos domésticos provenientes da zona urbana de Amparo. </w:t>
      </w:r>
      <w:r w:rsidR="0069238B" w:rsidRPr="0069238B">
        <w:rPr>
          <w:szCs w:val="22"/>
        </w:rPr>
        <w:t>Em mananciais de abastecimento público, a Portaria 2.914/11 do Ministério da Saúde recomenda que os teores de amônia (como NH</w:t>
      </w:r>
      <w:r w:rsidR="0069238B" w:rsidRPr="0069238B">
        <w:rPr>
          <w:szCs w:val="22"/>
          <w:vertAlign w:val="subscript"/>
        </w:rPr>
        <w:t>3</w:t>
      </w:r>
      <w:r w:rsidR="0069238B" w:rsidRPr="0069238B">
        <w:rPr>
          <w:szCs w:val="22"/>
        </w:rPr>
        <w:t xml:space="preserve">) não excedam 1,5 mg/L. A </w:t>
      </w:r>
      <w:r w:rsidR="00504078">
        <w:rPr>
          <w:szCs w:val="22"/>
        </w:rPr>
        <w:t>CETESB</w:t>
      </w:r>
      <w:r w:rsidR="0069238B" w:rsidRPr="00E47F9E">
        <w:rPr>
          <w:szCs w:val="22"/>
        </w:rPr>
        <w:t xml:space="preserve"> (1997) relata que elevadas concentrações de amônia interferem no processo de cloração das águas. </w:t>
      </w:r>
    </w:p>
    <w:p w:rsidR="00031D63" w:rsidRPr="00031D63" w:rsidRDefault="00031D63" w:rsidP="00031D63">
      <w:pPr>
        <w:tabs>
          <w:tab w:val="left" w:pos="0"/>
        </w:tabs>
        <w:spacing w:before="120" w:after="120" w:line="240" w:lineRule="auto"/>
        <w:rPr>
          <w:szCs w:val="22"/>
        </w:rPr>
      </w:pPr>
      <w:r w:rsidRPr="00031D63">
        <w:rPr>
          <w:szCs w:val="22"/>
        </w:rPr>
        <w:t>Nos demais compartimentos do corpo central, os níveis deste composto reduzem de montante para jusante, atingindo mínimo de 0,3 mg/L. Nos tributários, as concentrações da amônia apresentaram tendência de estabilização em valores próximos de 0,4 mg/L.</w:t>
      </w:r>
    </w:p>
    <w:p w:rsidR="00031D63" w:rsidRPr="00031D63" w:rsidRDefault="00031D63" w:rsidP="00031D63">
      <w:pPr>
        <w:tabs>
          <w:tab w:val="left" w:pos="0"/>
        </w:tabs>
        <w:spacing w:before="120" w:after="120" w:line="240" w:lineRule="auto"/>
        <w:rPr>
          <w:szCs w:val="22"/>
        </w:rPr>
      </w:pPr>
      <w:r w:rsidRPr="00031D63">
        <w:rPr>
          <w:szCs w:val="22"/>
        </w:rPr>
        <w:t xml:space="preserve">Os níveis de fósforo total deverão permanecer elevados no corpo principal do reservatório, em torno de 0,3 mg/L, com redução nos compartimentos mais a jusante da sede urbana de Amparo (Seg-09 e 12), nos quais são esperadas concentrações em torno de 0,2 mg/L, o que demonstra um ambiente Supereutrófico. </w:t>
      </w:r>
    </w:p>
    <w:p w:rsidR="00031D63" w:rsidRPr="00031D63" w:rsidRDefault="00031D63" w:rsidP="00031D63">
      <w:pPr>
        <w:tabs>
          <w:tab w:val="left" w:pos="0"/>
        </w:tabs>
        <w:spacing w:before="120" w:after="120" w:line="240" w:lineRule="auto"/>
        <w:rPr>
          <w:szCs w:val="22"/>
        </w:rPr>
      </w:pPr>
      <w:r w:rsidRPr="00031D63">
        <w:rPr>
          <w:szCs w:val="22"/>
        </w:rPr>
        <w:t xml:space="preserve">Nos braços tributários verifica-se tendência de estabilização, com níveis em torno de 0,02 mg/L e 0,10 mg/L, que resultam em classificação do ambiente como Mesotrófico e Eutrófico, respectivamente, sendo esperado um maior nível de trofia no ribeirão do Pantaleão (Seg-01) e no córrego da Boa Vista (Seg-10). Embora as concentrações de fósforo no corpo central do reservatório sejam geralmente superiores ao valor indicado pela Resolução </w:t>
      </w:r>
      <w:r w:rsidR="00504078">
        <w:rPr>
          <w:szCs w:val="22"/>
        </w:rPr>
        <w:t>CONAMA</w:t>
      </w:r>
      <w:r w:rsidRPr="00031D63">
        <w:rPr>
          <w:szCs w:val="22"/>
        </w:rPr>
        <w:t xml:space="preserve"> 357/05 para ambientes lênticos (0,03 mg/L), a circulação mais elevada prevista nesses setores deverá contribuir para minimizar os efeitos de eutrofização. </w:t>
      </w:r>
    </w:p>
    <w:p w:rsidR="00674497" w:rsidRPr="00674497" w:rsidRDefault="00674497" w:rsidP="00674497">
      <w:pPr>
        <w:tabs>
          <w:tab w:val="left" w:pos="0"/>
        </w:tabs>
        <w:spacing w:before="120" w:after="120" w:line="240" w:lineRule="auto"/>
        <w:rPr>
          <w:szCs w:val="22"/>
        </w:rPr>
      </w:pPr>
      <w:r w:rsidRPr="00674497">
        <w:rPr>
          <w:szCs w:val="22"/>
        </w:rPr>
        <w:lastRenderedPageBreak/>
        <w:t xml:space="preserve">Conforme citado, durante a vida útil dos empreendimentos, é esperada uma maior retenção de sólidos e de fósforo no corpo dos reservatórios, que tendem a se precipitar nos sedimentos, com tendência de redução das concentrações desses constituintes, o que resultará em melhoria nas características estéticas da água no rio Camanducaia, a jusante do reservatório. A implantação de dispersor na barragem permitirá também aumentar o nível de oxigenação das águas a jusante, além de evitar o processo erosivo no leito dos rios. </w:t>
      </w:r>
    </w:p>
    <w:p w:rsidR="00674497" w:rsidRPr="00674497" w:rsidRDefault="00674497" w:rsidP="00674497">
      <w:pPr>
        <w:tabs>
          <w:tab w:val="left" w:pos="0"/>
        </w:tabs>
        <w:spacing w:before="120" w:after="120" w:line="240" w:lineRule="auto"/>
        <w:rPr>
          <w:szCs w:val="22"/>
        </w:rPr>
      </w:pPr>
      <w:r w:rsidRPr="00674497">
        <w:rPr>
          <w:szCs w:val="22"/>
        </w:rPr>
        <w:t xml:space="preserve">A análise do perfil de temperatura no reservatório da Barragem Duas Pontes demonstra uma eficiente mistura da coluna d’água, caracterizando um ambiente com ausência de estratificação entre os meses de dezembro a junho. Contudo, observa-se uma tendência à estratificação térmica temporária nos meses mais secos do ano, principalmente no período de setembro e outubro, conforme apresentado no </w:t>
      </w:r>
      <w:r>
        <w:rPr>
          <w:szCs w:val="22"/>
        </w:rPr>
        <w:t>Volume II – Tomo 1 – Parte 1.</w:t>
      </w:r>
      <w:r w:rsidRPr="00674497">
        <w:rPr>
          <w:szCs w:val="22"/>
        </w:rPr>
        <w:t xml:space="preserve"> </w:t>
      </w:r>
    </w:p>
    <w:p w:rsidR="00674497" w:rsidRPr="00674497" w:rsidRDefault="00674497" w:rsidP="00674497">
      <w:pPr>
        <w:tabs>
          <w:tab w:val="left" w:pos="0"/>
        </w:tabs>
        <w:spacing w:before="120" w:after="120" w:line="240" w:lineRule="auto"/>
        <w:rPr>
          <w:i/>
          <w:szCs w:val="22"/>
        </w:rPr>
      </w:pPr>
      <w:r w:rsidRPr="00674497">
        <w:rPr>
          <w:i/>
          <w:szCs w:val="22"/>
        </w:rPr>
        <w:t>- Cenário 02: Operação do Reservatório na Cota 634,0 m – Permanência de 95%</w:t>
      </w:r>
    </w:p>
    <w:p w:rsidR="00674497" w:rsidRPr="00674497" w:rsidRDefault="00674497" w:rsidP="00674497">
      <w:pPr>
        <w:tabs>
          <w:tab w:val="left" w:pos="0"/>
        </w:tabs>
        <w:spacing w:before="120" w:after="120" w:line="240" w:lineRule="auto"/>
        <w:rPr>
          <w:szCs w:val="22"/>
        </w:rPr>
      </w:pPr>
      <w:r w:rsidRPr="00674497">
        <w:rPr>
          <w:szCs w:val="22"/>
        </w:rPr>
        <w:t xml:space="preserve">Comparando os resultados obtidos da modelagem de ambos os cenários adotados, verifica-se uma alteração no padrão dos resultados de oxigênio dissolvido no Cenário 02, com destaque para os compartimentos mais próximos ao eixo da barragem (Seg-08, Seg-09 e Seg-12), no corpo central, nos quais são esperados índices de oxigênio dissolvido abaixo de 4 mg/L. Esse resultado representa um ligeiro declínio em relação aos dados obtidos com a operação no Nível d’Água Máximo Normal – NA = 646,0 m (Cenário 01). Nos tributários também é esperada uma redução nas taxas de OD, no Cenário 02. </w:t>
      </w:r>
    </w:p>
    <w:p w:rsidR="00674497" w:rsidRPr="00674497" w:rsidRDefault="00674497" w:rsidP="00674497">
      <w:pPr>
        <w:tabs>
          <w:tab w:val="left" w:pos="0"/>
        </w:tabs>
        <w:spacing w:before="120" w:after="120" w:line="240" w:lineRule="auto"/>
        <w:rPr>
          <w:szCs w:val="22"/>
        </w:rPr>
      </w:pPr>
      <w:r w:rsidRPr="00674497">
        <w:rPr>
          <w:szCs w:val="22"/>
        </w:rPr>
        <w:t xml:space="preserve">As concentrações de DBO mantem um padrão semelhante ao Cenário 01, exceto no segmento próximo à foz do ribeirão Pantaleão (Seg-08), com DBO em torno de 4 mg/L, ligeiramente acima do previsto com a operação no Nível d’Água Máximo Normal – NA = 646,0 m (em torno de 2 mg/L). Nos tributários, os teores de DBO tendem a aumentar ligeiramente, na cota 634m, mas em níveis compatíveis com a Resolução </w:t>
      </w:r>
      <w:r w:rsidR="00504078">
        <w:rPr>
          <w:szCs w:val="22"/>
        </w:rPr>
        <w:t>CONAMA</w:t>
      </w:r>
      <w:r w:rsidRPr="00674497">
        <w:rPr>
          <w:szCs w:val="22"/>
        </w:rPr>
        <w:t xml:space="preserve"> 357/05 (&lt;5mg/L), após a estabilização da fitomassa. </w:t>
      </w:r>
    </w:p>
    <w:p w:rsidR="00674497" w:rsidRPr="00674497" w:rsidRDefault="00674497" w:rsidP="00674497">
      <w:pPr>
        <w:tabs>
          <w:tab w:val="left" w:pos="0"/>
        </w:tabs>
        <w:spacing w:before="120" w:after="120" w:line="240" w:lineRule="auto"/>
        <w:rPr>
          <w:szCs w:val="22"/>
        </w:rPr>
      </w:pPr>
      <w:r w:rsidRPr="00674497">
        <w:rPr>
          <w:szCs w:val="22"/>
        </w:rPr>
        <w:t xml:space="preserve">Nesta condição, também deverá ocorrer um pequeno aumento na concentração de fósforo, no corpo central e nos tributários. Os compostos nitrogenados apresentam um comportamento semelhante, nos dois cenários avaliados, sendo prevista uma pequena redução na concentração de nitrato e um ligeiro aumento de amônia, no Cenário 02, principalmente nos compartimentos do corpo central próximos do eixo da barragem (Seg-09 e Seg-12). </w:t>
      </w:r>
    </w:p>
    <w:p w:rsidR="00674497" w:rsidRPr="00674497" w:rsidRDefault="00674497" w:rsidP="00674497">
      <w:pPr>
        <w:tabs>
          <w:tab w:val="left" w:pos="0"/>
        </w:tabs>
        <w:spacing w:before="120" w:after="120" w:line="240" w:lineRule="auto"/>
        <w:rPr>
          <w:szCs w:val="22"/>
        </w:rPr>
      </w:pPr>
      <w:r w:rsidRPr="00674497">
        <w:rPr>
          <w:szCs w:val="22"/>
        </w:rPr>
        <w:t>A alteração da qualidade das águas superficiais e dos sedimentos é um impacto negativo e direto. Considera-se certa a ocorrência deste impacto, no curto prazo, localizado na AID e ADA. Trata-se de um impacto de caráter irreversível e permanente, persistindo durante toda a vida útil do empreendimento.</w:t>
      </w:r>
    </w:p>
    <w:p w:rsidR="00674497" w:rsidRPr="00674497" w:rsidRDefault="00674497" w:rsidP="00674497">
      <w:pPr>
        <w:tabs>
          <w:tab w:val="left" w:pos="0"/>
        </w:tabs>
        <w:spacing w:before="120" w:after="120" w:line="240" w:lineRule="auto"/>
        <w:rPr>
          <w:szCs w:val="22"/>
        </w:rPr>
      </w:pPr>
      <w:r w:rsidRPr="00674497">
        <w:rPr>
          <w:szCs w:val="22"/>
        </w:rPr>
        <w:t>O impacto foi classificado como de média magnitude para a Barragem Pedreira e de grande magnitude para a Barragem Duas Pontes, levando-se em conta os resultados antevistos pela modelagem matemática para os respectivos empreendimentos.</w:t>
      </w:r>
    </w:p>
    <w:p w:rsidR="00961C37" w:rsidRPr="00601292" w:rsidRDefault="008D3A12" w:rsidP="00674497">
      <w:pPr>
        <w:pStyle w:val="Legenda"/>
        <w:spacing w:line="240" w:lineRule="auto"/>
        <w:rPr>
          <w:b w:val="0"/>
          <w:i w:val="0"/>
        </w:rPr>
      </w:pPr>
      <w:bookmarkStart w:id="202" w:name="_Toc420316462"/>
      <w:r w:rsidRPr="00601292">
        <w:rPr>
          <w:i w:val="0"/>
        </w:rPr>
        <w:t xml:space="preserve">Quadro </w:t>
      </w:r>
      <w:r w:rsidR="00B80A05" w:rsidRPr="00601292">
        <w:rPr>
          <w:i w:val="0"/>
        </w:rPr>
        <w:fldChar w:fldCharType="begin"/>
      </w:r>
      <w:r w:rsidR="00402E81" w:rsidRPr="00601292">
        <w:rPr>
          <w:i w:val="0"/>
        </w:rPr>
        <w:instrText xml:space="preserve"> STYLEREF 2 \s </w:instrText>
      </w:r>
      <w:r w:rsidR="00B80A05" w:rsidRPr="00601292">
        <w:rPr>
          <w:i w:val="0"/>
        </w:rPr>
        <w:fldChar w:fldCharType="separate"/>
      </w:r>
      <w:r w:rsidR="00316060">
        <w:rPr>
          <w:i w:val="0"/>
          <w:noProof/>
        </w:rPr>
        <w:t>1.3</w:t>
      </w:r>
      <w:r w:rsidR="00B80A05" w:rsidRPr="00601292">
        <w:rPr>
          <w:i w:val="0"/>
        </w:rPr>
        <w:fldChar w:fldCharType="end"/>
      </w:r>
      <w:r w:rsidR="00402E81" w:rsidRPr="00601292">
        <w:rPr>
          <w:i w:val="0"/>
        </w:rPr>
        <w:t>.</w:t>
      </w:r>
      <w:r w:rsidR="00B80A05" w:rsidRPr="00601292">
        <w:rPr>
          <w:i w:val="0"/>
        </w:rPr>
        <w:fldChar w:fldCharType="begin"/>
      </w:r>
      <w:r w:rsidR="00402E81" w:rsidRPr="00601292">
        <w:rPr>
          <w:i w:val="0"/>
        </w:rPr>
        <w:instrText xml:space="preserve"> SEQ Quadro \* ARABIC \s 2 </w:instrText>
      </w:r>
      <w:r w:rsidR="00B80A05" w:rsidRPr="00601292">
        <w:rPr>
          <w:i w:val="0"/>
        </w:rPr>
        <w:fldChar w:fldCharType="separate"/>
      </w:r>
      <w:r w:rsidR="00316060">
        <w:rPr>
          <w:i w:val="0"/>
          <w:noProof/>
        </w:rPr>
        <w:t>19</w:t>
      </w:r>
      <w:r w:rsidR="00B80A05" w:rsidRPr="00601292">
        <w:rPr>
          <w:i w:val="0"/>
        </w:rPr>
        <w:fldChar w:fldCharType="end"/>
      </w:r>
      <w:r w:rsidR="00601292" w:rsidRPr="00601292">
        <w:rPr>
          <w:i w:val="0"/>
        </w:rPr>
        <w:t xml:space="preserve">. </w:t>
      </w:r>
      <w:r w:rsidR="00601292" w:rsidRPr="00601292">
        <w:rPr>
          <w:b w:val="0"/>
          <w:i w:val="0"/>
        </w:rPr>
        <w:t xml:space="preserve">- </w:t>
      </w:r>
      <w:r w:rsidR="00961C37" w:rsidRPr="00601292">
        <w:rPr>
          <w:rFonts w:cs="Arial"/>
          <w:b w:val="0"/>
          <w:bCs/>
          <w:i w:val="0"/>
          <w:szCs w:val="22"/>
        </w:rPr>
        <w:t xml:space="preserve">Caracterização do Impacto – </w:t>
      </w:r>
      <w:r w:rsidR="00961C37" w:rsidRPr="00601292">
        <w:rPr>
          <w:b w:val="0"/>
          <w:i w:val="0"/>
        </w:rPr>
        <w:t>Alteração na Qualidade das Águas Superficiais e dos Sedimentos</w:t>
      </w:r>
      <w:r w:rsidR="00BC5169" w:rsidRPr="00601292">
        <w:rPr>
          <w:b w:val="0"/>
          <w:i w:val="0"/>
        </w:rPr>
        <w:t xml:space="preserve"> na </w:t>
      </w:r>
      <w:r w:rsidR="0012535F" w:rsidRPr="00601292">
        <w:rPr>
          <w:b w:val="0"/>
          <w:i w:val="0"/>
        </w:rPr>
        <w:t>F</w:t>
      </w:r>
      <w:r w:rsidR="007B7178" w:rsidRPr="00601292">
        <w:rPr>
          <w:b w:val="0"/>
          <w:i w:val="0"/>
        </w:rPr>
        <w:t xml:space="preserve">ase de </w:t>
      </w:r>
      <w:r w:rsidR="0012535F" w:rsidRPr="00601292">
        <w:rPr>
          <w:b w:val="0"/>
          <w:i w:val="0"/>
        </w:rPr>
        <w:t>O</w:t>
      </w:r>
      <w:r w:rsidR="007B7178" w:rsidRPr="00601292">
        <w:rPr>
          <w:b w:val="0"/>
          <w:i w:val="0"/>
        </w:rPr>
        <w:t>peração</w:t>
      </w:r>
      <w:r w:rsidR="00961C37" w:rsidRPr="00601292">
        <w:rPr>
          <w:b w:val="0"/>
          <w:i w:val="0"/>
        </w:rPr>
        <w:t xml:space="preserve"> - </w:t>
      </w:r>
      <w:r w:rsidR="00961C37" w:rsidRPr="00601292">
        <w:rPr>
          <w:rFonts w:cs="Arial"/>
          <w:b w:val="0"/>
          <w:bCs/>
          <w:i w:val="0"/>
          <w:szCs w:val="22"/>
        </w:rPr>
        <w:t>Barragem Pedreira</w:t>
      </w:r>
      <w:bookmarkEnd w:id="20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4"/>
        <w:gridCol w:w="1132"/>
        <w:gridCol w:w="2088"/>
        <w:gridCol w:w="1569"/>
        <w:gridCol w:w="3547"/>
      </w:tblGrid>
      <w:tr w:rsidR="00627FA2" w:rsidRPr="00627FA2" w:rsidTr="00961C37">
        <w:trPr>
          <w:trHeight w:val="518"/>
          <w:jc w:val="center"/>
        </w:trPr>
        <w:tc>
          <w:tcPr>
            <w:tcW w:w="644"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Natureza</w:t>
            </w:r>
          </w:p>
        </w:tc>
        <w:tc>
          <w:tcPr>
            <w:tcW w:w="5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Ordem</w:t>
            </w:r>
          </w:p>
        </w:tc>
        <w:tc>
          <w:tcPr>
            <w:tcW w:w="10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Abrangência</w:t>
            </w:r>
          </w:p>
        </w:tc>
        <w:tc>
          <w:tcPr>
            <w:tcW w:w="820"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Duração</w:t>
            </w:r>
          </w:p>
        </w:tc>
        <w:tc>
          <w:tcPr>
            <w:tcW w:w="1853"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Probabilidade de Ocorrência</w:t>
            </w:r>
          </w:p>
        </w:tc>
      </w:tr>
      <w:tr w:rsidR="00627FA2" w:rsidRPr="00627FA2" w:rsidTr="00961C37">
        <w:trPr>
          <w:trHeight w:val="273"/>
          <w:jc w:val="center"/>
        </w:trPr>
        <w:tc>
          <w:tcPr>
            <w:tcW w:w="644"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Negativa</w:t>
            </w:r>
          </w:p>
        </w:tc>
        <w:tc>
          <w:tcPr>
            <w:tcW w:w="5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Direta</w:t>
            </w:r>
          </w:p>
        </w:tc>
        <w:tc>
          <w:tcPr>
            <w:tcW w:w="10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Local (AID/ADA)</w:t>
            </w:r>
          </w:p>
        </w:tc>
        <w:tc>
          <w:tcPr>
            <w:tcW w:w="820"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Permanente</w:t>
            </w:r>
          </w:p>
        </w:tc>
        <w:tc>
          <w:tcPr>
            <w:tcW w:w="1853"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Certa</w:t>
            </w:r>
          </w:p>
        </w:tc>
      </w:tr>
    </w:tbl>
    <w:p w:rsidR="00627FA2" w:rsidRPr="00627FA2" w:rsidRDefault="00627FA2" w:rsidP="00961C37">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2"/>
      </w:tblGrid>
      <w:tr w:rsidR="00627FA2" w:rsidRPr="00627FA2" w:rsidTr="00627FA2">
        <w:trPr>
          <w:trHeight w:val="397"/>
          <w:jc w:val="center"/>
        </w:trPr>
        <w:tc>
          <w:tcPr>
            <w:tcW w:w="134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Época de Ocorrência</w:t>
            </w:r>
          </w:p>
        </w:tc>
        <w:tc>
          <w:tcPr>
            <w:tcW w:w="977"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Reversibilidade</w:t>
            </w:r>
          </w:p>
        </w:tc>
        <w:tc>
          <w:tcPr>
            <w:tcW w:w="72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Magnitude</w:t>
            </w:r>
          </w:p>
        </w:tc>
        <w:tc>
          <w:tcPr>
            <w:tcW w:w="778"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Importância</w:t>
            </w:r>
          </w:p>
        </w:tc>
        <w:tc>
          <w:tcPr>
            <w:tcW w:w="118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Mitigação</w:t>
            </w:r>
          </w:p>
        </w:tc>
      </w:tr>
      <w:tr w:rsidR="00627FA2" w:rsidRPr="00627FA2" w:rsidTr="00627FA2">
        <w:trPr>
          <w:trHeight w:val="344"/>
          <w:jc w:val="center"/>
        </w:trPr>
        <w:tc>
          <w:tcPr>
            <w:tcW w:w="134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Curto Prazo</w:t>
            </w:r>
          </w:p>
        </w:tc>
        <w:tc>
          <w:tcPr>
            <w:tcW w:w="977"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Irreversível</w:t>
            </w:r>
          </w:p>
        </w:tc>
        <w:tc>
          <w:tcPr>
            <w:tcW w:w="72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Média</w:t>
            </w:r>
          </w:p>
        </w:tc>
        <w:tc>
          <w:tcPr>
            <w:tcW w:w="778"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Média</w:t>
            </w:r>
          </w:p>
        </w:tc>
        <w:tc>
          <w:tcPr>
            <w:tcW w:w="118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Mitigável</w:t>
            </w:r>
          </w:p>
        </w:tc>
      </w:tr>
    </w:tbl>
    <w:p w:rsidR="00C64127" w:rsidRDefault="00C64127" w:rsidP="00643FC3">
      <w:pPr>
        <w:spacing w:before="120" w:after="120" w:line="240" w:lineRule="auto"/>
        <w:jc w:val="center"/>
        <w:rPr>
          <w:rFonts w:cs="Arial"/>
          <w:b/>
          <w:bCs/>
          <w:szCs w:val="22"/>
        </w:rPr>
      </w:pPr>
    </w:p>
    <w:p w:rsidR="00627FA2" w:rsidRPr="00601292" w:rsidRDefault="008D3A12" w:rsidP="00601292">
      <w:pPr>
        <w:pStyle w:val="Legenda"/>
        <w:spacing w:line="240" w:lineRule="auto"/>
        <w:jc w:val="center"/>
        <w:rPr>
          <w:rFonts w:cs="Arial"/>
          <w:b w:val="0"/>
          <w:bCs/>
          <w:i w:val="0"/>
          <w:szCs w:val="22"/>
        </w:rPr>
      </w:pPr>
      <w:bookmarkStart w:id="203" w:name="_Toc420316463"/>
      <w:r w:rsidRPr="00601292">
        <w:rPr>
          <w:i w:val="0"/>
        </w:rPr>
        <w:lastRenderedPageBreak/>
        <w:t xml:space="preserve">Quadro </w:t>
      </w:r>
      <w:r w:rsidR="00B80A05" w:rsidRPr="00601292">
        <w:rPr>
          <w:i w:val="0"/>
        </w:rPr>
        <w:fldChar w:fldCharType="begin"/>
      </w:r>
      <w:r w:rsidR="00402E81" w:rsidRPr="00601292">
        <w:rPr>
          <w:i w:val="0"/>
        </w:rPr>
        <w:instrText xml:space="preserve"> STYLEREF 2 \s </w:instrText>
      </w:r>
      <w:r w:rsidR="00B80A05" w:rsidRPr="00601292">
        <w:rPr>
          <w:i w:val="0"/>
        </w:rPr>
        <w:fldChar w:fldCharType="separate"/>
      </w:r>
      <w:r w:rsidR="00316060">
        <w:rPr>
          <w:i w:val="0"/>
          <w:noProof/>
        </w:rPr>
        <w:t>1.3</w:t>
      </w:r>
      <w:r w:rsidR="00B80A05" w:rsidRPr="00601292">
        <w:rPr>
          <w:i w:val="0"/>
        </w:rPr>
        <w:fldChar w:fldCharType="end"/>
      </w:r>
      <w:r w:rsidR="00402E81" w:rsidRPr="00601292">
        <w:rPr>
          <w:i w:val="0"/>
        </w:rPr>
        <w:t>.</w:t>
      </w:r>
      <w:r w:rsidR="00B80A05" w:rsidRPr="00601292">
        <w:rPr>
          <w:i w:val="0"/>
        </w:rPr>
        <w:fldChar w:fldCharType="begin"/>
      </w:r>
      <w:r w:rsidR="00402E81" w:rsidRPr="00601292">
        <w:rPr>
          <w:i w:val="0"/>
        </w:rPr>
        <w:instrText xml:space="preserve"> SEQ Quadro \* ARABIC \s 2 </w:instrText>
      </w:r>
      <w:r w:rsidR="00B80A05" w:rsidRPr="00601292">
        <w:rPr>
          <w:i w:val="0"/>
        </w:rPr>
        <w:fldChar w:fldCharType="separate"/>
      </w:r>
      <w:r w:rsidR="00316060">
        <w:rPr>
          <w:i w:val="0"/>
          <w:noProof/>
        </w:rPr>
        <w:t>20</w:t>
      </w:r>
      <w:r w:rsidR="00B80A05" w:rsidRPr="00601292">
        <w:rPr>
          <w:i w:val="0"/>
        </w:rPr>
        <w:fldChar w:fldCharType="end"/>
      </w:r>
      <w:r w:rsidR="00601292" w:rsidRPr="00601292">
        <w:rPr>
          <w:i w:val="0"/>
        </w:rPr>
        <w:t>.</w:t>
      </w:r>
      <w:r w:rsidR="00601292" w:rsidRPr="00601292">
        <w:rPr>
          <w:b w:val="0"/>
          <w:i w:val="0"/>
        </w:rPr>
        <w:t xml:space="preserve"> - </w:t>
      </w:r>
      <w:r w:rsidR="00627FA2" w:rsidRPr="00601292">
        <w:rPr>
          <w:rFonts w:cs="Arial"/>
          <w:b w:val="0"/>
          <w:bCs/>
          <w:i w:val="0"/>
          <w:szCs w:val="22"/>
        </w:rPr>
        <w:t>Caracterização do Impacto - Alteração na Qualidade das Águas Superficiais e dos Sedimentos</w:t>
      </w:r>
      <w:r w:rsidR="00BC5169" w:rsidRPr="00601292">
        <w:rPr>
          <w:rFonts w:cs="Arial"/>
          <w:b w:val="0"/>
          <w:bCs/>
          <w:i w:val="0"/>
          <w:szCs w:val="22"/>
        </w:rPr>
        <w:t xml:space="preserve"> na Fase de Operação</w:t>
      </w:r>
      <w:r w:rsidR="007B7178" w:rsidRPr="00601292">
        <w:rPr>
          <w:rFonts w:cs="Arial"/>
          <w:b w:val="0"/>
          <w:bCs/>
          <w:i w:val="0"/>
          <w:szCs w:val="22"/>
        </w:rPr>
        <w:t xml:space="preserve"> </w:t>
      </w:r>
      <w:r w:rsidR="00627FA2" w:rsidRPr="00601292">
        <w:rPr>
          <w:rFonts w:cs="Arial"/>
          <w:b w:val="0"/>
          <w:bCs/>
          <w:i w:val="0"/>
          <w:szCs w:val="22"/>
        </w:rPr>
        <w:t>– Barragem Duas Pontes</w:t>
      </w:r>
      <w:bookmarkEnd w:id="20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69"/>
        <w:gridCol w:w="3547"/>
      </w:tblGrid>
      <w:tr w:rsidR="00627FA2" w:rsidRPr="00627FA2" w:rsidTr="00627FA2">
        <w:trPr>
          <w:trHeight w:val="518"/>
          <w:jc w:val="center"/>
        </w:trPr>
        <w:tc>
          <w:tcPr>
            <w:tcW w:w="645"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Natureza</w:t>
            </w:r>
          </w:p>
        </w:tc>
        <w:tc>
          <w:tcPr>
            <w:tcW w:w="5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Ordem</w:t>
            </w:r>
          </w:p>
        </w:tc>
        <w:tc>
          <w:tcPr>
            <w:tcW w:w="10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Abrangência</w:t>
            </w:r>
          </w:p>
        </w:tc>
        <w:tc>
          <w:tcPr>
            <w:tcW w:w="820"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Duração</w:t>
            </w:r>
          </w:p>
        </w:tc>
        <w:tc>
          <w:tcPr>
            <w:tcW w:w="1854"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Probabilidade de Ocorrência</w:t>
            </w:r>
          </w:p>
        </w:tc>
      </w:tr>
      <w:tr w:rsidR="00627FA2" w:rsidRPr="00627FA2" w:rsidTr="00627FA2">
        <w:trPr>
          <w:trHeight w:val="273"/>
          <w:jc w:val="center"/>
        </w:trPr>
        <w:tc>
          <w:tcPr>
            <w:tcW w:w="645"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Negativa</w:t>
            </w:r>
          </w:p>
        </w:tc>
        <w:tc>
          <w:tcPr>
            <w:tcW w:w="5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Direta</w:t>
            </w:r>
          </w:p>
        </w:tc>
        <w:tc>
          <w:tcPr>
            <w:tcW w:w="10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Local (AID/ADA)</w:t>
            </w:r>
          </w:p>
        </w:tc>
        <w:tc>
          <w:tcPr>
            <w:tcW w:w="820"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Permanente</w:t>
            </w:r>
          </w:p>
        </w:tc>
        <w:tc>
          <w:tcPr>
            <w:tcW w:w="1854"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Certa</w:t>
            </w:r>
          </w:p>
        </w:tc>
      </w:tr>
    </w:tbl>
    <w:p w:rsidR="00627FA2" w:rsidRPr="00627FA2" w:rsidRDefault="00627FA2" w:rsidP="00961C37">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2"/>
      </w:tblGrid>
      <w:tr w:rsidR="00627FA2" w:rsidRPr="00627FA2" w:rsidTr="00627FA2">
        <w:trPr>
          <w:trHeight w:val="397"/>
          <w:jc w:val="center"/>
        </w:trPr>
        <w:tc>
          <w:tcPr>
            <w:tcW w:w="134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Época de Ocorrência</w:t>
            </w:r>
          </w:p>
        </w:tc>
        <w:tc>
          <w:tcPr>
            <w:tcW w:w="977"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Reversibilidade</w:t>
            </w:r>
          </w:p>
        </w:tc>
        <w:tc>
          <w:tcPr>
            <w:tcW w:w="72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Magnitude</w:t>
            </w:r>
          </w:p>
        </w:tc>
        <w:tc>
          <w:tcPr>
            <w:tcW w:w="778"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Importância</w:t>
            </w:r>
          </w:p>
        </w:tc>
        <w:tc>
          <w:tcPr>
            <w:tcW w:w="118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Mitigação</w:t>
            </w:r>
          </w:p>
        </w:tc>
      </w:tr>
      <w:tr w:rsidR="00627FA2" w:rsidRPr="00627FA2" w:rsidTr="00627FA2">
        <w:trPr>
          <w:trHeight w:val="344"/>
          <w:jc w:val="center"/>
        </w:trPr>
        <w:tc>
          <w:tcPr>
            <w:tcW w:w="134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Curto Prazo</w:t>
            </w:r>
          </w:p>
        </w:tc>
        <w:tc>
          <w:tcPr>
            <w:tcW w:w="977"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Irreversível</w:t>
            </w:r>
          </w:p>
        </w:tc>
        <w:tc>
          <w:tcPr>
            <w:tcW w:w="72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 xml:space="preserve">Grande </w:t>
            </w:r>
          </w:p>
        </w:tc>
        <w:tc>
          <w:tcPr>
            <w:tcW w:w="778"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Alta</w:t>
            </w:r>
          </w:p>
        </w:tc>
        <w:tc>
          <w:tcPr>
            <w:tcW w:w="118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Mitigável</w:t>
            </w:r>
          </w:p>
        </w:tc>
      </w:tr>
    </w:tbl>
    <w:p w:rsidR="00627FA2" w:rsidRPr="00627FA2" w:rsidRDefault="00627FA2" w:rsidP="00961C37">
      <w:pPr>
        <w:autoSpaceDE w:val="0"/>
        <w:autoSpaceDN w:val="0"/>
        <w:adjustRightInd w:val="0"/>
        <w:spacing w:before="360" w:after="120" w:line="240" w:lineRule="auto"/>
        <w:rPr>
          <w:rFonts w:cs="Arial"/>
          <w:b/>
          <w:szCs w:val="22"/>
        </w:rPr>
      </w:pPr>
      <w:r w:rsidRPr="00627FA2">
        <w:rPr>
          <w:rFonts w:cs="Arial"/>
          <w:b/>
          <w:szCs w:val="22"/>
        </w:rPr>
        <w:t>Ações Ambientais Propostas:</w:t>
      </w:r>
    </w:p>
    <w:p w:rsidR="00674497" w:rsidRPr="00674497" w:rsidRDefault="00674497" w:rsidP="00674497">
      <w:pPr>
        <w:pStyle w:val="p3"/>
        <w:ind w:left="0"/>
        <w:rPr>
          <w:rFonts w:cs="Arial"/>
          <w:szCs w:val="22"/>
        </w:rPr>
      </w:pPr>
      <w:bookmarkStart w:id="204" w:name="_Toc418758218"/>
      <w:bookmarkStart w:id="205" w:name="_Toc418758820"/>
      <w:bookmarkStart w:id="206" w:name="_Toc419813580"/>
      <w:r w:rsidRPr="00674497">
        <w:rPr>
          <w:rFonts w:cs="Arial"/>
          <w:szCs w:val="22"/>
        </w:rPr>
        <w:t xml:space="preserve">São válidas as mesmas recomendações indicadas na etapa de implantação, com ênfase na necessidade de ampliação dos sistemas de coleta e tratamento de esgotos domésticos, incluindo a adoção de tratamento terciário para reduzir a carga de fósforo no ambiente aquático. Será desenvolvido o Programa de Monitoramento da Qualidade das Águas Superficiais e dos Sedimentos, que visa acompanhar a evolução dos ecossistemas aquáticos e assegurar que a qualidade dos mananciais se mantenha em conformidade com os padrões especificados pelas legislações vigentes (Portaria 2.914/11 e Resolução </w:t>
      </w:r>
      <w:r w:rsidR="00504078">
        <w:rPr>
          <w:rFonts w:cs="Arial"/>
          <w:szCs w:val="22"/>
        </w:rPr>
        <w:t>CONAMA</w:t>
      </w:r>
      <w:r w:rsidRPr="00674497">
        <w:rPr>
          <w:rFonts w:cs="Arial"/>
          <w:szCs w:val="22"/>
        </w:rPr>
        <w:t xml:space="preserve"> 357/05).</w:t>
      </w:r>
    </w:p>
    <w:p w:rsidR="00973BCF" w:rsidRPr="00143F79" w:rsidRDefault="00A71868" w:rsidP="00143F79">
      <w:pPr>
        <w:pStyle w:val="Ttulo3"/>
        <w:spacing w:after="240"/>
        <w:rPr>
          <w:rFonts w:ascii="Arial Negrito" w:hAnsi="Arial Negrito"/>
          <w:b w:val="0"/>
          <w:bCs/>
        </w:rPr>
      </w:pPr>
      <w:r w:rsidRPr="00143F79">
        <w:rPr>
          <w:rFonts w:ascii="Arial Negrito" w:hAnsi="Arial Negrito"/>
          <w:b w:val="0"/>
          <w:bCs/>
        </w:rPr>
        <w:t>1.3.1.</w:t>
      </w:r>
      <w:r w:rsidR="00973BCF" w:rsidRPr="00143F79">
        <w:rPr>
          <w:rFonts w:ascii="Arial Negrito" w:hAnsi="Arial Negrito"/>
          <w:b w:val="0"/>
          <w:bCs/>
        </w:rPr>
        <w:t>10. Interfer</w:t>
      </w:r>
      <w:r w:rsidR="00973BCF" w:rsidRPr="00143F79">
        <w:rPr>
          <w:rFonts w:ascii="Arial Negrito" w:hAnsi="Arial Negrito" w:hint="eastAsia"/>
          <w:b w:val="0"/>
          <w:bCs/>
        </w:rPr>
        <w:t>ê</w:t>
      </w:r>
      <w:r w:rsidR="00973BCF" w:rsidRPr="00143F79">
        <w:rPr>
          <w:rFonts w:ascii="Arial Negrito" w:hAnsi="Arial Negrito"/>
          <w:b w:val="0"/>
          <w:bCs/>
        </w:rPr>
        <w:t>ncias em Instala</w:t>
      </w:r>
      <w:r w:rsidR="00973BCF" w:rsidRPr="00143F79">
        <w:rPr>
          <w:rFonts w:ascii="Arial Negrito" w:hAnsi="Arial Negrito" w:hint="eastAsia"/>
          <w:b w:val="0"/>
          <w:bCs/>
        </w:rPr>
        <w:t>çõ</w:t>
      </w:r>
      <w:r w:rsidR="00973BCF" w:rsidRPr="00143F79">
        <w:rPr>
          <w:rFonts w:ascii="Arial Negrito" w:hAnsi="Arial Negrito"/>
          <w:b w:val="0"/>
          <w:bCs/>
        </w:rPr>
        <w:t>es e Benfeitorias pela Eleva</w:t>
      </w:r>
      <w:r w:rsidR="00973BCF" w:rsidRPr="00143F79">
        <w:rPr>
          <w:rFonts w:ascii="Arial Negrito" w:hAnsi="Arial Negrito" w:hint="eastAsia"/>
          <w:b w:val="0"/>
          <w:bCs/>
        </w:rPr>
        <w:t>çã</w:t>
      </w:r>
      <w:r w:rsidR="00973BCF" w:rsidRPr="00143F79">
        <w:rPr>
          <w:rFonts w:ascii="Arial Negrito" w:hAnsi="Arial Negrito"/>
          <w:b w:val="0"/>
          <w:bCs/>
        </w:rPr>
        <w:t>o do N</w:t>
      </w:r>
      <w:r w:rsidR="00973BCF" w:rsidRPr="00143F79">
        <w:rPr>
          <w:rFonts w:ascii="Arial Negrito" w:hAnsi="Arial Negrito" w:hint="eastAsia"/>
          <w:b w:val="0"/>
          <w:bCs/>
        </w:rPr>
        <w:t>í</w:t>
      </w:r>
      <w:r w:rsidR="00973BCF" w:rsidRPr="00143F79">
        <w:rPr>
          <w:rFonts w:ascii="Arial Negrito" w:hAnsi="Arial Negrito"/>
          <w:b w:val="0"/>
          <w:bCs/>
        </w:rPr>
        <w:t>vel Fre</w:t>
      </w:r>
      <w:r w:rsidR="00973BCF" w:rsidRPr="00143F79">
        <w:rPr>
          <w:rFonts w:ascii="Arial Negrito" w:hAnsi="Arial Negrito" w:hint="eastAsia"/>
          <w:b w:val="0"/>
          <w:bCs/>
        </w:rPr>
        <w:t>á</w:t>
      </w:r>
      <w:r w:rsidR="00973BCF" w:rsidRPr="00143F79">
        <w:rPr>
          <w:rFonts w:ascii="Arial Negrito" w:hAnsi="Arial Negrito"/>
          <w:b w:val="0"/>
          <w:bCs/>
        </w:rPr>
        <w:t>tico</w:t>
      </w:r>
      <w:bookmarkEnd w:id="204"/>
      <w:bookmarkEnd w:id="205"/>
      <w:bookmarkEnd w:id="206"/>
    </w:p>
    <w:p w:rsidR="00C77C49" w:rsidRPr="00143F79" w:rsidRDefault="00C77C49" w:rsidP="00C64127">
      <w:pPr>
        <w:pStyle w:val="Ttulo3"/>
        <w:rPr>
          <w:rStyle w:val="CorpodeTexto0"/>
          <w:iCs w:val="0"/>
        </w:rPr>
      </w:pPr>
      <w:bookmarkStart w:id="207" w:name="_Toc418590182"/>
      <w:bookmarkStart w:id="208" w:name="_Toc418590648"/>
      <w:bookmarkStart w:id="209" w:name="_Toc418595708"/>
      <w:bookmarkStart w:id="210" w:name="_Toc418758219"/>
      <w:bookmarkStart w:id="211" w:name="_Toc418758821"/>
      <w:bookmarkStart w:id="212" w:name="_Toc419813048"/>
      <w:bookmarkStart w:id="213" w:name="_Toc419813581"/>
      <w:r w:rsidRPr="00143F79">
        <w:rPr>
          <w:rStyle w:val="CorpodeTexto0"/>
          <w:iCs w:val="0"/>
        </w:rPr>
        <w:t>Fase: Implanta</w:t>
      </w:r>
      <w:r w:rsidRPr="00143F79">
        <w:rPr>
          <w:rStyle w:val="CorpodeTexto0"/>
          <w:rFonts w:hint="eastAsia"/>
          <w:iCs w:val="0"/>
        </w:rPr>
        <w:t>çã</w:t>
      </w:r>
      <w:r w:rsidRPr="00143F79">
        <w:rPr>
          <w:rStyle w:val="CorpodeTexto0"/>
          <w:iCs w:val="0"/>
        </w:rPr>
        <w:t>o</w:t>
      </w:r>
      <w:bookmarkEnd w:id="207"/>
      <w:bookmarkEnd w:id="208"/>
      <w:bookmarkEnd w:id="209"/>
      <w:bookmarkEnd w:id="210"/>
      <w:bookmarkEnd w:id="211"/>
      <w:bookmarkEnd w:id="212"/>
      <w:bookmarkEnd w:id="213"/>
    </w:p>
    <w:p w:rsidR="00C77C49" w:rsidRPr="00C77C49" w:rsidRDefault="00C77C49" w:rsidP="00C77C49">
      <w:pPr>
        <w:pStyle w:val="p3"/>
        <w:ind w:left="0"/>
        <w:rPr>
          <w:rFonts w:cs="Arial"/>
          <w:color w:val="auto"/>
          <w:szCs w:val="22"/>
        </w:rPr>
      </w:pPr>
      <w:r>
        <w:rPr>
          <w:rFonts w:cs="Arial"/>
          <w:szCs w:val="22"/>
        </w:rPr>
        <w:t>Com a implantação do</w:t>
      </w:r>
      <w:r w:rsidR="00823E5C">
        <w:rPr>
          <w:rFonts w:cs="Arial"/>
          <w:szCs w:val="22"/>
        </w:rPr>
        <w:t>s</w:t>
      </w:r>
      <w:r>
        <w:rPr>
          <w:rFonts w:cs="Arial"/>
          <w:szCs w:val="22"/>
        </w:rPr>
        <w:t xml:space="preserve"> reserva</w:t>
      </w:r>
      <w:r w:rsidRPr="00C77C49">
        <w:rPr>
          <w:rFonts w:cs="Arial"/>
          <w:color w:val="auto"/>
          <w:szCs w:val="22"/>
        </w:rPr>
        <w:t>tório</w:t>
      </w:r>
      <w:r w:rsidR="00823E5C">
        <w:rPr>
          <w:rFonts w:cs="Arial"/>
          <w:color w:val="auto"/>
          <w:szCs w:val="22"/>
        </w:rPr>
        <w:t>s</w:t>
      </w:r>
      <w:r w:rsidRPr="00C77C49">
        <w:rPr>
          <w:rFonts w:cs="Arial"/>
          <w:color w:val="auto"/>
          <w:szCs w:val="22"/>
        </w:rPr>
        <w:t xml:space="preserve"> da</w:t>
      </w:r>
      <w:r w:rsidR="00823E5C">
        <w:rPr>
          <w:rFonts w:cs="Arial"/>
          <w:color w:val="auto"/>
          <w:szCs w:val="22"/>
        </w:rPr>
        <w:t>s</w:t>
      </w:r>
      <w:r w:rsidRPr="00C77C49">
        <w:rPr>
          <w:rFonts w:cs="Arial"/>
          <w:color w:val="auto"/>
          <w:szCs w:val="22"/>
        </w:rPr>
        <w:t xml:space="preserve"> Barrage</w:t>
      </w:r>
      <w:r w:rsidR="00823E5C">
        <w:rPr>
          <w:rFonts w:cs="Arial"/>
          <w:color w:val="auto"/>
          <w:szCs w:val="22"/>
        </w:rPr>
        <w:t>ns</w:t>
      </w:r>
      <w:r w:rsidRPr="00C77C49">
        <w:rPr>
          <w:rFonts w:cs="Arial"/>
          <w:color w:val="auto"/>
          <w:szCs w:val="22"/>
        </w:rPr>
        <w:t xml:space="preserve"> a dinâmica das águas subterrâneas será modificada, provocando a elevação do nível freático local, o que causa possibilidade de causa de danos às instalações e benfeitorias representadas apenas por algumas edificações de propriedades rurais que ficarão nas proximidades do futuro reservatório. As interferências previstas, devido à elevação do lençol freático, são: aumento do nível de água nos poços rasos (cacimbas) e nas fossas, além do aumento de umidade nas estruturas do imóvel. </w:t>
      </w:r>
    </w:p>
    <w:p w:rsidR="00C77C49" w:rsidRDefault="00C77C49" w:rsidP="00C77C49">
      <w:pPr>
        <w:pStyle w:val="p3"/>
        <w:ind w:left="0"/>
        <w:rPr>
          <w:color w:val="auto"/>
          <w:szCs w:val="22"/>
        </w:rPr>
      </w:pPr>
      <w:r w:rsidRPr="00C77C49">
        <w:rPr>
          <w:rFonts w:cs="Arial"/>
          <w:color w:val="auto"/>
          <w:szCs w:val="22"/>
        </w:rPr>
        <w:t xml:space="preserve">Avalia-se que as áreas de maior criticidade a este impacto correspondem aquelas onde o nível d’água está situado em menores profundidades, ou seja, as áreas de abrangência dos aquíferos livres </w:t>
      </w:r>
      <w:r w:rsidRPr="00C77C49">
        <w:rPr>
          <w:color w:val="auto"/>
          <w:szCs w:val="22"/>
        </w:rPr>
        <w:t>associados aos solos de alteração nas proximidades das drenagens e depósitos sedimentares cenozoicos, sendo mínima ou ausente a influência em outras áreas do aquífero cristalino pré-cambriano</w:t>
      </w:r>
      <w:r w:rsidR="001F1BF2">
        <w:rPr>
          <w:color w:val="auto"/>
          <w:szCs w:val="22"/>
        </w:rPr>
        <w:t>.</w:t>
      </w:r>
    </w:p>
    <w:p w:rsidR="00143F79" w:rsidRDefault="00143F79" w:rsidP="00C77C49">
      <w:pPr>
        <w:pStyle w:val="p3"/>
        <w:ind w:left="0"/>
        <w:rPr>
          <w:color w:val="auto"/>
          <w:szCs w:val="22"/>
        </w:rPr>
      </w:pPr>
      <w:r>
        <w:rPr>
          <w:color w:val="auto"/>
          <w:szCs w:val="22"/>
        </w:rPr>
        <w:t>Nas Áreas Diretamente Afetadas (ADA) pelos empreendimentos</w:t>
      </w:r>
      <w:r w:rsidR="00AB272B">
        <w:rPr>
          <w:color w:val="auto"/>
          <w:szCs w:val="22"/>
        </w:rPr>
        <w:t>,</w:t>
      </w:r>
      <w:r>
        <w:rPr>
          <w:color w:val="auto"/>
          <w:szCs w:val="22"/>
        </w:rPr>
        <w:t xml:space="preserve"> os depósitos cenozoicos serão inundados pelos reservatórios, sendo assim a grande maioria das interferências sobre instalações e benfeitorias </w:t>
      </w:r>
      <w:r w:rsidR="00AB272B">
        <w:rPr>
          <w:color w:val="auto"/>
          <w:szCs w:val="22"/>
        </w:rPr>
        <w:t>será</w:t>
      </w:r>
      <w:r>
        <w:rPr>
          <w:color w:val="auto"/>
          <w:szCs w:val="22"/>
        </w:rPr>
        <w:t xml:space="preserve"> resultado da inundação pelos reservatórios.</w:t>
      </w:r>
    </w:p>
    <w:p w:rsidR="00143F79" w:rsidRDefault="00AB272B" w:rsidP="00C77C49">
      <w:pPr>
        <w:pStyle w:val="p3"/>
        <w:ind w:left="0"/>
        <w:rPr>
          <w:rFonts w:cs="Arial"/>
          <w:color w:val="auto"/>
          <w:szCs w:val="22"/>
        </w:rPr>
      </w:pPr>
      <w:r>
        <w:rPr>
          <w:rFonts w:cs="Arial"/>
          <w:color w:val="auto"/>
          <w:szCs w:val="22"/>
        </w:rPr>
        <w:t>O reservatório da Barragem Duas Pontes é muito encaixado no relevo, sendo assim a elevação do lençol freático não causará interferências em instalações e benfeitorias fora da ADA.</w:t>
      </w:r>
    </w:p>
    <w:p w:rsidR="00AB272B" w:rsidRPr="00C77C49" w:rsidRDefault="00AB272B" w:rsidP="00C77C49">
      <w:pPr>
        <w:pStyle w:val="p3"/>
        <w:ind w:left="0"/>
        <w:rPr>
          <w:rFonts w:cs="Arial"/>
          <w:color w:val="auto"/>
          <w:szCs w:val="22"/>
        </w:rPr>
      </w:pPr>
      <w:r>
        <w:rPr>
          <w:rFonts w:cs="Arial"/>
          <w:color w:val="auto"/>
          <w:szCs w:val="22"/>
        </w:rPr>
        <w:t>Em relação ao reservatório da Barragem de Duas Pontes este impacto pode ocorrer, mas é apenas possível</w:t>
      </w:r>
      <w:r w:rsidR="00EC6242">
        <w:rPr>
          <w:rFonts w:cs="Arial"/>
          <w:color w:val="auto"/>
          <w:szCs w:val="22"/>
        </w:rPr>
        <w:t>, nem certo, nem provável, pois as instalações e benfeitorias, que poderiam ser atingidas, estariam provavelmente na Área de Preservação Permanente (APP) e terão que ser desativadas, tornando o impacto praticamente nulo.</w:t>
      </w:r>
    </w:p>
    <w:p w:rsidR="00C77C49" w:rsidRDefault="00C77C49" w:rsidP="00C77C49">
      <w:pPr>
        <w:spacing w:before="120" w:after="120" w:line="240" w:lineRule="auto"/>
        <w:rPr>
          <w:rFonts w:eastAsia="Calibri" w:cs="Arial"/>
          <w:szCs w:val="22"/>
          <w:lang w:eastAsia="en-US"/>
        </w:rPr>
      </w:pPr>
      <w:r>
        <w:rPr>
          <w:rFonts w:cs="Arial"/>
          <w:szCs w:val="22"/>
        </w:rPr>
        <w:t>É um impacto de natureza negativa,</w:t>
      </w:r>
      <w:r w:rsidRPr="00AA1929">
        <w:rPr>
          <w:szCs w:val="22"/>
        </w:rPr>
        <w:t xml:space="preserve"> </w:t>
      </w:r>
      <w:r w:rsidRPr="00C073E0">
        <w:rPr>
          <w:szCs w:val="22"/>
        </w:rPr>
        <w:t>decorrente da elevação do nível freático com o enchimento do reservatório, portanto, indireto, permanente e irreversível.</w:t>
      </w:r>
      <w:r>
        <w:rPr>
          <w:szCs w:val="22"/>
        </w:rPr>
        <w:t xml:space="preserve"> A ocorrência é </w:t>
      </w:r>
      <w:r w:rsidR="00EC6242">
        <w:rPr>
          <w:szCs w:val="22"/>
        </w:rPr>
        <w:t>possível</w:t>
      </w:r>
      <w:r>
        <w:rPr>
          <w:rFonts w:cs="Arial"/>
          <w:szCs w:val="22"/>
        </w:rPr>
        <w:t xml:space="preserve"> e sua manifestação é em curto prazo, considerando as altas condutividades hidráulicas predominantes nos aquíferos afetados e proximidades do reservatório. É um impacto irreversível e mitigável, de abrangência local. A importância é </w:t>
      </w:r>
      <w:r w:rsidR="00CE2C40">
        <w:rPr>
          <w:rFonts w:cs="Arial"/>
          <w:szCs w:val="22"/>
        </w:rPr>
        <w:t>baixa</w:t>
      </w:r>
      <w:r>
        <w:rPr>
          <w:rFonts w:cs="Arial"/>
          <w:szCs w:val="22"/>
        </w:rPr>
        <w:t>, pois apesar da</w:t>
      </w:r>
      <w:r>
        <w:rPr>
          <w:rFonts w:eastAsia="Calibri" w:cs="Arial"/>
          <w:szCs w:val="22"/>
          <w:lang w:eastAsia="en-US"/>
        </w:rPr>
        <w:t xml:space="preserve"> </w:t>
      </w:r>
      <w:r>
        <w:rPr>
          <w:rFonts w:eastAsia="Calibri" w:cs="Arial"/>
          <w:szCs w:val="22"/>
          <w:lang w:eastAsia="en-US"/>
        </w:rPr>
        <w:lastRenderedPageBreak/>
        <w:t>elevação do lençol ter caráter permanente, pode</w:t>
      </w:r>
      <w:r w:rsidR="00CE2C40">
        <w:rPr>
          <w:rFonts w:eastAsia="Calibri" w:cs="Arial"/>
          <w:szCs w:val="22"/>
          <w:lang w:eastAsia="en-US"/>
        </w:rPr>
        <w:t>rá</w:t>
      </w:r>
      <w:r>
        <w:rPr>
          <w:rFonts w:eastAsia="Calibri" w:cs="Arial"/>
          <w:szCs w:val="22"/>
          <w:lang w:eastAsia="en-US"/>
        </w:rPr>
        <w:t xml:space="preserve"> interferir apenas em algumas instalações e benfeitorias com magnitude pequena.</w:t>
      </w:r>
    </w:p>
    <w:p w:rsidR="00C77C49" w:rsidRPr="00601292" w:rsidRDefault="008D3A12" w:rsidP="00601292">
      <w:pPr>
        <w:pStyle w:val="Legenda"/>
        <w:spacing w:line="240" w:lineRule="auto"/>
        <w:jc w:val="center"/>
        <w:rPr>
          <w:rFonts w:cs="Arial"/>
          <w:b w:val="0"/>
          <w:bCs/>
          <w:i w:val="0"/>
          <w:szCs w:val="22"/>
        </w:rPr>
      </w:pPr>
      <w:bookmarkStart w:id="214" w:name="_Toc420316464"/>
      <w:r w:rsidRPr="00601292">
        <w:rPr>
          <w:i w:val="0"/>
        </w:rPr>
        <w:t xml:space="preserve">Quadro </w:t>
      </w:r>
      <w:r w:rsidR="00B80A05" w:rsidRPr="00601292">
        <w:rPr>
          <w:i w:val="0"/>
        </w:rPr>
        <w:fldChar w:fldCharType="begin"/>
      </w:r>
      <w:r w:rsidR="00402E81" w:rsidRPr="00601292">
        <w:rPr>
          <w:i w:val="0"/>
        </w:rPr>
        <w:instrText xml:space="preserve"> STYLEREF 2 \s </w:instrText>
      </w:r>
      <w:r w:rsidR="00B80A05" w:rsidRPr="00601292">
        <w:rPr>
          <w:i w:val="0"/>
        </w:rPr>
        <w:fldChar w:fldCharType="separate"/>
      </w:r>
      <w:r w:rsidR="00316060">
        <w:rPr>
          <w:i w:val="0"/>
          <w:noProof/>
        </w:rPr>
        <w:t>1.3</w:t>
      </w:r>
      <w:r w:rsidR="00B80A05" w:rsidRPr="00601292">
        <w:rPr>
          <w:i w:val="0"/>
        </w:rPr>
        <w:fldChar w:fldCharType="end"/>
      </w:r>
      <w:r w:rsidR="00402E81" w:rsidRPr="00601292">
        <w:rPr>
          <w:i w:val="0"/>
        </w:rPr>
        <w:t>.</w:t>
      </w:r>
      <w:r w:rsidR="00B80A05" w:rsidRPr="00601292">
        <w:rPr>
          <w:i w:val="0"/>
        </w:rPr>
        <w:fldChar w:fldCharType="begin"/>
      </w:r>
      <w:r w:rsidR="00402E81" w:rsidRPr="00601292">
        <w:rPr>
          <w:i w:val="0"/>
        </w:rPr>
        <w:instrText xml:space="preserve"> SEQ Quadro \* ARABIC \s 2 </w:instrText>
      </w:r>
      <w:r w:rsidR="00B80A05" w:rsidRPr="00601292">
        <w:rPr>
          <w:i w:val="0"/>
        </w:rPr>
        <w:fldChar w:fldCharType="separate"/>
      </w:r>
      <w:r w:rsidR="00316060">
        <w:rPr>
          <w:i w:val="0"/>
          <w:noProof/>
        </w:rPr>
        <w:t>21</w:t>
      </w:r>
      <w:r w:rsidR="00B80A05" w:rsidRPr="00601292">
        <w:rPr>
          <w:i w:val="0"/>
        </w:rPr>
        <w:fldChar w:fldCharType="end"/>
      </w:r>
      <w:r w:rsidR="00601292" w:rsidRPr="00601292">
        <w:rPr>
          <w:i w:val="0"/>
        </w:rPr>
        <w:t>.</w:t>
      </w:r>
      <w:r w:rsidR="00601292" w:rsidRPr="00601292">
        <w:rPr>
          <w:b w:val="0"/>
          <w:i w:val="0"/>
        </w:rPr>
        <w:t xml:space="preserve"> - </w:t>
      </w:r>
      <w:r w:rsidR="00C77C49" w:rsidRPr="00601292">
        <w:rPr>
          <w:rFonts w:cs="Arial"/>
          <w:b w:val="0"/>
          <w:bCs/>
          <w:i w:val="0"/>
          <w:szCs w:val="22"/>
        </w:rPr>
        <w:t xml:space="preserve">Caracterização do Impacto – </w:t>
      </w:r>
      <w:r w:rsidR="005C64E0" w:rsidRPr="00601292">
        <w:rPr>
          <w:b w:val="0"/>
          <w:i w:val="0"/>
        </w:rPr>
        <w:t>Interferências em Instalações e Benfeitorias pela Elevação do Nível Freático</w:t>
      </w:r>
      <w:r w:rsidR="006F4DA4" w:rsidRPr="00601292">
        <w:rPr>
          <w:b w:val="0"/>
          <w:i w:val="0"/>
        </w:rPr>
        <w:t xml:space="preserve"> - </w:t>
      </w:r>
      <w:r w:rsidR="00C77C49" w:rsidRPr="00601292">
        <w:rPr>
          <w:rFonts w:cs="Arial"/>
          <w:b w:val="0"/>
          <w:bCs/>
          <w:i w:val="0"/>
          <w:szCs w:val="22"/>
        </w:rPr>
        <w:t>Barragens Duas Pontes</w:t>
      </w:r>
      <w:bookmarkEnd w:id="214"/>
    </w:p>
    <w:tbl>
      <w:tblPr>
        <w:tblW w:w="0" w:type="auto"/>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3"/>
        <w:gridCol w:w="1264"/>
        <w:gridCol w:w="1744"/>
        <w:gridCol w:w="1399"/>
        <w:gridCol w:w="3069"/>
      </w:tblGrid>
      <w:tr w:rsidR="00C77C49" w:rsidRPr="00500BF4" w:rsidTr="00887C1B">
        <w:trPr>
          <w:trHeight w:val="397"/>
          <w:jc w:val="center"/>
        </w:trPr>
        <w:tc>
          <w:tcPr>
            <w:tcW w:w="1263" w:type="dxa"/>
            <w:shd w:val="clear" w:color="auto" w:fill="D9D9D9"/>
            <w:vAlign w:val="center"/>
          </w:tcPr>
          <w:p w:rsidR="00C77C49" w:rsidRPr="00500BF4" w:rsidRDefault="00C77C49" w:rsidP="00887C1B">
            <w:pPr>
              <w:autoSpaceDE w:val="0"/>
              <w:autoSpaceDN w:val="0"/>
              <w:adjustRightInd w:val="0"/>
              <w:spacing w:before="120" w:after="120" w:line="240" w:lineRule="auto"/>
              <w:jc w:val="center"/>
              <w:rPr>
                <w:rFonts w:cs="Arial"/>
                <w:b/>
                <w:sz w:val="20"/>
              </w:rPr>
            </w:pPr>
            <w:r w:rsidRPr="00500BF4">
              <w:rPr>
                <w:rFonts w:cs="Arial"/>
                <w:b/>
                <w:sz w:val="20"/>
              </w:rPr>
              <w:t>Natureza</w:t>
            </w:r>
          </w:p>
        </w:tc>
        <w:tc>
          <w:tcPr>
            <w:tcW w:w="1264" w:type="dxa"/>
            <w:shd w:val="clear" w:color="auto" w:fill="D9D9D9"/>
            <w:vAlign w:val="center"/>
          </w:tcPr>
          <w:p w:rsidR="00C77C49" w:rsidRPr="00500BF4" w:rsidRDefault="00C77C49" w:rsidP="00887C1B">
            <w:pPr>
              <w:autoSpaceDE w:val="0"/>
              <w:autoSpaceDN w:val="0"/>
              <w:adjustRightInd w:val="0"/>
              <w:spacing w:before="120" w:after="120" w:line="240" w:lineRule="auto"/>
              <w:jc w:val="center"/>
              <w:rPr>
                <w:rFonts w:cs="Arial"/>
                <w:b/>
                <w:sz w:val="20"/>
              </w:rPr>
            </w:pPr>
            <w:r w:rsidRPr="00500BF4">
              <w:rPr>
                <w:rFonts w:cs="Arial"/>
                <w:b/>
                <w:sz w:val="20"/>
              </w:rPr>
              <w:t>Ordem</w:t>
            </w:r>
          </w:p>
        </w:tc>
        <w:tc>
          <w:tcPr>
            <w:tcW w:w="1744" w:type="dxa"/>
            <w:shd w:val="clear" w:color="auto" w:fill="D9D9D9"/>
            <w:vAlign w:val="center"/>
          </w:tcPr>
          <w:p w:rsidR="00C77C49" w:rsidRPr="00500BF4" w:rsidRDefault="00C77C49" w:rsidP="00887C1B">
            <w:pPr>
              <w:autoSpaceDE w:val="0"/>
              <w:autoSpaceDN w:val="0"/>
              <w:adjustRightInd w:val="0"/>
              <w:spacing w:before="120" w:after="120" w:line="240" w:lineRule="auto"/>
              <w:jc w:val="center"/>
              <w:rPr>
                <w:rFonts w:cs="Arial"/>
                <w:b/>
                <w:sz w:val="20"/>
              </w:rPr>
            </w:pPr>
            <w:r w:rsidRPr="00500BF4">
              <w:rPr>
                <w:rFonts w:cs="Arial"/>
                <w:b/>
                <w:sz w:val="20"/>
              </w:rPr>
              <w:t>Abrangência</w:t>
            </w:r>
          </w:p>
        </w:tc>
        <w:tc>
          <w:tcPr>
            <w:tcW w:w="1399" w:type="dxa"/>
            <w:shd w:val="clear" w:color="auto" w:fill="D9D9D9"/>
            <w:vAlign w:val="center"/>
          </w:tcPr>
          <w:p w:rsidR="00C77C49" w:rsidRPr="00500BF4" w:rsidRDefault="00C77C49" w:rsidP="00887C1B">
            <w:pPr>
              <w:autoSpaceDE w:val="0"/>
              <w:autoSpaceDN w:val="0"/>
              <w:adjustRightInd w:val="0"/>
              <w:spacing w:before="120" w:after="120" w:line="240" w:lineRule="auto"/>
              <w:jc w:val="center"/>
              <w:rPr>
                <w:rFonts w:cs="Arial"/>
                <w:b/>
                <w:sz w:val="20"/>
              </w:rPr>
            </w:pPr>
            <w:r w:rsidRPr="00500BF4">
              <w:rPr>
                <w:rFonts w:cs="Arial"/>
                <w:b/>
                <w:sz w:val="20"/>
              </w:rPr>
              <w:t>Duração</w:t>
            </w:r>
          </w:p>
        </w:tc>
        <w:tc>
          <w:tcPr>
            <w:tcW w:w="3069" w:type="dxa"/>
            <w:shd w:val="clear" w:color="auto" w:fill="D9D9D9"/>
            <w:vAlign w:val="center"/>
          </w:tcPr>
          <w:p w:rsidR="00C77C49" w:rsidRPr="00500BF4" w:rsidRDefault="00C77C49" w:rsidP="00887C1B">
            <w:pPr>
              <w:autoSpaceDE w:val="0"/>
              <w:autoSpaceDN w:val="0"/>
              <w:adjustRightInd w:val="0"/>
              <w:spacing w:before="120" w:after="120" w:line="240" w:lineRule="auto"/>
              <w:jc w:val="center"/>
              <w:rPr>
                <w:rFonts w:cs="Arial"/>
                <w:b/>
                <w:sz w:val="20"/>
              </w:rPr>
            </w:pPr>
            <w:r w:rsidRPr="00500BF4">
              <w:rPr>
                <w:rFonts w:cs="Arial"/>
                <w:b/>
                <w:sz w:val="20"/>
              </w:rPr>
              <w:t>Probabilidade de Ocorrência</w:t>
            </w:r>
          </w:p>
        </w:tc>
      </w:tr>
      <w:tr w:rsidR="00C77C49" w:rsidRPr="00500BF4" w:rsidTr="00887C1B">
        <w:trPr>
          <w:jc w:val="center"/>
        </w:trPr>
        <w:tc>
          <w:tcPr>
            <w:tcW w:w="1263" w:type="dxa"/>
            <w:shd w:val="clear" w:color="auto" w:fill="auto"/>
            <w:vAlign w:val="center"/>
          </w:tcPr>
          <w:p w:rsidR="00C77C49" w:rsidRPr="00500BF4" w:rsidRDefault="00C77C49" w:rsidP="00887C1B">
            <w:pPr>
              <w:autoSpaceDE w:val="0"/>
              <w:autoSpaceDN w:val="0"/>
              <w:adjustRightInd w:val="0"/>
              <w:spacing w:before="120" w:after="120" w:line="240" w:lineRule="auto"/>
              <w:jc w:val="center"/>
              <w:rPr>
                <w:rFonts w:cs="Arial"/>
                <w:sz w:val="20"/>
              </w:rPr>
            </w:pPr>
            <w:r w:rsidRPr="00500BF4">
              <w:rPr>
                <w:rFonts w:cs="Arial"/>
                <w:sz w:val="20"/>
              </w:rPr>
              <w:t>Negativa</w:t>
            </w:r>
          </w:p>
        </w:tc>
        <w:tc>
          <w:tcPr>
            <w:tcW w:w="1264" w:type="dxa"/>
            <w:shd w:val="clear" w:color="auto" w:fill="auto"/>
            <w:vAlign w:val="center"/>
          </w:tcPr>
          <w:p w:rsidR="00C77C49" w:rsidRPr="00500BF4" w:rsidRDefault="005C64E0" w:rsidP="00887C1B">
            <w:pPr>
              <w:autoSpaceDE w:val="0"/>
              <w:autoSpaceDN w:val="0"/>
              <w:adjustRightInd w:val="0"/>
              <w:spacing w:before="120" w:after="120" w:line="240" w:lineRule="auto"/>
              <w:jc w:val="center"/>
              <w:rPr>
                <w:rFonts w:cs="Arial"/>
                <w:sz w:val="20"/>
              </w:rPr>
            </w:pPr>
            <w:r>
              <w:rPr>
                <w:rFonts w:cs="Arial"/>
                <w:sz w:val="20"/>
              </w:rPr>
              <w:t>Ind</w:t>
            </w:r>
            <w:r w:rsidR="00C77C49" w:rsidRPr="00500BF4">
              <w:rPr>
                <w:rFonts w:cs="Arial"/>
                <w:sz w:val="20"/>
              </w:rPr>
              <w:t>ireta</w:t>
            </w:r>
          </w:p>
        </w:tc>
        <w:tc>
          <w:tcPr>
            <w:tcW w:w="1744" w:type="dxa"/>
            <w:shd w:val="clear" w:color="auto" w:fill="auto"/>
            <w:vAlign w:val="center"/>
          </w:tcPr>
          <w:p w:rsidR="00C77C49" w:rsidRPr="00500BF4" w:rsidRDefault="00C77C49" w:rsidP="00887C1B">
            <w:pPr>
              <w:autoSpaceDE w:val="0"/>
              <w:autoSpaceDN w:val="0"/>
              <w:adjustRightInd w:val="0"/>
              <w:spacing w:before="120" w:after="120" w:line="240" w:lineRule="auto"/>
              <w:jc w:val="center"/>
              <w:rPr>
                <w:rFonts w:cs="Arial"/>
                <w:sz w:val="20"/>
              </w:rPr>
            </w:pPr>
            <w:r w:rsidRPr="00500BF4">
              <w:rPr>
                <w:rFonts w:cs="Arial"/>
                <w:sz w:val="20"/>
              </w:rPr>
              <w:t>Local (ADA)</w:t>
            </w:r>
          </w:p>
        </w:tc>
        <w:tc>
          <w:tcPr>
            <w:tcW w:w="1399" w:type="dxa"/>
            <w:shd w:val="clear" w:color="auto" w:fill="auto"/>
            <w:vAlign w:val="center"/>
          </w:tcPr>
          <w:p w:rsidR="00C77C49" w:rsidRPr="00500BF4" w:rsidRDefault="00C77C49" w:rsidP="00887C1B">
            <w:pPr>
              <w:autoSpaceDE w:val="0"/>
              <w:autoSpaceDN w:val="0"/>
              <w:adjustRightInd w:val="0"/>
              <w:spacing w:before="120" w:after="120" w:line="240" w:lineRule="auto"/>
              <w:jc w:val="center"/>
              <w:rPr>
                <w:rFonts w:cs="Arial"/>
                <w:sz w:val="20"/>
              </w:rPr>
            </w:pPr>
            <w:r>
              <w:rPr>
                <w:rFonts w:cs="Arial"/>
                <w:sz w:val="20"/>
              </w:rPr>
              <w:t>Permanente</w:t>
            </w:r>
          </w:p>
        </w:tc>
        <w:tc>
          <w:tcPr>
            <w:tcW w:w="3069" w:type="dxa"/>
            <w:shd w:val="clear" w:color="auto" w:fill="auto"/>
            <w:vAlign w:val="center"/>
          </w:tcPr>
          <w:p w:rsidR="00C77C49" w:rsidRPr="00500BF4" w:rsidRDefault="00EC6242" w:rsidP="00EC6242">
            <w:pPr>
              <w:autoSpaceDE w:val="0"/>
              <w:autoSpaceDN w:val="0"/>
              <w:adjustRightInd w:val="0"/>
              <w:spacing w:before="120" w:after="120" w:line="240" w:lineRule="auto"/>
              <w:jc w:val="center"/>
              <w:rPr>
                <w:rFonts w:cs="Arial"/>
                <w:sz w:val="20"/>
              </w:rPr>
            </w:pPr>
            <w:r>
              <w:rPr>
                <w:rFonts w:cs="Arial"/>
                <w:sz w:val="20"/>
              </w:rPr>
              <w:t>Possível</w:t>
            </w:r>
          </w:p>
        </w:tc>
      </w:tr>
    </w:tbl>
    <w:p w:rsidR="00C77C49" w:rsidRPr="00500BF4" w:rsidRDefault="00C77C49" w:rsidP="00C77C49">
      <w:pPr>
        <w:autoSpaceDE w:val="0"/>
        <w:autoSpaceDN w:val="0"/>
        <w:adjustRightInd w:val="0"/>
        <w:spacing w:line="240" w:lineRule="auto"/>
        <w:jc w:val="center"/>
        <w:rPr>
          <w:rFonts w:cs="Arial"/>
          <w:sz w:val="20"/>
        </w:rPr>
      </w:pPr>
    </w:p>
    <w:tbl>
      <w:tblPr>
        <w:tblW w:w="0" w:type="auto"/>
        <w:jc w:val="center"/>
        <w:tblInd w:w="-1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6"/>
        <w:gridCol w:w="1796"/>
        <w:gridCol w:w="1357"/>
        <w:gridCol w:w="1472"/>
        <w:gridCol w:w="1624"/>
      </w:tblGrid>
      <w:tr w:rsidR="00C77C49" w:rsidRPr="00500BF4" w:rsidTr="00887C1B">
        <w:trPr>
          <w:trHeight w:val="397"/>
          <w:jc w:val="center"/>
        </w:trPr>
        <w:tc>
          <w:tcPr>
            <w:tcW w:w="2496" w:type="dxa"/>
            <w:shd w:val="clear" w:color="auto" w:fill="D9D9D9"/>
            <w:vAlign w:val="center"/>
          </w:tcPr>
          <w:p w:rsidR="00C77C49" w:rsidRPr="00500BF4" w:rsidRDefault="00C77C49" w:rsidP="00887C1B">
            <w:pPr>
              <w:autoSpaceDE w:val="0"/>
              <w:autoSpaceDN w:val="0"/>
              <w:adjustRightInd w:val="0"/>
              <w:spacing w:before="120" w:after="120" w:line="240" w:lineRule="auto"/>
              <w:jc w:val="center"/>
              <w:rPr>
                <w:rFonts w:cs="Arial"/>
                <w:b/>
                <w:sz w:val="20"/>
              </w:rPr>
            </w:pPr>
            <w:r w:rsidRPr="00500BF4">
              <w:rPr>
                <w:rFonts w:cs="Arial"/>
                <w:b/>
                <w:sz w:val="20"/>
              </w:rPr>
              <w:t>Época de Ocorrência</w:t>
            </w:r>
          </w:p>
        </w:tc>
        <w:tc>
          <w:tcPr>
            <w:tcW w:w="1796" w:type="dxa"/>
            <w:shd w:val="clear" w:color="auto" w:fill="D9D9D9"/>
            <w:vAlign w:val="center"/>
          </w:tcPr>
          <w:p w:rsidR="00C77C49" w:rsidRPr="00500BF4" w:rsidRDefault="00C77C49" w:rsidP="00887C1B">
            <w:pPr>
              <w:autoSpaceDE w:val="0"/>
              <w:autoSpaceDN w:val="0"/>
              <w:adjustRightInd w:val="0"/>
              <w:spacing w:before="120" w:after="120" w:line="240" w:lineRule="auto"/>
              <w:jc w:val="center"/>
              <w:rPr>
                <w:rFonts w:cs="Arial"/>
                <w:b/>
                <w:sz w:val="20"/>
              </w:rPr>
            </w:pPr>
            <w:r w:rsidRPr="00500BF4">
              <w:rPr>
                <w:rFonts w:cs="Arial"/>
                <w:b/>
                <w:sz w:val="20"/>
              </w:rPr>
              <w:t>Reversibilidade</w:t>
            </w:r>
          </w:p>
        </w:tc>
        <w:tc>
          <w:tcPr>
            <w:tcW w:w="1357" w:type="dxa"/>
            <w:shd w:val="clear" w:color="auto" w:fill="D9D9D9"/>
            <w:vAlign w:val="center"/>
          </w:tcPr>
          <w:p w:rsidR="00C77C49" w:rsidRPr="00500BF4" w:rsidRDefault="00C77C49" w:rsidP="00887C1B">
            <w:pPr>
              <w:autoSpaceDE w:val="0"/>
              <w:autoSpaceDN w:val="0"/>
              <w:adjustRightInd w:val="0"/>
              <w:spacing w:before="120" w:after="120" w:line="240" w:lineRule="auto"/>
              <w:jc w:val="center"/>
              <w:rPr>
                <w:rFonts w:cs="Arial"/>
                <w:b/>
                <w:sz w:val="20"/>
              </w:rPr>
            </w:pPr>
            <w:r w:rsidRPr="00500BF4">
              <w:rPr>
                <w:rFonts w:cs="Arial"/>
                <w:b/>
                <w:sz w:val="20"/>
              </w:rPr>
              <w:t>Magnitude</w:t>
            </w:r>
          </w:p>
        </w:tc>
        <w:tc>
          <w:tcPr>
            <w:tcW w:w="1472" w:type="dxa"/>
            <w:shd w:val="clear" w:color="auto" w:fill="D9D9D9"/>
            <w:vAlign w:val="center"/>
          </w:tcPr>
          <w:p w:rsidR="00C77C49" w:rsidRPr="00500BF4" w:rsidRDefault="00C77C49" w:rsidP="00887C1B">
            <w:pPr>
              <w:autoSpaceDE w:val="0"/>
              <w:autoSpaceDN w:val="0"/>
              <w:adjustRightInd w:val="0"/>
              <w:spacing w:before="120" w:after="120" w:line="240" w:lineRule="auto"/>
              <w:jc w:val="center"/>
              <w:rPr>
                <w:rFonts w:cs="Arial"/>
                <w:b/>
                <w:sz w:val="20"/>
              </w:rPr>
            </w:pPr>
            <w:r w:rsidRPr="00500BF4">
              <w:rPr>
                <w:rFonts w:cs="Arial"/>
                <w:b/>
                <w:sz w:val="20"/>
              </w:rPr>
              <w:t>Importância</w:t>
            </w:r>
          </w:p>
        </w:tc>
        <w:tc>
          <w:tcPr>
            <w:tcW w:w="1624" w:type="dxa"/>
            <w:shd w:val="clear" w:color="auto" w:fill="D9D9D9"/>
            <w:vAlign w:val="center"/>
          </w:tcPr>
          <w:p w:rsidR="00C77C49" w:rsidRPr="00500BF4" w:rsidRDefault="00C77C49" w:rsidP="00887C1B">
            <w:pPr>
              <w:autoSpaceDE w:val="0"/>
              <w:autoSpaceDN w:val="0"/>
              <w:adjustRightInd w:val="0"/>
              <w:spacing w:before="120" w:after="120" w:line="240" w:lineRule="auto"/>
              <w:jc w:val="center"/>
              <w:rPr>
                <w:rFonts w:cs="Arial"/>
                <w:b/>
                <w:sz w:val="20"/>
              </w:rPr>
            </w:pPr>
            <w:r w:rsidRPr="00500BF4">
              <w:rPr>
                <w:rFonts w:cs="Arial"/>
                <w:b/>
                <w:sz w:val="20"/>
              </w:rPr>
              <w:t>Mitigação</w:t>
            </w:r>
          </w:p>
        </w:tc>
      </w:tr>
      <w:tr w:rsidR="00C77C49" w:rsidRPr="00500BF4" w:rsidTr="00887C1B">
        <w:trPr>
          <w:jc w:val="center"/>
        </w:trPr>
        <w:tc>
          <w:tcPr>
            <w:tcW w:w="2496" w:type="dxa"/>
            <w:shd w:val="clear" w:color="auto" w:fill="auto"/>
            <w:vAlign w:val="center"/>
          </w:tcPr>
          <w:p w:rsidR="00C77C49" w:rsidRPr="00500BF4" w:rsidRDefault="00C77C49" w:rsidP="00887C1B">
            <w:pPr>
              <w:autoSpaceDE w:val="0"/>
              <w:autoSpaceDN w:val="0"/>
              <w:adjustRightInd w:val="0"/>
              <w:spacing w:before="120" w:after="120" w:line="240" w:lineRule="auto"/>
              <w:jc w:val="center"/>
              <w:rPr>
                <w:rFonts w:cs="Arial"/>
                <w:sz w:val="20"/>
              </w:rPr>
            </w:pPr>
            <w:r w:rsidRPr="00500BF4">
              <w:rPr>
                <w:rFonts w:cs="Arial"/>
                <w:sz w:val="20"/>
              </w:rPr>
              <w:t>Curto Prazo</w:t>
            </w:r>
          </w:p>
        </w:tc>
        <w:tc>
          <w:tcPr>
            <w:tcW w:w="1796" w:type="dxa"/>
            <w:shd w:val="clear" w:color="auto" w:fill="auto"/>
            <w:vAlign w:val="center"/>
          </w:tcPr>
          <w:p w:rsidR="00C77C49" w:rsidRPr="00500BF4" w:rsidRDefault="005C64E0" w:rsidP="00887C1B">
            <w:pPr>
              <w:autoSpaceDE w:val="0"/>
              <w:autoSpaceDN w:val="0"/>
              <w:adjustRightInd w:val="0"/>
              <w:spacing w:before="120" w:after="120" w:line="240" w:lineRule="auto"/>
              <w:jc w:val="center"/>
              <w:rPr>
                <w:rFonts w:cs="Arial"/>
                <w:sz w:val="20"/>
              </w:rPr>
            </w:pPr>
            <w:r>
              <w:rPr>
                <w:rFonts w:cs="Arial"/>
                <w:sz w:val="20"/>
              </w:rPr>
              <w:t>Irr</w:t>
            </w:r>
            <w:r w:rsidR="00C77C49" w:rsidRPr="00500BF4">
              <w:rPr>
                <w:rFonts w:cs="Arial"/>
                <w:sz w:val="20"/>
              </w:rPr>
              <w:t>eversível</w:t>
            </w:r>
          </w:p>
        </w:tc>
        <w:tc>
          <w:tcPr>
            <w:tcW w:w="1357" w:type="dxa"/>
            <w:shd w:val="clear" w:color="auto" w:fill="auto"/>
            <w:vAlign w:val="center"/>
          </w:tcPr>
          <w:p w:rsidR="00C77C49" w:rsidRPr="00500BF4" w:rsidRDefault="00C77C49" w:rsidP="00887C1B">
            <w:pPr>
              <w:autoSpaceDE w:val="0"/>
              <w:autoSpaceDN w:val="0"/>
              <w:adjustRightInd w:val="0"/>
              <w:spacing w:before="120" w:after="120" w:line="240" w:lineRule="auto"/>
              <w:jc w:val="center"/>
              <w:rPr>
                <w:rFonts w:cs="Arial"/>
                <w:sz w:val="20"/>
              </w:rPr>
            </w:pPr>
            <w:r>
              <w:rPr>
                <w:rFonts w:cs="Arial"/>
                <w:sz w:val="20"/>
              </w:rPr>
              <w:t>Pequena</w:t>
            </w:r>
          </w:p>
        </w:tc>
        <w:tc>
          <w:tcPr>
            <w:tcW w:w="1472" w:type="dxa"/>
            <w:shd w:val="clear" w:color="auto" w:fill="auto"/>
            <w:vAlign w:val="center"/>
          </w:tcPr>
          <w:p w:rsidR="00C77C49" w:rsidRPr="00500BF4" w:rsidRDefault="004045D8" w:rsidP="004045D8">
            <w:pPr>
              <w:autoSpaceDE w:val="0"/>
              <w:autoSpaceDN w:val="0"/>
              <w:adjustRightInd w:val="0"/>
              <w:spacing w:before="120" w:after="120" w:line="240" w:lineRule="auto"/>
              <w:jc w:val="center"/>
              <w:rPr>
                <w:rFonts w:cs="Arial"/>
                <w:sz w:val="20"/>
              </w:rPr>
            </w:pPr>
            <w:r>
              <w:rPr>
                <w:rFonts w:cs="Arial"/>
                <w:sz w:val="20"/>
              </w:rPr>
              <w:t>Baixa</w:t>
            </w:r>
          </w:p>
        </w:tc>
        <w:tc>
          <w:tcPr>
            <w:tcW w:w="1624" w:type="dxa"/>
            <w:shd w:val="clear" w:color="auto" w:fill="auto"/>
            <w:vAlign w:val="center"/>
          </w:tcPr>
          <w:p w:rsidR="00C77C49" w:rsidRPr="00500BF4" w:rsidRDefault="00C77C49" w:rsidP="00887C1B">
            <w:pPr>
              <w:autoSpaceDE w:val="0"/>
              <w:autoSpaceDN w:val="0"/>
              <w:adjustRightInd w:val="0"/>
              <w:spacing w:before="120" w:after="120" w:line="240" w:lineRule="auto"/>
              <w:jc w:val="center"/>
              <w:rPr>
                <w:rFonts w:cs="Arial"/>
                <w:sz w:val="20"/>
              </w:rPr>
            </w:pPr>
            <w:r w:rsidRPr="00500BF4">
              <w:rPr>
                <w:rFonts w:cs="Arial"/>
                <w:sz w:val="20"/>
              </w:rPr>
              <w:t>Mitigável</w:t>
            </w:r>
          </w:p>
        </w:tc>
      </w:tr>
    </w:tbl>
    <w:p w:rsidR="0066142C" w:rsidRDefault="0066142C" w:rsidP="0066142C">
      <w:pPr>
        <w:pStyle w:val="p3"/>
        <w:spacing w:before="0" w:after="0"/>
        <w:ind w:left="0"/>
        <w:rPr>
          <w:rFonts w:cs="Arial"/>
          <w:b/>
          <w:szCs w:val="22"/>
        </w:rPr>
      </w:pPr>
    </w:p>
    <w:p w:rsidR="00C77C49" w:rsidRPr="001D281E" w:rsidRDefault="00C77C49" w:rsidP="005C64E0">
      <w:pPr>
        <w:pStyle w:val="p3"/>
        <w:ind w:left="0"/>
        <w:rPr>
          <w:rFonts w:cs="Arial"/>
          <w:b/>
          <w:szCs w:val="22"/>
        </w:rPr>
      </w:pPr>
      <w:r>
        <w:rPr>
          <w:rFonts w:cs="Arial"/>
          <w:b/>
          <w:szCs w:val="22"/>
        </w:rPr>
        <w:t>Ações Ambientais Propostas</w:t>
      </w:r>
    </w:p>
    <w:p w:rsidR="00C77C49" w:rsidRPr="005C64E0" w:rsidRDefault="00C77C49" w:rsidP="005C64E0">
      <w:pPr>
        <w:spacing w:before="120" w:after="120" w:line="240" w:lineRule="auto"/>
      </w:pPr>
      <w:r w:rsidRPr="005C64E0">
        <w:t>O Programa de Monitoramento da Dinâmica das Águas Subterrâneas deverá conter um detalhamento das áreas suscetíveis a este impacto, acompanhado de cadastramento de imóveis e benfeitorias situados nestas áreas. Dispondo-se desses resultados poderão ser analisados os riscos inerentes à nova configuração das áreas alagadas, úmidas e com eventuais interferências nas edificações, adotando-se medidas preventivas, tais como: eventuais reforços de estruturas e fundações; remoção de população e/ou de atividades econômicas desenvolvidas nessas áreas.</w:t>
      </w:r>
    </w:p>
    <w:p w:rsidR="00973BCF" w:rsidRPr="00143F79" w:rsidRDefault="00A71868" w:rsidP="00143F79">
      <w:pPr>
        <w:pStyle w:val="Ttulo3"/>
        <w:spacing w:after="240"/>
        <w:rPr>
          <w:rFonts w:ascii="Arial Negrito" w:hAnsi="Arial Negrito"/>
          <w:b w:val="0"/>
          <w:bCs/>
        </w:rPr>
      </w:pPr>
      <w:bookmarkStart w:id="215" w:name="_Toc418758220"/>
      <w:bookmarkStart w:id="216" w:name="_Toc418758822"/>
      <w:bookmarkStart w:id="217" w:name="_Toc419813582"/>
      <w:r w:rsidRPr="00143F79">
        <w:rPr>
          <w:rFonts w:ascii="Arial Negrito" w:hAnsi="Arial Negrito"/>
          <w:b w:val="0"/>
          <w:bCs/>
        </w:rPr>
        <w:t>1.3.1.</w:t>
      </w:r>
      <w:r w:rsidR="00973BCF" w:rsidRPr="00143F79">
        <w:rPr>
          <w:rFonts w:ascii="Arial Negrito" w:hAnsi="Arial Negrito"/>
          <w:b w:val="0"/>
          <w:bCs/>
        </w:rPr>
        <w:t>11. Surg</w:t>
      </w:r>
      <w:r w:rsidR="00973BCF" w:rsidRPr="00143F79">
        <w:rPr>
          <w:rFonts w:ascii="Arial Negrito" w:hAnsi="Arial Negrito" w:hint="eastAsia"/>
          <w:b w:val="0"/>
          <w:bCs/>
        </w:rPr>
        <w:t>ê</w:t>
      </w:r>
      <w:r w:rsidR="00973BCF" w:rsidRPr="00143F79">
        <w:rPr>
          <w:rFonts w:ascii="Arial Negrito" w:hAnsi="Arial Negrito"/>
          <w:b w:val="0"/>
          <w:bCs/>
        </w:rPr>
        <w:t xml:space="preserve">ncias de </w:t>
      </w:r>
      <w:r w:rsidR="00973BCF" w:rsidRPr="00143F79">
        <w:rPr>
          <w:rFonts w:ascii="Arial Negrito" w:hAnsi="Arial Negrito" w:hint="eastAsia"/>
          <w:b w:val="0"/>
          <w:bCs/>
        </w:rPr>
        <w:t>Á</w:t>
      </w:r>
      <w:r w:rsidR="00973BCF" w:rsidRPr="00143F79">
        <w:rPr>
          <w:rFonts w:ascii="Arial Negrito" w:hAnsi="Arial Negrito"/>
          <w:b w:val="0"/>
          <w:bCs/>
        </w:rPr>
        <w:t>gua, Pereniza</w:t>
      </w:r>
      <w:r w:rsidR="00973BCF" w:rsidRPr="00143F79">
        <w:rPr>
          <w:rFonts w:ascii="Arial Negrito" w:hAnsi="Arial Negrito" w:hint="eastAsia"/>
          <w:b w:val="0"/>
          <w:bCs/>
        </w:rPr>
        <w:t>çã</w:t>
      </w:r>
      <w:r w:rsidR="00973BCF" w:rsidRPr="00143F79">
        <w:rPr>
          <w:rFonts w:ascii="Arial Negrito" w:hAnsi="Arial Negrito"/>
          <w:b w:val="0"/>
          <w:bCs/>
        </w:rPr>
        <w:t>o e Forma</w:t>
      </w:r>
      <w:r w:rsidR="00973BCF" w:rsidRPr="00143F79">
        <w:rPr>
          <w:rFonts w:ascii="Arial Negrito" w:hAnsi="Arial Negrito" w:hint="eastAsia"/>
          <w:b w:val="0"/>
          <w:bCs/>
        </w:rPr>
        <w:t>çã</w:t>
      </w:r>
      <w:r w:rsidR="00973BCF" w:rsidRPr="00143F79">
        <w:rPr>
          <w:rFonts w:ascii="Arial Negrito" w:hAnsi="Arial Negrito"/>
          <w:b w:val="0"/>
          <w:bCs/>
        </w:rPr>
        <w:t xml:space="preserve">o de Novas </w:t>
      </w:r>
      <w:r w:rsidR="00973BCF" w:rsidRPr="00143F79">
        <w:rPr>
          <w:rFonts w:ascii="Arial Negrito" w:hAnsi="Arial Negrito" w:hint="eastAsia"/>
          <w:b w:val="0"/>
          <w:bCs/>
        </w:rPr>
        <w:t>Á</w:t>
      </w:r>
      <w:r w:rsidR="00973BCF" w:rsidRPr="00143F79">
        <w:rPr>
          <w:rFonts w:ascii="Arial Negrito" w:hAnsi="Arial Negrito"/>
          <w:b w:val="0"/>
          <w:bCs/>
        </w:rPr>
        <w:t xml:space="preserve">reas </w:t>
      </w:r>
      <w:r w:rsidR="00973BCF" w:rsidRPr="00143F79">
        <w:rPr>
          <w:rFonts w:ascii="Arial Negrito" w:hAnsi="Arial Negrito" w:hint="eastAsia"/>
          <w:b w:val="0"/>
          <w:bCs/>
        </w:rPr>
        <w:t>Ú</w:t>
      </w:r>
      <w:r w:rsidR="00973BCF" w:rsidRPr="00143F79">
        <w:rPr>
          <w:rFonts w:ascii="Arial Negrito" w:hAnsi="Arial Negrito"/>
          <w:b w:val="0"/>
          <w:bCs/>
        </w:rPr>
        <w:t>midas e Alagadas pela Eleva</w:t>
      </w:r>
      <w:r w:rsidR="00973BCF" w:rsidRPr="00143F79">
        <w:rPr>
          <w:rFonts w:ascii="Arial Negrito" w:hAnsi="Arial Negrito" w:hint="eastAsia"/>
          <w:b w:val="0"/>
          <w:bCs/>
        </w:rPr>
        <w:t>çã</w:t>
      </w:r>
      <w:r w:rsidR="00973BCF" w:rsidRPr="00143F79">
        <w:rPr>
          <w:rFonts w:ascii="Arial Negrito" w:hAnsi="Arial Negrito"/>
          <w:b w:val="0"/>
          <w:bCs/>
        </w:rPr>
        <w:t>o do Len</w:t>
      </w:r>
      <w:r w:rsidR="00973BCF" w:rsidRPr="00143F79">
        <w:rPr>
          <w:rFonts w:ascii="Arial Negrito" w:hAnsi="Arial Negrito" w:hint="eastAsia"/>
          <w:b w:val="0"/>
          <w:bCs/>
        </w:rPr>
        <w:t>ç</w:t>
      </w:r>
      <w:r w:rsidR="00973BCF" w:rsidRPr="00143F79">
        <w:rPr>
          <w:rFonts w:ascii="Arial Negrito" w:hAnsi="Arial Negrito"/>
          <w:b w:val="0"/>
          <w:bCs/>
        </w:rPr>
        <w:t>ol Fre</w:t>
      </w:r>
      <w:r w:rsidR="00973BCF" w:rsidRPr="00143F79">
        <w:rPr>
          <w:rFonts w:ascii="Arial Negrito" w:hAnsi="Arial Negrito" w:hint="eastAsia"/>
          <w:b w:val="0"/>
          <w:bCs/>
        </w:rPr>
        <w:t>á</w:t>
      </w:r>
      <w:r w:rsidR="00973BCF" w:rsidRPr="00143F79">
        <w:rPr>
          <w:rFonts w:ascii="Arial Negrito" w:hAnsi="Arial Negrito"/>
          <w:b w:val="0"/>
          <w:bCs/>
        </w:rPr>
        <w:t>tico</w:t>
      </w:r>
      <w:bookmarkEnd w:id="215"/>
      <w:bookmarkEnd w:id="216"/>
      <w:bookmarkEnd w:id="217"/>
    </w:p>
    <w:p w:rsidR="0066142C" w:rsidRDefault="0066142C" w:rsidP="0066142C">
      <w:pPr>
        <w:autoSpaceDE w:val="0"/>
        <w:autoSpaceDN w:val="0"/>
        <w:adjustRightInd w:val="0"/>
        <w:spacing w:before="120" w:after="120" w:line="240" w:lineRule="auto"/>
        <w:rPr>
          <w:rFonts w:cs="Arial"/>
          <w:b/>
          <w:szCs w:val="22"/>
        </w:rPr>
      </w:pPr>
      <w:r w:rsidRPr="005D3260">
        <w:rPr>
          <w:rFonts w:cs="Arial"/>
          <w:b/>
          <w:szCs w:val="22"/>
        </w:rPr>
        <w:t>Fase</w:t>
      </w:r>
      <w:r>
        <w:rPr>
          <w:rFonts w:cs="Arial"/>
          <w:b/>
          <w:szCs w:val="22"/>
        </w:rPr>
        <w:t>:</w:t>
      </w:r>
      <w:r w:rsidRPr="005D3260">
        <w:rPr>
          <w:rFonts w:cs="Arial"/>
          <w:b/>
          <w:szCs w:val="22"/>
        </w:rPr>
        <w:t xml:space="preserve"> Implantação</w:t>
      </w:r>
    </w:p>
    <w:p w:rsidR="0066142C" w:rsidRPr="0066142C" w:rsidRDefault="0066142C" w:rsidP="0066142C">
      <w:pPr>
        <w:autoSpaceDE w:val="0"/>
        <w:autoSpaceDN w:val="0"/>
        <w:adjustRightInd w:val="0"/>
        <w:spacing w:before="120" w:after="120" w:line="240" w:lineRule="auto"/>
        <w:rPr>
          <w:rFonts w:cs="Arial"/>
          <w:b/>
          <w:szCs w:val="22"/>
        </w:rPr>
      </w:pPr>
      <w:r w:rsidRPr="005D3260">
        <w:rPr>
          <w:rFonts w:cs="Arial"/>
          <w:szCs w:val="22"/>
        </w:rPr>
        <w:t>Com a implantação do</w:t>
      </w:r>
      <w:r w:rsidR="0081567E">
        <w:rPr>
          <w:rFonts w:cs="Arial"/>
          <w:szCs w:val="22"/>
        </w:rPr>
        <w:t>s</w:t>
      </w:r>
      <w:r w:rsidRPr="005D3260">
        <w:rPr>
          <w:rFonts w:cs="Arial"/>
          <w:szCs w:val="22"/>
        </w:rPr>
        <w:t xml:space="preserve"> </w:t>
      </w:r>
      <w:r w:rsidRPr="0066142C">
        <w:rPr>
          <w:rFonts w:cs="Arial"/>
          <w:szCs w:val="22"/>
        </w:rPr>
        <w:t>reservatório</w:t>
      </w:r>
      <w:r w:rsidR="0081567E">
        <w:rPr>
          <w:rFonts w:cs="Arial"/>
          <w:szCs w:val="22"/>
        </w:rPr>
        <w:t>s</w:t>
      </w:r>
      <w:r w:rsidRPr="0066142C">
        <w:rPr>
          <w:rFonts w:cs="Arial"/>
          <w:szCs w:val="22"/>
        </w:rPr>
        <w:t xml:space="preserve"> da</w:t>
      </w:r>
      <w:r w:rsidR="0081567E">
        <w:rPr>
          <w:rFonts w:cs="Arial"/>
          <w:szCs w:val="22"/>
        </w:rPr>
        <w:t>s</w:t>
      </w:r>
      <w:r w:rsidRPr="0066142C">
        <w:rPr>
          <w:rFonts w:cs="Arial"/>
          <w:szCs w:val="22"/>
        </w:rPr>
        <w:t xml:space="preserve"> Barrage</w:t>
      </w:r>
      <w:r w:rsidR="00821112">
        <w:rPr>
          <w:rFonts w:cs="Arial"/>
          <w:szCs w:val="22"/>
        </w:rPr>
        <w:t>ns</w:t>
      </w:r>
      <w:r w:rsidRPr="0066142C">
        <w:rPr>
          <w:rFonts w:cs="Arial"/>
          <w:szCs w:val="22"/>
        </w:rPr>
        <w:t xml:space="preserve"> </w:t>
      </w:r>
      <w:r w:rsidRPr="005D3260">
        <w:rPr>
          <w:rFonts w:cs="Arial"/>
          <w:szCs w:val="22"/>
        </w:rPr>
        <w:t>a dinâmica das águas subterrâneas da região será modificada, provocando a variação e elevação do</w:t>
      </w:r>
      <w:r>
        <w:rPr>
          <w:rFonts w:cs="Arial"/>
          <w:szCs w:val="22"/>
        </w:rPr>
        <w:t xml:space="preserve"> nível</w:t>
      </w:r>
      <w:r w:rsidRPr="005D3260">
        <w:rPr>
          <w:rFonts w:cs="Arial"/>
          <w:szCs w:val="22"/>
        </w:rPr>
        <w:t xml:space="preserve"> freático loca</w:t>
      </w:r>
      <w:r>
        <w:rPr>
          <w:rFonts w:cs="Arial"/>
          <w:szCs w:val="22"/>
        </w:rPr>
        <w:t>l.</w:t>
      </w:r>
    </w:p>
    <w:p w:rsidR="0066142C" w:rsidRDefault="0066142C" w:rsidP="0066142C">
      <w:pPr>
        <w:pStyle w:val="p3"/>
        <w:ind w:left="0"/>
        <w:rPr>
          <w:szCs w:val="22"/>
        </w:rPr>
      </w:pPr>
      <w:r w:rsidRPr="005D3260">
        <w:rPr>
          <w:rFonts w:cs="Arial"/>
          <w:szCs w:val="22"/>
        </w:rPr>
        <w:t>Com a elevação do lençol freático áreas rebaixadas e planas estarão sujeitas a novas surgências de água, alagamentos e/ou umedecimentos e aumento das áreas molhadas das lagoas pré-existentes.</w:t>
      </w:r>
      <w:r>
        <w:rPr>
          <w:rFonts w:cs="Arial"/>
          <w:szCs w:val="22"/>
        </w:rPr>
        <w:t xml:space="preserve"> Este impacto será mais efetivo em áreas onde o nível d’água encontra-se em menores profundidades, ou seja, as áreas de abrangência dos aquíferos livres </w:t>
      </w:r>
      <w:r>
        <w:rPr>
          <w:szCs w:val="22"/>
        </w:rPr>
        <w:t>associados aos solos de alteração nas proximidades das drenagens e depósitos sedimentares cenozoicos</w:t>
      </w:r>
      <w:r w:rsidRPr="00023755">
        <w:rPr>
          <w:szCs w:val="22"/>
        </w:rPr>
        <w:t xml:space="preserve">, </w:t>
      </w:r>
      <w:r>
        <w:rPr>
          <w:szCs w:val="22"/>
        </w:rPr>
        <w:t>sendo mínima ou ausente a influência em outras áreas de afloramentos do aquífero cristalino pré-cambriano.</w:t>
      </w:r>
      <w:r w:rsidRPr="001655BC">
        <w:rPr>
          <w:szCs w:val="22"/>
        </w:rPr>
        <w:t xml:space="preserve"> </w:t>
      </w:r>
    </w:p>
    <w:p w:rsidR="0066142C" w:rsidRPr="00136D9F" w:rsidRDefault="0066142C" w:rsidP="0066142C">
      <w:pPr>
        <w:spacing w:before="120" w:after="120" w:line="240" w:lineRule="auto"/>
        <w:rPr>
          <w:rFonts w:cs="Arial"/>
          <w:color w:val="000000"/>
          <w:szCs w:val="22"/>
        </w:rPr>
      </w:pPr>
      <w:r>
        <w:rPr>
          <w:rFonts w:cs="Arial"/>
          <w:color w:val="000000"/>
          <w:szCs w:val="22"/>
        </w:rPr>
        <w:t>Lagoas</w:t>
      </w:r>
      <w:r w:rsidRPr="00136D9F">
        <w:rPr>
          <w:rFonts w:cs="Arial"/>
          <w:color w:val="000000"/>
          <w:szCs w:val="22"/>
        </w:rPr>
        <w:t xml:space="preserve"> e áreas inundáveis que atualmente sofrem diminuição da área molhada na época de seca possivelmente apresentarão áreas molhadas como nas atuais épocas chuvosas ou até maiores. Isso deverá ocorrer porque as áreas de baixos topográficos representam pontos de descarga do lençol freático que será elevado, podendo consequentemente perenizar essas áreas nas proximidades do reservatório.</w:t>
      </w:r>
    </w:p>
    <w:p w:rsidR="0066142C" w:rsidRPr="00136D9F" w:rsidRDefault="0066142C" w:rsidP="0066142C">
      <w:pPr>
        <w:pStyle w:val="p3"/>
        <w:ind w:left="0"/>
        <w:rPr>
          <w:rFonts w:cs="Arial"/>
          <w:szCs w:val="22"/>
        </w:rPr>
      </w:pPr>
      <w:r>
        <w:rPr>
          <w:szCs w:val="22"/>
        </w:rPr>
        <w:t>N</w:t>
      </w:r>
      <w:r w:rsidRPr="00C17A0C">
        <w:rPr>
          <w:szCs w:val="22"/>
        </w:rPr>
        <w:t>o mapa “Mapa de Estabilidade de Encostas da Área Diretamente Afetada</w:t>
      </w:r>
      <w:r w:rsidR="007F6650">
        <w:rPr>
          <w:szCs w:val="22"/>
        </w:rPr>
        <w:t xml:space="preserve"> – Barrage</w:t>
      </w:r>
      <w:r w:rsidR="00C256C4">
        <w:rPr>
          <w:szCs w:val="22"/>
        </w:rPr>
        <w:t>m</w:t>
      </w:r>
      <w:r w:rsidR="007F6650">
        <w:rPr>
          <w:szCs w:val="22"/>
        </w:rPr>
        <w:t xml:space="preserve"> Duas Pontes</w:t>
      </w:r>
      <w:r w:rsidRPr="00C17A0C">
        <w:rPr>
          <w:szCs w:val="22"/>
        </w:rPr>
        <w:t xml:space="preserve">” (Desenho </w:t>
      </w:r>
      <w:r>
        <w:rPr>
          <w:szCs w:val="22"/>
        </w:rPr>
        <w:t>7188-13-GL-510-DE-00139</w:t>
      </w:r>
      <w:r w:rsidR="006E430C">
        <w:rPr>
          <w:szCs w:val="22"/>
        </w:rPr>
        <w:t xml:space="preserve">, apresentado no Volume II, Tomo 2) </w:t>
      </w:r>
      <w:r>
        <w:rPr>
          <w:szCs w:val="22"/>
        </w:rPr>
        <w:t xml:space="preserve">foram definidos </w:t>
      </w:r>
      <w:r w:rsidR="00517FA3">
        <w:rPr>
          <w:szCs w:val="22"/>
        </w:rPr>
        <w:t>6</w:t>
      </w:r>
      <w:r>
        <w:rPr>
          <w:szCs w:val="22"/>
        </w:rPr>
        <w:t xml:space="preserve"> setores susceptíveis a inundação, localizados nas encostas mar</w:t>
      </w:r>
      <w:r w:rsidR="008C15C3">
        <w:rPr>
          <w:szCs w:val="22"/>
        </w:rPr>
        <w:t>ginais do futuro reservatório</w:t>
      </w:r>
      <w:r>
        <w:rPr>
          <w:szCs w:val="22"/>
        </w:rPr>
        <w:t xml:space="preserve"> Duas Pontes. Estes setores encontram-se preferencialmente em depósitos aluvionares e possuem declividades inferiores a 5%, dificultando o escoamento da água.</w:t>
      </w:r>
      <w:r w:rsidR="00821112">
        <w:rPr>
          <w:szCs w:val="22"/>
        </w:rPr>
        <w:t xml:space="preserve"> </w:t>
      </w:r>
      <w:r w:rsidR="00FE3B18">
        <w:rPr>
          <w:szCs w:val="22"/>
        </w:rPr>
        <w:t>Convém</w:t>
      </w:r>
      <w:r w:rsidR="00821112">
        <w:rPr>
          <w:szCs w:val="22"/>
        </w:rPr>
        <w:t xml:space="preserve"> esclarecer que esses setores estão na</w:t>
      </w:r>
      <w:r w:rsidR="00FE3B18">
        <w:rPr>
          <w:szCs w:val="22"/>
        </w:rPr>
        <w:t xml:space="preserve"> Área de Preservação Permanente do Reservatório</w:t>
      </w:r>
      <w:r w:rsidR="00821112">
        <w:rPr>
          <w:szCs w:val="22"/>
        </w:rPr>
        <w:t xml:space="preserve"> </w:t>
      </w:r>
      <w:r w:rsidR="00FE3B18">
        <w:rPr>
          <w:szCs w:val="22"/>
        </w:rPr>
        <w:t>(</w:t>
      </w:r>
      <w:r w:rsidR="00821112">
        <w:rPr>
          <w:szCs w:val="22"/>
        </w:rPr>
        <w:t>APP</w:t>
      </w:r>
      <w:r w:rsidR="00FE3B18">
        <w:rPr>
          <w:szCs w:val="22"/>
        </w:rPr>
        <w:t>)</w:t>
      </w:r>
      <w:r w:rsidR="00821112">
        <w:rPr>
          <w:szCs w:val="22"/>
        </w:rPr>
        <w:t>, logo o impacto será localizado nesta área.</w:t>
      </w:r>
    </w:p>
    <w:p w:rsidR="0066142C" w:rsidRPr="007F5FAC" w:rsidRDefault="0066142C" w:rsidP="0008317C">
      <w:pPr>
        <w:pStyle w:val="Corpodetexto"/>
        <w:rPr>
          <w:szCs w:val="22"/>
        </w:rPr>
      </w:pPr>
      <w:r>
        <w:rPr>
          <w:szCs w:val="22"/>
        </w:rPr>
        <w:t>Ressalta-se que um</w:t>
      </w:r>
      <w:r w:rsidRPr="00311CCA">
        <w:rPr>
          <w:szCs w:val="22"/>
        </w:rPr>
        <w:t xml:space="preserve"> detalhamento deverá ser </w:t>
      </w:r>
      <w:r>
        <w:rPr>
          <w:szCs w:val="22"/>
        </w:rPr>
        <w:t>realizado a partir do</w:t>
      </w:r>
      <w:r w:rsidRPr="00311CCA">
        <w:rPr>
          <w:szCs w:val="22"/>
        </w:rPr>
        <w:t xml:space="preserve"> desenvolvimento do</w:t>
      </w:r>
      <w:r>
        <w:rPr>
          <w:szCs w:val="22"/>
        </w:rPr>
        <w:t>s</w:t>
      </w:r>
      <w:r w:rsidRPr="00311CCA">
        <w:rPr>
          <w:szCs w:val="22"/>
        </w:rPr>
        <w:t xml:space="preserve"> Programa</w:t>
      </w:r>
      <w:r>
        <w:rPr>
          <w:szCs w:val="22"/>
        </w:rPr>
        <w:t>s</w:t>
      </w:r>
      <w:r w:rsidRPr="00311CCA">
        <w:rPr>
          <w:szCs w:val="22"/>
        </w:rPr>
        <w:t xml:space="preserve"> de Monitoramento das </w:t>
      </w:r>
      <w:r>
        <w:rPr>
          <w:szCs w:val="22"/>
        </w:rPr>
        <w:t xml:space="preserve">Águas Subterrâneas e </w:t>
      </w:r>
      <w:r w:rsidRPr="00311CCA">
        <w:rPr>
          <w:szCs w:val="22"/>
        </w:rPr>
        <w:t xml:space="preserve">Monitoramento das Encostas </w:t>
      </w:r>
      <w:r w:rsidRPr="00311CCA">
        <w:rPr>
          <w:szCs w:val="22"/>
        </w:rPr>
        <w:lastRenderedPageBreak/>
        <w:t xml:space="preserve">Marginais e Processos Erosivos, e que parte dos setores identificados nas condições atuais como </w:t>
      </w:r>
      <w:r>
        <w:rPr>
          <w:szCs w:val="22"/>
        </w:rPr>
        <w:t xml:space="preserve">susceptíveis a inundação </w:t>
      </w:r>
      <w:r w:rsidRPr="00311CCA">
        <w:rPr>
          <w:szCs w:val="22"/>
        </w:rPr>
        <w:t>pode</w:t>
      </w:r>
      <w:r>
        <w:rPr>
          <w:szCs w:val="22"/>
        </w:rPr>
        <w:t>rão não sofrer efetivamente a influência do reservatório</w:t>
      </w:r>
      <w:r w:rsidRPr="00311CCA">
        <w:rPr>
          <w:szCs w:val="22"/>
        </w:rPr>
        <w:t>.</w:t>
      </w:r>
    </w:p>
    <w:p w:rsidR="0081567E" w:rsidRDefault="007F6650" w:rsidP="0008317C">
      <w:pPr>
        <w:spacing w:before="120" w:after="120" w:line="240" w:lineRule="auto"/>
        <w:rPr>
          <w:b/>
        </w:rPr>
      </w:pPr>
      <w:r>
        <w:rPr>
          <w:rFonts w:cs="Arial"/>
          <w:szCs w:val="22"/>
        </w:rPr>
        <w:t>O reservatório da Barragem Pedreira está localizado em uma região onde o rio Jaguari é bastante encaixado no relevo. As altas declividades das encostas do reservatório impedem a formação</w:t>
      </w:r>
      <w:r w:rsidR="0081567E" w:rsidRPr="0081567E">
        <w:rPr>
          <w:b/>
        </w:rPr>
        <w:t xml:space="preserve"> </w:t>
      </w:r>
      <w:r w:rsidR="0081567E" w:rsidRPr="0081567E">
        <w:t>de novas áreas úmidas e alagadas pela elevação do lençol freático</w:t>
      </w:r>
      <w:r w:rsidR="0081567E">
        <w:t>.</w:t>
      </w:r>
    </w:p>
    <w:p w:rsidR="0066142C" w:rsidRPr="007F5FAC" w:rsidRDefault="0066142C" w:rsidP="0066142C">
      <w:pPr>
        <w:pStyle w:val="p10"/>
        <w:spacing w:line="240" w:lineRule="auto"/>
        <w:rPr>
          <w:rFonts w:cs="Arial"/>
          <w:szCs w:val="22"/>
        </w:rPr>
      </w:pPr>
      <w:r w:rsidRPr="007F5FAC">
        <w:rPr>
          <w:rFonts w:cs="Arial"/>
          <w:szCs w:val="22"/>
        </w:rPr>
        <w:t>Este impacto</w:t>
      </w:r>
      <w:r w:rsidR="0081567E">
        <w:rPr>
          <w:rFonts w:cs="Arial"/>
          <w:szCs w:val="22"/>
        </w:rPr>
        <w:t>, restrito a Barragem Duas Pontes,</w:t>
      </w:r>
      <w:r w:rsidRPr="007F5FAC">
        <w:rPr>
          <w:rFonts w:cs="Arial"/>
          <w:szCs w:val="22"/>
        </w:rPr>
        <w:t xml:space="preserve"> possui um caráter negativo, pois dele decorrerão potenciais impactos associados </w:t>
      </w:r>
      <w:r>
        <w:rPr>
          <w:rFonts w:cs="Arial"/>
          <w:szCs w:val="22"/>
        </w:rPr>
        <w:t>a</w:t>
      </w:r>
      <w:r w:rsidRPr="007F5FAC">
        <w:rPr>
          <w:rFonts w:cs="Arial"/>
          <w:szCs w:val="22"/>
        </w:rPr>
        <w:t xml:space="preserve"> interferências com instalações e benfeitorias</w:t>
      </w:r>
      <w:r w:rsidR="00821112">
        <w:rPr>
          <w:rFonts w:cs="Arial"/>
          <w:szCs w:val="22"/>
        </w:rPr>
        <w:t>, mas as áreas a serem atingidas se concentram na APP</w:t>
      </w:r>
      <w:r w:rsidR="00FE3B18">
        <w:rPr>
          <w:rFonts w:cs="Arial"/>
          <w:szCs w:val="22"/>
        </w:rPr>
        <w:t>, como já dito anteriormente</w:t>
      </w:r>
      <w:r w:rsidR="00821112">
        <w:rPr>
          <w:rFonts w:cs="Arial"/>
          <w:szCs w:val="22"/>
        </w:rPr>
        <w:t>, onde não existirão moradias, nem instalações</w:t>
      </w:r>
      <w:r w:rsidR="00FE3B18">
        <w:rPr>
          <w:rFonts w:cs="Arial"/>
          <w:szCs w:val="22"/>
        </w:rPr>
        <w:t xml:space="preserve"> permanentes</w:t>
      </w:r>
      <w:r w:rsidRPr="007F5FAC">
        <w:rPr>
          <w:rFonts w:cs="Arial"/>
          <w:szCs w:val="22"/>
        </w:rPr>
        <w:t xml:space="preserve">. </w:t>
      </w:r>
      <w:r>
        <w:rPr>
          <w:rFonts w:cs="Arial"/>
          <w:szCs w:val="22"/>
        </w:rPr>
        <w:t xml:space="preserve">É de </w:t>
      </w:r>
      <w:r w:rsidRPr="007F5FAC">
        <w:rPr>
          <w:rFonts w:cs="Arial"/>
          <w:szCs w:val="22"/>
        </w:rPr>
        <w:t xml:space="preserve">ocorrência </w:t>
      </w:r>
      <w:r>
        <w:rPr>
          <w:rFonts w:cs="Arial"/>
          <w:szCs w:val="22"/>
        </w:rPr>
        <w:t>provável</w:t>
      </w:r>
      <w:r w:rsidRPr="007F5FAC">
        <w:rPr>
          <w:rFonts w:cs="Arial"/>
          <w:szCs w:val="22"/>
        </w:rPr>
        <w:t xml:space="preserve">, especialmente nas zonas de </w:t>
      </w:r>
      <w:r>
        <w:rPr>
          <w:rFonts w:cs="Arial"/>
          <w:szCs w:val="22"/>
        </w:rPr>
        <w:t xml:space="preserve">ocorrência de solos de alteração onde o nível de água do lençol freático é superficial, </w:t>
      </w:r>
      <w:r w:rsidRPr="007F5FAC">
        <w:rPr>
          <w:rFonts w:cs="Arial"/>
          <w:szCs w:val="22"/>
        </w:rPr>
        <w:t xml:space="preserve">depósitos aluviais e terraços, e ordem indireta em relação à elevação do lençol freático devido ao enchimento do reservatório. </w:t>
      </w:r>
    </w:p>
    <w:p w:rsidR="0066142C" w:rsidRDefault="0066142C" w:rsidP="0066142C">
      <w:pPr>
        <w:pStyle w:val="p10"/>
        <w:spacing w:line="240" w:lineRule="auto"/>
        <w:rPr>
          <w:rFonts w:cs="Arial"/>
          <w:szCs w:val="22"/>
        </w:rPr>
      </w:pPr>
      <w:r w:rsidRPr="007F5FAC">
        <w:rPr>
          <w:rFonts w:cs="Arial"/>
          <w:szCs w:val="22"/>
        </w:rPr>
        <w:t xml:space="preserve">Deve ocorrer preferencialmente logo após o enchimento do reservatório, no curto prazo, </w:t>
      </w:r>
      <w:r>
        <w:rPr>
          <w:rFonts w:cs="Arial"/>
          <w:szCs w:val="22"/>
        </w:rPr>
        <w:t>devido às altas</w:t>
      </w:r>
      <w:r w:rsidRPr="007F5FAC">
        <w:rPr>
          <w:rFonts w:cs="Arial"/>
          <w:szCs w:val="22"/>
        </w:rPr>
        <w:t xml:space="preserve"> condutividades hidráulicas </w:t>
      </w:r>
      <w:r>
        <w:rPr>
          <w:rFonts w:cs="Arial"/>
          <w:szCs w:val="22"/>
        </w:rPr>
        <w:t>predominantes nos aquíferos afetados e proximidades</w:t>
      </w:r>
      <w:r w:rsidRPr="007F5FAC">
        <w:rPr>
          <w:rFonts w:cs="Arial"/>
          <w:szCs w:val="22"/>
        </w:rPr>
        <w:t xml:space="preserve"> do reservatório</w:t>
      </w:r>
      <w:r>
        <w:rPr>
          <w:rFonts w:cs="Arial"/>
          <w:szCs w:val="22"/>
        </w:rPr>
        <w:t>.</w:t>
      </w:r>
    </w:p>
    <w:p w:rsidR="008D3A12" w:rsidRDefault="0066142C" w:rsidP="00601292">
      <w:pPr>
        <w:pStyle w:val="p10"/>
        <w:spacing w:line="240" w:lineRule="auto"/>
      </w:pPr>
      <w:r w:rsidRPr="007F5FAC">
        <w:rPr>
          <w:rFonts w:cs="Arial"/>
          <w:szCs w:val="22"/>
        </w:rPr>
        <w:t xml:space="preserve">É um impacto de abrangência </w:t>
      </w:r>
      <w:r>
        <w:rPr>
          <w:rFonts w:cs="Arial"/>
          <w:szCs w:val="22"/>
        </w:rPr>
        <w:t>loca</w:t>
      </w:r>
      <w:r w:rsidRPr="007F5FAC">
        <w:rPr>
          <w:rFonts w:cs="Arial"/>
          <w:szCs w:val="22"/>
        </w:rPr>
        <w:t xml:space="preserve">l, permanente, irreversível e mitigável. A importância é </w:t>
      </w:r>
      <w:r>
        <w:rPr>
          <w:rFonts w:cs="Arial"/>
          <w:szCs w:val="22"/>
        </w:rPr>
        <w:t>média, pois embora</w:t>
      </w:r>
      <w:r w:rsidRPr="007F5FAC">
        <w:rPr>
          <w:rFonts w:cs="Arial"/>
          <w:szCs w:val="22"/>
        </w:rPr>
        <w:t xml:space="preserve"> </w:t>
      </w:r>
      <w:r>
        <w:rPr>
          <w:rFonts w:eastAsia="Calibri" w:cs="Arial"/>
          <w:szCs w:val="22"/>
          <w:lang w:eastAsia="en-US"/>
        </w:rPr>
        <w:t>a elevação do lençol possuir</w:t>
      </w:r>
      <w:r w:rsidRPr="007F5FAC">
        <w:rPr>
          <w:rFonts w:eastAsia="Calibri" w:cs="Arial"/>
          <w:szCs w:val="22"/>
          <w:lang w:eastAsia="en-US"/>
        </w:rPr>
        <w:t xml:space="preserve"> caráter permanente, levando à perenidade da formação de áreas alagadas ou com excesso de umidade, </w:t>
      </w:r>
      <w:r w:rsidR="00FE3B18">
        <w:rPr>
          <w:rFonts w:eastAsia="Calibri" w:cs="Arial"/>
          <w:szCs w:val="22"/>
          <w:lang w:eastAsia="en-US"/>
        </w:rPr>
        <w:t>que provavelmente não terão</w:t>
      </w:r>
      <w:r w:rsidRPr="007F5FAC">
        <w:rPr>
          <w:rFonts w:eastAsia="Calibri" w:cs="Arial"/>
          <w:szCs w:val="22"/>
          <w:lang w:eastAsia="en-US"/>
        </w:rPr>
        <w:t xml:space="preserve"> </w:t>
      </w:r>
      <w:r w:rsidR="00FE3B18">
        <w:rPr>
          <w:rFonts w:eastAsia="Calibri" w:cs="Arial"/>
          <w:szCs w:val="22"/>
          <w:lang w:eastAsia="en-US"/>
        </w:rPr>
        <w:t>interferências com</w:t>
      </w:r>
      <w:r w:rsidRPr="007F5FAC">
        <w:rPr>
          <w:rFonts w:eastAsia="Calibri" w:cs="Arial"/>
          <w:szCs w:val="22"/>
          <w:lang w:eastAsia="en-US"/>
        </w:rPr>
        <w:t xml:space="preserve"> em instalações e benfeitorias</w:t>
      </w:r>
      <w:r>
        <w:rPr>
          <w:rFonts w:eastAsia="Calibri" w:cs="Arial"/>
          <w:szCs w:val="22"/>
          <w:lang w:eastAsia="en-US"/>
        </w:rPr>
        <w:t xml:space="preserve">, </w:t>
      </w:r>
      <w:r w:rsidR="00FE3B18">
        <w:rPr>
          <w:rFonts w:eastAsia="Calibri" w:cs="Arial"/>
          <w:szCs w:val="22"/>
          <w:lang w:eastAsia="en-US"/>
        </w:rPr>
        <w:t xml:space="preserve">portanto a </w:t>
      </w:r>
      <w:r w:rsidRPr="007F5FAC">
        <w:rPr>
          <w:rFonts w:eastAsia="Calibri" w:cs="Arial"/>
          <w:szCs w:val="22"/>
          <w:lang w:eastAsia="en-US"/>
        </w:rPr>
        <w:t>magnitude</w:t>
      </w:r>
      <w:r w:rsidR="00FE3B18">
        <w:rPr>
          <w:rFonts w:eastAsia="Calibri" w:cs="Arial"/>
          <w:szCs w:val="22"/>
          <w:lang w:eastAsia="en-US"/>
        </w:rPr>
        <w:t xml:space="preserve"> será</w:t>
      </w:r>
      <w:r w:rsidRPr="007F5FAC">
        <w:rPr>
          <w:rFonts w:eastAsia="Calibri" w:cs="Arial"/>
          <w:szCs w:val="22"/>
          <w:lang w:eastAsia="en-US"/>
        </w:rPr>
        <w:t xml:space="preserve"> </w:t>
      </w:r>
      <w:r>
        <w:rPr>
          <w:rFonts w:eastAsia="Calibri" w:cs="Arial"/>
          <w:szCs w:val="22"/>
          <w:lang w:eastAsia="en-US"/>
        </w:rPr>
        <w:t>pequena</w:t>
      </w:r>
      <w:r w:rsidR="00FE3B18">
        <w:rPr>
          <w:rFonts w:eastAsia="Calibri" w:cs="Arial"/>
          <w:szCs w:val="22"/>
          <w:lang w:eastAsia="en-US"/>
        </w:rPr>
        <w:t xml:space="preserve"> ou insignificante</w:t>
      </w:r>
      <w:r w:rsidR="004045D8">
        <w:rPr>
          <w:rFonts w:eastAsia="Calibri" w:cs="Arial"/>
          <w:szCs w:val="22"/>
          <w:lang w:eastAsia="en-US"/>
        </w:rPr>
        <w:t xml:space="preserve"> e a importância baixa</w:t>
      </w:r>
      <w:r w:rsidRPr="007F5FAC">
        <w:rPr>
          <w:rFonts w:eastAsia="Calibri" w:cs="Arial"/>
          <w:szCs w:val="22"/>
          <w:lang w:eastAsia="en-US"/>
        </w:rPr>
        <w:t>.</w:t>
      </w:r>
      <w:r w:rsidRPr="007F5FAC">
        <w:rPr>
          <w:rFonts w:cs="Arial"/>
          <w:szCs w:val="22"/>
        </w:rPr>
        <w:t xml:space="preserve"> </w:t>
      </w:r>
    </w:p>
    <w:p w:rsidR="00C64127" w:rsidRPr="00601292" w:rsidRDefault="008D3A12" w:rsidP="00601292">
      <w:pPr>
        <w:pStyle w:val="Legenda"/>
        <w:spacing w:before="0" w:after="0" w:line="240" w:lineRule="auto"/>
        <w:jc w:val="center"/>
        <w:rPr>
          <w:rFonts w:cs="Arial"/>
          <w:b w:val="0"/>
          <w:bCs/>
          <w:i w:val="0"/>
          <w:szCs w:val="22"/>
        </w:rPr>
      </w:pPr>
      <w:bookmarkStart w:id="218" w:name="_Toc420316465"/>
      <w:r w:rsidRPr="00601292">
        <w:rPr>
          <w:i w:val="0"/>
        </w:rPr>
        <w:t xml:space="preserve">Quadro </w:t>
      </w:r>
      <w:r w:rsidR="00B80A05" w:rsidRPr="00601292">
        <w:rPr>
          <w:i w:val="0"/>
        </w:rPr>
        <w:fldChar w:fldCharType="begin"/>
      </w:r>
      <w:r w:rsidR="00402E81" w:rsidRPr="00601292">
        <w:rPr>
          <w:i w:val="0"/>
        </w:rPr>
        <w:instrText xml:space="preserve"> STYLEREF 2 \s </w:instrText>
      </w:r>
      <w:r w:rsidR="00B80A05" w:rsidRPr="00601292">
        <w:rPr>
          <w:i w:val="0"/>
        </w:rPr>
        <w:fldChar w:fldCharType="separate"/>
      </w:r>
      <w:r w:rsidR="00316060">
        <w:rPr>
          <w:i w:val="0"/>
          <w:noProof/>
        </w:rPr>
        <w:t>1.3</w:t>
      </w:r>
      <w:r w:rsidR="00B80A05" w:rsidRPr="00601292">
        <w:rPr>
          <w:i w:val="0"/>
        </w:rPr>
        <w:fldChar w:fldCharType="end"/>
      </w:r>
      <w:r w:rsidR="00402E81" w:rsidRPr="00601292">
        <w:rPr>
          <w:i w:val="0"/>
        </w:rPr>
        <w:t>.</w:t>
      </w:r>
      <w:r w:rsidR="00B80A05" w:rsidRPr="00601292">
        <w:rPr>
          <w:i w:val="0"/>
        </w:rPr>
        <w:fldChar w:fldCharType="begin"/>
      </w:r>
      <w:r w:rsidR="00402E81" w:rsidRPr="00601292">
        <w:rPr>
          <w:i w:val="0"/>
        </w:rPr>
        <w:instrText xml:space="preserve"> SEQ Quadro \* ARABIC \s 2 </w:instrText>
      </w:r>
      <w:r w:rsidR="00B80A05" w:rsidRPr="00601292">
        <w:rPr>
          <w:i w:val="0"/>
        </w:rPr>
        <w:fldChar w:fldCharType="separate"/>
      </w:r>
      <w:r w:rsidR="00316060">
        <w:rPr>
          <w:i w:val="0"/>
          <w:noProof/>
        </w:rPr>
        <w:t>22</w:t>
      </w:r>
      <w:r w:rsidR="00B80A05" w:rsidRPr="00601292">
        <w:rPr>
          <w:i w:val="0"/>
        </w:rPr>
        <w:fldChar w:fldCharType="end"/>
      </w:r>
      <w:r w:rsidR="00601292" w:rsidRPr="00601292">
        <w:rPr>
          <w:i w:val="0"/>
        </w:rPr>
        <w:t>.</w:t>
      </w:r>
      <w:r w:rsidR="00601292" w:rsidRPr="00601292">
        <w:rPr>
          <w:b w:val="0"/>
          <w:i w:val="0"/>
        </w:rPr>
        <w:t xml:space="preserve"> - </w:t>
      </w:r>
      <w:r w:rsidR="0066142C" w:rsidRPr="00601292">
        <w:rPr>
          <w:rFonts w:cs="Arial"/>
          <w:b w:val="0"/>
          <w:bCs/>
          <w:i w:val="0"/>
          <w:szCs w:val="22"/>
        </w:rPr>
        <w:t xml:space="preserve">Caracterização do Impacto – </w:t>
      </w:r>
      <w:r w:rsidR="0066142C" w:rsidRPr="00601292">
        <w:rPr>
          <w:b w:val="0"/>
          <w:i w:val="0"/>
        </w:rPr>
        <w:t>Surgências de Água, Perenização e Formação de Novas Áreas Úmidas e Alagadas pela Elevação do Lençol Freático</w:t>
      </w:r>
      <w:bookmarkEnd w:id="218"/>
      <w:r w:rsidR="0066142C" w:rsidRPr="00601292">
        <w:rPr>
          <w:rFonts w:cs="Arial"/>
          <w:b w:val="0"/>
          <w:bCs/>
          <w:i w:val="0"/>
          <w:szCs w:val="22"/>
        </w:rPr>
        <w:t xml:space="preserve"> </w:t>
      </w:r>
    </w:p>
    <w:p w:rsidR="00C22D4A" w:rsidRPr="00601292" w:rsidRDefault="0066142C" w:rsidP="00601292">
      <w:pPr>
        <w:spacing w:line="240" w:lineRule="auto"/>
        <w:jc w:val="center"/>
        <w:rPr>
          <w:rFonts w:cs="Arial"/>
          <w:bCs/>
          <w:szCs w:val="22"/>
        </w:rPr>
      </w:pPr>
      <w:r w:rsidRPr="00601292">
        <w:rPr>
          <w:rFonts w:cs="Arial"/>
          <w:bCs/>
          <w:szCs w:val="22"/>
        </w:rPr>
        <w:t>Barrage</w:t>
      </w:r>
      <w:r w:rsidR="007F6650" w:rsidRPr="00601292">
        <w:rPr>
          <w:rFonts w:cs="Arial"/>
          <w:bCs/>
          <w:szCs w:val="22"/>
        </w:rPr>
        <w:t>m</w:t>
      </w:r>
      <w:r w:rsidR="00CE5A06" w:rsidRPr="00601292">
        <w:rPr>
          <w:rFonts w:cs="Arial"/>
          <w:bCs/>
          <w:szCs w:val="22"/>
        </w:rPr>
        <w:t xml:space="preserve"> </w:t>
      </w:r>
      <w:r w:rsidRPr="00601292">
        <w:rPr>
          <w:rFonts w:cs="Arial"/>
          <w:bCs/>
          <w:szCs w:val="22"/>
        </w:rPr>
        <w:t>Duas Pontes</w:t>
      </w:r>
    </w:p>
    <w:tbl>
      <w:tblPr>
        <w:tblW w:w="0" w:type="auto"/>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3"/>
        <w:gridCol w:w="1264"/>
        <w:gridCol w:w="1744"/>
        <w:gridCol w:w="1399"/>
        <w:gridCol w:w="3069"/>
      </w:tblGrid>
      <w:tr w:rsidR="0066142C" w:rsidRPr="00500BF4" w:rsidTr="00887C1B">
        <w:trPr>
          <w:trHeight w:val="397"/>
          <w:jc w:val="center"/>
        </w:trPr>
        <w:tc>
          <w:tcPr>
            <w:tcW w:w="1263" w:type="dxa"/>
            <w:shd w:val="clear" w:color="auto" w:fill="D9D9D9"/>
            <w:vAlign w:val="center"/>
          </w:tcPr>
          <w:p w:rsidR="0066142C" w:rsidRPr="00500BF4" w:rsidRDefault="0066142C" w:rsidP="00887C1B">
            <w:pPr>
              <w:autoSpaceDE w:val="0"/>
              <w:autoSpaceDN w:val="0"/>
              <w:adjustRightInd w:val="0"/>
              <w:spacing w:before="120" w:after="120" w:line="240" w:lineRule="auto"/>
              <w:jc w:val="center"/>
              <w:rPr>
                <w:rFonts w:cs="Arial"/>
                <w:b/>
                <w:sz w:val="20"/>
              </w:rPr>
            </w:pPr>
            <w:r w:rsidRPr="00500BF4">
              <w:rPr>
                <w:rFonts w:cs="Arial"/>
                <w:b/>
                <w:sz w:val="20"/>
              </w:rPr>
              <w:t>Natureza</w:t>
            </w:r>
          </w:p>
        </w:tc>
        <w:tc>
          <w:tcPr>
            <w:tcW w:w="1264" w:type="dxa"/>
            <w:shd w:val="clear" w:color="auto" w:fill="D9D9D9"/>
            <w:vAlign w:val="center"/>
          </w:tcPr>
          <w:p w:rsidR="0066142C" w:rsidRPr="00500BF4" w:rsidRDefault="0066142C" w:rsidP="00887C1B">
            <w:pPr>
              <w:autoSpaceDE w:val="0"/>
              <w:autoSpaceDN w:val="0"/>
              <w:adjustRightInd w:val="0"/>
              <w:spacing w:before="120" w:after="120" w:line="240" w:lineRule="auto"/>
              <w:jc w:val="center"/>
              <w:rPr>
                <w:rFonts w:cs="Arial"/>
                <w:b/>
                <w:sz w:val="20"/>
              </w:rPr>
            </w:pPr>
            <w:r w:rsidRPr="00500BF4">
              <w:rPr>
                <w:rFonts w:cs="Arial"/>
                <w:b/>
                <w:sz w:val="20"/>
              </w:rPr>
              <w:t>Ordem</w:t>
            </w:r>
          </w:p>
        </w:tc>
        <w:tc>
          <w:tcPr>
            <w:tcW w:w="1744" w:type="dxa"/>
            <w:shd w:val="clear" w:color="auto" w:fill="D9D9D9"/>
            <w:vAlign w:val="center"/>
          </w:tcPr>
          <w:p w:rsidR="0066142C" w:rsidRPr="00500BF4" w:rsidRDefault="0066142C" w:rsidP="00887C1B">
            <w:pPr>
              <w:autoSpaceDE w:val="0"/>
              <w:autoSpaceDN w:val="0"/>
              <w:adjustRightInd w:val="0"/>
              <w:spacing w:before="120" w:after="120" w:line="240" w:lineRule="auto"/>
              <w:jc w:val="center"/>
              <w:rPr>
                <w:rFonts w:cs="Arial"/>
                <w:b/>
                <w:sz w:val="20"/>
              </w:rPr>
            </w:pPr>
            <w:r w:rsidRPr="00500BF4">
              <w:rPr>
                <w:rFonts w:cs="Arial"/>
                <w:b/>
                <w:sz w:val="20"/>
              </w:rPr>
              <w:t>Abrangência</w:t>
            </w:r>
          </w:p>
        </w:tc>
        <w:tc>
          <w:tcPr>
            <w:tcW w:w="1399" w:type="dxa"/>
            <w:shd w:val="clear" w:color="auto" w:fill="D9D9D9"/>
            <w:vAlign w:val="center"/>
          </w:tcPr>
          <w:p w:rsidR="0066142C" w:rsidRPr="00500BF4" w:rsidRDefault="0066142C" w:rsidP="00887C1B">
            <w:pPr>
              <w:autoSpaceDE w:val="0"/>
              <w:autoSpaceDN w:val="0"/>
              <w:adjustRightInd w:val="0"/>
              <w:spacing w:before="120" w:after="120" w:line="240" w:lineRule="auto"/>
              <w:jc w:val="center"/>
              <w:rPr>
                <w:rFonts w:cs="Arial"/>
                <w:b/>
                <w:sz w:val="20"/>
              </w:rPr>
            </w:pPr>
            <w:r w:rsidRPr="00500BF4">
              <w:rPr>
                <w:rFonts w:cs="Arial"/>
                <w:b/>
                <w:sz w:val="20"/>
              </w:rPr>
              <w:t>Duração</w:t>
            </w:r>
          </w:p>
        </w:tc>
        <w:tc>
          <w:tcPr>
            <w:tcW w:w="3069" w:type="dxa"/>
            <w:shd w:val="clear" w:color="auto" w:fill="D9D9D9"/>
            <w:vAlign w:val="center"/>
          </w:tcPr>
          <w:p w:rsidR="0066142C" w:rsidRPr="00500BF4" w:rsidRDefault="0066142C" w:rsidP="00887C1B">
            <w:pPr>
              <w:autoSpaceDE w:val="0"/>
              <w:autoSpaceDN w:val="0"/>
              <w:adjustRightInd w:val="0"/>
              <w:spacing w:before="120" w:after="120" w:line="240" w:lineRule="auto"/>
              <w:jc w:val="center"/>
              <w:rPr>
                <w:rFonts w:cs="Arial"/>
                <w:b/>
                <w:sz w:val="20"/>
              </w:rPr>
            </w:pPr>
            <w:r w:rsidRPr="00500BF4">
              <w:rPr>
                <w:rFonts w:cs="Arial"/>
                <w:b/>
                <w:sz w:val="20"/>
              </w:rPr>
              <w:t>Probabilidade de Ocorrência</w:t>
            </w:r>
          </w:p>
        </w:tc>
      </w:tr>
      <w:tr w:rsidR="0066142C" w:rsidRPr="00500BF4" w:rsidTr="00887C1B">
        <w:trPr>
          <w:jc w:val="center"/>
        </w:trPr>
        <w:tc>
          <w:tcPr>
            <w:tcW w:w="1263" w:type="dxa"/>
            <w:shd w:val="clear" w:color="auto" w:fill="auto"/>
            <w:vAlign w:val="center"/>
          </w:tcPr>
          <w:p w:rsidR="0066142C" w:rsidRPr="00500BF4" w:rsidRDefault="0066142C" w:rsidP="00887C1B">
            <w:pPr>
              <w:autoSpaceDE w:val="0"/>
              <w:autoSpaceDN w:val="0"/>
              <w:adjustRightInd w:val="0"/>
              <w:spacing w:before="120" w:after="120" w:line="240" w:lineRule="auto"/>
              <w:jc w:val="center"/>
              <w:rPr>
                <w:rFonts w:cs="Arial"/>
                <w:sz w:val="20"/>
              </w:rPr>
            </w:pPr>
            <w:r w:rsidRPr="00500BF4">
              <w:rPr>
                <w:rFonts w:cs="Arial"/>
                <w:sz w:val="20"/>
              </w:rPr>
              <w:t>Negativa</w:t>
            </w:r>
          </w:p>
        </w:tc>
        <w:tc>
          <w:tcPr>
            <w:tcW w:w="1264" w:type="dxa"/>
            <w:shd w:val="clear" w:color="auto" w:fill="auto"/>
            <w:vAlign w:val="center"/>
          </w:tcPr>
          <w:p w:rsidR="0066142C" w:rsidRPr="00500BF4" w:rsidRDefault="0066142C" w:rsidP="00887C1B">
            <w:pPr>
              <w:autoSpaceDE w:val="0"/>
              <w:autoSpaceDN w:val="0"/>
              <w:adjustRightInd w:val="0"/>
              <w:spacing w:before="120" w:after="120" w:line="240" w:lineRule="auto"/>
              <w:jc w:val="center"/>
              <w:rPr>
                <w:rFonts w:cs="Arial"/>
                <w:sz w:val="20"/>
              </w:rPr>
            </w:pPr>
            <w:r>
              <w:rPr>
                <w:rFonts w:cs="Arial"/>
                <w:sz w:val="20"/>
              </w:rPr>
              <w:t>Ind</w:t>
            </w:r>
            <w:r w:rsidRPr="00500BF4">
              <w:rPr>
                <w:rFonts w:cs="Arial"/>
                <w:sz w:val="20"/>
              </w:rPr>
              <w:t>ireta</w:t>
            </w:r>
          </w:p>
        </w:tc>
        <w:tc>
          <w:tcPr>
            <w:tcW w:w="1744" w:type="dxa"/>
            <w:shd w:val="clear" w:color="auto" w:fill="auto"/>
            <w:vAlign w:val="center"/>
          </w:tcPr>
          <w:p w:rsidR="0066142C" w:rsidRPr="00500BF4" w:rsidRDefault="0066142C" w:rsidP="00887C1B">
            <w:pPr>
              <w:autoSpaceDE w:val="0"/>
              <w:autoSpaceDN w:val="0"/>
              <w:adjustRightInd w:val="0"/>
              <w:spacing w:before="120" w:after="120" w:line="240" w:lineRule="auto"/>
              <w:jc w:val="center"/>
              <w:rPr>
                <w:rFonts w:cs="Arial"/>
                <w:sz w:val="20"/>
              </w:rPr>
            </w:pPr>
            <w:r w:rsidRPr="00500BF4">
              <w:rPr>
                <w:rFonts w:cs="Arial"/>
                <w:sz w:val="20"/>
              </w:rPr>
              <w:t>Local (ADA)</w:t>
            </w:r>
          </w:p>
        </w:tc>
        <w:tc>
          <w:tcPr>
            <w:tcW w:w="1399" w:type="dxa"/>
            <w:shd w:val="clear" w:color="auto" w:fill="auto"/>
            <w:vAlign w:val="center"/>
          </w:tcPr>
          <w:p w:rsidR="0066142C" w:rsidRPr="00500BF4" w:rsidRDefault="0066142C" w:rsidP="00887C1B">
            <w:pPr>
              <w:autoSpaceDE w:val="0"/>
              <w:autoSpaceDN w:val="0"/>
              <w:adjustRightInd w:val="0"/>
              <w:spacing w:before="120" w:after="120" w:line="240" w:lineRule="auto"/>
              <w:jc w:val="center"/>
              <w:rPr>
                <w:rFonts w:cs="Arial"/>
                <w:sz w:val="20"/>
              </w:rPr>
            </w:pPr>
            <w:r>
              <w:rPr>
                <w:rFonts w:cs="Arial"/>
                <w:sz w:val="20"/>
              </w:rPr>
              <w:t>Permanente</w:t>
            </w:r>
          </w:p>
        </w:tc>
        <w:tc>
          <w:tcPr>
            <w:tcW w:w="3069" w:type="dxa"/>
            <w:shd w:val="clear" w:color="auto" w:fill="auto"/>
            <w:vAlign w:val="center"/>
          </w:tcPr>
          <w:p w:rsidR="0066142C" w:rsidRPr="00500BF4" w:rsidRDefault="00FE3B18" w:rsidP="00FE3B18">
            <w:pPr>
              <w:autoSpaceDE w:val="0"/>
              <w:autoSpaceDN w:val="0"/>
              <w:adjustRightInd w:val="0"/>
              <w:spacing w:before="120" w:after="120" w:line="240" w:lineRule="auto"/>
              <w:jc w:val="center"/>
              <w:rPr>
                <w:rFonts w:cs="Arial"/>
                <w:sz w:val="20"/>
              </w:rPr>
            </w:pPr>
            <w:r>
              <w:rPr>
                <w:rFonts w:cs="Arial"/>
                <w:sz w:val="20"/>
              </w:rPr>
              <w:t>Provável</w:t>
            </w:r>
          </w:p>
        </w:tc>
      </w:tr>
    </w:tbl>
    <w:p w:rsidR="0066142C" w:rsidRPr="00500BF4" w:rsidRDefault="0066142C" w:rsidP="0066142C">
      <w:pPr>
        <w:autoSpaceDE w:val="0"/>
        <w:autoSpaceDN w:val="0"/>
        <w:adjustRightInd w:val="0"/>
        <w:spacing w:line="240" w:lineRule="auto"/>
        <w:jc w:val="center"/>
        <w:rPr>
          <w:rFonts w:cs="Arial"/>
          <w:sz w:val="20"/>
        </w:rPr>
      </w:pPr>
    </w:p>
    <w:tbl>
      <w:tblPr>
        <w:tblW w:w="0" w:type="auto"/>
        <w:jc w:val="center"/>
        <w:tblInd w:w="-1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6"/>
        <w:gridCol w:w="1796"/>
        <w:gridCol w:w="1357"/>
        <w:gridCol w:w="1472"/>
        <w:gridCol w:w="1624"/>
      </w:tblGrid>
      <w:tr w:rsidR="0066142C" w:rsidRPr="00500BF4" w:rsidTr="00887C1B">
        <w:trPr>
          <w:trHeight w:val="397"/>
          <w:jc w:val="center"/>
        </w:trPr>
        <w:tc>
          <w:tcPr>
            <w:tcW w:w="2496" w:type="dxa"/>
            <w:shd w:val="clear" w:color="auto" w:fill="D9D9D9"/>
            <w:vAlign w:val="center"/>
          </w:tcPr>
          <w:p w:rsidR="0066142C" w:rsidRPr="00500BF4" w:rsidRDefault="0066142C" w:rsidP="00887C1B">
            <w:pPr>
              <w:autoSpaceDE w:val="0"/>
              <w:autoSpaceDN w:val="0"/>
              <w:adjustRightInd w:val="0"/>
              <w:spacing w:before="120" w:after="120" w:line="240" w:lineRule="auto"/>
              <w:jc w:val="center"/>
              <w:rPr>
                <w:rFonts w:cs="Arial"/>
                <w:b/>
                <w:sz w:val="20"/>
              </w:rPr>
            </w:pPr>
            <w:r w:rsidRPr="00500BF4">
              <w:rPr>
                <w:rFonts w:cs="Arial"/>
                <w:b/>
                <w:sz w:val="20"/>
              </w:rPr>
              <w:t>Época de Ocorrência</w:t>
            </w:r>
          </w:p>
        </w:tc>
        <w:tc>
          <w:tcPr>
            <w:tcW w:w="1796" w:type="dxa"/>
            <w:shd w:val="clear" w:color="auto" w:fill="D9D9D9"/>
            <w:vAlign w:val="center"/>
          </w:tcPr>
          <w:p w:rsidR="0066142C" w:rsidRPr="00500BF4" w:rsidRDefault="0066142C" w:rsidP="00887C1B">
            <w:pPr>
              <w:autoSpaceDE w:val="0"/>
              <w:autoSpaceDN w:val="0"/>
              <w:adjustRightInd w:val="0"/>
              <w:spacing w:before="120" w:after="120" w:line="240" w:lineRule="auto"/>
              <w:jc w:val="center"/>
              <w:rPr>
                <w:rFonts w:cs="Arial"/>
                <w:b/>
                <w:sz w:val="20"/>
              </w:rPr>
            </w:pPr>
            <w:r w:rsidRPr="00500BF4">
              <w:rPr>
                <w:rFonts w:cs="Arial"/>
                <w:b/>
                <w:sz w:val="20"/>
              </w:rPr>
              <w:t>Reversibilidade</w:t>
            </w:r>
          </w:p>
        </w:tc>
        <w:tc>
          <w:tcPr>
            <w:tcW w:w="1357" w:type="dxa"/>
            <w:shd w:val="clear" w:color="auto" w:fill="D9D9D9"/>
            <w:vAlign w:val="center"/>
          </w:tcPr>
          <w:p w:rsidR="0066142C" w:rsidRPr="00500BF4" w:rsidRDefault="0066142C" w:rsidP="00887C1B">
            <w:pPr>
              <w:autoSpaceDE w:val="0"/>
              <w:autoSpaceDN w:val="0"/>
              <w:adjustRightInd w:val="0"/>
              <w:spacing w:before="120" w:after="120" w:line="240" w:lineRule="auto"/>
              <w:jc w:val="center"/>
              <w:rPr>
                <w:rFonts w:cs="Arial"/>
                <w:b/>
                <w:sz w:val="20"/>
              </w:rPr>
            </w:pPr>
            <w:r w:rsidRPr="00500BF4">
              <w:rPr>
                <w:rFonts w:cs="Arial"/>
                <w:b/>
                <w:sz w:val="20"/>
              </w:rPr>
              <w:t>Magnitude</w:t>
            </w:r>
          </w:p>
        </w:tc>
        <w:tc>
          <w:tcPr>
            <w:tcW w:w="1472" w:type="dxa"/>
            <w:shd w:val="clear" w:color="auto" w:fill="D9D9D9"/>
            <w:vAlign w:val="center"/>
          </w:tcPr>
          <w:p w:rsidR="0066142C" w:rsidRPr="00500BF4" w:rsidRDefault="0066142C" w:rsidP="00887C1B">
            <w:pPr>
              <w:autoSpaceDE w:val="0"/>
              <w:autoSpaceDN w:val="0"/>
              <w:adjustRightInd w:val="0"/>
              <w:spacing w:before="120" w:after="120" w:line="240" w:lineRule="auto"/>
              <w:jc w:val="center"/>
              <w:rPr>
                <w:rFonts w:cs="Arial"/>
                <w:b/>
                <w:sz w:val="20"/>
              </w:rPr>
            </w:pPr>
            <w:r w:rsidRPr="00500BF4">
              <w:rPr>
                <w:rFonts w:cs="Arial"/>
                <w:b/>
                <w:sz w:val="20"/>
              </w:rPr>
              <w:t>Importância</w:t>
            </w:r>
          </w:p>
        </w:tc>
        <w:tc>
          <w:tcPr>
            <w:tcW w:w="1624" w:type="dxa"/>
            <w:shd w:val="clear" w:color="auto" w:fill="D9D9D9"/>
            <w:vAlign w:val="center"/>
          </w:tcPr>
          <w:p w:rsidR="0066142C" w:rsidRPr="00500BF4" w:rsidRDefault="0066142C" w:rsidP="00887C1B">
            <w:pPr>
              <w:autoSpaceDE w:val="0"/>
              <w:autoSpaceDN w:val="0"/>
              <w:adjustRightInd w:val="0"/>
              <w:spacing w:before="120" w:after="120" w:line="240" w:lineRule="auto"/>
              <w:jc w:val="center"/>
              <w:rPr>
                <w:rFonts w:cs="Arial"/>
                <w:b/>
                <w:sz w:val="20"/>
              </w:rPr>
            </w:pPr>
            <w:r w:rsidRPr="00500BF4">
              <w:rPr>
                <w:rFonts w:cs="Arial"/>
                <w:b/>
                <w:sz w:val="20"/>
              </w:rPr>
              <w:t>Mitigação</w:t>
            </w:r>
          </w:p>
        </w:tc>
      </w:tr>
      <w:tr w:rsidR="0066142C" w:rsidRPr="00500BF4" w:rsidTr="00887C1B">
        <w:trPr>
          <w:jc w:val="center"/>
        </w:trPr>
        <w:tc>
          <w:tcPr>
            <w:tcW w:w="2496" w:type="dxa"/>
            <w:shd w:val="clear" w:color="auto" w:fill="auto"/>
            <w:vAlign w:val="center"/>
          </w:tcPr>
          <w:p w:rsidR="0066142C" w:rsidRPr="00500BF4" w:rsidRDefault="0066142C" w:rsidP="00887C1B">
            <w:pPr>
              <w:autoSpaceDE w:val="0"/>
              <w:autoSpaceDN w:val="0"/>
              <w:adjustRightInd w:val="0"/>
              <w:spacing w:before="120" w:after="120" w:line="240" w:lineRule="auto"/>
              <w:jc w:val="center"/>
              <w:rPr>
                <w:rFonts w:cs="Arial"/>
                <w:sz w:val="20"/>
              </w:rPr>
            </w:pPr>
            <w:r w:rsidRPr="00500BF4">
              <w:rPr>
                <w:rFonts w:cs="Arial"/>
                <w:sz w:val="20"/>
              </w:rPr>
              <w:t>Curto Prazo</w:t>
            </w:r>
          </w:p>
        </w:tc>
        <w:tc>
          <w:tcPr>
            <w:tcW w:w="1796" w:type="dxa"/>
            <w:shd w:val="clear" w:color="auto" w:fill="auto"/>
            <w:vAlign w:val="center"/>
          </w:tcPr>
          <w:p w:rsidR="0066142C" w:rsidRPr="00500BF4" w:rsidRDefault="0066142C" w:rsidP="00887C1B">
            <w:pPr>
              <w:autoSpaceDE w:val="0"/>
              <w:autoSpaceDN w:val="0"/>
              <w:adjustRightInd w:val="0"/>
              <w:spacing w:before="120" w:after="120" w:line="240" w:lineRule="auto"/>
              <w:jc w:val="center"/>
              <w:rPr>
                <w:rFonts w:cs="Arial"/>
                <w:sz w:val="20"/>
              </w:rPr>
            </w:pPr>
            <w:r>
              <w:rPr>
                <w:rFonts w:cs="Arial"/>
                <w:sz w:val="20"/>
              </w:rPr>
              <w:t>Irr</w:t>
            </w:r>
            <w:r w:rsidRPr="00500BF4">
              <w:rPr>
                <w:rFonts w:cs="Arial"/>
                <w:sz w:val="20"/>
              </w:rPr>
              <w:t>eversível</w:t>
            </w:r>
          </w:p>
        </w:tc>
        <w:tc>
          <w:tcPr>
            <w:tcW w:w="1357" w:type="dxa"/>
            <w:shd w:val="clear" w:color="auto" w:fill="auto"/>
            <w:vAlign w:val="center"/>
          </w:tcPr>
          <w:p w:rsidR="0066142C" w:rsidRPr="00500BF4" w:rsidRDefault="0066142C" w:rsidP="00887C1B">
            <w:pPr>
              <w:autoSpaceDE w:val="0"/>
              <w:autoSpaceDN w:val="0"/>
              <w:adjustRightInd w:val="0"/>
              <w:spacing w:before="120" w:after="120" w:line="240" w:lineRule="auto"/>
              <w:jc w:val="center"/>
              <w:rPr>
                <w:rFonts w:cs="Arial"/>
                <w:sz w:val="20"/>
              </w:rPr>
            </w:pPr>
            <w:r>
              <w:rPr>
                <w:rFonts w:cs="Arial"/>
                <w:sz w:val="20"/>
              </w:rPr>
              <w:t>Pequena</w:t>
            </w:r>
          </w:p>
        </w:tc>
        <w:tc>
          <w:tcPr>
            <w:tcW w:w="1472" w:type="dxa"/>
            <w:shd w:val="clear" w:color="auto" w:fill="auto"/>
            <w:vAlign w:val="center"/>
          </w:tcPr>
          <w:p w:rsidR="0066142C" w:rsidRPr="00500BF4" w:rsidRDefault="004045D8" w:rsidP="00887C1B">
            <w:pPr>
              <w:autoSpaceDE w:val="0"/>
              <w:autoSpaceDN w:val="0"/>
              <w:adjustRightInd w:val="0"/>
              <w:spacing w:before="120" w:after="120" w:line="240" w:lineRule="auto"/>
              <w:jc w:val="center"/>
              <w:rPr>
                <w:rFonts w:cs="Arial"/>
                <w:sz w:val="20"/>
              </w:rPr>
            </w:pPr>
            <w:r>
              <w:rPr>
                <w:rFonts w:cs="Arial"/>
                <w:sz w:val="20"/>
              </w:rPr>
              <w:t>Baixa</w:t>
            </w:r>
          </w:p>
        </w:tc>
        <w:tc>
          <w:tcPr>
            <w:tcW w:w="1624" w:type="dxa"/>
            <w:shd w:val="clear" w:color="auto" w:fill="auto"/>
            <w:vAlign w:val="center"/>
          </w:tcPr>
          <w:p w:rsidR="0066142C" w:rsidRPr="00500BF4" w:rsidRDefault="0066142C" w:rsidP="00887C1B">
            <w:pPr>
              <w:autoSpaceDE w:val="0"/>
              <w:autoSpaceDN w:val="0"/>
              <w:adjustRightInd w:val="0"/>
              <w:spacing w:before="120" w:after="120" w:line="240" w:lineRule="auto"/>
              <w:jc w:val="center"/>
              <w:rPr>
                <w:rFonts w:cs="Arial"/>
                <w:sz w:val="20"/>
              </w:rPr>
            </w:pPr>
            <w:r w:rsidRPr="00500BF4">
              <w:rPr>
                <w:rFonts w:cs="Arial"/>
                <w:sz w:val="20"/>
              </w:rPr>
              <w:t>Mitigável</w:t>
            </w:r>
          </w:p>
        </w:tc>
      </w:tr>
    </w:tbl>
    <w:p w:rsidR="0066142C" w:rsidRPr="005D3260" w:rsidRDefault="0066142C" w:rsidP="0066142C">
      <w:pPr>
        <w:pStyle w:val="p3"/>
        <w:spacing w:before="0" w:after="0"/>
        <w:ind w:left="0"/>
        <w:rPr>
          <w:rFonts w:cs="Arial"/>
          <w:b/>
          <w:szCs w:val="22"/>
          <w:highlight w:val="yellow"/>
        </w:rPr>
      </w:pPr>
    </w:p>
    <w:p w:rsidR="0066142C" w:rsidRPr="000E2169" w:rsidRDefault="0066142C" w:rsidP="0066142C">
      <w:pPr>
        <w:pStyle w:val="p3"/>
        <w:ind w:left="0"/>
        <w:rPr>
          <w:rFonts w:cs="Arial"/>
          <w:b/>
          <w:szCs w:val="22"/>
        </w:rPr>
      </w:pPr>
      <w:r w:rsidRPr="00651C9C">
        <w:rPr>
          <w:rFonts w:cs="Arial"/>
          <w:b/>
          <w:szCs w:val="22"/>
        </w:rPr>
        <w:t>Ações Ambientais Propostas</w:t>
      </w:r>
    </w:p>
    <w:p w:rsidR="0066142C" w:rsidRDefault="0066142C" w:rsidP="00601292">
      <w:pPr>
        <w:autoSpaceDE w:val="0"/>
        <w:autoSpaceDN w:val="0"/>
        <w:adjustRightInd w:val="0"/>
        <w:spacing w:before="120" w:after="120" w:line="240" w:lineRule="auto"/>
        <w:rPr>
          <w:rFonts w:cs="Arial"/>
          <w:szCs w:val="22"/>
        </w:rPr>
      </w:pPr>
      <w:r>
        <w:rPr>
          <w:rFonts w:cs="Arial"/>
          <w:szCs w:val="22"/>
        </w:rPr>
        <w:t>O Programa de Monitoramento da Dinâmica das Águas Subterrâneas deve contemplar</w:t>
      </w:r>
      <w:r w:rsidRPr="00651C9C">
        <w:rPr>
          <w:rFonts w:cs="Arial"/>
          <w:szCs w:val="22"/>
        </w:rPr>
        <w:t xml:space="preserve"> um detalhamento de áreas que po</w:t>
      </w:r>
      <w:r>
        <w:rPr>
          <w:rFonts w:cs="Arial"/>
          <w:szCs w:val="22"/>
        </w:rPr>
        <w:t>de</w:t>
      </w:r>
      <w:r w:rsidRPr="00651C9C">
        <w:rPr>
          <w:rFonts w:cs="Arial"/>
          <w:szCs w:val="22"/>
        </w:rPr>
        <w:t xml:space="preserve">m apresentar características topográficas, </w:t>
      </w:r>
      <w:r w:rsidRPr="003861F7">
        <w:rPr>
          <w:rFonts w:cs="Arial"/>
          <w:szCs w:val="22"/>
        </w:rPr>
        <w:t>geológicas</w:t>
      </w:r>
      <w:r>
        <w:rPr>
          <w:rFonts w:cs="Arial"/>
          <w:color w:val="00B0F0"/>
          <w:szCs w:val="22"/>
        </w:rPr>
        <w:t xml:space="preserve"> </w:t>
      </w:r>
      <w:r w:rsidRPr="00651C9C">
        <w:rPr>
          <w:rFonts w:cs="Arial"/>
          <w:szCs w:val="22"/>
        </w:rPr>
        <w:t xml:space="preserve">ou de localização que as tornem potencialmente favoráveis para a formação de alagamentos permanentes ou umidificação excessiva, </w:t>
      </w:r>
      <w:r>
        <w:rPr>
          <w:rFonts w:cs="Arial"/>
          <w:szCs w:val="22"/>
        </w:rPr>
        <w:t>correspondentes aos</w:t>
      </w:r>
      <w:r w:rsidRPr="00651C9C">
        <w:rPr>
          <w:rFonts w:cs="Arial"/>
          <w:szCs w:val="22"/>
        </w:rPr>
        <w:t xml:space="preserve"> setores </w:t>
      </w:r>
      <w:r>
        <w:rPr>
          <w:rFonts w:cs="Arial"/>
          <w:szCs w:val="22"/>
        </w:rPr>
        <w:t>indicados</w:t>
      </w:r>
      <w:r w:rsidRPr="00651C9C">
        <w:rPr>
          <w:rFonts w:cs="Arial"/>
          <w:szCs w:val="22"/>
        </w:rPr>
        <w:t xml:space="preserve"> durante o Diagnóstico Ambiental. </w:t>
      </w:r>
    </w:p>
    <w:p w:rsidR="00973BCF" w:rsidRPr="004045D8" w:rsidRDefault="00A71868" w:rsidP="004045D8">
      <w:pPr>
        <w:pStyle w:val="Ttulo3"/>
        <w:spacing w:after="240"/>
        <w:rPr>
          <w:rFonts w:ascii="Arial Negrito" w:hAnsi="Arial Negrito"/>
          <w:b w:val="0"/>
          <w:bCs/>
        </w:rPr>
      </w:pPr>
      <w:bookmarkStart w:id="219" w:name="_Toc418758221"/>
      <w:bookmarkStart w:id="220" w:name="_Toc418758823"/>
      <w:bookmarkStart w:id="221" w:name="_Toc419813583"/>
      <w:r w:rsidRPr="004045D8">
        <w:rPr>
          <w:rFonts w:ascii="Arial Negrito" w:hAnsi="Arial Negrito"/>
          <w:b w:val="0"/>
          <w:bCs/>
        </w:rPr>
        <w:t>1.3.1.</w:t>
      </w:r>
      <w:r w:rsidR="00973BCF" w:rsidRPr="004045D8">
        <w:rPr>
          <w:rFonts w:ascii="Arial Negrito" w:hAnsi="Arial Negrito"/>
          <w:b w:val="0"/>
          <w:bCs/>
        </w:rPr>
        <w:t>12. Perda de Po</w:t>
      </w:r>
      <w:r w:rsidR="00973BCF" w:rsidRPr="004045D8">
        <w:rPr>
          <w:rFonts w:ascii="Arial Negrito" w:hAnsi="Arial Negrito" w:hint="eastAsia"/>
          <w:b w:val="0"/>
          <w:bCs/>
        </w:rPr>
        <w:t>ç</w:t>
      </w:r>
      <w:r w:rsidR="00973BCF" w:rsidRPr="004045D8">
        <w:rPr>
          <w:rFonts w:ascii="Arial Negrito" w:hAnsi="Arial Negrito"/>
          <w:b w:val="0"/>
          <w:bCs/>
        </w:rPr>
        <w:t>os Profundos</w:t>
      </w:r>
      <w:bookmarkEnd w:id="219"/>
      <w:bookmarkEnd w:id="220"/>
      <w:bookmarkEnd w:id="221"/>
    </w:p>
    <w:p w:rsidR="005C64E0" w:rsidRPr="000B4DAF" w:rsidRDefault="005C64E0" w:rsidP="005C64E0">
      <w:pPr>
        <w:autoSpaceDE w:val="0"/>
        <w:autoSpaceDN w:val="0"/>
        <w:adjustRightInd w:val="0"/>
        <w:spacing w:before="120" w:after="120" w:line="240" w:lineRule="auto"/>
        <w:rPr>
          <w:rFonts w:cs="Arial"/>
          <w:b/>
          <w:szCs w:val="22"/>
        </w:rPr>
      </w:pPr>
      <w:r>
        <w:rPr>
          <w:rFonts w:cs="Arial"/>
          <w:b/>
          <w:szCs w:val="22"/>
        </w:rPr>
        <w:t>Fase: Implantação</w:t>
      </w:r>
    </w:p>
    <w:p w:rsidR="00C22D4A" w:rsidRPr="005C64E0" w:rsidRDefault="00C22D4A" w:rsidP="00C22D4A">
      <w:pPr>
        <w:autoSpaceDE w:val="0"/>
        <w:autoSpaceDN w:val="0"/>
        <w:adjustRightInd w:val="0"/>
        <w:spacing w:before="120" w:after="120" w:line="240" w:lineRule="auto"/>
        <w:rPr>
          <w:rFonts w:cs="Arial"/>
          <w:szCs w:val="22"/>
        </w:rPr>
      </w:pPr>
      <w:r w:rsidRPr="009613B9">
        <w:rPr>
          <w:rFonts w:cs="Arial"/>
          <w:szCs w:val="22"/>
        </w:rPr>
        <w:t xml:space="preserve">Com </w:t>
      </w:r>
      <w:r>
        <w:rPr>
          <w:rFonts w:cs="Arial"/>
          <w:szCs w:val="22"/>
        </w:rPr>
        <w:t>implantação</w:t>
      </w:r>
      <w:r w:rsidRPr="009613B9">
        <w:rPr>
          <w:rFonts w:cs="Arial"/>
          <w:szCs w:val="22"/>
        </w:rPr>
        <w:t xml:space="preserve"> do re</w:t>
      </w:r>
      <w:r>
        <w:rPr>
          <w:rFonts w:cs="Arial"/>
          <w:szCs w:val="22"/>
        </w:rPr>
        <w:t xml:space="preserve">servatório </w:t>
      </w:r>
      <w:r w:rsidRPr="005C64E0">
        <w:rPr>
          <w:rFonts w:cs="Arial"/>
          <w:szCs w:val="22"/>
        </w:rPr>
        <w:t xml:space="preserve">da Barragem Duas Pontes poços tubulares existentes na ADA poderão ser totalmente ou parcialmente submersos, com a perda de suas instalações (tubulações, filtros, revestimentos, etc.). </w:t>
      </w:r>
    </w:p>
    <w:p w:rsidR="00C22D4A" w:rsidRDefault="00C22D4A" w:rsidP="00C22D4A">
      <w:pPr>
        <w:autoSpaceDE w:val="0"/>
        <w:autoSpaceDN w:val="0"/>
        <w:adjustRightInd w:val="0"/>
        <w:spacing w:before="120" w:after="120" w:line="240" w:lineRule="auto"/>
        <w:rPr>
          <w:rFonts w:cs="Arial"/>
          <w:szCs w:val="22"/>
        </w:rPr>
      </w:pPr>
      <w:r w:rsidRPr="005C64E0">
        <w:rPr>
          <w:rFonts w:cs="Arial"/>
          <w:szCs w:val="22"/>
        </w:rPr>
        <w:t>Conforme apresentado no capítulo</w:t>
      </w:r>
      <w:r w:rsidR="00EC4A0C">
        <w:rPr>
          <w:rFonts w:cs="Arial"/>
          <w:szCs w:val="22"/>
        </w:rPr>
        <w:t xml:space="preserve"> 6</w:t>
      </w:r>
      <w:r w:rsidRPr="005C64E0">
        <w:rPr>
          <w:rFonts w:cs="Arial"/>
          <w:szCs w:val="22"/>
        </w:rPr>
        <w:t xml:space="preserve"> “Hidrogeologia</w:t>
      </w:r>
      <w:r w:rsidR="00EC4A0C">
        <w:rPr>
          <w:rFonts w:cs="Arial"/>
          <w:szCs w:val="22"/>
        </w:rPr>
        <w:t>” do Volume II</w:t>
      </w:r>
      <w:r>
        <w:rPr>
          <w:rFonts w:cs="Arial"/>
          <w:szCs w:val="22"/>
        </w:rPr>
        <w:t>, foram identificados</w:t>
      </w:r>
      <w:r w:rsidR="00EC4A0C">
        <w:rPr>
          <w:rFonts w:cs="Arial"/>
          <w:szCs w:val="22"/>
        </w:rPr>
        <w:t xml:space="preserve">  na Área de Influência Direta da Barragem Duas Pontes </w:t>
      </w:r>
      <w:r>
        <w:rPr>
          <w:rFonts w:cs="Arial"/>
          <w:szCs w:val="22"/>
        </w:rPr>
        <w:t>onze (11) poços tubulares profundos, 5 registrados no DAEE e 6 no SIAGAS (CPRM)</w:t>
      </w:r>
      <w:r w:rsidR="00EC4A0C">
        <w:rPr>
          <w:rFonts w:cs="Arial"/>
          <w:szCs w:val="22"/>
        </w:rPr>
        <w:t>.</w:t>
      </w:r>
      <w:r>
        <w:rPr>
          <w:rFonts w:cs="Arial"/>
          <w:szCs w:val="22"/>
        </w:rPr>
        <w:t xml:space="preserve"> Outros dois poços foram identificados apenas durante o levantamento de campo e não foram encontrados nos registros do SIAGAS e DAEE </w:t>
      </w:r>
      <w:r w:rsidRPr="009613B9">
        <w:rPr>
          <w:rFonts w:cs="Arial"/>
          <w:szCs w:val="22"/>
        </w:rPr>
        <w:lastRenderedPageBreak/>
        <w:t>(Departamento de Águas e Energia Elétrica)</w:t>
      </w:r>
      <w:r>
        <w:rPr>
          <w:rFonts w:cs="Arial"/>
          <w:szCs w:val="22"/>
        </w:rPr>
        <w:t>. Ressalta-se que junto ao banco de dados do DAEE</w:t>
      </w:r>
      <w:r w:rsidR="00614B80">
        <w:rPr>
          <w:rFonts w:cs="Arial"/>
          <w:szCs w:val="22"/>
        </w:rPr>
        <w:t xml:space="preserve"> e SIAGAS</w:t>
      </w:r>
      <w:r>
        <w:rPr>
          <w:rFonts w:cs="Arial"/>
          <w:szCs w:val="22"/>
        </w:rPr>
        <w:t>, não existem poços cadastrados localizados nos limites da ADA.</w:t>
      </w:r>
    </w:p>
    <w:p w:rsidR="00C22D4A" w:rsidRDefault="00C22D4A" w:rsidP="008B6C24">
      <w:pPr>
        <w:autoSpaceDE w:val="0"/>
        <w:autoSpaceDN w:val="0"/>
        <w:adjustRightInd w:val="0"/>
        <w:spacing w:before="120" w:after="120" w:line="240" w:lineRule="auto"/>
        <w:rPr>
          <w:rFonts w:cs="Arial"/>
          <w:szCs w:val="22"/>
        </w:rPr>
      </w:pPr>
      <w:r>
        <w:rPr>
          <w:rFonts w:cs="Arial"/>
          <w:szCs w:val="22"/>
        </w:rPr>
        <w:t>Foram identificados em campo os poços</w:t>
      </w:r>
      <w:r w:rsidR="00AF1CD9">
        <w:rPr>
          <w:rFonts w:cs="Arial"/>
          <w:szCs w:val="22"/>
        </w:rPr>
        <w:t xml:space="preserve"> tubulares profundos</w:t>
      </w:r>
      <w:r>
        <w:rPr>
          <w:rFonts w:cs="Arial"/>
          <w:szCs w:val="22"/>
        </w:rPr>
        <w:t xml:space="preserve"> P-13 e P-14</w:t>
      </w:r>
      <w:r w:rsidR="00614B80">
        <w:rPr>
          <w:rFonts w:cs="Arial"/>
          <w:szCs w:val="22"/>
        </w:rPr>
        <w:t>, localizados na ADA</w:t>
      </w:r>
      <w:r>
        <w:rPr>
          <w:rFonts w:cs="Arial"/>
          <w:szCs w:val="22"/>
        </w:rPr>
        <w:t xml:space="preserve">. </w:t>
      </w:r>
      <w:r w:rsidRPr="00D409D2">
        <w:rPr>
          <w:rFonts w:cs="Arial"/>
          <w:szCs w:val="22"/>
        </w:rPr>
        <w:t xml:space="preserve">O poço P-13 </w:t>
      </w:r>
      <w:r>
        <w:rPr>
          <w:rFonts w:cs="Arial"/>
          <w:szCs w:val="22"/>
        </w:rPr>
        <w:t xml:space="preserve">localiza-se no reservatório, sendo </w:t>
      </w:r>
      <w:r w:rsidRPr="00D409D2">
        <w:rPr>
          <w:rFonts w:cs="Arial"/>
          <w:szCs w:val="22"/>
        </w:rPr>
        <w:t>de propriedade da CPAB (Centro de Pesquisa em Animais do Brasil)</w:t>
      </w:r>
      <w:r>
        <w:rPr>
          <w:rFonts w:cs="Arial"/>
          <w:szCs w:val="22"/>
        </w:rPr>
        <w:t>,</w:t>
      </w:r>
      <w:r w:rsidRPr="00D409D2">
        <w:rPr>
          <w:rFonts w:cs="Arial"/>
          <w:szCs w:val="22"/>
        </w:rPr>
        <w:t xml:space="preserve"> possui cerca de 150 metros de profundidade</w:t>
      </w:r>
      <w:r>
        <w:rPr>
          <w:rFonts w:cs="Arial"/>
          <w:szCs w:val="22"/>
        </w:rPr>
        <w:t>,</w:t>
      </w:r>
      <w:r w:rsidRPr="00D409D2">
        <w:rPr>
          <w:rFonts w:cs="Arial"/>
          <w:szCs w:val="22"/>
        </w:rPr>
        <w:t xml:space="preserve"> e a água é utilizada para o abastecimento do centro.</w:t>
      </w:r>
      <w:r>
        <w:rPr>
          <w:rFonts w:cs="Arial"/>
          <w:szCs w:val="22"/>
        </w:rPr>
        <w:t xml:space="preserve"> Já o poço P-14</w:t>
      </w:r>
      <w:r w:rsidRPr="00D409D2">
        <w:rPr>
          <w:rFonts w:cs="Arial"/>
          <w:szCs w:val="22"/>
        </w:rPr>
        <w:t xml:space="preserve"> </w:t>
      </w:r>
      <w:r>
        <w:rPr>
          <w:rFonts w:cs="Arial"/>
          <w:szCs w:val="22"/>
        </w:rPr>
        <w:t>é de propriedade do</w:t>
      </w:r>
      <w:r w:rsidRPr="00D409D2">
        <w:rPr>
          <w:rFonts w:cs="Arial"/>
          <w:szCs w:val="22"/>
        </w:rPr>
        <w:t xml:space="preserve"> Sítio São José, localizado na margem direita do córrego da Boa Vista, no extremo Leste da ADA</w:t>
      </w:r>
      <w:r>
        <w:rPr>
          <w:rFonts w:cs="Arial"/>
          <w:szCs w:val="22"/>
        </w:rPr>
        <w:t>, fora da área do reservatório, ainda que dentro da futura APP. A localização dos poços encontra-se no "Mapa Hidrogeológico da Área Diretamente Afetada (ADA)</w:t>
      </w:r>
      <w:r w:rsidR="00614B80">
        <w:rPr>
          <w:rFonts w:cs="Arial"/>
          <w:szCs w:val="22"/>
        </w:rPr>
        <w:t xml:space="preserve"> – Barragem Duas Pontes</w:t>
      </w:r>
      <w:r>
        <w:rPr>
          <w:rFonts w:cs="Arial"/>
          <w:szCs w:val="22"/>
        </w:rPr>
        <w:t>” (</w:t>
      </w:r>
      <w:r w:rsidR="00176F1A">
        <w:rPr>
          <w:rFonts w:eastAsia="Batang"/>
          <w:lang w:eastAsia="en-US"/>
        </w:rPr>
        <w:t>n</w:t>
      </w:r>
      <w:r w:rsidR="00176F1A">
        <w:rPr>
          <w:rFonts w:eastAsia="Batang"/>
          <w:u w:val="single"/>
          <w:vertAlign w:val="superscript"/>
          <w:lang w:eastAsia="en-US"/>
        </w:rPr>
        <w:t>o</w:t>
      </w:r>
      <w:r w:rsidR="00176F1A" w:rsidRPr="00176F1A">
        <w:rPr>
          <w:rFonts w:eastAsia="Batang"/>
          <w:vertAlign w:val="superscript"/>
          <w:lang w:eastAsia="en-US"/>
        </w:rPr>
        <w:t xml:space="preserve"> </w:t>
      </w:r>
      <w:r>
        <w:rPr>
          <w:rFonts w:cs="Arial"/>
          <w:szCs w:val="22"/>
        </w:rPr>
        <w:t>7188-13-GL-510-RT-00137</w:t>
      </w:r>
      <w:r w:rsidRPr="00C365C1">
        <w:rPr>
          <w:rFonts w:cs="Arial"/>
          <w:szCs w:val="22"/>
        </w:rPr>
        <w:t>)</w:t>
      </w:r>
      <w:r>
        <w:rPr>
          <w:rFonts w:cs="Arial"/>
          <w:szCs w:val="22"/>
        </w:rPr>
        <w:t>.</w:t>
      </w:r>
    </w:p>
    <w:p w:rsidR="00B65834" w:rsidRPr="009613B9" w:rsidRDefault="00B65834" w:rsidP="008B6C24">
      <w:pPr>
        <w:autoSpaceDE w:val="0"/>
        <w:autoSpaceDN w:val="0"/>
        <w:adjustRightInd w:val="0"/>
        <w:spacing w:before="120" w:after="120" w:line="240" w:lineRule="auto"/>
        <w:rPr>
          <w:rFonts w:cs="Arial"/>
          <w:szCs w:val="22"/>
        </w:rPr>
      </w:pPr>
      <w:r>
        <w:rPr>
          <w:rFonts w:cs="Arial"/>
          <w:szCs w:val="22"/>
        </w:rPr>
        <w:t>É importante esclarecer que na ADA da Barragem Pedreira não existem poços profundos cadastrados, nem identificados nos trabalhos de campo.</w:t>
      </w:r>
    </w:p>
    <w:p w:rsidR="00C22D4A" w:rsidRDefault="00C22D4A" w:rsidP="00C22D4A">
      <w:pPr>
        <w:autoSpaceDE w:val="0"/>
        <w:autoSpaceDN w:val="0"/>
        <w:adjustRightInd w:val="0"/>
        <w:spacing w:before="120" w:after="120" w:line="240" w:lineRule="auto"/>
        <w:rPr>
          <w:rFonts w:cs="Arial"/>
          <w:szCs w:val="22"/>
        </w:rPr>
      </w:pPr>
      <w:r w:rsidRPr="00D934F6">
        <w:rPr>
          <w:rFonts w:cs="Arial"/>
          <w:szCs w:val="22"/>
        </w:rPr>
        <w:t>Este impacto</w:t>
      </w:r>
      <w:r w:rsidR="0081567E">
        <w:rPr>
          <w:rFonts w:cs="Arial"/>
          <w:szCs w:val="22"/>
        </w:rPr>
        <w:t>, restrito a Barragem Duas Pontes,</w:t>
      </w:r>
      <w:r w:rsidRPr="00D934F6">
        <w:rPr>
          <w:rFonts w:cs="Arial"/>
          <w:szCs w:val="22"/>
        </w:rPr>
        <w:t xml:space="preserve"> possui natureza negativa, probabilidade de ocorrência </w:t>
      </w:r>
      <w:r>
        <w:rPr>
          <w:rFonts w:cs="Arial"/>
          <w:szCs w:val="22"/>
        </w:rPr>
        <w:t>certa e</w:t>
      </w:r>
      <w:r w:rsidRPr="00D934F6">
        <w:rPr>
          <w:rFonts w:cs="Arial"/>
          <w:szCs w:val="22"/>
        </w:rPr>
        <w:t xml:space="preserve"> abrangência local. É irreversível e permanente, de ordem direta, já que é consequente do enchimento do reservatório. </w:t>
      </w:r>
      <w:r>
        <w:rPr>
          <w:rFonts w:cs="Arial"/>
          <w:szCs w:val="22"/>
        </w:rPr>
        <w:t>O</w:t>
      </w:r>
      <w:r w:rsidRPr="00D934F6">
        <w:rPr>
          <w:rFonts w:cs="Arial"/>
          <w:szCs w:val="22"/>
        </w:rPr>
        <w:t xml:space="preserve">corre logo após o enchimento do reservatório, no curto prazo. É um impacto mitigável </w:t>
      </w:r>
      <w:r>
        <w:rPr>
          <w:rFonts w:cs="Arial"/>
          <w:szCs w:val="22"/>
        </w:rPr>
        <w:t>com</w:t>
      </w:r>
      <w:r w:rsidRPr="00D934F6">
        <w:rPr>
          <w:rFonts w:cs="Arial"/>
          <w:szCs w:val="22"/>
        </w:rPr>
        <w:t xml:space="preserve"> isso possui pequena magnitude</w:t>
      </w:r>
      <w:r>
        <w:rPr>
          <w:rFonts w:cs="Arial"/>
          <w:szCs w:val="22"/>
        </w:rPr>
        <w:t xml:space="preserve"> e importância baixa.</w:t>
      </w:r>
    </w:p>
    <w:p w:rsidR="00961C37" w:rsidRPr="00601292" w:rsidRDefault="008D3A12" w:rsidP="00601292">
      <w:pPr>
        <w:pStyle w:val="Legenda"/>
        <w:spacing w:before="0" w:after="0" w:line="240" w:lineRule="auto"/>
        <w:jc w:val="center"/>
        <w:rPr>
          <w:b w:val="0"/>
          <w:i w:val="0"/>
        </w:rPr>
      </w:pPr>
      <w:bookmarkStart w:id="222" w:name="_Toc420316466"/>
      <w:r w:rsidRPr="00601292">
        <w:rPr>
          <w:i w:val="0"/>
        </w:rPr>
        <w:t xml:space="preserve">Quadro </w:t>
      </w:r>
      <w:r w:rsidR="00B80A05" w:rsidRPr="00601292">
        <w:rPr>
          <w:i w:val="0"/>
        </w:rPr>
        <w:fldChar w:fldCharType="begin"/>
      </w:r>
      <w:r w:rsidR="00402E81" w:rsidRPr="00601292">
        <w:rPr>
          <w:i w:val="0"/>
        </w:rPr>
        <w:instrText xml:space="preserve"> STYLEREF 2 \s </w:instrText>
      </w:r>
      <w:r w:rsidR="00B80A05" w:rsidRPr="00601292">
        <w:rPr>
          <w:i w:val="0"/>
        </w:rPr>
        <w:fldChar w:fldCharType="separate"/>
      </w:r>
      <w:r w:rsidR="00316060">
        <w:rPr>
          <w:i w:val="0"/>
          <w:noProof/>
        </w:rPr>
        <w:t>1.3</w:t>
      </w:r>
      <w:r w:rsidR="00B80A05" w:rsidRPr="00601292">
        <w:rPr>
          <w:i w:val="0"/>
        </w:rPr>
        <w:fldChar w:fldCharType="end"/>
      </w:r>
      <w:r w:rsidR="00402E81" w:rsidRPr="00601292">
        <w:rPr>
          <w:i w:val="0"/>
        </w:rPr>
        <w:t>.</w:t>
      </w:r>
      <w:r w:rsidR="00B80A05" w:rsidRPr="00601292">
        <w:rPr>
          <w:i w:val="0"/>
        </w:rPr>
        <w:fldChar w:fldCharType="begin"/>
      </w:r>
      <w:r w:rsidR="00402E81" w:rsidRPr="00601292">
        <w:rPr>
          <w:i w:val="0"/>
        </w:rPr>
        <w:instrText xml:space="preserve"> SEQ Quadro \* ARABIC \s 2 </w:instrText>
      </w:r>
      <w:r w:rsidR="00B80A05" w:rsidRPr="00601292">
        <w:rPr>
          <w:i w:val="0"/>
        </w:rPr>
        <w:fldChar w:fldCharType="separate"/>
      </w:r>
      <w:r w:rsidR="00316060">
        <w:rPr>
          <w:i w:val="0"/>
          <w:noProof/>
        </w:rPr>
        <w:t>23</w:t>
      </w:r>
      <w:r w:rsidR="00B80A05" w:rsidRPr="00601292">
        <w:rPr>
          <w:i w:val="0"/>
        </w:rPr>
        <w:fldChar w:fldCharType="end"/>
      </w:r>
      <w:r w:rsidR="00601292" w:rsidRPr="00601292">
        <w:rPr>
          <w:i w:val="0"/>
        </w:rPr>
        <w:t>.</w:t>
      </w:r>
      <w:r w:rsidR="00601292" w:rsidRPr="00601292">
        <w:rPr>
          <w:b w:val="0"/>
          <w:i w:val="0"/>
        </w:rPr>
        <w:t xml:space="preserve"> - </w:t>
      </w:r>
      <w:r w:rsidR="005C64E0" w:rsidRPr="00601292">
        <w:rPr>
          <w:rFonts w:cs="Arial"/>
          <w:b w:val="0"/>
          <w:bCs/>
          <w:i w:val="0"/>
          <w:szCs w:val="22"/>
        </w:rPr>
        <w:t>Caracterização do Impacto –</w:t>
      </w:r>
      <w:r w:rsidR="0066142C" w:rsidRPr="00601292">
        <w:rPr>
          <w:rFonts w:cs="Arial"/>
          <w:b w:val="0"/>
          <w:bCs/>
          <w:i w:val="0"/>
          <w:szCs w:val="22"/>
        </w:rPr>
        <w:t xml:space="preserve"> </w:t>
      </w:r>
      <w:r w:rsidR="0066142C" w:rsidRPr="00601292">
        <w:rPr>
          <w:b w:val="0"/>
          <w:i w:val="0"/>
        </w:rPr>
        <w:t>Perda de Poços Profundos</w:t>
      </w:r>
      <w:bookmarkEnd w:id="222"/>
      <w:r w:rsidR="00961C37" w:rsidRPr="00601292">
        <w:rPr>
          <w:b w:val="0"/>
          <w:i w:val="0"/>
        </w:rPr>
        <w:t xml:space="preserve"> </w:t>
      </w:r>
    </w:p>
    <w:p w:rsidR="005C64E0" w:rsidRDefault="005C64E0" w:rsidP="00601292">
      <w:pPr>
        <w:pStyle w:val="p3"/>
        <w:spacing w:before="0" w:after="0"/>
        <w:ind w:left="0"/>
        <w:jc w:val="center"/>
        <w:rPr>
          <w:rFonts w:cs="Arial"/>
          <w:bCs/>
          <w:szCs w:val="22"/>
        </w:rPr>
      </w:pPr>
      <w:r w:rsidRPr="00601292">
        <w:rPr>
          <w:rFonts w:cs="Arial"/>
          <w:bCs/>
          <w:szCs w:val="22"/>
        </w:rPr>
        <w:t>Barrage</w:t>
      </w:r>
      <w:r w:rsidR="0050761C" w:rsidRPr="00601292">
        <w:rPr>
          <w:rFonts w:cs="Arial"/>
          <w:bCs/>
          <w:szCs w:val="22"/>
        </w:rPr>
        <w:t>m</w:t>
      </w:r>
      <w:r w:rsidRPr="00601292">
        <w:rPr>
          <w:rFonts w:cs="Arial"/>
          <w:bCs/>
          <w:szCs w:val="22"/>
        </w:rPr>
        <w:t xml:space="preserve"> Duas Pontes</w:t>
      </w:r>
    </w:p>
    <w:p w:rsidR="00601292" w:rsidRPr="00601292" w:rsidRDefault="00601292" w:rsidP="00601292">
      <w:pPr>
        <w:pStyle w:val="p3"/>
        <w:spacing w:before="0" w:after="0"/>
        <w:ind w:left="0"/>
        <w:jc w:val="center"/>
        <w:rPr>
          <w:rFonts w:cs="Arial"/>
          <w:bCs/>
          <w:szCs w:val="22"/>
        </w:rPr>
      </w:pPr>
    </w:p>
    <w:tbl>
      <w:tblPr>
        <w:tblW w:w="0" w:type="auto"/>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3"/>
        <w:gridCol w:w="1264"/>
        <w:gridCol w:w="1744"/>
        <w:gridCol w:w="1399"/>
        <w:gridCol w:w="3069"/>
      </w:tblGrid>
      <w:tr w:rsidR="005C64E0" w:rsidRPr="00500BF4" w:rsidTr="00887C1B">
        <w:trPr>
          <w:trHeight w:val="397"/>
          <w:jc w:val="center"/>
        </w:trPr>
        <w:tc>
          <w:tcPr>
            <w:tcW w:w="1263" w:type="dxa"/>
            <w:shd w:val="clear" w:color="auto" w:fill="D9D9D9"/>
            <w:vAlign w:val="center"/>
          </w:tcPr>
          <w:p w:rsidR="005C64E0" w:rsidRPr="00500BF4" w:rsidRDefault="005C64E0" w:rsidP="00887C1B">
            <w:pPr>
              <w:autoSpaceDE w:val="0"/>
              <w:autoSpaceDN w:val="0"/>
              <w:adjustRightInd w:val="0"/>
              <w:spacing w:before="120" w:after="120" w:line="240" w:lineRule="auto"/>
              <w:jc w:val="center"/>
              <w:rPr>
                <w:rFonts w:cs="Arial"/>
                <w:b/>
                <w:sz w:val="20"/>
              </w:rPr>
            </w:pPr>
            <w:r w:rsidRPr="00500BF4">
              <w:rPr>
                <w:rFonts w:cs="Arial"/>
                <w:b/>
                <w:sz w:val="20"/>
              </w:rPr>
              <w:t>Natureza</w:t>
            </w:r>
          </w:p>
        </w:tc>
        <w:tc>
          <w:tcPr>
            <w:tcW w:w="1264" w:type="dxa"/>
            <w:shd w:val="clear" w:color="auto" w:fill="D9D9D9"/>
            <w:vAlign w:val="center"/>
          </w:tcPr>
          <w:p w:rsidR="005C64E0" w:rsidRPr="00500BF4" w:rsidRDefault="005C64E0" w:rsidP="00887C1B">
            <w:pPr>
              <w:autoSpaceDE w:val="0"/>
              <w:autoSpaceDN w:val="0"/>
              <w:adjustRightInd w:val="0"/>
              <w:spacing w:before="120" w:after="120" w:line="240" w:lineRule="auto"/>
              <w:jc w:val="center"/>
              <w:rPr>
                <w:rFonts w:cs="Arial"/>
                <w:b/>
                <w:sz w:val="20"/>
              </w:rPr>
            </w:pPr>
            <w:r w:rsidRPr="00500BF4">
              <w:rPr>
                <w:rFonts w:cs="Arial"/>
                <w:b/>
                <w:sz w:val="20"/>
              </w:rPr>
              <w:t>Ordem</w:t>
            </w:r>
          </w:p>
        </w:tc>
        <w:tc>
          <w:tcPr>
            <w:tcW w:w="1744" w:type="dxa"/>
            <w:shd w:val="clear" w:color="auto" w:fill="D9D9D9"/>
            <w:vAlign w:val="center"/>
          </w:tcPr>
          <w:p w:rsidR="005C64E0" w:rsidRPr="00500BF4" w:rsidRDefault="005C64E0" w:rsidP="00887C1B">
            <w:pPr>
              <w:autoSpaceDE w:val="0"/>
              <w:autoSpaceDN w:val="0"/>
              <w:adjustRightInd w:val="0"/>
              <w:spacing w:before="120" w:after="120" w:line="240" w:lineRule="auto"/>
              <w:jc w:val="center"/>
              <w:rPr>
                <w:rFonts w:cs="Arial"/>
                <w:b/>
                <w:sz w:val="20"/>
              </w:rPr>
            </w:pPr>
            <w:r w:rsidRPr="00500BF4">
              <w:rPr>
                <w:rFonts w:cs="Arial"/>
                <w:b/>
                <w:sz w:val="20"/>
              </w:rPr>
              <w:t>Abrangência</w:t>
            </w:r>
          </w:p>
        </w:tc>
        <w:tc>
          <w:tcPr>
            <w:tcW w:w="1399" w:type="dxa"/>
            <w:shd w:val="clear" w:color="auto" w:fill="D9D9D9"/>
            <w:vAlign w:val="center"/>
          </w:tcPr>
          <w:p w:rsidR="005C64E0" w:rsidRPr="00500BF4" w:rsidRDefault="005C64E0" w:rsidP="00887C1B">
            <w:pPr>
              <w:autoSpaceDE w:val="0"/>
              <w:autoSpaceDN w:val="0"/>
              <w:adjustRightInd w:val="0"/>
              <w:spacing w:before="120" w:after="120" w:line="240" w:lineRule="auto"/>
              <w:jc w:val="center"/>
              <w:rPr>
                <w:rFonts w:cs="Arial"/>
                <w:b/>
                <w:sz w:val="20"/>
              </w:rPr>
            </w:pPr>
            <w:r w:rsidRPr="00500BF4">
              <w:rPr>
                <w:rFonts w:cs="Arial"/>
                <w:b/>
                <w:sz w:val="20"/>
              </w:rPr>
              <w:t>Duração</w:t>
            </w:r>
          </w:p>
        </w:tc>
        <w:tc>
          <w:tcPr>
            <w:tcW w:w="3069" w:type="dxa"/>
            <w:shd w:val="clear" w:color="auto" w:fill="D9D9D9"/>
            <w:vAlign w:val="center"/>
          </w:tcPr>
          <w:p w:rsidR="005C64E0" w:rsidRPr="00500BF4" w:rsidRDefault="005C64E0" w:rsidP="00887C1B">
            <w:pPr>
              <w:autoSpaceDE w:val="0"/>
              <w:autoSpaceDN w:val="0"/>
              <w:adjustRightInd w:val="0"/>
              <w:spacing w:before="120" w:after="120" w:line="240" w:lineRule="auto"/>
              <w:jc w:val="center"/>
              <w:rPr>
                <w:rFonts w:cs="Arial"/>
                <w:b/>
                <w:sz w:val="20"/>
              </w:rPr>
            </w:pPr>
            <w:r w:rsidRPr="00500BF4">
              <w:rPr>
                <w:rFonts w:cs="Arial"/>
                <w:b/>
                <w:sz w:val="20"/>
              </w:rPr>
              <w:t>Probabilidade de Ocorrência</w:t>
            </w:r>
          </w:p>
        </w:tc>
      </w:tr>
      <w:tr w:rsidR="005C64E0" w:rsidRPr="00500BF4" w:rsidTr="00887C1B">
        <w:trPr>
          <w:jc w:val="center"/>
        </w:trPr>
        <w:tc>
          <w:tcPr>
            <w:tcW w:w="1263" w:type="dxa"/>
            <w:shd w:val="clear" w:color="auto" w:fill="auto"/>
            <w:vAlign w:val="center"/>
          </w:tcPr>
          <w:p w:rsidR="005C64E0" w:rsidRPr="00500BF4" w:rsidRDefault="005C64E0" w:rsidP="00887C1B">
            <w:pPr>
              <w:autoSpaceDE w:val="0"/>
              <w:autoSpaceDN w:val="0"/>
              <w:adjustRightInd w:val="0"/>
              <w:spacing w:before="120" w:after="120" w:line="240" w:lineRule="auto"/>
              <w:jc w:val="center"/>
              <w:rPr>
                <w:rFonts w:cs="Arial"/>
                <w:sz w:val="20"/>
              </w:rPr>
            </w:pPr>
            <w:r w:rsidRPr="00500BF4">
              <w:rPr>
                <w:rFonts w:cs="Arial"/>
                <w:sz w:val="20"/>
              </w:rPr>
              <w:t>Negativa</w:t>
            </w:r>
          </w:p>
        </w:tc>
        <w:tc>
          <w:tcPr>
            <w:tcW w:w="1264" w:type="dxa"/>
            <w:shd w:val="clear" w:color="auto" w:fill="auto"/>
            <w:vAlign w:val="center"/>
          </w:tcPr>
          <w:p w:rsidR="005C64E0" w:rsidRPr="00500BF4" w:rsidRDefault="0066142C" w:rsidP="0066142C">
            <w:pPr>
              <w:autoSpaceDE w:val="0"/>
              <w:autoSpaceDN w:val="0"/>
              <w:adjustRightInd w:val="0"/>
              <w:spacing w:before="120" w:after="120" w:line="240" w:lineRule="auto"/>
              <w:jc w:val="center"/>
              <w:rPr>
                <w:rFonts w:cs="Arial"/>
                <w:sz w:val="20"/>
              </w:rPr>
            </w:pPr>
            <w:r>
              <w:rPr>
                <w:rFonts w:cs="Arial"/>
                <w:sz w:val="20"/>
              </w:rPr>
              <w:t>D</w:t>
            </w:r>
            <w:r w:rsidR="005C64E0" w:rsidRPr="00500BF4">
              <w:rPr>
                <w:rFonts w:cs="Arial"/>
                <w:sz w:val="20"/>
              </w:rPr>
              <w:t>ireta</w:t>
            </w:r>
          </w:p>
        </w:tc>
        <w:tc>
          <w:tcPr>
            <w:tcW w:w="1744" w:type="dxa"/>
            <w:shd w:val="clear" w:color="auto" w:fill="auto"/>
            <w:vAlign w:val="center"/>
          </w:tcPr>
          <w:p w:rsidR="005C64E0" w:rsidRPr="00500BF4" w:rsidRDefault="005C64E0" w:rsidP="00887C1B">
            <w:pPr>
              <w:autoSpaceDE w:val="0"/>
              <w:autoSpaceDN w:val="0"/>
              <w:adjustRightInd w:val="0"/>
              <w:spacing w:before="120" w:after="120" w:line="240" w:lineRule="auto"/>
              <w:jc w:val="center"/>
              <w:rPr>
                <w:rFonts w:cs="Arial"/>
                <w:sz w:val="20"/>
              </w:rPr>
            </w:pPr>
            <w:r w:rsidRPr="00500BF4">
              <w:rPr>
                <w:rFonts w:cs="Arial"/>
                <w:sz w:val="20"/>
              </w:rPr>
              <w:t>Local (ADA)</w:t>
            </w:r>
          </w:p>
        </w:tc>
        <w:tc>
          <w:tcPr>
            <w:tcW w:w="1399" w:type="dxa"/>
            <w:shd w:val="clear" w:color="auto" w:fill="auto"/>
            <w:vAlign w:val="center"/>
          </w:tcPr>
          <w:p w:rsidR="005C64E0" w:rsidRPr="00500BF4" w:rsidRDefault="005C64E0" w:rsidP="00887C1B">
            <w:pPr>
              <w:autoSpaceDE w:val="0"/>
              <w:autoSpaceDN w:val="0"/>
              <w:adjustRightInd w:val="0"/>
              <w:spacing w:before="120" w:after="120" w:line="240" w:lineRule="auto"/>
              <w:jc w:val="center"/>
              <w:rPr>
                <w:rFonts w:cs="Arial"/>
                <w:sz w:val="20"/>
              </w:rPr>
            </w:pPr>
            <w:r>
              <w:rPr>
                <w:rFonts w:cs="Arial"/>
                <w:sz w:val="20"/>
              </w:rPr>
              <w:t>Permanente</w:t>
            </w:r>
          </w:p>
        </w:tc>
        <w:tc>
          <w:tcPr>
            <w:tcW w:w="3069" w:type="dxa"/>
            <w:shd w:val="clear" w:color="auto" w:fill="auto"/>
            <w:vAlign w:val="center"/>
          </w:tcPr>
          <w:p w:rsidR="005C64E0" w:rsidRPr="00500BF4" w:rsidRDefault="0066142C" w:rsidP="00887C1B">
            <w:pPr>
              <w:autoSpaceDE w:val="0"/>
              <w:autoSpaceDN w:val="0"/>
              <w:adjustRightInd w:val="0"/>
              <w:spacing w:before="120" w:after="120" w:line="240" w:lineRule="auto"/>
              <w:jc w:val="center"/>
              <w:rPr>
                <w:rFonts w:cs="Arial"/>
                <w:sz w:val="20"/>
              </w:rPr>
            </w:pPr>
            <w:r>
              <w:rPr>
                <w:rFonts w:cs="Arial"/>
                <w:sz w:val="20"/>
              </w:rPr>
              <w:t>Certa</w:t>
            </w:r>
          </w:p>
        </w:tc>
      </w:tr>
    </w:tbl>
    <w:p w:rsidR="005C64E0" w:rsidRPr="00500BF4" w:rsidRDefault="005C64E0" w:rsidP="005C64E0">
      <w:pPr>
        <w:autoSpaceDE w:val="0"/>
        <w:autoSpaceDN w:val="0"/>
        <w:adjustRightInd w:val="0"/>
        <w:spacing w:line="240" w:lineRule="auto"/>
        <w:jc w:val="center"/>
        <w:rPr>
          <w:rFonts w:cs="Arial"/>
          <w:sz w:val="20"/>
        </w:rPr>
      </w:pPr>
    </w:p>
    <w:tbl>
      <w:tblPr>
        <w:tblW w:w="0" w:type="auto"/>
        <w:jc w:val="center"/>
        <w:tblInd w:w="-1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6"/>
        <w:gridCol w:w="1796"/>
        <w:gridCol w:w="1357"/>
        <w:gridCol w:w="1472"/>
        <w:gridCol w:w="1624"/>
      </w:tblGrid>
      <w:tr w:rsidR="005C64E0" w:rsidRPr="00500BF4" w:rsidTr="00887C1B">
        <w:trPr>
          <w:trHeight w:val="397"/>
          <w:jc w:val="center"/>
        </w:trPr>
        <w:tc>
          <w:tcPr>
            <w:tcW w:w="2496" w:type="dxa"/>
            <w:shd w:val="clear" w:color="auto" w:fill="D9D9D9"/>
            <w:vAlign w:val="center"/>
          </w:tcPr>
          <w:p w:rsidR="005C64E0" w:rsidRPr="00500BF4" w:rsidRDefault="005C64E0" w:rsidP="00887C1B">
            <w:pPr>
              <w:autoSpaceDE w:val="0"/>
              <w:autoSpaceDN w:val="0"/>
              <w:adjustRightInd w:val="0"/>
              <w:spacing w:before="120" w:after="120" w:line="240" w:lineRule="auto"/>
              <w:jc w:val="center"/>
              <w:rPr>
                <w:rFonts w:cs="Arial"/>
                <w:b/>
                <w:sz w:val="20"/>
              </w:rPr>
            </w:pPr>
            <w:r w:rsidRPr="00500BF4">
              <w:rPr>
                <w:rFonts w:cs="Arial"/>
                <w:b/>
                <w:sz w:val="20"/>
              </w:rPr>
              <w:t>Época de Ocorrência</w:t>
            </w:r>
          </w:p>
        </w:tc>
        <w:tc>
          <w:tcPr>
            <w:tcW w:w="1796" w:type="dxa"/>
            <w:shd w:val="clear" w:color="auto" w:fill="D9D9D9"/>
            <w:vAlign w:val="center"/>
          </w:tcPr>
          <w:p w:rsidR="005C64E0" w:rsidRPr="00500BF4" w:rsidRDefault="005C64E0" w:rsidP="00887C1B">
            <w:pPr>
              <w:autoSpaceDE w:val="0"/>
              <w:autoSpaceDN w:val="0"/>
              <w:adjustRightInd w:val="0"/>
              <w:spacing w:before="120" w:after="120" w:line="240" w:lineRule="auto"/>
              <w:jc w:val="center"/>
              <w:rPr>
                <w:rFonts w:cs="Arial"/>
                <w:b/>
                <w:sz w:val="20"/>
              </w:rPr>
            </w:pPr>
            <w:r w:rsidRPr="00500BF4">
              <w:rPr>
                <w:rFonts w:cs="Arial"/>
                <w:b/>
                <w:sz w:val="20"/>
              </w:rPr>
              <w:t>Reversibilidade</w:t>
            </w:r>
          </w:p>
        </w:tc>
        <w:tc>
          <w:tcPr>
            <w:tcW w:w="1357" w:type="dxa"/>
            <w:shd w:val="clear" w:color="auto" w:fill="D9D9D9"/>
            <w:vAlign w:val="center"/>
          </w:tcPr>
          <w:p w:rsidR="005C64E0" w:rsidRPr="00500BF4" w:rsidRDefault="005C64E0" w:rsidP="00887C1B">
            <w:pPr>
              <w:autoSpaceDE w:val="0"/>
              <w:autoSpaceDN w:val="0"/>
              <w:adjustRightInd w:val="0"/>
              <w:spacing w:before="120" w:after="120" w:line="240" w:lineRule="auto"/>
              <w:jc w:val="center"/>
              <w:rPr>
                <w:rFonts w:cs="Arial"/>
                <w:b/>
                <w:sz w:val="20"/>
              </w:rPr>
            </w:pPr>
            <w:r w:rsidRPr="00500BF4">
              <w:rPr>
                <w:rFonts w:cs="Arial"/>
                <w:b/>
                <w:sz w:val="20"/>
              </w:rPr>
              <w:t>Magnitude</w:t>
            </w:r>
          </w:p>
        </w:tc>
        <w:tc>
          <w:tcPr>
            <w:tcW w:w="1472" w:type="dxa"/>
            <w:shd w:val="clear" w:color="auto" w:fill="D9D9D9"/>
            <w:vAlign w:val="center"/>
          </w:tcPr>
          <w:p w:rsidR="005C64E0" w:rsidRPr="00500BF4" w:rsidRDefault="005C64E0" w:rsidP="00887C1B">
            <w:pPr>
              <w:autoSpaceDE w:val="0"/>
              <w:autoSpaceDN w:val="0"/>
              <w:adjustRightInd w:val="0"/>
              <w:spacing w:before="120" w:after="120" w:line="240" w:lineRule="auto"/>
              <w:jc w:val="center"/>
              <w:rPr>
                <w:rFonts w:cs="Arial"/>
                <w:b/>
                <w:sz w:val="20"/>
              </w:rPr>
            </w:pPr>
            <w:r w:rsidRPr="00500BF4">
              <w:rPr>
                <w:rFonts w:cs="Arial"/>
                <w:b/>
                <w:sz w:val="20"/>
              </w:rPr>
              <w:t>Importância</w:t>
            </w:r>
          </w:p>
        </w:tc>
        <w:tc>
          <w:tcPr>
            <w:tcW w:w="1624" w:type="dxa"/>
            <w:shd w:val="clear" w:color="auto" w:fill="D9D9D9"/>
            <w:vAlign w:val="center"/>
          </w:tcPr>
          <w:p w:rsidR="005C64E0" w:rsidRPr="00500BF4" w:rsidRDefault="005C64E0" w:rsidP="00887C1B">
            <w:pPr>
              <w:autoSpaceDE w:val="0"/>
              <w:autoSpaceDN w:val="0"/>
              <w:adjustRightInd w:val="0"/>
              <w:spacing w:before="120" w:after="120" w:line="240" w:lineRule="auto"/>
              <w:jc w:val="center"/>
              <w:rPr>
                <w:rFonts w:cs="Arial"/>
                <w:b/>
                <w:sz w:val="20"/>
              </w:rPr>
            </w:pPr>
            <w:r w:rsidRPr="00500BF4">
              <w:rPr>
                <w:rFonts w:cs="Arial"/>
                <w:b/>
                <w:sz w:val="20"/>
              </w:rPr>
              <w:t>Mitigação</w:t>
            </w:r>
          </w:p>
        </w:tc>
      </w:tr>
      <w:tr w:rsidR="005C64E0" w:rsidRPr="00500BF4" w:rsidTr="00887C1B">
        <w:trPr>
          <w:jc w:val="center"/>
        </w:trPr>
        <w:tc>
          <w:tcPr>
            <w:tcW w:w="2496" w:type="dxa"/>
            <w:shd w:val="clear" w:color="auto" w:fill="auto"/>
            <w:vAlign w:val="center"/>
          </w:tcPr>
          <w:p w:rsidR="005C64E0" w:rsidRPr="00500BF4" w:rsidRDefault="005C64E0" w:rsidP="00887C1B">
            <w:pPr>
              <w:autoSpaceDE w:val="0"/>
              <w:autoSpaceDN w:val="0"/>
              <w:adjustRightInd w:val="0"/>
              <w:spacing w:before="120" w:after="120" w:line="240" w:lineRule="auto"/>
              <w:jc w:val="center"/>
              <w:rPr>
                <w:rFonts w:cs="Arial"/>
                <w:sz w:val="20"/>
              </w:rPr>
            </w:pPr>
            <w:r w:rsidRPr="00500BF4">
              <w:rPr>
                <w:rFonts w:cs="Arial"/>
                <w:sz w:val="20"/>
              </w:rPr>
              <w:t>Curto Prazo</w:t>
            </w:r>
          </w:p>
        </w:tc>
        <w:tc>
          <w:tcPr>
            <w:tcW w:w="1796" w:type="dxa"/>
            <w:shd w:val="clear" w:color="auto" w:fill="auto"/>
            <w:vAlign w:val="center"/>
          </w:tcPr>
          <w:p w:rsidR="005C64E0" w:rsidRPr="00500BF4" w:rsidRDefault="005C64E0" w:rsidP="00887C1B">
            <w:pPr>
              <w:autoSpaceDE w:val="0"/>
              <w:autoSpaceDN w:val="0"/>
              <w:adjustRightInd w:val="0"/>
              <w:spacing w:before="120" w:after="120" w:line="240" w:lineRule="auto"/>
              <w:jc w:val="center"/>
              <w:rPr>
                <w:rFonts w:cs="Arial"/>
                <w:sz w:val="20"/>
              </w:rPr>
            </w:pPr>
            <w:r>
              <w:rPr>
                <w:rFonts w:cs="Arial"/>
                <w:sz w:val="20"/>
              </w:rPr>
              <w:t>Irr</w:t>
            </w:r>
            <w:r w:rsidRPr="00500BF4">
              <w:rPr>
                <w:rFonts w:cs="Arial"/>
                <w:sz w:val="20"/>
              </w:rPr>
              <w:t>eversível</w:t>
            </w:r>
          </w:p>
        </w:tc>
        <w:tc>
          <w:tcPr>
            <w:tcW w:w="1357" w:type="dxa"/>
            <w:shd w:val="clear" w:color="auto" w:fill="auto"/>
            <w:vAlign w:val="center"/>
          </w:tcPr>
          <w:p w:rsidR="005C64E0" w:rsidRPr="00500BF4" w:rsidRDefault="005C64E0" w:rsidP="00887C1B">
            <w:pPr>
              <w:autoSpaceDE w:val="0"/>
              <w:autoSpaceDN w:val="0"/>
              <w:adjustRightInd w:val="0"/>
              <w:spacing w:before="120" w:after="120" w:line="240" w:lineRule="auto"/>
              <w:jc w:val="center"/>
              <w:rPr>
                <w:rFonts w:cs="Arial"/>
                <w:sz w:val="20"/>
              </w:rPr>
            </w:pPr>
            <w:r>
              <w:rPr>
                <w:rFonts w:cs="Arial"/>
                <w:sz w:val="20"/>
              </w:rPr>
              <w:t>Pequena</w:t>
            </w:r>
          </w:p>
        </w:tc>
        <w:tc>
          <w:tcPr>
            <w:tcW w:w="1472" w:type="dxa"/>
            <w:shd w:val="clear" w:color="auto" w:fill="auto"/>
            <w:vAlign w:val="center"/>
          </w:tcPr>
          <w:p w:rsidR="005C64E0" w:rsidRPr="00500BF4" w:rsidRDefault="0066142C" w:rsidP="00887C1B">
            <w:pPr>
              <w:autoSpaceDE w:val="0"/>
              <w:autoSpaceDN w:val="0"/>
              <w:adjustRightInd w:val="0"/>
              <w:spacing w:before="120" w:after="120" w:line="240" w:lineRule="auto"/>
              <w:jc w:val="center"/>
              <w:rPr>
                <w:rFonts w:cs="Arial"/>
                <w:sz w:val="20"/>
              </w:rPr>
            </w:pPr>
            <w:r>
              <w:rPr>
                <w:rFonts w:cs="Arial"/>
                <w:sz w:val="20"/>
              </w:rPr>
              <w:t>Baixa</w:t>
            </w:r>
          </w:p>
        </w:tc>
        <w:tc>
          <w:tcPr>
            <w:tcW w:w="1624" w:type="dxa"/>
            <w:shd w:val="clear" w:color="auto" w:fill="auto"/>
            <w:vAlign w:val="center"/>
          </w:tcPr>
          <w:p w:rsidR="005C64E0" w:rsidRPr="00500BF4" w:rsidRDefault="005C64E0" w:rsidP="00887C1B">
            <w:pPr>
              <w:autoSpaceDE w:val="0"/>
              <w:autoSpaceDN w:val="0"/>
              <w:adjustRightInd w:val="0"/>
              <w:spacing w:before="120" w:after="120" w:line="240" w:lineRule="auto"/>
              <w:jc w:val="center"/>
              <w:rPr>
                <w:rFonts w:cs="Arial"/>
                <w:sz w:val="20"/>
              </w:rPr>
            </w:pPr>
            <w:r w:rsidRPr="00500BF4">
              <w:rPr>
                <w:rFonts w:cs="Arial"/>
                <w:sz w:val="20"/>
              </w:rPr>
              <w:t>Mitigável</w:t>
            </w:r>
          </w:p>
        </w:tc>
      </w:tr>
    </w:tbl>
    <w:p w:rsidR="005C64E0" w:rsidRPr="0066142C" w:rsidRDefault="005C64E0" w:rsidP="0066142C">
      <w:pPr>
        <w:pStyle w:val="p3"/>
        <w:spacing w:before="0" w:after="0"/>
        <w:ind w:left="0"/>
        <w:jc w:val="left"/>
        <w:rPr>
          <w:rFonts w:cs="Arial"/>
          <w:szCs w:val="22"/>
        </w:rPr>
      </w:pPr>
    </w:p>
    <w:p w:rsidR="005C64E0" w:rsidRDefault="005C64E0" w:rsidP="005C64E0">
      <w:pPr>
        <w:pStyle w:val="p3"/>
        <w:spacing w:line="276" w:lineRule="auto"/>
        <w:ind w:left="0"/>
        <w:rPr>
          <w:rFonts w:cs="Arial"/>
          <w:b/>
          <w:szCs w:val="22"/>
        </w:rPr>
      </w:pPr>
      <w:r w:rsidRPr="00C95B4F">
        <w:rPr>
          <w:rFonts w:cs="Arial"/>
          <w:b/>
          <w:szCs w:val="22"/>
        </w:rPr>
        <w:t>Ações Ambientais Propostas</w:t>
      </w:r>
    </w:p>
    <w:p w:rsidR="005C64E0" w:rsidRDefault="005C64E0" w:rsidP="00C22D4A">
      <w:pPr>
        <w:autoSpaceDE w:val="0"/>
        <w:autoSpaceDN w:val="0"/>
        <w:adjustRightInd w:val="0"/>
        <w:spacing w:before="120" w:after="120" w:line="240" w:lineRule="auto"/>
        <w:rPr>
          <w:rFonts w:cs="Arial"/>
          <w:szCs w:val="22"/>
        </w:rPr>
      </w:pPr>
      <w:r>
        <w:rPr>
          <w:rFonts w:cs="Arial"/>
          <w:szCs w:val="22"/>
        </w:rPr>
        <w:t>Os poços afetados deverão ser substituídos por novos poços</w:t>
      </w:r>
      <w:r w:rsidR="00AF1CD9">
        <w:rPr>
          <w:rFonts w:cs="Arial"/>
          <w:szCs w:val="22"/>
        </w:rPr>
        <w:t xml:space="preserve"> caso sejam mantidas as atividades em parte da propriedade não desapropriada</w:t>
      </w:r>
      <w:r>
        <w:rPr>
          <w:rFonts w:cs="Arial"/>
          <w:szCs w:val="22"/>
        </w:rPr>
        <w:t>.</w:t>
      </w:r>
    </w:p>
    <w:p w:rsidR="00973BCF" w:rsidRPr="004045D8" w:rsidRDefault="00A71868" w:rsidP="004045D8">
      <w:pPr>
        <w:pStyle w:val="Ttulo3"/>
        <w:spacing w:after="240"/>
        <w:rPr>
          <w:rFonts w:ascii="Arial Negrito" w:hAnsi="Arial Negrito"/>
          <w:b w:val="0"/>
          <w:bCs/>
        </w:rPr>
      </w:pPr>
      <w:bookmarkStart w:id="223" w:name="_Toc418758222"/>
      <w:bookmarkStart w:id="224" w:name="_Toc418758824"/>
      <w:bookmarkStart w:id="225" w:name="_Toc419813584"/>
      <w:r w:rsidRPr="004045D8">
        <w:rPr>
          <w:rFonts w:ascii="Arial Negrito" w:hAnsi="Arial Negrito"/>
          <w:b w:val="0"/>
          <w:bCs/>
        </w:rPr>
        <w:t>1.3.1.</w:t>
      </w:r>
      <w:r w:rsidR="00973BCF" w:rsidRPr="004045D8">
        <w:rPr>
          <w:rFonts w:ascii="Arial Negrito" w:hAnsi="Arial Negrito"/>
          <w:b w:val="0"/>
          <w:bCs/>
        </w:rPr>
        <w:t>1</w:t>
      </w:r>
      <w:r w:rsidR="008C5DE8" w:rsidRPr="004045D8">
        <w:rPr>
          <w:rFonts w:ascii="Arial Negrito" w:hAnsi="Arial Negrito"/>
          <w:b w:val="0"/>
          <w:bCs/>
        </w:rPr>
        <w:t>3</w:t>
      </w:r>
      <w:r w:rsidR="00973BCF" w:rsidRPr="004045D8">
        <w:rPr>
          <w:rFonts w:ascii="Arial Negrito" w:hAnsi="Arial Negrito"/>
          <w:b w:val="0"/>
          <w:bCs/>
        </w:rPr>
        <w:t>. Possibilidade da Ocorr</w:t>
      </w:r>
      <w:r w:rsidR="00973BCF" w:rsidRPr="004045D8">
        <w:rPr>
          <w:rFonts w:ascii="Arial Negrito" w:hAnsi="Arial Negrito" w:hint="eastAsia"/>
          <w:b w:val="0"/>
          <w:bCs/>
        </w:rPr>
        <w:t>ê</w:t>
      </w:r>
      <w:r w:rsidR="00973BCF" w:rsidRPr="004045D8">
        <w:rPr>
          <w:rFonts w:ascii="Arial Negrito" w:hAnsi="Arial Negrito"/>
          <w:b w:val="0"/>
          <w:bCs/>
        </w:rPr>
        <w:t>ncia de Sismicidade Induzida</w:t>
      </w:r>
      <w:bookmarkEnd w:id="223"/>
      <w:bookmarkEnd w:id="224"/>
      <w:bookmarkEnd w:id="225"/>
    </w:p>
    <w:p w:rsidR="009F43B3" w:rsidRPr="00111390" w:rsidRDefault="009F43B3" w:rsidP="003861F7">
      <w:pPr>
        <w:spacing w:before="120" w:after="120" w:line="240" w:lineRule="auto"/>
        <w:rPr>
          <w:rFonts w:cs="Arial"/>
          <w:b/>
          <w:szCs w:val="22"/>
        </w:rPr>
      </w:pPr>
      <w:r>
        <w:rPr>
          <w:rFonts w:cs="Arial"/>
          <w:b/>
          <w:szCs w:val="22"/>
        </w:rPr>
        <w:t>Fase: Implantação e Operação</w:t>
      </w:r>
    </w:p>
    <w:p w:rsidR="009F43B3" w:rsidRPr="00111390" w:rsidRDefault="009F43B3" w:rsidP="009F43B3">
      <w:pPr>
        <w:pStyle w:val="Corpodetexto"/>
        <w:tabs>
          <w:tab w:val="left" w:pos="2430"/>
        </w:tabs>
        <w:rPr>
          <w:szCs w:val="22"/>
        </w:rPr>
      </w:pPr>
      <w:r w:rsidRPr="00111390">
        <w:rPr>
          <w:szCs w:val="22"/>
        </w:rPr>
        <w:t>Os sismos naturais resultam de uma liberação repentina de energia na crosta terrestre. São produzidos pela ruptura do tipo rígido de maciços rochosos, promovida pela concentração de grandes tensões em alguns locais e por movimentos da litosfera. Quando a concentração de tensões ultrapassa a resistência ao cisalhamento, ocorre ruptura, preferencialmente nas partes mais fracas das áreas tensionadas, como em descontinuidades pré-existentes.</w:t>
      </w:r>
    </w:p>
    <w:p w:rsidR="009F43B3" w:rsidRDefault="009F43B3" w:rsidP="009F43B3">
      <w:pPr>
        <w:pStyle w:val="Corpodetexto"/>
        <w:tabs>
          <w:tab w:val="left" w:pos="2430"/>
        </w:tabs>
        <w:rPr>
          <w:szCs w:val="22"/>
        </w:rPr>
      </w:pPr>
      <w:r w:rsidRPr="00111390">
        <w:rPr>
          <w:szCs w:val="22"/>
        </w:rPr>
        <w:t>De acordo com o Mapa das Zonas Sismogênicas do Estado de São Paulo (Mioto, 1996), apresentado no capítulo “Sismicidade da Área de Influência Indireta (AII)”, o</w:t>
      </w:r>
      <w:r>
        <w:rPr>
          <w:szCs w:val="22"/>
        </w:rPr>
        <w:t>s futuros</w:t>
      </w:r>
      <w:r w:rsidRPr="00111390">
        <w:rPr>
          <w:szCs w:val="22"/>
        </w:rPr>
        <w:t xml:space="preserve"> </w:t>
      </w:r>
      <w:r w:rsidRPr="009F43B3">
        <w:rPr>
          <w:szCs w:val="22"/>
        </w:rPr>
        <w:t>reservatórios das Barragens</w:t>
      </w:r>
      <w:r w:rsidRPr="00E1278E">
        <w:rPr>
          <w:color w:val="00B0F0"/>
          <w:szCs w:val="22"/>
        </w:rPr>
        <w:t xml:space="preserve"> </w:t>
      </w:r>
      <w:r w:rsidRPr="00111390">
        <w:rPr>
          <w:szCs w:val="22"/>
        </w:rPr>
        <w:t>Pedreira</w:t>
      </w:r>
      <w:r>
        <w:rPr>
          <w:szCs w:val="22"/>
        </w:rPr>
        <w:t xml:space="preserve"> e Duas Pontes</w:t>
      </w:r>
      <w:r w:rsidRPr="00111390">
        <w:rPr>
          <w:szCs w:val="22"/>
        </w:rPr>
        <w:t xml:space="preserve"> encontra</w:t>
      </w:r>
      <w:r>
        <w:rPr>
          <w:szCs w:val="22"/>
        </w:rPr>
        <w:t>m</w:t>
      </w:r>
      <w:r w:rsidRPr="00111390">
        <w:rPr>
          <w:szCs w:val="22"/>
        </w:rPr>
        <w:t>-se na Zo</w:t>
      </w:r>
      <w:r>
        <w:rPr>
          <w:szCs w:val="22"/>
        </w:rPr>
        <w:t xml:space="preserve">na Sismogênica de Pinhal (ZSP). Segundo os levantamentos realizados </w:t>
      </w:r>
      <w:r w:rsidRPr="00101216">
        <w:rPr>
          <w:szCs w:val="22"/>
        </w:rPr>
        <w:t xml:space="preserve">junto aos boletins de eventos sísmicos, disponibilizados pelo Instituto de Astronomia, Geofísica e Ciências Atmosféricas da Universidade de São Paulo (IAG-USP), </w:t>
      </w:r>
      <w:r>
        <w:rPr>
          <w:szCs w:val="22"/>
        </w:rPr>
        <w:t>entre os anos de 1972 e 2013, nenhum sismo foi identificado nos limites da AII.</w:t>
      </w:r>
    </w:p>
    <w:p w:rsidR="009F43B3" w:rsidRPr="00111390" w:rsidRDefault="009F43B3" w:rsidP="009F43B3">
      <w:pPr>
        <w:pStyle w:val="Corpodetexto"/>
        <w:tabs>
          <w:tab w:val="left" w:pos="2430"/>
        </w:tabs>
        <w:rPr>
          <w:szCs w:val="22"/>
        </w:rPr>
      </w:pPr>
      <w:r w:rsidRPr="00111390">
        <w:rPr>
          <w:szCs w:val="22"/>
        </w:rPr>
        <w:lastRenderedPageBreak/>
        <w:t xml:space="preserve">A ZSP detém o maior sismo paulista, ocorrido no ano de 1922, no município de Mogi-Guaçu, </w:t>
      </w:r>
      <w:r>
        <w:rPr>
          <w:szCs w:val="22"/>
        </w:rPr>
        <w:t>distante</w:t>
      </w:r>
      <w:r w:rsidRPr="00111390">
        <w:rPr>
          <w:szCs w:val="22"/>
        </w:rPr>
        <w:t xml:space="preserve"> aproximadamente 72 </w:t>
      </w:r>
      <w:r>
        <w:rPr>
          <w:szCs w:val="22"/>
        </w:rPr>
        <w:t xml:space="preserve">e 75 </w:t>
      </w:r>
      <w:r w:rsidRPr="00111390">
        <w:rPr>
          <w:szCs w:val="22"/>
        </w:rPr>
        <w:t>km do</w:t>
      </w:r>
      <w:r>
        <w:rPr>
          <w:szCs w:val="22"/>
        </w:rPr>
        <w:t>s</w:t>
      </w:r>
      <w:r w:rsidRPr="00111390">
        <w:rPr>
          <w:szCs w:val="22"/>
        </w:rPr>
        <w:t xml:space="preserve"> </w:t>
      </w:r>
      <w:r>
        <w:rPr>
          <w:szCs w:val="22"/>
        </w:rPr>
        <w:t xml:space="preserve">reservatórios </w:t>
      </w:r>
      <w:r w:rsidRPr="009F43B3">
        <w:rPr>
          <w:szCs w:val="22"/>
        </w:rPr>
        <w:t>das Barragens</w:t>
      </w:r>
      <w:r>
        <w:rPr>
          <w:color w:val="00B0F0"/>
          <w:szCs w:val="22"/>
        </w:rPr>
        <w:t xml:space="preserve"> </w:t>
      </w:r>
      <w:r>
        <w:rPr>
          <w:szCs w:val="22"/>
        </w:rPr>
        <w:t>Pedreira e Duas Pontes, respectivamente. Este sismo</w:t>
      </w:r>
      <w:r w:rsidRPr="00111390">
        <w:rPr>
          <w:szCs w:val="22"/>
        </w:rPr>
        <w:t xml:space="preserve"> atingiu a magnitude de 5,1Mb, afetando uma área com 250.000 km2, com intensidade máxima de VI MM. Entretanto, não há registros de danos a edificações relacionados a este evento e, apesar de o tempo de retorno ser estimado entre 8 e 40 anos, nenhum sismo com intensidade semelhante foi registrado desde então. Destacam-se ainda os dois sismos ocorridos em São Francisco Xavier/SP, no ano de 1997, com 2,6 e 2,8 Mb, com epicentros a aproximadamente </w:t>
      </w:r>
      <w:r>
        <w:rPr>
          <w:szCs w:val="22"/>
        </w:rPr>
        <w:t xml:space="preserve">100 </w:t>
      </w:r>
      <w:r w:rsidRPr="00111390">
        <w:rPr>
          <w:szCs w:val="22"/>
        </w:rPr>
        <w:t>Km do</w:t>
      </w:r>
      <w:r>
        <w:rPr>
          <w:szCs w:val="22"/>
        </w:rPr>
        <w:t>s</w:t>
      </w:r>
      <w:r w:rsidRPr="00111390">
        <w:rPr>
          <w:szCs w:val="22"/>
        </w:rPr>
        <w:t xml:space="preserve"> </w:t>
      </w:r>
      <w:r>
        <w:rPr>
          <w:szCs w:val="22"/>
        </w:rPr>
        <w:t xml:space="preserve">futuros </w:t>
      </w:r>
      <w:r w:rsidRPr="00111390">
        <w:rPr>
          <w:szCs w:val="22"/>
        </w:rPr>
        <w:t>empreendimento</w:t>
      </w:r>
      <w:r>
        <w:rPr>
          <w:szCs w:val="22"/>
        </w:rPr>
        <w:t xml:space="preserve">s </w:t>
      </w:r>
      <w:r w:rsidRPr="009F43B3">
        <w:rPr>
          <w:szCs w:val="22"/>
        </w:rPr>
        <w:t>Barragens</w:t>
      </w:r>
      <w:r>
        <w:rPr>
          <w:color w:val="00B0F0"/>
          <w:szCs w:val="22"/>
        </w:rPr>
        <w:t xml:space="preserve"> </w:t>
      </w:r>
      <w:r>
        <w:rPr>
          <w:szCs w:val="22"/>
        </w:rPr>
        <w:t>Pedreira e Duas Pontes</w:t>
      </w:r>
      <w:r w:rsidRPr="00111390">
        <w:rPr>
          <w:szCs w:val="22"/>
        </w:rPr>
        <w:t>.</w:t>
      </w:r>
    </w:p>
    <w:p w:rsidR="009F43B3" w:rsidRPr="00111390" w:rsidRDefault="009F43B3" w:rsidP="009F43B3">
      <w:pPr>
        <w:pStyle w:val="Corpodetexto"/>
        <w:tabs>
          <w:tab w:val="left" w:pos="2430"/>
        </w:tabs>
        <w:rPr>
          <w:szCs w:val="22"/>
        </w:rPr>
      </w:pPr>
      <w:r w:rsidRPr="00111390">
        <w:rPr>
          <w:szCs w:val="22"/>
        </w:rPr>
        <w:t>Conforme apresentado no</w:t>
      </w:r>
      <w:r w:rsidR="006162B2">
        <w:rPr>
          <w:szCs w:val="22"/>
        </w:rPr>
        <w:t xml:space="preserve"> Diagnóstico</w:t>
      </w:r>
      <w:r w:rsidRPr="00111390">
        <w:rPr>
          <w:szCs w:val="22"/>
        </w:rPr>
        <w:t xml:space="preserve"> </w:t>
      </w:r>
      <w:r w:rsidR="006162B2">
        <w:rPr>
          <w:szCs w:val="22"/>
        </w:rPr>
        <w:t>(</w:t>
      </w:r>
      <w:r w:rsidRPr="00111390">
        <w:rPr>
          <w:szCs w:val="22"/>
        </w:rPr>
        <w:t xml:space="preserve">Capítulo </w:t>
      </w:r>
      <w:r w:rsidR="006162B2">
        <w:rPr>
          <w:szCs w:val="22"/>
        </w:rPr>
        <w:t xml:space="preserve">12 – </w:t>
      </w:r>
      <w:r w:rsidRPr="00111390">
        <w:rPr>
          <w:szCs w:val="22"/>
        </w:rPr>
        <w:t>Sismicidade</w:t>
      </w:r>
      <w:r w:rsidR="006162B2">
        <w:rPr>
          <w:szCs w:val="22"/>
        </w:rPr>
        <w:t>, Volume II Tomo 1)</w:t>
      </w:r>
      <w:r w:rsidRPr="00111390">
        <w:rPr>
          <w:szCs w:val="22"/>
        </w:rPr>
        <w:t xml:space="preserve">, estudos sobre a Sismicidade Induzida por Reservatórios (SIR) </w:t>
      </w:r>
      <w:r>
        <w:rPr>
          <w:szCs w:val="22"/>
        </w:rPr>
        <w:t xml:space="preserve">indicam que </w:t>
      </w:r>
      <w:r w:rsidRPr="00111390">
        <w:rPr>
          <w:szCs w:val="22"/>
        </w:rPr>
        <w:t>somente uma pequena porcentagem de reservatórios induz SIR. A existência de dezenas de milhares de reservatórios em todo o mundo, que não têm causado nenhuma sismicidade observável, indica que a probabilidade de um reservatório induzir sismicidade é muito baixa. Tratando-se de empreendimento</w:t>
      </w:r>
      <w:r>
        <w:rPr>
          <w:szCs w:val="22"/>
        </w:rPr>
        <w:t>s</w:t>
      </w:r>
      <w:r w:rsidRPr="00111390">
        <w:rPr>
          <w:szCs w:val="22"/>
        </w:rPr>
        <w:t xml:space="preserve"> de pequeno porte como o</w:t>
      </w:r>
      <w:r>
        <w:rPr>
          <w:szCs w:val="22"/>
        </w:rPr>
        <w:t>s</w:t>
      </w:r>
      <w:r w:rsidRPr="00111390">
        <w:rPr>
          <w:szCs w:val="22"/>
        </w:rPr>
        <w:t xml:space="preserve"> reservatório</w:t>
      </w:r>
      <w:r>
        <w:rPr>
          <w:szCs w:val="22"/>
        </w:rPr>
        <w:t>s</w:t>
      </w:r>
      <w:r w:rsidRPr="00111390">
        <w:rPr>
          <w:szCs w:val="22"/>
        </w:rPr>
        <w:t xml:space="preserve"> </w:t>
      </w:r>
      <w:r w:rsidRPr="009F43B3">
        <w:rPr>
          <w:szCs w:val="22"/>
        </w:rPr>
        <w:t>das Barragens</w:t>
      </w:r>
      <w:r>
        <w:rPr>
          <w:color w:val="00B0F0"/>
          <w:szCs w:val="22"/>
        </w:rPr>
        <w:t xml:space="preserve"> </w:t>
      </w:r>
      <w:r w:rsidRPr="00111390">
        <w:rPr>
          <w:szCs w:val="22"/>
        </w:rPr>
        <w:t>Pedreira</w:t>
      </w:r>
      <w:r>
        <w:rPr>
          <w:szCs w:val="22"/>
        </w:rPr>
        <w:t xml:space="preserve"> e Duas Pontes</w:t>
      </w:r>
      <w:r w:rsidRPr="00111390">
        <w:rPr>
          <w:szCs w:val="22"/>
        </w:rPr>
        <w:t>, a possibilidade de ocorrência de sismos induzidos é ainda menor.</w:t>
      </w:r>
    </w:p>
    <w:p w:rsidR="009F43B3" w:rsidRPr="00111390" w:rsidRDefault="009F43B3" w:rsidP="009F43B3">
      <w:pPr>
        <w:pStyle w:val="Corpodetexto"/>
        <w:tabs>
          <w:tab w:val="left" w:pos="2430"/>
        </w:tabs>
        <w:rPr>
          <w:szCs w:val="22"/>
        </w:rPr>
      </w:pPr>
      <w:r w:rsidRPr="00111390">
        <w:rPr>
          <w:szCs w:val="22"/>
        </w:rPr>
        <w:t>A sismicidade induzida pela formação do reservatório resulta das tensões que se superpõem ao regime de tensões tectônicas pré-existentes, diminuindo a resistência e provocando acomodações nos maciços rochosos.  O efeito do reservatório (o peso da água e a pressão nos poros em profundidade) no campo de esforços tectônicos é pequeno, comparativamente com os esforços atuantes por alguns grandes terremotos induzidos por reservatório. Isto significa que SIR somente pode ocorrer se a área já estiver submetida a esforços tectônicos quase críticos.</w:t>
      </w:r>
    </w:p>
    <w:p w:rsidR="009F43B3" w:rsidRPr="00111390" w:rsidRDefault="009F43B3" w:rsidP="009F43B3">
      <w:pPr>
        <w:pStyle w:val="Corpodetexto"/>
        <w:tabs>
          <w:tab w:val="left" w:pos="2430"/>
        </w:tabs>
        <w:rPr>
          <w:szCs w:val="22"/>
        </w:rPr>
      </w:pPr>
      <w:r w:rsidRPr="00111390">
        <w:rPr>
          <w:szCs w:val="22"/>
        </w:rPr>
        <w:t xml:space="preserve">Em caso de ocorrência de sismos induzidos o principal impacto refere-se ao incomodo causado </w:t>
      </w:r>
      <w:r>
        <w:rPr>
          <w:szCs w:val="22"/>
        </w:rPr>
        <w:t>à</w:t>
      </w:r>
      <w:r w:rsidRPr="00111390">
        <w:rPr>
          <w:szCs w:val="22"/>
        </w:rPr>
        <w:t xml:space="preserve"> população presente no raio de influência do evento, devido à grandeza dos sismos </w:t>
      </w:r>
      <w:r w:rsidRPr="009F43B3">
        <w:rPr>
          <w:szCs w:val="22"/>
        </w:rPr>
        <w:t>ser avaliada como de baixa a média intensidade e magnitudes, neste porte de empreendim</w:t>
      </w:r>
      <w:r w:rsidRPr="00111390">
        <w:rPr>
          <w:szCs w:val="22"/>
        </w:rPr>
        <w:t xml:space="preserve">ento. Danos de </w:t>
      </w:r>
      <w:r>
        <w:rPr>
          <w:szCs w:val="22"/>
        </w:rPr>
        <w:t>outra</w:t>
      </w:r>
      <w:r w:rsidRPr="00111390">
        <w:rPr>
          <w:szCs w:val="22"/>
        </w:rPr>
        <w:t xml:space="preserve"> natureza, como trincas em construções, seriam </w:t>
      </w:r>
      <w:r>
        <w:rPr>
          <w:szCs w:val="22"/>
        </w:rPr>
        <w:t>pouco</w:t>
      </w:r>
      <w:r w:rsidRPr="00111390">
        <w:rPr>
          <w:szCs w:val="22"/>
        </w:rPr>
        <w:t xml:space="preserve"> prováveis, embora possíveis. </w:t>
      </w:r>
    </w:p>
    <w:p w:rsidR="009F43B3" w:rsidRPr="00111390" w:rsidRDefault="009F43B3" w:rsidP="009F43B3">
      <w:pPr>
        <w:pStyle w:val="Corpodetexto"/>
        <w:tabs>
          <w:tab w:val="left" w:pos="2430"/>
        </w:tabs>
        <w:rPr>
          <w:szCs w:val="22"/>
        </w:rPr>
      </w:pPr>
      <w:r w:rsidRPr="00111390">
        <w:rPr>
          <w:szCs w:val="22"/>
        </w:rPr>
        <w:t xml:space="preserve">Este impacto possui natureza negativa, pois caso ocorra causará incômodo à população localizada no raio de influência do evento sísmico e, eventualmente, danos de </w:t>
      </w:r>
      <w:r>
        <w:rPr>
          <w:szCs w:val="22"/>
        </w:rPr>
        <w:t>pequena grande</w:t>
      </w:r>
      <w:r w:rsidRPr="00111390">
        <w:rPr>
          <w:szCs w:val="22"/>
        </w:rPr>
        <w:t xml:space="preserve">za. Por se tratarem de eventos episódicos, a previsão dos eventos sísmicos é </w:t>
      </w:r>
      <w:r>
        <w:rPr>
          <w:szCs w:val="22"/>
        </w:rPr>
        <w:t xml:space="preserve">de </w:t>
      </w:r>
      <w:r w:rsidRPr="00111390">
        <w:rPr>
          <w:szCs w:val="22"/>
        </w:rPr>
        <w:t>difícil determinação, tanto em relação à ocorrência do fenômeno em si, como ao local que será afetado. Apesar de um sismo ter efeito bastante localizado,</w:t>
      </w:r>
      <w:r>
        <w:rPr>
          <w:szCs w:val="22"/>
        </w:rPr>
        <w:t xml:space="preserve"> </w:t>
      </w:r>
      <w:r w:rsidRPr="00111390">
        <w:rPr>
          <w:szCs w:val="22"/>
        </w:rPr>
        <w:t>dificilmente afeta</w:t>
      </w:r>
      <w:r>
        <w:rPr>
          <w:szCs w:val="22"/>
        </w:rPr>
        <w:t>ndo</w:t>
      </w:r>
      <w:r w:rsidRPr="00111390">
        <w:rPr>
          <w:szCs w:val="22"/>
        </w:rPr>
        <w:t xml:space="preserve"> </w:t>
      </w:r>
      <w:r>
        <w:rPr>
          <w:szCs w:val="22"/>
        </w:rPr>
        <w:t>áreas</w:t>
      </w:r>
      <w:r w:rsidRPr="00111390">
        <w:rPr>
          <w:szCs w:val="22"/>
        </w:rPr>
        <w:t xml:space="preserve"> </w:t>
      </w:r>
      <w:r>
        <w:rPr>
          <w:szCs w:val="22"/>
        </w:rPr>
        <w:t>com poucas</w:t>
      </w:r>
      <w:r w:rsidRPr="00111390">
        <w:rPr>
          <w:szCs w:val="22"/>
        </w:rPr>
        <w:t xml:space="preserve"> centenas de km², é difícil prever o local de sua ocorrência. Diante do contexto</w:t>
      </w:r>
      <w:r>
        <w:rPr>
          <w:szCs w:val="22"/>
        </w:rPr>
        <w:t xml:space="preserve"> de sismicidade da área e dos reservatórios a serem implantados</w:t>
      </w:r>
      <w:r w:rsidRPr="00111390">
        <w:rPr>
          <w:szCs w:val="22"/>
        </w:rPr>
        <w:t xml:space="preserve">, o impacto foi considerado de ocorrência </w:t>
      </w:r>
      <w:r>
        <w:rPr>
          <w:szCs w:val="22"/>
        </w:rPr>
        <w:t>provável</w:t>
      </w:r>
      <w:r w:rsidRPr="00111390">
        <w:rPr>
          <w:szCs w:val="22"/>
        </w:rPr>
        <w:t>.</w:t>
      </w:r>
    </w:p>
    <w:p w:rsidR="009F43B3" w:rsidRPr="00111390" w:rsidRDefault="009F43B3" w:rsidP="009F43B3">
      <w:pPr>
        <w:pStyle w:val="Corpodetexto"/>
        <w:tabs>
          <w:tab w:val="left" w:pos="2430"/>
        </w:tabs>
        <w:rPr>
          <w:szCs w:val="22"/>
        </w:rPr>
      </w:pPr>
      <w:r w:rsidRPr="00111390">
        <w:rPr>
          <w:szCs w:val="22"/>
        </w:rPr>
        <w:t xml:space="preserve">A forma de incidência é direta, decorrendo diretamente do enchimento do reservatório. Os sismos induzidos podem ser registrados durante e após o enchimento do reservatório, no curto e médio prazo. </w:t>
      </w:r>
    </w:p>
    <w:p w:rsidR="009F43B3" w:rsidRPr="00111390" w:rsidRDefault="009F43B3" w:rsidP="009F43B3">
      <w:pPr>
        <w:pStyle w:val="Corpodetexto"/>
        <w:tabs>
          <w:tab w:val="left" w:pos="2430"/>
        </w:tabs>
        <w:rPr>
          <w:szCs w:val="22"/>
        </w:rPr>
      </w:pPr>
      <w:r w:rsidRPr="00111390">
        <w:rPr>
          <w:szCs w:val="22"/>
        </w:rPr>
        <w:t xml:space="preserve">A duração de eventos sísmicos geralmente é muito curta, da ordem de segundos, de forma que eventuais impactos irão se processar de modo praticamente instantâneo, mas podem ocorrer vários episódios sem intervalos regulares </w:t>
      </w:r>
      <w:r>
        <w:rPr>
          <w:szCs w:val="22"/>
        </w:rPr>
        <w:t xml:space="preserve">durante um tempo não definido. </w:t>
      </w:r>
      <w:r w:rsidRPr="00111390">
        <w:rPr>
          <w:szCs w:val="22"/>
        </w:rPr>
        <w:t>Sendo assim</w:t>
      </w:r>
      <w:r>
        <w:rPr>
          <w:szCs w:val="22"/>
        </w:rPr>
        <w:t>,</w:t>
      </w:r>
      <w:r w:rsidRPr="00111390">
        <w:rPr>
          <w:szCs w:val="22"/>
        </w:rPr>
        <w:t xml:space="preserve"> o impacto fo</w:t>
      </w:r>
      <w:r>
        <w:rPr>
          <w:szCs w:val="22"/>
        </w:rPr>
        <w:t xml:space="preserve">i classificado como permanente, </w:t>
      </w:r>
      <w:r w:rsidRPr="00111390">
        <w:rPr>
          <w:szCs w:val="22"/>
        </w:rPr>
        <w:t>irreversível e</w:t>
      </w:r>
      <w:r w:rsidR="00AC4115">
        <w:rPr>
          <w:szCs w:val="22"/>
        </w:rPr>
        <w:t xml:space="preserve"> não</w:t>
      </w:r>
      <w:r w:rsidRPr="00111390">
        <w:rPr>
          <w:szCs w:val="22"/>
        </w:rPr>
        <w:t xml:space="preserve"> mitigável, pois está associado aos condicionantes geológicos. </w:t>
      </w:r>
    </w:p>
    <w:p w:rsidR="009F43B3" w:rsidRDefault="009F43B3" w:rsidP="009F43B3">
      <w:pPr>
        <w:pStyle w:val="Corpodetexto"/>
        <w:tabs>
          <w:tab w:val="left" w:pos="2430"/>
        </w:tabs>
        <w:rPr>
          <w:szCs w:val="22"/>
        </w:rPr>
      </w:pPr>
      <w:r w:rsidRPr="00111390">
        <w:rPr>
          <w:szCs w:val="22"/>
        </w:rPr>
        <w:t xml:space="preserve">Este impacto é considerado de importância </w:t>
      </w:r>
      <w:r>
        <w:rPr>
          <w:szCs w:val="22"/>
        </w:rPr>
        <w:t>pequena</w:t>
      </w:r>
      <w:r w:rsidRPr="00111390">
        <w:rPr>
          <w:szCs w:val="22"/>
        </w:rPr>
        <w:t>, devido à baixa a média intensidade e magnitudes (grandeza de medida dos sismos), associadas aos sismos induzidos</w:t>
      </w:r>
      <w:r>
        <w:rPr>
          <w:szCs w:val="22"/>
        </w:rPr>
        <w:t>:</w:t>
      </w:r>
    </w:p>
    <w:p w:rsidR="00C85203" w:rsidRDefault="00C85203" w:rsidP="009F43B3">
      <w:pPr>
        <w:pStyle w:val="Corpodetexto"/>
        <w:tabs>
          <w:tab w:val="left" w:pos="2430"/>
        </w:tabs>
        <w:rPr>
          <w:szCs w:val="22"/>
        </w:rPr>
      </w:pPr>
    </w:p>
    <w:p w:rsidR="00C85203" w:rsidRDefault="00C85203" w:rsidP="009F43B3">
      <w:pPr>
        <w:pStyle w:val="Corpodetexto"/>
        <w:tabs>
          <w:tab w:val="left" w:pos="2430"/>
        </w:tabs>
        <w:rPr>
          <w:szCs w:val="22"/>
        </w:rPr>
      </w:pPr>
    </w:p>
    <w:p w:rsidR="00C85203" w:rsidRDefault="00C85203" w:rsidP="009F43B3">
      <w:pPr>
        <w:pStyle w:val="Corpodetexto"/>
        <w:tabs>
          <w:tab w:val="left" w:pos="2430"/>
        </w:tabs>
        <w:rPr>
          <w:szCs w:val="22"/>
        </w:rPr>
      </w:pPr>
    </w:p>
    <w:p w:rsidR="009F43B3" w:rsidRPr="00601292" w:rsidRDefault="008D3A12" w:rsidP="00601292">
      <w:pPr>
        <w:pStyle w:val="Legenda"/>
        <w:spacing w:line="240" w:lineRule="auto"/>
        <w:jc w:val="center"/>
        <w:rPr>
          <w:rFonts w:cs="Arial"/>
          <w:b w:val="0"/>
          <w:bCs/>
          <w:i w:val="0"/>
          <w:szCs w:val="22"/>
        </w:rPr>
      </w:pPr>
      <w:bookmarkStart w:id="226" w:name="_Toc420316467"/>
      <w:r w:rsidRPr="00601292">
        <w:rPr>
          <w:i w:val="0"/>
        </w:rPr>
        <w:lastRenderedPageBreak/>
        <w:t xml:space="preserve">Quadro </w:t>
      </w:r>
      <w:r w:rsidR="00B80A05" w:rsidRPr="00601292">
        <w:rPr>
          <w:i w:val="0"/>
        </w:rPr>
        <w:fldChar w:fldCharType="begin"/>
      </w:r>
      <w:r w:rsidR="00402E81" w:rsidRPr="00601292">
        <w:rPr>
          <w:i w:val="0"/>
        </w:rPr>
        <w:instrText xml:space="preserve"> STYLEREF 2 \s </w:instrText>
      </w:r>
      <w:r w:rsidR="00B80A05" w:rsidRPr="00601292">
        <w:rPr>
          <w:i w:val="0"/>
        </w:rPr>
        <w:fldChar w:fldCharType="separate"/>
      </w:r>
      <w:r w:rsidR="00316060">
        <w:rPr>
          <w:i w:val="0"/>
          <w:noProof/>
        </w:rPr>
        <w:t>1.3</w:t>
      </w:r>
      <w:r w:rsidR="00B80A05" w:rsidRPr="00601292">
        <w:rPr>
          <w:i w:val="0"/>
        </w:rPr>
        <w:fldChar w:fldCharType="end"/>
      </w:r>
      <w:r w:rsidR="00402E81" w:rsidRPr="00601292">
        <w:rPr>
          <w:i w:val="0"/>
        </w:rPr>
        <w:t>.</w:t>
      </w:r>
      <w:r w:rsidR="00B80A05" w:rsidRPr="00601292">
        <w:rPr>
          <w:i w:val="0"/>
        </w:rPr>
        <w:fldChar w:fldCharType="begin"/>
      </w:r>
      <w:r w:rsidR="00402E81" w:rsidRPr="00601292">
        <w:rPr>
          <w:i w:val="0"/>
        </w:rPr>
        <w:instrText xml:space="preserve"> SEQ Quadro \* ARABIC \s 2 </w:instrText>
      </w:r>
      <w:r w:rsidR="00B80A05" w:rsidRPr="00601292">
        <w:rPr>
          <w:i w:val="0"/>
        </w:rPr>
        <w:fldChar w:fldCharType="separate"/>
      </w:r>
      <w:r w:rsidR="00316060">
        <w:rPr>
          <w:i w:val="0"/>
          <w:noProof/>
        </w:rPr>
        <w:t>24</w:t>
      </w:r>
      <w:r w:rsidR="00B80A05" w:rsidRPr="00601292">
        <w:rPr>
          <w:i w:val="0"/>
        </w:rPr>
        <w:fldChar w:fldCharType="end"/>
      </w:r>
      <w:r w:rsidR="00601292" w:rsidRPr="00601292">
        <w:rPr>
          <w:i w:val="0"/>
        </w:rPr>
        <w:t>.</w:t>
      </w:r>
      <w:r w:rsidR="00601292" w:rsidRPr="00601292">
        <w:rPr>
          <w:b w:val="0"/>
          <w:i w:val="0"/>
        </w:rPr>
        <w:t xml:space="preserve"> - </w:t>
      </w:r>
      <w:r w:rsidR="009F43B3" w:rsidRPr="00601292">
        <w:rPr>
          <w:rFonts w:cs="Arial"/>
          <w:b w:val="0"/>
          <w:bCs/>
          <w:i w:val="0"/>
          <w:szCs w:val="22"/>
        </w:rPr>
        <w:t xml:space="preserve">Caracterização do Impacto – </w:t>
      </w:r>
      <w:r w:rsidR="009F43B3" w:rsidRPr="00601292">
        <w:rPr>
          <w:b w:val="0"/>
          <w:i w:val="0"/>
        </w:rPr>
        <w:t>Possibilidade da Ocorrência de Sismicidade Induzida</w:t>
      </w:r>
      <w:r w:rsidR="004334F5" w:rsidRPr="00601292">
        <w:rPr>
          <w:rFonts w:cs="Arial"/>
          <w:b w:val="0"/>
          <w:bCs/>
          <w:i w:val="0"/>
          <w:szCs w:val="22"/>
        </w:rPr>
        <w:t xml:space="preserve"> </w:t>
      </w:r>
      <w:r w:rsidR="009F43B3" w:rsidRPr="00601292">
        <w:rPr>
          <w:rFonts w:cs="Arial"/>
          <w:b w:val="0"/>
          <w:bCs/>
          <w:i w:val="0"/>
          <w:szCs w:val="22"/>
        </w:rPr>
        <w:t>Barragens Pedreira e Duas Pontes</w:t>
      </w:r>
      <w:bookmarkEnd w:id="226"/>
    </w:p>
    <w:tbl>
      <w:tblPr>
        <w:tblW w:w="0" w:type="auto"/>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3"/>
        <w:gridCol w:w="1264"/>
        <w:gridCol w:w="1744"/>
        <w:gridCol w:w="1399"/>
        <w:gridCol w:w="3069"/>
      </w:tblGrid>
      <w:tr w:rsidR="009F43B3" w:rsidRPr="00500BF4" w:rsidTr="001A063B">
        <w:trPr>
          <w:trHeight w:val="397"/>
          <w:jc w:val="center"/>
        </w:trPr>
        <w:tc>
          <w:tcPr>
            <w:tcW w:w="1263" w:type="dxa"/>
            <w:shd w:val="clear" w:color="auto" w:fill="D9D9D9"/>
            <w:vAlign w:val="center"/>
          </w:tcPr>
          <w:p w:rsidR="009F43B3" w:rsidRPr="00500BF4" w:rsidRDefault="009F43B3" w:rsidP="001A063B">
            <w:pPr>
              <w:autoSpaceDE w:val="0"/>
              <w:autoSpaceDN w:val="0"/>
              <w:adjustRightInd w:val="0"/>
              <w:spacing w:before="120" w:after="120" w:line="240" w:lineRule="auto"/>
              <w:jc w:val="center"/>
              <w:rPr>
                <w:rFonts w:cs="Arial"/>
                <w:b/>
                <w:sz w:val="20"/>
              </w:rPr>
            </w:pPr>
            <w:r w:rsidRPr="00500BF4">
              <w:rPr>
                <w:rFonts w:cs="Arial"/>
                <w:b/>
                <w:sz w:val="20"/>
              </w:rPr>
              <w:t>Natureza</w:t>
            </w:r>
          </w:p>
        </w:tc>
        <w:tc>
          <w:tcPr>
            <w:tcW w:w="1264" w:type="dxa"/>
            <w:shd w:val="clear" w:color="auto" w:fill="D9D9D9"/>
            <w:vAlign w:val="center"/>
          </w:tcPr>
          <w:p w:rsidR="009F43B3" w:rsidRPr="00500BF4" w:rsidRDefault="009F43B3" w:rsidP="001A063B">
            <w:pPr>
              <w:autoSpaceDE w:val="0"/>
              <w:autoSpaceDN w:val="0"/>
              <w:adjustRightInd w:val="0"/>
              <w:spacing w:before="120" w:after="120" w:line="240" w:lineRule="auto"/>
              <w:jc w:val="center"/>
              <w:rPr>
                <w:rFonts w:cs="Arial"/>
                <w:b/>
                <w:sz w:val="20"/>
              </w:rPr>
            </w:pPr>
            <w:r w:rsidRPr="00500BF4">
              <w:rPr>
                <w:rFonts w:cs="Arial"/>
                <w:b/>
                <w:sz w:val="20"/>
              </w:rPr>
              <w:t>Ordem</w:t>
            </w:r>
          </w:p>
        </w:tc>
        <w:tc>
          <w:tcPr>
            <w:tcW w:w="1744" w:type="dxa"/>
            <w:shd w:val="clear" w:color="auto" w:fill="D9D9D9"/>
            <w:vAlign w:val="center"/>
          </w:tcPr>
          <w:p w:rsidR="009F43B3" w:rsidRPr="00500BF4" w:rsidRDefault="009F43B3" w:rsidP="001A063B">
            <w:pPr>
              <w:autoSpaceDE w:val="0"/>
              <w:autoSpaceDN w:val="0"/>
              <w:adjustRightInd w:val="0"/>
              <w:spacing w:before="120" w:after="120" w:line="240" w:lineRule="auto"/>
              <w:jc w:val="center"/>
              <w:rPr>
                <w:rFonts w:cs="Arial"/>
                <w:b/>
                <w:sz w:val="20"/>
              </w:rPr>
            </w:pPr>
            <w:r w:rsidRPr="00500BF4">
              <w:rPr>
                <w:rFonts w:cs="Arial"/>
                <w:b/>
                <w:sz w:val="20"/>
              </w:rPr>
              <w:t>Abrangência</w:t>
            </w:r>
          </w:p>
        </w:tc>
        <w:tc>
          <w:tcPr>
            <w:tcW w:w="1399" w:type="dxa"/>
            <w:shd w:val="clear" w:color="auto" w:fill="D9D9D9"/>
            <w:vAlign w:val="center"/>
          </w:tcPr>
          <w:p w:rsidR="009F43B3" w:rsidRPr="00500BF4" w:rsidRDefault="009F43B3" w:rsidP="001A063B">
            <w:pPr>
              <w:autoSpaceDE w:val="0"/>
              <w:autoSpaceDN w:val="0"/>
              <w:adjustRightInd w:val="0"/>
              <w:spacing w:before="120" w:after="120" w:line="240" w:lineRule="auto"/>
              <w:jc w:val="center"/>
              <w:rPr>
                <w:rFonts w:cs="Arial"/>
                <w:b/>
                <w:sz w:val="20"/>
              </w:rPr>
            </w:pPr>
            <w:r w:rsidRPr="00500BF4">
              <w:rPr>
                <w:rFonts w:cs="Arial"/>
                <w:b/>
                <w:sz w:val="20"/>
              </w:rPr>
              <w:t>Duração</w:t>
            </w:r>
          </w:p>
        </w:tc>
        <w:tc>
          <w:tcPr>
            <w:tcW w:w="3069" w:type="dxa"/>
            <w:shd w:val="clear" w:color="auto" w:fill="D9D9D9"/>
            <w:vAlign w:val="center"/>
          </w:tcPr>
          <w:p w:rsidR="009F43B3" w:rsidRPr="00500BF4" w:rsidRDefault="009F43B3" w:rsidP="001A063B">
            <w:pPr>
              <w:autoSpaceDE w:val="0"/>
              <w:autoSpaceDN w:val="0"/>
              <w:adjustRightInd w:val="0"/>
              <w:spacing w:before="120" w:after="120" w:line="240" w:lineRule="auto"/>
              <w:jc w:val="center"/>
              <w:rPr>
                <w:rFonts w:cs="Arial"/>
                <w:b/>
                <w:sz w:val="20"/>
              </w:rPr>
            </w:pPr>
            <w:r w:rsidRPr="00500BF4">
              <w:rPr>
                <w:rFonts w:cs="Arial"/>
                <w:b/>
                <w:sz w:val="20"/>
              </w:rPr>
              <w:t>Probabilidade de Ocorrência</w:t>
            </w:r>
          </w:p>
        </w:tc>
      </w:tr>
      <w:tr w:rsidR="009F43B3" w:rsidRPr="00500BF4" w:rsidTr="001A063B">
        <w:trPr>
          <w:jc w:val="center"/>
        </w:trPr>
        <w:tc>
          <w:tcPr>
            <w:tcW w:w="1263" w:type="dxa"/>
            <w:shd w:val="clear" w:color="auto" w:fill="auto"/>
            <w:vAlign w:val="center"/>
          </w:tcPr>
          <w:p w:rsidR="009F43B3" w:rsidRPr="00500BF4" w:rsidRDefault="009F43B3" w:rsidP="001A063B">
            <w:pPr>
              <w:autoSpaceDE w:val="0"/>
              <w:autoSpaceDN w:val="0"/>
              <w:adjustRightInd w:val="0"/>
              <w:spacing w:before="120" w:after="120" w:line="240" w:lineRule="auto"/>
              <w:jc w:val="center"/>
              <w:rPr>
                <w:rFonts w:cs="Arial"/>
                <w:sz w:val="20"/>
              </w:rPr>
            </w:pPr>
            <w:r w:rsidRPr="00500BF4">
              <w:rPr>
                <w:rFonts w:cs="Arial"/>
                <w:sz w:val="20"/>
              </w:rPr>
              <w:t>Negativa</w:t>
            </w:r>
          </w:p>
        </w:tc>
        <w:tc>
          <w:tcPr>
            <w:tcW w:w="1264" w:type="dxa"/>
            <w:shd w:val="clear" w:color="auto" w:fill="auto"/>
            <w:vAlign w:val="center"/>
          </w:tcPr>
          <w:p w:rsidR="009F43B3" w:rsidRPr="00500BF4" w:rsidRDefault="009F43B3" w:rsidP="001A063B">
            <w:pPr>
              <w:autoSpaceDE w:val="0"/>
              <w:autoSpaceDN w:val="0"/>
              <w:adjustRightInd w:val="0"/>
              <w:spacing w:before="120" w:after="120" w:line="240" w:lineRule="auto"/>
              <w:jc w:val="center"/>
              <w:rPr>
                <w:rFonts w:cs="Arial"/>
                <w:sz w:val="20"/>
              </w:rPr>
            </w:pPr>
            <w:r w:rsidRPr="00500BF4">
              <w:rPr>
                <w:rFonts w:cs="Arial"/>
                <w:sz w:val="20"/>
              </w:rPr>
              <w:t>Direta</w:t>
            </w:r>
          </w:p>
        </w:tc>
        <w:tc>
          <w:tcPr>
            <w:tcW w:w="1744" w:type="dxa"/>
            <w:shd w:val="clear" w:color="auto" w:fill="auto"/>
            <w:vAlign w:val="center"/>
          </w:tcPr>
          <w:p w:rsidR="009F43B3" w:rsidRPr="00500BF4" w:rsidRDefault="009F43B3" w:rsidP="001A063B">
            <w:pPr>
              <w:autoSpaceDE w:val="0"/>
              <w:autoSpaceDN w:val="0"/>
              <w:adjustRightInd w:val="0"/>
              <w:spacing w:before="120" w:after="120" w:line="240" w:lineRule="auto"/>
              <w:jc w:val="center"/>
              <w:rPr>
                <w:rFonts w:cs="Arial"/>
                <w:sz w:val="20"/>
              </w:rPr>
            </w:pPr>
            <w:r w:rsidRPr="00500BF4">
              <w:rPr>
                <w:rFonts w:cs="Arial"/>
                <w:sz w:val="20"/>
              </w:rPr>
              <w:t>Local (ADA)</w:t>
            </w:r>
          </w:p>
        </w:tc>
        <w:tc>
          <w:tcPr>
            <w:tcW w:w="1399" w:type="dxa"/>
            <w:shd w:val="clear" w:color="auto" w:fill="auto"/>
            <w:vAlign w:val="center"/>
          </w:tcPr>
          <w:p w:rsidR="009F43B3" w:rsidRPr="00500BF4" w:rsidRDefault="009F43B3" w:rsidP="001A063B">
            <w:pPr>
              <w:autoSpaceDE w:val="0"/>
              <w:autoSpaceDN w:val="0"/>
              <w:adjustRightInd w:val="0"/>
              <w:spacing w:before="120" w:after="120" w:line="240" w:lineRule="auto"/>
              <w:jc w:val="center"/>
              <w:rPr>
                <w:rFonts w:cs="Arial"/>
                <w:sz w:val="20"/>
              </w:rPr>
            </w:pPr>
            <w:r>
              <w:rPr>
                <w:rFonts w:cs="Arial"/>
                <w:sz w:val="20"/>
              </w:rPr>
              <w:t>Permanente</w:t>
            </w:r>
          </w:p>
        </w:tc>
        <w:tc>
          <w:tcPr>
            <w:tcW w:w="3069" w:type="dxa"/>
            <w:shd w:val="clear" w:color="auto" w:fill="auto"/>
            <w:vAlign w:val="center"/>
          </w:tcPr>
          <w:p w:rsidR="009F43B3" w:rsidRPr="00500BF4" w:rsidRDefault="009F43B3" w:rsidP="001A063B">
            <w:pPr>
              <w:autoSpaceDE w:val="0"/>
              <w:autoSpaceDN w:val="0"/>
              <w:adjustRightInd w:val="0"/>
              <w:spacing w:before="120" w:after="120" w:line="240" w:lineRule="auto"/>
              <w:jc w:val="center"/>
              <w:rPr>
                <w:rFonts w:cs="Arial"/>
                <w:sz w:val="20"/>
              </w:rPr>
            </w:pPr>
            <w:r>
              <w:rPr>
                <w:rFonts w:cs="Arial"/>
                <w:sz w:val="20"/>
              </w:rPr>
              <w:t>Provável</w:t>
            </w:r>
          </w:p>
        </w:tc>
      </w:tr>
    </w:tbl>
    <w:p w:rsidR="009F43B3" w:rsidRPr="00500BF4" w:rsidRDefault="009F43B3" w:rsidP="009F43B3">
      <w:pPr>
        <w:autoSpaceDE w:val="0"/>
        <w:autoSpaceDN w:val="0"/>
        <w:adjustRightInd w:val="0"/>
        <w:spacing w:line="240" w:lineRule="auto"/>
        <w:jc w:val="center"/>
        <w:rPr>
          <w:rFonts w:cs="Arial"/>
          <w:sz w:val="20"/>
        </w:rPr>
      </w:pPr>
    </w:p>
    <w:tbl>
      <w:tblPr>
        <w:tblW w:w="0" w:type="auto"/>
        <w:jc w:val="center"/>
        <w:tblInd w:w="-1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6"/>
        <w:gridCol w:w="1796"/>
        <w:gridCol w:w="1357"/>
        <w:gridCol w:w="1472"/>
        <w:gridCol w:w="1624"/>
      </w:tblGrid>
      <w:tr w:rsidR="009F43B3" w:rsidRPr="00500BF4" w:rsidTr="001A063B">
        <w:trPr>
          <w:trHeight w:val="397"/>
          <w:jc w:val="center"/>
        </w:trPr>
        <w:tc>
          <w:tcPr>
            <w:tcW w:w="2496" w:type="dxa"/>
            <w:shd w:val="clear" w:color="auto" w:fill="D9D9D9"/>
            <w:vAlign w:val="center"/>
          </w:tcPr>
          <w:p w:rsidR="009F43B3" w:rsidRPr="00500BF4" w:rsidRDefault="009F43B3" w:rsidP="001A063B">
            <w:pPr>
              <w:autoSpaceDE w:val="0"/>
              <w:autoSpaceDN w:val="0"/>
              <w:adjustRightInd w:val="0"/>
              <w:spacing w:before="120" w:after="120" w:line="240" w:lineRule="auto"/>
              <w:jc w:val="center"/>
              <w:rPr>
                <w:rFonts w:cs="Arial"/>
                <w:b/>
                <w:sz w:val="20"/>
              </w:rPr>
            </w:pPr>
            <w:r w:rsidRPr="00500BF4">
              <w:rPr>
                <w:rFonts w:cs="Arial"/>
                <w:b/>
                <w:sz w:val="20"/>
              </w:rPr>
              <w:t>Época de Ocorrência</w:t>
            </w:r>
          </w:p>
        </w:tc>
        <w:tc>
          <w:tcPr>
            <w:tcW w:w="1796" w:type="dxa"/>
            <w:shd w:val="clear" w:color="auto" w:fill="D9D9D9"/>
            <w:vAlign w:val="center"/>
          </w:tcPr>
          <w:p w:rsidR="009F43B3" w:rsidRPr="00500BF4" w:rsidRDefault="009F43B3" w:rsidP="001A063B">
            <w:pPr>
              <w:autoSpaceDE w:val="0"/>
              <w:autoSpaceDN w:val="0"/>
              <w:adjustRightInd w:val="0"/>
              <w:spacing w:before="120" w:after="120" w:line="240" w:lineRule="auto"/>
              <w:jc w:val="center"/>
              <w:rPr>
                <w:rFonts w:cs="Arial"/>
                <w:b/>
                <w:sz w:val="20"/>
              </w:rPr>
            </w:pPr>
            <w:r w:rsidRPr="00500BF4">
              <w:rPr>
                <w:rFonts w:cs="Arial"/>
                <w:b/>
                <w:sz w:val="20"/>
              </w:rPr>
              <w:t>Reversibilidade</w:t>
            </w:r>
          </w:p>
        </w:tc>
        <w:tc>
          <w:tcPr>
            <w:tcW w:w="1357" w:type="dxa"/>
            <w:shd w:val="clear" w:color="auto" w:fill="D9D9D9"/>
            <w:vAlign w:val="center"/>
          </w:tcPr>
          <w:p w:rsidR="009F43B3" w:rsidRPr="00500BF4" w:rsidRDefault="009F43B3" w:rsidP="001A063B">
            <w:pPr>
              <w:autoSpaceDE w:val="0"/>
              <w:autoSpaceDN w:val="0"/>
              <w:adjustRightInd w:val="0"/>
              <w:spacing w:before="120" w:after="120" w:line="240" w:lineRule="auto"/>
              <w:jc w:val="center"/>
              <w:rPr>
                <w:rFonts w:cs="Arial"/>
                <w:b/>
                <w:sz w:val="20"/>
              </w:rPr>
            </w:pPr>
            <w:r w:rsidRPr="00500BF4">
              <w:rPr>
                <w:rFonts w:cs="Arial"/>
                <w:b/>
                <w:sz w:val="20"/>
              </w:rPr>
              <w:t>Magnitude</w:t>
            </w:r>
          </w:p>
        </w:tc>
        <w:tc>
          <w:tcPr>
            <w:tcW w:w="1472" w:type="dxa"/>
            <w:shd w:val="clear" w:color="auto" w:fill="D9D9D9"/>
            <w:vAlign w:val="center"/>
          </w:tcPr>
          <w:p w:rsidR="009F43B3" w:rsidRPr="00500BF4" w:rsidRDefault="009F43B3" w:rsidP="001A063B">
            <w:pPr>
              <w:autoSpaceDE w:val="0"/>
              <w:autoSpaceDN w:val="0"/>
              <w:adjustRightInd w:val="0"/>
              <w:spacing w:before="120" w:after="120" w:line="240" w:lineRule="auto"/>
              <w:jc w:val="center"/>
              <w:rPr>
                <w:rFonts w:cs="Arial"/>
                <w:b/>
                <w:sz w:val="20"/>
              </w:rPr>
            </w:pPr>
            <w:r w:rsidRPr="00500BF4">
              <w:rPr>
                <w:rFonts w:cs="Arial"/>
                <w:b/>
                <w:sz w:val="20"/>
              </w:rPr>
              <w:t>Importância</w:t>
            </w:r>
          </w:p>
        </w:tc>
        <w:tc>
          <w:tcPr>
            <w:tcW w:w="1624" w:type="dxa"/>
            <w:shd w:val="clear" w:color="auto" w:fill="D9D9D9"/>
            <w:vAlign w:val="center"/>
          </w:tcPr>
          <w:p w:rsidR="009F43B3" w:rsidRPr="00500BF4" w:rsidRDefault="009F43B3" w:rsidP="001A063B">
            <w:pPr>
              <w:autoSpaceDE w:val="0"/>
              <w:autoSpaceDN w:val="0"/>
              <w:adjustRightInd w:val="0"/>
              <w:spacing w:before="120" w:after="120" w:line="240" w:lineRule="auto"/>
              <w:jc w:val="center"/>
              <w:rPr>
                <w:rFonts w:cs="Arial"/>
                <w:b/>
                <w:sz w:val="20"/>
              </w:rPr>
            </w:pPr>
            <w:r w:rsidRPr="00500BF4">
              <w:rPr>
                <w:rFonts w:cs="Arial"/>
                <w:b/>
                <w:sz w:val="20"/>
              </w:rPr>
              <w:t>Mitigação</w:t>
            </w:r>
          </w:p>
        </w:tc>
      </w:tr>
      <w:tr w:rsidR="009F43B3" w:rsidRPr="00500BF4" w:rsidTr="001A063B">
        <w:trPr>
          <w:jc w:val="center"/>
        </w:trPr>
        <w:tc>
          <w:tcPr>
            <w:tcW w:w="2496" w:type="dxa"/>
            <w:shd w:val="clear" w:color="auto" w:fill="auto"/>
            <w:vAlign w:val="center"/>
          </w:tcPr>
          <w:p w:rsidR="009F43B3" w:rsidRPr="00500BF4" w:rsidRDefault="009F43B3" w:rsidP="001A063B">
            <w:pPr>
              <w:autoSpaceDE w:val="0"/>
              <w:autoSpaceDN w:val="0"/>
              <w:adjustRightInd w:val="0"/>
              <w:spacing w:before="120" w:after="120" w:line="240" w:lineRule="auto"/>
              <w:jc w:val="center"/>
              <w:rPr>
                <w:rFonts w:cs="Arial"/>
                <w:sz w:val="20"/>
              </w:rPr>
            </w:pPr>
            <w:r w:rsidRPr="00500BF4">
              <w:rPr>
                <w:rFonts w:cs="Arial"/>
                <w:sz w:val="20"/>
              </w:rPr>
              <w:t xml:space="preserve">Curto </w:t>
            </w:r>
            <w:r>
              <w:rPr>
                <w:rFonts w:cs="Arial"/>
                <w:sz w:val="20"/>
              </w:rPr>
              <w:t xml:space="preserve">a Médio </w:t>
            </w:r>
            <w:r w:rsidRPr="00500BF4">
              <w:rPr>
                <w:rFonts w:cs="Arial"/>
                <w:sz w:val="20"/>
              </w:rPr>
              <w:t>Prazo</w:t>
            </w:r>
          </w:p>
        </w:tc>
        <w:tc>
          <w:tcPr>
            <w:tcW w:w="1796" w:type="dxa"/>
            <w:shd w:val="clear" w:color="auto" w:fill="auto"/>
            <w:vAlign w:val="center"/>
          </w:tcPr>
          <w:p w:rsidR="009F43B3" w:rsidRPr="00500BF4" w:rsidRDefault="009F43B3" w:rsidP="001A063B">
            <w:pPr>
              <w:autoSpaceDE w:val="0"/>
              <w:autoSpaceDN w:val="0"/>
              <w:adjustRightInd w:val="0"/>
              <w:spacing w:before="120" w:after="120" w:line="240" w:lineRule="auto"/>
              <w:jc w:val="center"/>
              <w:rPr>
                <w:rFonts w:cs="Arial"/>
                <w:sz w:val="20"/>
              </w:rPr>
            </w:pPr>
            <w:r>
              <w:rPr>
                <w:rFonts w:cs="Arial"/>
                <w:sz w:val="20"/>
              </w:rPr>
              <w:t>Irr</w:t>
            </w:r>
            <w:r w:rsidRPr="00500BF4">
              <w:rPr>
                <w:rFonts w:cs="Arial"/>
                <w:sz w:val="20"/>
              </w:rPr>
              <w:t>eversível</w:t>
            </w:r>
          </w:p>
        </w:tc>
        <w:tc>
          <w:tcPr>
            <w:tcW w:w="1357" w:type="dxa"/>
            <w:shd w:val="clear" w:color="auto" w:fill="auto"/>
            <w:vAlign w:val="center"/>
          </w:tcPr>
          <w:p w:rsidR="009F43B3" w:rsidRPr="00500BF4" w:rsidRDefault="009F43B3" w:rsidP="001A063B">
            <w:pPr>
              <w:autoSpaceDE w:val="0"/>
              <w:autoSpaceDN w:val="0"/>
              <w:adjustRightInd w:val="0"/>
              <w:spacing w:before="120" w:after="120" w:line="240" w:lineRule="auto"/>
              <w:jc w:val="center"/>
              <w:rPr>
                <w:rFonts w:cs="Arial"/>
                <w:sz w:val="20"/>
              </w:rPr>
            </w:pPr>
            <w:r>
              <w:rPr>
                <w:rFonts w:cs="Arial"/>
                <w:sz w:val="20"/>
              </w:rPr>
              <w:t>Pequena</w:t>
            </w:r>
          </w:p>
        </w:tc>
        <w:tc>
          <w:tcPr>
            <w:tcW w:w="1472" w:type="dxa"/>
            <w:shd w:val="clear" w:color="auto" w:fill="auto"/>
            <w:vAlign w:val="center"/>
          </w:tcPr>
          <w:p w:rsidR="009F43B3" w:rsidRPr="00500BF4" w:rsidRDefault="009F43B3" w:rsidP="001A063B">
            <w:pPr>
              <w:autoSpaceDE w:val="0"/>
              <w:autoSpaceDN w:val="0"/>
              <w:adjustRightInd w:val="0"/>
              <w:spacing w:before="120" w:after="120" w:line="240" w:lineRule="auto"/>
              <w:jc w:val="center"/>
              <w:rPr>
                <w:rFonts w:cs="Arial"/>
                <w:sz w:val="20"/>
              </w:rPr>
            </w:pPr>
            <w:r>
              <w:rPr>
                <w:rFonts w:cs="Arial"/>
                <w:sz w:val="20"/>
              </w:rPr>
              <w:t>Baixa</w:t>
            </w:r>
          </w:p>
        </w:tc>
        <w:tc>
          <w:tcPr>
            <w:tcW w:w="1624" w:type="dxa"/>
            <w:shd w:val="clear" w:color="auto" w:fill="auto"/>
            <w:vAlign w:val="center"/>
          </w:tcPr>
          <w:p w:rsidR="009F43B3" w:rsidRPr="00500BF4" w:rsidRDefault="00C93B47" w:rsidP="001A063B">
            <w:pPr>
              <w:autoSpaceDE w:val="0"/>
              <w:autoSpaceDN w:val="0"/>
              <w:adjustRightInd w:val="0"/>
              <w:spacing w:before="120" w:after="120" w:line="240" w:lineRule="auto"/>
              <w:jc w:val="center"/>
              <w:rPr>
                <w:rFonts w:cs="Arial"/>
                <w:sz w:val="20"/>
              </w:rPr>
            </w:pPr>
            <w:r>
              <w:rPr>
                <w:rFonts w:cs="Arial"/>
                <w:sz w:val="20"/>
              </w:rPr>
              <w:t xml:space="preserve">Não </w:t>
            </w:r>
            <w:r w:rsidR="009F43B3" w:rsidRPr="00500BF4">
              <w:rPr>
                <w:rFonts w:cs="Arial"/>
                <w:sz w:val="20"/>
              </w:rPr>
              <w:t>Mitigável</w:t>
            </w:r>
          </w:p>
        </w:tc>
      </w:tr>
    </w:tbl>
    <w:p w:rsidR="009F43B3" w:rsidRPr="009F43B3" w:rsidRDefault="009F43B3" w:rsidP="009F43B3">
      <w:pPr>
        <w:pStyle w:val="Corpodetexto"/>
        <w:tabs>
          <w:tab w:val="left" w:pos="2430"/>
        </w:tabs>
        <w:spacing w:before="240"/>
        <w:rPr>
          <w:b/>
          <w:szCs w:val="22"/>
        </w:rPr>
      </w:pPr>
      <w:r w:rsidRPr="009F43B3">
        <w:rPr>
          <w:b/>
          <w:szCs w:val="22"/>
        </w:rPr>
        <w:t>Ações Ambientais Propostas</w:t>
      </w:r>
    </w:p>
    <w:p w:rsidR="009F43B3" w:rsidRDefault="009F43B3" w:rsidP="009F43B3">
      <w:pPr>
        <w:pStyle w:val="Corpodetexto"/>
        <w:tabs>
          <w:tab w:val="left" w:pos="2430"/>
        </w:tabs>
        <w:rPr>
          <w:szCs w:val="22"/>
        </w:rPr>
      </w:pPr>
      <w:r w:rsidRPr="00AE4FC5">
        <w:rPr>
          <w:szCs w:val="22"/>
        </w:rPr>
        <w:t>Prognosticar a ocorrência da sismicidade induzida e a sua magnitude depende de monitoramento contínuo da sismicidade, que poderão esclarecer aspectos importantes da sismicidade induzida da área. Por esses motivos, propõe-se o Programa de Monitoramento de Sismicidade, no qual será realizado o monitoramento continuado na área do</w:t>
      </w:r>
      <w:r>
        <w:rPr>
          <w:szCs w:val="22"/>
        </w:rPr>
        <w:t>s</w:t>
      </w:r>
      <w:r w:rsidRPr="00AE4FC5">
        <w:rPr>
          <w:szCs w:val="22"/>
        </w:rPr>
        <w:t xml:space="preserve"> </w:t>
      </w:r>
      <w:r w:rsidRPr="009F43B3">
        <w:rPr>
          <w:szCs w:val="22"/>
        </w:rPr>
        <w:t>empreendimentos Barragem</w:t>
      </w:r>
      <w:r>
        <w:rPr>
          <w:color w:val="00B0F0"/>
          <w:szCs w:val="22"/>
        </w:rPr>
        <w:t xml:space="preserve"> </w:t>
      </w:r>
      <w:r>
        <w:rPr>
          <w:szCs w:val="22"/>
        </w:rPr>
        <w:t>Pedreira e Duas Pontes</w:t>
      </w:r>
      <w:r w:rsidRPr="00AE4FC5">
        <w:rPr>
          <w:szCs w:val="22"/>
        </w:rPr>
        <w:t>, abrangendo períodos antes e depois do enchimento do reservatório.</w:t>
      </w:r>
    </w:p>
    <w:p w:rsidR="00973BCF" w:rsidRPr="004045D8" w:rsidRDefault="00A71868" w:rsidP="004045D8">
      <w:pPr>
        <w:pStyle w:val="Ttulo3"/>
        <w:spacing w:after="240"/>
        <w:rPr>
          <w:rFonts w:ascii="Arial Negrito" w:hAnsi="Arial Negrito"/>
          <w:b w:val="0"/>
          <w:bCs/>
        </w:rPr>
      </w:pPr>
      <w:bookmarkStart w:id="227" w:name="_Toc418758223"/>
      <w:bookmarkStart w:id="228" w:name="_Toc418758825"/>
      <w:bookmarkStart w:id="229" w:name="_Toc419813585"/>
      <w:r w:rsidRPr="004045D8">
        <w:rPr>
          <w:rFonts w:ascii="Arial Negrito" w:hAnsi="Arial Negrito"/>
          <w:b w:val="0"/>
          <w:bCs/>
        </w:rPr>
        <w:t>1.3.1.</w:t>
      </w:r>
      <w:r w:rsidR="00973BCF" w:rsidRPr="004045D8">
        <w:rPr>
          <w:rFonts w:ascii="Arial Negrito" w:hAnsi="Arial Negrito"/>
          <w:b w:val="0"/>
          <w:bCs/>
        </w:rPr>
        <w:t>1</w:t>
      </w:r>
      <w:r w:rsidR="008C5DE8" w:rsidRPr="004045D8">
        <w:rPr>
          <w:rFonts w:ascii="Arial Negrito" w:hAnsi="Arial Negrito"/>
          <w:b w:val="0"/>
          <w:bCs/>
        </w:rPr>
        <w:t>4</w:t>
      </w:r>
      <w:r w:rsidR="00973BCF" w:rsidRPr="004045D8">
        <w:rPr>
          <w:rFonts w:ascii="Arial Negrito" w:hAnsi="Arial Negrito"/>
          <w:b w:val="0"/>
          <w:bCs/>
        </w:rPr>
        <w:t>. Instala</w:t>
      </w:r>
      <w:r w:rsidR="00973BCF" w:rsidRPr="004045D8">
        <w:rPr>
          <w:rFonts w:ascii="Arial Negrito" w:hAnsi="Arial Negrito" w:hint="eastAsia"/>
          <w:b w:val="0"/>
          <w:bCs/>
        </w:rPr>
        <w:t>çã</w:t>
      </w:r>
      <w:r w:rsidR="00973BCF" w:rsidRPr="004045D8">
        <w:rPr>
          <w:rFonts w:ascii="Arial Negrito" w:hAnsi="Arial Negrito"/>
          <w:b w:val="0"/>
          <w:bCs/>
        </w:rPr>
        <w:t>o/Acelera</w:t>
      </w:r>
      <w:r w:rsidR="00973BCF" w:rsidRPr="004045D8">
        <w:rPr>
          <w:rFonts w:ascii="Arial Negrito" w:hAnsi="Arial Negrito" w:hint="eastAsia"/>
          <w:b w:val="0"/>
          <w:bCs/>
        </w:rPr>
        <w:t>çã</w:t>
      </w:r>
      <w:r w:rsidR="00973BCF" w:rsidRPr="004045D8">
        <w:rPr>
          <w:rFonts w:ascii="Arial Negrito" w:hAnsi="Arial Negrito"/>
          <w:b w:val="0"/>
          <w:bCs/>
        </w:rPr>
        <w:t xml:space="preserve">o de Processos Erosivos Junto </w:t>
      </w:r>
      <w:r w:rsidR="00973BCF" w:rsidRPr="004045D8">
        <w:rPr>
          <w:rFonts w:ascii="Arial Negrito" w:hAnsi="Arial Negrito" w:hint="eastAsia"/>
          <w:b w:val="0"/>
          <w:bCs/>
        </w:rPr>
        <w:t>à</w:t>
      </w:r>
      <w:r w:rsidR="00973BCF" w:rsidRPr="004045D8">
        <w:rPr>
          <w:rFonts w:ascii="Arial Negrito" w:hAnsi="Arial Negrito"/>
          <w:b w:val="0"/>
          <w:bCs/>
        </w:rPr>
        <w:t>s Obras</w:t>
      </w:r>
      <w:bookmarkEnd w:id="227"/>
      <w:bookmarkEnd w:id="228"/>
      <w:bookmarkEnd w:id="229"/>
    </w:p>
    <w:p w:rsidR="00A73873" w:rsidRPr="00DD4EE8" w:rsidRDefault="00A73873" w:rsidP="00A73873">
      <w:pPr>
        <w:autoSpaceDE w:val="0"/>
        <w:autoSpaceDN w:val="0"/>
        <w:adjustRightInd w:val="0"/>
        <w:spacing w:before="120" w:after="120" w:line="240" w:lineRule="auto"/>
        <w:rPr>
          <w:rFonts w:cs="Arial"/>
          <w:b/>
          <w:szCs w:val="22"/>
        </w:rPr>
      </w:pPr>
      <w:r w:rsidRPr="00DD4EE8">
        <w:rPr>
          <w:rFonts w:cs="Arial"/>
          <w:b/>
          <w:szCs w:val="22"/>
        </w:rPr>
        <w:t xml:space="preserve">Fase: Implantação </w:t>
      </w:r>
    </w:p>
    <w:p w:rsidR="00A73873" w:rsidRDefault="00A73873" w:rsidP="00A73873">
      <w:pPr>
        <w:tabs>
          <w:tab w:val="left" w:pos="1134"/>
        </w:tabs>
        <w:spacing w:before="120" w:after="120" w:line="240" w:lineRule="auto"/>
        <w:rPr>
          <w:rFonts w:cs="Arial"/>
          <w:szCs w:val="22"/>
        </w:rPr>
      </w:pPr>
      <w:r w:rsidRPr="00F26EC1">
        <w:t>A</w:t>
      </w:r>
      <w:r>
        <w:t xml:space="preserve"> instalação e/ou a aceleração dos processos erosivos junto às Obras de Barragens é um impacto inerente ao tipo de obra a ser executada, mas podem ser tomadas medidas preventivas e corretivas para minimizar os efeitos da construção nos locais onde precisarão ser feitas escavações e outros movimentos de terra ou rocha com a utilização de remoção de vegetação e terraplenagem. Ações, estas, que devido a alteração na forma, na constituição dos terrenos e na exposição das camadas com maior suscetibilidade a erosão, favorecem a intensificação dos processos de carregamentos de matérias pelas águas pluviais nas encostas afetadas pelas obras. Esses processos podem causas o </w:t>
      </w:r>
      <w:r w:rsidRPr="005852C5">
        <w:rPr>
          <w:rFonts w:cs="Arial"/>
          <w:szCs w:val="22"/>
        </w:rPr>
        <w:t>assoreamento de canais fluviais próximos, aumento do grau de turbidez e da carga dos rios, alterando temporariamente a qualidade da água.</w:t>
      </w:r>
    </w:p>
    <w:p w:rsidR="00A73873" w:rsidRDefault="00A73873" w:rsidP="00A73873">
      <w:pPr>
        <w:tabs>
          <w:tab w:val="left" w:pos="1134"/>
        </w:tabs>
        <w:spacing w:before="120" w:after="120" w:line="240" w:lineRule="auto"/>
        <w:rPr>
          <w:rFonts w:cs="Arial"/>
          <w:szCs w:val="22"/>
        </w:rPr>
      </w:pPr>
      <w:r w:rsidRPr="005852C5">
        <w:rPr>
          <w:rFonts w:cs="Arial"/>
          <w:szCs w:val="22"/>
        </w:rPr>
        <w:t xml:space="preserve">As principais atividades impactantes que desencadeiam os processos erosivos são: desmatamento e limpeza das áreas afetadas pelas obras e pelo reservatório, abertura de acessos e de áreas de apoio, implantação de canteiro de obras, </w:t>
      </w:r>
      <w:r>
        <w:rPr>
          <w:rFonts w:cs="Arial"/>
          <w:szCs w:val="22"/>
        </w:rPr>
        <w:t>realocação e ampliação da infra</w:t>
      </w:r>
      <w:r w:rsidRPr="005852C5">
        <w:rPr>
          <w:rFonts w:cs="Arial"/>
          <w:szCs w:val="22"/>
        </w:rPr>
        <w:t xml:space="preserve">estrutura existente; </w:t>
      </w:r>
      <w:r w:rsidRPr="00FF252F">
        <w:rPr>
          <w:rFonts w:cs="Arial"/>
          <w:szCs w:val="22"/>
        </w:rPr>
        <w:t>escavação e implantação de enrocamentos e aterros para obras de engenharia; implantação e operação de áreas de empréstimo de solo e rocha e de depósitos de bota-fora.</w:t>
      </w:r>
    </w:p>
    <w:p w:rsidR="00166326" w:rsidRPr="00A7101A" w:rsidRDefault="00166326" w:rsidP="00166326">
      <w:pPr>
        <w:tabs>
          <w:tab w:val="left" w:pos="1134"/>
        </w:tabs>
        <w:spacing w:before="120" w:after="120" w:line="240" w:lineRule="auto"/>
        <w:rPr>
          <w:rFonts w:cs="Arial"/>
          <w:szCs w:val="22"/>
        </w:rPr>
      </w:pPr>
      <w:r w:rsidRPr="009F2D05">
        <w:rPr>
          <w:rFonts w:cs="Arial"/>
          <w:szCs w:val="22"/>
        </w:rPr>
        <w:t>As áreas de empréstimo e de bota-fora, necessárias para a construção das Barragens Pedreira e Duas Pontes, estarão localizadas a montante das barragens em áreas que, mais tarde,</w:t>
      </w:r>
      <w:r>
        <w:rPr>
          <w:rFonts w:cs="Arial"/>
          <w:szCs w:val="22"/>
        </w:rPr>
        <w:t xml:space="preserve"> </w:t>
      </w:r>
      <w:r w:rsidRPr="009F2D05">
        <w:rPr>
          <w:rFonts w:cs="Arial"/>
          <w:szCs w:val="22"/>
        </w:rPr>
        <w:t>serão ocupadas pela formação do reservatório, possuindo uma extensão da ordem de 56 ha e 59 ha respectivamente.</w:t>
      </w:r>
      <w:r>
        <w:rPr>
          <w:rFonts w:cs="Arial"/>
          <w:szCs w:val="22"/>
        </w:rPr>
        <w:t xml:space="preserve"> </w:t>
      </w:r>
      <w:r w:rsidRPr="00A7101A">
        <w:rPr>
          <w:rFonts w:cs="Arial"/>
          <w:szCs w:val="22"/>
        </w:rPr>
        <w:t>Deverão ser tomadas medidas de controle da erosão durante as obras, mas, como essas áreas ficarão dentro do reservatório não requererão ações de recuperação de áreas degradadas.</w:t>
      </w:r>
    </w:p>
    <w:p w:rsidR="00A73873" w:rsidRDefault="00A73873" w:rsidP="00A73873">
      <w:pPr>
        <w:tabs>
          <w:tab w:val="left" w:pos="1134"/>
        </w:tabs>
        <w:spacing w:before="120" w:after="120" w:line="240" w:lineRule="auto"/>
        <w:rPr>
          <w:rFonts w:cs="Arial"/>
          <w:szCs w:val="22"/>
        </w:rPr>
      </w:pPr>
      <w:r w:rsidRPr="00FF252F">
        <w:rPr>
          <w:rFonts w:cs="Arial"/>
          <w:szCs w:val="22"/>
        </w:rPr>
        <w:t xml:space="preserve">Os canteiros de obra estão localizados </w:t>
      </w:r>
      <w:r w:rsidR="00FF252F" w:rsidRPr="00FF252F">
        <w:rPr>
          <w:rFonts w:cs="Arial"/>
          <w:szCs w:val="22"/>
        </w:rPr>
        <w:t>em área próxima à obra.</w:t>
      </w:r>
      <w:r w:rsidRPr="00FF252F">
        <w:rPr>
          <w:rFonts w:cs="Arial"/>
          <w:szCs w:val="22"/>
        </w:rPr>
        <w:t xml:space="preserve"> Nestas áreas o planejamento</w:t>
      </w:r>
      <w:r w:rsidRPr="001E2467">
        <w:rPr>
          <w:rFonts w:cs="Arial"/>
          <w:szCs w:val="22"/>
        </w:rPr>
        <w:t xml:space="preserve"> das obras deverá ser adaptado a um controle mais efetivo da erosão e posterior recuperação de áreas degradadas.</w:t>
      </w:r>
      <w:r>
        <w:rPr>
          <w:rFonts w:cs="Arial"/>
          <w:szCs w:val="22"/>
        </w:rPr>
        <w:t xml:space="preserve"> </w:t>
      </w:r>
    </w:p>
    <w:p w:rsidR="00A73873" w:rsidRDefault="00A73873" w:rsidP="00A73873">
      <w:pPr>
        <w:autoSpaceDE w:val="0"/>
        <w:autoSpaceDN w:val="0"/>
        <w:adjustRightInd w:val="0"/>
        <w:spacing w:before="120" w:after="120" w:line="240" w:lineRule="auto"/>
        <w:rPr>
          <w:rFonts w:cs="Arial"/>
          <w:szCs w:val="22"/>
        </w:rPr>
      </w:pPr>
      <w:r>
        <w:rPr>
          <w:rFonts w:cs="Arial"/>
          <w:szCs w:val="22"/>
        </w:rPr>
        <w:t xml:space="preserve">Esse impacto foi avaliado como negativo, de abrangência local e duração temporária por ocorrer junto às obras durante o processo de construção das Barragens Pedreira e Duas Pontes. É um impacto de ocorrência certa, em curto prazo, mas pode ser minimizado pela implantação de medidas preventivas e revertido mediante a execução dos trabalhos de </w:t>
      </w:r>
      <w:r>
        <w:rPr>
          <w:rFonts w:cs="Arial"/>
          <w:szCs w:val="22"/>
        </w:rPr>
        <w:lastRenderedPageBreak/>
        <w:t xml:space="preserve">recuperação de áreas degradadas. </w:t>
      </w:r>
      <w:r w:rsidR="005E3672">
        <w:rPr>
          <w:rFonts w:cs="Arial"/>
          <w:szCs w:val="22"/>
        </w:rPr>
        <w:t>O impacto p</w:t>
      </w:r>
      <w:r>
        <w:rPr>
          <w:rFonts w:cs="Arial"/>
          <w:szCs w:val="22"/>
        </w:rPr>
        <w:t xml:space="preserve">ode ser considerado </w:t>
      </w:r>
      <w:r w:rsidRPr="006B10D9">
        <w:rPr>
          <w:rFonts w:cs="Arial"/>
          <w:szCs w:val="22"/>
        </w:rPr>
        <w:t xml:space="preserve">de magnitude </w:t>
      </w:r>
      <w:r w:rsidR="006B10D9" w:rsidRPr="006B10D9">
        <w:rPr>
          <w:rFonts w:cs="Arial"/>
          <w:szCs w:val="22"/>
        </w:rPr>
        <w:t>pequena</w:t>
      </w:r>
      <w:r>
        <w:rPr>
          <w:rFonts w:cs="Arial"/>
          <w:szCs w:val="22"/>
        </w:rPr>
        <w:t xml:space="preserve"> e importância baixa, para </w:t>
      </w:r>
      <w:r w:rsidRPr="006B10D9">
        <w:rPr>
          <w:rFonts w:cs="Arial"/>
          <w:szCs w:val="22"/>
        </w:rPr>
        <w:t>os dois empreendimentos.</w:t>
      </w:r>
    </w:p>
    <w:p w:rsidR="00A73873" w:rsidRPr="00601292" w:rsidRDefault="008D3A12" w:rsidP="00601292">
      <w:pPr>
        <w:pStyle w:val="Legenda"/>
        <w:spacing w:line="240" w:lineRule="auto"/>
        <w:jc w:val="center"/>
        <w:rPr>
          <w:rFonts w:eastAsia="Calibri" w:cs="Arial"/>
          <w:b w:val="0"/>
          <w:i w:val="0"/>
          <w:szCs w:val="22"/>
          <w:lang w:eastAsia="en-US"/>
        </w:rPr>
      </w:pPr>
      <w:bookmarkStart w:id="230" w:name="_Toc420316468"/>
      <w:r w:rsidRPr="00601292">
        <w:rPr>
          <w:i w:val="0"/>
        </w:rPr>
        <w:t xml:space="preserve">Quadro </w:t>
      </w:r>
      <w:r w:rsidR="00B80A05" w:rsidRPr="00601292">
        <w:rPr>
          <w:i w:val="0"/>
        </w:rPr>
        <w:fldChar w:fldCharType="begin"/>
      </w:r>
      <w:r w:rsidR="00402E81" w:rsidRPr="00601292">
        <w:rPr>
          <w:i w:val="0"/>
        </w:rPr>
        <w:instrText xml:space="preserve"> STYLEREF 2 \s </w:instrText>
      </w:r>
      <w:r w:rsidR="00B80A05" w:rsidRPr="00601292">
        <w:rPr>
          <w:i w:val="0"/>
        </w:rPr>
        <w:fldChar w:fldCharType="separate"/>
      </w:r>
      <w:r w:rsidR="00316060">
        <w:rPr>
          <w:i w:val="0"/>
          <w:noProof/>
        </w:rPr>
        <w:t>1.3</w:t>
      </w:r>
      <w:r w:rsidR="00B80A05" w:rsidRPr="00601292">
        <w:rPr>
          <w:i w:val="0"/>
        </w:rPr>
        <w:fldChar w:fldCharType="end"/>
      </w:r>
      <w:r w:rsidR="00402E81" w:rsidRPr="00601292">
        <w:rPr>
          <w:i w:val="0"/>
        </w:rPr>
        <w:t>.</w:t>
      </w:r>
      <w:r w:rsidR="00B80A05" w:rsidRPr="00601292">
        <w:rPr>
          <w:i w:val="0"/>
        </w:rPr>
        <w:fldChar w:fldCharType="begin"/>
      </w:r>
      <w:r w:rsidR="00402E81" w:rsidRPr="00601292">
        <w:rPr>
          <w:i w:val="0"/>
        </w:rPr>
        <w:instrText xml:space="preserve"> SEQ Quadro \* ARABIC \s 2 </w:instrText>
      </w:r>
      <w:r w:rsidR="00B80A05" w:rsidRPr="00601292">
        <w:rPr>
          <w:i w:val="0"/>
        </w:rPr>
        <w:fldChar w:fldCharType="separate"/>
      </w:r>
      <w:r w:rsidR="00316060">
        <w:rPr>
          <w:i w:val="0"/>
          <w:noProof/>
        </w:rPr>
        <w:t>25</w:t>
      </w:r>
      <w:r w:rsidR="00B80A05" w:rsidRPr="00601292">
        <w:rPr>
          <w:i w:val="0"/>
        </w:rPr>
        <w:fldChar w:fldCharType="end"/>
      </w:r>
      <w:r w:rsidR="00601292" w:rsidRPr="00601292">
        <w:rPr>
          <w:i w:val="0"/>
        </w:rPr>
        <w:t>.</w:t>
      </w:r>
      <w:r w:rsidR="00601292" w:rsidRPr="00601292">
        <w:rPr>
          <w:b w:val="0"/>
          <w:i w:val="0"/>
        </w:rPr>
        <w:t xml:space="preserve"> - </w:t>
      </w:r>
      <w:r w:rsidR="00A73873" w:rsidRPr="00601292">
        <w:rPr>
          <w:rFonts w:eastAsia="Calibri" w:cs="Arial"/>
          <w:b w:val="0"/>
          <w:i w:val="0"/>
          <w:szCs w:val="22"/>
          <w:lang w:eastAsia="en-US"/>
        </w:rPr>
        <w:t>Caracterização do Impacto - Instalação/Aceleração de Proc</w:t>
      </w:r>
      <w:r w:rsidR="004334F5" w:rsidRPr="00601292">
        <w:rPr>
          <w:rFonts w:eastAsia="Calibri" w:cs="Arial"/>
          <w:b w:val="0"/>
          <w:i w:val="0"/>
          <w:szCs w:val="22"/>
          <w:lang w:eastAsia="en-US"/>
        </w:rPr>
        <w:t xml:space="preserve">essos Erosivos Junto às Obras </w:t>
      </w:r>
      <w:r w:rsidR="00A73873" w:rsidRPr="00601292">
        <w:rPr>
          <w:rFonts w:eastAsia="Calibri" w:cs="Arial"/>
          <w:b w:val="0"/>
          <w:i w:val="0"/>
          <w:szCs w:val="22"/>
          <w:lang w:eastAsia="en-US"/>
        </w:rPr>
        <w:t>Barrage</w:t>
      </w:r>
      <w:r w:rsidR="005E3672" w:rsidRPr="00601292">
        <w:rPr>
          <w:rFonts w:eastAsia="Calibri" w:cs="Arial"/>
          <w:b w:val="0"/>
          <w:i w:val="0"/>
          <w:szCs w:val="22"/>
          <w:lang w:eastAsia="en-US"/>
        </w:rPr>
        <w:t>ns</w:t>
      </w:r>
      <w:r w:rsidR="00A73873" w:rsidRPr="00601292">
        <w:rPr>
          <w:rFonts w:eastAsia="Calibri" w:cs="Arial"/>
          <w:b w:val="0"/>
          <w:i w:val="0"/>
          <w:szCs w:val="22"/>
          <w:lang w:eastAsia="en-US"/>
        </w:rPr>
        <w:t xml:space="preserve"> Pedreira </w:t>
      </w:r>
      <w:r w:rsidR="006B10D9" w:rsidRPr="00601292">
        <w:rPr>
          <w:rFonts w:eastAsia="Calibri" w:cs="Arial"/>
          <w:b w:val="0"/>
          <w:i w:val="0"/>
          <w:szCs w:val="22"/>
          <w:lang w:eastAsia="en-US"/>
        </w:rPr>
        <w:t>e Duas Pontes</w:t>
      </w:r>
      <w:bookmarkEnd w:id="230"/>
    </w:p>
    <w:tbl>
      <w:tblPr>
        <w:tblW w:w="0" w:type="auto"/>
        <w:jc w:val="center"/>
        <w:tblInd w:w="1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1"/>
        <w:gridCol w:w="1212"/>
        <w:gridCol w:w="1779"/>
        <w:gridCol w:w="1623"/>
        <w:gridCol w:w="2987"/>
      </w:tblGrid>
      <w:tr w:rsidR="00A73873" w:rsidRPr="00DD4EE8" w:rsidTr="00166326">
        <w:trPr>
          <w:trHeight w:val="536"/>
          <w:jc w:val="center"/>
        </w:trPr>
        <w:tc>
          <w:tcPr>
            <w:tcW w:w="1211" w:type="dxa"/>
            <w:shd w:val="clear" w:color="auto" w:fill="D9D9D9"/>
            <w:vAlign w:val="center"/>
          </w:tcPr>
          <w:p w:rsidR="00A73873" w:rsidRPr="00DD4EE8" w:rsidRDefault="00A73873" w:rsidP="00166326">
            <w:pPr>
              <w:autoSpaceDE w:val="0"/>
              <w:autoSpaceDN w:val="0"/>
              <w:adjustRightInd w:val="0"/>
              <w:spacing w:line="240" w:lineRule="auto"/>
              <w:jc w:val="center"/>
              <w:rPr>
                <w:rFonts w:cs="Arial"/>
                <w:b/>
                <w:sz w:val="20"/>
              </w:rPr>
            </w:pPr>
            <w:r w:rsidRPr="00DD4EE8">
              <w:rPr>
                <w:rFonts w:cs="Arial"/>
                <w:b/>
                <w:sz w:val="20"/>
              </w:rPr>
              <w:t>Natureza</w:t>
            </w:r>
          </w:p>
        </w:tc>
        <w:tc>
          <w:tcPr>
            <w:tcW w:w="1212" w:type="dxa"/>
            <w:shd w:val="clear" w:color="auto" w:fill="D9D9D9"/>
            <w:vAlign w:val="center"/>
          </w:tcPr>
          <w:p w:rsidR="00A73873" w:rsidRPr="00DD4EE8" w:rsidRDefault="00A73873" w:rsidP="00166326">
            <w:pPr>
              <w:autoSpaceDE w:val="0"/>
              <w:autoSpaceDN w:val="0"/>
              <w:adjustRightInd w:val="0"/>
              <w:spacing w:line="240" w:lineRule="auto"/>
              <w:jc w:val="center"/>
              <w:rPr>
                <w:rFonts w:cs="Arial"/>
                <w:b/>
                <w:sz w:val="20"/>
              </w:rPr>
            </w:pPr>
            <w:r w:rsidRPr="00DD4EE8">
              <w:rPr>
                <w:rFonts w:cs="Arial"/>
                <w:b/>
                <w:sz w:val="20"/>
              </w:rPr>
              <w:t>Ordem</w:t>
            </w:r>
          </w:p>
        </w:tc>
        <w:tc>
          <w:tcPr>
            <w:tcW w:w="1779" w:type="dxa"/>
            <w:shd w:val="clear" w:color="auto" w:fill="D9D9D9"/>
            <w:vAlign w:val="center"/>
          </w:tcPr>
          <w:p w:rsidR="00A73873" w:rsidRPr="00DD4EE8" w:rsidRDefault="00A73873" w:rsidP="00166326">
            <w:pPr>
              <w:autoSpaceDE w:val="0"/>
              <w:autoSpaceDN w:val="0"/>
              <w:adjustRightInd w:val="0"/>
              <w:spacing w:line="240" w:lineRule="auto"/>
              <w:jc w:val="center"/>
              <w:rPr>
                <w:rFonts w:cs="Arial"/>
                <w:b/>
                <w:sz w:val="20"/>
              </w:rPr>
            </w:pPr>
            <w:r w:rsidRPr="00DD4EE8">
              <w:rPr>
                <w:rFonts w:cs="Arial"/>
                <w:b/>
                <w:sz w:val="20"/>
              </w:rPr>
              <w:t>Abrangência</w:t>
            </w:r>
          </w:p>
        </w:tc>
        <w:tc>
          <w:tcPr>
            <w:tcW w:w="1623" w:type="dxa"/>
            <w:shd w:val="clear" w:color="auto" w:fill="D9D9D9"/>
            <w:vAlign w:val="center"/>
          </w:tcPr>
          <w:p w:rsidR="00A73873" w:rsidRPr="00DD4EE8" w:rsidRDefault="00A73873" w:rsidP="00166326">
            <w:pPr>
              <w:autoSpaceDE w:val="0"/>
              <w:autoSpaceDN w:val="0"/>
              <w:adjustRightInd w:val="0"/>
              <w:spacing w:line="240" w:lineRule="auto"/>
              <w:jc w:val="center"/>
              <w:rPr>
                <w:rFonts w:cs="Arial"/>
                <w:b/>
                <w:sz w:val="20"/>
              </w:rPr>
            </w:pPr>
            <w:r w:rsidRPr="00DD4EE8">
              <w:rPr>
                <w:rFonts w:cs="Arial"/>
                <w:b/>
                <w:sz w:val="20"/>
              </w:rPr>
              <w:t>Duração</w:t>
            </w:r>
          </w:p>
        </w:tc>
        <w:tc>
          <w:tcPr>
            <w:tcW w:w="2987" w:type="dxa"/>
            <w:shd w:val="clear" w:color="auto" w:fill="D9D9D9"/>
            <w:vAlign w:val="center"/>
          </w:tcPr>
          <w:p w:rsidR="00A73873" w:rsidRPr="00DD4EE8" w:rsidRDefault="00A73873" w:rsidP="00166326">
            <w:pPr>
              <w:autoSpaceDE w:val="0"/>
              <w:autoSpaceDN w:val="0"/>
              <w:adjustRightInd w:val="0"/>
              <w:spacing w:line="240" w:lineRule="auto"/>
              <w:jc w:val="center"/>
              <w:rPr>
                <w:rFonts w:cs="Arial"/>
                <w:b/>
                <w:sz w:val="20"/>
              </w:rPr>
            </w:pPr>
            <w:r w:rsidRPr="00DD4EE8">
              <w:rPr>
                <w:rFonts w:cs="Arial"/>
                <w:b/>
                <w:sz w:val="20"/>
              </w:rPr>
              <w:t>Probabilidade de Ocorrência</w:t>
            </w:r>
          </w:p>
        </w:tc>
      </w:tr>
      <w:tr w:rsidR="00A73873" w:rsidRPr="00DD4EE8" w:rsidTr="00166326">
        <w:trPr>
          <w:trHeight w:val="558"/>
          <w:jc w:val="center"/>
        </w:trPr>
        <w:tc>
          <w:tcPr>
            <w:tcW w:w="1211" w:type="dxa"/>
            <w:shd w:val="clear" w:color="auto" w:fill="auto"/>
            <w:vAlign w:val="center"/>
          </w:tcPr>
          <w:p w:rsidR="00A73873" w:rsidRPr="00DD4EE8" w:rsidRDefault="00A73873" w:rsidP="0024037F">
            <w:pPr>
              <w:autoSpaceDE w:val="0"/>
              <w:autoSpaceDN w:val="0"/>
              <w:adjustRightInd w:val="0"/>
              <w:spacing w:before="120" w:after="120" w:line="240" w:lineRule="auto"/>
              <w:jc w:val="center"/>
              <w:rPr>
                <w:rFonts w:cs="Arial"/>
                <w:sz w:val="20"/>
              </w:rPr>
            </w:pPr>
            <w:r w:rsidRPr="00DD4EE8">
              <w:rPr>
                <w:rFonts w:cs="Arial"/>
                <w:sz w:val="20"/>
              </w:rPr>
              <w:t>Negativa</w:t>
            </w:r>
          </w:p>
        </w:tc>
        <w:tc>
          <w:tcPr>
            <w:tcW w:w="1212" w:type="dxa"/>
            <w:shd w:val="clear" w:color="auto" w:fill="auto"/>
            <w:vAlign w:val="center"/>
          </w:tcPr>
          <w:p w:rsidR="00A73873" w:rsidRPr="00DD4EE8" w:rsidRDefault="00A73873" w:rsidP="0024037F">
            <w:pPr>
              <w:autoSpaceDE w:val="0"/>
              <w:autoSpaceDN w:val="0"/>
              <w:adjustRightInd w:val="0"/>
              <w:spacing w:before="120" w:after="120" w:line="240" w:lineRule="auto"/>
              <w:jc w:val="center"/>
              <w:rPr>
                <w:rFonts w:cs="Arial"/>
                <w:sz w:val="20"/>
              </w:rPr>
            </w:pPr>
            <w:r w:rsidRPr="00DD4EE8">
              <w:rPr>
                <w:rFonts w:cs="Arial"/>
                <w:sz w:val="20"/>
              </w:rPr>
              <w:t>Direta</w:t>
            </w:r>
          </w:p>
        </w:tc>
        <w:tc>
          <w:tcPr>
            <w:tcW w:w="1779" w:type="dxa"/>
            <w:shd w:val="clear" w:color="auto" w:fill="auto"/>
            <w:vAlign w:val="center"/>
          </w:tcPr>
          <w:p w:rsidR="00A73873" w:rsidRPr="00DD4EE8" w:rsidRDefault="00A73873" w:rsidP="0024037F">
            <w:pPr>
              <w:autoSpaceDE w:val="0"/>
              <w:autoSpaceDN w:val="0"/>
              <w:adjustRightInd w:val="0"/>
              <w:spacing w:before="120" w:after="120" w:line="240" w:lineRule="auto"/>
              <w:jc w:val="center"/>
              <w:rPr>
                <w:rFonts w:cs="Arial"/>
                <w:sz w:val="20"/>
              </w:rPr>
            </w:pPr>
            <w:r w:rsidRPr="00DD4EE8">
              <w:rPr>
                <w:rFonts w:cs="Arial"/>
                <w:sz w:val="20"/>
              </w:rPr>
              <w:t>Local</w:t>
            </w:r>
          </w:p>
        </w:tc>
        <w:tc>
          <w:tcPr>
            <w:tcW w:w="1623" w:type="dxa"/>
            <w:shd w:val="clear" w:color="auto" w:fill="auto"/>
            <w:vAlign w:val="center"/>
          </w:tcPr>
          <w:p w:rsidR="00A73873" w:rsidRPr="00DD4EE8" w:rsidRDefault="00A73873" w:rsidP="0024037F">
            <w:pPr>
              <w:autoSpaceDE w:val="0"/>
              <w:autoSpaceDN w:val="0"/>
              <w:adjustRightInd w:val="0"/>
              <w:spacing w:before="120" w:after="120" w:line="240" w:lineRule="auto"/>
              <w:jc w:val="center"/>
              <w:rPr>
                <w:rFonts w:cs="Arial"/>
                <w:sz w:val="20"/>
              </w:rPr>
            </w:pPr>
            <w:r w:rsidRPr="00DD4EE8">
              <w:rPr>
                <w:rFonts w:cs="Arial"/>
                <w:sz w:val="20"/>
              </w:rPr>
              <w:t>Temporária</w:t>
            </w:r>
          </w:p>
        </w:tc>
        <w:tc>
          <w:tcPr>
            <w:tcW w:w="2987" w:type="dxa"/>
            <w:shd w:val="clear" w:color="auto" w:fill="auto"/>
            <w:vAlign w:val="center"/>
          </w:tcPr>
          <w:p w:rsidR="00A73873" w:rsidRPr="00DD4EE8" w:rsidRDefault="00A73873" w:rsidP="0024037F">
            <w:pPr>
              <w:autoSpaceDE w:val="0"/>
              <w:autoSpaceDN w:val="0"/>
              <w:adjustRightInd w:val="0"/>
              <w:spacing w:before="120" w:after="120" w:line="240" w:lineRule="auto"/>
              <w:jc w:val="center"/>
              <w:rPr>
                <w:rFonts w:cs="Arial"/>
                <w:sz w:val="20"/>
              </w:rPr>
            </w:pPr>
            <w:r w:rsidRPr="00DD4EE8">
              <w:rPr>
                <w:rFonts w:cs="Arial"/>
                <w:sz w:val="20"/>
              </w:rPr>
              <w:t>Certa</w:t>
            </w:r>
          </w:p>
        </w:tc>
      </w:tr>
    </w:tbl>
    <w:p w:rsidR="00A73873" w:rsidRPr="00DD4EE8" w:rsidRDefault="00A73873" w:rsidP="006B10D9">
      <w:pPr>
        <w:autoSpaceDE w:val="0"/>
        <w:autoSpaceDN w:val="0"/>
        <w:adjustRightInd w:val="0"/>
        <w:spacing w:line="240" w:lineRule="auto"/>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4"/>
        <w:gridCol w:w="1701"/>
        <w:gridCol w:w="1701"/>
        <w:gridCol w:w="1499"/>
        <w:gridCol w:w="1500"/>
      </w:tblGrid>
      <w:tr w:rsidR="00A73873" w:rsidRPr="00DD4EE8" w:rsidTr="00166326">
        <w:trPr>
          <w:trHeight w:val="584"/>
          <w:jc w:val="center"/>
        </w:trPr>
        <w:tc>
          <w:tcPr>
            <w:tcW w:w="2434" w:type="dxa"/>
            <w:shd w:val="clear" w:color="auto" w:fill="D9D9D9"/>
            <w:vAlign w:val="center"/>
          </w:tcPr>
          <w:p w:rsidR="00A73873" w:rsidRPr="00DD4EE8" w:rsidRDefault="00A73873" w:rsidP="006B10D9">
            <w:pPr>
              <w:autoSpaceDE w:val="0"/>
              <w:autoSpaceDN w:val="0"/>
              <w:adjustRightInd w:val="0"/>
              <w:spacing w:line="240" w:lineRule="auto"/>
              <w:jc w:val="center"/>
              <w:rPr>
                <w:rFonts w:cs="Arial"/>
                <w:b/>
                <w:sz w:val="20"/>
              </w:rPr>
            </w:pPr>
            <w:r w:rsidRPr="00DD4EE8">
              <w:rPr>
                <w:rFonts w:cs="Arial"/>
                <w:b/>
                <w:sz w:val="20"/>
              </w:rPr>
              <w:t>Época de Ocorrência</w:t>
            </w:r>
          </w:p>
        </w:tc>
        <w:tc>
          <w:tcPr>
            <w:tcW w:w="1701" w:type="dxa"/>
            <w:shd w:val="clear" w:color="auto" w:fill="D9D9D9"/>
            <w:vAlign w:val="center"/>
          </w:tcPr>
          <w:p w:rsidR="00A73873" w:rsidRPr="00DD4EE8" w:rsidRDefault="00A73873" w:rsidP="006B10D9">
            <w:pPr>
              <w:autoSpaceDE w:val="0"/>
              <w:autoSpaceDN w:val="0"/>
              <w:adjustRightInd w:val="0"/>
              <w:spacing w:line="240" w:lineRule="auto"/>
              <w:jc w:val="center"/>
              <w:rPr>
                <w:rFonts w:cs="Arial"/>
                <w:b/>
                <w:sz w:val="20"/>
              </w:rPr>
            </w:pPr>
            <w:r w:rsidRPr="00DD4EE8">
              <w:rPr>
                <w:rFonts w:cs="Arial"/>
                <w:b/>
                <w:sz w:val="20"/>
              </w:rPr>
              <w:t>Reversibilidade</w:t>
            </w:r>
          </w:p>
        </w:tc>
        <w:tc>
          <w:tcPr>
            <w:tcW w:w="1701" w:type="dxa"/>
            <w:shd w:val="clear" w:color="auto" w:fill="D9D9D9"/>
            <w:vAlign w:val="center"/>
          </w:tcPr>
          <w:p w:rsidR="00A73873" w:rsidRPr="00DD4EE8" w:rsidRDefault="00A73873" w:rsidP="006B10D9">
            <w:pPr>
              <w:autoSpaceDE w:val="0"/>
              <w:autoSpaceDN w:val="0"/>
              <w:adjustRightInd w:val="0"/>
              <w:spacing w:line="240" w:lineRule="auto"/>
              <w:jc w:val="center"/>
              <w:rPr>
                <w:rFonts w:cs="Arial"/>
                <w:b/>
                <w:sz w:val="20"/>
              </w:rPr>
            </w:pPr>
            <w:r w:rsidRPr="00DD4EE8">
              <w:rPr>
                <w:rFonts w:cs="Arial"/>
                <w:b/>
                <w:sz w:val="20"/>
              </w:rPr>
              <w:t>Magnitude</w:t>
            </w:r>
          </w:p>
        </w:tc>
        <w:tc>
          <w:tcPr>
            <w:tcW w:w="1499" w:type="dxa"/>
            <w:shd w:val="clear" w:color="auto" w:fill="D9D9D9"/>
            <w:vAlign w:val="center"/>
          </w:tcPr>
          <w:p w:rsidR="00A73873" w:rsidRPr="00DD4EE8" w:rsidRDefault="00A73873" w:rsidP="006B10D9">
            <w:pPr>
              <w:autoSpaceDE w:val="0"/>
              <w:autoSpaceDN w:val="0"/>
              <w:adjustRightInd w:val="0"/>
              <w:spacing w:line="240" w:lineRule="auto"/>
              <w:jc w:val="center"/>
              <w:rPr>
                <w:rFonts w:cs="Arial"/>
                <w:b/>
                <w:sz w:val="20"/>
              </w:rPr>
            </w:pPr>
            <w:r w:rsidRPr="00DD4EE8">
              <w:rPr>
                <w:rFonts w:cs="Arial"/>
                <w:b/>
                <w:sz w:val="20"/>
              </w:rPr>
              <w:t>Importância</w:t>
            </w:r>
          </w:p>
        </w:tc>
        <w:tc>
          <w:tcPr>
            <w:tcW w:w="1500" w:type="dxa"/>
            <w:shd w:val="clear" w:color="auto" w:fill="D9D9D9"/>
            <w:vAlign w:val="center"/>
          </w:tcPr>
          <w:p w:rsidR="00A73873" w:rsidRPr="00DD4EE8" w:rsidRDefault="00A73873" w:rsidP="006B10D9">
            <w:pPr>
              <w:autoSpaceDE w:val="0"/>
              <w:autoSpaceDN w:val="0"/>
              <w:adjustRightInd w:val="0"/>
              <w:spacing w:line="240" w:lineRule="auto"/>
              <w:jc w:val="center"/>
              <w:rPr>
                <w:rFonts w:cs="Arial"/>
                <w:b/>
                <w:sz w:val="20"/>
              </w:rPr>
            </w:pPr>
            <w:r w:rsidRPr="00DD4EE8">
              <w:rPr>
                <w:rFonts w:cs="Arial"/>
                <w:b/>
                <w:sz w:val="20"/>
              </w:rPr>
              <w:t>Mitigação</w:t>
            </w:r>
          </w:p>
        </w:tc>
      </w:tr>
      <w:tr w:rsidR="00A73873" w:rsidRPr="00DD4EE8" w:rsidTr="00095C28">
        <w:trPr>
          <w:trHeight w:val="344"/>
          <w:jc w:val="center"/>
        </w:trPr>
        <w:tc>
          <w:tcPr>
            <w:tcW w:w="2434" w:type="dxa"/>
            <w:shd w:val="clear" w:color="auto" w:fill="auto"/>
            <w:vAlign w:val="center"/>
          </w:tcPr>
          <w:p w:rsidR="00A73873" w:rsidRPr="00DD4EE8" w:rsidRDefault="00A73873" w:rsidP="0024037F">
            <w:pPr>
              <w:autoSpaceDE w:val="0"/>
              <w:autoSpaceDN w:val="0"/>
              <w:adjustRightInd w:val="0"/>
              <w:spacing w:before="120" w:after="120" w:line="240" w:lineRule="auto"/>
              <w:jc w:val="center"/>
              <w:rPr>
                <w:rFonts w:cs="Arial"/>
                <w:sz w:val="20"/>
              </w:rPr>
            </w:pPr>
            <w:r w:rsidRPr="00DD4EE8">
              <w:rPr>
                <w:rFonts w:cs="Arial"/>
                <w:sz w:val="20"/>
              </w:rPr>
              <w:t>Curto Prazo</w:t>
            </w:r>
          </w:p>
        </w:tc>
        <w:tc>
          <w:tcPr>
            <w:tcW w:w="1701" w:type="dxa"/>
            <w:shd w:val="clear" w:color="auto" w:fill="auto"/>
            <w:vAlign w:val="center"/>
          </w:tcPr>
          <w:p w:rsidR="00A73873" w:rsidRPr="00DD4EE8" w:rsidRDefault="00A73873" w:rsidP="0024037F">
            <w:pPr>
              <w:autoSpaceDE w:val="0"/>
              <w:autoSpaceDN w:val="0"/>
              <w:adjustRightInd w:val="0"/>
              <w:spacing w:before="120" w:after="120" w:line="240" w:lineRule="auto"/>
              <w:jc w:val="center"/>
              <w:rPr>
                <w:rFonts w:cs="Arial"/>
                <w:sz w:val="20"/>
              </w:rPr>
            </w:pPr>
            <w:r w:rsidRPr="00DD4EE8">
              <w:rPr>
                <w:rFonts w:cs="Arial"/>
                <w:sz w:val="20"/>
              </w:rPr>
              <w:t>Reversível</w:t>
            </w:r>
          </w:p>
        </w:tc>
        <w:tc>
          <w:tcPr>
            <w:tcW w:w="1701" w:type="dxa"/>
            <w:shd w:val="clear" w:color="auto" w:fill="auto"/>
            <w:vAlign w:val="center"/>
          </w:tcPr>
          <w:p w:rsidR="00A73873" w:rsidRPr="00DD4EE8" w:rsidRDefault="006B10D9" w:rsidP="0024037F">
            <w:pPr>
              <w:autoSpaceDE w:val="0"/>
              <w:autoSpaceDN w:val="0"/>
              <w:adjustRightInd w:val="0"/>
              <w:spacing w:before="120" w:after="120" w:line="240" w:lineRule="auto"/>
              <w:jc w:val="center"/>
              <w:rPr>
                <w:rFonts w:cs="Arial"/>
                <w:sz w:val="20"/>
              </w:rPr>
            </w:pPr>
            <w:r>
              <w:rPr>
                <w:rFonts w:cs="Arial"/>
                <w:sz w:val="20"/>
              </w:rPr>
              <w:t>Pequena</w:t>
            </w:r>
          </w:p>
        </w:tc>
        <w:tc>
          <w:tcPr>
            <w:tcW w:w="1499" w:type="dxa"/>
            <w:shd w:val="clear" w:color="auto" w:fill="auto"/>
            <w:vAlign w:val="center"/>
          </w:tcPr>
          <w:p w:rsidR="00A73873" w:rsidRPr="00DD4EE8" w:rsidRDefault="00A73873" w:rsidP="0024037F">
            <w:pPr>
              <w:autoSpaceDE w:val="0"/>
              <w:autoSpaceDN w:val="0"/>
              <w:adjustRightInd w:val="0"/>
              <w:spacing w:before="120" w:after="120" w:line="240" w:lineRule="auto"/>
              <w:jc w:val="center"/>
              <w:rPr>
                <w:rFonts w:cs="Arial"/>
                <w:sz w:val="20"/>
              </w:rPr>
            </w:pPr>
            <w:r w:rsidRPr="00DD4EE8">
              <w:rPr>
                <w:rFonts w:cs="Arial"/>
                <w:sz w:val="20"/>
              </w:rPr>
              <w:t>Baixa</w:t>
            </w:r>
          </w:p>
        </w:tc>
        <w:tc>
          <w:tcPr>
            <w:tcW w:w="1500" w:type="dxa"/>
            <w:shd w:val="clear" w:color="auto" w:fill="auto"/>
            <w:vAlign w:val="center"/>
          </w:tcPr>
          <w:p w:rsidR="00A73873" w:rsidRPr="00DD4EE8" w:rsidRDefault="00A73873" w:rsidP="0024037F">
            <w:pPr>
              <w:autoSpaceDE w:val="0"/>
              <w:autoSpaceDN w:val="0"/>
              <w:adjustRightInd w:val="0"/>
              <w:spacing w:before="120" w:after="120" w:line="240" w:lineRule="auto"/>
              <w:jc w:val="center"/>
              <w:rPr>
                <w:rFonts w:cs="Arial"/>
                <w:sz w:val="20"/>
              </w:rPr>
            </w:pPr>
            <w:r w:rsidRPr="00DD4EE8">
              <w:rPr>
                <w:rFonts w:cs="Arial"/>
                <w:sz w:val="20"/>
              </w:rPr>
              <w:t>Mitigável</w:t>
            </w:r>
          </w:p>
        </w:tc>
      </w:tr>
    </w:tbl>
    <w:p w:rsidR="00806394" w:rsidRPr="009F43B3" w:rsidRDefault="00806394" w:rsidP="009F43B3">
      <w:pPr>
        <w:autoSpaceDE w:val="0"/>
        <w:autoSpaceDN w:val="0"/>
        <w:adjustRightInd w:val="0"/>
        <w:spacing w:line="240" w:lineRule="auto"/>
        <w:rPr>
          <w:rFonts w:cs="Arial"/>
          <w:szCs w:val="22"/>
        </w:rPr>
      </w:pPr>
    </w:p>
    <w:p w:rsidR="00A73873" w:rsidRPr="00890163" w:rsidRDefault="00A73873" w:rsidP="00A73873">
      <w:pPr>
        <w:autoSpaceDE w:val="0"/>
        <w:autoSpaceDN w:val="0"/>
        <w:adjustRightInd w:val="0"/>
        <w:spacing w:before="120" w:after="120" w:line="240" w:lineRule="auto"/>
        <w:rPr>
          <w:rFonts w:cs="Arial"/>
          <w:b/>
          <w:szCs w:val="22"/>
        </w:rPr>
      </w:pPr>
      <w:r w:rsidRPr="00890163">
        <w:rPr>
          <w:rFonts w:cs="Arial"/>
          <w:b/>
          <w:szCs w:val="22"/>
        </w:rPr>
        <w:t>Ações Ambientais Propostas:</w:t>
      </w:r>
    </w:p>
    <w:p w:rsidR="00A73873" w:rsidRPr="00890163" w:rsidRDefault="00A73873" w:rsidP="00A73873">
      <w:pPr>
        <w:tabs>
          <w:tab w:val="left" w:pos="1134"/>
        </w:tabs>
        <w:spacing w:before="120" w:after="120" w:line="240" w:lineRule="auto"/>
        <w:rPr>
          <w:rFonts w:cs="Arial"/>
          <w:szCs w:val="22"/>
        </w:rPr>
      </w:pPr>
      <w:r w:rsidRPr="00F9569C">
        <w:rPr>
          <w:rFonts w:cs="Arial"/>
          <w:szCs w:val="22"/>
        </w:rPr>
        <w:t xml:space="preserve">Deverão ser seguidas a ações propostas no </w:t>
      </w:r>
      <w:r w:rsidRPr="00FF252F">
        <w:rPr>
          <w:rFonts w:cs="Arial"/>
          <w:szCs w:val="22"/>
        </w:rPr>
        <w:t>Plano de Controle Ambiental das Obras (Subprog</w:t>
      </w:r>
      <w:r w:rsidR="00FF252F" w:rsidRPr="00FF252F">
        <w:rPr>
          <w:rFonts w:cs="Arial"/>
          <w:szCs w:val="22"/>
        </w:rPr>
        <w:t>ramas de Controle de Erosão e</w:t>
      </w:r>
      <w:r w:rsidRPr="00FF252F">
        <w:rPr>
          <w:rFonts w:cs="Arial"/>
          <w:szCs w:val="22"/>
        </w:rPr>
        <w:t xml:space="preserve"> Assoreamento) e no Programa de Recuperação de Áreas Degradadas</w:t>
      </w:r>
    </w:p>
    <w:p w:rsidR="00973BCF" w:rsidRPr="004045D8" w:rsidRDefault="00A71868" w:rsidP="008D3A12">
      <w:pPr>
        <w:pStyle w:val="Ttulo3"/>
        <w:spacing w:after="240"/>
      </w:pPr>
      <w:bookmarkStart w:id="231" w:name="_Toc418758224"/>
      <w:bookmarkStart w:id="232" w:name="_Toc418758826"/>
      <w:bookmarkStart w:id="233" w:name="_Toc419813586"/>
      <w:r w:rsidRPr="004045D8">
        <w:t>1.3.1.</w:t>
      </w:r>
      <w:r w:rsidR="00973BCF" w:rsidRPr="004045D8">
        <w:t>1</w:t>
      </w:r>
      <w:r w:rsidR="008C5DE8" w:rsidRPr="004045D8">
        <w:t>5</w:t>
      </w:r>
      <w:r w:rsidR="00973BCF" w:rsidRPr="004045D8">
        <w:t xml:space="preserve">. </w:t>
      </w:r>
      <w:r w:rsidR="001A063B" w:rsidRPr="004045D8">
        <w:t>Acr</w:t>
      </w:r>
      <w:r w:rsidR="001A063B" w:rsidRPr="004045D8">
        <w:rPr>
          <w:rFonts w:hint="eastAsia"/>
        </w:rPr>
        <w:t>é</w:t>
      </w:r>
      <w:r w:rsidR="001A063B" w:rsidRPr="004045D8">
        <w:t>scimo na Suscetibilidade a Instabiliza</w:t>
      </w:r>
      <w:r w:rsidR="001A063B" w:rsidRPr="004045D8">
        <w:rPr>
          <w:rFonts w:hint="eastAsia"/>
        </w:rPr>
        <w:t>çã</w:t>
      </w:r>
      <w:r w:rsidR="001A063B" w:rsidRPr="004045D8">
        <w:t xml:space="preserve">o de </w:t>
      </w:r>
      <w:r w:rsidR="00973BCF" w:rsidRPr="004045D8">
        <w:t>Encostas Marginais</w:t>
      </w:r>
      <w:bookmarkEnd w:id="231"/>
      <w:bookmarkEnd w:id="232"/>
      <w:bookmarkEnd w:id="233"/>
    </w:p>
    <w:p w:rsidR="001A063B" w:rsidRPr="007B0131" w:rsidRDefault="001A063B" w:rsidP="003861F7">
      <w:pPr>
        <w:spacing w:before="120" w:after="120" w:line="240" w:lineRule="auto"/>
        <w:rPr>
          <w:rFonts w:cs="Arial"/>
          <w:b/>
          <w:szCs w:val="22"/>
        </w:rPr>
      </w:pPr>
      <w:r w:rsidRPr="007B0131">
        <w:rPr>
          <w:rFonts w:cs="Arial"/>
          <w:b/>
          <w:szCs w:val="22"/>
        </w:rPr>
        <w:t>Fase</w:t>
      </w:r>
      <w:r w:rsidR="00C93B47">
        <w:rPr>
          <w:rFonts w:cs="Arial"/>
          <w:b/>
          <w:szCs w:val="22"/>
        </w:rPr>
        <w:t>s</w:t>
      </w:r>
      <w:r>
        <w:rPr>
          <w:rFonts w:cs="Arial"/>
          <w:b/>
          <w:szCs w:val="22"/>
        </w:rPr>
        <w:t>: I</w:t>
      </w:r>
      <w:r w:rsidRPr="007B0131">
        <w:rPr>
          <w:rFonts w:cs="Arial"/>
          <w:b/>
          <w:szCs w:val="22"/>
        </w:rPr>
        <w:t>mplantação</w:t>
      </w:r>
      <w:r>
        <w:rPr>
          <w:rFonts w:cs="Arial"/>
          <w:b/>
          <w:szCs w:val="22"/>
        </w:rPr>
        <w:t xml:space="preserve"> e Operação</w:t>
      </w:r>
    </w:p>
    <w:p w:rsidR="001A063B" w:rsidRDefault="001A063B" w:rsidP="001A063B">
      <w:pPr>
        <w:spacing w:before="120" w:after="120" w:line="240" w:lineRule="auto"/>
      </w:pPr>
      <w:r w:rsidRPr="00D5708B">
        <w:t xml:space="preserve">Os principais agentes condicionantes de instabilizações de encostas marginais estão relacionados aos </w:t>
      </w:r>
      <w:r>
        <w:t>aspectos geológico-geotécnicos</w:t>
      </w:r>
      <w:r w:rsidRPr="00D5708B">
        <w:t xml:space="preserve">, morfológicos, principalmente a declividade dos terrenos, e cobertura vegetal, além das chuvas  que normalmente é um agente instabilizador  de encostas. Um condicionante adicional surge com a implantação do reservatório, que resulta na elevação do lençol freático, variação do </w:t>
      </w:r>
      <w:r>
        <w:t>n</w:t>
      </w:r>
      <w:r w:rsidRPr="00D5708B">
        <w:t>ível d’água e embate de ondas nas margens do lago</w:t>
      </w:r>
      <w:r>
        <w:t>.</w:t>
      </w:r>
    </w:p>
    <w:p w:rsidR="001A063B" w:rsidRDefault="001A063B" w:rsidP="001A063B">
      <w:pPr>
        <w:spacing w:before="120" w:after="120" w:line="240" w:lineRule="auto"/>
      </w:pPr>
      <w:r>
        <w:t>As</w:t>
      </w:r>
      <w:r w:rsidRPr="00D5708B">
        <w:t xml:space="preserve"> variações do nível d’água nesse novo contexto implicam no aumento ou diminuição das tensões resistentes, </w:t>
      </w:r>
      <w:r w:rsidRPr="00B873DF">
        <w:t>resultando numa maior susceptibilidade a processos de instabilidade nas encostas marginais do reservatório, em especial</w:t>
      </w:r>
      <w:r w:rsidRPr="00D5708B">
        <w:t xml:space="preserve"> naquelas mais declivosas. </w:t>
      </w:r>
      <w:r>
        <w:t>No reservatório d</w:t>
      </w:r>
      <w:r w:rsidR="008C15C3">
        <w:t>a Barragem</w:t>
      </w:r>
      <w:r>
        <w:t xml:space="preserve"> Pedreira a</w:t>
      </w:r>
      <w:r w:rsidRPr="00D5708B">
        <w:t xml:space="preserve"> cota do N.A máximo normal</w:t>
      </w:r>
      <w:r>
        <w:t xml:space="preserve"> é de</w:t>
      </w:r>
      <w:r w:rsidRPr="00D5708B">
        <w:t xml:space="preserve"> 637 m e o projeto prevê que em períodos de estiagem o reservatório possa atingir sua cota de N.A mínimo igual a 613 m.</w:t>
      </w:r>
      <w:r w:rsidR="00055148">
        <w:t xml:space="preserve"> Em relação ao reservatório da Barragem Duas Pontes as cotas do N.A. estão entre 646 m e 625 m.</w:t>
      </w:r>
      <w:r w:rsidRPr="00D5708B">
        <w:t xml:space="preserve"> Outro aspecto a ser considerado, com a implantação do reservatório, refere-se à desestabilização das encostas marginais pelo embate de ondas formadas no reservatório pela ação dos ventos. O choque contínuo das ondas na base das encostas pode provocar o solapamento das margens e, consequentemente, desbarrancamentos.</w:t>
      </w:r>
      <w:r>
        <w:t xml:space="preserve"> </w:t>
      </w:r>
    </w:p>
    <w:p w:rsidR="001A063B" w:rsidRPr="001A063B" w:rsidRDefault="001A063B" w:rsidP="00E732A3">
      <w:pPr>
        <w:pStyle w:val="PargrafodaLista"/>
        <w:autoSpaceDE w:val="0"/>
        <w:autoSpaceDN w:val="0"/>
        <w:adjustRightInd w:val="0"/>
        <w:spacing w:before="120" w:after="120" w:line="240" w:lineRule="auto"/>
        <w:ind w:left="0"/>
        <w:contextualSpacing w:val="0"/>
        <w:jc w:val="both"/>
        <w:rPr>
          <w:rFonts w:ascii="Arial" w:hAnsi="Arial" w:cs="Arial"/>
        </w:rPr>
      </w:pPr>
      <w:r w:rsidRPr="001A063B">
        <w:rPr>
          <w:rFonts w:ascii="Arial" w:hAnsi="Arial" w:cs="Arial"/>
        </w:rPr>
        <w:t>Os processos de instabilização de encostas marginais, identificados e avaliados no diagnóstico ambiental a partir dos principais condicionantes geológico-geotécnicos, morfológicos, principalmente a declividade dos terrenos, e cobertura vegetal foram:</w:t>
      </w:r>
    </w:p>
    <w:p w:rsidR="001A063B" w:rsidRPr="001A063B" w:rsidRDefault="001A063B" w:rsidP="00D67FCF">
      <w:pPr>
        <w:pStyle w:val="Item-Bolinha"/>
      </w:pPr>
      <w:r w:rsidRPr="001A063B">
        <w:t>Movimentos de massa na forma de escorregamentos em solos de alteração, queda e rolamento de blocos, escorregamentos e desplacamentos rochosos condicionados por estruturas do maciço rochoso;</w:t>
      </w:r>
    </w:p>
    <w:p w:rsidR="001A063B" w:rsidRPr="001A063B" w:rsidRDefault="001A063B" w:rsidP="00D67FCF">
      <w:pPr>
        <w:pStyle w:val="Item-Bolinha"/>
      </w:pPr>
      <w:r w:rsidRPr="001A063B">
        <w:t>Processos erosivos principalmente por sulcos e ravinas;</w:t>
      </w:r>
    </w:p>
    <w:p w:rsidR="001A063B" w:rsidRPr="00283118" w:rsidRDefault="001A063B" w:rsidP="00D67FCF">
      <w:pPr>
        <w:pStyle w:val="Item-Bolinha"/>
      </w:pPr>
      <w:r w:rsidRPr="001A063B">
        <w:t>Processos erosivos por solapamento e desbarrancamento de margens de rios</w:t>
      </w:r>
      <w:r>
        <w:t>.</w:t>
      </w:r>
    </w:p>
    <w:p w:rsidR="00283118" w:rsidRPr="00283118" w:rsidRDefault="00283118" w:rsidP="00D67FCF">
      <w:pPr>
        <w:pStyle w:val="Item-Bolinha"/>
        <w:rPr>
          <w:rFonts w:eastAsia="Calibri"/>
          <w:szCs w:val="22"/>
          <w:lang w:eastAsia="en-US"/>
        </w:rPr>
      </w:pPr>
      <w:r w:rsidRPr="00283118">
        <w:rPr>
          <w:rFonts w:eastAsia="Calibri"/>
          <w:szCs w:val="22"/>
          <w:lang w:eastAsia="en-US"/>
        </w:rPr>
        <w:t>Inundação de planícies fluviais e surgimento de áreas úmidas e alagadas.</w:t>
      </w:r>
    </w:p>
    <w:p w:rsidR="001A063B" w:rsidRPr="00C17A0C" w:rsidRDefault="001A063B" w:rsidP="001A063B">
      <w:pPr>
        <w:pStyle w:val="Corpodetexto"/>
        <w:tabs>
          <w:tab w:val="left" w:pos="2430"/>
        </w:tabs>
        <w:rPr>
          <w:szCs w:val="22"/>
        </w:rPr>
      </w:pPr>
      <w:r w:rsidRPr="00C17A0C">
        <w:rPr>
          <w:szCs w:val="22"/>
        </w:rPr>
        <w:lastRenderedPageBreak/>
        <w:t>A delimitação de setores suscetíveis à ocorrência desses processos, bem como o grau de suscetibilidade estão sintetizados no mapa “Mapa de Estabilidade de Encostas da Área Diretamente Afetada” (Desenho</w:t>
      </w:r>
      <w:r w:rsidR="00E732A3">
        <w:rPr>
          <w:szCs w:val="22"/>
        </w:rPr>
        <w:t xml:space="preserve">s </w:t>
      </w:r>
      <w:r w:rsidRPr="00C17A0C">
        <w:rPr>
          <w:szCs w:val="22"/>
        </w:rPr>
        <w:t>7188-13-GL-510-DE-00131</w:t>
      </w:r>
      <w:r w:rsidR="00E732A3">
        <w:rPr>
          <w:szCs w:val="22"/>
        </w:rPr>
        <w:t xml:space="preserve"> e </w:t>
      </w:r>
      <w:r w:rsidR="00E732A3" w:rsidRPr="00C17A0C">
        <w:rPr>
          <w:szCs w:val="22"/>
        </w:rPr>
        <w:t>7188-13-GL-510-DE-0013</w:t>
      </w:r>
      <w:r w:rsidR="00E732A3">
        <w:rPr>
          <w:szCs w:val="22"/>
        </w:rPr>
        <w:t>9</w:t>
      </w:r>
      <w:r w:rsidR="006E430C">
        <w:rPr>
          <w:szCs w:val="22"/>
        </w:rPr>
        <w:t>, apresentado no Volume II, Tomo 2)</w:t>
      </w:r>
      <w:r w:rsidRPr="00C17A0C">
        <w:rPr>
          <w:szCs w:val="22"/>
        </w:rPr>
        <w:t xml:space="preserve">. </w:t>
      </w:r>
    </w:p>
    <w:p w:rsidR="001A063B" w:rsidRDefault="001A063B" w:rsidP="001A063B">
      <w:pPr>
        <w:pStyle w:val="Corpodetexto"/>
        <w:tabs>
          <w:tab w:val="left" w:pos="2430"/>
        </w:tabs>
        <w:rPr>
          <w:szCs w:val="22"/>
        </w:rPr>
      </w:pPr>
      <w:r>
        <w:rPr>
          <w:szCs w:val="22"/>
        </w:rPr>
        <w:t>Atualmente o</w:t>
      </w:r>
      <w:r w:rsidRPr="00B614E6">
        <w:rPr>
          <w:szCs w:val="22"/>
        </w:rPr>
        <w:t>s processos de erosão e de movimento de massa são desencadeados principalmente pela ação do escoamento das á</w:t>
      </w:r>
      <w:r>
        <w:rPr>
          <w:szCs w:val="22"/>
        </w:rPr>
        <w:t>guas superficiais</w:t>
      </w:r>
      <w:r w:rsidRPr="00B614E6">
        <w:rPr>
          <w:szCs w:val="22"/>
        </w:rPr>
        <w:t>, quando de eventos pluviométricos de grande intensidade, na</w:t>
      </w:r>
      <w:r>
        <w:rPr>
          <w:szCs w:val="22"/>
        </w:rPr>
        <w:t>s encostas e margens do rio Jaguari e seus afluentes, principalmente</w:t>
      </w:r>
      <w:r w:rsidRPr="00B614E6">
        <w:rPr>
          <w:szCs w:val="22"/>
        </w:rPr>
        <w:t xml:space="preserve"> </w:t>
      </w:r>
      <w:r>
        <w:rPr>
          <w:szCs w:val="22"/>
        </w:rPr>
        <w:t>onde a</w:t>
      </w:r>
      <w:r w:rsidRPr="00B614E6">
        <w:rPr>
          <w:szCs w:val="22"/>
        </w:rPr>
        <w:t xml:space="preserve"> cobertura vegetal </w:t>
      </w:r>
      <w:r>
        <w:rPr>
          <w:szCs w:val="22"/>
        </w:rPr>
        <w:t xml:space="preserve">se </w:t>
      </w:r>
      <w:r w:rsidRPr="00B614E6">
        <w:rPr>
          <w:szCs w:val="22"/>
        </w:rPr>
        <w:t xml:space="preserve">encontra bastante alterada, com predomínio de </w:t>
      </w:r>
      <w:r>
        <w:rPr>
          <w:szCs w:val="22"/>
        </w:rPr>
        <w:t>pastagem, pasto sujo e</w:t>
      </w:r>
      <w:r w:rsidRPr="00B614E6">
        <w:rPr>
          <w:szCs w:val="22"/>
        </w:rPr>
        <w:t xml:space="preserve"> capoeira</w:t>
      </w:r>
      <w:r>
        <w:rPr>
          <w:szCs w:val="22"/>
        </w:rPr>
        <w:t>,</w:t>
      </w:r>
      <w:r w:rsidRPr="00B614E6">
        <w:rPr>
          <w:szCs w:val="22"/>
        </w:rPr>
        <w:t xml:space="preserve"> e naquelas cujas características geomorfológicas e geológicas também são favoráveis à instalação e d</w:t>
      </w:r>
      <w:r>
        <w:rPr>
          <w:szCs w:val="22"/>
        </w:rPr>
        <w:t>esenvolvimento desses processos</w:t>
      </w:r>
      <w:r w:rsidRPr="00F031AD">
        <w:rPr>
          <w:szCs w:val="22"/>
        </w:rPr>
        <w:t>.</w:t>
      </w:r>
    </w:p>
    <w:p w:rsidR="001A063B" w:rsidRPr="00D91A7E" w:rsidRDefault="001A063B" w:rsidP="001D3C8E">
      <w:pPr>
        <w:pStyle w:val="Corpodetexto"/>
        <w:tabs>
          <w:tab w:val="left" w:pos="2430"/>
        </w:tabs>
        <w:rPr>
          <w:szCs w:val="22"/>
        </w:rPr>
      </w:pPr>
      <w:r w:rsidRPr="00D91A7E">
        <w:rPr>
          <w:szCs w:val="22"/>
        </w:rPr>
        <w:t xml:space="preserve">A </w:t>
      </w:r>
      <w:r>
        <w:rPr>
          <w:szCs w:val="22"/>
        </w:rPr>
        <w:t>implantação</w:t>
      </w:r>
      <w:r w:rsidRPr="00D91A7E">
        <w:rPr>
          <w:szCs w:val="22"/>
        </w:rPr>
        <w:t xml:space="preserve"> do reservatório </w:t>
      </w:r>
      <w:r>
        <w:rPr>
          <w:szCs w:val="22"/>
        </w:rPr>
        <w:t xml:space="preserve">e as variações de NA poderão ocasionar a </w:t>
      </w:r>
      <w:r w:rsidRPr="00D91A7E">
        <w:rPr>
          <w:szCs w:val="22"/>
        </w:rPr>
        <w:t>reativação, propagação e/ou instalação de novos processos erosivos e de instabilização das encostas marginais. Portanto, na situação com o reservatório, deverá ocorrer acréscimo da suscetibilidade a processos de instabilização das en</w:t>
      </w:r>
      <w:r>
        <w:rPr>
          <w:szCs w:val="22"/>
        </w:rPr>
        <w:t>costas marginais caracterizados</w:t>
      </w:r>
      <w:r w:rsidRPr="00D91A7E">
        <w:rPr>
          <w:szCs w:val="22"/>
        </w:rPr>
        <w:t xml:space="preserve"> na situação atual, q</w:t>
      </w:r>
      <w:r>
        <w:rPr>
          <w:szCs w:val="22"/>
        </w:rPr>
        <w:t>uando do Diagnóstico A</w:t>
      </w:r>
      <w:r w:rsidRPr="00D91A7E">
        <w:rPr>
          <w:szCs w:val="22"/>
        </w:rPr>
        <w:t>mbiental</w:t>
      </w:r>
      <w:r>
        <w:rPr>
          <w:szCs w:val="22"/>
        </w:rPr>
        <w:t>.</w:t>
      </w:r>
    </w:p>
    <w:p w:rsidR="001A063B" w:rsidRPr="00F6219A" w:rsidRDefault="001A063B" w:rsidP="001A063B">
      <w:pPr>
        <w:spacing w:before="120" w:after="120" w:line="240" w:lineRule="auto"/>
        <w:rPr>
          <w:rFonts w:cs="Arial"/>
          <w:szCs w:val="22"/>
        </w:rPr>
      </w:pPr>
      <w:r w:rsidRPr="00D91A7E">
        <w:rPr>
          <w:rFonts w:cs="Arial"/>
          <w:szCs w:val="22"/>
        </w:rPr>
        <w:t>O impacto de acréscimo na</w:t>
      </w:r>
      <w:r w:rsidRPr="00247C00">
        <w:rPr>
          <w:rFonts w:cs="Arial"/>
          <w:szCs w:val="22"/>
        </w:rPr>
        <w:t xml:space="preserve"> susceptibilidade a instabilização de encostas marginais</w:t>
      </w:r>
      <w:r>
        <w:rPr>
          <w:rFonts w:cs="Arial"/>
          <w:szCs w:val="22"/>
        </w:rPr>
        <w:t xml:space="preserve"> o</w:t>
      </w:r>
      <w:r>
        <w:rPr>
          <w:szCs w:val="22"/>
        </w:rPr>
        <w:t xml:space="preserve">correrá </w:t>
      </w:r>
      <w:r w:rsidRPr="006011FC">
        <w:rPr>
          <w:szCs w:val="22"/>
        </w:rPr>
        <w:t>preferencialmente nos setores d</w:t>
      </w:r>
      <w:r>
        <w:rPr>
          <w:szCs w:val="22"/>
        </w:rPr>
        <w:t>essa</w:t>
      </w:r>
      <w:r w:rsidRPr="006011FC">
        <w:rPr>
          <w:szCs w:val="22"/>
        </w:rPr>
        <w:t>s encostas onde o grau de suscetib</w:t>
      </w:r>
      <w:r>
        <w:rPr>
          <w:szCs w:val="22"/>
        </w:rPr>
        <w:t xml:space="preserve">ilidade </w:t>
      </w:r>
      <w:r w:rsidRPr="006011FC">
        <w:rPr>
          <w:szCs w:val="22"/>
        </w:rPr>
        <w:t>fo</w:t>
      </w:r>
      <w:r>
        <w:rPr>
          <w:szCs w:val="22"/>
        </w:rPr>
        <w:t>i</w:t>
      </w:r>
      <w:r w:rsidRPr="006011FC">
        <w:rPr>
          <w:szCs w:val="22"/>
        </w:rPr>
        <w:t xml:space="preserve"> caracter</w:t>
      </w:r>
      <w:r>
        <w:rPr>
          <w:szCs w:val="22"/>
        </w:rPr>
        <w:t>izado como alto e médio a alto.</w:t>
      </w:r>
      <w:r>
        <w:rPr>
          <w:rFonts w:cs="Arial"/>
          <w:szCs w:val="22"/>
        </w:rPr>
        <w:t xml:space="preserve"> </w:t>
      </w:r>
      <w:r>
        <w:rPr>
          <w:szCs w:val="22"/>
        </w:rPr>
        <w:t>O reservatório apresentará maior influência sobre os processos de instabilização nas encostas marginais que mais se afastarem da calha atual do rio. Nas áreas onde o reservatório estiver próximo à calha original do rio, a influência será mínima.</w:t>
      </w:r>
    </w:p>
    <w:p w:rsidR="001A063B" w:rsidRDefault="001A063B" w:rsidP="00C77C49">
      <w:pPr>
        <w:pStyle w:val="Corpodetexto"/>
        <w:rPr>
          <w:szCs w:val="22"/>
        </w:rPr>
      </w:pPr>
      <w:r>
        <w:rPr>
          <w:szCs w:val="22"/>
        </w:rPr>
        <w:t>Ressalta-se que o</w:t>
      </w:r>
      <w:r w:rsidRPr="00311CCA">
        <w:rPr>
          <w:szCs w:val="22"/>
        </w:rPr>
        <w:t xml:space="preserve"> detalhamento d</w:t>
      </w:r>
      <w:r>
        <w:rPr>
          <w:szCs w:val="22"/>
        </w:rPr>
        <w:t>esse impacto</w:t>
      </w:r>
      <w:r w:rsidRPr="00311CCA">
        <w:rPr>
          <w:szCs w:val="22"/>
        </w:rPr>
        <w:t xml:space="preserve"> deverá ser obtido com o desenvolvimento do Programa de Monitoramento das Encostas Marginais e Processos Erosivos, e que parte dos setores identificados nas condições atuais como </w:t>
      </w:r>
      <w:r>
        <w:rPr>
          <w:szCs w:val="22"/>
        </w:rPr>
        <w:t xml:space="preserve">susceptíveis </w:t>
      </w:r>
      <w:r w:rsidRPr="00311CCA">
        <w:rPr>
          <w:szCs w:val="22"/>
        </w:rPr>
        <w:t xml:space="preserve">poderão não </w:t>
      </w:r>
      <w:r>
        <w:rPr>
          <w:szCs w:val="22"/>
        </w:rPr>
        <w:t>sofrer efetivamente a influência do reservatório.</w:t>
      </w:r>
    </w:p>
    <w:p w:rsidR="001A063B" w:rsidRPr="00D67FCF" w:rsidRDefault="008035C2" w:rsidP="00D67FCF">
      <w:pPr>
        <w:pStyle w:val="Item-Trainho"/>
        <w:rPr>
          <w:b/>
        </w:rPr>
      </w:pPr>
      <w:r w:rsidRPr="00D67FCF">
        <w:rPr>
          <w:b/>
        </w:rPr>
        <w:t>Barragem Pedreira</w:t>
      </w:r>
    </w:p>
    <w:p w:rsidR="008035C2" w:rsidRPr="00601292" w:rsidRDefault="008035C2" w:rsidP="008035C2">
      <w:pPr>
        <w:pStyle w:val="Corpodetexto"/>
        <w:tabs>
          <w:tab w:val="left" w:pos="2430"/>
        </w:tabs>
        <w:rPr>
          <w:szCs w:val="22"/>
        </w:rPr>
      </w:pPr>
      <w:r w:rsidRPr="00601292">
        <w:rPr>
          <w:szCs w:val="22"/>
        </w:rPr>
        <w:t>A partir do mapa supracitado</w:t>
      </w:r>
      <w:r w:rsidR="00791E53" w:rsidRPr="00601292">
        <w:rPr>
          <w:szCs w:val="22"/>
        </w:rPr>
        <w:t xml:space="preserve"> (Desenho </w:t>
      </w:r>
      <w:r w:rsidR="00B11E51" w:rsidRPr="00601292">
        <w:rPr>
          <w:szCs w:val="22"/>
        </w:rPr>
        <w:t>n</w:t>
      </w:r>
      <w:r w:rsidR="00B11E51" w:rsidRPr="00601292">
        <w:rPr>
          <w:szCs w:val="22"/>
          <w:u w:val="single"/>
          <w:vertAlign w:val="superscript"/>
        </w:rPr>
        <w:t>o</w:t>
      </w:r>
      <w:r w:rsidR="00B11E51" w:rsidRPr="00601292">
        <w:rPr>
          <w:szCs w:val="22"/>
        </w:rPr>
        <w:t xml:space="preserve"> </w:t>
      </w:r>
      <w:r w:rsidR="00791E53" w:rsidRPr="00601292">
        <w:rPr>
          <w:szCs w:val="22"/>
        </w:rPr>
        <w:t xml:space="preserve">7188-13-GL-510-DE-00131) </w:t>
      </w:r>
      <w:r w:rsidRPr="00601292">
        <w:rPr>
          <w:szCs w:val="22"/>
        </w:rPr>
        <w:t>foi elaborad</w:t>
      </w:r>
      <w:r w:rsidR="00791E53" w:rsidRPr="00601292">
        <w:rPr>
          <w:szCs w:val="22"/>
        </w:rPr>
        <w:t>o</w:t>
      </w:r>
      <w:r w:rsidRPr="00601292">
        <w:rPr>
          <w:szCs w:val="22"/>
        </w:rPr>
        <w:t xml:space="preserve"> </w:t>
      </w:r>
      <w:r w:rsidR="00432921" w:rsidRPr="00601292">
        <w:rPr>
          <w:szCs w:val="22"/>
        </w:rPr>
        <w:t xml:space="preserve">o </w:t>
      </w:r>
      <w:r w:rsidRPr="00601292">
        <w:rPr>
          <w:szCs w:val="22"/>
        </w:rPr>
        <w:t>Quadro 1.3.2</w:t>
      </w:r>
      <w:r w:rsidR="00B11E51" w:rsidRPr="00601292">
        <w:rPr>
          <w:szCs w:val="22"/>
        </w:rPr>
        <w:t>5</w:t>
      </w:r>
      <w:r w:rsidRPr="00601292">
        <w:rPr>
          <w:szCs w:val="22"/>
        </w:rPr>
        <w:t xml:space="preserve">, </w:t>
      </w:r>
      <w:r w:rsidR="00432921" w:rsidRPr="00601292">
        <w:rPr>
          <w:szCs w:val="22"/>
        </w:rPr>
        <w:t xml:space="preserve">o </w:t>
      </w:r>
      <w:r w:rsidRPr="00601292">
        <w:rPr>
          <w:szCs w:val="22"/>
        </w:rPr>
        <w:t>qual apresenta os diversos setores caracterizados por diferentes processos e mecanismos e seus respectivos graus de suscetibilidade, além da porcentagem em relação à ADA da Barragem Pedreira. Apenas três setores apresentam alto grau de suscetibilidade a processos de instabilização (setores 17, 21 e 34), que representam 4% da ADA. Já os setores com graus de suscetibilidade classificados como médio a alto perfazem 28% da área, sendo o de maior representatividade, enquanto os classificados como médio correspondem a 22% da ADA. Ressalta-se que porções não classificadas no mapa (46% da ADA) correspondem a áreas com suscetibilidade consideradas baixa ou ausente.</w:t>
      </w:r>
    </w:p>
    <w:p w:rsidR="00791E53" w:rsidRPr="00601292" w:rsidRDefault="00791E53" w:rsidP="00791E53">
      <w:pPr>
        <w:pStyle w:val="Corpodetexto"/>
        <w:tabs>
          <w:tab w:val="left" w:pos="2430"/>
        </w:tabs>
        <w:rPr>
          <w:b/>
          <w:szCs w:val="22"/>
        </w:rPr>
      </w:pPr>
      <w:r w:rsidRPr="00601292">
        <w:rPr>
          <w:b/>
          <w:szCs w:val="22"/>
        </w:rPr>
        <w:t>Barragem Duas Pontes</w:t>
      </w:r>
    </w:p>
    <w:p w:rsidR="00791E53" w:rsidRPr="006F31B4" w:rsidRDefault="00791E53" w:rsidP="00791E53">
      <w:pPr>
        <w:autoSpaceDE w:val="0"/>
        <w:autoSpaceDN w:val="0"/>
        <w:adjustRightInd w:val="0"/>
        <w:spacing w:before="120" w:after="120" w:line="240" w:lineRule="auto"/>
        <w:rPr>
          <w:rFonts w:cs="Arial"/>
        </w:rPr>
      </w:pPr>
      <w:r w:rsidRPr="00601292">
        <w:rPr>
          <w:szCs w:val="22"/>
        </w:rPr>
        <w:t>No caso da Barragem Duas Pontes, a partir do desenho 7188-13-GL-510-DE-00139</w:t>
      </w:r>
      <w:r w:rsidR="006E430C">
        <w:rPr>
          <w:szCs w:val="22"/>
        </w:rPr>
        <w:t xml:space="preserve"> (Volume II, Tomo 2)</w:t>
      </w:r>
      <w:r w:rsidRPr="00601292">
        <w:rPr>
          <w:szCs w:val="22"/>
        </w:rPr>
        <w:t>,</w:t>
      </w:r>
      <w:r w:rsidR="00E051FC" w:rsidRPr="00601292">
        <w:rPr>
          <w:szCs w:val="22"/>
        </w:rPr>
        <w:t xml:space="preserve"> foi elaborado</w:t>
      </w:r>
      <w:r w:rsidRPr="00601292">
        <w:rPr>
          <w:szCs w:val="22"/>
        </w:rPr>
        <w:t xml:space="preserve"> o Quadro 1.3.</w:t>
      </w:r>
      <w:r w:rsidR="00B11E51" w:rsidRPr="00601292">
        <w:rPr>
          <w:szCs w:val="22"/>
        </w:rPr>
        <w:t>26</w:t>
      </w:r>
      <w:r w:rsidRPr="00601292">
        <w:rPr>
          <w:szCs w:val="22"/>
        </w:rPr>
        <w:t xml:space="preserve"> </w:t>
      </w:r>
      <w:r w:rsidR="00E051FC" w:rsidRPr="00601292">
        <w:rPr>
          <w:szCs w:val="22"/>
        </w:rPr>
        <w:t>o</w:t>
      </w:r>
      <w:r w:rsidRPr="00601292">
        <w:rPr>
          <w:szCs w:val="22"/>
        </w:rPr>
        <w:t xml:space="preserve"> qual apresenta os diversos setores caracterizados por diferentes processos e mecanismos e seus respectivos graus de suscetibilidade, além da porcentagem em relação à ADA. Apenas dois setores apresentam alto grau de suscetibilidade a processos de instabilização (setores 9 e 12), que representam 2% da ADA. </w:t>
      </w:r>
      <w:r w:rsidRPr="00601292">
        <w:rPr>
          <w:rFonts w:cs="Arial"/>
          <w:szCs w:val="22"/>
        </w:rPr>
        <w:t>Estes setores estão</w:t>
      </w:r>
      <w:r w:rsidRPr="006F31B4">
        <w:rPr>
          <w:rFonts w:cs="Arial"/>
          <w:szCs w:val="22"/>
        </w:rPr>
        <w:t xml:space="preserve"> localizados na margem direita do rio Camanducaia, junto a Serra dos Feixos, no extremo SE da ADA. Estas encostas possuem solo residual e afloramentos de quartzito, além de depósitos coluvionares e tálus, distribuídos em terreno com trechos de declividades superiores a 55%.</w:t>
      </w:r>
      <w:r w:rsidRPr="006F31B4">
        <w:rPr>
          <w:szCs w:val="22"/>
        </w:rPr>
        <w:t xml:space="preserve"> </w:t>
      </w:r>
      <w:r w:rsidRPr="006F31B4">
        <w:rPr>
          <w:rFonts w:cs="Arial"/>
        </w:rPr>
        <w:t>Outro condicionante nestes setores se dá pelas diversas descontinuidades (foliações e fraturas) presentes nos maciços rochosos que por vezes apresentam-se paralelas às encostas com mergulhos voltados para o reservatório.</w:t>
      </w:r>
    </w:p>
    <w:p w:rsidR="00791E53" w:rsidRPr="00791E53" w:rsidRDefault="00791E53" w:rsidP="00791E53">
      <w:pPr>
        <w:tabs>
          <w:tab w:val="left" w:pos="2430"/>
        </w:tabs>
        <w:spacing w:before="120" w:after="120" w:line="240" w:lineRule="auto"/>
        <w:rPr>
          <w:rFonts w:cs="Arial"/>
          <w:szCs w:val="22"/>
        </w:rPr>
      </w:pPr>
      <w:r w:rsidRPr="00791E53">
        <w:rPr>
          <w:rFonts w:cs="Arial"/>
          <w:szCs w:val="22"/>
        </w:rPr>
        <w:t xml:space="preserve">Na ADA foram identificados também 6 setores classificados como de médio a alto grau de suscetibilidade e 5 setores de médio grau de suscetibilidade, que perfazem 9% e 2% da área, além de 5 setores suscetíveis apenas a processos erosivos; e </w:t>
      </w:r>
      <w:r w:rsidR="004045D8">
        <w:rPr>
          <w:rFonts w:cs="Arial"/>
          <w:szCs w:val="22"/>
        </w:rPr>
        <w:t>6</w:t>
      </w:r>
      <w:r w:rsidRPr="00791E53">
        <w:rPr>
          <w:rFonts w:cs="Arial"/>
          <w:szCs w:val="22"/>
        </w:rPr>
        <w:t xml:space="preserve"> setores suscetíveis apenas à </w:t>
      </w:r>
      <w:r w:rsidRPr="00791E53">
        <w:rPr>
          <w:rFonts w:cs="Arial"/>
          <w:szCs w:val="22"/>
        </w:rPr>
        <w:lastRenderedPageBreak/>
        <w:t>inundação (5% da ADA). Ressalta-se que porções não classificadas no mapa (80% da ADA) correspondem a áreas com suscetibilidade consideradas baixa ou ausente.</w:t>
      </w:r>
    </w:p>
    <w:p w:rsidR="00791E53" w:rsidRPr="00791E53" w:rsidRDefault="00791E53" w:rsidP="00791E53">
      <w:pPr>
        <w:tabs>
          <w:tab w:val="left" w:pos="2430"/>
        </w:tabs>
        <w:spacing w:before="120" w:after="120" w:line="240" w:lineRule="auto"/>
        <w:rPr>
          <w:rFonts w:cs="Arial"/>
          <w:szCs w:val="22"/>
        </w:rPr>
      </w:pPr>
      <w:r w:rsidRPr="00791E53">
        <w:rPr>
          <w:rFonts w:cs="Arial"/>
          <w:szCs w:val="22"/>
        </w:rPr>
        <w:t>A implantação do reservatório e as variações de NA poderão ocasionar reativação, propagação e/ou instalação de novos processos erosivos e de instabilização das encostas marginais. Portanto, com a instalação do reservatório, deverá ocorrer acréscimo da suscetibilidade a processos de instabilização das encostas marginais caracterizados na situação atual, quando do Diagnóstico Ambiental.</w:t>
      </w:r>
    </w:p>
    <w:p w:rsidR="00791E53" w:rsidRPr="00791E53" w:rsidRDefault="00791E53" w:rsidP="00791E53">
      <w:pPr>
        <w:spacing w:before="120" w:after="120" w:line="240" w:lineRule="auto"/>
        <w:rPr>
          <w:rFonts w:cs="Arial"/>
          <w:szCs w:val="22"/>
        </w:rPr>
      </w:pPr>
      <w:r w:rsidRPr="00791E53">
        <w:rPr>
          <w:rFonts w:cs="Arial"/>
          <w:szCs w:val="22"/>
        </w:rPr>
        <w:t>O impacto de acréscimo na suscetibilidade a instabilização de encostas marginais o</w:t>
      </w:r>
      <w:r w:rsidRPr="00791E53">
        <w:rPr>
          <w:szCs w:val="22"/>
        </w:rPr>
        <w:t>correrá preferencialmente nos setores dessas encostas onde o grau de suscetibilidade foi caracterizado como alto e médio a alto.</w:t>
      </w:r>
      <w:r w:rsidRPr="00791E53">
        <w:rPr>
          <w:rFonts w:cs="Arial"/>
          <w:szCs w:val="22"/>
        </w:rPr>
        <w:t xml:space="preserve"> </w:t>
      </w:r>
      <w:r w:rsidR="00432921">
        <w:rPr>
          <w:szCs w:val="22"/>
        </w:rPr>
        <w:t>O reservatório apresentará maior influência sobre os processos de instabilização nas encostas marginais que mais se afastarem da calha atual do rio. Nas áreas onde o reservatório estiver próximo à calha original do rio, a influência será mínima.</w:t>
      </w:r>
    </w:p>
    <w:p w:rsidR="00791E53" w:rsidRPr="00791E53" w:rsidRDefault="00791E53" w:rsidP="00791E53">
      <w:pPr>
        <w:spacing w:before="120" w:after="120" w:line="240" w:lineRule="auto"/>
        <w:rPr>
          <w:rFonts w:cs="Arial"/>
          <w:szCs w:val="22"/>
        </w:rPr>
      </w:pPr>
      <w:r w:rsidRPr="00791E53">
        <w:rPr>
          <w:rFonts w:cs="Arial"/>
          <w:szCs w:val="22"/>
        </w:rPr>
        <w:t>Ressalta-se que o detalhamento desse impacto deverá ser obtido com o desenvolvimento do Programa de Monitoramento das Encostas Marginais e Processos Erosivos, e que parte dos setores identificados nas condições atuais como suscetíveis poderão não sofrer efetivamente a influência do reservatório.</w:t>
      </w:r>
    </w:p>
    <w:p w:rsidR="00791E53" w:rsidRPr="00E051FC" w:rsidRDefault="00791E53" w:rsidP="008035C2">
      <w:pPr>
        <w:pStyle w:val="Corpodetexto"/>
        <w:tabs>
          <w:tab w:val="left" w:pos="2430"/>
        </w:tabs>
        <w:rPr>
          <w:szCs w:val="22"/>
        </w:rPr>
      </w:pPr>
    </w:p>
    <w:p w:rsidR="008035C2" w:rsidRPr="008035C2" w:rsidRDefault="008035C2" w:rsidP="001A063B">
      <w:pPr>
        <w:pStyle w:val="p10"/>
        <w:spacing w:line="276" w:lineRule="auto"/>
        <w:rPr>
          <w:rFonts w:cs="Arial"/>
          <w:color w:val="auto"/>
          <w:szCs w:val="22"/>
        </w:rPr>
        <w:sectPr w:rsidR="008035C2" w:rsidRPr="008035C2" w:rsidSect="00AD7599">
          <w:headerReference w:type="default" r:id="rId28"/>
          <w:footerReference w:type="default" r:id="rId29"/>
          <w:pgSz w:w="11906" w:h="16838" w:code="9"/>
          <w:pgMar w:top="1701" w:right="851" w:bottom="1134" w:left="1701" w:header="567" w:footer="567" w:gutter="0"/>
          <w:cols w:space="708"/>
          <w:docGrid w:linePitch="360"/>
        </w:sectPr>
      </w:pPr>
    </w:p>
    <w:p w:rsidR="001A063B" w:rsidRPr="00601292" w:rsidRDefault="008D3A12" w:rsidP="00E155C0">
      <w:pPr>
        <w:pStyle w:val="Legenda"/>
        <w:spacing w:line="240" w:lineRule="auto"/>
        <w:jc w:val="center"/>
        <w:rPr>
          <w:rStyle w:val="CorpodetextoChar1"/>
          <w:b w:val="0"/>
          <w:i w:val="0"/>
        </w:rPr>
      </w:pPr>
      <w:bookmarkStart w:id="234" w:name="_Toc420316469"/>
      <w:r w:rsidRPr="00601292">
        <w:rPr>
          <w:i w:val="0"/>
        </w:rPr>
        <w:lastRenderedPageBreak/>
        <w:t xml:space="preserve">Quadro </w:t>
      </w:r>
      <w:r w:rsidR="00B80A05" w:rsidRPr="00601292">
        <w:rPr>
          <w:i w:val="0"/>
        </w:rPr>
        <w:fldChar w:fldCharType="begin"/>
      </w:r>
      <w:r w:rsidR="00402E81" w:rsidRPr="00601292">
        <w:rPr>
          <w:i w:val="0"/>
        </w:rPr>
        <w:instrText xml:space="preserve"> STYLEREF 2 \s </w:instrText>
      </w:r>
      <w:r w:rsidR="00B80A05" w:rsidRPr="00601292">
        <w:rPr>
          <w:i w:val="0"/>
        </w:rPr>
        <w:fldChar w:fldCharType="separate"/>
      </w:r>
      <w:r w:rsidR="00316060">
        <w:rPr>
          <w:i w:val="0"/>
          <w:noProof/>
        </w:rPr>
        <w:t>1.3</w:t>
      </w:r>
      <w:r w:rsidR="00B80A05" w:rsidRPr="00601292">
        <w:rPr>
          <w:i w:val="0"/>
        </w:rPr>
        <w:fldChar w:fldCharType="end"/>
      </w:r>
      <w:r w:rsidR="00402E81" w:rsidRPr="00601292">
        <w:rPr>
          <w:i w:val="0"/>
        </w:rPr>
        <w:t>.</w:t>
      </w:r>
      <w:r w:rsidR="00B80A05" w:rsidRPr="00601292">
        <w:rPr>
          <w:i w:val="0"/>
        </w:rPr>
        <w:fldChar w:fldCharType="begin"/>
      </w:r>
      <w:r w:rsidR="00402E81" w:rsidRPr="00601292">
        <w:rPr>
          <w:i w:val="0"/>
        </w:rPr>
        <w:instrText xml:space="preserve"> SEQ Quadro \* ARABIC \s 2 </w:instrText>
      </w:r>
      <w:r w:rsidR="00B80A05" w:rsidRPr="00601292">
        <w:rPr>
          <w:i w:val="0"/>
        </w:rPr>
        <w:fldChar w:fldCharType="separate"/>
      </w:r>
      <w:r w:rsidR="00316060">
        <w:rPr>
          <w:i w:val="0"/>
          <w:noProof/>
        </w:rPr>
        <w:t>26</w:t>
      </w:r>
      <w:r w:rsidR="00B80A05" w:rsidRPr="00601292">
        <w:rPr>
          <w:i w:val="0"/>
        </w:rPr>
        <w:fldChar w:fldCharType="end"/>
      </w:r>
      <w:r w:rsidR="00601292" w:rsidRPr="00601292">
        <w:rPr>
          <w:b w:val="0"/>
          <w:i w:val="0"/>
        </w:rPr>
        <w:t xml:space="preserve">. - </w:t>
      </w:r>
      <w:r w:rsidR="001A063B" w:rsidRPr="00601292">
        <w:rPr>
          <w:rStyle w:val="CorpodetextoChar1"/>
          <w:rFonts w:eastAsia="Calibri"/>
          <w:b w:val="0"/>
          <w:i w:val="0"/>
        </w:rPr>
        <w:t>Processos e mecanismos de instabilização das encostas marginais, graus de suscetibilidade e % de ocorrência ao longo do reservatório da Barragem Pedreira.</w:t>
      </w:r>
      <w:bookmarkEnd w:id="234"/>
    </w:p>
    <w:tbl>
      <w:tblPr>
        <w:tblW w:w="15000" w:type="dxa"/>
        <w:jc w:val="center"/>
        <w:tblInd w:w="55" w:type="dxa"/>
        <w:tblCellMar>
          <w:left w:w="70" w:type="dxa"/>
          <w:right w:w="70" w:type="dxa"/>
        </w:tblCellMar>
        <w:tblLook w:val="04A0" w:firstRow="1" w:lastRow="0" w:firstColumn="1" w:lastColumn="0" w:noHBand="0" w:noVBand="1"/>
      </w:tblPr>
      <w:tblGrid>
        <w:gridCol w:w="1708"/>
        <w:gridCol w:w="1767"/>
        <w:gridCol w:w="1843"/>
        <w:gridCol w:w="3969"/>
        <w:gridCol w:w="3402"/>
        <w:gridCol w:w="2311"/>
      </w:tblGrid>
      <w:tr w:rsidR="001A063B" w:rsidRPr="00867A3F" w:rsidTr="00C77C49">
        <w:trPr>
          <w:trHeight w:val="300"/>
          <w:jc w:val="center"/>
        </w:trPr>
        <w:tc>
          <w:tcPr>
            <w:tcW w:w="170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1A063B" w:rsidRPr="00867A3F" w:rsidRDefault="001A063B" w:rsidP="001A063B">
            <w:pPr>
              <w:spacing w:line="276" w:lineRule="auto"/>
              <w:jc w:val="center"/>
              <w:rPr>
                <w:rFonts w:cs="Arial"/>
                <w:b/>
                <w:bCs/>
                <w:color w:val="000000"/>
                <w:sz w:val="20"/>
              </w:rPr>
            </w:pPr>
            <w:r w:rsidRPr="00867A3F">
              <w:rPr>
                <w:rFonts w:cs="Arial"/>
                <w:b/>
                <w:bCs/>
                <w:color w:val="000000"/>
                <w:sz w:val="20"/>
              </w:rPr>
              <w:t>Grau de susceptibilidade</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1A063B" w:rsidRPr="00867A3F" w:rsidRDefault="001A063B" w:rsidP="001A063B">
            <w:pPr>
              <w:spacing w:line="276" w:lineRule="auto"/>
              <w:jc w:val="center"/>
              <w:rPr>
                <w:rFonts w:cs="Arial"/>
                <w:b/>
                <w:bCs/>
                <w:color w:val="000000"/>
                <w:sz w:val="20"/>
              </w:rPr>
            </w:pPr>
            <w:r w:rsidRPr="00867A3F">
              <w:rPr>
                <w:rFonts w:cs="Arial"/>
                <w:b/>
                <w:bCs/>
                <w:color w:val="000000"/>
                <w:sz w:val="20"/>
              </w:rPr>
              <w:t>Margem do reservatório</w:t>
            </w:r>
            <w:r>
              <w:rPr>
                <w:rFonts w:cs="Arial"/>
                <w:b/>
                <w:bCs/>
                <w:color w:val="000000"/>
                <w:sz w:val="20"/>
              </w:rPr>
              <w:t xml:space="preserve"> (1)</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1A063B" w:rsidRPr="00867A3F" w:rsidRDefault="001A063B" w:rsidP="001A063B">
            <w:pPr>
              <w:spacing w:line="276" w:lineRule="auto"/>
              <w:jc w:val="center"/>
              <w:rPr>
                <w:rFonts w:cs="Arial"/>
                <w:b/>
                <w:bCs/>
                <w:color w:val="000000"/>
                <w:sz w:val="20"/>
              </w:rPr>
            </w:pPr>
            <w:r w:rsidRPr="00867A3F">
              <w:rPr>
                <w:rFonts w:cs="Arial"/>
                <w:b/>
                <w:bCs/>
                <w:color w:val="000000"/>
                <w:sz w:val="20"/>
              </w:rPr>
              <w:t>Setores</w:t>
            </w:r>
          </w:p>
        </w:tc>
        <w:tc>
          <w:tcPr>
            <w:tcW w:w="7371" w:type="dxa"/>
            <w:gridSpan w:val="2"/>
            <w:tcBorders>
              <w:top w:val="single" w:sz="4" w:space="0" w:color="auto"/>
              <w:left w:val="nil"/>
              <w:bottom w:val="single" w:sz="4" w:space="0" w:color="auto"/>
              <w:right w:val="single" w:sz="4" w:space="0" w:color="auto"/>
            </w:tcBorders>
            <w:shd w:val="clear" w:color="auto" w:fill="D9D9D9"/>
            <w:noWrap/>
            <w:vAlign w:val="center"/>
            <w:hideMark/>
          </w:tcPr>
          <w:p w:rsidR="001A063B" w:rsidRPr="00867A3F" w:rsidRDefault="001A063B" w:rsidP="001A063B">
            <w:pPr>
              <w:spacing w:line="276" w:lineRule="auto"/>
              <w:jc w:val="center"/>
              <w:rPr>
                <w:rFonts w:cs="Arial"/>
                <w:b/>
                <w:bCs/>
                <w:color w:val="000000"/>
                <w:sz w:val="20"/>
              </w:rPr>
            </w:pPr>
            <w:r w:rsidRPr="00867A3F">
              <w:rPr>
                <w:rFonts w:cs="Arial"/>
                <w:b/>
                <w:bCs/>
                <w:color w:val="000000"/>
                <w:sz w:val="20"/>
              </w:rPr>
              <w:t>Processos e mecanismos</w:t>
            </w:r>
          </w:p>
        </w:tc>
        <w:tc>
          <w:tcPr>
            <w:tcW w:w="2311" w:type="dxa"/>
            <w:vMerge w:val="restart"/>
            <w:tcBorders>
              <w:top w:val="single" w:sz="4" w:space="0" w:color="auto"/>
              <w:left w:val="single" w:sz="4" w:space="0" w:color="auto"/>
              <w:bottom w:val="single" w:sz="4" w:space="0" w:color="auto"/>
              <w:right w:val="single" w:sz="4" w:space="0" w:color="auto"/>
            </w:tcBorders>
            <w:shd w:val="clear" w:color="auto" w:fill="D9D9D9"/>
            <w:noWrap/>
            <w:vAlign w:val="center"/>
            <w:hideMark/>
          </w:tcPr>
          <w:p w:rsidR="001A063B" w:rsidRPr="00867A3F" w:rsidRDefault="001A063B" w:rsidP="001A063B">
            <w:pPr>
              <w:spacing w:line="276" w:lineRule="auto"/>
              <w:jc w:val="center"/>
              <w:rPr>
                <w:rFonts w:cs="Arial"/>
                <w:b/>
                <w:bCs/>
                <w:color w:val="000000"/>
                <w:sz w:val="20"/>
              </w:rPr>
            </w:pPr>
            <w:r w:rsidRPr="00867A3F">
              <w:rPr>
                <w:rFonts w:cs="Arial"/>
                <w:b/>
                <w:bCs/>
                <w:color w:val="000000"/>
                <w:sz w:val="20"/>
              </w:rPr>
              <w:t xml:space="preserve">% em relação </w:t>
            </w:r>
            <w:r>
              <w:rPr>
                <w:rFonts w:cs="Arial"/>
                <w:b/>
                <w:bCs/>
                <w:color w:val="000000"/>
                <w:sz w:val="20"/>
              </w:rPr>
              <w:t>à</w:t>
            </w:r>
            <w:r w:rsidRPr="00867A3F">
              <w:rPr>
                <w:rFonts w:cs="Arial"/>
                <w:b/>
                <w:bCs/>
                <w:color w:val="000000"/>
                <w:sz w:val="20"/>
              </w:rPr>
              <w:t xml:space="preserve"> ADA</w:t>
            </w:r>
          </w:p>
        </w:tc>
      </w:tr>
      <w:tr w:rsidR="001A063B" w:rsidRPr="00867A3F" w:rsidTr="00C77C49">
        <w:trPr>
          <w:trHeight w:val="350"/>
          <w:jc w:val="center"/>
        </w:trPr>
        <w:tc>
          <w:tcPr>
            <w:tcW w:w="1708"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1A063B" w:rsidRPr="00867A3F" w:rsidRDefault="001A063B" w:rsidP="001A063B">
            <w:pPr>
              <w:spacing w:line="276" w:lineRule="auto"/>
              <w:jc w:val="center"/>
              <w:rPr>
                <w:rFonts w:cs="Arial"/>
                <w:b/>
                <w:bCs/>
                <w:color w:val="000000"/>
                <w:sz w:val="20"/>
              </w:rPr>
            </w:pPr>
          </w:p>
        </w:tc>
        <w:tc>
          <w:tcPr>
            <w:tcW w:w="1767"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1A063B" w:rsidRPr="00867A3F" w:rsidRDefault="001A063B" w:rsidP="001A063B">
            <w:pPr>
              <w:spacing w:line="276" w:lineRule="auto"/>
              <w:jc w:val="center"/>
              <w:rPr>
                <w:rFonts w:cs="Arial"/>
                <w:b/>
                <w:bCs/>
                <w:color w:val="000000"/>
                <w:sz w:val="20"/>
              </w:rPr>
            </w:pPr>
          </w:p>
        </w:tc>
        <w:tc>
          <w:tcPr>
            <w:tcW w:w="184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1A063B" w:rsidRPr="00867A3F" w:rsidRDefault="001A063B" w:rsidP="001A063B">
            <w:pPr>
              <w:spacing w:line="276" w:lineRule="auto"/>
              <w:jc w:val="center"/>
              <w:rPr>
                <w:rFonts w:cs="Arial"/>
                <w:b/>
                <w:bCs/>
                <w:color w:val="000000"/>
                <w:sz w:val="20"/>
              </w:rPr>
            </w:pPr>
          </w:p>
        </w:tc>
        <w:tc>
          <w:tcPr>
            <w:tcW w:w="3969" w:type="dxa"/>
            <w:tcBorders>
              <w:top w:val="nil"/>
              <w:left w:val="nil"/>
              <w:bottom w:val="single" w:sz="4" w:space="0" w:color="auto"/>
              <w:right w:val="single" w:sz="4" w:space="0" w:color="auto"/>
            </w:tcBorders>
            <w:shd w:val="clear" w:color="auto" w:fill="D9D9D9"/>
            <w:noWrap/>
            <w:vAlign w:val="center"/>
            <w:hideMark/>
          </w:tcPr>
          <w:p w:rsidR="001A063B" w:rsidRPr="00867A3F" w:rsidRDefault="001A063B" w:rsidP="001A063B">
            <w:pPr>
              <w:spacing w:line="276" w:lineRule="auto"/>
              <w:jc w:val="center"/>
              <w:rPr>
                <w:rFonts w:cs="Arial"/>
                <w:b/>
                <w:bCs/>
                <w:color w:val="000000"/>
                <w:sz w:val="20"/>
              </w:rPr>
            </w:pPr>
            <w:r w:rsidRPr="00867A3F">
              <w:rPr>
                <w:rFonts w:cs="Arial"/>
                <w:b/>
                <w:bCs/>
                <w:color w:val="000000"/>
                <w:sz w:val="20"/>
              </w:rPr>
              <w:t>Processos de Movimentação de massa</w:t>
            </w:r>
          </w:p>
        </w:tc>
        <w:tc>
          <w:tcPr>
            <w:tcW w:w="3402" w:type="dxa"/>
            <w:tcBorders>
              <w:top w:val="nil"/>
              <w:left w:val="nil"/>
              <w:bottom w:val="single" w:sz="4" w:space="0" w:color="auto"/>
              <w:right w:val="single" w:sz="4" w:space="0" w:color="auto"/>
            </w:tcBorders>
            <w:shd w:val="clear" w:color="auto" w:fill="D9D9D9"/>
            <w:noWrap/>
            <w:vAlign w:val="center"/>
            <w:hideMark/>
          </w:tcPr>
          <w:p w:rsidR="001A063B" w:rsidRPr="00867A3F" w:rsidRDefault="001A063B" w:rsidP="001A063B">
            <w:pPr>
              <w:spacing w:line="276" w:lineRule="auto"/>
              <w:jc w:val="center"/>
              <w:rPr>
                <w:rFonts w:cs="Arial"/>
                <w:b/>
                <w:bCs/>
                <w:color w:val="000000"/>
                <w:sz w:val="20"/>
              </w:rPr>
            </w:pPr>
            <w:r w:rsidRPr="00867A3F">
              <w:rPr>
                <w:rFonts w:cs="Arial"/>
                <w:b/>
                <w:bCs/>
                <w:color w:val="000000"/>
                <w:sz w:val="20"/>
              </w:rPr>
              <w:t>Processos erosivos</w:t>
            </w:r>
          </w:p>
        </w:tc>
        <w:tc>
          <w:tcPr>
            <w:tcW w:w="231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1A063B" w:rsidRPr="00867A3F" w:rsidRDefault="001A063B" w:rsidP="001A063B">
            <w:pPr>
              <w:spacing w:line="276" w:lineRule="auto"/>
              <w:jc w:val="center"/>
              <w:rPr>
                <w:rFonts w:cs="Arial"/>
                <w:b/>
                <w:bCs/>
                <w:color w:val="000000"/>
                <w:sz w:val="20"/>
              </w:rPr>
            </w:pPr>
          </w:p>
        </w:tc>
      </w:tr>
      <w:tr w:rsidR="001A063B" w:rsidRPr="00867A3F" w:rsidTr="00C77C49">
        <w:trPr>
          <w:trHeight w:val="300"/>
          <w:jc w:val="center"/>
        </w:trPr>
        <w:tc>
          <w:tcPr>
            <w:tcW w:w="1708" w:type="dxa"/>
            <w:vMerge w:val="restart"/>
            <w:tcBorders>
              <w:top w:val="nil"/>
              <w:left w:val="single" w:sz="4" w:space="0" w:color="auto"/>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b/>
                <w:bCs/>
                <w:color w:val="000000"/>
                <w:sz w:val="20"/>
              </w:rPr>
            </w:pPr>
            <w:r w:rsidRPr="00867A3F">
              <w:rPr>
                <w:rFonts w:cs="Arial"/>
                <w:b/>
                <w:bCs/>
                <w:color w:val="000000"/>
                <w:sz w:val="20"/>
              </w:rPr>
              <w:t>Médio</w:t>
            </w:r>
          </w:p>
        </w:tc>
        <w:tc>
          <w:tcPr>
            <w:tcW w:w="1767" w:type="dxa"/>
            <w:tcBorders>
              <w:top w:val="nil"/>
              <w:left w:val="nil"/>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ME</w:t>
            </w:r>
          </w:p>
        </w:tc>
        <w:tc>
          <w:tcPr>
            <w:tcW w:w="1843" w:type="dxa"/>
            <w:tcBorders>
              <w:top w:val="nil"/>
              <w:left w:val="nil"/>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14, 18 e 23</w:t>
            </w:r>
          </w:p>
        </w:tc>
        <w:tc>
          <w:tcPr>
            <w:tcW w:w="3969" w:type="dxa"/>
            <w:vMerge w:val="restart"/>
            <w:tcBorders>
              <w:top w:val="nil"/>
              <w:left w:val="single" w:sz="4" w:space="0" w:color="auto"/>
              <w:right w:val="single" w:sz="4" w:space="0" w:color="auto"/>
            </w:tcBorders>
            <w:shd w:val="clear" w:color="auto" w:fill="auto"/>
            <w:vAlign w:val="center"/>
            <w:hideMark/>
          </w:tcPr>
          <w:p w:rsidR="001A063B" w:rsidRPr="00867A3F" w:rsidRDefault="001A063B" w:rsidP="00601292">
            <w:pPr>
              <w:spacing w:line="276" w:lineRule="auto"/>
              <w:rPr>
                <w:rFonts w:cs="Arial"/>
                <w:color w:val="000000"/>
                <w:sz w:val="20"/>
              </w:rPr>
            </w:pPr>
          </w:p>
        </w:tc>
        <w:tc>
          <w:tcPr>
            <w:tcW w:w="340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w:t>
            </w:r>
          </w:p>
        </w:tc>
        <w:tc>
          <w:tcPr>
            <w:tcW w:w="231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3%</w:t>
            </w:r>
          </w:p>
        </w:tc>
      </w:tr>
      <w:tr w:rsidR="001A063B" w:rsidRPr="00867A3F" w:rsidTr="00C77C49">
        <w:trPr>
          <w:trHeight w:val="248"/>
          <w:jc w:val="center"/>
        </w:trPr>
        <w:tc>
          <w:tcPr>
            <w:tcW w:w="1708"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b/>
                <w:bCs/>
                <w:color w:val="000000"/>
                <w:sz w:val="20"/>
              </w:rPr>
            </w:pPr>
          </w:p>
        </w:tc>
        <w:tc>
          <w:tcPr>
            <w:tcW w:w="1767" w:type="dxa"/>
            <w:tcBorders>
              <w:top w:val="nil"/>
              <w:left w:val="nil"/>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MD</w:t>
            </w:r>
          </w:p>
        </w:tc>
        <w:tc>
          <w:tcPr>
            <w:tcW w:w="1843" w:type="dxa"/>
            <w:tcBorders>
              <w:top w:val="nil"/>
              <w:left w:val="nil"/>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31 e 45</w:t>
            </w:r>
          </w:p>
        </w:tc>
        <w:tc>
          <w:tcPr>
            <w:tcW w:w="3969" w:type="dxa"/>
            <w:vMerge/>
            <w:tcBorders>
              <w:left w:val="single" w:sz="4" w:space="0" w:color="auto"/>
              <w:right w:val="single" w:sz="4" w:space="0" w:color="auto"/>
            </w:tcBorders>
            <w:shd w:val="clear" w:color="auto" w:fill="auto"/>
            <w:vAlign w:val="center"/>
            <w:hideMark/>
          </w:tcPr>
          <w:p w:rsidR="001A063B" w:rsidRPr="00867A3F" w:rsidRDefault="001A063B" w:rsidP="00601292">
            <w:pPr>
              <w:spacing w:line="276" w:lineRule="auto"/>
              <w:rPr>
                <w:rFonts w:cs="Arial"/>
                <w:color w:val="000000"/>
                <w:sz w:val="20"/>
              </w:rPr>
            </w:pPr>
          </w:p>
        </w:tc>
        <w:tc>
          <w:tcPr>
            <w:tcW w:w="3402"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left"/>
              <w:rPr>
                <w:rFonts w:cs="Arial"/>
                <w:color w:val="000000"/>
                <w:sz w:val="20"/>
              </w:rPr>
            </w:pPr>
          </w:p>
        </w:tc>
        <w:tc>
          <w:tcPr>
            <w:tcW w:w="2311"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color w:val="000000"/>
                <w:sz w:val="20"/>
              </w:rPr>
            </w:pPr>
          </w:p>
        </w:tc>
      </w:tr>
      <w:tr w:rsidR="001A063B" w:rsidRPr="00867A3F" w:rsidTr="00C77C49">
        <w:trPr>
          <w:trHeight w:val="600"/>
          <w:jc w:val="center"/>
        </w:trPr>
        <w:tc>
          <w:tcPr>
            <w:tcW w:w="1708"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b/>
                <w:bCs/>
                <w:color w:val="000000"/>
                <w:sz w:val="20"/>
              </w:rPr>
            </w:pPr>
          </w:p>
        </w:tc>
        <w:tc>
          <w:tcPr>
            <w:tcW w:w="1767" w:type="dxa"/>
            <w:tcBorders>
              <w:top w:val="nil"/>
              <w:left w:val="nil"/>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ME</w:t>
            </w:r>
          </w:p>
        </w:tc>
        <w:tc>
          <w:tcPr>
            <w:tcW w:w="1843" w:type="dxa"/>
            <w:tcBorders>
              <w:top w:val="nil"/>
              <w:left w:val="nil"/>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4, 6, 8, 10, 13, 15, 20 e 22</w:t>
            </w:r>
          </w:p>
        </w:tc>
        <w:tc>
          <w:tcPr>
            <w:tcW w:w="3969" w:type="dxa"/>
            <w:vMerge/>
            <w:tcBorders>
              <w:left w:val="single" w:sz="4" w:space="0" w:color="auto"/>
              <w:right w:val="single" w:sz="4" w:space="0" w:color="auto"/>
            </w:tcBorders>
            <w:shd w:val="clear" w:color="auto" w:fill="auto"/>
            <w:vAlign w:val="center"/>
            <w:hideMark/>
          </w:tcPr>
          <w:p w:rsidR="001A063B" w:rsidRPr="00867A3F" w:rsidRDefault="001A063B" w:rsidP="00601292">
            <w:pPr>
              <w:spacing w:line="276" w:lineRule="auto"/>
              <w:rPr>
                <w:rFonts w:cs="Arial"/>
                <w:color w:val="000000"/>
                <w:sz w:val="20"/>
              </w:rPr>
            </w:pPr>
          </w:p>
        </w:tc>
        <w:tc>
          <w:tcPr>
            <w:tcW w:w="3402" w:type="dxa"/>
            <w:tcBorders>
              <w:top w:val="single" w:sz="4" w:space="0" w:color="auto"/>
              <w:left w:val="nil"/>
              <w:right w:val="single" w:sz="4" w:space="0" w:color="auto"/>
            </w:tcBorders>
            <w:shd w:val="clear" w:color="auto" w:fill="auto"/>
            <w:vAlign w:val="center"/>
            <w:hideMark/>
          </w:tcPr>
          <w:p w:rsidR="001A063B" w:rsidRPr="00867A3F" w:rsidRDefault="001A063B" w:rsidP="00601292">
            <w:pPr>
              <w:spacing w:line="276" w:lineRule="auto"/>
              <w:ind w:left="213" w:hanging="213"/>
              <w:jc w:val="left"/>
              <w:rPr>
                <w:rFonts w:cs="Arial"/>
                <w:color w:val="000000"/>
                <w:sz w:val="20"/>
              </w:rPr>
            </w:pPr>
            <w:r w:rsidRPr="00867A3F">
              <w:rPr>
                <w:rFonts w:cs="Arial"/>
                <w:color w:val="000000"/>
                <w:sz w:val="20"/>
              </w:rPr>
              <w:t xml:space="preserve">* </w:t>
            </w:r>
            <w:r w:rsidR="00601292">
              <w:rPr>
                <w:rFonts w:cs="Arial"/>
                <w:color w:val="000000"/>
                <w:sz w:val="20"/>
              </w:rPr>
              <w:t xml:space="preserve"> </w:t>
            </w:r>
            <w:r w:rsidRPr="00867A3F">
              <w:rPr>
                <w:rFonts w:cs="Arial"/>
                <w:color w:val="000000"/>
                <w:sz w:val="20"/>
              </w:rPr>
              <w:t>Erosão principalmente por sulcos e ravinas.</w:t>
            </w:r>
          </w:p>
        </w:tc>
        <w:tc>
          <w:tcPr>
            <w:tcW w:w="231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19%</w:t>
            </w:r>
          </w:p>
        </w:tc>
      </w:tr>
      <w:tr w:rsidR="001A063B" w:rsidRPr="00867A3F" w:rsidTr="00C77C49">
        <w:trPr>
          <w:trHeight w:val="742"/>
          <w:jc w:val="center"/>
        </w:trPr>
        <w:tc>
          <w:tcPr>
            <w:tcW w:w="1708"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b/>
                <w:bCs/>
                <w:color w:val="000000"/>
                <w:sz w:val="20"/>
              </w:rPr>
            </w:pPr>
          </w:p>
        </w:tc>
        <w:tc>
          <w:tcPr>
            <w:tcW w:w="1767" w:type="dxa"/>
            <w:tcBorders>
              <w:top w:val="nil"/>
              <w:left w:val="nil"/>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MD</w:t>
            </w:r>
          </w:p>
        </w:tc>
        <w:tc>
          <w:tcPr>
            <w:tcW w:w="1843" w:type="dxa"/>
            <w:tcBorders>
              <w:top w:val="nil"/>
              <w:left w:val="nil"/>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29, 33, 36, 38, 41, 43 e 47</w:t>
            </w:r>
          </w:p>
        </w:tc>
        <w:tc>
          <w:tcPr>
            <w:tcW w:w="3969" w:type="dxa"/>
            <w:vMerge/>
            <w:tcBorders>
              <w:left w:val="single" w:sz="4" w:space="0" w:color="auto"/>
              <w:bottom w:val="single" w:sz="4" w:space="0" w:color="auto"/>
              <w:right w:val="single" w:sz="4" w:space="0" w:color="auto"/>
            </w:tcBorders>
            <w:shd w:val="clear" w:color="auto" w:fill="auto"/>
            <w:vAlign w:val="center"/>
            <w:hideMark/>
          </w:tcPr>
          <w:p w:rsidR="001A063B" w:rsidRPr="00867A3F" w:rsidRDefault="001A063B" w:rsidP="00601292">
            <w:pPr>
              <w:spacing w:line="276" w:lineRule="auto"/>
              <w:rPr>
                <w:rFonts w:cs="Arial"/>
                <w:color w:val="000000"/>
                <w:sz w:val="20"/>
              </w:rPr>
            </w:pPr>
          </w:p>
        </w:tc>
        <w:tc>
          <w:tcPr>
            <w:tcW w:w="3402" w:type="dxa"/>
            <w:tcBorders>
              <w:top w:val="nil"/>
              <w:left w:val="nil"/>
              <w:bottom w:val="single" w:sz="4" w:space="0" w:color="auto"/>
              <w:right w:val="single" w:sz="4" w:space="0" w:color="auto"/>
            </w:tcBorders>
            <w:shd w:val="clear" w:color="auto" w:fill="auto"/>
            <w:vAlign w:val="center"/>
            <w:hideMark/>
          </w:tcPr>
          <w:p w:rsidR="001A063B" w:rsidRPr="00867A3F" w:rsidRDefault="001A063B" w:rsidP="00601292">
            <w:pPr>
              <w:spacing w:line="276" w:lineRule="auto"/>
              <w:ind w:left="213" w:hanging="213"/>
              <w:jc w:val="left"/>
              <w:rPr>
                <w:rFonts w:cs="Arial"/>
                <w:color w:val="000000"/>
                <w:sz w:val="20"/>
              </w:rPr>
            </w:pPr>
            <w:r w:rsidRPr="00867A3F">
              <w:rPr>
                <w:rFonts w:cs="Arial"/>
                <w:color w:val="000000"/>
                <w:sz w:val="20"/>
              </w:rPr>
              <w:t xml:space="preserve">* </w:t>
            </w:r>
            <w:r w:rsidR="00601292">
              <w:rPr>
                <w:rFonts w:cs="Arial"/>
                <w:color w:val="000000"/>
                <w:sz w:val="20"/>
              </w:rPr>
              <w:t xml:space="preserve"> </w:t>
            </w:r>
            <w:r w:rsidRPr="00867A3F">
              <w:rPr>
                <w:rFonts w:cs="Arial"/>
                <w:color w:val="000000"/>
                <w:sz w:val="20"/>
              </w:rPr>
              <w:t>Eventualmente solapamentos e desbarrancamentos das margens do reservatório.</w:t>
            </w:r>
          </w:p>
        </w:tc>
        <w:tc>
          <w:tcPr>
            <w:tcW w:w="2311"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color w:val="000000"/>
                <w:sz w:val="20"/>
              </w:rPr>
            </w:pPr>
          </w:p>
        </w:tc>
      </w:tr>
      <w:tr w:rsidR="001A063B" w:rsidRPr="00867A3F" w:rsidTr="00C77C49">
        <w:trPr>
          <w:trHeight w:val="300"/>
          <w:jc w:val="center"/>
        </w:trPr>
        <w:tc>
          <w:tcPr>
            <w:tcW w:w="1708" w:type="dxa"/>
            <w:vMerge w:val="restart"/>
            <w:tcBorders>
              <w:top w:val="nil"/>
              <w:left w:val="single" w:sz="4" w:space="0" w:color="auto"/>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b/>
                <w:bCs/>
                <w:color w:val="000000"/>
                <w:sz w:val="20"/>
              </w:rPr>
            </w:pPr>
            <w:r w:rsidRPr="00867A3F">
              <w:rPr>
                <w:rFonts w:cs="Arial"/>
                <w:b/>
                <w:bCs/>
                <w:color w:val="000000"/>
                <w:sz w:val="20"/>
              </w:rPr>
              <w:t>Médio a Alto</w:t>
            </w:r>
          </w:p>
        </w:tc>
        <w:tc>
          <w:tcPr>
            <w:tcW w:w="1767" w:type="dxa"/>
            <w:tcBorders>
              <w:top w:val="nil"/>
              <w:left w:val="nil"/>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ME</w:t>
            </w:r>
          </w:p>
        </w:tc>
        <w:tc>
          <w:tcPr>
            <w:tcW w:w="1843" w:type="dxa"/>
            <w:tcBorders>
              <w:top w:val="nil"/>
              <w:left w:val="nil"/>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1, 2, 3, 7 e 24</w:t>
            </w:r>
          </w:p>
        </w:tc>
        <w:tc>
          <w:tcPr>
            <w:tcW w:w="3969" w:type="dxa"/>
            <w:vMerge w:val="restart"/>
            <w:tcBorders>
              <w:top w:val="nil"/>
              <w:left w:val="single" w:sz="4" w:space="0" w:color="auto"/>
              <w:right w:val="single" w:sz="4" w:space="0" w:color="auto"/>
            </w:tcBorders>
            <w:shd w:val="clear" w:color="auto" w:fill="auto"/>
            <w:vAlign w:val="center"/>
            <w:hideMark/>
          </w:tcPr>
          <w:p w:rsidR="001A063B" w:rsidRDefault="001A063B" w:rsidP="00601292">
            <w:pPr>
              <w:spacing w:line="276" w:lineRule="auto"/>
              <w:ind w:left="213" w:hanging="213"/>
              <w:rPr>
                <w:rFonts w:cs="Arial"/>
                <w:color w:val="000000"/>
                <w:sz w:val="20"/>
              </w:rPr>
            </w:pPr>
            <w:r w:rsidRPr="00867A3F">
              <w:rPr>
                <w:rFonts w:cs="Arial"/>
                <w:color w:val="000000"/>
                <w:sz w:val="20"/>
              </w:rPr>
              <w:t>*</w:t>
            </w:r>
            <w:r w:rsidR="00601292">
              <w:rPr>
                <w:rFonts w:cs="Arial"/>
                <w:color w:val="000000"/>
                <w:sz w:val="20"/>
              </w:rPr>
              <w:t xml:space="preserve"> </w:t>
            </w:r>
            <w:r w:rsidRPr="00867A3F">
              <w:rPr>
                <w:rFonts w:cs="Arial"/>
                <w:color w:val="000000"/>
                <w:sz w:val="20"/>
              </w:rPr>
              <w:t xml:space="preserve"> Escorregamentos em solos coluvionares e residuais;</w:t>
            </w:r>
          </w:p>
          <w:p w:rsidR="001A063B" w:rsidRDefault="001A063B" w:rsidP="00601292">
            <w:pPr>
              <w:spacing w:line="276" w:lineRule="auto"/>
              <w:ind w:left="213" w:hanging="213"/>
              <w:rPr>
                <w:rFonts w:cs="Arial"/>
                <w:color w:val="000000"/>
                <w:sz w:val="20"/>
              </w:rPr>
            </w:pPr>
            <w:r w:rsidRPr="00867A3F">
              <w:rPr>
                <w:rFonts w:cs="Arial"/>
                <w:color w:val="000000"/>
                <w:sz w:val="20"/>
              </w:rPr>
              <w:t xml:space="preserve">* </w:t>
            </w:r>
            <w:r w:rsidR="00601292">
              <w:rPr>
                <w:rFonts w:cs="Arial"/>
                <w:color w:val="000000"/>
                <w:sz w:val="20"/>
              </w:rPr>
              <w:t xml:space="preserve"> </w:t>
            </w:r>
            <w:r w:rsidRPr="00867A3F">
              <w:rPr>
                <w:rFonts w:cs="Arial"/>
                <w:color w:val="000000"/>
                <w:sz w:val="20"/>
              </w:rPr>
              <w:t xml:space="preserve">Escorregamentos em rochas e queda de blocos condicionados pelas estruturas (fraturas </w:t>
            </w:r>
            <w:r>
              <w:rPr>
                <w:rFonts w:cs="Arial"/>
                <w:color w:val="000000"/>
                <w:sz w:val="20"/>
              </w:rPr>
              <w:t>e foliações) do maciço rochoso;</w:t>
            </w:r>
          </w:p>
          <w:p w:rsidR="001A063B" w:rsidRPr="00867A3F" w:rsidRDefault="001A063B" w:rsidP="00601292">
            <w:pPr>
              <w:spacing w:line="276" w:lineRule="auto"/>
              <w:rPr>
                <w:rFonts w:cs="Arial"/>
                <w:color w:val="000000"/>
                <w:sz w:val="20"/>
              </w:rPr>
            </w:pPr>
            <w:r w:rsidRPr="00867A3F">
              <w:rPr>
                <w:rFonts w:cs="Arial"/>
                <w:color w:val="000000"/>
                <w:sz w:val="20"/>
              </w:rPr>
              <w:t xml:space="preserve">* </w:t>
            </w:r>
            <w:r w:rsidR="00601292">
              <w:rPr>
                <w:rFonts w:cs="Arial"/>
                <w:color w:val="000000"/>
                <w:sz w:val="20"/>
              </w:rPr>
              <w:t xml:space="preserve"> </w:t>
            </w:r>
            <w:r w:rsidRPr="00867A3F">
              <w:rPr>
                <w:rFonts w:cs="Arial"/>
                <w:color w:val="000000"/>
                <w:sz w:val="20"/>
              </w:rPr>
              <w:t>Rolamento de blocos e matacões.</w:t>
            </w:r>
          </w:p>
        </w:tc>
        <w:tc>
          <w:tcPr>
            <w:tcW w:w="3402" w:type="dxa"/>
            <w:vMerge w:val="restart"/>
            <w:tcBorders>
              <w:top w:val="nil"/>
              <w:left w:val="single" w:sz="4" w:space="0" w:color="auto"/>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w:t>
            </w:r>
          </w:p>
        </w:tc>
        <w:tc>
          <w:tcPr>
            <w:tcW w:w="231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10%</w:t>
            </w:r>
          </w:p>
        </w:tc>
      </w:tr>
      <w:tr w:rsidR="001A063B" w:rsidRPr="00867A3F" w:rsidTr="00C77C49">
        <w:trPr>
          <w:trHeight w:val="347"/>
          <w:jc w:val="center"/>
        </w:trPr>
        <w:tc>
          <w:tcPr>
            <w:tcW w:w="1708"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b/>
                <w:bCs/>
                <w:color w:val="000000"/>
                <w:sz w:val="20"/>
              </w:rPr>
            </w:pPr>
          </w:p>
        </w:tc>
        <w:tc>
          <w:tcPr>
            <w:tcW w:w="1767" w:type="dxa"/>
            <w:tcBorders>
              <w:top w:val="nil"/>
              <w:left w:val="nil"/>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MD</w:t>
            </w:r>
          </w:p>
        </w:tc>
        <w:tc>
          <w:tcPr>
            <w:tcW w:w="1843" w:type="dxa"/>
            <w:tcBorders>
              <w:top w:val="nil"/>
              <w:left w:val="nil"/>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25, 26, 27, 30</w:t>
            </w:r>
            <w:r>
              <w:rPr>
                <w:rFonts w:cs="Arial"/>
                <w:color w:val="000000"/>
                <w:sz w:val="20"/>
              </w:rPr>
              <w:t>,</w:t>
            </w:r>
            <w:r w:rsidRPr="00867A3F">
              <w:rPr>
                <w:rFonts w:cs="Arial"/>
                <w:color w:val="000000"/>
                <w:sz w:val="20"/>
              </w:rPr>
              <w:t xml:space="preserve"> </w:t>
            </w:r>
            <w:r>
              <w:rPr>
                <w:rFonts w:cs="Arial"/>
                <w:color w:val="000000"/>
                <w:sz w:val="20"/>
              </w:rPr>
              <w:t xml:space="preserve">32 </w:t>
            </w:r>
            <w:r w:rsidRPr="00867A3F">
              <w:rPr>
                <w:rFonts w:cs="Arial"/>
                <w:color w:val="000000"/>
                <w:sz w:val="20"/>
              </w:rPr>
              <w:t>e 40</w:t>
            </w:r>
          </w:p>
        </w:tc>
        <w:tc>
          <w:tcPr>
            <w:tcW w:w="3969" w:type="dxa"/>
            <w:vMerge/>
            <w:tcBorders>
              <w:left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p>
        </w:tc>
        <w:tc>
          <w:tcPr>
            <w:tcW w:w="3402"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left"/>
              <w:rPr>
                <w:rFonts w:cs="Arial"/>
                <w:color w:val="000000"/>
                <w:sz w:val="20"/>
              </w:rPr>
            </w:pPr>
          </w:p>
        </w:tc>
        <w:tc>
          <w:tcPr>
            <w:tcW w:w="2311"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color w:val="000000"/>
                <w:sz w:val="20"/>
              </w:rPr>
            </w:pPr>
          </w:p>
        </w:tc>
      </w:tr>
      <w:tr w:rsidR="001A063B" w:rsidRPr="00867A3F" w:rsidTr="00C77C49">
        <w:trPr>
          <w:trHeight w:val="600"/>
          <w:jc w:val="center"/>
        </w:trPr>
        <w:tc>
          <w:tcPr>
            <w:tcW w:w="1708"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b/>
                <w:bCs/>
                <w:color w:val="000000"/>
                <w:sz w:val="20"/>
              </w:rPr>
            </w:pPr>
          </w:p>
        </w:tc>
        <w:tc>
          <w:tcPr>
            <w:tcW w:w="1767" w:type="dxa"/>
            <w:tcBorders>
              <w:top w:val="nil"/>
              <w:left w:val="nil"/>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ME</w:t>
            </w:r>
          </w:p>
        </w:tc>
        <w:tc>
          <w:tcPr>
            <w:tcW w:w="1843" w:type="dxa"/>
            <w:tcBorders>
              <w:top w:val="nil"/>
              <w:left w:val="nil"/>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5, 9, 11, 12, 16 e 19</w:t>
            </w:r>
          </w:p>
        </w:tc>
        <w:tc>
          <w:tcPr>
            <w:tcW w:w="3969" w:type="dxa"/>
            <w:vMerge/>
            <w:tcBorders>
              <w:left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p>
        </w:tc>
        <w:tc>
          <w:tcPr>
            <w:tcW w:w="3402" w:type="dxa"/>
            <w:tcBorders>
              <w:top w:val="single" w:sz="4" w:space="0" w:color="auto"/>
              <w:left w:val="nil"/>
              <w:right w:val="single" w:sz="4" w:space="0" w:color="auto"/>
            </w:tcBorders>
            <w:shd w:val="clear" w:color="auto" w:fill="auto"/>
            <w:vAlign w:val="center"/>
            <w:hideMark/>
          </w:tcPr>
          <w:p w:rsidR="001A063B" w:rsidRPr="00867A3F" w:rsidRDefault="001A063B" w:rsidP="00601292">
            <w:pPr>
              <w:spacing w:line="276" w:lineRule="auto"/>
              <w:ind w:left="213" w:hanging="213"/>
              <w:jc w:val="left"/>
              <w:rPr>
                <w:rFonts w:cs="Arial"/>
                <w:color w:val="000000"/>
                <w:sz w:val="20"/>
              </w:rPr>
            </w:pPr>
            <w:r w:rsidRPr="00867A3F">
              <w:rPr>
                <w:rFonts w:cs="Arial"/>
                <w:color w:val="000000"/>
                <w:sz w:val="20"/>
              </w:rPr>
              <w:t xml:space="preserve">* </w:t>
            </w:r>
            <w:r w:rsidR="00601292">
              <w:rPr>
                <w:rFonts w:cs="Arial"/>
                <w:color w:val="000000"/>
                <w:sz w:val="20"/>
              </w:rPr>
              <w:t xml:space="preserve"> </w:t>
            </w:r>
            <w:r w:rsidRPr="00867A3F">
              <w:rPr>
                <w:rFonts w:cs="Arial"/>
                <w:color w:val="000000"/>
                <w:sz w:val="20"/>
              </w:rPr>
              <w:t>Erosão principalmente por sulcos e ravinas.</w:t>
            </w:r>
          </w:p>
        </w:tc>
        <w:tc>
          <w:tcPr>
            <w:tcW w:w="231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18%</w:t>
            </w:r>
          </w:p>
        </w:tc>
      </w:tr>
      <w:tr w:rsidR="001A063B" w:rsidRPr="00867A3F" w:rsidTr="00C77C49">
        <w:trPr>
          <w:trHeight w:val="780"/>
          <w:jc w:val="center"/>
        </w:trPr>
        <w:tc>
          <w:tcPr>
            <w:tcW w:w="1708"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b/>
                <w:bCs/>
                <w:color w:val="000000"/>
                <w:sz w:val="20"/>
              </w:rPr>
            </w:pPr>
          </w:p>
        </w:tc>
        <w:tc>
          <w:tcPr>
            <w:tcW w:w="1767" w:type="dxa"/>
            <w:tcBorders>
              <w:top w:val="nil"/>
              <w:left w:val="nil"/>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MD</w:t>
            </w:r>
          </w:p>
        </w:tc>
        <w:tc>
          <w:tcPr>
            <w:tcW w:w="1843" w:type="dxa"/>
            <w:tcBorders>
              <w:top w:val="nil"/>
              <w:left w:val="nil"/>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28, 35, 37, 39, 42, 44 e 46</w:t>
            </w:r>
          </w:p>
        </w:tc>
        <w:tc>
          <w:tcPr>
            <w:tcW w:w="3969" w:type="dxa"/>
            <w:vMerge/>
            <w:tcBorders>
              <w:left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p>
        </w:tc>
        <w:tc>
          <w:tcPr>
            <w:tcW w:w="3402" w:type="dxa"/>
            <w:tcBorders>
              <w:top w:val="nil"/>
              <w:left w:val="nil"/>
              <w:bottom w:val="single" w:sz="4" w:space="0" w:color="auto"/>
              <w:right w:val="single" w:sz="4" w:space="0" w:color="auto"/>
            </w:tcBorders>
            <w:shd w:val="clear" w:color="auto" w:fill="auto"/>
            <w:vAlign w:val="center"/>
            <w:hideMark/>
          </w:tcPr>
          <w:p w:rsidR="001A063B" w:rsidRPr="00867A3F" w:rsidRDefault="001A063B" w:rsidP="00601292">
            <w:pPr>
              <w:spacing w:line="276" w:lineRule="auto"/>
              <w:ind w:left="213" w:hanging="213"/>
              <w:jc w:val="left"/>
              <w:rPr>
                <w:rFonts w:cs="Arial"/>
                <w:color w:val="000000"/>
                <w:sz w:val="20"/>
              </w:rPr>
            </w:pPr>
            <w:r w:rsidRPr="00867A3F">
              <w:rPr>
                <w:rFonts w:cs="Arial"/>
                <w:color w:val="000000"/>
                <w:sz w:val="20"/>
              </w:rPr>
              <w:t>*</w:t>
            </w:r>
            <w:r w:rsidR="00601292">
              <w:rPr>
                <w:rFonts w:cs="Arial"/>
                <w:color w:val="000000"/>
                <w:sz w:val="20"/>
              </w:rPr>
              <w:t xml:space="preserve"> </w:t>
            </w:r>
            <w:r w:rsidRPr="00867A3F">
              <w:rPr>
                <w:rFonts w:cs="Arial"/>
                <w:color w:val="000000"/>
                <w:sz w:val="20"/>
              </w:rPr>
              <w:t xml:space="preserve"> Eventualmente solapamentos e desbarrancamentos das margens do reservatório.</w:t>
            </w:r>
          </w:p>
        </w:tc>
        <w:tc>
          <w:tcPr>
            <w:tcW w:w="2311"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color w:val="000000"/>
                <w:sz w:val="20"/>
              </w:rPr>
            </w:pPr>
          </w:p>
        </w:tc>
      </w:tr>
      <w:tr w:rsidR="001A063B" w:rsidRPr="00867A3F" w:rsidTr="00C77C49">
        <w:trPr>
          <w:trHeight w:val="290"/>
          <w:jc w:val="center"/>
        </w:trPr>
        <w:tc>
          <w:tcPr>
            <w:tcW w:w="1708" w:type="dxa"/>
            <w:vMerge w:val="restart"/>
            <w:tcBorders>
              <w:top w:val="nil"/>
              <w:left w:val="single" w:sz="4" w:space="0" w:color="auto"/>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b/>
                <w:bCs/>
                <w:color w:val="000000"/>
                <w:sz w:val="20"/>
              </w:rPr>
            </w:pPr>
            <w:r w:rsidRPr="00867A3F">
              <w:rPr>
                <w:rFonts w:cs="Arial"/>
                <w:b/>
                <w:bCs/>
                <w:color w:val="000000"/>
                <w:sz w:val="20"/>
              </w:rPr>
              <w:t>Alto</w:t>
            </w:r>
          </w:p>
        </w:tc>
        <w:tc>
          <w:tcPr>
            <w:tcW w:w="1767" w:type="dxa"/>
            <w:tcBorders>
              <w:top w:val="nil"/>
              <w:left w:val="nil"/>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ME</w:t>
            </w:r>
          </w:p>
        </w:tc>
        <w:tc>
          <w:tcPr>
            <w:tcW w:w="1843" w:type="dxa"/>
            <w:tcBorders>
              <w:top w:val="nil"/>
              <w:left w:val="nil"/>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34</w:t>
            </w:r>
          </w:p>
        </w:tc>
        <w:tc>
          <w:tcPr>
            <w:tcW w:w="3969" w:type="dxa"/>
            <w:vMerge/>
            <w:tcBorders>
              <w:left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p>
        </w:tc>
        <w:tc>
          <w:tcPr>
            <w:tcW w:w="3402" w:type="dxa"/>
            <w:tcBorders>
              <w:top w:val="nil"/>
              <w:left w:val="nil"/>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w:t>
            </w:r>
          </w:p>
        </w:tc>
        <w:tc>
          <w:tcPr>
            <w:tcW w:w="2311" w:type="dxa"/>
            <w:tcBorders>
              <w:top w:val="nil"/>
              <w:left w:val="nil"/>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1%</w:t>
            </w:r>
          </w:p>
        </w:tc>
      </w:tr>
      <w:tr w:rsidR="001A063B" w:rsidRPr="00867A3F" w:rsidTr="00C77C49">
        <w:trPr>
          <w:trHeight w:val="525"/>
          <w:jc w:val="center"/>
        </w:trPr>
        <w:tc>
          <w:tcPr>
            <w:tcW w:w="1708"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b/>
                <w:bCs/>
                <w:color w:val="000000"/>
                <w:sz w:val="20"/>
              </w:rPr>
            </w:pPr>
          </w:p>
        </w:tc>
        <w:tc>
          <w:tcPr>
            <w:tcW w:w="176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MD</w:t>
            </w:r>
          </w:p>
        </w:tc>
        <w:tc>
          <w:tcPr>
            <w:tcW w:w="1843" w:type="dxa"/>
            <w:vMerge w:val="restart"/>
            <w:tcBorders>
              <w:top w:val="nil"/>
              <w:left w:val="single" w:sz="4" w:space="0" w:color="auto"/>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17 e 21</w:t>
            </w:r>
          </w:p>
        </w:tc>
        <w:tc>
          <w:tcPr>
            <w:tcW w:w="3969" w:type="dxa"/>
            <w:vMerge/>
            <w:tcBorders>
              <w:left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p>
        </w:tc>
        <w:tc>
          <w:tcPr>
            <w:tcW w:w="3402" w:type="dxa"/>
            <w:tcBorders>
              <w:top w:val="single" w:sz="4" w:space="0" w:color="auto"/>
              <w:left w:val="nil"/>
              <w:right w:val="single" w:sz="4" w:space="0" w:color="auto"/>
            </w:tcBorders>
            <w:shd w:val="clear" w:color="auto" w:fill="auto"/>
            <w:vAlign w:val="center"/>
            <w:hideMark/>
          </w:tcPr>
          <w:p w:rsidR="001A063B" w:rsidRPr="00867A3F" w:rsidRDefault="001A063B" w:rsidP="00601292">
            <w:pPr>
              <w:spacing w:line="276" w:lineRule="auto"/>
              <w:ind w:left="213" w:hanging="213"/>
              <w:jc w:val="left"/>
              <w:rPr>
                <w:rFonts w:cs="Arial"/>
                <w:color w:val="000000"/>
                <w:sz w:val="20"/>
              </w:rPr>
            </w:pPr>
            <w:r w:rsidRPr="00867A3F">
              <w:rPr>
                <w:rFonts w:cs="Arial"/>
                <w:color w:val="000000"/>
                <w:sz w:val="20"/>
              </w:rPr>
              <w:t xml:space="preserve">* </w:t>
            </w:r>
            <w:r w:rsidR="00601292">
              <w:rPr>
                <w:rFonts w:cs="Arial"/>
                <w:color w:val="000000"/>
                <w:sz w:val="20"/>
              </w:rPr>
              <w:t xml:space="preserve"> </w:t>
            </w:r>
            <w:r w:rsidRPr="00867A3F">
              <w:rPr>
                <w:rFonts w:cs="Arial"/>
                <w:color w:val="000000"/>
                <w:sz w:val="20"/>
              </w:rPr>
              <w:t>Erosão principalmente por sulcos e ravinas.</w:t>
            </w:r>
          </w:p>
        </w:tc>
        <w:tc>
          <w:tcPr>
            <w:tcW w:w="231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A063B" w:rsidRPr="00867A3F" w:rsidRDefault="001A063B" w:rsidP="001A063B">
            <w:pPr>
              <w:spacing w:line="276" w:lineRule="auto"/>
              <w:jc w:val="center"/>
              <w:rPr>
                <w:rFonts w:cs="Arial"/>
                <w:color w:val="000000"/>
                <w:sz w:val="20"/>
              </w:rPr>
            </w:pPr>
            <w:r w:rsidRPr="00867A3F">
              <w:rPr>
                <w:rFonts w:cs="Arial"/>
                <w:color w:val="000000"/>
                <w:sz w:val="20"/>
              </w:rPr>
              <w:t>3%</w:t>
            </w:r>
          </w:p>
        </w:tc>
      </w:tr>
      <w:tr w:rsidR="001A063B" w:rsidRPr="00867A3F" w:rsidTr="00C77C49">
        <w:trPr>
          <w:trHeight w:val="501"/>
          <w:jc w:val="center"/>
        </w:trPr>
        <w:tc>
          <w:tcPr>
            <w:tcW w:w="1708"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b/>
                <w:bCs/>
                <w:color w:val="000000"/>
                <w:sz w:val="20"/>
              </w:rPr>
            </w:pPr>
          </w:p>
        </w:tc>
        <w:tc>
          <w:tcPr>
            <w:tcW w:w="1767"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color w:val="000000"/>
                <w:sz w:val="20"/>
              </w:rPr>
            </w:pPr>
          </w:p>
        </w:tc>
        <w:tc>
          <w:tcPr>
            <w:tcW w:w="1843"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color w:val="000000"/>
                <w:sz w:val="20"/>
              </w:rPr>
            </w:pPr>
          </w:p>
        </w:tc>
        <w:tc>
          <w:tcPr>
            <w:tcW w:w="3969" w:type="dxa"/>
            <w:vMerge/>
            <w:tcBorders>
              <w:left w:val="single" w:sz="4" w:space="0" w:color="auto"/>
              <w:bottom w:val="single" w:sz="4" w:space="0" w:color="auto"/>
              <w:right w:val="single" w:sz="4" w:space="0" w:color="auto"/>
            </w:tcBorders>
            <w:shd w:val="clear" w:color="auto" w:fill="auto"/>
            <w:vAlign w:val="center"/>
            <w:hideMark/>
          </w:tcPr>
          <w:p w:rsidR="001A063B" w:rsidRPr="00867A3F" w:rsidRDefault="001A063B" w:rsidP="001A063B">
            <w:pPr>
              <w:spacing w:line="276" w:lineRule="auto"/>
              <w:jc w:val="center"/>
              <w:rPr>
                <w:rFonts w:cs="Arial"/>
                <w:color w:val="000000"/>
                <w:sz w:val="20"/>
              </w:rPr>
            </w:pPr>
          </w:p>
        </w:tc>
        <w:tc>
          <w:tcPr>
            <w:tcW w:w="3402" w:type="dxa"/>
            <w:tcBorders>
              <w:top w:val="nil"/>
              <w:left w:val="nil"/>
              <w:bottom w:val="single" w:sz="4" w:space="0" w:color="auto"/>
              <w:right w:val="single" w:sz="4" w:space="0" w:color="auto"/>
            </w:tcBorders>
            <w:shd w:val="clear" w:color="auto" w:fill="auto"/>
            <w:vAlign w:val="center"/>
            <w:hideMark/>
          </w:tcPr>
          <w:p w:rsidR="001A063B" w:rsidRPr="00867A3F" w:rsidRDefault="001A063B" w:rsidP="00601292">
            <w:pPr>
              <w:spacing w:line="276" w:lineRule="auto"/>
              <w:ind w:left="213" w:hanging="213"/>
              <w:jc w:val="left"/>
              <w:rPr>
                <w:rFonts w:cs="Arial"/>
                <w:color w:val="000000"/>
                <w:sz w:val="20"/>
              </w:rPr>
            </w:pPr>
            <w:r w:rsidRPr="00867A3F">
              <w:rPr>
                <w:rFonts w:cs="Arial"/>
                <w:color w:val="000000"/>
                <w:sz w:val="20"/>
              </w:rPr>
              <w:t xml:space="preserve">* </w:t>
            </w:r>
            <w:r w:rsidR="00601292">
              <w:rPr>
                <w:rFonts w:cs="Arial"/>
                <w:color w:val="000000"/>
                <w:sz w:val="20"/>
              </w:rPr>
              <w:t xml:space="preserve"> </w:t>
            </w:r>
            <w:r w:rsidRPr="00867A3F">
              <w:rPr>
                <w:rFonts w:cs="Arial"/>
                <w:color w:val="000000"/>
                <w:sz w:val="20"/>
              </w:rPr>
              <w:t>Eventualmente solapamentos e desbarrancamentos das margens do reservatório.</w:t>
            </w:r>
          </w:p>
        </w:tc>
        <w:tc>
          <w:tcPr>
            <w:tcW w:w="2311" w:type="dxa"/>
            <w:vMerge/>
            <w:tcBorders>
              <w:top w:val="nil"/>
              <w:left w:val="single" w:sz="4" w:space="0" w:color="auto"/>
              <w:bottom w:val="single" w:sz="4" w:space="0" w:color="auto"/>
              <w:right w:val="single" w:sz="4" w:space="0" w:color="auto"/>
            </w:tcBorders>
            <w:vAlign w:val="center"/>
            <w:hideMark/>
          </w:tcPr>
          <w:p w:rsidR="001A063B" w:rsidRPr="00867A3F" w:rsidRDefault="001A063B" w:rsidP="001A063B">
            <w:pPr>
              <w:spacing w:line="276" w:lineRule="auto"/>
              <w:jc w:val="center"/>
              <w:rPr>
                <w:rFonts w:cs="Arial"/>
                <w:color w:val="000000"/>
                <w:sz w:val="20"/>
              </w:rPr>
            </w:pPr>
          </w:p>
        </w:tc>
      </w:tr>
    </w:tbl>
    <w:p w:rsidR="00791E53" w:rsidRPr="00601292" w:rsidRDefault="00791E53" w:rsidP="00E051FC">
      <w:pPr>
        <w:pStyle w:val="p10"/>
        <w:spacing w:line="276" w:lineRule="auto"/>
        <w:rPr>
          <w:sz w:val="20"/>
        </w:rPr>
      </w:pPr>
      <w:r w:rsidRPr="00601292">
        <w:rPr>
          <w:rFonts w:cs="Arial"/>
          <w:b/>
          <w:sz w:val="20"/>
        </w:rPr>
        <w:t xml:space="preserve">(1) </w:t>
      </w:r>
      <w:r w:rsidRPr="00601292">
        <w:rPr>
          <w:rFonts w:cs="Arial"/>
          <w:b/>
          <w:color w:val="auto"/>
          <w:sz w:val="20"/>
        </w:rPr>
        <w:t xml:space="preserve">MD: </w:t>
      </w:r>
      <w:r w:rsidRPr="00601292">
        <w:rPr>
          <w:rFonts w:cs="Arial"/>
          <w:color w:val="auto"/>
          <w:sz w:val="20"/>
        </w:rPr>
        <w:t>Margem direita; ME: Margem Esquerda</w:t>
      </w:r>
    </w:p>
    <w:p w:rsidR="00D67FCF" w:rsidRDefault="00D67FCF" w:rsidP="001A063B">
      <w:pPr>
        <w:pStyle w:val="Corpodetexto"/>
        <w:tabs>
          <w:tab w:val="left" w:pos="2430"/>
        </w:tabs>
        <w:rPr>
          <w:b/>
          <w:szCs w:val="22"/>
        </w:rPr>
      </w:pPr>
      <w:r>
        <w:rPr>
          <w:b/>
          <w:szCs w:val="22"/>
        </w:rPr>
        <w:br w:type="page"/>
      </w:r>
    </w:p>
    <w:p w:rsidR="00E051FC" w:rsidRPr="006F141D" w:rsidRDefault="008D3A12" w:rsidP="00E155C0">
      <w:pPr>
        <w:pStyle w:val="Legenda"/>
        <w:spacing w:line="240" w:lineRule="auto"/>
        <w:jc w:val="center"/>
        <w:rPr>
          <w:rStyle w:val="CorpodetextoChar1"/>
          <w:b w:val="0"/>
          <w:bCs/>
          <w:i w:val="0"/>
        </w:rPr>
      </w:pPr>
      <w:bookmarkStart w:id="235" w:name="_Toc420316470"/>
      <w:r w:rsidRPr="006F141D">
        <w:rPr>
          <w:i w:val="0"/>
        </w:rPr>
        <w:lastRenderedPageBreak/>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27</w:t>
      </w:r>
      <w:r w:rsidR="00B80A05" w:rsidRPr="006F141D">
        <w:rPr>
          <w:i w:val="0"/>
        </w:rPr>
        <w:fldChar w:fldCharType="end"/>
      </w:r>
      <w:r w:rsidR="006F141D" w:rsidRPr="006F141D">
        <w:rPr>
          <w:i w:val="0"/>
        </w:rPr>
        <w:t>.</w:t>
      </w:r>
      <w:r w:rsidR="006F141D" w:rsidRPr="006F141D">
        <w:rPr>
          <w:b w:val="0"/>
          <w:i w:val="0"/>
        </w:rPr>
        <w:t xml:space="preserve"> - </w:t>
      </w:r>
      <w:r w:rsidR="00E051FC" w:rsidRPr="006F141D">
        <w:rPr>
          <w:rStyle w:val="CorpodetextoChar1"/>
          <w:rFonts w:eastAsia="Calibri"/>
          <w:b w:val="0"/>
          <w:bCs/>
          <w:i w:val="0"/>
        </w:rPr>
        <w:t>Processos e mecanismos de instabilização das encostas marginais, graus de suscetibilidade e % de ocorrência ao longo do reservatório da Barragem Duas Pontes.</w:t>
      </w:r>
      <w:bookmarkEnd w:id="235"/>
    </w:p>
    <w:tbl>
      <w:tblPr>
        <w:tblW w:w="15055"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08"/>
        <w:gridCol w:w="1297"/>
        <w:gridCol w:w="1701"/>
        <w:gridCol w:w="1134"/>
        <w:gridCol w:w="3828"/>
        <w:gridCol w:w="4183"/>
        <w:gridCol w:w="1204"/>
      </w:tblGrid>
      <w:tr w:rsidR="00E051FC" w:rsidRPr="00E051FC" w:rsidTr="00785A33">
        <w:trPr>
          <w:trHeight w:val="300"/>
          <w:jc w:val="center"/>
        </w:trPr>
        <w:tc>
          <w:tcPr>
            <w:tcW w:w="1708" w:type="dxa"/>
            <w:vMerge w:val="restart"/>
            <w:shd w:val="clear" w:color="auto" w:fill="D9D9D9" w:themeFill="background1" w:themeFillShade="D9"/>
            <w:vAlign w:val="center"/>
            <w:hideMark/>
          </w:tcPr>
          <w:p w:rsidR="00E051FC" w:rsidRPr="00E051FC" w:rsidRDefault="00E051FC" w:rsidP="00E051FC">
            <w:pPr>
              <w:spacing w:line="276" w:lineRule="auto"/>
              <w:jc w:val="center"/>
              <w:rPr>
                <w:rFonts w:cs="Arial"/>
                <w:b/>
                <w:bCs/>
                <w:color w:val="000000"/>
                <w:sz w:val="20"/>
              </w:rPr>
            </w:pPr>
            <w:r w:rsidRPr="00E051FC">
              <w:rPr>
                <w:rFonts w:cs="Arial"/>
                <w:b/>
                <w:bCs/>
                <w:color w:val="000000"/>
                <w:sz w:val="20"/>
              </w:rPr>
              <w:t>Grau de suscetibilidade</w:t>
            </w:r>
          </w:p>
        </w:tc>
        <w:tc>
          <w:tcPr>
            <w:tcW w:w="1297" w:type="dxa"/>
            <w:vMerge w:val="restart"/>
            <w:shd w:val="clear" w:color="auto" w:fill="D9D9D9" w:themeFill="background1" w:themeFillShade="D9"/>
            <w:vAlign w:val="center"/>
            <w:hideMark/>
          </w:tcPr>
          <w:p w:rsidR="00E051FC" w:rsidRPr="00E051FC" w:rsidRDefault="00E051FC" w:rsidP="00E051FC">
            <w:pPr>
              <w:spacing w:line="276" w:lineRule="auto"/>
              <w:jc w:val="center"/>
              <w:rPr>
                <w:rFonts w:cs="Arial"/>
                <w:b/>
                <w:bCs/>
                <w:color w:val="000000"/>
                <w:sz w:val="20"/>
              </w:rPr>
            </w:pPr>
            <w:r w:rsidRPr="00E051FC">
              <w:rPr>
                <w:rFonts w:cs="Arial"/>
                <w:b/>
                <w:bCs/>
                <w:color w:val="000000"/>
                <w:sz w:val="20"/>
              </w:rPr>
              <w:t>Margem do reservatório (1)</w:t>
            </w:r>
          </w:p>
        </w:tc>
        <w:tc>
          <w:tcPr>
            <w:tcW w:w="1701" w:type="dxa"/>
            <w:vMerge w:val="restart"/>
            <w:shd w:val="clear" w:color="auto" w:fill="D9D9D9" w:themeFill="background1" w:themeFillShade="D9"/>
            <w:vAlign w:val="center"/>
          </w:tcPr>
          <w:p w:rsidR="00E051FC" w:rsidRPr="00E051FC" w:rsidRDefault="00E051FC" w:rsidP="00E051FC">
            <w:pPr>
              <w:spacing w:line="276" w:lineRule="auto"/>
              <w:jc w:val="center"/>
              <w:rPr>
                <w:rFonts w:cs="Arial"/>
                <w:b/>
                <w:bCs/>
                <w:color w:val="000000"/>
                <w:sz w:val="20"/>
              </w:rPr>
            </w:pPr>
            <w:r w:rsidRPr="00E051FC">
              <w:rPr>
                <w:rFonts w:cs="Arial"/>
                <w:b/>
                <w:bCs/>
                <w:color w:val="000000"/>
                <w:sz w:val="20"/>
              </w:rPr>
              <w:t>Rio</w:t>
            </w:r>
          </w:p>
        </w:tc>
        <w:tc>
          <w:tcPr>
            <w:tcW w:w="1134" w:type="dxa"/>
            <w:vMerge w:val="restart"/>
            <w:shd w:val="clear" w:color="auto" w:fill="D9D9D9" w:themeFill="background1" w:themeFillShade="D9"/>
            <w:vAlign w:val="center"/>
            <w:hideMark/>
          </w:tcPr>
          <w:p w:rsidR="00E051FC" w:rsidRPr="00E051FC" w:rsidRDefault="00E051FC" w:rsidP="00E051FC">
            <w:pPr>
              <w:spacing w:line="276" w:lineRule="auto"/>
              <w:jc w:val="center"/>
              <w:rPr>
                <w:rFonts w:cs="Arial"/>
                <w:b/>
                <w:bCs/>
                <w:color w:val="000000"/>
                <w:sz w:val="20"/>
              </w:rPr>
            </w:pPr>
            <w:r w:rsidRPr="00E051FC">
              <w:rPr>
                <w:rFonts w:cs="Arial"/>
                <w:b/>
                <w:bCs/>
                <w:color w:val="000000"/>
                <w:sz w:val="20"/>
              </w:rPr>
              <w:t>Setores</w:t>
            </w:r>
          </w:p>
        </w:tc>
        <w:tc>
          <w:tcPr>
            <w:tcW w:w="8011" w:type="dxa"/>
            <w:gridSpan w:val="2"/>
            <w:shd w:val="clear" w:color="auto" w:fill="D9D9D9" w:themeFill="background1" w:themeFillShade="D9"/>
            <w:noWrap/>
            <w:vAlign w:val="center"/>
            <w:hideMark/>
          </w:tcPr>
          <w:p w:rsidR="00E051FC" w:rsidRPr="00E051FC" w:rsidRDefault="00E051FC" w:rsidP="00E051FC">
            <w:pPr>
              <w:spacing w:line="276" w:lineRule="auto"/>
              <w:jc w:val="center"/>
              <w:rPr>
                <w:rFonts w:cs="Arial"/>
                <w:b/>
                <w:bCs/>
                <w:color w:val="000000"/>
                <w:sz w:val="20"/>
              </w:rPr>
            </w:pPr>
            <w:r w:rsidRPr="00E051FC">
              <w:rPr>
                <w:rFonts w:cs="Arial"/>
                <w:b/>
                <w:bCs/>
                <w:color w:val="000000"/>
                <w:sz w:val="20"/>
              </w:rPr>
              <w:t>Processos e mecanismos</w:t>
            </w:r>
          </w:p>
        </w:tc>
        <w:tc>
          <w:tcPr>
            <w:tcW w:w="1204" w:type="dxa"/>
            <w:vMerge w:val="restart"/>
            <w:shd w:val="clear" w:color="auto" w:fill="D9D9D9" w:themeFill="background1" w:themeFillShade="D9"/>
            <w:noWrap/>
            <w:vAlign w:val="center"/>
            <w:hideMark/>
          </w:tcPr>
          <w:p w:rsidR="00E051FC" w:rsidRPr="00E051FC" w:rsidRDefault="00E051FC" w:rsidP="00E051FC">
            <w:pPr>
              <w:spacing w:line="276" w:lineRule="auto"/>
              <w:jc w:val="center"/>
              <w:rPr>
                <w:rFonts w:cs="Arial"/>
                <w:b/>
                <w:bCs/>
                <w:color w:val="000000"/>
                <w:sz w:val="20"/>
              </w:rPr>
            </w:pPr>
            <w:r w:rsidRPr="00E051FC">
              <w:rPr>
                <w:rFonts w:cs="Arial"/>
                <w:b/>
                <w:bCs/>
                <w:color w:val="000000"/>
                <w:sz w:val="20"/>
              </w:rPr>
              <w:t>% em relação à ADA</w:t>
            </w:r>
          </w:p>
        </w:tc>
      </w:tr>
      <w:tr w:rsidR="00E051FC" w:rsidRPr="00E051FC" w:rsidTr="00E051FC">
        <w:trPr>
          <w:trHeight w:val="300"/>
          <w:jc w:val="center"/>
        </w:trPr>
        <w:tc>
          <w:tcPr>
            <w:tcW w:w="1708" w:type="dxa"/>
            <w:vMerge/>
            <w:shd w:val="clear" w:color="auto" w:fill="F2F2F2"/>
            <w:vAlign w:val="center"/>
            <w:hideMark/>
          </w:tcPr>
          <w:p w:rsidR="00E051FC" w:rsidRPr="00E051FC" w:rsidRDefault="00E051FC" w:rsidP="00E051FC">
            <w:pPr>
              <w:spacing w:line="276" w:lineRule="auto"/>
              <w:jc w:val="center"/>
              <w:rPr>
                <w:rFonts w:cs="Arial"/>
                <w:b/>
                <w:bCs/>
                <w:color w:val="000000"/>
                <w:sz w:val="20"/>
              </w:rPr>
            </w:pPr>
          </w:p>
        </w:tc>
        <w:tc>
          <w:tcPr>
            <w:tcW w:w="1297" w:type="dxa"/>
            <w:vMerge/>
            <w:shd w:val="clear" w:color="auto" w:fill="F2F2F2"/>
            <w:vAlign w:val="center"/>
            <w:hideMark/>
          </w:tcPr>
          <w:p w:rsidR="00E051FC" w:rsidRPr="00E051FC" w:rsidRDefault="00E051FC" w:rsidP="00E051FC">
            <w:pPr>
              <w:spacing w:line="276" w:lineRule="auto"/>
              <w:jc w:val="center"/>
              <w:rPr>
                <w:rFonts w:cs="Arial"/>
                <w:b/>
                <w:bCs/>
                <w:color w:val="000000"/>
                <w:sz w:val="20"/>
              </w:rPr>
            </w:pPr>
          </w:p>
        </w:tc>
        <w:tc>
          <w:tcPr>
            <w:tcW w:w="1701" w:type="dxa"/>
            <w:vMerge/>
            <w:shd w:val="clear" w:color="auto" w:fill="F2F2F2"/>
          </w:tcPr>
          <w:p w:rsidR="00E051FC" w:rsidRPr="00E051FC" w:rsidRDefault="00E051FC" w:rsidP="00E051FC">
            <w:pPr>
              <w:spacing w:line="276" w:lineRule="auto"/>
              <w:jc w:val="center"/>
              <w:rPr>
                <w:rFonts w:cs="Arial"/>
                <w:b/>
                <w:bCs/>
                <w:color w:val="000000"/>
                <w:sz w:val="20"/>
              </w:rPr>
            </w:pPr>
          </w:p>
        </w:tc>
        <w:tc>
          <w:tcPr>
            <w:tcW w:w="1134" w:type="dxa"/>
            <w:vMerge/>
            <w:shd w:val="clear" w:color="auto" w:fill="F2F2F2"/>
            <w:vAlign w:val="center"/>
            <w:hideMark/>
          </w:tcPr>
          <w:p w:rsidR="00E051FC" w:rsidRPr="00E051FC" w:rsidRDefault="00E051FC" w:rsidP="00E051FC">
            <w:pPr>
              <w:spacing w:line="276" w:lineRule="auto"/>
              <w:jc w:val="center"/>
              <w:rPr>
                <w:rFonts w:cs="Arial"/>
                <w:b/>
                <w:bCs/>
                <w:color w:val="000000"/>
                <w:sz w:val="20"/>
              </w:rPr>
            </w:pPr>
          </w:p>
        </w:tc>
        <w:tc>
          <w:tcPr>
            <w:tcW w:w="3828" w:type="dxa"/>
            <w:shd w:val="clear" w:color="auto" w:fill="F2F2F2"/>
            <w:noWrap/>
            <w:vAlign w:val="center"/>
            <w:hideMark/>
          </w:tcPr>
          <w:p w:rsidR="00E051FC" w:rsidRPr="00E051FC" w:rsidRDefault="00E051FC" w:rsidP="00E051FC">
            <w:pPr>
              <w:spacing w:line="276" w:lineRule="auto"/>
              <w:jc w:val="center"/>
              <w:rPr>
                <w:rFonts w:cs="Arial"/>
                <w:b/>
                <w:bCs/>
                <w:color w:val="000000"/>
                <w:sz w:val="20"/>
              </w:rPr>
            </w:pPr>
            <w:r w:rsidRPr="00E051FC">
              <w:rPr>
                <w:rFonts w:cs="Arial"/>
                <w:b/>
                <w:bCs/>
                <w:color w:val="000000"/>
                <w:sz w:val="20"/>
              </w:rPr>
              <w:t>Processos de movimentação de massa</w:t>
            </w:r>
          </w:p>
        </w:tc>
        <w:tc>
          <w:tcPr>
            <w:tcW w:w="4183" w:type="dxa"/>
            <w:shd w:val="clear" w:color="auto" w:fill="F2F2F2"/>
            <w:noWrap/>
            <w:vAlign w:val="center"/>
            <w:hideMark/>
          </w:tcPr>
          <w:p w:rsidR="00E051FC" w:rsidRPr="00E051FC" w:rsidRDefault="00E051FC" w:rsidP="00E051FC">
            <w:pPr>
              <w:spacing w:line="276" w:lineRule="auto"/>
              <w:jc w:val="center"/>
              <w:rPr>
                <w:rFonts w:cs="Arial"/>
                <w:b/>
                <w:bCs/>
                <w:color w:val="000000"/>
                <w:sz w:val="20"/>
              </w:rPr>
            </w:pPr>
            <w:r w:rsidRPr="00E051FC">
              <w:rPr>
                <w:rFonts w:cs="Arial"/>
                <w:b/>
                <w:bCs/>
                <w:color w:val="000000"/>
                <w:sz w:val="20"/>
              </w:rPr>
              <w:t>Processos erosivos</w:t>
            </w:r>
          </w:p>
        </w:tc>
        <w:tc>
          <w:tcPr>
            <w:tcW w:w="1204" w:type="dxa"/>
            <w:vMerge/>
            <w:shd w:val="clear" w:color="auto" w:fill="F2F2F2"/>
            <w:vAlign w:val="center"/>
            <w:hideMark/>
          </w:tcPr>
          <w:p w:rsidR="00E051FC" w:rsidRPr="00E051FC" w:rsidRDefault="00E051FC" w:rsidP="00E051FC">
            <w:pPr>
              <w:spacing w:line="276" w:lineRule="auto"/>
              <w:jc w:val="center"/>
              <w:rPr>
                <w:rFonts w:cs="Arial"/>
                <w:b/>
                <w:bCs/>
                <w:color w:val="000000"/>
                <w:sz w:val="20"/>
              </w:rPr>
            </w:pPr>
          </w:p>
        </w:tc>
      </w:tr>
      <w:tr w:rsidR="00E051FC" w:rsidRPr="00E051FC" w:rsidTr="009A7F0A">
        <w:trPr>
          <w:trHeight w:val="300"/>
          <w:jc w:val="center"/>
        </w:trPr>
        <w:tc>
          <w:tcPr>
            <w:tcW w:w="1708" w:type="dxa"/>
            <w:vMerge w:val="restart"/>
            <w:shd w:val="clear" w:color="auto" w:fill="auto"/>
            <w:vAlign w:val="center"/>
            <w:hideMark/>
          </w:tcPr>
          <w:p w:rsidR="00E051FC" w:rsidRPr="00E051FC" w:rsidRDefault="00E051FC" w:rsidP="00E051FC">
            <w:pPr>
              <w:spacing w:line="276" w:lineRule="auto"/>
              <w:jc w:val="center"/>
              <w:rPr>
                <w:rFonts w:cs="Arial"/>
                <w:b/>
                <w:bCs/>
                <w:color w:val="000000"/>
                <w:sz w:val="20"/>
              </w:rPr>
            </w:pPr>
            <w:r w:rsidRPr="00E051FC">
              <w:rPr>
                <w:rFonts w:cs="Arial"/>
                <w:b/>
                <w:bCs/>
                <w:color w:val="000000"/>
                <w:sz w:val="20"/>
              </w:rPr>
              <w:t>Médio</w:t>
            </w:r>
          </w:p>
        </w:tc>
        <w:tc>
          <w:tcPr>
            <w:tcW w:w="1297" w:type="dxa"/>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ME</w:t>
            </w:r>
          </w:p>
        </w:tc>
        <w:tc>
          <w:tcPr>
            <w:tcW w:w="1701" w:type="dxa"/>
            <w:vMerge w:val="restart"/>
            <w:vAlign w:val="center"/>
          </w:tcPr>
          <w:p w:rsidR="00E051FC" w:rsidRPr="00E051FC" w:rsidRDefault="00E051FC" w:rsidP="00E051FC">
            <w:pPr>
              <w:spacing w:line="276" w:lineRule="auto"/>
              <w:jc w:val="center"/>
              <w:rPr>
                <w:rFonts w:cs="Arial"/>
                <w:color w:val="000000"/>
                <w:sz w:val="20"/>
              </w:rPr>
            </w:pPr>
            <w:r w:rsidRPr="00E051FC">
              <w:rPr>
                <w:rFonts w:cs="Arial"/>
                <w:color w:val="000000"/>
                <w:sz w:val="20"/>
              </w:rPr>
              <w:t>Camanducaia</w:t>
            </w:r>
          </w:p>
        </w:tc>
        <w:tc>
          <w:tcPr>
            <w:tcW w:w="1134" w:type="dxa"/>
            <w:shd w:val="clear" w:color="auto" w:fill="auto"/>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2 e 3</w:t>
            </w:r>
          </w:p>
        </w:tc>
        <w:tc>
          <w:tcPr>
            <w:tcW w:w="3828" w:type="dxa"/>
            <w:vMerge w:val="restart"/>
            <w:shd w:val="clear" w:color="auto" w:fill="auto"/>
            <w:vAlign w:val="center"/>
            <w:hideMark/>
          </w:tcPr>
          <w:p w:rsidR="00E051FC" w:rsidRPr="00E051FC" w:rsidRDefault="00E051FC" w:rsidP="00E051FC">
            <w:pPr>
              <w:spacing w:line="276" w:lineRule="auto"/>
              <w:jc w:val="center"/>
              <w:rPr>
                <w:rFonts w:cs="Arial"/>
                <w:color w:val="000000"/>
                <w:sz w:val="20"/>
              </w:rPr>
            </w:pPr>
          </w:p>
        </w:tc>
        <w:tc>
          <w:tcPr>
            <w:tcW w:w="4183" w:type="dxa"/>
            <w:vMerge w:val="restart"/>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w:t>
            </w:r>
          </w:p>
        </w:tc>
        <w:tc>
          <w:tcPr>
            <w:tcW w:w="1204" w:type="dxa"/>
            <w:vMerge w:val="restart"/>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1%</w:t>
            </w:r>
          </w:p>
        </w:tc>
      </w:tr>
      <w:tr w:rsidR="00E051FC" w:rsidRPr="00E051FC" w:rsidTr="009A7F0A">
        <w:trPr>
          <w:trHeight w:val="300"/>
          <w:jc w:val="center"/>
        </w:trPr>
        <w:tc>
          <w:tcPr>
            <w:tcW w:w="1708" w:type="dxa"/>
            <w:vMerge/>
            <w:vAlign w:val="center"/>
            <w:hideMark/>
          </w:tcPr>
          <w:p w:rsidR="00E051FC" w:rsidRPr="00E051FC" w:rsidRDefault="00E051FC" w:rsidP="00E051FC">
            <w:pPr>
              <w:spacing w:line="276" w:lineRule="auto"/>
              <w:jc w:val="center"/>
              <w:rPr>
                <w:rFonts w:cs="Arial"/>
                <w:b/>
                <w:bCs/>
                <w:color w:val="000000"/>
                <w:sz w:val="20"/>
              </w:rPr>
            </w:pPr>
          </w:p>
        </w:tc>
        <w:tc>
          <w:tcPr>
            <w:tcW w:w="1297" w:type="dxa"/>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MD</w:t>
            </w:r>
          </w:p>
        </w:tc>
        <w:tc>
          <w:tcPr>
            <w:tcW w:w="1701" w:type="dxa"/>
            <w:vMerge/>
          </w:tcPr>
          <w:p w:rsidR="00E051FC" w:rsidRPr="00E051FC" w:rsidRDefault="00E051FC" w:rsidP="00E051FC">
            <w:pPr>
              <w:spacing w:line="276" w:lineRule="auto"/>
              <w:jc w:val="center"/>
              <w:rPr>
                <w:rFonts w:cs="Arial"/>
                <w:color w:val="000000"/>
                <w:sz w:val="20"/>
              </w:rPr>
            </w:pPr>
          </w:p>
        </w:tc>
        <w:tc>
          <w:tcPr>
            <w:tcW w:w="1134" w:type="dxa"/>
            <w:shd w:val="clear" w:color="auto" w:fill="auto"/>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11</w:t>
            </w:r>
          </w:p>
        </w:tc>
        <w:tc>
          <w:tcPr>
            <w:tcW w:w="3828" w:type="dxa"/>
            <w:vMerge/>
            <w:shd w:val="clear" w:color="auto" w:fill="auto"/>
            <w:vAlign w:val="center"/>
            <w:hideMark/>
          </w:tcPr>
          <w:p w:rsidR="00E051FC" w:rsidRPr="00E051FC" w:rsidRDefault="00E051FC" w:rsidP="00E051FC">
            <w:pPr>
              <w:spacing w:line="276" w:lineRule="auto"/>
              <w:jc w:val="center"/>
              <w:rPr>
                <w:rFonts w:cs="Arial"/>
                <w:color w:val="000000"/>
                <w:sz w:val="20"/>
              </w:rPr>
            </w:pPr>
          </w:p>
        </w:tc>
        <w:tc>
          <w:tcPr>
            <w:tcW w:w="4183" w:type="dxa"/>
            <w:vMerge/>
            <w:vAlign w:val="center"/>
            <w:hideMark/>
          </w:tcPr>
          <w:p w:rsidR="00E051FC" w:rsidRPr="00E051FC" w:rsidRDefault="00E051FC" w:rsidP="00E051FC">
            <w:pPr>
              <w:spacing w:line="276" w:lineRule="auto"/>
              <w:jc w:val="left"/>
              <w:rPr>
                <w:rFonts w:cs="Arial"/>
                <w:color w:val="000000"/>
                <w:sz w:val="20"/>
              </w:rPr>
            </w:pPr>
          </w:p>
        </w:tc>
        <w:tc>
          <w:tcPr>
            <w:tcW w:w="1204" w:type="dxa"/>
            <w:vMerge/>
            <w:vAlign w:val="center"/>
            <w:hideMark/>
          </w:tcPr>
          <w:p w:rsidR="00E051FC" w:rsidRPr="00E051FC" w:rsidRDefault="00E051FC" w:rsidP="00E051FC">
            <w:pPr>
              <w:spacing w:line="276" w:lineRule="auto"/>
              <w:jc w:val="center"/>
              <w:rPr>
                <w:rFonts w:cs="Arial"/>
                <w:color w:val="000000"/>
                <w:sz w:val="20"/>
              </w:rPr>
            </w:pPr>
          </w:p>
        </w:tc>
      </w:tr>
      <w:tr w:rsidR="00E051FC" w:rsidRPr="00E051FC" w:rsidTr="009A7F0A">
        <w:trPr>
          <w:trHeight w:val="1403"/>
          <w:jc w:val="center"/>
        </w:trPr>
        <w:tc>
          <w:tcPr>
            <w:tcW w:w="1708" w:type="dxa"/>
            <w:vMerge/>
            <w:vAlign w:val="center"/>
            <w:hideMark/>
          </w:tcPr>
          <w:p w:rsidR="00E051FC" w:rsidRPr="00E051FC" w:rsidRDefault="00E051FC" w:rsidP="00E051FC">
            <w:pPr>
              <w:spacing w:line="276" w:lineRule="auto"/>
              <w:jc w:val="center"/>
              <w:rPr>
                <w:rFonts w:cs="Arial"/>
                <w:b/>
                <w:bCs/>
                <w:color w:val="000000"/>
                <w:sz w:val="20"/>
              </w:rPr>
            </w:pPr>
          </w:p>
        </w:tc>
        <w:tc>
          <w:tcPr>
            <w:tcW w:w="1297" w:type="dxa"/>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ME</w:t>
            </w:r>
          </w:p>
        </w:tc>
        <w:tc>
          <w:tcPr>
            <w:tcW w:w="1701" w:type="dxa"/>
            <w:vMerge/>
          </w:tcPr>
          <w:p w:rsidR="00E051FC" w:rsidRPr="00E051FC" w:rsidRDefault="00E051FC" w:rsidP="00E051FC">
            <w:pPr>
              <w:spacing w:line="276" w:lineRule="auto"/>
              <w:jc w:val="center"/>
              <w:rPr>
                <w:rFonts w:cs="Arial"/>
                <w:color w:val="000000"/>
                <w:sz w:val="20"/>
              </w:rPr>
            </w:pPr>
          </w:p>
        </w:tc>
        <w:tc>
          <w:tcPr>
            <w:tcW w:w="1134" w:type="dxa"/>
            <w:shd w:val="clear" w:color="auto" w:fill="auto"/>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4 e 6</w:t>
            </w:r>
          </w:p>
        </w:tc>
        <w:tc>
          <w:tcPr>
            <w:tcW w:w="3828" w:type="dxa"/>
            <w:vMerge/>
            <w:shd w:val="clear" w:color="auto" w:fill="auto"/>
            <w:vAlign w:val="center"/>
            <w:hideMark/>
          </w:tcPr>
          <w:p w:rsidR="00E051FC" w:rsidRPr="00E051FC" w:rsidRDefault="00E051FC" w:rsidP="00E051FC">
            <w:pPr>
              <w:spacing w:line="276" w:lineRule="auto"/>
              <w:jc w:val="center"/>
              <w:rPr>
                <w:rFonts w:cs="Arial"/>
                <w:color w:val="000000"/>
                <w:sz w:val="20"/>
              </w:rPr>
            </w:pPr>
          </w:p>
        </w:tc>
        <w:tc>
          <w:tcPr>
            <w:tcW w:w="4183" w:type="dxa"/>
            <w:vMerge w:val="restart"/>
            <w:shd w:val="clear" w:color="auto" w:fill="auto"/>
            <w:vAlign w:val="center"/>
            <w:hideMark/>
          </w:tcPr>
          <w:p w:rsidR="00E051FC" w:rsidRPr="00E051FC" w:rsidRDefault="00E051FC" w:rsidP="006F141D">
            <w:pPr>
              <w:spacing w:line="276" w:lineRule="auto"/>
              <w:ind w:left="144" w:hanging="144"/>
              <w:rPr>
                <w:rFonts w:cs="Arial"/>
                <w:color w:val="000000"/>
                <w:sz w:val="20"/>
              </w:rPr>
            </w:pPr>
            <w:r w:rsidRPr="00E051FC">
              <w:rPr>
                <w:rFonts w:cs="Arial"/>
                <w:color w:val="000000"/>
                <w:sz w:val="20"/>
              </w:rPr>
              <w:t>* Erosão principalmente por sulcos e ravinas; eventualmente solapamentos e desbarrancamentos das margens do reservatório.</w:t>
            </w:r>
          </w:p>
        </w:tc>
        <w:tc>
          <w:tcPr>
            <w:tcW w:w="1204" w:type="dxa"/>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1%</w:t>
            </w:r>
          </w:p>
        </w:tc>
      </w:tr>
      <w:tr w:rsidR="00E051FC" w:rsidRPr="00E051FC" w:rsidTr="009A7F0A">
        <w:trPr>
          <w:trHeight w:val="300"/>
          <w:jc w:val="center"/>
        </w:trPr>
        <w:tc>
          <w:tcPr>
            <w:tcW w:w="1708" w:type="dxa"/>
            <w:vMerge w:val="restart"/>
            <w:shd w:val="clear" w:color="auto" w:fill="auto"/>
            <w:vAlign w:val="center"/>
            <w:hideMark/>
          </w:tcPr>
          <w:p w:rsidR="00E051FC" w:rsidRPr="00E051FC" w:rsidRDefault="00E051FC" w:rsidP="00E051FC">
            <w:pPr>
              <w:spacing w:line="276" w:lineRule="auto"/>
              <w:jc w:val="center"/>
              <w:rPr>
                <w:rFonts w:cs="Arial"/>
                <w:b/>
                <w:bCs/>
                <w:color w:val="000000"/>
                <w:sz w:val="20"/>
              </w:rPr>
            </w:pPr>
            <w:r w:rsidRPr="00E051FC">
              <w:rPr>
                <w:rFonts w:cs="Arial"/>
                <w:b/>
                <w:bCs/>
                <w:color w:val="000000"/>
                <w:sz w:val="20"/>
              </w:rPr>
              <w:t>Médio a Alto</w:t>
            </w:r>
          </w:p>
        </w:tc>
        <w:tc>
          <w:tcPr>
            <w:tcW w:w="1297" w:type="dxa"/>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ME</w:t>
            </w:r>
          </w:p>
        </w:tc>
        <w:tc>
          <w:tcPr>
            <w:tcW w:w="1701" w:type="dxa"/>
          </w:tcPr>
          <w:p w:rsidR="00E051FC" w:rsidRPr="00E051FC" w:rsidRDefault="00E051FC" w:rsidP="00E051FC">
            <w:pPr>
              <w:spacing w:line="276" w:lineRule="auto"/>
              <w:jc w:val="center"/>
              <w:rPr>
                <w:rFonts w:cs="Arial"/>
                <w:color w:val="000000"/>
                <w:sz w:val="20"/>
              </w:rPr>
            </w:pPr>
            <w:r w:rsidRPr="00E051FC">
              <w:rPr>
                <w:rFonts w:cs="Arial"/>
                <w:color w:val="000000"/>
                <w:sz w:val="20"/>
              </w:rPr>
              <w:t>Camanducaia</w:t>
            </w:r>
          </w:p>
        </w:tc>
        <w:tc>
          <w:tcPr>
            <w:tcW w:w="1134" w:type="dxa"/>
            <w:shd w:val="clear" w:color="auto" w:fill="auto"/>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5</w:t>
            </w:r>
          </w:p>
        </w:tc>
        <w:tc>
          <w:tcPr>
            <w:tcW w:w="3828" w:type="dxa"/>
            <w:vMerge/>
            <w:shd w:val="clear" w:color="auto" w:fill="auto"/>
            <w:vAlign w:val="center"/>
            <w:hideMark/>
          </w:tcPr>
          <w:p w:rsidR="00E051FC" w:rsidRPr="00E051FC" w:rsidRDefault="00E051FC" w:rsidP="00E051FC">
            <w:pPr>
              <w:spacing w:line="276" w:lineRule="auto"/>
              <w:jc w:val="center"/>
              <w:rPr>
                <w:rFonts w:cs="Arial"/>
                <w:color w:val="000000"/>
                <w:sz w:val="20"/>
              </w:rPr>
            </w:pPr>
          </w:p>
        </w:tc>
        <w:tc>
          <w:tcPr>
            <w:tcW w:w="4183" w:type="dxa"/>
            <w:vMerge/>
            <w:shd w:val="clear" w:color="auto" w:fill="auto"/>
            <w:vAlign w:val="center"/>
            <w:hideMark/>
          </w:tcPr>
          <w:p w:rsidR="00E051FC" w:rsidRPr="00E051FC" w:rsidRDefault="00E051FC" w:rsidP="006F141D">
            <w:pPr>
              <w:spacing w:line="276" w:lineRule="auto"/>
              <w:rPr>
                <w:rFonts w:cs="Arial"/>
                <w:color w:val="000000"/>
                <w:sz w:val="20"/>
              </w:rPr>
            </w:pPr>
          </w:p>
        </w:tc>
        <w:tc>
          <w:tcPr>
            <w:tcW w:w="1204" w:type="dxa"/>
            <w:vMerge w:val="restart"/>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4%</w:t>
            </w:r>
          </w:p>
        </w:tc>
      </w:tr>
      <w:tr w:rsidR="00E051FC" w:rsidRPr="00E051FC" w:rsidTr="009A7F0A">
        <w:trPr>
          <w:trHeight w:val="600"/>
          <w:jc w:val="center"/>
        </w:trPr>
        <w:tc>
          <w:tcPr>
            <w:tcW w:w="1708" w:type="dxa"/>
            <w:vMerge/>
            <w:vAlign w:val="center"/>
            <w:hideMark/>
          </w:tcPr>
          <w:p w:rsidR="00E051FC" w:rsidRPr="00E051FC" w:rsidRDefault="00E051FC" w:rsidP="00E051FC">
            <w:pPr>
              <w:spacing w:line="276" w:lineRule="auto"/>
              <w:jc w:val="center"/>
              <w:rPr>
                <w:rFonts w:cs="Arial"/>
                <w:b/>
                <w:bCs/>
                <w:color w:val="000000"/>
                <w:sz w:val="20"/>
              </w:rPr>
            </w:pPr>
          </w:p>
        </w:tc>
        <w:tc>
          <w:tcPr>
            <w:tcW w:w="1297" w:type="dxa"/>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MD</w:t>
            </w:r>
          </w:p>
        </w:tc>
        <w:tc>
          <w:tcPr>
            <w:tcW w:w="1701" w:type="dxa"/>
          </w:tcPr>
          <w:p w:rsidR="00E051FC" w:rsidRPr="00E051FC" w:rsidRDefault="00E051FC" w:rsidP="00E051FC">
            <w:pPr>
              <w:spacing w:line="276" w:lineRule="auto"/>
              <w:jc w:val="center"/>
              <w:rPr>
                <w:rFonts w:cs="Arial"/>
                <w:color w:val="000000"/>
                <w:sz w:val="20"/>
              </w:rPr>
            </w:pPr>
            <w:r w:rsidRPr="00E051FC">
              <w:rPr>
                <w:rFonts w:cs="Arial"/>
                <w:color w:val="000000"/>
                <w:sz w:val="20"/>
              </w:rPr>
              <w:t>Camanducaia e Córrego da Boa Vista</w:t>
            </w:r>
          </w:p>
        </w:tc>
        <w:tc>
          <w:tcPr>
            <w:tcW w:w="1134" w:type="dxa"/>
            <w:shd w:val="clear" w:color="auto" w:fill="auto"/>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8 e 24</w:t>
            </w:r>
          </w:p>
        </w:tc>
        <w:tc>
          <w:tcPr>
            <w:tcW w:w="3828" w:type="dxa"/>
            <w:vMerge w:val="restart"/>
            <w:shd w:val="clear" w:color="auto" w:fill="auto"/>
            <w:vAlign w:val="center"/>
            <w:hideMark/>
          </w:tcPr>
          <w:p w:rsidR="00E051FC" w:rsidRPr="00E051FC" w:rsidRDefault="00E051FC" w:rsidP="006F141D">
            <w:pPr>
              <w:spacing w:line="276" w:lineRule="auto"/>
              <w:ind w:left="144" w:hanging="144"/>
              <w:jc w:val="left"/>
              <w:rPr>
                <w:rFonts w:cs="Arial"/>
                <w:color w:val="000000"/>
                <w:sz w:val="20"/>
              </w:rPr>
            </w:pPr>
            <w:r w:rsidRPr="00E051FC">
              <w:rPr>
                <w:rFonts w:cs="Arial"/>
                <w:color w:val="000000"/>
                <w:sz w:val="20"/>
              </w:rPr>
              <w:t>*</w:t>
            </w:r>
            <w:r w:rsidR="006F141D">
              <w:rPr>
                <w:rFonts w:cs="Arial"/>
                <w:color w:val="000000"/>
                <w:sz w:val="20"/>
              </w:rPr>
              <w:t xml:space="preserve"> </w:t>
            </w:r>
            <w:r w:rsidRPr="00E051FC">
              <w:rPr>
                <w:rFonts w:cs="Arial"/>
                <w:color w:val="000000"/>
                <w:sz w:val="20"/>
              </w:rPr>
              <w:t xml:space="preserve">Escorregamentos em solos </w:t>
            </w:r>
            <w:r w:rsidR="006F141D">
              <w:rPr>
                <w:rFonts w:cs="Arial"/>
                <w:color w:val="000000"/>
                <w:sz w:val="20"/>
              </w:rPr>
              <w:t xml:space="preserve">  </w:t>
            </w:r>
            <w:r w:rsidRPr="00E051FC">
              <w:rPr>
                <w:rFonts w:cs="Arial"/>
                <w:color w:val="000000"/>
                <w:sz w:val="20"/>
              </w:rPr>
              <w:t>coluvionares e residuais;</w:t>
            </w:r>
          </w:p>
          <w:p w:rsidR="00E051FC" w:rsidRPr="00E051FC" w:rsidRDefault="00E051FC" w:rsidP="006F141D">
            <w:pPr>
              <w:spacing w:line="276" w:lineRule="auto"/>
              <w:ind w:left="144" w:hanging="144"/>
              <w:rPr>
                <w:rFonts w:cs="Arial"/>
                <w:color w:val="000000"/>
                <w:sz w:val="20"/>
              </w:rPr>
            </w:pPr>
            <w:r w:rsidRPr="00E051FC">
              <w:rPr>
                <w:rFonts w:cs="Arial"/>
                <w:color w:val="000000"/>
                <w:sz w:val="20"/>
              </w:rPr>
              <w:t>*</w:t>
            </w:r>
            <w:r w:rsidR="006F141D">
              <w:rPr>
                <w:rFonts w:cs="Arial"/>
                <w:color w:val="000000"/>
                <w:sz w:val="20"/>
              </w:rPr>
              <w:t xml:space="preserve"> </w:t>
            </w:r>
            <w:r w:rsidRPr="00E051FC">
              <w:rPr>
                <w:rFonts w:cs="Arial"/>
                <w:color w:val="000000"/>
                <w:sz w:val="20"/>
              </w:rPr>
              <w:t>Escorregamentos em rochas e queda de blocos condicionados pelas estruturas (fraturas e foliações) do maciço rochoso;</w:t>
            </w:r>
          </w:p>
          <w:p w:rsidR="00E051FC" w:rsidRPr="00E051FC" w:rsidRDefault="00E051FC" w:rsidP="006F141D">
            <w:pPr>
              <w:spacing w:line="276" w:lineRule="auto"/>
              <w:rPr>
                <w:rFonts w:cs="Arial"/>
                <w:color w:val="000000"/>
                <w:sz w:val="20"/>
              </w:rPr>
            </w:pPr>
            <w:r w:rsidRPr="00E051FC">
              <w:rPr>
                <w:rFonts w:cs="Arial"/>
                <w:color w:val="000000"/>
                <w:sz w:val="20"/>
              </w:rPr>
              <w:t>* Rolamento de blocos e matacões.</w:t>
            </w:r>
          </w:p>
        </w:tc>
        <w:tc>
          <w:tcPr>
            <w:tcW w:w="4183" w:type="dxa"/>
            <w:tcBorders>
              <w:bottom w:val="nil"/>
            </w:tcBorders>
            <w:shd w:val="clear" w:color="auto" w:fill="auto"/>
            <w:vAlign w:val="center"/>
            <w:hideMark/>
          </w:tcPr>
          <w:p w:rsidR="00E051FC" w:rsidRPr="00E051FC" w:rsidRDefault="00E051FC" w:rsidP="006F141D">
            <w:pPr>
              <w:spacing w:line="276" w:lineRule="auto"/>
              <w:jc w:val="center"/>
              <w:rPr>
                <w:rFonts w:cs="Arial"/>
                <w:color w:val="000000"/>
                <w:sz w:val="20"/>
              </w:rPr>
            </w:pPr>
            <w:r w:rsidRPr="00E051FC">
              <w:rPr>
                <w:rFonts w:cs="Arial"/>
                <w:color w:val="000000"/>
                <w:sz w:val="20"/>
              </w:rPr>
              <w:t>-</w:t>
            </w:r>
          </w:p>
        </w:tc>
        <w:tc>
          <w:tcPr>
            <w:tcW w:w="1204" w:type="dxa"/>
            <w:vMerge/>
            <w:vAlign w:val="center"/>
            <w:hideMark/>
          </w:tcPr>
          <w:p w:rsidR="00E051FC" w:rsidRPr="00E051FC" w:rsidRDefault="00E051FC" w:rsidP="00E051FC">
            <w:pPr>
              <w:spacing w:line="276" w:lineRule="auto"/>
              <w:jc w:val="center"/>
              <w:rPr>
                <w:rFonts w:cs="Arial"/>
                <w:color w:val="000000"/>
                <w:sz w:val="20"/>
              </w:rPr>
            </w:pPr>
          </w:p>
        </w:tc>
      </w:tr>
      <w:tr w:rsidR="00E051FC" w:rsidRPr="00E051FC" w:rsidTr="009A7F0A">
        <w:trPr>
          <w:trHeight w:val="600"/>
          <w:jc w:val="center"/>
        </w:trPr>
        <w:tc>
          <w:tcPr>
            <w:tcW w:w="1708" w:type="dxa"/>
            <w:vMerge/>
            <w:vAlign w:val="center"/>
            <w:hideMark/>
          </w:tcPr>
          <w:p w:rsidR="00E051FC" w:rsidRPr="00E051FC" w:rsidRDefault="00E051FC" w:rsidP="00E051FC">
            <w:pPr>
              <w:spacing w:line="276" w:lineRule="auto"/>
              <w:jc w:val="center"/>
              <w:rPr>
                <w:rFonts w:cs="Arial"/>
                <w:b/>
                <w:bCs/>
                <w:color w:val="000000"/>
                <w:sz w:val="20"/>
              </w:rPr>
            </w:pPr>
          </w:p>
        </w:tc>
        <w:tc>
          <w:tcPr>
            <w:tcW w:w="1297" w:type="dxa"/>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ME</w:t>
            </w:r>
          </w:p>
        </w:tc>
        <w:tc>
          <w:tcPr>
            <w:tcW w:w="1701" w:type="dxa"/>
            <w:vMerge w:val="restart"/>
            <w:vAlign w:val="center"/>
          </w:tcPr>
          <w:p w:rsidR="00E051FC" w:rsidRPr="00E051FC" w:rsidRDefault="00E051FC" w:rsidP="00E051FC">
            <w:pPr>
              <w:spacing w:line="276" w:lineRule="auto"/>
              <w:jc w:val="center"/>
              <w:rPr>
                <w:rFonts w:cs="Arial"/>
                <w:color w:val="000000"/>
                <w:sz w:val="20"/>
              </w:rPr>
            </w:pPr>
            <w:r w:rsidRPr="00E051FC">
              <w:rPr>
                <w:rFonts w:cs="Arial"/>
                <w:color w:val="000000"/>
                <w:sz w:val="20"/>
              </w:rPr>
              <w:t>Camanducaia</w:t>
            </w:r>
          </w:p>
        </w:tc>
        <w:tc>
          <w:tcPr>
            <w:tcW w:w="1134" w:type="dxa"/>
            <w:shd w:val="clear" w:color="auto" w:fill="auto"/>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7</w:t>
            </w:r>
          </w:p>
        </w:tc>
        <w:tc>
          <w:tcPr>
            <w:tcW w:w="3828" w:type="dxa"/>
            <w:vMerge/>
            <w:shd w:val="clear" w:color="auto" w:fill="auto"/>
            <w:vAlign w:val="center"/>
            <w:hideMark/>
          </w:tcPr>
          <w:p w:rsidR="00E051FC" w:rsidRPr="00E051FC" w:rsidRDefault="00E051FC" w:rsidP="00E051FC">
            <w:pPr>
              <w:spacing w:line="276" w:lineRule="auto"/>
              <w:jc w:val="center"/>
              <w:rPr>
                <w:rFonts w:cs="Arial"/>
                <w:color w:val="000000"/>
                <w:sz w:val="20"/>
              </w:rPr>
            </w:pPr>
          </w:p>
        </w:tc>
        <w:tc>
          <w:tcPr>
            <w:tcW w:w="4183" w:type="dxa"/>
            <w:tcBorders>
              <w:top w:val="nil"/>
              <w:bottom w:val="single" w:sz="4" w:space="0" w:color="auto"/>
            </w:tcBorders>
            <w:shd w:val="clear" w:color="auto" w:fill="auto"/>
            <w:vAlign w:val="center"/>
          </w:tcPr>
          <w:p w:rsidR="00E051FC" w:rsidRPr="00E051FC" w:rsidRDefault="00E051FC" w:rsidP="006F141D">
            <w:pPr>
              <w:tabs>
                <w:tab w:val="left" w:pos="2837"/>
              </w:tabs>
              <w:spacing w:line="276" w:lineRule="auto"/>
              <w:ind w:left="2" w:right="-1"/>
              <w:jc w:val="center"/>
              <w:rPr>
                <w:rFonts w:cs="Arial"/>
                <w:color w:val="000000"/>
                <w:sz w:val="20"/>
              </w:rPr>
            </w:pPr>
          </w:p>
        </w:tc>
        <w:tc>
          <w:tcPr>
            <w:tcW w:w="1204" w:type="dxa"/>
            <w:vMerge w:val="restart"/>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5%</w:t>
            </w:r>
          </w:p>
        </w:tc>
      </w:tr>
      <w:tr w:rsidR="00E051FC" w:rsidRPr="00E051FC" w:rsidTr="009A7F0A">
        <w:trPr>
          <w:trHeight w:val="780"/>
          <w:jc w:val="center"/>
        </w:trPr>
        <w:tc>
          <w:tcPr>
            <w:tcW w:w="1708" w:type="dxa"/>
            <w:vMerge/>
            <w:vAlign w:val="center"/>
            <w:hideMark/>
          </w:tcPr>
          <w:p w:rsidR="00E051FC" w:rsidRPr="00E051FC" w:rsidRDefault="00E051FC" w:rsidP="00E051FC">
            <w:pPr>
              <w:spacing w:line="276" w:lineRule="auto"/>
              <w:jc w:val="center"/>
              <w:rPr>
                <w:rFonts w:cs="Arial"/>
                <w:b/>
                <w:bCs/>
                <w:color w:val="000000"/>
                <w:sz w:val="20"/>
              </w:rPr>
            </w:pPr>
          </w:p>
        </w:tc>
        <w:tc>
          <w:tcPr>
            <w:tcW w:w="1297" w:type="dxa"/>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MD</w:t>
            </w:r>
          </w:p>
        </w:tc>
        <w:tc>
          <w:tcPr>
            <w:tcW w:w="1701" w:type="dxa"/>
            <w:vMerge/>
          </w:tcPr>
          <w:p w:rsidR="00E051FC" w:rsidRPr="00E051FC" w:rsidRDefault="00E051FC" w:rsidP="00E051FC">
            <w:pPr>
              <w:spacing w:line="276" w:lineRule="auto"/>
              <w:jc w:val="center"/>
              <w:rPr>
                <w:rFonts w:cs="Arial"/>
                <w:color w:val="000000"/>
                <w:sz w:val="20"/>
              </w:rPr>
            </w:pPr>
          </w:p>
        </w:tc>
        <w:tc>
          <w:tcPr>
            <w:tcW w:w="1134" w:type="dxa"/>
            <w:shd w:val="clear" w:color="auto" w:fill="auto"/>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13 e 14</w:t>
            </w:r>
          </w:p>
        </w:tc>
        <w:tc>
          <w:tcPr>
            <w:tcW w:w="3828" w:type="dxa"/>
            <w:vMerge/>
            <w:shd w:val="clear" w:color="auto" w:fill="auto"/>
            <w:vAlign w:val="center"/>
            <w:hideMark/>
          </w:tcPr>
          <w:p w:rsidR="00E051FC" w:rsidRPr="00E051FC" w:rsidRDefault="00E051FC" w:rsidP="00E051FC">
            <w:pPr>
              <w:spacing w:line="276" w:lineRule="auto"/>
              <w:jc w:val="center"/>
              <w:rPr>
                <w:rFonts w:cs="Arial"/>
                <w:color w:val="000000"/>
                <w:sz w:val="20"/>
              </w:rPr>
            </w:pPr>
          </w:p>
        </w:tc>
        <w:tc>
          <w:tcPr>
            <w:tcW w:w="4183" w:type="dxa"/>
            <w:tcBorders>
              <w:top w:val="single" w:sz="4" w:space="0" w:color="auto"/>
            </w:tcBorders>
            <w:shd w:val="clear" w:color="auto" w:fill="auto"/>
            <w:vAlign w:val="center"/>
            <w:hideMark/>
          </w:tcPr>
          <w:p w:rsidR="00E051FC" w:rsidRPr="00E051FC" w:rsidRDefault="00E051FC" w:rsidP="006F141D">
            <w:pPr>
              <w:spacing w:line="276" w:lineRule="auto"/>
              <w:ind w:left="285" w:hanging="285"/>
              <w:rPr>
                <w:rFonts w:cs="Arial"/>
                <w:color w:val="000000"/>
                <w:sz w:val="20"/>
              </w:rPr>
            </w:pPr>
            <w:r w:rsidRPr="00E051FC">
              <w:rPr>
                <w:rFonts w:cs="Arial"/>
                <w:color w:val="000000"/>
                <w:sz w:val="20"/>
              </w:rPr>
              <w:t>* Erosão, principalmente por sulcos e ravinas; eventualmente solapamentos e desbarrancamentos das margens do reservatório.</w:t>
            </w:r>
          </w:p>
        </w:tc>
        <w:tc>
          <w:tcPr>
            <w:tcW w:w="1204" w:type="dxa"/>
            <w:vMerge/>
            <w:vAlign w:val="center"/>
            <w:hideMark/>
          </w:tcPr>
          <w:p w:rsidR="00E051FC" w:rsidRPr="00E051FC" w:rsidRDefault="00E051FC" w:rsidP="00E051FC">
            <w:pPr>
              <w:spacing w:line="276" w:lineRule="auto"/>
              <w:jc w:val="center"/>
              <w:rPr>
                <w:rFonts w:cs="Arial"/>
                <w:color w:val="000000"/>
                <w:sz w:val="20"/>
              </w:rPr>
            </w:pPr>
          </w:p>
        </w:tc>
      </w:tr>
      <w:tr w:rsidR="00E051FC" w:rsidRPr="00E051FC" w:rsidTr="009A7F0A">
        <w:trPr>
          <w:trHeight w:val="1559"/>
          <w:jc w:val="center"/>
        </w:trPr>
        <w:tc>
          <w:tcPr>
            <w:tcW w:w="1708" w:type="dxa"/>
            <w:shd w:val="clear" w:color="auto" w:fill="auto"/>
            <w:vAlign w:val="center"/>
            <w:hideMark/>
          </w:tcPr>
          <w:p w:rsidR="00E051FC" w:rsidRPr="00E051FC" w:rsidRDefault="00E051FC" w:rsidP="00E051FC">
            <w:pPr>
              <w:spacing w:line="276" w:lineRule="auto"/>
              <w:jc w:val="center"/>
              <w:rPr>
                <w:rFonts w:cs="Arial"/>
                <w:b/>
                <w:bCs/>
                <w:color w:val="000000"/>
                <w:sz w:val="20"/>
              </w:rPr>
            </w:pPr>
            <w:r w:rsidRPr="00E051FC">
              <w:rPr>
                <w:rFonts w:cs="Arial"/>
                <w:b/>
                <w:bCs/>
                <w:color w:val="000000"/>
                <w:sz w:val="20"/>
              </w:rPr>
              <w:t>Alto</w:t>
            </w:r>
          </w:p>
        </w:tc>
        <w:tc>
          <w:tcPr>
            <w:tcW w:w="1297" w:type="dxa"/>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MD</w:t>
            </w:r>
          </w:p>
        </w:tc>
        <w:tc>
          <w:tcPr>
            <w:tcW w:w="1701" w:type="dxa"/>
            <w:vMerge/>
          </w:tcPr>
          <w:p w:rsidR="00E051FC" w:rsidRPr="00E051FC" w:rsidRDefault="00E051FC" w:rsidP="00E051FC">
            <w:pPr>
              <w:spacing w:line="276" w:lineRule="auto"/>
              <w:jc w:val="center"/>
              <w:rPr>
                <w:rFonts w:cs="Arial"/>
                <w:color w:val="000000"/>
                <w:sz w:val="20"/>
              </w:rPr>
            </w:pPr>
          </w:p>
        </w:tc>
        <w:tc>
          <w:tcPr>
            <w:tcW w:w="1134" w:type="dxa"/>
            <w:shd w:val="clear" w:color="auto" w:fill="auto"/>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9 e 12</w:t>
            </w:r>
          </w:p>
        </w:tc>
        <w:tc>
          <w:tcPr>
            <w:tcW w:w="3828" w:type="dxa"/>
            <w:shd w:val="clear" w:color="auto" w:fill="auto"/>
            <w:vAlign w:val="center"/>
            <w:hideMark/>
          </w:tcPr>
          <w:p w:rsidR="00E051FC" w:rsidRPr="00E051FC" w:rsidRDefault="00E051FC" w:rsidP="00E051FC">
            <w:pPr>
              <w:spacing w:line="276" w:lineRule="auto"/>
              <w:jc w:val="center"/>
              <w:rPr>
                <w:rFonts w:cs="Arial"/>
                <w:color w:val="000000"/>
                <w:sz w:val="20"/>
              </w:rPr>
            </w:pPr>
          </w:p>
        </w:tc>
        <w:tc>
          <w:tcPr>
            <w:tcW w:w="4183" w:type="dxa"/>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w:t>
            </w:r>
          </w:p>
        </w:tc>
        <w:tc>
          <w:tcPr>
            <w:tcW w:w="1204" w:type="dxa"/>
            <w:shd w:val="clear" w:color="auto" w:fill="auto"/>
            <w:noWrap/>
            <w:vAlign w:val="center"/>
            <w:hideMark/>
          </w:tcPr>
          <w:p w:rsidR="00E051FC" w:rsidRPr="00E051FC" w:rsidRDefault="00E051FC" w:rsidP="00E051FC">
            <w:pPr>
              <w:spacing w:line="276" w:lineRule="auto"/>
              <w:jc w:val="center"/>
              <w:rPr>
                <w:rFonts w:cs="Arial"/>
                <w:color w:val="000000"/>
                <w:sz w:val="20"/>
              </w:rPr>
            </w:pPr>
            <w:r w:rsidRPr="00E051FC">
              <w:rPr>
                <w:rFonts w:cs="Arial"/>
                <w:color w:val="000000"/>
                <w:sz w:val="20"/>
              </w:rPr>
              <w:t>2%</w:t>
            </w:r>
          </w:p>
        </w:tc>
      </w:tr>
    </w:tbl>
    <w:p w:rsidR="00E051FC" w:rsidRPr="006F141D" w:rsidRDefault="00E051FC" w:rsidP="00431A97">
      <w:pPr>
        <w:numPr>
          <w:ilvl w:val="0"/>
          <w:numId w:val="67"/>
        </w:numPr>
        <w:tabs>
          <w:tab w:val="left" w:pos="1134"/>
        </w:tabs>
        <w:spacing w:before="120" w:after="120" w:line="276" w:lineRule="auto"/>
        <w:rPr>
          <w:rFonts w:cs="Arial"/>
          <w:sz w:val="20"/>
        </w:rPr>
      </w:pPr>
      <w:r w:rsidRPr="006F141D">
        <w:rPr>
          <w:rFonts w:cs="Arial"/>
          <w:b/>
          <w:sz w:val="20"/>
        </w:rPr>
        <w:t>– MD</w:t>
      </w:r>
      <w:r w:rsidRPr="006F141D">
        <w:rPr>
          <w:rFonts w:cs="Arial"/>
          <w:sz w:val="20"/>
        </w:rPr>
        <w:t>: Margem direita; ME: Margem Esquerda.</w:t>
      </w:r>
    </w:p>
    <w:p w:rsidR="00791E53" w:rsidRPr="006F141D" w:rsidRDefault="00791E53" w:rsidP="001A063B">
      <w:pPr>
        <w:pStyle w:val="Corpodetexto"/>
        <w:tabs>
          <w:tab w:val="left" w:pos="2430"/>
        </w:tabs>
        <w:rPr>
          <w:b/>
          <w:sz w:val="20"/>
        </w:rPr>
        <w:sectPr w:rsidR="00791E53" w:rsidRPr="006F141D" w:rsidSect="00AD7599">
          <w:headerReference w:type="default" r:id="rId30"/>
          <w:footerReference w:type="default" r:id="rId31"/>
          <w:pgSz w:w="16840" w:h="11907" w:orient="landscape" w:code="9"/>
          <w:pgMar w:top="1701" w:right="851" w:bottom="1134" w:left="1701" w:header="567" w:footer="567" w:gutter="0"/>
          <w:cols w:space="720"/>
          <w:docGrid w:linePitch="299"/>
        </w:sectPr>
      </w:pPr>
    </w:p>
    <w:p w:rsidR="001A063B" w:rsidRDefault="001A063B" w:rsidP="001A063B">
      <w:pPr>
        <w:pStyle w:val="Corpodetexto"/>
        <w:tabs>
          <w:tab w:val="left" w:pos="2430"/>
        </w:tabs>
        <w:rPr>
          <w:szCs w:val="22"/>
        </w:rPr>
      </w:pPr>
      <w:r>
        <w:rPr>
          <w:szCs w:val="22"/>
        </w:rPr>
        <w:t xml:space="preserve">Esse impacto é de ocorrência provável, incidência direta e natureza negativa, uma vez que </w:t>
      </w:r>
      <w:r w:rsidRPr="0084441B">
        <w:rPr>
          <w:szCs w:val="22"/>
        </w:rPr>
        <w:t xml:space="preserve">poderá ocasionar prejuízo às populações, propriedades, terras e paisagens vizinhas. Poderá </w:t>
      </w:r>
      <w:r>
        <w:rPr>
          <w:szCs w:val="22"/>
        </w:rPr>
        <w:t>ainda ocasionar assoreamento do</w:t>
      </w:r>
      <w:r w:rsidRPr="0084441B">
        <w:rPr>
          <w:szCs w:val="22"/>
        </w:rPr>
        <w:t xml:space="preserve"> reservatório, aumento d</w:t>
      </w:r>
      <w:r>
        <w:rPr>
          <w:szCs w:val="22"/>
        </w:rPr>
        <w:t>a</w:t>
      </w:r>
      <w:r w:rsidRPr="0084441B">
        <w:rPr>
          <w:szCs w:val="22"/>
        </w:rPr>
        <w:t xml:space="preserve"> turbidez e</w:t>
      </w:r>
      <w:r>
        <w:rPr>
          <w:szCs w:val="22"/>
        </w:rPr>
        <w:t xml:space="preserve"> alteração da qualidade da água.</w:t>
      </w:r>
    </w:p>
    <w:p w:rsidR="001A063B" w:rsidRDefault="001A063B" w:rsidP="001A063B">
      <w:pPr>
        <w:pStyle w:val="Corpodetexto"/>
        <w:tabs>
          <w:tab w:val="left" w:pos="2430"/>
        </w:tabs>
        <w:rPr>
          <w:szCs w:val="22"/>
        </w:rPr>
      </w:pPr>
      <w:r>
        <w:rPr>
          <w:szCs w:val="22"/>
        </w:rPr>
        <w:t xml:space="preserve">Trata-se de um impacto de abrangência local, dentro dos limites da ADA, que </w:t>
      </w:r>
      <w:r w:rsidRPr="0084441B">
        <w:rPr>
          <w:szCs w:val="22"/>
        </w:rPr>
        <w:t>p</w:t>
      </w:r>
      <w:r>
        <w:rPr>
          <w:szCs w:val="22"/>
        </w:rPr>
        <w:t>oderá ocorrer de forma imediata ou a</w:t>
      </w:r>
      <w:r w:rsidRPr="0084441B">
        <w:rPr>
          <w:szCs w:val="22"/>
        </w:rPr>
        <w:t xml:space="preserve"> curto prazo</w:t>
      </w:r>
      <w:r>
        <w:rPr>
          <w:szCs w:val="22"/>
        </w:rPr>
        <w:t xml:space="preserve"> quando da Implantação</w:t>
      </w:r>
      <w:r w:rsidRPr="0084441B">
        <w:rPr>
          <w:szCs w:val="22"/>
        </w:rPr>
        <w:t>, ou</w:t>
      </w:r>
      <w:r>
        <w:rPr>
          <w:szCs w:val="22"/>
        </w:rPr>
        <w:t xml:space="preserve"> ainda</w:t>
      </w:r>
      <w:r w:rsidRPr="0084441B">
        <w:rPr>
          <w:szCs w:val="22"/>
        </w:rPr>
        <w:t xml:space="preserve"> a médio e longo </w:t>
      </w:r>
      <w:r>
        <w:rPr>
          <w:szCs w:val="22"/>
        </w:rPr>
        <w:t>prazo</w:t>
      </w:r>
      <w:r w:rsidRPr="0084441B">
        <w:rPr>
          <w:szCs w:val="22"/>
        </w:rPr>
        <w:t xml:space="preserve">, durante a </w:t>
      </w:r>
      <w:r w:rsidR="00351E52">
        <w:rPr>
          <w:szCs w:val="22"/>
        </w:rPr>
        <w:t xml:space="preserve">Fase </w:t>
      </w:r>
      <w:r w:rsidRPr="0084441B">
        <w:rPr>
          <w:szCs w:val="22"/>
        </w:rPr>
        <w:t>de Operação</w:t>
      </w:r>
      <w:r>
        <w:rPr>
          <w:szCs w:val="22"/>
        </w:rPr>
        <w:t>,</w:t>
      </w:r>
      <w:r w:rsidRPr="0084441B">
        <w:rPr>
          <w:szCs w:val="22"/>
        </w:rPr>
        <w:t xml:space="preserve"> em setores com suscetibilidade mais elevada</w:t>
      </w:r>
      <w:r>
        <w:rPr>
          <w:szCs w:val="22"/>
        </w:rPr>
        <w:t>s</w:t>
      </w:r>
      <w:r w:rsidRPr="0084441B">
        <w:rPr>
          <w:szCs w:val="22"/>
        </w:rPr>
        <w:t>. A duração é permanente, pois o impacto permanece durante a vida útil do projeto.</w:t>
      </w:r>
    </w:p>
    <w:p w:rsidR="001A063B" w:rsidRDefault="00D74313" w:rsidP="001A063B">
      <w:pPr>
        <w:pStyle w:val="Corpodetexto"/>
        <w:tabs>
          <w:tab w:val="left" w:pos="2430"/>
        </w:tabs>
        <w:rPr>
          <w:szCs w:val="22"/>
        </w:rPr>
      </w:pPr>
      <w:r w:rsidRPr="006F31B4">
        <w:rPr>
          <w:rFonts w:cs="Arial"/>
        </w:rPr>
        <w:t xml:space="preserve">O impacto é reversível a médio prazo, uma vez que, mesmo sem considerar a implantação de medidas preventivas e mitigadoras de estabilização, o sistema alcança um equilíbrio ao longo do tempo. </w:t>
      </w:r>
      <w:r w:rsidR="001A063B" w:rsidRPr="003740F8">
        <w:rPr>
          <w:szCs w:val="22"/>
        </w:rPr>
        <w:t>É</w:t>
      </w:r>
      <w:r w:rsidR="00351E52">
        <w:rPr>
          <w:szCs w:val="22"/>
        </w:rPr>
        <w:t xml:space="preserve"> </w:t>
      </w:r>
      <w:r>
        <w:rPr>
          <w:szCs w:val="22"/>
        </w:rPr>
        <w:t>de</w:t>
      </w:r>
      <w:r w:rsidR="00351E52">
        <w:rPr>
          <w:szCs w:val="22"/>
        </w:rPr>
        <w:t xml:space="preserve"> magnitude</w:t>
      </w:r>
      <w:r w:rsidR="001A063B" w:rsidRPr="003740F8">
        <w:rPr>
          <w:szCs w:val="22"/>
        </w:rPr>
        <w:t xml:space="preserve"> média, pois poderá se manifestar ao longo de grande parcela do perímetro dos reservatórios, sob a forma de diversos processos, ainda que em porções e/ou setores específicos. </w:t>
      </w:r>
    </w:p>
    <w:p w:rsidR="001A063B" w:rsidRPr="006F141D" w:rsidRDefault="008D3A12" w:rsidP="00E155C0">
      <w:pPr>
        <w:pStyle w:val="Legenda"/>
        <w:spacing w:line="240" w:lineRule="auto"/>
        <w:jc w:val="center"/>
        <w:rPr>
          <w:rFonts w:eastAsia="Calibri" w:cs="Arial"/>
          <w:b w:val="0"/>
          <w:i w:val="0"/>
          <w:szCs w:val="22"/>
          <w:lang w:eastAsia="en-US"/>
        </w:rPr>
      </w:pPr>
      <w:bookmarkStart w:id="236" w:name="_Toc420316471"/>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28</w:t>
      </w:r>
      <w:r w:rsidR="00B80A05" w:rsidRPr="006F141D">
        <w:rPr>
          <w:i w:val="0"/>
        </w:rPr>
        <w:fldChar w:fldCharType="end"/>
      </w:r>
      <w:r w:rsidR="006F141D" w:rsidRPr="006F141D">
        <w:rPr>
          <w:i w:val="0"/>
        </w:rPr>
        <w:t>.</w:t>
      </w:r>
      <w:r w:rsidR="006F141D" w:rsidRPr="006F141D">
        <w:rPr>
          <w:b w:val="0"/>
          <w:i w:val="0"/>
        </w:rPr>
        <w:t xml:space="preserve"> -</w:t>
      </w:r>
      <w:r w:rsidR="00B11E51" w:rsidRPr="006F141D">
        <w:rPr>
          <w:rFonts w:eastAsia="Calibri" w:cs="Arial"/>
          <w:b w:val="0"/>
          <w:i w:val="0"/>
          <w:szCs w:val="22"/>
          <w:lang w:eastAsia="en-US"/>
        </w:rPr>
        <w:t xml:space="preserve"> </w:t>
      </w:r>
      <w:r w:rsidR="001A063B" w:rsidRPr="006F141D">
        <w:rPr>
          <w:rFonts w:eastAsia="Calibri" w:cs="Arial"/>
          <w:b w:val="0"/>
          <w:i w:val="0"/>
          <w:szCs w:val="22"/>
          <w:lang w:eastAsia="en-US"/>
        </w:rPr>
        <w:t xml:space="preserve">Caracterização do Impacto - </w:t>
      </w:r>
      <w:r w:rsidR="00C77C49" w:rsidRPr="006F141D">
        <w:rPr>
          <w:b w:val="0"/>
          <w:i w:val="0"/>
        </w:rPr>
        <w:t xml:space="preserve">Acréscimo na Suscetibilidade a Instabilização de Encostas Marginais </w:t>
      </w:r>
      <w:r w:rsidR="001A063B" w:rsidRPr="006F141D">
        <w:rPr>
          <w:rFonts w:eastAsia="Calibri" w:cs="Arial"/>
          <w:b w:val="0"/>
          <w:i w:val="0"/>
          <w:szCs w:val="22"/>
          <w:lang w:eastAsia="en-US"/>
        </w:rPr>
        <w:t>- Barragens Pedreira e Duas Pontes</w:t>
      </w:r>
      <w:bookmarkEnd w:id="236"/>
    </w:p>
    <w:tbl>
      <w:tblPr>
        <w:tblW w:w="0" w:type="auto"/>
        <w:jc w:val="center"/>
        <w:tblInd w:w="1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1"/>
        <w:gridCol w:w="1212"/>
        <w:gridCol w:w="1779"/>
        <w:gridCol w:w="1623"/>
        <w:gridCol w:w="2987"/>
      </w:tblGrid>
      <w:tr w:rsidR="001A063B" w:rsidRPr="00DD4EE8" w:rsidTr="001A063B">
        <w:trPr>
          <w:trHeight w:val="355"/>
          <w:jc w:val="center"/>
        </w:trPr>
        <w:tc>
          <w:tcPr>
            <w:tcW w:w="1211" w:type="dxa"/>
            <w:shd w:val="clear" w:color="auto" w:fill="D9D9D9"/>
            <w:vAlign w:val="center"/>
          </w:tcPr>
          <w:p w:rsidR="001A063B" w:rsidRPr="00DD4EE8" w:rsidRDefault="001A063B" w:rsidP="001A063B">
            <w:pPr>
              <w:autoSpaceDE w:val="0"/>
              <w:autoSpaceDN w:val="0"/>
              <w:adjustRightInd w:val="0"/>
              <w:spacing w:line="240" w:lineRule="auto"/>
              <w:jc w:val="center"/>
              <w:rPr>
                <w:rFonts w:cs="Arial"/>
                <w:b/>
                <w:sz w:val="20"/>
              </w:rPr>
            </w:pPr>
            <w:r w:rsidRPr="00DD4EE8">
              <w:rPr>
                <w:rFonts w:cs="Arial"/>
                <w:b/>
                <w:sz w:val="20"/>
              </w:rPr>
              <w:t>Natureza</w:t>
            </w:r>
          </w:p>
        </w:tc>
        <w:tc>
          <w:tcPr>
            <w:tcW w:w="1212" w:type="dxa"/>
            <w:shd w:val="clear" w:color="auto" w:fill="D9D9D9"/>
            <w:vAlign w:val="center"/>
          </w:tcPr>
          <w:p w:rsidR="001A063B" w:rsidRPr="00DD4EE8" w:rsidRDefault="001A063B" w:rsidP="001A063B">
            <w:pPr>
              <w:autoSpaceDE w:val="0"/>
              <w:autoSpaceDN w:val="0"/>
              <w:adjustRightInd w:val="0"/>
              <w:spacing w:line="240" w:lineRule="auto"/>
              <w:jc w:val="center"/>
              <w:rPr>
                <w:rFonts w:cs="Arial"/>
                <w:b/>
                <w:sz w:val="20"/>
              </w:rPr>
            </w:pPr>
            <w:r w:rsidRPr="00DD4EE8">
              <w:rPr>
                <w:rFonts w:cs="Arial"/>
                <w:b/>
                <w:sz w:val="20"/>
              </w:rPr>
              <w:t>Ordem</w:t>
            </w:r>
          </w:p>
        </w:tc>
        <w:tc>
          <w:tcPr>
            <w:tcW w:w="1779" w:type="dxa"/>
            <w:shd w:val="clear" w:color="auto" w:fill="D9D9D9"/>
            <w:vAlign w:val="center"/>
          </w:tcPr>
          <w:p w:rsidR="001A063B" w:rsidRPr="00DD4EE8" w:rsidRDefault="001A063B" w:rsidP="001A063B">
            <w:pPr>
              <w:autoSpaceDE w:val="0"/>
              <w:autoSpaceDN w:val="0"/>
              <w:adjustRightInd w:val="0"/>
              <w:spacing w:line="240" w:lineRule="auto"/>
              <w:jc w:val="center"/>
              <w:rPr>
                <w:rFonts w:cs="Arial"/>
                <w:b/>
                <w:sz w:val="20"/>
              </w:rPr>
            </w:pPr>
            <w:r w:rsidRPr="00DD4EE8">
              <w:rPr>
                <w:rFonts w:cs="Arial"/>
                <w:b/>
                <w:sz w:val="20"/>
              </w:rPr>
              <w:t>Abrangência</w:t>
            </w:r>
          </w:p>
        </w:tc>
        <w:tc>
          <w:tcPr>
            <w:tcW w:w="1623" w:type="dxa"/>
            <w:shd w:val="clear" w:color="auto" w:fill="D9D9D9"/>
            <w:vAlign w:val="center"/>
          </w:tcPr>
          <w:p w:rsidR="001A063B" w:rsidRPr="00DD4EE8" w:rsidRDefault="001A063B" w:rsidP="001A063B">
            <w:pPr>
              <w:autoSpaceDE w:val="0"/>
              <w:autoSpaceDN w:val="0"/>
              <w:adjustRightInd w:val="0"/>
              <w:spacing w:line="240" w:lineRule="auto"/>
              <w:jc w:val="center"/>
              <w:rPr>
                <w:rFonts w:cs="Arial"/>
                <w:b/>
                <w:sz w:val="20"/>
              </w:rPr>
            </w:pPr>
            <w:r w:rsidRPr="00DD4EE8">
              <w:rPr>
                <w:rFonts w:cs="Arial"/>
                <w:b/>
                <w:sz w:val="20"/>
              </w:rPr>
              <w:t>Duração</w:t>
            </w:r>
          </w:p>
        </w:tc>
        <w:tc>
          <w:tcPr>
            <w:tcW w:w="2987" w:type="dxa"/>
            <w:shd w:val="clear" w:color="auto" w:fill="D9D9D9"/>
            <w:vAlign w:val="center"/>
          </w:tcPr>
          <w:p w:rsidR="001A063B" w:rsidRPr="00DD4EE8" w:rsidRDefault="001A063B" w:rsidP="001A063B">
            <w:pPr>
              <w:autoSpaceDE w:val="0"/>
              <w:autoSpaceDN w:val="0"/>
              <w:adjustRightInd w:val="0"/>
              <w:spacing w:line="240" w:lineRule="auto"/>
              <w:jc w:val="center"/>
              <w:rPr>
                <w:rFonts w:cs="Arial"/>
                <w:b/>
                <w:sz w:val="20"/>
              </w:rPr>
            </w:pPr>
            <w:r w:rsidRPr="00DD4EE8">
              <w:rPr>
                <w:rFonts w:cs="Arial"/>
                <w:b/>
                <w:sz w:val="20"/>
              </w:rPr>
              <w:t>Probabilidade de Ocorrência</w:t>
            </w:r>
          </w:p>
        </w:tc>
      </w:tr>
      <w:tr w:rsidR="001A063B" w:rsidRPr="00DD4EE8" w:rsidTr="001A063B">
        <w:trPr>
          <w:trHeight w:val="273"/>
          <w:jc w:val="center"/>
        </w:trPr>
        <w:tc>
          <w:tcPr>
            <w:tcW w:w="1211" w:type="dxa"/>
            <w:shd w:val="clear" w:color="auto" w:fill="auto"/>
            <w:vAlign w:val="center"/>
          </w:tcPr>
          <w:p w:rsidR="001A063B" w:rsidRPr="00DD4EE8" w:rsidRDefault="001A063B" w:rsidP="001A063B">
            <w:pPr>
              <w:autoSpaceDE w:val="0"/>
              <w:autoSpaceDN w:val="0"/>
              <w:adjustRightInd w:val="0"/>
              <w:spacing w:before="120" w:after="120" w:line="240" w:lineRule="auto"/>
              <w:jc w:val="center"/>
              <w:rPr>
                <w:rFonts w:cs="Arial"/>
                <w:sz w:val="20"/>
              </w:rPr>
            </w:pPr>
            <w:r w:rsidRPr="00DD4EE8">
              <w:rPr>
                <w:rFonts w:cs="Arial"/>
                <w:sz w:val="20"/>
              </w:rPr>
              <w:t>Negativa</w:t>
            </w:r>
          </w:p>
        </w:tc>
        <w:tc>
          <w:tcPr>
            <w:tcW w:w="1212" w:type="dxa"/>
            <w:shd w:val="clear" w:color="auto" w:fill="auto"/>
            <w:vAlign w:val="center"/>
          </w:tcPr>
          <w:p w:rsidR="001A063B" w:rsidRPr="00DD4EE8" w:rsidRDefault="001A063B" w:rsidP="001A063B">
            <w:pPr>
              <w:autoSpaceDE w:val="0"/>
              <w:autoSpaceDN w:val="0"/>
              <w:adjustRightInd w:val="0"/>
              <w:spacing w:before="120" w:after="120" w:line="240" w:lineRule="auto"/>
              <w:jc w:val="center"/>
              <w:rPr>
                <w:rFonts w:cs="Arial"/>
                <w:sz w:val="20"/>
              </w:rPr>
            </w:pPr>
            <w:r w:rsidRPr="00DD4EE8">
              <w:rPr>
                <w:rFonts w:cs="Arial"/>
                <w:sz w:val="20"/>
              </w:rPr>
              <w:t>Direta</w:t>
            </w:r>
          </w:p>
        </w:tc>
        <w:tc>
          <w:tcPr>
            <w:tcW w:w="1779" w:type="dxa"/>
            <w:shd w:val="clear" w:color="auto" w:fill="auto"/>
            <w:vAlign w:val="center"/>
          </w:tcPr>
          <w:p w:rsidR="001A063B" w:rsidRPr="00DD4EE8" w:rsidRDefault="001A063B" w:rsidP="001A063B">
            <w:pPr>
              <w:autoSpaceDE w:val="0"/>
              <w:autoSpaceDN w:val="0"/>
              <w:adjustRightInd w:val="0"/>
              <w:spacing w:before="120" w:after="120" w:line="240" w:lineRule="auto"/>
              <w:jc w:val="center"/>
              <w:rPr>
                <w:rFonts w:cs="Arial"/>
                <w:sz w:val="20"/>
              </w:rPr>
            </w:pPr>
            <w:r w:rsidRPr="00DD4EE8">
              <w:rPr>
                <w:rFonts w:cs="Arial"/>
                <w:sz w:val="20"/>
              </w:rPr>
              <w:t>Local</w:t>
            </w:r>
          </w:p>
        </w:tc>
        <w:tc>
          <w:tcPr>
            <w:tcW w:w="1623" w:type="dxa"/>
            <w:shd w:val="clear" w:color="auto" w:fill="auto"/>
            <w:vAlign w:val="center"/>
          </w:tcPr>
          <w:p w:rsidR="001A063B" w:rsidRPr="00DD4EE8" w:rsidRDefault="001A063B" w:rsidP="001A063B">
            <w:pPr>
              <w:autoSpaceDE w:val="0"/>
              <w:autoSpaceDN w:val="0"/>
              <w:adjustRightInd w:val="0"/>
              <w:spacing w:before="120" w:after="120" w:line="240" w:lineRule="auto"/>
              <w:jc w:val="center"/>
              <w:rPr>
                <w:rFonts w:cs="Arial"/>
                <w:sz w:val="20"/>
              </w:rPr>
            </w:pPr>
            <w:r>
              <w:rPr>
                <w:rFonts w:cs="Arial"/>
                <w:sz w:val="20"/>
              </w:rPr>
              <w:t>Permanente</w:t>
            </w:r>
          </w:p>
        </w:tc>
        <w:tc>
          <w:tcPr>
            <w:tcW w:w="2987" w:type="dxa"/>
            <w:shd w:val="clear" w:color="auto" w:fill="auto"/>
            <w:vAlign w:val="center"/>
          </w:tcPr>
          <w:p w:rsidR="001A063B" w:rsidRPr="00DD4EE8" w:rsidRDefault="001A063B" w:rsidP="001A063B">
            <w:pPr>
              <w:autoSpaceDE w:val="0"/>
              <w:autoSpaceDN w:val="0"/>
              <w:adjustRightInd w:val="0"/>
              <w:spacing w:before="120" w:after="120" w:line="240" w:lineRule="auto"/>
              <w:jc w:val="center"/>
              <w:rPr>
                <w:rFonts w:cs="Arial"/>
                <w:sz w:val="20"/>
              </w:rPr>
            </w:pPr>
            <w:r>
              <w:rPr>
                <w:rFonts w:cs="Arial"/>
                <w:sz w:val="20"/>
              </w:rPr>
              <w:t>Provável</w:t>
            </w:r>
          </w:p>
        </w:tc>
      </w:tr>
    </w:tbl>
    <w:p w:rsidR="001A063B" w:rsidRPr="00DD4EE8" w:rsidRDefault="001A063B" w:rsidP="001A063B">
      <w:pPr>
        <w:autoSpaceDE w:val="0"/>
        <w:autoSpaceDN w:val="0"/>
        <w:adjustRightInd w:val="0"/>
        <w:spacing w:line="240" w:lineRule="auto"/>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4"/>
        <w:gridCol w:w="1701"/>
        <w:gridCol w:w="1701"/>
        <w:gridCol w:w="1499"/>
        <w:gridCol w:w="1500"/>
      </w:tblGrid>
      <w:tr w:rsidR="001A063B" w:rsidRPr="00DD4EE8" w:rsidTr="001A063B">
        <w:trPr>
          <w:trHeight w:val="397"/>
          <w:jc w:val="center"/>
        </w:trPr>
        <w:tc>
          <w:tcPr>
            <w:tcW w:w="2434" w:type="dxa"/>
            <w:shd w:val="clear" w:color="auto" w:fill="D9D9D9"/>
            <w:vAlign w:val="center"/>
          </w:tcPr>
          <w:p w:rsidR="001A063B" w:rsidRPr="00DD4EE8" w:rsidRDefault="001A063B" w:rsidP="001A063B">
            <w:pPr>
              <w:autoSpaceDE w:val="0"/>
              <w:autoSpaceDN w:val="0"/>
              <w:adjustRightInd w:val="0"/>
              <w:spacing w:line="240" w:lineRule="auto"/>
              <w:jc w:val="center"/>
              <w:rPr>
                <w:rFonts w:cs="Arial"/>
                <w:b/>
                <w:sz w:val="20"/>
              </w:rPr>
            </w:pPr>
            <w:r w:rsidRPr="00DD4EE8">
              <w:rPr>
                <w:rFonts w:cs="Arial"/>
                <w:b/>
                <w:sz w:val="20"/>
              </w:rPr>
              <w:t>Época de Ocorrência</w:t>
            </w:r>
          </w:p>
        </w:tc>
        <w:tc>
          <w:tcPr>
            <w:tcW w:w="1701" w:type="dxa"/>
            <w:shd w:val="clear" w:color="auto" w:fill="D9D9D9"/>
            <w:vAlign w:val="center"/>
          </w:tcPr>
          <w:p w:rsidR="001A063B" w:rsidRPr="00DD4EE8" w:rsidRDefault="001A063B" w:rsidP="001A063B">
            <w:pPr>
              <w:autoSpaceDE w:val="0"/>
              <w:autoSpaceDN w:val="0"/>
              <w:adjustRightInd w:val="0"/>
              <w:spacing w:line="240" w:lineRule="auto"/>
              <w:jc w:val="center"/>
              <w:rPr>
                <w:rFonts w:cs="Arial"/>
                <w:b/>
                <w:sz w:val="20"/>
              </w:rPr>
            </w:pPr>
            <w:r w:rsidRPr="00DD4EE8">
              <w:rPr>
                <w:rFonts w:cs="Arial"/>
                <w:b/>
                <w:sz w:val="20"/>
              </w:rPr>
              <w:t>Reversibilidade</w:t>
            </w:r>
          </w:p>
        </w:tc>
        <w:tc>
          <w:tcPr>
            <w:tcW w:w="1701" w:type="dxa"/>
            <w:shd w:val="clear" w:color="auto" w:fill="D9D9D9"/>
            <w:vAlign w:val="center"/>
          </w:tcPr>
          <w:p w:rsidR="001A063B" w:rsidRPr="00DD4EE8" w:rsidRDefault="001A063B" w:rsidP="001A063B">
            <w:pPr>
              <w:autoSpaceDE w:val="0"/>
              <w:autoSpaceDN w:val="0"/>
              <w:adjustRightInd w:val="0"/>
              <w:spacing w:line="240" w:lineRule="auto"/>
              <w:jc w:val="center"/>
              <w:rPr>
                <w:rFonts w:cs="Arial"/>
                <w:b/>
                <w:sz w:val="20"/>
              </w:rPr>
            </w:pPr>
            <w:r w:rsidRPr="00DD4EE8">
              <w:rPr>
                <w:rFonts w:cs="Arial"/>
                <w:b/>
                <w:sz w:val="20"/>
              </w:rPr>
              <w:t>Magnitude</w:t>
            </w:r>
          </w:p>
        </w:tc>
        <w:tc>
          <w:tcPr>
            <w:tcW w:w="1499" w:type="dxa"/>
            <w:shd w:val="clear" w:color="auto" w:fill="D9D9D9"/>
            <w:vAlign w:val="center"/>
          </w:tcPr>
          <w:p w:rsidR="001A063B" w:rsidRPr="00DD4EE8" w:rsidRDefault="001A063B" w:rsidP="001A063B">
            <w:pPr>
              <w:autoSpaceDE w:val="0"/>
              <w:autoSpaceDN w:val="0"/>
              <w:adjustRightInd w:val="0"/>
              <w:spacing w:line="240" w:lineRule="auto"/>
              <w:jc w:val="center"/>
              <w:rPr>
                <w:rFonts w:cs="Arial"/>
                <w:b/>
                <w:sz w:val="20"/>
              </w:rPr>
            </w:pPr>
            <w:r w:rsidRPr="00DD4EE8">
              <w:rPr>
                <w:rFonts w:cs="Arial"/>
                <w:b/>
                <w:sz w:val="20"/>
              </w:rPr>
              <w:t>Importância</w:t>
            </w:r>
          </w:p>
        </w:tc>
        <w:tc>
          <w:tcPr>
            <w:tcW w:w="1500" w:type="dxa"/>
            <w:shd w:val="clear" w:color="auto" w:fill="D9D9D9"/>
            <w:vAlign w:val="center"/>
          </w:tcPr>
          <w:p w:rsidR="001A063B" w:rsidRPr="00DD4EE8" w:rsidRDefault="001A063B" w:rsidP="001A063B">
            <w:pPr>
              <w:autoSpaceDE w:val="0"/>
              <w:autoSpaceDN w:val="0"/>
              <w:adjustRightInd w:val="0"/>
              <w:spacing w:line="240" w:lineRule="auto"/>
              <w:jc w:val="center"/>
              <w:rPr>
                <w:rFonts w:cs="Arial"/>
                <w:b/>
                <w:sz w:val="20"/>
              </w:rPr>
            </w:pPr>
            <w:r w:rsidRPr="00DD4EE8">
              <w:rPr>
                <w:rFonts w:cs="Arial"/>
                <w:b/>
                <w:sz w:val="20"/>
              </w:rPr>
              <w:t>Mitigação</w:t>
            </w:r>
          </w:p>
        </w:tc>
      </w:tr>
      <w:tr w:rsidR="001A063B" w:rsidRPr="00DD4EE8" w:rsidTr="001A063B">
        <w:trPr>
          <w:trHeight w:val="344"/>
          <w:jc w:val="center"/>
        </w:trPr>
        <w:tc>
          <w:tcPr>
            <w:tcW w:w="2434" w:type="dxa"/>
            <w:shd w:val="clear" w:color="auto" w:fill="auto"/>
            <w:vAlign w:val="center"/>
          </w:tcPr>
          <w:p w:rsidR="001A063B" w:rsidRPr="00DD4EE8" w:rsidRDefault="001A063B" w:rsidP="00B731C6">
            <w:pPr>
              <w:autoSpaceDE w:val="0"/>
              <w:autoSpaceDN w:val="0"/>
              <w:adjustRightInd w:val="0"/>
              <w:spacing w:before="120" w:after="120" w:line="240" w:lineRule="auto"/>
              <w:jc w:val="center"/>
              <w:rPr>
                <w:rFonts w:cs="Arial"/>
                <w:sz w:val="20"/>
              </w:rPr>
            </w:pPr>
            <w:r>
              <w:rPr>
                <w:rFonts w:cs="Arial"/>
                <w:sz w:val="20"/>
              </w:rPr>
              <w:t xml:space="preserve">Imediata </w:t>
            </w:r>
            <w:r w:rsidR="00B731C6">
              <w:rPr>
                <w:rFonts w:cs="Arial"/>
                <w:sz w:val="20"/>
              </w:rPr>
              <w:t>/</w:t>
            </w:r>
            <w:r>
              <w:rPr>
                <w:rFonts w:cs="Arial"/>
                <w:sz w:val="20"/>
              </w:rPr>
              <w:t xml:space="preserve"> Longo</w:t>
            </w:r>
            <w:r w:rsidRPr="00DD4EE8">
              <w:rPr>
                <w:rFonts w:cs="Arial"/>
                <w:sz w:val="20"/>
              </w:rPr>
              <w:t xml:space="preserve"> Prazo</w:t>
            </w:r>
          </w:p>
        </w:tc>
        <w:tc>
          <w:tcPr>
            <w:tcW w:w="1701" w:type="dxa"/>
            <w:shd w:val="clear" w:color="auto" w:fill="auto"/>
            <w:vAlign w:val="center"/>
          </w:tcPr>
          <w:p w:rsidR="001A063B" w:rsidRPr="00DD4EE8" w:rsidRDefault="00D74313" w:rsidP="00B52FDC">
            <w:pPr>
              <w:autoSpaceDE w:val="0"/>
              <w:autoSpaceDN w:val="0"/>
              <w:adjustRightInd w:val="0"/>
              <w:spacing w:before="120" w:after="120" w:line="240" w:lineRule="auto"/>
              <w:jc w:val="center"/>
              <w:rPr>
                <w:rFonts w:cs="Arial"/>
                <w:sz w:val="20"/>
              </w:rPr>
            </w:pPr>
            <w:r>
              <w:rPr>
                <w:rFonts w:cs="Arial"/>
                <w:sz w:val="20"/>
              </w:rPr>
              <w:t>R</w:t>
            </w:r>
            <w:r w:rsidR="001A063B" w:rsidRPr="00DD4EE8">
              <w:rPr>
                <w:rFonts w:cs="Arial"/>
                <w:sz w:val="20"/>
              </w:rPr>
              <w:t>eversível</w:t>
            </w:r>
          </w:p>
        </w:tc>
        <w:tc>
          <w:tcPr>
            <w:tcW w:w="1701" w:type="dxa"/>
            <w:shd w:val="clear" w:color="auto" w:fill="auto"/>
            <w:vAlign w:val="center"/>
          </w:tcPr>
          <w:p w:rsidR="001A063B" w:rsidRPr="00DD4EE8" w:rsidRDefault="001A063B" w:rsidP="001A063B">
            <w:pPr>
              <w:autoSpaceDE w:val="0"/>
              <w:autoSpaceDN w:val="0"/>
              <w:adjustRightInd w:val="0"/>
              <w:spacing w:before="120" w:after="120" w:line="240" w:lineRule="auto"/>
              <w:jc w:val="center"/>
              <w:rPr>
                <w:rFonts w:cs="Arial"/>
                <w:sz w:val="20"/>
              </w:rPr>
            </w:pPr>
            <w:r>
              <w:rPr>
                <w:rFonts w:cs="Arial"/>
                <w:sz w:val="20"/>
              </w:rPr>
              <w:t>Média</w:t>
            </w:r>
          </w:p>
        </w:tc>
        <w:tc>
          <w:tcPr>
            <w:tcW w:w="1499" w:type="dxa"/>
            <w:shd w:val="clear" w:color="auto" w:fill="auto"/>
            <w:vAlign w:val="center"/>
          </w:tcPr>
          <w:p w:rsidR="001A063B" w:rsidRPr="00DD4EE8" w:rsidRDefault="001A063B" w:rsidP="001A063B">
            <w:pPr>
              <w:autoSpaceDE w:val="0"/>
              <w:autoSpaceDN w:val="0"/>
              <w:adjustRightInd w:val="0"/>
              <w:spacing w:before="120" w:after="120" w:line="240" w:lineRule="auto"/>
              <w:jc w:val="center"/>
              <w:rPr>
                <w:rFonts w:cs="Arial"/>
                <w:sz w:val="20"/>
              </w:rPr>
            </w:pPr>
            <w:r>
              <w:rPr>
                <w:rFonts w:cs="Arial"/>
                <w:sz w:val="20"/>
              </w:rPr>
              <w:t>Média</w:t>
            </w:r>
          </w:p>
        </w:tc>
        <w:tc>
          <w:tcPr>
            <w:tcW w:w="1500" w:type="dxa"/>
            <w:shd w:val="clear" w:color="auto" w:fill="auto"/>
            <w:vAlign w:val="center"/>
          </w:tcPr>
          <w:p w:rsidR="001A063B" w:rsidRPr="00DD4EE8" w:rsidRDefault="001A063B" w:rsidP="001A063B">
            <w:pPr>
              <w:autoSpaceDE w:val="0"/>
              <w:autoSpaceDN w:val="0"/>
              <w:adjustRightInd w:val="0"/>
              <w:spacing w:before="120" w:after="120" w:line="240" w:lineRule="auto"/>
              <w:jc w:val="center"/>
              <w:rPr>
                <w:rFonts w:cs="Arial"/>
                <w:sz w:val="20"/>
              </w:rPr>
            </w:pPr>
            <w:r w:rsidRPr="00DD4EE8">
              <w:rPr>
                <w:rFonts w:cs="Arial"/>
                <w:sz w:val="20"/>
              </w:rPr>
              <w:t>Mitigável</w:t>
            </w:r>
          </w:p>
        </w:tc>
      </w:tr>
    </w:tbl>
    <w:p w:rsidR="001A063B" w:rsidRPr="001A063B" w:rsidRDefault="001A063B" w:rsidP="001A063B">
      <w:pPr>
        <w:pStyle w:val="Corpodetexto"/>
        <w:tabs>
          <w:tab w:val="left" w:pos="2430"/>
        </w:tabs>
        <w:spacing w:before="0" w:after="0"/>
        <w:rPr>
          <w:szCs w:val="22"/>
        </w:rPr>
      </w:pPr>
    </w:p>
    <w:p w:rsidR="001A063B" w:rsidRPr="001A063B" w:rsidRDefault="001A063B" w:rsidP="001A063B">
      <w:pPr>
        <w:pStyle w:val="Corpodetexto"/>
        <w:tabs>
          <w:tab w:val="left" w:pos="2430"/>
        </w:tabs>
        <w:rPr>
          <w:b/>
          <w:szCs w:val="22"/>
        </w:rPr>
      </w:pPr>
      <w:r w:rsidRPr="001A063B">
        <w:rPr>
          <w:b/>
          <w:szCs w:val="22"/>
        </w:rPr>
        <w:t>Ações ambientais propostas</w:t>
      </w:r>
    </w:p>
    <w:p w:rsidR="001A063B" w:rsidRDefault="001A063B" w:rsidP="001A063B">
      <w:pPr>
        <w:pStyle w:val="Corpodetexto"/>
        <w:tabs>
          <w:tab w:val="left" w:pos="2430"/>
        </w:tabs>
        <w:rPr>
          <w:szCs w:val="22"/>
        </w:rPr>
      </w:pPr>
      <w:r>
        <w:rPr>
          <w:szCs w:val="22"/>
        </w:rPr>
        <w:t>A</w:t>
      </w:r>
      <w:r w:rsidRPr="00126DBC">
        <w:rPr>
          <w:szCs w:val="22"/>
        </w:rPr>
        <w:t>s medidas de cunho preventivo e mitigador</w:t>
      </w:r>
      <w:r>
        <w:rPr>
          <w:szCs w:val="22"/>
        </w:rPr>
        <w:t xml:space="preserve"> devem se concentrar</w:t>
      </w:r>
      <w:r w:rsidRPr="00126DBC">
        <w:rPr>
          <w:szCs w:val="22"/>
        </w:rPr>
        <w:t xml:space="preserve"> </w:t>
      </w:r>
      <w:r>
        <w:rPr>
          <w:szCs w:val="22"/>
        </w:rPr>
        <w:t>nos</w:t>
      </w:r>
      <w:r w:rsidRPr="00126DBC">
        <w:rPr>
          <w:szCs w:val="22"/>
        </w:rPr>
        <w:t xml:space="preserve"> setores </w:t>
      </w:r>
      <w:r>
        <w:rPr>
          <w:szCs w:val="22"/>
        </w:rPr>
        <w:t xml:space="preserve">definidos </w:t>
      </w:r>
      <w:r w:rsidRPr="00126DBC">
        <w:rPr>
          <w:szCs w:val="22"/>
        </w:rPr>
        <w:t>com</w:t>
      </w:r>
      <w:r>
        <w:rPr>
          <w:szCs w:val="22"/>
        </w:rPr>
        <w:t xml:space="preserve">o de </w:t>
      </w:r>
      <w:r w:rsidRPr="00126DBC">
        <w:rPr>
          <w:szCs w:val="22"/>
        </w:rPr>
        <w:t>suscetibilidade mais elevada</w:t>
      </w:r>
      <w:r>
        <w:rPr>
          <w:szCs w:val="22"/>
        </w:rPr>
        <w:t>,</w:t>
      </w:r>
      <w:r w:rsidRPr="00126DBC">
        <w:rPr>
          <w:szCs w:val="22"/>
        </w:rPr>
        <w:t xml:space="preserve"> </w:t>
      </w:r>
      <w:r>
        <w:rPr>
          <w:szCs w:val="22"/>
        </w:rPr>
        <w:t>durante o Diagnóstico Ambiental</w:t>
      </w:r>
      <w:r w:rsidRPr="00126DBC">
        <w:rPr>
          <w:szCs w:val="22"/>
        </w:rPr>
        <w:t xml:space="preserve">. </w:t>
      </w:r>
      <w:r>
        <w:rPr>
          <w:szCs w:val="22"/>
        </w:rPr>
        <w:t>O</w:t>
      </w:r>
      <w:r w:rsidRPr="00126DBC">
        <w:rPr>
          <w:szCs w:val="22"/>
        </w:rPr>
        <w:t xml:space="preserve"> Programa de Monitoramento da Estabilidade das Encostas</w:t>
      </w:r>
      <w:r>
        <w:rPr>
          <w:szCs w:val="22"/>
        </w:rPr>
        <w:t xml:space="preserve"> </w:t>
      </w:r>
      <w:r w:rsidRPr="00126DBC">
        <w:rPr>
          <w:szCs w:val="22"/>
        </w:rPr>
        <w:t xml:space="preserve">Marginais e Processos Erosivos </w:t>
      </w:r>
      <w:r>
        <w:rPr>
          <w:szCs w:val="22"/>
        </w:rPr>
        <w:t>e o Programa de Monitoramento da Dinâmica das Águas Subterrâneas são</w:t>
      </w:r>
      <w:r w:rsidRPr="00126DBC">
        <w:rPr>
          <w:szCs w:val="22"/>
        </w:rPr>
        <w:t xml:space="preserve"> de fundamental importância para detectar eventuais</w:t>
      </w:r>
      <w:r>
        <w:rPr>
          <w:szCs w:val="22"/>
        </w:rPr>
        <w:t xml:space="preserve"> alterações n</w:t>
      </w:r>
      <w:r w:rsidRPr="00126DBC">
        <w:rPr>
          <w:szCs w:val="22"/>
        </w:rPr>
        <w:t>as condições naturais de suscetibilidade frente às novas solicitações do reservatório, de modo que se possa adotar</w:t>
      </w:r>
      <w:r>
        <w:rPr>
          <w:szCs w:val="22"/>
        </w:rPr>
        <w:t xml:space="preserve"> </w:t>
      </w:r>
      <w:r w:rsidRPr="00126DBC">
        <w:rPr>
          <w:szCs w:val="22"/>
        </w:rPr>
        <w:t>as devidas medidas mitigadoras.</w:t>
      </w:r>
    </w:p>
    <w:p w:rsidR="00973BCF" w:rsidRPr="00CE2C40" w:rsidRDefault="00A71868" w:rsidP="00CE2C40">
      <w:pPr>
        <w:pStyle w:val="Ttulo3"/>
        <w:spacing w:after="240"/>
        <w:rPr>
          <w:rFonts w:ascii="Arial Negrito" w:hAnsi="Arial Negrito"/>
          <w:b w:val="0"/>
          <w:bCs/>
        </w:rPr>
      </w:pPr>
      <w:bookmarkStart w:id="237" w:name="_Toc418758225"/>
      <w:bookmarkStart w:id="238" w:name="_Toc418758827"/>
      <w:bookmarkStart w:id="239" w:name="_Toc419813587"/>
      <w:r w:rsidRPr="00CE2C40">
        <w:rPr>
          <w:rFonts w:ascii="Arial Negrito" w:hAnsi="Arial Negrito"/>
          <w:b w:val="0"/>
          <w:bCs/>
        </w:rPr>
        <w:t>1.3.1.</w:t>
      </w:r>
      <w:r w:rsidR="00973BCF" w:rsidRPr="00CE2C40">
        <w:rPr>
          <w:rFonts w:ascii="Arial Negrito" w:hAnsi="Arial Negrito"/>
          <w:b w:val="0"/>
          <w:bCs/>
        </w:rPr>
        <w:t>1</w:t>
      </w:r>
      <w:r w:rsidR="008C5DE8" w:rsidRPr="00CE2C40">
        <w:rPr>
          <w:rFonts w:ascii="Arial Negrito" w:hAnsi="Arial Negrito"/>
          <w:b w:val="0"/>
          <w:bCs/>
        </w:rPr>
        <w:t>6</w:t>
      </w:r>
      <w:r w:rsidR="00973BCF" w:rsidRPr="00CE2C40">
        <w:rPr>
          <w:rFonts w:ascii="Arial Negrito" w:hAnsi="Arial Negrito"/>
          <w:b w:val="0"/>
          <w:bCs/>
        </w:rPr>
        <w:t>. Risco de Contamina</w:t>
      </w:r>
      <w:r w:rsidR="00973BCF" w:rsidRPr="00CE2C40">
        <w:rPr>
          <w:rFonts w:ascii="Arial Negrito" w:hAnsi="Arial Negrito" w:hint="eastAsia"/>
          <w:b w:val="0"/>
          <w:bCs/>
        </w:rPr>
        <w:t>çã</w:t>
      </w:r>
      <w:r w:rsidR="00973BCF" w:rsidRPr="00CE2C40">
        <w:rPr>
          <w:rFonts w:ascii="Arial Negrito" w:hAnsi="Arial Negrito"/>
          <w:b w:val="0"/>
          <w:bCs/>
        </w:rPr>
        <w:t>o do Solo</w:t>
      </w:r>
      <w:bookmarkEnd w:id="237"/>
      <w:bookmarkEnd w:id="238"/>
      <w:bookmarkEnd w:id="239"/>
    </w:p>
    <w:p w:rsidR="004E4B28" w:rsidRDefault="004E4B28" w:rsidP="004E4B28">
      <w:pPr>
        <w:tabs>
          <w:tab w:val="left" w:pos="1134"/>
        </w:tabs>
        <w:spacing w:before="120" w:after="120" w:line="240" w:lineRule="auto"/>
        <w:rPr>
          <w:rFonts w:cs="Arial"/>
          <w:b/>
          <w:szCs w:val="22"/>
        </w:rPr>
      </w:pPr>
      <w:r w:rsidRPr="00254B6A">
        <w:rPr>
          <w:rFonts w:cs="Arial"/>
          <w:b/>
          <w:szCs w:val="22"/>
        </w:rPr>
        <w:t>Fase: Implantação</w:t>
      </w:r>
    </w:p>
    <w:p w:rsidR="004E4B28" w:rsidRDefault="004E4B28" w:rsidP="004E4B28">
      <w:pPr>
        <w:tabs>
          <w:tab w:val="left" w:pos="1134"/>
        </w:tabs>
        <w:spacing w:before="120" w:after="120" w:line="240" w:lineRule="auto"/>
        <w:rPr>
          <w:rFonts w:cs="Arial"/>
          <w:szCs w:val="22"/>
        </w:rPr>
      </w:pPr>
      <w:r w:rsidRPr="002F1317">
        <w:rPr>
          <w:rFonts w:cs="Arial"/>
          <w:szCs w:val="22"/>
        </w:rPr>
        <w:t>O vazamento ocasional de poluentes</w:t>
      </w:r>
      <w:r>
        <w:rPr>
          <w:rFonts w:cs="Arial"/>
          <w:szCs w:val="22"/>
        </w:rPr>
        <w:t>, notadamente combustíveis, lubrificantes e graxas dos veículos e máquinas utilizados durante as obras, podem contaminar localmente os solos, principalmente, no canteiro de obras, oficinas de manutenção e locais de armazenamento destes produtos.</w:t>
      </w:r>
    </w:p>
    <w:p w:rsidR="004E4B28" w:rsidRPr="007524B0" w:rsidRDefault="004E4B28" w:rsidP="004E4B28">
      <w:pPr>
        <w:tabs>
          <w:tab w:val="left" w:pos="1134"/>
        </w:tabs>
        <w:spacing w:before="120" w:after="120" w:line="240" w:lineRule="auto"/>
        <w:rPr>
          <w:rFonts w:cs="Arial"/>
          <w:szCs w:val="22"/>
        </w:rPr>
      </w:pPr>
      <w:r w:rsidRPr="007524B0">
        <w:rPr>
          <w:rFonts w:cs="Arial"/>
          <w:szCs w:val="22"/>
        </w:rPr>
        <w:t xml:space="preserve">A implantação de piso impermeável dotado de sistema coletor com caixa retentora de óleo pode evitar o </w:t>
      </w:r>
      <w:r>
        <w:rPr>
          <w:rFonts w:cs="Arial"/>
          <w:szCs w:val="22"/>
        </w:rPr>
        <w:t>risco de contaminação dos solos</w:t>
      </w:r>
      <w:r w:rsidRPr="007524B0">
        <w:rPr>
          <w:rFonts w:cs="Arial"/>
          <w:szCs w:val="22"/>
        </w:rPr>
        <w:t>, nos pátios de estocagem de combustíveis, de tanques de óleos lubrificantes (novos e usados), pátios de estacionamento de caminhões e de abastecimento, áreas de lavagem de veículos e oficinas de manutenção</w:t>
      </w:r>
      <w:r>
        <w:rPr>
          <w:rFonts w:cs="Arial"/>
          <w:szCs w:val="22"/>
        </w:rPr>
        <w:t>.</w:t>
      </w:r>
      <w:r w:rsidRPr="00254B6A">
        <w:rPr>
          <w:rFonts w:cs="Arial"/>
          <w:color w:val="0070C0"/>
          <w:szCs w:val="22"/>
        </w:rPr>
        <w:t xml:space="preserve"> </w:t>
      </w:r>
      <w:r w:rsidRPr="007524B0">
        <w:rPr>
          <w:rFonts w:cs="Arial"/>
          <w:szCs w:val="22"/>
        </w:rPr>
        <w:t xml:space="preserve">Desse modo, o risco de poluição dos solos, pelo vazamento de derivados de petróleo, será minimizado. </w:t>
      </w:r>
    </w:p>
    <w:p w:rsidR="004E4B28" w:rsidRPr="007524B0" w:rsidRDefault="004E4B28" w:rsidP="004E4B28">
      <w:pPr>
        <w:tabs>
          <w:tab w:val="left" w:pos="1134"/>
        </w:tabs>
        <w:spacing w:before="120" w:after="120" w:line="240" w:lineRule="auto"/>
        <w:rPr>
          <w:rFonts w:cs="Arial"/>
          <w:szCs w:val="22"/>
        </w:rPr>
      </w:pPr>
      <w:r w:rsidRPr="007524B0">
        <w:rPr>
          <w:rFonts w:cs="Arial"/>
          <w:szCs w:val="22"/>
        </w:rPr>
        <w:t xml:space="preserve">No entanto, a quantidade e a extensa área de circulação pela qual os veículos devem se movimentar, faz prever que possam ocorrer incidentes em locais fora das áreas protegidas com piso impermeável e caixas coletoras. Porém, sendo os volumes de combustíveis e de óleo lubrificantes transportados nos tanques de pequena monta, prevê-se que os impactos sejam </w:t>
      </w:r>
      <w:r>
        <w:rPr>
          <w:rFonts w:cs="Arial"/>
          <w:szCs w:val="22"/>
        </w:rPr>
        <w:t>d</w:t>
      </w:r>
      <w:r w:rsidRPr="007524B0">
        <w:rPr>
          <w:rFonts w:cs="Arial"/>
          <w:szCs w:val="22"/>
        </w:rPr>
        <w:t xml:space="preserve">e </w:t>
      </w:r>
      <w:r w:rsidRPr="00096D99">
        <w:rPr>
          <w:rFonts w:cs="Arial"/>
          <w:szCs w:val="22"/>
        </w:rPr>
        <w:t>magnitude pequena e baixa importância nos dois empreendimentos.</w:t>
      </w:r>
      <w:r w:rsidRPr="007524B0">
        <w:rPr>
          <w:rFonts w:cs="Arial"/>
          <w:szCs w:val="22"/>
        </w:rPr>
        <w:t xml:space="preserve"> </w:t>
      </w:r>
    </w:p>
    <w:p w:rsidR="004E4B28" w:rsidRDefault="004E4B28" w:rsidP="004E4B28">
      <w:pPr>
        <w:tabs>
          <w:tab w:val="left" w:pos="1134"/>
        </w:tabs>
        <w:spacing w:before="120" w:line="240" w:lineRule="auto"/>
        <w:rPr>
          <w:rFonts w:cs="Arial"/>
          <w:szCs w:val="22"/>
        </w:rPr>
      </w:pPr>
      <w:r w:rsidRPr="007524B0">
        <w:rPr>
          <w:rFonts w:cs="Arial"/>
          <w:szCs w:val="22"/>
        </w:rPr>
        <w:t>O impacto do risco de contaminação do solo é de natureza negativa, com abrangência localizada na ADA e AID, podendo ter ações corretivas (retirada do solo contaminado), de ocorrência provável, porém a intervalos irregulares durante as obras.</w:t>
      </w:r>
    </w:p>
    <w:p w:rsidR="006F141D" w:rsidRPr="007524B0" w:rsidRDefault="006F141D" w:rsidP="004E4B28">
      <w:pPr>
        <w:tabs>
          <w:tab w:val="left" w:pos="1134"/>
        </w:tabs>
        <w:spacing w:before="120" w:line="240" w:lineRule="auto"/>
        <w:rPr>
          <w:rFonts w:cs="Arial"/>
          <w:szCs w:val="22"/>
        </w:rPr>
      </w:pPr>
    </w:p>
    <w:p w:rsidR="004334F5" w:rsidRPr="006F141D" w:rsidRDefault="008D3A12" w:rsidP="00E155C0">
      <w:pPr>
        <w:pStyle w:val="Legenda"/>
        <w:spacing w:before="0" w:after="0" w:line="240" w:lineRule="auto"/>
        <w:jc w:val="center"/>
        <w:rPr>
          <w:rFonts w:cs="Arial"/>
          <w:b w:val="0"/>
          <w:bCs/>
          <w:i w:val="0"/>
          <w:szCs w:val="22"/>
        </w:rPr>
      </w:pPr>
      <w:bookmarkStart w:id="240" w:name="_Toc420316472"/>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29</w:t>
      </w:r>
      <w:r w:rsidR="00B80A05" w:rsidRPr="006F141D">
        <w:rPr>
          <w:i w:val="0"/>
        </w:rPr>
        <w:fldChar w:fldCharType="end"/>
      </w:r>
      <w:r w:rsidR="006F141D" w:rsidRPr="006F141D">
        <w:rPr>
          <w:i w:val="0"/>
        </w:rPr>
        <w:t>.</w:t>
      </w:r>
      <w:r w:rsidR="006F141D" w:rsidRPr="006F141D">
        <w:rPr>
          <w:b w:val="0"/>
          <w:i w:val="0"/>
        </w:rPr>
        <w:t xml:space="preserve"> - </w:t>
      </w:r>
      <w:r w:rsidR="004E4B28" w:rsidRPr="006F141D">
        <w:rPr>
          <w:rFonts w:eastAsia="Calibri"/>
          <w:b w:val="0"/>
          <w:bCs/>
          <w:i w:val="0"/>
          <w:szCs w:val="22"/>
          <w:lang w:eastAsia="en-US"/>
        </w:rPr>
        <w:t>Caracterização do</w:t>
      </w:r>
      <w:r w:rsidR="004E4B28" w:rsidRPr="006F141D">
        <w:rPr>
          <w:rFonts w:cs="Arial"/>
          <w:b w:val="0"/>
          <w:bCs/>
          <w:i w:val="0"/>
          <w:szCs w:val="22"/>
        </w:rPr>
        <w:t xml:space="preserve"> Impacto - Risco de Contaminação do Solo</w:t>
      </w:r>
      <w:bookmarkEnd w:id="240"/>
      <w:r w:rsidR="004334F5" w:rsidRPr="006F141D">
        <w:rPr>
          <w:rFonts w:cs="Arial"/>
          <w:b w:val="0"/>
          <w:bCs/>
          <w:i w:val="0"/>
          <w:szCs w:val="22"/>
        </w:rPr>
        <w:t xml:space="preserve"> </w:t>
      </w:r>
    </w:p>
    <w:p w:rsidR="004E4B28" w:rsidRDefault="004E4B28" w:rsidP="00E155C0">
      <w:pPr>
        <w:tabs>
          <w:tab w:val="left" w:pos="1134"/>
        </w:tabs>
        <w:spacing w:line="240" w:lineRule="auto"/>
        <w:jc w:val="center"/>
        <w:rPr>
          <w:rFonts w:cs="Arial"/>
          <w:bCs/>
          <w:szCs w:val="22"/>
        </w:rPr>
      </w:pPr>
      <w:r w:rsidRPr="006F141D">
        <w:rPr>
          <w:rFonts w:cs="Arial"/>
          <w:bCs/>
          <w:szCs w:val="22"/>
        </w:rPr>
        <w:t>Barrage</w:t>
      </w:r>
      <w:r w:rsidR="00096D99" w:rsidRPr="006F141D">
        <w:rPr>
          <w:rFonts w:cs="Arial"/>
          <w:bCs/>
          <w:szCs w:val="22"/>
        </w:rPr>
        <w:t>ns</w:t>
      </w:r>
      <w:r w:rsidRPr="006F141D">
        <w:rPr>
          <w:rFonts w:cs="Arial"/>
          <w:bCs/>
          <w:szCs w:val="22"/>
        </w:rPr>
        <w:t xml:space="preserve"> Pedreira</w:t>
      </w:r>
      <w:r w:rsidR="00096D99" w:rsidRPr="006F141D">
        <w:rPr>
          <w:rFonts w:cs="Arial"/>
          <w:bCs/>
          <w:szCs w:val="22"/>
        </w:rPr>
        <w:t xml:space="preserve"> e Duas Pontes </w:t>
      </w:r>
    </w:p>
    <w:p w:rsidR="006F141D" w:rsidRPr="006F141D" w:rsidRDefault="006F141D" w:rsidP="006F141D">
      <w:pPr>
        <w:tabs>
          <w:tab w:val="left" w:pos="1134"/>
        </w:tabs>
        <w:spacing w:line="240" w:lineRule="auto"/>
        <w:jc w:val="center"/>
        <w:rPr>
          <w:rFonts w:cs="Arial"/>
          <w:bCs/>
          <w:szCs w:val="22"/>
        </w:rPr>
      </w:pPr>
    </w:p>
    <w:tbl>
      <w:tblPr>
        <w:tblW w:w="0" w:type="auto"/>
        <w:jc w:val="center"/>
        <w:tblInd w:w="-24" w:type="dxa"/>
        <w:tblCellMar>
          <w:left w:w="0" w:type="dxa"/>
          <w:right w:w="0" w:type="dxa"/>
        </w:tblCellMar>
        <w:tblLook w:val="04A0" w:firstRow="1" w:lastRow="0" w:firstColumn="1" w:lastColumn="0" w:noHBand="0" w:noVBand="1"/>
      </w:tblPr>
      <w:tblGrid>
        <w:gridCol w:w="1149"/>
        <w:gridCol w:w="1149"/>
        <w:gridCol w:w="1979"/>
        <w:gridCol w:w="1565"/>
        <w:gridCol w:w="2995"/>
      </w:tblGrid>
      <w:tr w:rsidR="00096D99" w:rsidRPr="00254B6A" w:rsidTr="00095C28">
        <w:trPr>
          <w:trHeight w:val="375"/>
          <w:jc w:val="center"/>
        </w:trPr>
        <w:tc>
          <w:tcPr>
            <w:tcW w:w="1149"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rsidR="004E4B28" w:rsidRPr="00254B6A" w:rsidRDefault="004E4B28" w:rsidP="0024037F">
            <w:pPr>
              <w:tabs>
                <w:tab w:val="left" w:pos="1134"/>
              </w:tabs>
              <w:spacing w:before="20" w:after="20" w:line="240" w:lineRule="auto"/>
              <w:jc w:val="center"/>
              <w:rPr>
                <w:rFonts w:cs="Arial"/>
                <w:b/>
                <w:bCs/>
                <w:sz w:val="20"/>
              </w:rPr>
            </w:pPr>
            <w:r w:rsidRPr="00254B6A">
              <w:rPr>
                <w:rFonts w:cs="Arial"/>
                <w:b/>
                <w:bCs/>
                <w:sz w:val="20"/>
              </w:rPr>
              <w:t>Natureza</w:t>
            </w:r>
          </w:p>
        </w:tc>
        <w:tc>
          <w:tcPr>
            <w:tcW w:w="114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4E4B28" w:rsidRPr="00254B6A" w:rsidRDefault="004E4B28" w:rsidP="0024037F">
            <w:pPr>
              <w:tabs>
                <w:tab w:val="left" w:pos="1134"/>
              </w:tabs>
              <w:spacing w:before="20" w:after="20" w:line="240" w:lineRule="auto"/>
              <w:jc w:val="center"/>
              <w:rPr>
                <w:rFonts w:cs="Arial"/>
                <w:b/>
                <w:bCs/>
                <w:sz w:val="20"/>
              </w:rPr>
            </w:pPr>
            <w:r w:rsidRPr="00254B6A">
              <w:rPr>
                <w:rFonts w:cs="Arial"/>
                <w:b/>
                <w:bCs/>
                <w:sz w:val="20"/>
              </w:rPr>
              <w:t>Ordem</w:t>
            </w:r>
          </w:p>
        </w:tc>
        <w:tc>
          <w:tcPr>
            <w:tcW w:w="197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4E4B28" w:rsidRPr="00254B6A" w:rsidRDefault="004E4B28" w:rsidP="0024037F">
            <w:pPr>
              <w:tabs>
                <w:tab w:val="left" w:pos="1134"/>
              </w:tabs>
              <w:spacing w:before="20" w:after="20" w:line="240" w:lineRule="auto"/>
              <w:jc w:val="center"/>
              <w:rPr>
                <w:rFonts w:cs="Arial"/>
                <w:b/>
                <w:bCs/>
                <w:sz w:val="20"/>
              </w:rPr>
            </w:pPr>
            <w:r w:rsidRPr="00254B6A">
              <w:rPr>
                <w:rFonts w:cs="Arial"/>
                <w:b/>
                <w:bCs/>
                <w:sz w:val="20"/>
              </w:rPr>
              <w:t>Abrangência</w:t>
            </w:r>
          </w:p>
        </w:tc>
        <w:tc>
          <w:tcPr>
            <w:tcW w:w="1565"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4E4B28" w:rsidRPr="00254B6A" w:rsidRDefault="004E4B28" w:rsidP="0024037F">
            <w:pPr>
              <w:tabs>
                <w:tab w:val="left" w:pos="1134"/>
              </w:tabs>
              <w:spacing w:before="20" w:after="20" w:line="240" w:lineRule="auto"/>
              <w:jc w:val="center"/>
              <w:rPr>
                <w:rFonts w:cs="Arial"/>
                <w:b/>
                <w:bCs/>
                <w:sz w:val="20"/>
              </w:rPr>
            </w:pPr>
            <w:r w:rsidRPr="00254B6A">
              <w:rPr>
                <w:rFonts w:cs="Arial"/>
                <w:b/>
                <w:bCs/>
                <w:sz w:val="20"/>
              </w:rPr>
              <w:t>Duração</w:t>
            </w:r>
          </w:p>
        </w:tc>
        <w:tc>
          <w:tcPr>
            <w:tcW w:w="2995"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4E4B28" w:rsidRPr="00254B6A" w:rsidRDefault="004E4B28" w:rsidP="0024037F">
            <w:pPr>
              <w:tabs>
                <w:tab w:val="left" w:pos="1134"/>
              </w:tabs>
              <w:spacing w:before="20" w:after="20" w:line="240" w:lineRule="auto"/>
              <w:jc w:val="center"/>
              <w:rPr>
                <w:rFonts w:cs="Arial"/>
                <w:b/>
                <w:bCs/>
                <w:sz w:val="20"/>
              </w:rPr>
            </w:pPr>
            <w:r w:rsidRPr="00254B6A">
              <w:rPr>
                <w:rFonts w:cs="Arial"/>
                <w:b/>
                <w:bCs/>
                <w:sz w:val="20"/>
              </w:rPr>
              <w:t>Probabilidade de Ocorrência</w:t>
            </w:r>
          </w:p>
        </w:tc>
      </w:tr>
      <w:tr w:rsidR="00096D99" w:rsidRPr="00254B6A" w:rsidTr="00095C28">
        <w:trPr>
          <w:trHeight w:hRule="exact" w:val="428"/>
          <w:jc w:val="center"/>
        </w:trPr>
        <w:tc>
          <w:tcPr>
            <w:tcW w:w="114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4E4B28" w:rsidRPr="00254B6A" w:rsidRDefault="004E4B28" w:rsidP="00096D99">
            <w:pPr>
              <w:tabs>
                <w:tab w:val="left" w:pos="1134"/>
              </w:tabs>
              <w:spacing w:line="240" w:lineRule="auto"/>
              <w:jc w:val="center"/>
              <w:rPr>
                <w:rFonts w:cs="Arial"/>
                <w:sz w:val="20"/>
              </w:rPr>
            </w:pPr>
            <w:r w:rsidRPr="00254B6A">
              <w:rPr>
                <w:rFonts w:cs="Arial"/>
                <w:sz w:val="20"/>
              </w:rPr>
              <w:t>Negativa</w:t>
            </w:r>
          </w:p>
        </w:tc>
        <w:tc>
          <w:tcPr>
            <w:tcW w:w="11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E4B28" w:rsidRPr="00254B6A" w:rsidRDefault="004E4B28" w:rsidP="00096D99">
            <w:pPr>
              <w:tabs>
                <w:tab w:val="left" w:pos="1134"/>
              </w:tabs>
              <w:spacing w:line="240" w:lineRule="auto"/>
              <w:jc w:val="center"/>
              <w:rPr>
                <w:rFonts w:cs="Arial"/>
                <w:sz w:val="20"/>
              </w:rPr>
            </w:pPr>
            <w:r w:rsidRPr="00254B6A">
              <w:rPr>
                <w:rFonts w:cs="Arial"/>
                <w:sz w:val="20"/>
              </w:rPr>
              <w:t>Direta</w:t>
            </w:r>
          </w:p>
        </w:tc>
        <w:tc>
          <w:tcPr>
            <w:tcW w:w="197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E4B28" w:rsidRPr="00254B6A" w:rsidRDefault="004E4B28" w:rsidP="00096D99">
            <w:pPr>
              <w:tabs>
                <w:tab w:val="left" w:pos="1134"/>
              </w:tabs>
              <w:spacing w:line="240" w:lineRule="auto"/>
              <w:jc w:val="center"/>
              <w:rPr>
                <w:rFonts w:cs="Arial"/>
                <w:sz w:val="20"/>
              </w:rPr>
            </w:pPr>
            <w:r w:rsidRPr="00254B6A">
              <w:rPr>
                <w:rFonts w:cs="Arial"/>
                <w:sz w:val="20"/>
              </w:rPr>
              <w:t>Local (ADA/AID)</w:t>
            </w:r>
          </w:p>
        </w:tc>
        <w:tc>
          <w:tcPr>
            <w:tcW w:w="1565" w:type="dxa"/>
            <w:tcBorders>
              <w:top w:val="nil"/>
              <w:left w:val="nil"/>
              <w:bottom w:val="single" w:sz="8" w:space="0" w:color="auto"/>
              <w:right w:val="single" w:sz="8" w:space="0" w:color="auto"/>
            </w:tcBorders>
            <w:tcMar>
              <w:top w:w="0" w:type="dxa"/>
              <w:left w:w="108" w:type="dxa"/>
              <w:bottom w:w="0" w:type="dxa"/>
              <w:right w:w="108" w:type="dxa"/>
            </w:tcMar>
            <w:vAlign w:val="center"/>
          </w:tcPr>
          <w:p w:rsidR="004E4B28" w:rsidRPr="00254B6A" w:rsidRDefault="004E4B28" w:rsidP="00096D99">
            <w:pPr>
              <w:tabs>
                <w:tab w:val="left" w:pos="1134"/>
              </w:tabs>
              <w:spacing w:line="240" w:lineRule="auto"/>
              <w:jc w:val="center"/>
              <w:rPr>
                <w:rFonts w:cs="Arial"/>
                <w:sz w:val="20"/>
              </w:rPr>
            </w:pPr>
            <w:r w:rsidRPr="00254B6A">
              <w:rPr>
                <w:rFonts w:cs="Arial"/>
                <w:sz w:val="20"/>
              </w:rPr>
              <w:t>Temporário</w:t>
            </w:r>
          </w:p>
        </w:tc>
        <w:tc>
          <w:tcPr>
            <w:tcW w:w="29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E4B28" w:rsidRPr="00254B6A" w:rsidRDefault="004E4B28" w:rsidP="00096D99">
            <w:pPr>
              <w:tabs>
                <w:tab w:val="left" w:pos="1134"/>
              </w:tabs>
              <w:spacing w:line="240" w:lineRule="auto"/>
              <w:jc w:val="center"/>
              <w:rPr>
                <w:rFonts w:cs="Arial"/>
                <w:sz w:val="20"/>
              </w:rPr>
            </w:pPr>
            <w:r w:rsidRPr="00254B6A">
              <w:rPr>
                <w:rFonts w:cs="Arial"/>
                <w:sz w:val="20"/>
              </w:rPr>
              <w:t>Provável</w:t>
            </w:r>
          </w:p>
        </w:tc>
      </w:tr>
    </w:tbl>
    <w:p w:rsidR="004E4B28" w:rsidRPr="00254B6A" w:rsidRDefault="004E4B28" w:rsidP="00096D99">
      <w:pPr>
        <w:tabs>
          <w:tab w:val="left" w:pos="1134"/>
        </w:tabs>
        <w:spacing w:line="240" w:lineRule="auto"/>
        <w:jc w:val="center"/>
        <w:rPr>
          <w:rFonts w:cs="Arial"/>
          <w:sz w:val="20"/>
        </w:rPr>
      </w:pPr>
    </w:p>
    <w:tbl>
      <w:tblPr>
        <w:tblW w:w="0" w:type="auto"/>
        <w:jc w:val="center"/>
        <w:tblInd w:w="-138" w:type="dxa"/>
        <w:tblLayout w:type="fixed"/>
        <w:tblCellMar>
          <w:left w:w="0" w:type="dxa"/>
          <w:right w:w="0" w:type="dxa"/>
        </w:tblCellMar>
        <w:tblLook w:val="04A0" w:firstRow="1" w:lastRow="0" w:firstColumn="1" w:lastColumn="0" w:noHBand="0" w:noVBand="1"/>
      </w:tblPr>
      <w:tblGrid>
        <w:gridCol w:w="2258"/>
        <w:gridCol w:w="1984"/>
        <w:gridCol w:w="1560"/>
        <w:gridCol w:w="1482"/>
        <w:gridCol w:w="1483"/>
      </w:tblGrid>
      <w:tr w:rsidR="004E4B28" w:rsidRPr="00254B6A" w:rsidTr="00095C28">
        <w:trPr>
          <w:trHeight w:hRule="exact" w:val="433"/>
          <w:jc w:val="center"/>
        </w:trPr>
        <w:tc>
          <w:tcPr>
            <w:tcW w:w="2258"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rsidR="004E4B28" w:rsidRPr="00254B6A" w:rsidRDefault="004E4B28" w:rsidP="0024037F">
            <w:pPr>
              <w:tabs>
                <w:tab w:val="left" w:pos="1134"/>
              </w:tabs>
              <w:spacing w:before="120" w:after="120" w:line="240" w:lineRule="auto"/>
              <w:jc w:val="center"/>
              <w:rPr>
                <w:rFonts w:cs="Arial"/>
                <w:b/>
                <w:bCs/>
                <w:sz w:val="20"/>
              </w:rPr>
            </w:pPr>
            <w:r w:rsidRPr="00254B6A">
              <w:rPr>
                <w:rFonts w:cs="Arial"/>
                <w:b/>
                <w:bCs/>
                <w:sz w:val="20"/>
              </w:rPr>
              <w:t>Época de Ocorrência</w:t>
            </w:r>
          </w:p>
        </w:tc>
        <w:tc>
          <w:tcPr>
            <w:tcW w:w="1984"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4E4B28" w:rsidRPr="00254B6A" w:rsidRDefault="004E4B28" w:rsidP="0024037F">
            <w:pPr>
              <w:tabs>
                <w:tab w:val="left" w:pos="1134"/>
              </w:tabs>
              <w:spacing w:before="120" w:after="120" w:line="240" w:lineRule="auto"/>
              <w:jc w:val="center"/>
              <w:rPr>
                <w:rFonts w:cs="Arial"/>
                <w:b/>
                <w:bCs/>
                <w:sz w:val="20"/>
              </w:rPr>
            </w:pPr>
            <w:r w:rsidRPr="00254B6A">
              <w:rPr>
                <w:rFonts w:cs="Arial"/>
                <w:b/>
                <w:bCs/>
                <w:sz w:val="20"/>
              </w:rPr>
              <w:t>Reversibilidade</w:t>
            </w:r>
          </w:p>
        </w:tc>
        <w:tc>
          <w:tcPr>
            <w:tcW w:w="156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4E4B28" w:rsidRPr="00254B6A" w:rsidRDefault="004E4B28" w:rsidP="0024037F">
            <w:pPr>
              <w:tabs>
                <w:tab w:val="left" w:pos="1134"/>
              </w:tabs>
              <w:spacing w:before="120" w:after="120" w:line="240" w:lineRule="auto"/>
              <w:jc w:val="center"/>
              <w:rPr>
                <w:rFonts w:cs="Arial"/>
                <w:b/>
                <w:bCs/>
                <w:sz w:val="20"/>
              </w:rPr>
            </w:pPr>
            <w:r w:rsidRPr="00254B6A">
              <w:rPr>
                <w:rFonts w:cs="Arial"/>
                <w:b/>
                <w:bCs/>
                <w:sz w:val="20"/>
              </w:rPr>
              <w:t>Magnitude</w:t>
            </w:r>
          </w:p>
        </w:tc>
        <w:tc>
          <w:tcPr>
            <w:tcW w:w="1482"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4E4B28" w:rsidRPr="00254B6A" w:rsidRDefault="004E4B28" w:rsidP="0024037F">
            <w:pPr>
              <w:tabs>
                <w:tab w:val="left" w:pos="1134"/>
              </w:tabs>
              <w:spacing w:before="120" w:after="120" w:line="240" w:lineRule="auto"/>
              <w:jc w:val="center"/>
              <w:rPr>
                <w:rFonts w:cs="Arial"/>
                <w:b/>
                <w:bCs/>
                <w:sz w:val="20"/>
              </w:rPr>
            </w:pPr>
            <w:r w:rsidRPr="00254B6A">
              <w:rPr>
                <w:rFonts w:cs="Arial"/>
                <w:b/>
                <w:bCs/>
                <w:sz w:val="20"/>
              </w:rPr>
              <w:t>Importância</w:t>
            </w:r>
          </w:p>
        </w:tc>
        <w:tc>
          <w:tcPr>
            <w:tcW w:w="1483"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4E4B28" w:rsidRPr="00254B6A" w:rsidRDefault="004E4B28" w:rsidP="0024037F">
            <w:pPr>
              <w:tabs>
                <w:tab w:val="left" w:pos="1134"/>
              </w:tabs>
              <w:spacing w:before="120" w:after="120" w:line="240" w:lineRule="auto"/>
              <w:jc w:val="center"/>
              <w:rPr>
                <w:rFonts w:cs="Arial"/>
                <w:b/>
                <w:bCs/>
                <w:sz w:val="20"/>
              </w:rPr>
            </w:pPr>
            <w:r w:rsidRPr="00254B6A">
              <w:rPr>
                <w:rFonts w:cs="Arial"/>
                <w:b/>
                <w:bCs/>
                <w:sz w:val="20"/>
              </w:rPr>
              <w:t>Mitigação</w:t>
            </w:r>
          </w:p>
        </w:tc>
      </w:tr>
      <w:tr w:rsidR="004E4B28" w:rsidRPr="00254B6A" w:rsidTr="00095C28">
        <w:trPr>
          <w:trHeight w:hRule="exact" w:val="439"/>
          <w:jc w:val="center"/>
        </w:trPr>
        <w:tc>
          <w:tcPr>
            <w:tcW w:w="225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4E4B28" w:rsidRPr="00254B6A" w:rsidRDefault="004E4B28" w:rsidP="00096D99">
            <w:pPr>
              <w:tabs>
                <w:tab w:val="left" w:pos="1134"/>
              </w:tabs>
              <w:spacing w:line="240" w:lineRule="auto"/>
              <w:jc w:val="center"/>
              <w:rPr>
                <w:rFonts w:cs="Arial"/>
                <w:sz w:val="20"/>
              </w:rPr>
            </w:pPr>
            <w:r w:rsidRPr="00254B6A">
              <w:rPr>
                <w:rFonts w:cs="Arial"/>
                <w:sz w:val="20"/>
              </w:rPr>
              <w:t>Curto Prazo</w:t>
            </w:r>
          </w:p>
        </w:tc>
        <w:tc>
          <w:tcPr>
            <w:tcW w:w="198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E4B28" w:rsidRPr="00254B6A" w:rsidRDefault="004E4B28" w:rsidP="00096D99">
            <w:pPr>
              <w:tabs>
                <w:tab w:val="left" w:pos="1134"/>
              </w:tabs>
              <w:spacing w:line="240" w:lineRule="auto"/>
              <w:jc w:val="center"/>
              <w:rPr>
                <w:rFonts w:cs="Arial"/>
                <w:sz w:val="20"/>
              </w:rPr>
            </w:pPr>
            <w:r w:rsidRPr="00254B6A">
              <w:rPr>
                <w:rFonts w:cs="Arial"/>
                <w:sz w:val="20"/>
              </w:rPr>
              <w:t>Reversível</w:t>
            </w:r>
          </w:p>
        </w:tc>
        <w:tc>
          <w:tcPr>
            <w:tcW w:w="156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E4B28" w:rsidRPr="00254B6A" w:rsidRDefault="004E4B28" w:rsidP="00096D99">
            <w:pPr>
              <w:tabs>
                <w:tab w:val="left" w:pos="1134"/>
              </w:tabs>
              <w:spacing w:line="240" w:lineRule="auto"/>
              <w:jc w:val="center"/>
              <w:rPr>
                <w:rFonts w:cs="Arial"/>
                <w:sz w:val="20"/>
              </w:rPr>
            </w:pPr>
            <w:r w:rsidRPr="00254B6A">
              <w:rPr>
                <w:rFonts w:cs="Arial"/>
                <w:sz w:val="20"/>
              </w:rPr>
              <w:t>Pequena</w:t>
            </w:r>
          </w:p>
        </w:tc>
        <w:tc>
          <w:tcPr>
            <w:tcW w:w="148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E4B28" w:rsidRPr="00254B6A" w:rsidRDefault="004E4B28" w:rsidP="00096D99">
            <w:pPr>
              <w:tabs>
                <w:tab w:val="left" w:pos="1134"/>
              </w:tabs>
              <w:spacing w:line="240" w:lineRule="auto"/>
              <w:jc w:val="center"/>
              <w:rPr>
                <w:rFonts w:cs="Arial"/>
                <w:sz w:val="20"/>
              </w:rPr>
            </w:pPr>
            <w:r w:rsidRPr="00254B6A">
              <w:rPr>
                <w:rFonts w:cs="Arial"/>
                <w:sz w:val="20"/>
              </w:rPr>
              <w:t>Baixa</w:t>
            </w:r>
          </w:p>
        </w:tc>
        <w:tc>
          <w:tcPr>
            <w:tcW w:w="148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E4B28" w:rsidRPr="00254B6A" w:rsidRDefault="004E4B28" w:rsidP="00096D99">
            <w:pPr>
              <w:tabs>
                <w:tab w:val="left" w:pos="1134"/>
              </w:tabs>
              <w:spacing w:line="240" w:lineRule="auto"/>
              <w:jc w:val="center"/>
              <w:rPr>
                <w:rFonts w:cs="Arial"/>
                <w:sz w:val="20"/>
              </w:rPr>
            </w:pPr>
            <w:r w:rsidRPr="00254B6A">
              <w:rPr>
                <w:rFonts w:cs="Arial"/>
                <w:sz w:val="20"/>
              </w:rPr>
              <w:t>Mitigável</w:t>
            </w:r>
          </w:p>
        </w:tc>
      </w:tr>
    </w:tbl>
    <w:p w:rsidR="004E4B28" w:rsidRDefault="004E4B28" w:rsidP="00166326">
      <w:pPr>
        <w:autoSpaceDE w:val="0"/>
        <w:autoSpaceDN w:val="0"/>
        <w:adjustRightInd w:val="0"/>
        <w:spacing w:before="360" w:after="120" w:line="240" w:lineRule="auto"/>
        <w:rPr>
          <w:rFonts w:cs="Arial"/>
          <w:b/>
          <w:szCs w:val="22"/>
        </w:rPr>
      </w:pPr>
      <w:r w:rsidRPr="00254B6A">
        <w:rPr>
          <w:rFonts w:cs="Arial"/>
          <w:b/>
          <w:szCs w:val="22"/>
        </w:rPr>
        <w:t>Ações Ambientais Propostas:</w:t>
      </w:r>
    </w:p>
    <w:p w:rsidR="004E4B28" w:rsidRPr="001E2467" w:rsidRDefault="004E4B28" w:rsidP="004E4B28">
      <w:pPr>
        <w:autoSpaceDE w:val="0"/>
        <w:autoSpaceDN w:val="0"/>
        <w:adjustRightInd w:val="0"/>
        <w:spacing w:before="120" w:after="120" w:line="240" w:lineRule="auto"/>
        <w:rPr>
          <w:rFonts w:cs="Arial"/>
          <w:szCs w:val="22"/>
        </w:rPr>
      </w:pPr>
      <w:r w:rsidRPr="001E2467">
        <w:rPr>
          <w:rFonts w:cs="Arial"/>
          <w:szCs w:val="22"/>
        </w:rPr>
        <w:t>Os Prog</w:t>
      </w:r>
      <w:r>
        <w:rPr>
          <w:rFonts w:cs="Arial"/>
          <w:szCs w:val="22"/>
        </w:rPr>
        <w:t>r</w:t>
      </w:r>
      <w:r w:rsidRPr="001E2467">
        <w:rPr>
          <w:rFonts w:cs="Arial"/>
          <w:szCs w:val="22"/>
        </w:rPr>
        <w:t xml:space="preserve">amas de Controle Ambiental das Obras </w:t>
      </w:r>
      <w:r w:rsidRPr="006E4E20">
        <w:rPr>
          <w:rFonts w:cs="Arial"/>
          <w:szCs w:val="22"/>
        </w:rPr>
        <w:t>e de Recuperação de Áreas Degradadas</w:t>
      </w:r>
      <w:r w:rsidRPr="001E2467">
        <w:rPr>
          <w:rFonts w:cs="Arial"/>
          <w:szCs w:val="22"/>
        </w:rPr>
        <w:t xml:space="preserve"> indicam medidas preventivas e corretivas para o impacto.</w:t>
      </w:r>
    </w:p>
    <w:p w:rsidR="004E4B28" w:rsidRPr="00166326" w:rsidRDefault="004E4B28" w:rsidP="00166326">
      <w:pPr>
        <w:autoSpaceDE w:val="0"/>
        <w:autoSpaceDN w:val="0"/>
        <w:adjustRightInd w:val="0"/>
        <w:spacing w:before="120" w:after="120" w:line="240" w:lineRule="auto"/>
        <w:rPr>
          <w:rFonts w:cs="Arial"/>
          <w:szCs w:val="22"/>
        </w:rPr>
      </w:pPr>
      <w:r w:rsidRPr="006E4E20">
        <w:rPr>
          <w:rFonts w:cs="Arial"/>
          <w:szCs w:val="22"/>
        </w:rPr>
        <w:t>A empresa responsável pelas obras devera adotar as medidas preventivas necessárias, adequando os depósitos de materiais poluentes com sistemas coletores e separadores de óleos e graxas, de modo a reduzir as possibilidades de contaminação do solo.</w:t>
      </w:r>
      <w:r w:rsidRPr="00254B6A">
        <w:rPr>
          <w:rFonts w:cs="Arial"/>
          <w:color w:val="0070C0"/>
          <w:szCs w:val="22"/>
        </w:rPr>
        <w:t xml:space="preserve"> </w:t>
      </w:r>
    </w:p>
    <w:p w:rsidR="00973BCF" w:rsidRPr="00CE2C40" w:rsidRDefault="00A71868" w:rsidP="00CE2C40">
      <w:pPr>
        <w:pStyle w:val="Ttulo3"/>
        <w:spacing w:after="240"/>
        <w:rPr>
          <w:rFonts w:ascii="Arial Negrito" w:hAnsi="Arial Negrito"/>
          <w:b w:val="0"/>
          <w:bCs/>
        </w:rPr>
      </w:pPr>
      <w:bookmarkStart w:id="241" w:name="_Toc418758226"/>
      <w:bookmarkStart w:id="242" w:name="_Toc418758828"/>
      <w:bookmarkStart w:id="243" w:name="_Toc419813588"/>
      <w:r w:rsidRPr="00CE2C40">
        <w:rPr>
          <w:rFonts w:ascii="Arial Negrito" w:hAnsi="Arial Negrito"/>
          <w:b w:val="0"/>
          <w:bCs/>
        </w:rPr>
        <w:t>1.3.1.</w:t>
      </w:r>
      <w:r w:rsidR="00973BCF" w:rsidRPr="00CE2C40">
        <w:rPr>
          <w:rFonts w:ascii="Arial Negrito" w:hAnsi="Arial Negrito"/>
          <w:b w:val="0"/>
          <w:bCs/>
        </w:rPr>
        <w:t>1</w:t>
      </w:r>
      <w:r w:rsidR="008C5DE8" w:rsidRPr="00CE2C40">
        <w:rPr>
          <w:rFonts w:ascii="Arial Negrito" w:hAnsi="Arial Negrito"/>
          <w:b w:val="0"/>
          <w:bCs/>
        </w:rPr>
        <w:t>7</w:t>
      </w:r>
      <w:r w:rsidR="00973BCF" w:rsidRPr="00CE2C40">
        <w:rPr>
          <w:rFonts w:ascii="Arial Negrito" w:hAnsi="Arial Negrito"/>
          <w:b w:val="0"/>
          <w:bCs/>
        </w:rPr>
        <w:t>. Perda de Solos com Potencial Agr</w:t>
      </w:r>
      <w:r w:rsidR="00973BCF" w:rsidRPr="00CE2C40">
        <w:rPr>
          <w:rFonts w:ascii="Arial Negrito" w:hAnsi="Arial Negrito" w:hint="eastAsia"/>
          <w:b w:val="0"/>
          <w:bCs/>
        </w:rPr>
        <w:t>í</w:t>
      </w:r>
      <w:r w:rsidR="00973BCF" w:rsidRPr="00CE2C40">
        <w:rPr>
          <w:rFonts w:ascii="Arial Negrito" w:hAnsi="Arial Negrito"/>
          <w:b w:val="0"/>
          <w:bCs/>
        </w:rPr>
        <w:t>cola</w:t>
      </w:r>
      <w:bookmarkEnd w:id="241"/>
      <w:bookmarkEnd w:id="242"/>
      <w:bookmarkEnd w:id="243"/>
    </w:p>
    <w:p w:rsidR="00096D99" w:rsidRPr="0082532A" w:rsidRDefault="00096D99" w:rsidP="00096D99">
      <w:pPr>
        <w:tabs>
          <w:tab w:val="left" w:pos="1134"/>
        </w:tabs>
        <w:spacing w:before="120" w:after="120" w:line="240" w:lineRule="auto"/>
        <w:rPr>
          <w:rFonts w:cs="Arial"/>
          <w:b/>
          <w:szCs w:val="22"/>
        </w:rPr>
      </w:pPr>
      <w:r w:rsidRPr="0082532A">
        <w:rPr>
          <w:rFonts w:cs="Arial"/>
          <w:b/>
          <w:szCs w:val="22"/>
        </w:rPr>
        <w:t>Fase de Implantação</w:t>
      </w:r>
    </w:p>
    <w:p w:rsidR="00096D99" w:rsidRPr="00CC3FF6" w:rsidRDefault="00096D99" w:rsidP="00CC3FF6">
      <w:pPr>
        <w:autoSpaceDE w:val="0"/>
        <w:autoSpaceDN w:val="0"/>
        <w:adjustRightInd w:val="0"/>
        <w:spacing w:before="120" w:after="120" w:line="240" w:lineRule="auto"/>
        <w:rPr>
          <w:rFonts w:cs="Arial"/>
          <w:szCs w:val="22"/>
        </w:rPr>
      </w:pPr>
      <w:r w:rsidRPr="00CC3FF6">
        <w:rPr>
          <w:rFonts w:cs="Arial"/>
          <w:szCs w:val="22"/>
        </w:rPr>
        <w:t xml:space="preserve">Os Reservatórios das Barragens Pedreira e Duas Pontes estão localizados em terras com potencial agrícola restrito e ocupam pequenas áreas dos municípios afetados. O Reservatório da Barragem Pedreira </w:t>
      </w:r>
      <w:r w:rsidRPr="00133193">
        <w:rPr>
          <w:rFonts w:cs="Arial"/>
          <w:szCs w:val="22"/>
        </w:rPr>
        <w:t>ocupa 0,1% do território do Município de Campinas</w:t>
      </w:r>
      <w:r w:rsidR="008067A2" w:rsidRPr="00133193">
        <w:rPr>
          <w:rFonts w:cs="Arial"/>
          <w:szCs w:val="22"/>
        </w:rPr>
        <w:t xml:space="preserve"> (795 km²)</w:t>
      </w:r>
      <w:r w:rsidRPr="00133193">
        <w:rPr>
          <w:rFonts w:cs="Arial"/>
          <w:szCs w:val="22"/>
        </w:rPr>
        <w:t xml:space="preserve"> e 0,9% do Município de Pedreira</w:t>
      </w:r>
      <w:r w:rsidR="008067A2" w:rsidRPr="00133193">
        <w:rPr>
          <w:rFonts w:cs="Arial"/>
          <w:szCs w:val="22"/>
        </w:rPr>
        <w:t xml:space="preserve"> (109 km²)</w:t>
      </w:r>
      <w:r w:rsidRPr="00133193">
        <w:rPr>
          <w:rFonts w:cs="Arial"/>
          <w:szCs w:val="22"/>
        </w:rPr>
        <w:t xml:space="preserve">. Por sua vez, o Reservatório da Barragem Duas Pontes ocupa 1% </w:t>
      </w:r>
      <w:r w:rsidRPr="00CC3FF6">
        <w:rPr>
          <w:rFonts w:cs="Arial"/>
          <w:szCs w:val="22"/>
        </w:rPr>
        <w:t>do Município de Amparo</w:t>
      </w:r>
      <w:r w:rsidR="008067A2">
        <w:rPr>
          <w:rFonts w:cs="Arial"/>
          <w:szCs w:val="22"/>
        </w:rPr>
        <w:t xml:space="preserve"> (445 km²)</w:t>
      </w:r>
      <w:r w:rsidRPr="00CC3FF6">
        <w:rPr>
          <w:rFonts w:cs="Arial"/>
          <w:szCs w:val="22"/>
        </w:rPr>
        <w:t>. Só por esses dados é possível verificar que a perda de solos com potencial agrícola nos municípios afetados é pouco representativa. Mas convém analisar mais detalhadamente essas perdas, observando o uso do solo atual e o potencial de uso das terras nos reservatórios e nas Áreas de Preservação Permanente</w:t>
      </w:r>
      <w:r w:rsidR="008D4EA8">
        <w:rPr>
          <w:rFonts w:cs="Arial"/>
          <w:szCs w:val="22"/>
        </w:rPr>
        <w:t xml:space="preserve"> (APP)</w:t>
      </w:r>
      <w:r w:rsidRPr="00CC3FF6">
        <w:rPr>
          <w:rFonts w:cs="Arial"/>
          <w:szCs w:val="22"/>
        </w:rPr>
        <w:t xml:space="preserve"> em seu entorno.</w:t>
      </w:r>
    </w:p>
    <w:p w:rsidR="00B52FDC" w:rsidRPr="008204B6" w:rsidRDefault="00B52FDC" w:rsidP="008204B6">
      <w:pPr>
        <w:pStyle w:val="Item-Trainho"/>
        <w:rPr>
          <w:b/>
        </w:rPr>
      </w:pPr>
      <w:r w:rsidRPr="008204B6">
        <w:rPr>
          <w:b/>
        </w:rPr>
        <w:t>Barragem Pedreira</w:t>
      </w:r>
    </w:p>
    <w:p w:rsidR="00096D99" w:rsidRPr="00CC3FF6" w:rsidRDefault="005E3672" w:rsidP="00CC3FF6">
      <w:pPr>
        <w:autoSpaceDE w:val="0"/>
        <w:autoSpaceDN w:val="0"/>
        <w:adjustRightInd w:val="0"/>
        <w:spacing w:before="120" w:after="120" w:line="240" w:lineRule="auto"/>
        <w:rPr>
          <w:rFonts w:cs="Arial"/>
          <w:szCs w:val="22"/>
        </w:rPr>
      </w:pPr>
      <w:r>
        <w:rPr>
          <w:rFonts w:cs="Arial"/>
          <w:szCs w:val="22"/>
        </w:rPr>
        <w:t>Na Área de Influência Direta da</w:t>
      </w:r>
      <w:r w:rsidR="008C15C3">
        <w:rPr>
          <w:rFonts w:cs="Arial"/>
          <w:szCs w:val="22"/>
        </w:rPr>
        <w:t xml:space="preserve"> Barragem</w:t>
      </w:r>
      <w:r w:rsidR="00096D99" w:rsidRPr="00CC3FF6">
        <w:rPr>
          <w:rFonts w:cs="Arial"/>
          <w:szCs w:val="22"/>
        </w:rPr>
        <w:t xml:space="preserve"> Pedreira existem </w:t>
      </w:r>
      <w:r w:rsidR="00BB2F17">
        <w:rPr>
          <w:rFonts w:cs="Arial"/>
          <w:szCs w:val="22"/>
        </w:rPr>
        <w:t>0,41</w:t>
      </w:r>
      <w:r w:rsidR="00096D99" w:rsidRPr="00CC3FF6">
        <w:rPr>
          <w:rFonts w:cs="Arial"/>
          <w:szCs w:val="22"/>
        </w:rPr>
        <w:t xml:space="preserve"> ha de culturas </w:t>
      </w:r>
      <w:r>
        <w:rPr>
          <w:rFonts w:cs="Arial"/>
          <w:szCs w:val="22"/>
        </w:rPr>
        <w:t>re</w:t>
      </w:r>
      <w:r w:rsidR="00096D99" w:rsidRPr="00CC3FF6">
        <w:rPr>
          <w:rFonts w:cs="Arial"/>
          <w:szCs w:val="22"/>
        </w:rPr>
        <w:t>presentando apenas 0,</w:t>
      </w:r>
      <w:r w:rsidR="00BB2F17">
        <w:rPr>
          <w:rFonts w:cs="Arial"/>
          <w:szCs w:val="22"/>
        </w:rPr>
        <w:t>1</w:t>
      </w:r>
      <w:r w:rsidR="00096D99" w:rsidRPr="00CC3FF6">
        <w:rPr>
          <w:rFonts w:cs="Arial"/>
          <w:szCs w:val="22"/>
        </w:rPr>
        <w:t xml:space="preserve"> % da área total. No reservatório as áreas com cultivos que ocupam apenas 0,13 ha. </w:t>
      </w:r>
    </w:p>
    <w:p w:rsidR="00096D99" w:rsidRDefault="00096D99" w:rsidP="00CC3FF6">
      <w:pPr>
        <w:autoSpaceDE w:val="0"/>
        <w:autoSpaceDN w:val="0"/>
        <w:adjustRightInd w:val="0"/>
        <w:spacing w:before="120" w:after="120" w:line="240" w:lineRule="auto"/>
        <w:rPr>
          <w:rFonts w:cs="Arial"/>
          <w:szCs w:val="22"/>
        </w:rPr>
      </w:pPr>
      <w:r w:rsidRPr="00CC3FF6">
        <w:rPr>
          <w:rFonts w:cs="Arial"/>
          <w:szCs w:val="22"/>
        </w:rPr>
        <w:t xml:space="preserve">O Reservatório da Barragem Pedreira engloba uma área de 202,2 ha, ocupada predominantemente por pastagens e matas nativas como pode ser </w:t>
      </w:r>
      <w:r w:rsidRPr="006F141D">
        <w:rPr>
          <w:rFonts w:cs="Arial"/>
          <w:szCs w:val="22"/>
        </w:rPr>
        <w:t xml:space="preserve">visto no Quadro </w:t>
      </w:r>
      <w:r w:rsidR="00542D7F" w:rsidRPr="006F141D">
        <w:rPr>
          <w:rFonts w:cs="Arial"/>
          <w:szCs w:val="22"/>
        </w:rPr>
        <w:t>1.3.</w:t>
      </w:r>
      <w:r w:rsidR="00B11E51" w:rsidRPr="006F141D">
        <w:rPr>
          <w:rFonts w:cs="Arial"/>
          <w:szCs w:val="22"/>
        </w:rPr>
        <w:t>29</w:t>
      </w:r>
      <w:r w:rsidR="00542D7F" w:rsidRPr="006F141D">
        <w:rPr>
          <w:rFonts w:cs="Arial"/>
          <w:szCs w:val="22"/>
        </w:rPr>
        <w:t>.</w:t>
      </w:r>
    </w:p>
    <w:p w:rsidR="008204B6" w:rsidRDefault="008204B6" w:rsidP="00CC3FF6">
      <w:pPr>
        <w:autoSpaceDE w:val="0"/>
        <w:autoSpaceDN w:val="0"/>
        <w:adjustRightInd w:val="0"/>
        <w:spacing w:before="120" w:after="120" w:line="240" w:lineRule="auto"/>
        <w:rPr>
          <w:rFonts w:cs="Arial"/>
          <w:szCs w:val="22"/>
        </w:rPr>
      </w:pPr>
      <w:r>
        <w:rPr>
          <w:rFonts w:cs="Arial"/>
          <w:szCs w:val="22"/>
        </w:rPr>
        <w:br w:type="page"/>
      </w:r>
    </w:p>
    <w:p w:rsidR="00806394" w:rsidRPr="00CC3FF6" w:rsidRDefault="00806394" w:rsidP="00CC3FF6">
      <w:pPr>
        <w:autoSpaceDE w:val="0"/>
        <w:autoSpaceDN w:val="0"/>
        <w:adjustRightInd w:val="0"/>
        <w:spacing w:before="120" w:after="120" w:line="240" w:lineRule="auto"/>
        <w:rPr>
          <w:rFonts w:cs="Arial"/>
          <w:szCs w:val="22"/>
        </w:rPr>
      </w:pPr>
    </w:p>
    <w:p w:rsidR="00096D99" w:rsidRPr="006F141D" w:rsidRDefault="008D3A12" w:rsidP="00E155C0">
      <w:pPr>
        <w:pStyle w:val="Legenda"/>
        <w:spacing w:line="240" w:lineRule="auto"/>
        <w:jc w:val="center"/>
        <w:rPr>
          <w:b w:val="0"/>
          <w:i w:val="0"/>
        </w:rPr>
      </w:pPr>
      <w:bookmarkStart w:id="244" w:name="_Toc420316473"/>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30</w:t>
      </w:r>
      <w:r w:rsidR="00B80A05" w:rsidRPr="006F141D">
        <w:rPr>
          <w:i w:val="0"/>
        </w:rPr>
        <w:fldChar w:fldCharType="end"/>
      </w:r>
      <w:r w:rsidR="006F141D" w:rsidRPr="006F141D">
        <w:rPr>
          <w:i w:val="0"/>
        </w:rPr>
        <w:t>.</w:t>
      </w:r>
      <w:r w:rsidR="006F141D" w:rsidRPr="006F141D">
        <w:rPr>
          <w:b w:val="0"/>
          <w:i w:val="0"/>
        </w:rPr>
        <w:t xml:space="preserve"> - </w:t>
      </w:r>
      <w:r w:rsidR="00096D99" w:rsidRPr="006F141D">
        <w:rPr>
          <w:b w:val="0"/>
          <w:i w:val="0"/>
        </w:rPr>
        <w:t>Vegetação e Uso do Solo do Reservatório</w:t>
      </w:r>
      <w:r w:rsidR="00145C4B" w:rsidRPr="006F141D">
        <w:rPr>
          <w:b w:val="0"/>
          <w:i w:val="0"/>
        </w:rPr>
        <w:t>, da Área de Preservação Permanente (APP)</w:t>
      </w:r>
      <w:r w:rsidR="00096D99" w:rsidRPr="006F141D">
        <w:rPr>
          <w:b w:val="0"/>
          <w:i w:val="0"/>
        </w:rPr>
        <w:t xml:space="preserve"> e da </w:t>
      </w:r>
      <w:r w:rsidR="005047AF" w:rsidRPr="006F141D">
        <w:rPr>
          <w:b w:val="0"/>
          <w:i w:val="0"/>
        </w:rPr>
        <w:t>Áre</w:t>
      </w:r>
      <w:r w:rsidR="00AC035E" w:rsidRPr="006F141D">
        <w:rPr>
          <w:b w:val="0"/>
          <w:i w:val="0"/>
        </w:rPr>
        <w:t xml:space="preserve">a Diretamente Afetada (ADA) </w:t>
      </w:r>
      <w:r w:rsidR="005047AF" w:rsidRPr="006F141D">
        <w:rPr>
          <w:b w:val="0"/>
          <w:i w:val="0"/>
        </w:rPr>
        <w:t xml:space="preserve">- </w:t>
      </w:r>
      <w:r w:rsidR="008C15C3" w:rsidRPr="006F141D">
        <w:rPr>
          <w:b w:val="0"/>
          <w:i w:val="0"/>
        </w:rPr>
        <w:t>Barragem Pedreira</w:t>
      </w:r>
      <w:bookmarkEnd w:id="244"/>
    </w:p>
    <w:p w:rsidR="00096D99" w:rsidRDefault="00096D99" w:rsidP="00096D99">
      <w:pPr>
        <w:spacing w:line="240" w:lineRule="auto"/>
        <w:jc w:val="center"/>
      </w:pPr>
    </w:p>
    <w:tbl>
      <w:tblPr>
        <w:tblW w:w="9185" w:type="dxa"/>
        <w:jc w:val="center"/>
        <w:tblInd w:w="-772" w:type="dxa"/>
        <w:tblBorders>
          <w:top w:val="single" w:sz="6" w:space="0" w:color="auto"/>
          <w:left w:val="single" w:sz="6" w:space="0" w:color="auto"/>
          <w:bottom w:val="single" w:sz="6" w:space="0" w:color="auto"/>
          <w:right w:val="single" w:sz="6" w:space="0" w:color="auto"/>
        </w:tblBorders>
        <w:tblLayout w:type="fixed"/>
        <w:tblCellMar>
          <w:left w:w="71" w:type="dxa"/>
          <w:right w:w="71" w:type="dxa"/>
        </w:tblCellMar>
        <w:tblLook w:val="0000" w:firstRow="0" w:lastRow="0" w:firstColumn="0" w:lastColumn="0" w:noHBand="0" w:noVBand="0"/>
      </w:tblPr>
      <w:tblGrid>
        <w:gridCol w:w="2410"/>
        <w:gridCol w:w="1075"/>
        <w:gridCol w:w="1134"/>
        <w:gridCol w:w="1134"/>
        <w:gridCol w:w="1134"/>
        <w:gridCol w:w="1134"/>
        <w:gridCol w:w="1164"/>
      </w:tblGrid>
      <w:tr w:rsidR="00AC035E" w:rsidRPr="003631C0" w:rsidTr="00145C4B">
        <w:trPr>
          <w:trHeight w:val="554"/>
          <w:jc w:val="center"/>
        </w:trPr>
        <w:tc>
          <w:tcPr>
            <w:tcW w:w="2410" w:type="dxa"/>
            <w:tcBorders>
              <w:top w:val="single" w:sz="6" w:space="0" w:color="auto"/>
              <w:right w:val="single" w:sz="4" w:space="0" w:color="auto"/>
            </w:tcBorders>
            <w:shd w:val="clear" w:color="auto" w:fill="D9D9D9"/>
            <w:vAlign w:val="center"/>
          </w:tcPr>
          <w:p w:rsidR="00AC035E" w:rsidRPr="003631C0" w:rsidRDefault="00AC035E" w:rsidP="0024037F">
            <w:pPr>
              <w:tabs>
                <w:tab w:val="left" w:pos="1134"/>
              </w:tabs>
              <w:spacing w:before="120" w:after="120" w:line="240" w:lineRule="auto"/>
              <w:jc w:val="center"/>
              <w:rPr>
                <w:rFonts w:cs="Arial"/>
                <w:b/>
                <w:sz w:val="20"/>
              </w:rPr>
            </w:pPr>
            <w:r>
              <w:rPr>
                <w:rFonts w:cs="Arial"/>
                <w:b/>
                <w:sz w:val="20"/>
              </w:rPr>
              <w:t>Vegetação e Uso do Solo</w:t>
            </w:r>
          </w:p>
        </w:tc>
        <w:tc>
          <w:tcPr>
            <w:tcW w:w="2209" w:type="dxa"/>
            <w:gridSpan w:val="2"/>
            <w:tcBorders>
              <w:top w:val="single" w:sz="4" w:space="0" w:color="auto"/>
              <w:bottom w:val="single" w:sz="4" w:space="0" w:color="auto"/>
              <w:right w:val="single" w:sz="4" w:space="0" w:color="auto"/>
            </w:tcBorders>
            <w:shd w:val="clear" w:color="auto" w:fill="D9D9D9"/>
            <w:vAlign w:val="center"/>
          </w:tcPr>
          <w:p w:rsidR="00AC035E" w:rsidRPr="003631C0" w:rsidRDefault="00AC035E" w:rsidP="0024037F">
            <w:pPr>
              <w:tabs>
                <w:tab w:val="left" w:pos="1134"/>
              </w:tabs>
              <w:spacing w:line="240" w:lineRule="auto"/>
              <w:jc w:val="center"/>
              <w:rPr>
                <w:rFonts w:cs="Arial"/>
                <w:b/>
                <w:sz w:val="20"/>
              </w:rPr>
            </w:pPr>
            <w:r>
              <w:rPr>
                <w:rFonts w:cs="Arial"/>
                <w:b/>
                <w:sz w:val="20"/>
              </w:rPr>
              <w:t>Reservatório</w:t>
            </w:r>
            <w:r w:rsidRPr="003631C0">
              <w:rPr>
                <w:rFonts w:cs="Arial"/>
                <w:b/>
                <w:sz w:val="20"/>
              </w:rPr>
              <w:t xml:space="preserve"> </w:t>
            </w:r>
          </w:p>
        </w:tc>
        <w:tc>
          <w:tcPr>
            <w:tcW w:w="2268" w:type="dxa"/>
            <w:gridSpan w:val="2"/>
            <w:tcBorders>
              <w:top w:val="single" w:sz="4" w:space="0" w:color="auto"/>
              <w:bottom w:val="single" w:sz="4" w:space="0" w:color="auto"/>
              <w:right w:val="single" w:sz="4" w:space="0" w:color="auto"/>
            </w:tcBorders>
            <w:shd w:val="clear" w:color="auto" w:fill="D9D9D9"/>
            <w:vAlign w:val="center"/>
          </w:tcPr>
          <w:p w:rsidR="00AC035E" w:rsidRDefault="00AC035E" w:rsidP="00AC035E">
            <w:pPr>
              <w:tabs>
                <w:tab w:val="left" w:pos="1134"/>
              </w:tabs>
              <w:spacing w:line="240" w:lineRule="auto"/>
              <w:jc w:val="center"/>
              <w:rPr>
                <w:rFonts w:cs="Arial"/>
                <w:b/>
                <w:sz w:val="20"/>
              </w:rPr>
            </w:pPr>
            <w:r>
              <w:rPr>
                <w:rFonts w:cs="Arial"/>
                <w:b/>
                <w:sz w:val="20"/>
              </w:rPr>
              <w:t>Área de Preservação Permanente (APP)</w:t>
            </w:r>
          </w:p>
        </w:tc>
        <w:tc>
          <w:tcPr>
            <w:tcW w:w="229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AC035E" w:rsidRPr="003631C0" w:rsidRDefault="00AC035E" w:rsidP="0024037F">
            <w:pPr>
              <w:tabs>
                <w:tab w:val="left" w:pos="1134"/>
              </w:tabs>
              <w:spacing w:line="240" w:lineRule="auto"/>
              <w:jc w:val="center"/>
              <w:rPr>
                <w:rFonts w:cs="Arial"/>
                <w:b/>
                <w:sz w:val="20"/>
              </w:rPr>
            </w:pPr>
            <w:r>
              <w:rPr>
                <w:rFonts w:cs="Arial"/>
                <w:b/>
                <w:sz w:val="20"/>
              </w:rPr>
              <w:t>Área Diretamente Afetada (ADA) (*)</w:t>
            </w:r>
          </w:p>
        </w:tc>
      </w:tr>
      <w:tr w:rsidR="00AC035E" w:rsidRPr="003631C0" w:rsidTr="00145C4B">
        <w:trPr>
          <w:trHeight w:val="407"/>
          <w:jc w:val="center"/>
        </w:trPr>
        <w:tc>
          <w:tcPr>
            <w:tcW w:w="2410" w:type="dxa"/>
            <w:tcBorders>
              <w:bottom w:val="single" w:sz="4" w:space="0" w:color="auto"/>
              <w:right w:val="single" w:sz="4" w:space="0" w:color="auto"/>
            </w:tcBorders>
            <w:shd w:val="clear" w:color="auto" w:fill="D9D9D9"/>
            <w:vAlign w:val="center"/>
          </w:tcPr>
          <w:p w:rsidR="00AC035E" w:rsidRDefault="00AC035E" w:rsidP="0024037F">
            <w:pPr>
              <w:tabs>
                <w:tab w:val="left" w:pos="1134"/>
              </w:tabs>
              <w:spacing w:before="120" w:after="120" w:line="240" w:lineRule="auto"/>
              <w:jc w:val="center"/>
              <w:rPr>
                <w:rFonts w:cs="Arial"/>
                <w:b/>
                <w:sz w:val="20"/>
              </w:rPr>
            </w:pPr>
          </w:p>
        </w:tc>
        <w:tc>
          <w:tcPr>
            <w:tcW w:w="1075" w:type="dxa"/>
            <w:tcBorders>
              <w:top w:val="single" w:sz="4" w:space="0" w:color="auto"/>
              <w:bottom w:val="single" w:sz="4" w:space="0" w:color="auto"/>
              <w:right w:val="single" w:sz="4" w:space="0" w:color="auto"/>
            </w:tcBorders>
            <w:shd w:val="clear" w:color="auto" w:fill="D9D9D9"/>
            <w:vAlign w:val="center"/>
          </w:tcPr>
          <w:p w:rsidR="00AC035E" w:rsidRPr="003631C0" w:rsidRDefault="00AC035E" w:rsidP="0024037F">
            <w:pPr>
              <w:tabs>
                <w:tab w:val="left" w:pos="1134"/>
              </w:tabs>
              <w:spacing w:before="120" w:after="120" w:line="240" w:lineRule="auto"/>
              <w:jc w:val="center"/>
              <w:rPr>
                <w:rFonts w:cs="Arial"/>
                <w:b/>
                <w:sz w:val="20"/>
              </w:rPr>
            </w:pPr>
            <w:r>
              <w:rPr>
                <w:rFonts w:cs="Arial"/>
                <w:b/>
                <w:sz w:val="20"/>
              </w:rPr>
              <w:t>Área (ha)</w:t>
            </w:r>
          </w:p>
        </w:tc>
        <w:tc>
          <w:tcPr>
            <w:tcW w:w="1134" w:type="dxa"/>
            <w:tcBorders>
              <w:top w:val="single" w:sz="4" w:space="0" w:color="auto"/>
              <w:left w:val="single" w:sz="4" w:space="0" w:color="auto"/>
              <w:bottom w:val="single" w:sz="4" w:space="0" w:color="auto"/>
              <w:right w:val="single" w:sz="4" w:space="0" w:color="auto"/>
            </w:tcBorders>
            <w:shd w:val="clear" w:color="auto" w:fill="D9D9D9"/>
            <w:vAlign w:val="center"/>
          </w:tcPr>
          <w:p w:rsidR="00AC035E" w:rsidRPr="003631C0" w:rsidRDefault="00AC035E" w:rsidP="0024037F">
            <w:pPr>
              <w:tabs>
                <w:tab w:val="left" w:pos="1134"/>
              </w:tabs>
              <w:spacing w:line="240" w:lineRule="auto"/>
              <w:jc w:val="center"/>
              <w:rPr>
                <w:rFonts w:cs="Arial"/>
                <w:b/>
                <w:sz w:val="20"/>
              </w:rPr>
            </w:pPr>
            <w:r>
              <w:rPr>
                <w:rFonts w:cs="Arial"/>
                <w:b/>
                <w:sz w:val="20"/>
              </w:rPr>
              <w:t>% do total</w:t>
            </w:r>
          </w:p>
        </w:tc>
        <w:tc>
          <w:tcPr>
            <w:tcW w:w="1134" w:type="dxa"/>
            <w:tcBorders>
              <w:top w:val="single" w:sz="4" w:space="0" w:color="auto"/>
              <w:left w:val="single" w:sz="4" w:space="0" w:color="auto"/>
              <w:bottom w:val="single" w:sz="4" w:space="0" w:color="auto"/>
              <w:right w:val="single" w:sz="4" w:space="0" w:color="auto"/>
            </w:tcBorders>
            <w:shd w:val="clear" w:color="auto" w:fill="D9D9D9"/>
            <w:vAlign w:val="center"/>
          </w:tcPr>
          <w:p w:rsidR="00AC035E" w:rsidRPr="003631C0" w:rsidRDefault="00AC035E" w:rsidP="00E87066">
            <w:pPr>
              <w:tabs>
                <w:tab w:val="left" w:pos="1134"/>
              </w:tabs>
              <w:spacing w:before="120" w:after="120" w:line="240" w:lineRule="auto"/>
              <w:jc w:val="center"/>
              <w:rPr>
                <w:rFonts w:cs="Arial"/>
                <w:b/>
                <w:sz w:val="20"/>
              </w:rPr>
            </w:pPr>
            <w:r>
              <w:rPr>
                <w:rFonts w:cs="Arial"/>
                <w:b/>
                <w:sz w:val="20"/>
              </w:rPr>
              <w:t>Área (ha)</w:t>
            </w:r>
          </w:p>
        </w:tc>
        <w:tc>
          <w:tcPr>
            <w:tcW w:w="1134" w:type="dxa"/>
            <w:tcBorders>
              <w:top w:val="single" w:sz="4" w:space="0" w:color="auto"/>
              <w:left w:val="single" w:sz="4" w:space="0" w:color="auto"/>
              <w:bottom w:val="single" w:sz="4" w:space="0" w:color="auto"/>
              <w:right w:val="single" w:sz="4" w:space="0" w:color="auto"/>
            </w:tcBorders>
            <w:shd w:val="clear" w:color="auto" w:fill="D9D9D9"/>
            <w:vAlign w:val="center"/>
          </w:tcPr>
          <w:p w:rsidR="00AC035E" w:rsidRPr="003631C0" w:rsidRDefault="00AC035E" w:rsidP="00E87066">
            <w:pPr>
              <w:tabs>
                <w:tab w:val="left" w:pos="1134"/>
              </w:tabs>
              <w:spacing w:line="240" w:lineRule="auto"/>
              <w:jc w:val="center"/>
              <w:rPr>
                <w:rFonts w:cs="Arial"/>
                <w:b/>
                <w:sz w:val="20"/>
              </w:rPr>
            </w:pPr>
            <w:r>
              <w:rPr>
                <w:rFonts w:cs="Arial"/>
                <w:b/>
                <w:sz w:val="20"/>
              </w:rPr>
              <w:t>% do total</w:t>
            </w:r>
          </w:p>
        </w:tc>
        <w:tc>
          <w:tcPr>
            <w:tcW w:w="1134" w:type="dxa"/>
            <w:tcBorders>
              <w:top w:val="single" w:sz="4" w:space="0" w:color="auto"/>
              <w:left w:val="single" w:sz="4" w:space="0" w:color="auto"/>
              <w:bottom w:val="single" w:sz="4" w:space="0" w:color="auto"/>
              <w:right w:val="single" w:sz="4" w:space="0" w:color="auto"/>
            </w:tcBorders>
            <w:shd w:val="clear" w:color="auto" w:fill="D9D9D9"/>
            <w:vAlign w:val="center"/>
          </w:tcPr>
          <w:p w:rsidR="00AC035E" w:rsidRPr="003631C0" w:rsidRDefault="00AC035E" w:rsidP="0024037F">
            <w:pPr>
              <w:tabs>
                <w:tab w:val="left" w:pos="1134"/>
              </w:tabs>
              <w:spacing w:line="240" w:lineRule="auto"/>
              <w:jc w:val="center"/>
              <w:rPr>
                <w:rFonts w:cs="Arial"/>
                <w:b/>
                <w:sz w:val="20"/>
              </w:rPr>
            </w:pPr>
            <w:r>
              <w:rPr>
                <w:rFonts w:cs="Arial"/>
                <w:b/>
                <w:sz w:val="20"/>
              </w:rPr>
              <w:t>Área (ha)</w:t>
            </w:r>
          </w:p>
        </w:tc>
        <w:tc>
          <w:tcPr>
            <w:tcW w:w="1164" w:type="dxa"/>
            <w:tcBorders>
              <w:top w:val="single" w:sz="4" w:space="0" w:color="auto"/>
              <w:left w:val="single" w:sz="4" w:space="0" w:color="auto"/>
              <w:bottom w:val="single" w:sz="4" w:space="0" w:color="auto"/>
              <w:right w:val="single" w:sz="4" w:space="0" w:color="auto"/>
            </w:tcBorders>
            <w:shd w:val="clear" w:color="auto" w:fill="D9D9D9"/>
            <w:vAlign w:val="center"/>
          </w:tcPr>
          <w:p w:rsidR="00AC035E" w:rsidRPr="003631C0" w:rsidRDefault="00AC035E" w:rsidP="0024037F">
            <w:pPr>
              <w:tabs>
                <w:tab w:val="left" w:pos="1134"/>
              </w:tabs>
              <w:spacing w:line="240" w:lineRule="auto"/>
              <w:jc w:val="center"/>
              <w:rPr>
                <w:rFonts w:cs="Arial"/>
                <w:b/>
                <w:sz w:val="20"/>
              </w:rPr>
            </w:pPr>
            <w:r>
              <w:rPr>
                <w:rFonts w:cs="Arial"/>
                <w:b/>
                <w:sz w:val="20"/>
              </w:rPr>
              <w:t>% do total</w:t>
            </w:r>
          </w:p>
        </w:tc>
      </w:tr>
      <w:tr w:rsidR="00AC035E" w:rsidRPr="003631C0" w:rsidTr="00145C4B">
        <w:trPr>
          <w:trHeight w:val="388"/>
          <w:jc w:val="center"/>
        </w:trPr>
        <w:tc>
          <w:tcPr>
            <w:tcW w:w="2410" w:type="dxa"/>
            <w:tcBorders>
              <w:top w:val="single" w:sz="4" w:space="0" w:color="auto"/>
              <w:left w:val="single" w:sz="4" w:space="0" w:color="auto"/>
              <w:bottom w:val="single" w:sz="4" w:space="0" w:color="auto"/>
              <w:right w:val="single" w:sz="4" w:space="0" w:color="auto"/>
            </w:tcBorders>
            <w:vAlign w:val="center"/>
          </w:tcPr>
          <w:p w:rsidR="00AC035E" w:rsidRPr="003631C0" w:rsidRDefault="00AC035E" w:rsidP="0024037F">
            <w:pPr>
              <w:tabs>
                <w:tab w:val="left" w:pos="1134"/>
              </w:tabs>
              <w:spacing w:before="60" w:after="60" w:line="240" w:lineRule="auto"/>
              <w:jc w:val="left"/>
              <w:rPr>
                <w:rFonts w:cs="Arial"/>
                <w:sz w:val="20"/>
              </w:rPr>
            </w:pPr>
            <w:r>
              <w:rPr>
                <w:rFonts w:cs="Arial"/>
                <w:sz w:val="20"/>
              </w:rPr>
              <w:t>Pastagens</w:t>
            </w:r>
          </w:p>
        </w:tc>
        <w:tc>
          <w:tcPr>
            <w:tcW w:w="1075" w:type="dxa"/>
            <w:tcBorders>
              <w:top w:val="single" w:sz="4" w:space="0" w:color="auto"/>
              <w:left w:val="single" w:sz="4" w:space="0" w:color="auto"/>
              <w:bottom w:val="single" w:sz="4" w:space="0" w:color="auto"/>
              <w:right w:val="single" w:sz="4" w:space="0" w:color="auto"/>
            </w:tcBorders>
            <w:vAlign w:val="center"/>
          </w:tcPr>
          <w:p w:rsidR="00AC035E" w:rsidRPr="004334F5" w:rsidRDefault="00AC035E" w:rsidP="00145C4B">
            <w:pPr>
              <w:tabs>
                <w:tab w:val="left" w:pos="1134"/>
              </w:tabs>
              <w:spacing w:before="60" w:after="60" w:line="240" w:lineRule="auto"/>
              <w:jc w:val="center"/>
              <w:rPr>
                <w:rFonts w:cs="Arial"/>
                <w:sz w:val="20"/>
              </w:rPr>
            </w:pPr>
            <w:r w:rsidRPr="004334F5">
              <w:rPr>
                <w:rFonts w:cs="Arial"/>
                <w:sz w:val="20"/>
              </w:rPr>
              <w:t>76,4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C035E" w:rsidRPr="00422D89" w:rsidRDefault="00AC035E" w:rsidP="00145C4B">
            <w:pPr>
              <w:tabs>
                <w:tab w:val="left" w:pos="1134"/>
              </w:tabs>
              <w:spacing w:before="60" w:after="60" w:line="240" w:lineRule="auto"/>
              <w:jc w:val="center"/>
              <w:rPr>
                <w:rFonts w:cs="Arial"/>
                <w:sz w:val="20"/>
              </w:rPr>
            </w:pPr>
            <w:r w:rsidRPr="00422D89">
              <w:rPr>
                <w:rFonts w:cs="Arial"/>
                <w:sz w:val="20"/>
              </w:rPr>
              <w:t>37,8</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106,2</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49,7</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AC035E" w:rsidP="00145C4B">
            <w:pPr>
              <w:tabs>
                <w:tab w:val="left" w:pos="1134"/>
              </w:tabs>
              <w:spacing w:before="60" w:after="60" w:line="240" w:lineRule="auto"/>
              <w:jc w:val="center"/>
              <w:rPr>
                <w:rFonts w:cs="Arial"/>
                <w:sz w:val="20"/>
              </w:rPr>
            </w:pPr>
            <w:r w:rsidRPr="00145C4B">
              <w:rPr>
                <w:rFonts w:cs="Arial"/>
                <w:sz w:val="20"/>
              </w:rPr>
              <w:t>186,9</w:t>
            </w:r>
          </w:p>
        </w:tc>
        <w:tc>
          <w:tcPr>
            <w:tcW w:w="1164" w:type="dxa"/>
            <w:tcBorders>
              <w:top w:val="single" w:sz="4" w:space="0" w:color="auto"/>
              <w:left w:val="single" w:sz="4" w:space="0" w:color="auto"/>
              <w:bottom w:val="single" w:sz="4" w:space="0" w:color="auto"/>
              <w:right w:val="single" w:sz="4" w:space="0" w:color="auto"/>
            </w:tcBorders>
            <w:vAlign w:val="center"/>
          </w:tcPr>
          <w:p w:rsidR="00AC035E" w:rsidRPr="003631C0" w:rsidRDefault="00AC035E" w:rsidP="00145C4B">
            <w:pPr>
              <w:tabs>
                <w:tab w:val="left" w:pos="1134"/>
              </w:tabs>
              <w:spacing w:before="60" w:after="60" w:line="240" w:lineRule="auto"/>
              <w:jc w:val="center"/>
              <w:rPr>
                <w:rFonts w:cs="Arial"/>
                <w:sz w:val="20"/>
              </w:rPr>
            </w:pPr>
            <w:r>
              <w:rPr>
                <w:rFonts w:cs="Arial"/>
                <w:sz w:val="20"/>
              </w:rPr>
              <w:t>40,9</w:t>
            </w:r>
          </w:p>
        </w:tc>
      </w:tr>
      <w:tr w:rsidR="00AC035E" w:rsidRPr="003631C0" w:rsidTr="00145C4B">
        <w:trPr>
          <w:trHeight w:val="387"/>
          <w:jc w:val="center"/>
        </w:trPr>
        <w:tc>
          <w:tcPr>
            <w:tcW w:w="2410" w:type="dxa"/>
            <w:tcBorders>
              <w:top w:val="single" w:sz="4" w:space="0" w:color="auto"/>
              <w:left w:val="single" w:sz="4" w:space="0" w:color="auto"/>
              <w:bottom w:val="single" w:sz="4" w:space="0" w:color="auto"/>
              <w:right w:val="single" w:sz="4" w:space="0" w:color="auto"/>
            </w:tcBorders>
            <w:vAlign w:val="center"/>
          </w:tcPr>
          <w:p w:rsidR="00AC035E" w:rsidRPr="003631C0" w:rsidRDefault="00AC035E" w:rsidP="0024037F">
            <w:pPr>
              <w:tabs>
                <w:tab w:val="left" w:pos="1134"/>
              </w:tabs>
              <w:spacing w:before="60" w:after="60" w:line="240" w:lineRule="auto"/>
              <w:jc w:val="left"/>
              <w:rPr>
                <w:rFonts w:cs="Arial"/>
                <w:sz w:val="20"/>
              </w:rPr>
            </w:pPr>
            <w:r>
              <w:rPr>
                <w:rFonts w:cs="Arial"/>
                <w:sz w:val="20"/>
              </w:rPr>
              <w:t>Áreas Agrícolas</w:t>
            </w:r>
          </w:p>
        </w:tc>
        <w:tc>
          <w:tcPr>
            <w:tcW w:w="1075" w:type="dxa"/>
            <w:tcBorders>
              <w:top w:val="single" w:sz="4" w:space="0" w:color="auto"/>
              <w:left w:val="single" w:sz="4" w:space="0" w:color="auto"/>
              <w:bottom w:val="single" w:sz="4" w:space="0" w:color="auto"/>
              <w:right w:val="single" w:sz="4" w:space="0" w:color="auto"/>
            </w:tcBorders>
            <w:vAlign w:val="center"/>
          </w:tcPr>
          <w:p w:rsidR="00AC035E" w:rsidRPr="004334F5" w:rsidRDefault="00AC035E" w:rsidP="00145C4B">
            <w:pPr>
              <w:tabs>
                <w:tab w:val="left" w:pos="1134"/>
              </w:tabs>
              <w:spacing w:before="60" w:after="60" w:line="240" w:lineRule="auto"/>
              <w:jc w:val="center"/>
              <w:rPr>
                <w:rFonts w:cs="Arial"/>
                <w:sz w:val="20"/>
              </w:rPr>
            </w:pPr>
            <w:r w:rsidRPr="004334F5">
              <w:rPr>
                <w:rFonts w:cs="Arial"/>
                <w:sz w:val="20"/>
              </w:rPr>
              <w:t>0,1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C035E" w:rsidRPr="00422D89" w:rsidRDefault="00AC035E" w:rsidP="00145C4B">
            <w:pPr>
              <w:tabs>
                <w:tab w:val="left" w:pos="1134"/>
              </w:tabs>
              <w:spacing w:before="60" w:after="60" w:line="240" w:lineRule="auto"/>
              <w:jc w:val="center"/>
              <w:rPr>
                <w:rFonts w:cs="Arial"/>
                <w:sz w:val="20"/>
              </w:rPr>
            </w:pPr>
            <w:r w:rsidRPr="00422D89">
              <w:rPr>
                <w:rFonts w:cs="Arial"/>
                <w:sz w:val="20"/>
              </w:rPr>
              <w:t>0,1</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0,3</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0,1</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AC035E" w:rsidP="00145C4B">
            <w:pPr>
              <w:tabs>
                <w:tab w:val="left" w:pos="1134"/>
              </w:tabs>
              <w:spacing w:before="60" w:after="60" w:line="240" w:lineRule="auto"/>
              <w:jc w:val="center"/>
              <w:rPr>
                <w:rFonts w:cs="Arial"/>
                <w:sz w:val="20"/>
              </w:rPr>
            </w:pPr>
            <w:r w:rsidRPr="00145C4B">
              <w:rPr>
                <w:rFonts w:cs="Arial"/>
                <w:sz w:val="20"/>
              </w:rPr>
              <w:t>0,4</w:t>
            </w:r>
          </w:p>
        </w:tc>
        <w:tc>
          <w:tcPr>
            <w:tcW w:w="1164" w:type="dxa"/>
            <w:tcBorders>
              <w:top w:val="single" w:sz="4" w:space="0" w:color="auto"/>
              <w:left w:val="single" w:sz="4" w:space="0" w:color="auto"/>
              <w:bottom w:val="single" w:sz="4" w:space="0" w:color="auto"/>
              <w:right w:val="single" w:sz="4" w:space="0" w:color="auto"/>
            </w:tcBorders>
            <w:vAlign w:val="center"/>
          </w:tcPr>
          <w:p w:rsidR="00AC035E" w:rsidRPr="003631C0" w:rsidRDefault="00AC035E" w:rsidP="00145C4B">
            <w:pPr>
              <w:tabs>
                <w:tab w:val="left" w:pos="1134"/>
              </w:tabs>
              <w:spacing w:before="60" w:after="60" w:line="240" w:lineRule="auto"/>
              <w:jc w:val="center"/>
              <w:rPr>
                <w:rFonts w:cs="Arial"/>
                <w:sz w:val="20"/>
              </w:rPr>
            </w:pPr>
            <w:r>
              <w:rPr>
                <w:rFonts w:cs="Arial"/>
                <w:sz w:val="20"/>
              </w:rPr>
              <w:t>0,1</w:t>
            </w:r>
          </w:p>
        </w:tc>
      </w:tr>
      <w:tr w:rsidR="00AC035E" w:rsidRPr="003631C0" w:rsidTr="00145C4B">
        <w:trPr>
          <w:trHeight w:val="387"/>
          <w:jc w:val="center"/>
        </w:trPr>
        <w:tc>
          <w:tcPr>
            <w:tcW w:w="2410" w:type="dxa"/>
            <w:tcBorders>
              <w:top w:val="single" w:sz="4" w:space="0" w:color="auto"/>
              <w:left w:val="single" w:sz="4" w:space="0" w:color="auto"/>
              <w:bottom w:val="single" w:sz="4" w:space="0" w:color="auto"/>
              <w:right w:val="single" w:sz="4" w:space="0" w:color="auto"/>
            </w:tcBorders>
            <w:vAlign w:val="center"/>
          </w:tcPr>
          <w:p w:rsidR="00AC035E" w:rsidRPr="003631C0" w:rsidRDefault="00AC035E" w:rsidP="0024037F">
            <w:pPr>
              <w:tabs>
                <w:tab w:val="left" w:pos="1134"/>
              </w:tabs>
              <w:spacing w:before="60" w:after="60" w:line="240" w:lineRule="auto"/>
              <w:jc w:val="left"/>
              <w:rPr>
                <w:rFonts w:cs="Arial"/>
                <w:sz w:val="20"/>
              </w:rPr>
            </w:pPr>
            <w:r>
              <w:rPr>
                <w:rFonts w:cs="Arial"/>
                <w:sz w:val="20"/>
              </w:rPr>
              <w:t>Reflorestamento</w:t>
            </w:r>
          </w:p>
        </w:tc>
        <w:tc>
          <w:tcPr>
            <w:tcW w:w="1075" w:type="dxa"/>
            <w:tcBorders>
              <w:top w:val="single" w:sz="4" w:space="0" w:color="auto"/>
              <w:left w:val="single" w:sz="4" w:space="0" w:color="auto"/>
              <w:bottom w:val="single" w:sz="4" w:space="0" w:color="auto"/>
              <w:right w:val="single" w:sz="4" w:space="0" w:color="auto"/>
            </w:tcBorders>
            <w:vAlign w:val="center"/>
          </w:tcPr>
          <w:p w:rsidR="00AC035E" w:rsidRPr="004334F5" w:rsidRDefault="00AC035E" w:rsidP="00145C4B">
            <w:pPr>
              <w:tabs>
                <w:tab w:val="left" w:pos="1134"/>
              </w:tabs>
              <w:spacing w:before="60" w:after="60" w:line="240" w:lineRule="auto"/>
              <w:jc w:val="center"/>
              <w:rPr>
                <w:rFonts w:cs="Arial"/>
                <w:sz w:val="20"/>
              </w:rPr>
            </w:pPr>
            <w:r w:rsidRPr="004334F5">
              <w:rPr>
                <w:rFonts w:cs="Arial"/>
                <w:sz w:val="20"/>
              </w:rPr>
              <w:t>5,4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C035E" w:rsidRPr="00422D89" w:rsidRDefault="00AC035E" w:rsidP="00145C4B">
            <w:pPr>
              <w:tabs>
                <w:tab w:val="left" w:pos="1134"/>
              </w:tabs>
              <w:spacing w:before="60" w:after="60" w:line="240" w:lineRule="auto"/>
              <w:jc w:val="center"/>
              <w:rPr>
                <w:rFonts w:cs="Arial"/>
                <w:sz w:val="20"/>
              </w:rPr>
            </w:pPr>
            <w:r w:rsidRPr="00422D89">
              <w:rPr>
                <w:rFonts w:cs="Arial"/>
                <w:sz w:val="20"/>
              </w:rPr>
              <w:t>2,7</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23,4</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10,9</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AC035E" w:rsidP="00145C4B">
            <w:pPr>
              <w:tabs>
                <w:tab w:val="left" w:pos="1134"/>
              </w:tabs>
              <w:spacing w:before="60" w:after="60" w:line="240" w:lineRule="auto"/>
              <w:jc w:val="center"/>
              <w:rPr>
                <w:rFonts w:cs="Arial"/>
                <w:sz w:val="20"/>
              </w:rPr>
            </w:pPr>
            <w:r w:rsidRPr="00145C4B">
              <w:rPr>
                <w:rFonts w:cs="Arial"/>
                <w:sz w:val="20"/>
              </w:rPr>
              <w:t>36,8</w:t>
            </w:r>
          </w:p>
        </w:tc>
        <w:tc>
          <w:tcPr>
            <w:tcW w:w="1164" w:type="dxa"/>
            <w:tcBorders>
              <w:top w:val="single" w:sz="4" w:space="0" w:color="auto"/>
              <w:left w:val="single" w:sz="4" w:space="0" w:color="auto"/>
              <w:bottom w:val="single" w:sz="4" w:space="0" w:color="auto"/>
              <w:right w:val="single" w:sz="4" w:space="0" w:color="auto"/>
            </w:tcBorders>
            <w:vAlign w:val="center"/>
          </w:tcPr>
          <w:p w:rsidR="00AC035E" w:rsidRPr="003631C0" w:rsidRDefault="00AC035E" w:rsidP="00145C4B">
            <w:pPr>
              <w:tabs>
                <w:tab w:val="left" w:pos="1134"/>
              </w:tabs>
              <w:spacing w:before="60" w:after="60" w:line="240" w:lineRule="auto"/>
              <w:jc w:val="center"/>
              <w:rPr>
                <w:rFonts w:cs="Arial"/>
                <w:sz w:val="20"/>
              </w:rPr>
            </w:pPr>
            <w:r>
              <w:rPr>
                <w:rFonts w:cs="Arial"/>
                <w:sz w:val="20"/>
              </w:rPr>
              <w:t>8,1</w:t>
            </w:r>
          </w:p>
        </w:tc>
      </w:tr>
      <w:tr w:rsidR="00AC035E" w:rsidRPr="003631C0" w:rsidTr="00145C4B">
        <w:trPr>
          <w:trHeight w:val="387"/>
          <w:jc w:val="center"/>
        </w:trPr>
        <w:tc>
          <w:tcPr>
            <w:tcW w:w="2410" w:type="dxa"/>
            <w:tcBorders>
              <w:top w:val="single" w:sz="4" w:space="0" w:color="auto"/>
              <w:left w:val="single" w:sz="4" w:space="0" w:color="auto"/>
              <w:bottom w:val="single" w:sz="4" w:space="0" w:color="auto"/>
              <w:right w:val="single" w:sz="4" w:space="0" w:color="auto"/>
            </w:tcBorders>
            <w:vAlign w:val="center"/>
          </w:tcPr>
          <w:p w:rsidR="00AC035E" w:rsidRPr="00206669" w:rsidRDefault="00AC035E" w:rsidP="0024037F">
            <w:pPr>
              <w:tabs>
                <w:tab w:val="left" w:pos="1134"/>
              </w:tabs>
              <w:spacing w:before="60" w:after="60" w:line="240" w:lineRule="auto"/>
              <w:jc w:val="left"/>
              <w:rPr>
                <w:rFonts w:cs="Arial"/>
                <w:sz w:val="20"/>
              </w:rPr>
            </w:pPr>
            <w:r w:rsidRPr="00206669">
              <w:rPr>
                <w:rFonts w:cs="Arial"/>
                <w:sz w:val="20"/>
              </w:rPr>
              <w:t>Vegetação Pioneira</w:t>
            </w:r>
          </w:p>
        </w:tc>
        <w:tc>
          <w:tcPr>
            <w:tcW w:w="1075" w:type="dxa"/>
            <w:tcBorders>
              <w:top w:val="single" w:sz="4" w:space="0" w:color="auto"/>
              <w:left w:val="single" w:sz="4" w:space="0" w:color="auto"/>
              <w:bottom w:val="single" w:sz="4" w:space="0" w:color="auto"/>
              <w:right w:val="single" w:sz="4" w:space="0" w:color="auto"/>
            </w:tcBorders>
            <w:vAlign w:val="center"/>
          </w:tcPr>
          <w:p w:rsidR="00AC035E" w:rsidRPr="004334F5" w:rsidRDefault="00AC035E" w:rsidP="00145C4B">
            <w:pPr>
              <w:tabs>
                <w:tab w:val="left" w:pos="1134"/>
              </w:tabs>
              <w:spacing w:before="60" w:after="60" w:line="240" w:lineRule="auto"/>
              <w:jc w:val="center"/>
              <w:rPr>
                <w:rFonts w:cs="Arial"/>
                <w:sz w:val="20"/>
              </w:rPr>
            </w:pPr>
            <w:r w:rsidRPr="004334F5">
              <w:rPr>
                <w:rFonts w:cs="Arial"/>
                <w:sz w:val="20"/>
              </w:rPr>
              <w:t>13,2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C035E" w:rsidRPr="00422D89" w:rsidRDefault="00AC035E" w:rsidP="00145C4B">
            <w:pPr>
              <w:tabs>
                <w:tab w:val="left" w:pos="1134"/>
              </w:tabs>
              <w:spacing w:before="60" w:after="60" w:line="240" w:lineRule="auto"/>
              <w:jc w:val="center"/>
              <w:rPr>
                <w:rFonts w:cs="Arial"/>
                <w:sz w:val="20"/>
              </w:rPr>
            </w:pPr>
            <w:r w:rsidRPr="00422D89">
              <w:rPr>
                <w:rFonts w:cs="Arial"/>
                <w:sz w:val="20"/>
              </w:rPr>
              <w:t>6,5</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17,4</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8,1</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AC035E" w:rsidP="00145C4B">
            <w:pPr>
              <w:tabs>
                <w:tab w:val="left" w:pos="1134"/>
              </w:tabs>
              <w:spacing w:before="60" w:after="60" w:line="240" w:lineRule="auto"/>
              <w:jc w:val="center"/>
              <w:rPr>
                <w:rFonts w:cs="Arial"/>
                <w:sz w:val="20"/>
              </w:rPr>
            </w:pPr>
            <w:r w:rsidRPr="00145C4B">
              <w:rPr>
                <w:rFonts w:cs="Arial"/>
                <w:sz w:val="20"/>
              </w:rPr>
              <w:t>32,8</w:t>
            </w:r>
          </w:p>
        </w:tc>
        <w:tc>
          <w:tcPr>
            <w:tcW w:w="1164" w:type="dxa"/>
            <w:tcBorders>
              <w:top w:val="single" w:sz="4" w:space="0" w:color="auto"/>
              <w:left w:val="single" w:sz="4" w:space="0" w:color="auto"/>
              <w:bottom w:val="single" w:sz="4" w:space="0" w:color="auto"/>
              <w:right w:val="single" w:sz="4" w:space="0" w:color="auto"/>
            </w:tcBorders>
            <w:vAlign w:val="center"/>
          </w:tcPr>
          <w:p w:rsidR="00AC035E" w:rsidRPr="003631C0" w:rsidRDefault="00AC035E" w:rsidP="00145C4B">
            <w:pPr>
              <w:tabs>
                <w:tab w:val="left" w:pos="1134"/>
              </w:tabs>
              <w:spacing w:before="60" w:after="60" w:line="240" w:lineRule="auto"/>
              <w:jc w:val="center"/>
              <w:rPr>
                <w:rFonts w:cs="Arial"/>
                <w:sz w:val="20"/>
              </w:rPr>
            </w:pPr>
            <w:r>
              <w:rPr>
                <w:rFonts w:cs="Arial"/>
                <w:sz w:val="20"/>
              </w:rPr>
              <w:t>7,2</w:t>
            </w:r>
          </w:p>
        </w:tc>
      </w:tr>
      <w:tr w:rsidR="00AC035E" w:rsidRPr="003631C0" w:rsidTr="00145C4B">
        <w:trPr>
          <w:trHeight w:val="387"/>
          <w:jc w:val="center"/>
        </w:trPr>
        <w:tc>
          <w:tcPr>
            <w:tcW w:w="2410" w:type="dxa"/>
            <w:tcBorders>
              <w:top w:val="single" w:sz="4" w:space="0" w:color="auto"/>
              <w:left w:val="single" w:sz="4" w:space="0" w:color="auto"/>
              <w:bottom w:val="single" w:sz="4" w:space="0" w:color="auto"/>
              <w:right w:val="single" w:sz="4" w:space="0" w:color="auto"/>
            </w:tcBorders>
            <w:vAlign w:val="center"/>
          </w:tcPr>
          <w:p w:rsidR="00AC035E" w:rsidRPr="00206669" w:rsidRDefault="00AC035E" w:rsidP="0024037F">
            <w:pPr>
              <w:tabs>
                <w:tab w:val="left" w:pos="1134"/>
              </w:tabs>
              <w:spacing w:before="60" w:after="60" w:line="240" w:lineRule="auto"/>
              <w:jc w:val="left"/>
              <w:rPr>
                <w:rFonts w:cs="Arial"/>
                <w:sz w:val="20"/>
              </w:rPr>
            </w:pPr>
            <w:r w:rsidRPr="00206669">
              <w:rPr>
                <w:rFonts w:cs="Arial"/>
                <w:sz w:val="20"/>
              </w:rPr>
              <w:t>Matas Nativas</w:t>
            </w:r>
          </w:p>
        </w:tc>
        <w:tc>
          <w:tcPr>
            <w:tcW w:w="1075" w:type="dxa"/>
            <w:tcBorders>
              <w:top w:val="single" w:sz="4" w:space="0" w:color="auto"/>
              <w:left w:val="single" w:sz="4" w:space="0" w:color="auto"/>
              <w:bottom w:val="single" w:sz="4" w:space="0" w:color="auto"/>
              <w:right w:val="single" w:sz="4" w:space="0" w:color="auto"/>
            </w:tcBorders>
            <w:vAlign w:val="center"/>
          </w:tcPr>
          <w:p w:rsidR="00AC035E" w:rsidRPr="004334F5" w:rsidRDefault="00AC035E" w:rsidP="00145C4B">
            <w:pPr>
              <w:tabs>
                <w:tab w:val="left" w:pos="1134"/>
              </w:tabs>
              <w:spacing w:before="60" w:after="60" w:line="240" w:lineRule="auto"/>
              <w:jc w:val="center"/>
              <w:rPr>
                <w:rFonts w:cs="Arial"/>
                <w:sz w:val="20"/>
              </w:rPr>
            </w:pPr>
            <w:r w:rsidRPr="004334F5">
              <w:rPr>
                <w:rFonts w:cs="Arial"/>
                <w:sz w:val="20"/>
              </w:rPr>
              <w:t>71,7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C035E" w:rsidRPr="00422D89" w:rsidRDefault="00AC035E" w:rsidP="00145C4B">
            <w:pPr>
              <w:tabs>
                <w:tab w:val="left" w:pos="1134"/>
              </w:tabs>
              <w:spacing w:before="60" w:after="60" w:line="240" w:lineRule="auto"/>
              <w:jc w:val="center"/>
              <w:rPr>
                <w:rFonts w:cs="Arial"/>
                <w:sz w:val="20"/>
              </w:rPr>
            </w:pPr>
            <w:r w:rsidRPr="00422D89">
              <w:rPr>
                <w:rFonts w:cs="Arial"/>
                <w:sz w:val="20"/>
              </w:rPr>
              <w:t>35,4</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61,5</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28,7</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AC035E" w:rsidP="00145C4B">
            <w:pPr>
              <w:tabs>
                <w:tab w:val="left" w:pos="1134"/>
              </w:tabs>
              <w:spacing w:before="60" w:after="60" w:line="240" w:lineRule="auto"/>
              <w:jc w:val="center"/>
              <w:rPr>
                <w:rFonts w:cs="Arial"/>
                <w:sz w:val="20"/>
              </w:rPr>
            </w:pPr>
            <w:r w:rsidRPr="00145C4B">
              <w:rPr>
                <w:rFonts w:cs="Arial"/>
                <w:sz w:val="20"/>
              </w:rPr>
              <w:t>154,5</w:t>
            </w:r>
          </w:p>
        </w:tc>
        <w:tc>
          <w:tcPr>
            <w:tcW w:w="1164" w:type="dxa"/>
            <w:tcBorders>
              <w:top w:val="single" w:sz="4" w:space="0" w:color="auto"/>
              <w:left w:val="single" w:sz="4" w:space="0" w:color="auto"/>
              <w:bottom w:val="single" w:sz="4" w:space="0" w:color="auto"/>
              <w:right w:val="single" w:sz="4" w:space="0" w:color="auto"/>
            </w:tcBorders>
            <w:vAlign w:val="center"/>
          </w:tcPr>
          <w:p w:rsidR="00AC035E" w:rsidRPr="003631C0" w:rsidRDefault="00AC035E" w:rsidP="00145C4B">
            <w:pPr>
              <w:tabs>
                <w:tab w:val="left" w:pos="1134"/>
              </w:tabs>
              <w:spacing w:before="60" w:after="60" w:line="240" w:lineRule="auto"/>
              <w:jc w:val="center"/>
              <w:rPr>
                <w:rFonts w:cs="Arial"/>
                <w:sz w:val="20"/>
              </w:rPr>
            </w:pPr>
            <w:r>
              <w:rPr>
                <w:rFonts w:cs="Arial"/>
                <w:sz w:val="20"/>
              </w:rPr>
              <w:t>33,8</w:t>
            </w:r>
          </w:p>
        </w:tc>
      </w:tr>
      <w:tr w:rsidR="00AC035E" w:rsidRPr="003631C0" w:rsidTr="00145C4B">
        <w:trPr>
          <w:trHeight w:val="387"/>
          <w:jc w:val="center"/>
        </w:trPr>
        <w:tc>
          <w:tcPr>
            <w:tcW w:w="2410" w:type="dxa"/>
            <w:tcBorders>
              <w:top w:val="single" w:sz="4" w:space="0" w:color="auto"/>
              <w:left w:val="single" w:sz="4" w:space="0" w:color="auto"/>
              <w:bottom w:val="single" w:sz="4" w:space="0" w:color="auto"/>
              <w:right w:val="single" w:sz="4" w:space="0" w:color="auto"/>
            </w:tcBorders>
            <w:vAlign w:val="center"/>
          </w:tcPr>
          <w:p w:rsidR="00AC035E" w:rsidRPr="003631C0" w:rsidRDefault="00AC035E" w:rsidP="0024037F">
            <w:pPr>
              <w:tabs>
                <w:tab w:val="left" w:pos="1134"/>
              </w:tabs>
              <w:spacing w:before="60" w:after="60" w:line="240" w:lineRule="auto"/>
              <w:jc w:val="left"/>
              <w:rPr>
                <w:rFonts w:cs="Arial"/>
                <w:sz w:val="20"/>
              </w:rPr>
            </w:pPr>
            <w:r>
              <w:rPr>
                <w:rFonts w:cs="Arial"/>
                <w:sz w:val="20"/>
              </w:rPr>
              <w:t>Outros Usos</w:t>
            </w:r>
          </w:p>
        </w:tc>
        <w:tc>
          <w:tcPr>
            <w:tcW w:w="1075" w:type="dxa"/>
            <w:tcBorders>
              <w:top w:val="single" w:sz="4" w:space="0" w:color="auto"/>
              <w:left w:val="single" w:sz="4" w:space="0" w:color="auto"/>
              <w:bottom w:val="single" w:sz="4" w:space="0" w:color="auto"/>
              <w:right w:val="single" w:sz="4" w:space="0" w:color="auto"/>
            </w:tcBorders>
            <w:vAlign w:val="center"/>
          </w:tcPr>
          <w:p w:rsidR="00AC035E" w:rsidRPr="004334F5" w:rsidRDefault="00AC035E" w:rsidP="00145C4B">
            <w:pPr>
              <w:tabs>
                <w:tab w:val="left" w:pos="1134"/>
              </w:tabs>
              <w:spacing w:before="60" w:after="60" w:line="240" w:lineRule="auto"/>
              <w:jc w:val="center"/>
              <w:rPr>
                <w:rFonts w:cs="Arial"/>
                <w:sz w:val="20"/>
              </w:rPr>
            </w:pPr>
            <w:r w:rsidRPr="004334F5">
              <w:rPr>
                <w:rFonts w:cs="Arial"/>
                <w:sz w:val="20"/>
              </w:rPr>
              <w:t>13,9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C035E" w:rsidRPr="00422D89" w:rsidRDefault="00AC035E" w:rsidP="00145C4B">
            <w:pPr>
              <w:tabs>
                <w:tab w:val="left" w:pos="1134"/>
              </w:tabs>
              <w:spacing w:before="60" w:after="60" w:line="240" w:lineRule="auto"/>
              <w:jc w:val="center"/>
              <w:rPr>
                <w:rFonts w:cs="Arial"/>
                <w:sz w:val="20"/>
              </w:rPr>
            </w:pPr>
            <w:r w:rsidRPr="00422D89">
              <w:rPr>
                <w:rFonts w:cs="Arial"/>
                <w:sz w:val="20"/>
              </w:rPr>
              <w:t>6,9</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4,9</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2,3</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AC035E" w:rsidP="00145C4B">
            <w:pPr>
              <w:tabs>
                <w:tab w:val="left" w:pos="1134"/>
              </w:tabs>
              <w:spacing w:before="60" w:after="60" w:line="240" w:lineRule="auto"/>
              <w:jc w:val="center"/>
              <w:rPr>
                <w:rFonts w:cs="Arial"/>
                <w:sz w:val="20"/>
              </w:rPr>
            </w:pPr>
            <w:r w:rsidRPr="00145C4B">
              <w:rPr>
                <w:rFonts w:cs="Arial"/>
                <w:sz w:val="20"/>
              </w:rPr>
              <w:t>19,7</w:t>
            </w:r>
          </w:p>
        </w:tc>
        <w:tc>
          <w:tcPr>
            <w:tcW w:w="1164" w:type="dxa"/>
            <w:tcBorders>
              <w:top w:val="single" w:sz="4" w:space="0" w:color="auto"/>
              <w:left w:val="single" w:sz="4" w:space="0" w:color="auto"/>
              <w:bottom w:val="single" w:sz="4" w:space="0" w:color="auto"/>
              <w:right w:val="single" w:sz="4" w:space="0" w:color="auto"/>
            </w:tcBorders>
            <w:vAlign w:val="center"/>
          </w:tcPr>
          <w:p w:rsidR="00AC035E" w:rsidRPr="003631C0" w:rsidRDefault="00AC035E" w:rsidP="00145C4B">
            <w:pPr>
              <w:tabs>
                <w:tab w:val="left" w:pos="1134"/>
              </w:tabs>
              <w:spacing w:before="60" w:after="60" w:line="240" w:lineRule="auto"/>
              <w:jc w:val="center"/>
              <w:rPr>
                <w:rFonts w:cs="Arial"/>
                <w:sz w:val="20"/>
              </w:rPr>
            </w:pPr>
            <w:r>
              <w:rPr>
                <w:rFonts w:cs="Arial"/>
                <w:sz w:val="20"/>
              </w:rPr>
              <w:t>4,3</w:t>
            </w:r>
          </w:p>
        </w:tc>
      </w:tr>
      <w:tr w:rsidR="00AC035E" w:rsidRPr="003631C0" w:rsidTr="00145C4B">
        <w:trPr>
          <w:trHeight w:val="387"/>
          <w:jc w:val="center"/>
        </w:trPr>
        <w:tc>
          <w:tcPr>
            <w:tcW w:w="2410" w:type="dxa"/>
            <w:tcBorders>
              <w:top w:val="single" w:sz="4" w:space="0" w:color="auto"/>
              <w:left w:val="single" w:sz="4" w:space="0" w:color="auto"/>
              <w:bottom w:val="single" w:sz="4" w:space="0" w:color="auto"/>
              <w:right w:val="single" w:sz="4" w:space="0" w:color="auto"/>
            </w:tcBorders>
            <w:vAlign w:val="center"/>
          </w:tcPr>
          <w:p w:rsidR="00AC035E" w:rsidRDefault="00AC035E" w:rsidP="0024037F">
            <w:pPr>
              <w:tabs>
                <w:tab w:val="left" w:pos="1134"/>
              </w:tabs>
              <w:spacing w:before="60" w:after="60" w:line="240" w:lineRule="auto"/>
              <w:jc w:val="left"/>
              <w:rPr>
                <w:rFonts w:cs="Arial"/>
                <w:sz w:val="20"/>
              </w:rPr>
            </w:pPr>
            <w:r>
              <w:rPr>
                <w:rFonts w:cs="Arial"/>
                <w:sz w:val="20"/>
              </w:rPr>
              <w:t>Rios, represas e lagoas</w:t>
            </w:r>
          </w:p>
        </w:tc>
        <w:tc>
          <w:tcPr>
            <w:tcW w:w="1075" w:type="dxa"/>
            <w:tcBorders>
              <w:top w:val="single" w:sz="4" w:space="0" w:color="auto"/>
              <w:left w:val="single" w:sz="4" w:space="0" w:color="auto"/>
              <w:bottom w:val="single" w:sz="4" w:space="0" w:color="auto"/>
              <w:right w:val="single" w:sz="4" w:space="0" w:color="auto"/>
            </w:tcBorders>
            <w:vAlign w:val="center"/>
          </w:tcPr>
          <w:p w:rsidR="00AC035E" w:rsidRPr="004334F5" w:rsidRDefault="00AC035E" w:rsidP="00145C4B">
            <w:pPr>
              <w:tabs>
                <w:tab w:val="left" w:pos="1134"/>
              </w:tabs>
              <w:spacing w:before="60" w:after="60" w:line="240" w:lineRule="auto"/>
              <w:jc w:val="center"/>
              <w:rPr>
                <w:rFonts w:cs="Arial"/>
                <w:sz w:val="20"/>
              </w:rPr>
            </w:pPr>
            <w:r w:rsidRPr="004334F5">
              <w:rPr>
                <w:rFonts w:cs="Arial"/>
                <w:sz w:val="20"/>
              </w:rPr>
              <w:t>21,5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C035E" w:rsidRPr="00422D89" w:rsidRDefault="00AC035E" w:rsidP="00145C4B">
            <w:pPr>
              <w:tabs>
                <w:tab w:val="left" w:pos="1134"/>
              </w:tabs>
              <w:spacing w:before="60" w:after="60" w:line="240" w:lineRule="auto"/>
              <w:jc w:val="center"/>
              <w:rPr>
                <w:rFonts w:cs="Arial"/>
                <w:sz w:val="20"/>
              </w:rPr>
            </w:pPr>
            <w:r w:rsidRPr="00422D89">
              <w:rPr>
                <w:rFonts w:cs="Arial"/>
                <w:sz w:val="20"/>
              </w:rPr>
              <w:t>10,6</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0,5</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sz w:val="20"/>
              </w:rPr>
            </w:pPr>
            <w:r w:rsidRPr="00145C4B">
              <w:rPr>
                <w:rFonts w:cs="Arial"/>
                <w:sz w:val="20"/>
              </w:rPr>
              <w:t>0,2</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AC035E" w:rsidP="00145C4B">
            <w:pPr>
              <w:tabs>
                <w:tab w:val="left" w:pos="1134"/>
              </w:tabs>
              <w:spacing w:before="60" w:after="60" w:line="240" w:lineRule="auto"/>
              <w:jc w:val="center"/>
              <w:rPr>
                <w:rFonts w:cs="Arial"/>
                <w:sz w:val="20"/>
              </w:rPr>
            </w:pPr>
            <w:r w:rsidRPr="00145C4B">
              <w:rPr>
                <w:rFonts w:cs="Arial"/>
                <w:sz w:val="20"/>
              </w:rPr>
              <w:t>25,5</w:t>
            </w:r>
          </w:p>
        </w:tc>
        <w:tc>
          <w:tcPr>
            <w:tcW w:w="1164" w:type="dxa"/>
            <w:tcBorders>
              <w:top w:val="single" w:sz="4" w:space="0" w:color="auto"/>
              <w:left w:val="single" w:sz="4" w:space="0" w:color="auto"/>
              <w:bottom w:val="single" w:sz="4" w:space="0" w:color="auto"/>
              <w:right w:val="single" w:sz="4" w:space="0" w:color="auto"/>
            </w:tcBorders>
            <w:vAlign w:val="center"/>
          </w:tcPr>
          <w:p w:rsidR="00AC035E" w:rsidRPr="003631C0" w:rsidRDefault="00AC035E" w:rsidP="00145C4B">
            <w:pPr>
              <w:tabs>
                <w:tab w:val="left" w:pos="1134"/>
              </w:tabs>
              <w:spacing w:before="60" w:after="60" w:line="240" w:lineRule="auto"/>
              <w:jc w:val="center"/>
              <w:rPr>
                <w:rFonts w:cs="Arial"/>
                <w:sz w:val="20"/>
              </w:rPr>
            </w:pPr>
            <w:r>
              <w:rPr>
                <w:rFonts w:cs="Arial"/>
                <w:sz w:val="20"/>
              </w:rPr>
              <w:t>5,6</w:t>
            </w:r>
          </w:p>
        </w:tc>
      </w:tr>
      <w:tr w:rsidR="00AC035E" w:rsidRPr="003631C0" w:rsidTr="00145C4B">
        <w:trPr>
          <w:trHeight w:val="387"/>
          <w:jc w:val="center"/>
        </w:trPr>
        <w:tc>
          <w:tcPr>
            <w:tcW w:w="2410" w:type="dxa"/>
            <w:tcBorders>
              <w:top w:val="single" w:sz="4" w:space="0" w:color="auto"/>
              <w:bottom w:val="single" w:sz="6" w:space="0" w:color="auto"/>
              <w:right w:val="single" w:sz="4" w:space="0" w:color="auto"/>
            </w:tcBorders>
            <w:vAlign w:val="center"/>
          </w:tcPr>
          <w:p w:rsidR="00AC035E" w:rsidRPr="003631C0" w:rsidRDefault="00AC035E" w:rsidP="0024037F">
            <w:pPr>
              <w:tabs>
                <w:tab w:val="left" w:pos="1134"/>
              </w:tabs>
              <w:spacing w:before="60" w:after="60" w:line="240" w:lineRule="auto"/>
              <w:jc w:val="left"/>
              <w:rPr>
                <w:rFonts w:cs="Arial"/>
                <w:b/>
                <w:sz w:val="20"/>
              </w:rPr>
            </w:pPr>
            <w:r w:rsidRPr="003631C0">
              <w:rPr>
                <w:rFonts w:cs="Arial"/>
                <w:b/>
                <w:sz w:val="20"/>
              </w:rPr>
              <w:t>TOTAL</w:t>
            </w:r>
          </w:p>
        </w:tc>
        <w:tc>
          <w:tcPr>
            <w:tcW w:w="1075" w:type="dxa"/>
            <w:tcBorders>
              <w:top w:val="single" w:sz="4" w:space="0" w:color="auto"/>
              <w:bottom w:val="single" w:sz="4" w:space="0" w:color="auto"/>
              <w:right w:val="single" w:sz="4" w:space="0" w:color="auto"/>
            </w:tcBorders>
            <w:vAlign w:val="center"/>
          </w:tcPr>
          <w:p w:rsidR="00AC035E" w:rsidRPr="003631C0" w:rsidRDefault="00AC035E" w:rsidP="00145C4B">
            <w:pPr>
              <w:tabs>
                <w:tab w:val="left" w:pos="1134"/>
              </w:tabs>
              <w:spacing w:before="60" w:after="60" w:line="240" w:lineRule="auto"/>
              <w:jc w:val="center"/>
              <w:rPr>
                <w:rFonts w:cs="Arial"/>
                <w:b/>
                <w:sz w:val="20"/>
              </w:rPr>
            </w:pPr>
            <w:r>
              <w:rPr>
                <w:rFonts w:cs="Arial"/>
                <w:b/>
                <w:sz w:val="20"/>
              </w:rPr>
              <w:t>202,2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C035E" w:rsidRPr="003631C0" w:rsidRDefault="00AC035E" w:rsidP="00145C4B">
            <w:pPr>
              <w:tabs>
                <w:tab w:val="left" w:pos="1134"/>
              </w:tabs>
              <w:spacing w:before="60" w:after="60" w:line="240" w:lineRule="auto"/>
              <w:jc w:val="center"/>
              <w:rPr>
                <w:rFonts w:cs="Arial"/>
                <w:b/>
                <w:sz w:val="20"/>
              </w:rPr>
            </w:pPr>
            <w:r>
              <w:rPr>
                <w:rFonts w:cs="Arial"/>
                <w:b/>
                <w:sz w:val="20"/>
              </w:rPr>
              <w:t>100,0</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b/>
                <w:sz w:val="20"/>
              </w:rPr>
            </w:pPr>
            <w:r w:rsidRPr="00145C4B">
              <w:rPr>
                <w:rFonts w:cs="Arial"/>
                <w:b/>
                <w:sz w:val="20"/>
              </w:rPr>
              <w:t>214,2</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145C4B" w:rsidP="00145C4B">
            <w:pPr>
              <w:tabs>
                <w:tab w:val="left" w:pos="1134"/>
              </w:tabs>
              <w:spacing w:before="60" w:after="60" w:line="240" w:lineRule="auto"/>
              <w:jc w:val="center"/>
              <w:rPr>
                <w:rFonts w:cs="Arial"/>
                <w:b/>
                <w:sz w:val="20"/>
              </w:rPr>
            </w:pPr>
            <w:r w:rsidRPr="00145C4B">
              <w:rPr>
                <w:rFonts w:cs="Arial"/>
                <w:b/>
                <w:sz w:val="20"/>
              </w:rPr>
              <w:t>100,0</w:t>
            </w:r>
          </w:p>
        </w:tc>
        <w:tc>
          <w:tcPr>
            <w:tcW w:w="1134" w:type="dxa"/>
            <w:tcBorders>
              <w:top w:val="single" w:sz="4" w:space="0" w:color="auto"/>
              <w:left w:val="single" w:sz="4" w:space="0" w:color="auto"/>
              <w:bottom w:val="single" w:sz="4" w:space="0" w:color="auto"/>
              <w:right w:val="single" w:sz="4" w:space="0" w:color="auto"/>
            </w:tcBorders>
            <w:vAlign w:val="center"/>
          </w:tcPr>
          <w:p w:rsidR="00AC035E" w:rsidRPr="00145C4B" w:rsidRDefault="00AC035E" w:rsidP="00145C4B">
            <w:pPr>
              <w:tabs>
                <w:tab w:val="left" w:pos="1134"/>
              </w:tabs>
              <w:spacing w:before="60" w:after="60" w:line="240" w:lineRule="auto"/>
              <w:jc w:val="center"/>
              <w:rPr>
                <w:rFonts w:cs="Arial"/>
                <w:b/>
                <w:sz w:val="20"/>
              </w:rPr>
            </w:pPr>
            <w:r w:rsidRPr="00145C4B">
              <w:rPr>
                <w:rFonts w:cs="Arial"/>
                <w:b/>
                <w:sz w:val="20"/>
              </w:rPr>
              <w:t>456,6</w:t>
            </w:r>
          </w:p>
        </w:tc>
        <w:tc>
          <w:tcPr>
            <w:tcW w:w="1164" w:type="dxa"/>
            <w:tcBorders>
              <w:top w:val="single" w:sz="4" w:space="0" w:color="auto"/>
              <w:left w:val="single" w:sz="4" w:space="0" w:color="auto"/>
              <w:bottom w:val="single" w:sz="4" w:space="0" w:color="auto"/>
              <w:right w:val="single" w:sz="4" w:space="0" w:color="auto"/>
            </w:tcBorders>
            <w:vAlign w:val="center"/>
          </w:tcPr>
          <w:p w:rsidR="00AC035E" w:rsidRPr="003631C0" w:rsidRDefault="00AC035E" w:rsidP="00145C4B">
            <w:pPr>
              <w:tabs>
                <w:tab w:val="left" w:pos="1134"/>
              </w:tabs>
              <w:spacing w:before="60" w:after="60" w:line="240" w:lineRule="auto"/>
              <w:jc w:val="center"/>
              <w:rPr>
                <w:rFonts w:cs="Arial"/>
                <w:b/>
                <w:sz w:val="20"/>
              </w:rPr>
            </w:pPr>
            <w:r>
              <w:rPr>
                <w:rFonts w:cs="Arial"/>
                <w:b/>
                <w:sz w:val="20"/>
              </w:rPr>
              <w:t>100,0</w:t>
            </w:r>
          </w:p>
        </w:tc>
      </w:tr>
    </w:tbl>
    <w:p w:rsidR="00096D99" w:rsidRPr="005047AF" w:rsidRDefault="005047AF" w:rsidP="008204B6">
      <w:pPr>
        <w:spacing w:line="240" w:lineRule="auto"/>
        <w:ind w:left="567" w:hanging="567"/>
        <w:rPr>
          <w:sz w:val="20"/>
        </w:rPr>
      </w:pPr>
      <w:r w:rsidRPr="005047AF">
        <w:rPr>
          <w:sz w:val="20"/>
        </w:rPr>
        <w:t>(*)</w:t>
      </w:r>
      <w:r w:rsidR="008204B6">
        <w:rPr>
          <w:sz w:val="20"/>
        </w:rPr>
        <w:tab/>
      </w:r>
      <w:r w:rsidRPr="005047AF">
        <w:rPr>
          <w:sz w:val="20"/>
        </w:rPr>
        <w:t xml:space="preserve">Engloba as áreas do reservatório, da faixa de 100m do entorno do reservatório e a </w:t>
      </w:r>
      <w:r w:rsidR="008D7B51">
        <w:rPr>
          <w:sz w:val="20"/>
        </w:rPr>
        <w:t>área de jusante da barragem.</w:t>
      </w:r>
    </w:p>
    <w:p w:rsidR="000000D1" w:rsidRPr="008D7B51" w:rsidRDefault="000000D1" w:rsidP="000000D1">
      <w:pPr>
        <w:spacing w:before="120" w:after="120" w:line="240" w:lineRule="auto"/>
      </w:pPr>
      <w:r w:rsidRPr="008D7B51">
        <w:t xml:space="preserve">As Terras classificada como “Terras normalmente impróprias para cultivos intensivos com culturas, mas adaptadas para o uso com pastagens e/ou reflorestamento” ocorrem em praticamente toda ADA, APP e Reservatório, como pode ser visto no Quadro </w:t>
      </w:r>
      <w:r w:rsidR="00542D7F">
        <w:t>1.3.</w:t>
      </w:r>
      <w:r w:rsidR="00B11E51">
        <w:t>30</w:t>
      </w:r>
      <w:r w:rsidR="00542D7F">
        <w:t>.</w:t>
      </w:r>
      <w:r w:rsidRPr="008D7B51">
        <w:t xml:space="preserve"> </w:t>
      </w:r>
    </w:p>
    <w:p w:rsidR="00096D99" w:rsidRDefault="00096D99" w:rsidP="00096D99">
      <w:pPr>
        <w:spacing w:line="240" w:lineRule="auto"/>
      </w:pPr>
    </w:p>
    <w:p w:rsidR="00096D99" w:rsidRPr="006F141D" w:rsidRDefault="008D3A12" w:rsidP="006F141D">
      <w:pPr>
        <w:pStyle w:val="Legenda"/>
        <w:spacing w:before="0" w:after="0" w:line="240" w:lineRule="auto"/>
        <w:jc w:val="center"/>
        <w:rPr>
          <w:b w:val="0"/>
          <w:i w:val="0"/>
        </w:rPr>
      </w:pPr>
      <w:bookmarkStart w:id="245" w:name="_Toc420316474"/>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31</w:t>
      </w:r>
      <w:r w:rsidR="00B80A05" w:rsidRPr="006F141D">
        <w:rPr>
          <w:i w:val="0"/>
        </w:rPr>
        <w:fldChar w:fldCharType="end"/>
      </w:r>
      <w:r w:rsidR="006F141D" w:rsidRPr="006F141D">
        <w:rPr>
          <w:i w:val="0"/>
        </w:rPr>
        <w:t>.</w:t>
      </w:r>
      <w:r w:rsidR="006F141D" w:rsidRPr="006F141D">
        <w:rPr>
          <w:b w:val="0"/>
          <w:i w:val="0"/>
        </w:rPr>
        <w:t xml:space="preserve"> - </w:t>
      </w:r>
      <w:r w:rsidR="00096D99" w:rsidRPr="006F141D">
        <w:rPr>
          <w:b w:val="0"/>
          <w:i w:val="0"/>
        </w:rPr>
        <w:t>Capacidade de Uso das Terras do Reservatório, da APP e da ADA da Barragem Pedreira.</w:t>
      </w:r>
      <w:bookmarkEnd w:id="245"/>
    </w:p>
    <w:tbl>
      <w:tblPr>
        <w:tblW w:w="0" w:type="auto"/>
        <w:jc w:val="center"/>
        <w:tblInd w:w="-39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
        <w:gridCol w:w="6384"/>
        <w:gridCol w:w="23"/>
        <w:gridCol w:w="969"/>
        <w:gridCol w:w="23"/>
        <w:gridCol w:w="970"/>
        <w:gridCol w:w="23"/>
        <w:gridCol w:w="996"/>
        <w:gridCol w:w="23"/>
      </w:tblGrid>
      <w:tr w:rsidR="004E392B" w:rsidTr="004E392B">
        <w:trPr>
          <w:gridAfter w:val="1"/>
          <w:wAfter w:w="23" w:type="dxa"/>
          <w:trHeight w:val="817"/>
          <w:jc w:val="center"/>
        </w:trPr>
        <w:tc>
          <w:tcPr>
            <w:tcW w:w="6407" w:type="dxa"/>
            <w:gridSpan w:val="2"/>
            <w:shd w:val="clear" w:color="auto" w:fill="D9D9D9"/>
            <w:vAlign w:val="center"/>
          </w:tcPr>
          <w:p w:rsidR="004E392B" w:rsidRPr="00CC3FF6" w:rsidRDefault="004E392B" w:rsidP="009E7FDF">
            <w:pPr>
              <w:keepNext/>
              <w:spacing w:before="120" w:after="120" w:line="240" w:lineRule="auto"/>
              <w:jc w:val="center"/>
              <w:rPr>
                <w:rFonts w:cs="Arial"/>
                <w:b/>
                <w:sz w:val="20"/>
              </w:rPr>
            </w:pPr>
            <w:r>
              <w:rPr>
                <w:rFonts w:cs="Arial"/>
                <w:b/>
                <w:sz w:val="20"/>
              </w:rPr>
              <w:t>C</w:t>
            </w:r>
            <w:r w:rsidRPr="00744E4B">
              <w:rPr>
                <w:rFonts w:cs="Arial"/>
                <w:b/>
                <w:sz w:val="20"/>
              </w:rPr>
              <w:t>apacidade de Uso das Terras</w:t>
            </w:r>
          </w:p>
        </w:tc>
        <w:tc>
          <w:tcPr>
            <w:tcW w:w="992" w:type="dxa"/>
            <w:gridSpan w:val="2"/>
            <w:shd w:val="clear" w:color="auto" w:fill="D9D9D9"/>
            <w:vAlign w:val="center"/>
          </w:tcPr>
          <w:p w:rsidR="004E392B" w:rsidRPr="00744E4B" w:rsidRDefault="004E392B" w:rsidP="004E392B">
            <w:pPr>
              <w:keepNext/>
              <w:spacing w:before="120" w:after="120" w:line="240" w:lineRule="auto"/>
              <w:jc w:val="center"/>
              <w:rPr>
                <w:b/>
              </w:rPr>
            </w:pPr>
            <w:r>
              <w:rPr>
                <w:b/>
              </w:rPr>
              <w:t>Reser-vatório</w:t>
            </w:r>
          </w:p>
        </w:tc>
        <w:tc>
          <w:tcPr>
            <w:tcW w:w="993" w:type="dxa"/>
            <w:gridSpan w:val="2"/>
            <w:shd w:val="clear" w:color="auto" w:fill="D9D9D9"/>
            <w:vAlign w:val="center"/>
          </w:tcPr>
          <w:p w:rsidR="004E392B" w:rsidRDefault="004E392B" w:rsidP="004E392B">
            <w:pPr>
              <w:keepNext/>
              <w:spacing w:before="120" w:after="120" w:line="240" w:lineRule="auto"/>
              <w:jc w:val="center"/>
              <w:rPr>
                <w:b/>
              </w:rPr>
            </w:pPr>
            <w:r>
              <w:rPr>
                <w:b/>
              </w:rPr>
              <w:t>APP</w:t>
            </w:r>
          </w:p>
        </w:tc>
        <w:tc>
          <w:tcPr>
            <w:tcW w:w="1019" w:type="dxa"/>
            <w:gridSpan w:val="2"/>
            <w:shd w:val="clear" w:color="auto" w:fill="D9D9D9"/>
            <w:vAlign w:val="center"/>
          </w:tcPr>
          <w:p w:rsidR="004E392B" w:rsidRPr="00744E4B" w:rsidRDefault="004E392B" w:rsidP="004E392B">
            <w:pPr>
              <w:keepNext/>
              <w:spacing w:before="120" w:after="120" w:line="240" w:lineRule="auto"/>
              <w:jc w:val="center"/>
              <w:rPr>
                <w:b/>
              </w:rPr>
            </w:pPr>
            <w:r w:rsidRPr="00384678">
              <w:rPr>
                <w:b/>
              </w:rPr>
              <w:t>ADA</w:t>
            </w:r>
          </w:p>
        </w:tc>
      </w:tr>
      <w:tr w:rsidR="004E392B" w:rsidRPr="00F33E21" w:rsidTr="004E392B">
        <w:trPr>
          <w:gridBefore w:val="1"/>
          <w:wBefore w:w="23" w:type="dxa"/>
          <w:trHeight w:val="759"/>
          <w:jc w:val="center"/>
        </w:trPr>
        <w:tc>
          <w:tcPr>
            <w:tcW w:w="6407" w:type="dxa"/>
            <w:gridSpan w:val="2"/>
            <w:shd w:val="clear" w:color="auto" w:fill="auto"/>
            <w:vAlign w:val="center"/>
          </w:tcPr>
          <w:p w:rsidR="004E392B" w:rsidRPr="00DE0067" w:rsidRDefault="004E392B" w:rsidP="009E7FDF">
            <w:pPr>
              <w:spacing w:line="240" w:lineRule="auto"/>
            </w:pPr>
            <w:r w:rsidRPr="00DE0067">
              <w:t>Terras passíveis de serem utilizadas com culturas anuais ou perenes (incluindo aquelas com limitações para esses usos)</w:t>
            </w:r>
          </w:p>
        </w:tc>
        <w:tc>
          <w:tcPr>
            <w:tcW w:w="992" w:type="dxa"/>
            <w:gridSpan w:val="2"/>
            <w:vAlign w:val="center"/>
          </w:tcPr>
          <w:p w:rsidR="004E392B" w:rsidRPr="00DE0067" w:rsidRDefault="004E392B" w:rsidP="004E392B">
            <w:pPr>
              <w:spacing w:before="120" w:after="120" w:line="240" w:lineRule="auto"/>
              <w:jc w:val="center"/>
            </w:pPr>
            <w:r w:rsidRPr="00DE0067">
              <w:t>16%</w:t>
            </w:r>
          </w:p>
        </w:tc>
        <w:tc>
          <w:tcPr>
            <w:tcW w:w="993" w:type="dxa"/>
            <w:gridSpan w:val="2"/>
            <w:shd w:val="clear" w:color="auto" w:fill="auto"/>
            <w:vAlign w:val="center"/>
          </w:tcPr>
          <w:p w:rsidR="004E392B" w:rsidRPr="00DE0067" w:rsidRDefault="004E392B" w:rsidP="004E392B">
            <w:pPr>
              <w:spacing w:before="120" w:after="120" w:line="240" w:lineRule="auto"/>
              <w:jc w:val="center"/>
            </w:pPr>
            <w:r w:rsidRPr="00DE0067">
              <w:t>5%</w:t>
            </w:r>
          </w:p>
        </w:tc>
        <w:tc>
          <w:tcPr>
            <w:tcW w:w="1019" w:type="dxa"/>
            <w:gridSpan w:val="2"/>
            <w:vAlign w:val="center"/>
          </w:tcPr>
          <w:p w:rsidR="004E392B" w:rsidRPr="00DE0067" w:rsidRDefault="004E392B" w:rsidP="004E392B">
            <w:pPr>
              <w:spacing w:before="120" w:after="120" w:line="240" w:lineRule="auto"/>
              <w:jc w:val="center"/>
            </w:pPr>
            <w:r w:rsidRPr="00DE0067">
              <w:t>9%</w:t>
            </w:r>
          </w:p>
        </w:tc>
      </w:tr>
      <w:tr w:rsidR="004E392B" w:rsidRPr="00F33E21" w:rsidTr="004E392B">
        <w:trPr>
          <w:gridBefore w:val="1"/>
          <w:wBefore w:w="23" w:type="dxa"/>
          <w:trHeight w:val="759"/>
          <w:jc w:val="center"/>
        </w:trPr>
        <w:tc>
          <w:tcPr>
            <w:tcW w:w="6407" w:type="dxa"/>
            <w:gridSpan w:val="2"/>
            <w:shd w:val="clear" w:color="auto" w:fill="auto"/>
            <w:vAlign w:val="center"/>
          </w:tcPr>
          <w:p w:rsidR="004E392B" w:rsidRPr="00DE0067" w:rsidRDefault="004E392B" w:rsidP="009E7FDF">
            <w:pPr>
              <w:spacing w:line="240" w:lineRule="auto"/>
            </w:pPr>
            <w:r w:rsidRPr="00DE0067">
              <w:t>Terras normalmente impróprias para cultivos intensivos com culturas, mas adaptadas para uso com pastagem e/ou reflorestamento</w:t>
            </w:r>
          </w:p>
        </w:tc>
        <w:tc>
          <w:tcPr>
            <w:tcW w:w="992" w:type="dxa"/>
            <w:gridSpan w:val="2"/>
            <w:vAlign w:val="center"/>
          </w:tcPr>
          <w:p w:rsidR="004E392B" w:rsidRPr="00DE0067" w:rsidRDefault="004E392B" w:rsidP="004E392B">
            <w:pPr>
              <w:spacing w:before="120" w:after="120" w:line="240" w:lineRule="auto"/>
              <w:jc w:val="center"/>
            </w:pPr>
            <w:r w:rsidRPr="00DE0067">
              <w:t>84%</w:t>
            </w:r>
          </w:p>
        </w:tc>
        <w:tc>
          <w:tcPr>
            <w:tcW w:w="993" w:type="dxa"/>
            <w:gridSpan w:val="2"/>
            <w:shd w:val="clear" w:color="auto" w:fill="auto"/>
            <w:vAlign w:val="center"/>
          </w:tcPr>
          <w:p w:rsidR="004E392B" w:rsidRPr="00DE0067" w:rsidRDefault="004E392B" w:rsidP="004E392B">
            <w:pPr>
              <w:spacing w:before="120" w:after="120" w:line="240" w:lineRule="auto"/>
              <w:jc w:val="center"/>
            </w:pPr>
            <w:r w:rsidRPr="00DE0067">
              <w:t>95 %</w:t>
            </w:r>
          </w:p>
        </w:tc>
        <w:tc>
          <w:tcPr>
            <w:tcW w:w="1019" w:type="dxa"/>
            <w:gridSpan w:val="2"/>
            <w:vAlign w:val="center"/>
          </w:tcPr>
          <w:p w:rsidR="004E392B" w:rsidRPr="00DE0067" w:rsidRDefault="004E392B" w:rsidP="004E392B">
            <w:pPr>
              <w:spacing w:before="120" w:after="120" w:line="240" w:lineRule="auto"/>
              <w:jc w:val="center"/>
            </w:pPr>
            <w:r w:rsidRPr="00DE0067">
              <w:t>91 %</w:t>
            </w:r>
          </w:p>
        </w:tc>
      </w:tr>
      <w:tr w:rsidR="004E392B" w:rsidRPr="00F33E21" w:rsidTr="004E392B">
        <w:trPr>
          <w:gridBefore w:val="1"/>
          <w:wBefore w:w="23" w:type="dxa"/>
          <w:trHeight w:val="759"/>
          <w:jc w:val="center"/>
        </w:trPr>
        <w:tc>
          <w:tcPr>
            <w:tcW w:w="6407" w:type="dxa"/>
            <w:gridSpan w:val="2"/>
            <w:shd w:val="clear" w:color="auto" w:fill="auto"/>
            <w:vAlign w:val="center"/>
          </w:tcPr>
          <w:p w:rsidR="004E392B" w:rsidRPr="00DE0067" w:rsidRDefault="004E392B" w:rsidP="009E7FDF">
            <w:pPr>
              <w:spacing w:line="240" w:lineRule="auto"/>
            </w:pPr>
            <w:r w:rsidRPr="00DE0067">
              <w:t>Terras não adaptadas para uso com culturas, pastagens ou reflorestamento</w:t>
            </w:r>
          </w:p>
        </w:tc>
        <w:tc>
          <w:tcPr>
            <w:tcW w:w="992" w:type="dxa"/>
            <w:gridSpan w:val="2"/>
            <w:vAlign w:val="center"/>
          </w:tcPr>
          <w:p w:rsidR="004E392B" w:rsidRPr="00DE0067" w:rsidRDefault="004E392B" w:rsidP="004E392B">
            <w:pPr>
              <w:spacing w:before="120" w:after="120" w:line="240" w:lineRule="auto"/>
              <w:jc w:val="center"/>
            </w:pPr>
            <w:r w:rsidRPr="00DE0067">
              <w:t>0,2%</w:t>
            </w:r>
          </w:p>
        </w:tc>
        <w:tc>
          <w:tcPr>
            <w:tcW w:w="993" w:type="dxa"/>
            <w:gridSpan w:val="2"/>
            <w:shd w:val="clear" w:color="auto" w:fill="auto"/>
            <w:vAlign w:val="center"/>
          </w:tcPr>
          <w:p w:rsidR="004E392B" w:rsidRPr="00DE0067" w:rsidRDefault="004E392B" w:rsidP="004E392B">
            <w:pPr>
              <w:spacing w:before="120" w:after="120" w:line="240" w:lineRule="auto"/>
              <w:jc w:val="center"/>
            </w:pPr>
            <w:r w:rsidRPr="00DE0067">
              <w:t>0,1%</w:t>
            </w:r>
          </w:p>
        </w:tc>
        <w:tc>
          <w:tcPr>
            <w:tcW w:w="1019" w:type="dxa"/>
            <w:gridSpan w:val="2"/>
            <w:vAlign w:val="center"/>
          </w:tcPr>
          <w:p w:rsidR="004E392B" w:rsidRPr="00DE0067" w:rsidRDefault="004E392B" w:rsidP="004E392B">
            <w:pPr>
              <w:spacing w:before="120" w:after="120" w:line="240" w:lineRule="auto"/>
              <w:jc w:val="center"/>
            </w:pPr>
            <w:r w:rsidRPr="00DE0067">
              <w:t>0,1%</w:t>
            </w:r>
          </w:p>
        </w:tc>
      </w:tr>
      <w:tr w:rsidR="004E392B" w:rsidRPr="00F33E21" w:rsidTr="004E392B">
        <w:trPr>
          <w:gridBefore w:val="1"/>
          <w:wBefore w:w="23" w:type="dxa"/>
          <w:trHeight w:val="493"/>
          <w:jc w:val="center"/>
        </w:trPr>
        <w:tc>
          <w:tcPr>
            <w:tcW w:w="6407" w:type="dxa"/>
            <w:gridSpan w:val="2"/>
            <w:shd w:val="clear" w:color="auto" w:fill="auto"/>
            <w:vAlign w:val="center"/>
          </w:tcPr>
          <w:p w:rsidR="004E392B" w:rsidRPr="00DE0067" w:rsidRDefault="004E392B" w:rsidP="009E7FDF">
            <w:pPr>
              <w:spacing w:line="240" w:lineRule="auto"/>
            </w:pPr>
            <w:r w:rsidRPr="00DE0067">
              <w:t>Total das Terras</w:t>
            </w:r>
          </w:p>
        </w:tc>
        <w:tc>
          <w:tcPr>
            <w:tcW w:w="992" w:type="dxa"/>
            <w:gridSpan w:val="2"/>
            <w:vAlign w:val="center"/>
          </w:tcPr>
          <w:p w:rsidR="004E392B" w:rsidRPr="00DE0067" w:rsidRDefault="004E392B" w:rsidP="004E392B">
            <w:pPr>
              <w:spacing w:before="120" w:after="120" w:line="240" w:lineRule="auto"/>
              <w:jc w:val="center"/>
            </w:pPr>
            <w:r w:rsidRPr="00DE0067">
              <w:t>100%</w:t>
            </w:r>
          </w:p>
        </w:tc>
        <w:tc>
          <w:tcPr>
            <w:tcW w:w="993" w:type="dxa"/>
            <w:gridSpan w:val="2"/>
            <w:shd w:val="clear" w:color="auto" w:fill="auto"/>
            <w:vAlign w:val="center"/>
          </w:tcPr>
          <w:p w:rsidR="004E392B" w:rsidRPr="00DE0067" w:rsidRDefault="004E392B" w:rsidP="004E392B">
            <w:pPr>
              <w:spacing w:before="120" w:after="120" w:line="240" w:lineRule="auto"/>
              <w:jc w:val="center"/>
            </w:pPr>
            <w:r w:rsidRPr="00DE0067">
              <w:t>100%</w:t>
            </w:r>
          </w:p>
        </w:tc>
        <w:tc>
          <w:tcPr>
            <w:tcW w:w="1019" w:type="dxa"/>
            <w:gridSpan w:val="2"/>
            <w:vAlign w:val="center"/>
          </w:tcPr>
          <w:p w:rsidR="004E392B" w:rsidRPr="00DE0067" w:rsidRDefault="004E392B" w:rsidP="004E392B">
            <w:pPr>
              <w:spacing w:before="120" w:after="120" w:line="240" w:lineRule="auto"/>
              <w:jc w:val="center"/>
            </w:pPr>
            <w:r w:rsidRPr="00DE0067">
              <w:t>100%</w:t>
            </w:r>
          </w:p>
        </w:tc>
      </w:tr>
    </w:tbl>
    <w:p w:rsidR="00B635BB" w:rsidRDefault="00B635BB" w:rsidP="00B635BB">
      <w:pPr>
        <w:spacing w:before="120" w:after="120" w:line="240" w:lineRule="auto"/>
      </w:pPr>
      <w:r w:rsidRPr="00DE0067">
        <w:t>Como o percentual de “Terras passíveis de serem utilizadas com culturas anuais ou perenes (incluindo aquelas com limitações para esses usos)” representa apenas 16% das terras do reservatório</w:t>
      </w:r>
      <w:r w:rsidR="004E392B" w:rsidRPr="00DE0067">
        <w:t>, 5% da APP</w:t>
      </w:r>
      <w:r w:rsidRPr="00DE0067">
        <w:t xml:space="preserve"> e 9% da ADA, considera-se que o impacto da Perda dos Solos com Potencial Agrícola é pequeno e de importância baixa, local, se restringindo a ADA, permanente, de ocorrência certa no final da implantação do projeto com o enchimento do Reservatório</w:t>
      </w:r>
      <w:r w:rsidR="00D05B30">
        <w:t xml:space="preserve"> da Barragem Pedreira</w:t>
      </w:r>
      <w:r w:rsidRPr="00DE0067">
        <w:t>. O impacto é não mitigável.</w:t>
      </w:r>
    </w:p>
    <w:p w:rsidR="00E155C0" w:rsidRDefault="00E155C0" w:rsidP="00B635BB">
      <w:pPr>
        <w:spacing w:before="120" w:after="120" w:line="240" w:lineRule="auto"/>
      </w:pPr>
    </w:p>
    <w:p w:rsidR="005B31B8" w:rsidRPr="008204B6" w:rsidRDefault="00B52FDC" w:rsidP="008204B6">
      <w:pPr>
        <w:pStyle w:val="Item-Trainho"/>
        <w:rPr>
          <w:b/>
        </w:rPr>
      </w:pPr>
      <w:r w:rsidRPr="008204B6">
        <w:rPr>
          <w:b/>
        </w:rPr>
        <w:t>Barragem Duas Pontes</w:t>
      </w:r>
    </w:p>
    <w:p w:rsidR="00B635BB" w:rsidRDefault="00B635BB" w:rsidP="00B635BB">
      <w:pPr>
        <w:spacing w:before="120" w:after="120" w:line="240" w:lineRule="auto"/>
      </w:pPr>
      <w:r>
        <w:t>O Reservatório da Barragem Duas Pontes tem uma situação um pouco diferente, pois na região ocorrem extensões significativas de culturas</w:t>
      </w:r>
      <w:r w:rsidR="00DE0067">
        <w:t xml:space="preserve"> (com</w:t>
      </w:r>
      <w:r>
        <w:t xml:space="preserve"> </w:t>
      </w:r>
      <w:r w:rsidR="00DE0067">
        <w:t>predomínio d</w:t>
      </w:r>
      <w:r>
        <w:t xml:space="preserve">a </w:t>
      </w:r>
      <w:r w:rsidR="00141B2A">
        <w:t>cana-de-açúcar</w:t>
      </w:r>
      <w:r w:rsidR="00DE0067">
        <w:t>)</w:t>
      </w:r>
      <w:r>
        <w:t xml:space="preserve">, </w:t>
      </w:r>
      <w:r w:rsidRPr="009A57BC">
        <w:t xml:space="preserve">ocupando </w:t>
      </w:r>
      <w:r w:rsidRPr="00F301A7">
        <w:t>22%</w:t>
      </w:r>
      <w:r w:rsidR="006C7C4A">
        <w:t>, coincidentemente,</w:t>
      </w:r>
      <w:r w:rsidRPr="00F301A7">
        <w:t xml:space="preserve"> </w:t>
      </w:r>
      <w:r w:rsidR="00D74313">
        <w:t xml:space="preserve">tanto </w:t>
      </w:r>
      <w:r w:rsidRPr="00F301A7">
        <w:t xml:space="preserve">da AID e </w:t>
      </w:r>
      <w:r w:rsidR="00D74313">
        <w:t>como</w:t>
      </w:r>
      <w:r w:rsidRPr="00DE0067">
        <w:t xml:space="preserve"> da ADA.</w:t>
      </w:r>
    </w:p>
    <w:p w:rsidR="00B635BB" w:rsidRPr="006F141D" w:rsidRDefault="00B635BB" w:rsidP="00B635BB">
      <w:pPr>
        <w:spacing w:before="120" w:after="120" w:line="240" w:lineRule="auto"/>
      </w:pPr>
      <w:r w:rsidRPr="00E166AB">
        <w:t xml:space="preserve">O Reservatório engloba uma área de </w:t>
      </w:r>
      <w:r w:rsidR="007C25B7" w:rsidRPr="00E166AB">
        <w:t>48</w:t>
      </w:r>
      <w:r w:rsidR="007C25B7">
        <w:t>6</w:t>
      </w:r>
      <w:r w:rsidRPr="00E166AB">
        <w:t xml:space="preserve"> ha, ocupada predominantemente por pastagens, matas nativas e culturas como pode ser visto </w:t>
      </w:r>
      <w:r w:rsidRPr="006F141D">
        <w:t xml:space="preserve">no Quadro </w:t>
      </w:r>
      <w:r w:rsidR="00542D7F" w:rsidRPr="006F141D">
        <w:t>1.3.</w:t>
      </w:r>
      <w:r w:rsidR="00B11E51" w:rsidRPr="006F141D">
        <w:t>31</w:t>
      </w:r>
      <w:r w:rsidR="00542D7F" w:rsidRPr="006F141D">
        <w:t>.</w:t>
      </w:r>
    </w:p>
    <w:p w:rsidR="00096D99" w:rsidRPr="006F141D" w:rsidRDefault="008D3A12" w:rsidP="006F141D">
      <w:pPr>
        <w:pStyle w:val="Legenda"/>
        <w:jc w:val="center"/>
        <w:rPr>
          <w:b w:val="0"/>
          <w:i w:val="0"/>
        </w:rPr>
      </w:pPr>
      <w:bookmarkStart w:id="246" w:name="_Toc420316475"/>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32</w:t>
      </w:r>
      <w:r w:rsidR="00B80A05" w:rsidRPr="006F141D">
        <w:rPr>
          <w:i w:val="0"/>
        </w:rPr>
        <w:fldChar w:fldCharType="end"/>
      </w:r>
      <w:r w:rsidR="006F141D" w:rsidRPr="006F141D">
        <w:rPr>
          <w:i w:val="0"/>
        </w:rPr>
        <w:t>.</w:t>
      </w:r>
      <w:r w:rsidR="006F141D" w:rsidRPr="006F141D">
        <w:rPr>
          <w:b w:val="0"/>
          <w:i w:val="0"/>
        </w:rPr>
        <w:t xml:space="preserve"> - </w:t>
      </w:r>
      <w:r w:rsidR="00096D99" w:rsidRPr="006F141D">
        <w:rPr>
          <w:b w:val="0"/>
          <w:i w:val="0"/>
        </w:rPr>
        <w:t>Vegetação e Uso do Solo do Reservatório e da ADA – Duas Pontes</w:t>
      </w:r>
      <w:bookmarkEnd w:id="246"/>
    </w:p>
    <w:tbl>
      <w:tblPr>
        <w:tblW w:w="9406" w:type="dxa"/>
        <w:jc w:val="center"/>
        <w:tblInd w:w="793" w:type="dxa"/>
        <w:tblBorders>
          <w:top w:val="single" w:sz="6" w:space="0" w:color="auto"/>
          <w:left w:val="single" w:sz="6" w:space="0" w:color="auto"/>
          <w:bottom w:val="single" w:sz="6" w:space="0" w:color="auto"/>
          <w:right w:val="single" w:sz="6" w:space="0" w:color="auto"/>
        </w:tblBorders>
        <w:tblLayout w:type="fixed"/>
        <w:tblCellMar>
          <w:left w:w="71" w:type="dxa"/>
          <w:right w:w="71" w:type="dxa"/>
        </w:tblCellMar>
        <w:tblLook w:val="0000" w:firstRow="0" w:lastRow="0" w:firstColumn="0" w:lastColumn="0" w:noHBand="0" w:noVBand="0"/>
      </w:tblPr>
      <w:tblGrid>
        <w:gridCol w:w="2578"/>
        <w:gridCol w:w="1138"/>
        <w:gridCol w:w="1138"/>
        <w:gridCol w:w="1138"/>
        <w:gridCol w:w="1138"/>
        <w:gridCol w:w="1138"/>
        <w:gridCol w:w="1138"/>
      </w:tblGrid>
      <w:tr w:rsidR="005B31B8" w:rsidRPr="003631C0" w:rsidTr="008649E4">
        <w:trPr>
          <w:trHeight w:val="554"/>
          <w:jc w:val="center"/>
        </w:trPr>
        <w:tc>
          <w:tcPr>
            <w:tcW w:w="2578" w:type="dxa"/>
            <w:vMerge w:val="restart"/>
            <w:tcBorders>
              <w:top w:val="single" w:sz="6" w:space="0" w:color="auto"/>
              <w:right w:val="single" w:sz="4" w:space="0" w:color="auto"/>
            </w:tcBorders>
            <w:shd w:val="clear" w:color="auto" w:fill="D9D9D9"/>
            <w:vAlign w:val="center"/>
          </w:tcPr>
          <w:p w:rsidR="005B31B8" w:rsidRPr="003631C0" w:rsidRDefault="005B31B8" w:rsidP="0024037F">
            <w:pPr>
              <w:tabs>
                <w:tab w:val="left" w:pos="1134"/>
              </w:tabs>
              <w:spacing w:before="120" w:after="120" w:line="240" w:lineRule="auto"/>
              <w:jc w:val="center"/>
              <w:rPr>
                <w:rFonts w:cs="Arial"/>
                <w:b/>
                <w:sz w:val="20"/>
              </w:rPr>
            </w:pPr>
            <w:r>
              <w:rPr>
                <w:rFonts w:cs="Arial"/>
                <w:b/>
                <w:sz w:val="20"/>
              </w:rPr>
              <w:t>Vegetação e Uso do Solo</w:t>
            </w:r>
          </w:p>
        </w:tc>
        <w:tc>
          <w:tcPr>
            <w:tcW w:w="2276" w:type="dxa"/>
            <w:gridSpan w:val="2"/>
            <w:tcBorders>
              <w:top w:val="single" w:sz="4" w:space="0" w:color="auto"/>
              <w:bottom w:val="single" w:sz="4" w:space="0" w:color="auto"/>
              <w:right w:val="single" w:sz="4" w:space="0" w:color="auto"/>
            </w:tcBorders>
            <w:shd w:val="clear" w:color="auto" w:fill="D9D9D9"/>
            <w:vAlign w:val="center"/>
          </w:tcPr>
          <w:p w:rsidR="005B31B8" w:rsidRPr="003631C0" w:rsidRDefault="005B31B8" w:rsidP="0024037F">
            <w:pPr>
              <w:tabs>
                <w:tab w:val="left" w:pos="1134"/>
              </w:tabs>
              <w:spacing w:line="240" w:lineRule="auto"/>
              <w:jc w:val="center"/>
              <w:rPr>
                <w:rFonts w:cs="Arial"/>
                <w:b/>
                <w:sz w:val="20"/>
              </w:rPr>
            </w:pPr>
            <w:r>
              <w:rPr>
                <w:rFonts w:cs="Arial"/>
                <w:b/>
                <w:sz w:val="20"/>
              </w:rPr>
              <w:t>Reservatório</w:t>
            </w:r>
            <w:r w:rsidRPr="003631C0">
              <w:rPr>
                <w:rFonts w:cs="Arial"/>
                <w:b/>
                <w:sz w:val="20"/>
              </w:rPr>
              <w:t xml:space="preserve"> </w:t>
            </w:r>
          </w:p>
        </w:tc>
        <w:tc>
          <w:tcPr>
            <w:tcW w:w="2276" w:type="dxa"/>
            <w:gridSpan w:val="2"/>
            <w:tcBorders>
              <w:top w:val="single" w:sz="4" w:space="0" w:color="auto"/>
              <w:bottom w:val="single" w:sz="4" w:space="0" w:color="auto"/>
              <w:right w:val="single" w:sz="4" w:space="0" w:color="auto"/>
            </w:tcBorders>
            <w:shd w:val="clear" w:color="auto" w:fill="D9D9D9"/>
            <w:vAlign w:val="center"/>
          </w:tcPr>
          <w:p w:rsidR="005B31B8" w:rsidRPr="00767C6E" w:rsidRDefault="005B31B8" w:rsidP="005B31B8">
            <w:pPr>
              <w:tabs>
                <w:tab w:val="left" w:pos="1134"/>
              </w:tabs>
              <w:spacing w:line="240" w:lineRule="auto"/>
              <w:jc w:val="center"/>
              <w:rPr>
                <w:rFonts w:cs="Arial"/>
                <w:b/>
                <w:sz w:val="20"/>
              </w:rPr>
            </w:pPr>
            <w:r>
              <w:rPr>
                <w:rFonts w:cs="Arial"/>
                <w:b/>
                <w:sz w:val="20"/>
              </w:rPr>
              <w:t>Área de Preservação Permanente (APP)</w:t>
            </w:r>
          </w:p>
        </w:tc>
        <w:tc>
          <w:tcPr>
            <w:tcW w:w="227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5B31B8" w:rsidRPr="00767C6E" w:rsidRDefault="005B31B8" w:rsidP="0024037F">
            <w:pPr>
              <w:tabs>
                <w:tab w:val="left" w:pos="1134"/>
              </w:tabs>
              <w:spacing w:line="240" w:lineRule="auto"/>
              <w:jc w:val="center"/>
              <w:rPr>
                <w:rFonts w:cs="Arial"/>
                <w:b/>
                <w:sz w:val="20"/>
              </w:rPr>
            </w:pPr>
            <w:r w:rsidRPr="00767C6E">
              <w:rPr>
                <w:rFonts w:cs="Arial"/>
                <w:b/>
                <w:sz w:val="20"/>
              </w:rPr>
              <w:t>Área Diretamente Afetada (ADA)</w:t>
            </w:r>
            <w:r>
              <w:rPr>
                <w:rFonts w:cs="Arial"/>
                <w:b/>
                <w:sz w:val="20"/>
              </w:rPr>
              <w:t xml:space="preserve"> (*)</w:t>
            </w:r>
          </w:p>
        </w:tc>
      </w:tr>
      <w:tr w:rsidR="005B31B8" w:rsidRPr="003631C0" w:rsidTr="008649E4">
        <w:trPr>
          <w:trHeight w:val="407"/>
          <w:jc w:val="center"/>
        </w:trPr>
        <w:tc>
          <w:tcPr>
            <w:tcW w:w="2578" w:type="dxa"/>
            <w:vMerge/>
            <w:tcBorders>
              <w:bottom w:val="single" w:sz="4" w:space="0" w:color="auto"/>
              <w:right w:val="single" w:sz="4" w:space="0" w:color="auto"/>
            </w:tcBorders>
            <w:shd w:val="clear" w:color="auto" w:fill="D9D9D9"/>
            <w:vAlign w:val="center"/>
          </w:tcPr>
          <w:p w:rsidR="005B31B8" w:rsidRDefault="005B31B8" w:rsidP="0024037F">
            <w:pPr>
              <w:tabs>
                <w:tab w:val="left" w:pos="1134"/>
              </w:tabs>
              <w:spacing w:before="120" w:after="120" w:line="240" w:lineRule="auto"/>
              <w:jc w:val="center"/>
              <w:rPr>
                <w:rFonts w:cs="Arial"/>
                <w:b/>
                <w:sz w:val="20"/>
              </w:rPr>
            </w:pPr>
          </w:p>
        </w:tc>
        <w:tc>
          <w:tcPr>
            <w:tcW w:w="1138" w:type="dxa"/>
            <w:tcBorders>
              <w:top w:val="single" w:sz="4" w:space="0" w:color="auto"/>
              <w:bottom w:val="single" w:sz="4" w:space="0" w:color="auto"/>
              <w:right w:val="single" w:sz="4" w:space="0" w:color="auto"/>
            </w:tcBorders>
            <w:shd w:val="clear" w:color="auto" w:fill="D9D9D9"/>
            <w:vAlign w:val="center"/>
          </w:tcPr>
          <w:p w:rsidR="005B31B8" w:rsidRPr="003631C0" w:rsidRDefault="005B31B8" w:rsidP="0024037F">
            <w:pPr>
              <w:tabs>
                <w:tab w:val="left" w:pos="1134"/>
              </w:tabs>
              <w:spacing w:before="120" w:after="120" w:line="240" w:lineRule="auto"/>
              <w:jc w:val="center"/>
              <w:rPr>
                <w:rFonts w:cs="Arial"/>
                <w:b/>
                <w:sz w:val="20"/>
              </w:rPr>
            </w:pPr>
            <w:r>
              <w:rPr>
                <w:rFonts w:cs="Arial"/>
                <w:b/>
                <w:sz w:val="20"/>
              </w:rPr>
              <w:t>Área (ha)</w:t>
            </w:r>
          </w:p>
        </w:tc>
        <w:tc>
          <w:tcPr>
            <w:tcW w:w="1138" w:type="dxa"/>
            <w:tcBorders>
              <w:top w:val="single" w:sz="4" w:space="0" w:color="auto"/>
              <w:left w:val="single" w:sz="4" w:space="0" w:color="auto"/>
              <w:bottom w:val="single" w:sz="4" w:space="0" w:color="auto"/>
              <w:right w:val="single" w:sz="4" w:space="0" w:color="auto"/>
            </w:tcBorders>
            <w:shd w:val="clear" w:color="auto" w:fill="D9D9D9"/>
            <w:vAlign w:val="center"/>
          </w:tcPr>
          <w:p w:rsidR="005B31B8" w:rsidRPr="003631C0" w:rsidRDefault="005B31B8" w:rsidP="0024037F">
            <w:pPr>
              <w:tabs>
                <w:tab w:val="left" w:pos="1134"/>
              </w:tabs>
              <w:spacing w:line="240" w:lineRule="auto"/>
              <w:jc w:val="center"/>
              <w:rPr>
                <w:rFonts w:cs="Arial"/>
                <w:b/>
                <w:sz w:val="20"/>
              </w:rPr>
            </w:pPr>
            <w:r>
              <w:rPr>
                <w:rFonts w:cs="Arial"/>
                <w:b/>
                <w:sz w:val="20"/>
              </w:rPr>
              <w:t>% do total</w:t>
            </w:r>
          </w:p>
        </w:tc>
        <w:tc>
          <w:tcPr>
            <w:tcW w:w="1138" w:type="dxa"/>
            <w:tcBorders>
              <w:top w:val="single" w:sz="4" w:space="0" w:color="auto"/>
              <w:left w:val="single" w:sz="4" w:space="0" w:color="auto"/>
              <w:bottom w:val="single" w:sz="4" w:space="0" w:color="auto"/>
              <w:right w:val="single" w:sz="4" w:space="0" w:color="auto"/>
            </w:tcBorders>
            <w:shd w:val="clear" w:color="auto" w:fill="D9D9D9"/>
            <w:vAlign w:val="center"/>
          </w:tcPr>
          <w:p w:rsidR="005B31B8" w:rsidRPr="003631C0" w:rsidRDefault="005B31B8" w:rsidP="00E87066">
            <w:pPr>
              <w:tabs>
                <w:tab w:val="left" w:pos="1134"/>
              </w:tabs>
              <w:spacing w:before="120" w:after="120" w:line="240" w:lineRule="auto"/>
              <w:jc w:val="center"/>
              <w:rPr>
                <w:rFonts w:cs="Arial"/>
                <w:b/>
                <w:sz w:val="20"/>
              </w:rPr>
            </w:pPr>
            <w:r>
              <w:rPr>
                <w:rFonts w:cs="Arial"/>
                <w:b/>
                <w:sz w:val="20"/>
              </w:rPr>
              <w:t>Área (ha)</w:t>
            </w:r>
          </w:p>
        </w:tc>
        <w:tc>
          <w:tcPr>
            <w:tcW w:w="1138" w:type="dxa"/>
            <w:tcBorders>
              <w:top w:val="single" w:sz="4" w:space="0" w:color="auto"/>
              <w:left w:val="single" w:sz="4" w:space="0" w:color="auto"/>
              <w:bottom w:val="single" w:sz="4" w:space="0" w:color="auto"/>
              <w:right w:val="single" w:sz="4" w:space="0" w:color="auto"/>
            </w:tcBorders>
            <w:shd w:val="clear" w:color="auto" w:fill="D9D9D9"/>
            <w:vAlign w:val="center"/>
          </w:tcPr>
          <w:p w:rsidR="005B31B8" w:rsidRPr="003631C0" w:rsidRDefault="005B31B8" w:rsidP="00E87066">
            <w:pPr>
              <w:tabs>
                <w:tab w:val="left" w:pos="1134"/>
              </w:tabs>
              <w:spacing w:line="240" w:lineRule="auto"/>
              <w:jc w:val="center"/>
              <w:rPr>
                <w:rFonts w:cs="Arial"/>
                <w:b/>
                <w:sz w:val="20"/>
              </w:rPr>
            </w:pPr>
            <w:r>
              <w:rPr>
                <w:rFonts w:cs="Arial"/>
                <w:b/>
                <w:sz w:val="20"/>
              </w:rPr>
              <w:t>% do total</w:t>
            </w:r>
          </w:p>
        </w:tc>
        <w:tc>
          <w:tcPr>
            <w:tcW w:w="1138" w:type="dxa"/>
            <w:tcBorders>
              <w:top w:val="single" w:sz="4" w:space="0" w:color="auto"/>
              <w:left w:val="single" w:sz="4" w:space="0" w:color="auto"/>
              <w:bottom w:val="single" w:sz="4" w:space="0" w:color="auto"/>
              <w:right w:val="single" w:sz="4" w:space="0" w:color="auto"/>
            </w:tcBorders>
            <w:shd w:val="clear" w:color="auto" w:fill="D9D9D9"/>
            <w:vAlign w:val="center"/>
          </w:tcPr>
          <w:p w:rsidR="005B31B8" w:rsidRPr="00767C6E" w:rsidRDefault="005B31B8" w:rsidP="0024037F">
            <w:pPr>
              <w:tabs>
                <w:tab w:val="left" w:pos="1134"/>
              </w:tabs>
              <w:spacing w:line="240" w:lineRule="auto"/>
              <w:jc w:val="center"/>
              <w:rPr>
                <w:rFonts w:cs="Arial"/>
                <w:b/>
                <w:sz w:val="20"/>
              </w:rPr>
            </w:pPr>
            <w:r w:rsidRPr="00767C6E">
              <w:rPr>
                <w:rFonts w:cs="Arial"/>
                <w:b/>
                <w:sz w:val="20"/>
              </w:rPr>
              <w:t>Área (ha)</w:t>
            </w:r>
          </w:p>
        </w:tc>
        <w:tc>
          <w:tcPr>
            <w:tcW w:w="1138" w:type="dxa"/>
            <w:tcBorders>
              <w:top w:val="single" w:sz="4" w:space="0" w:color="auto"/>
              <w:left w:val="single" w:sz="4" w:space="0" w:color="auto"/>
              <w:bottom w:val="single" w:sz="4" w:space="0" w:color="auto"/>
              <w:right w:val="single" w:sz="4" w:space="0" w:color="auto"/>
            </w:tcBorders>
            <w:shd w:val="clear" w:color="auto" w:fill="D9D9D9"/>
            <w:vAlign w:val="center"/>
          </w:tcPr>
          <w:p w:rsidR="005B31B8" w:rsidRPr="00767C6E" w:rsidRDefault="005B31B8" w:rsidP="0024037F">
            <w:pPr>
              <w:tabs>
                <w:tab w:val="left" w:pos="1134"/>
              </w:tabs>
              <w:spacing w:line="240" w:lineRule="auto"/>
              <w:jc w:val="center"/>
              <w:rPr>
                <w:rFonts w:cs="Arial"/>
                <w:b/>
                <w:sz w:val="20"/>
              </w:rPr>
            </w:pPr>
            <w:r w:rsidRPr="00767C6E">
              <w:rPr>
                <w:rFonts w:cs="Arial"/>
                <w:b/>
                <w:sz w:val="20"/>
              </w:rPr>
              <w:t>% do total</w:t>
            </w:r>
          </w:p>
        </w:tc>
      </w:tr>
      <w:tr w:rsidR="005B31B8" w:rsidRPr="00E3617C" w:rsidTr="008649E4">
        <w:trPr>
          <w:trHeight w:val="388"/>
          <w:jc w:val="center"/>
        </w:trPr>
        <w:tc>
          <w:tcPr>
            <w:tcW w:w="257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24037F">
            <w:pPr>
              <w:tabs>
                <w:tab w:val="left" w:pos="1134"/>
              </w:tabs>
              <w:spacing w:before="60" w:after="60" w:line="240" w:lineRule="auto"/>
              <w:jc w:val="left"/>
              <w:rPr>
                <w:rFonts w:cs="Arial"/>
                <w:sz w:val="20"/>
              </w:rPr>
            </w:pPr>
            <w:r w:rsidRPr="00E3617C">
              <w:rPr>
                <w:rFonts w:cs="Arial"/>
                <w:sz w:val="20"/>
              </w:rPr>
              <w:t>Pastagens</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8A7364">
            <w:pPr>
              <w:tabs>
                <w:tab w:val="left" w:pos="1134"/>
              </w:tabs>
              <w:spacing w:before="60" w:after="60" w:line="240" w:lineRule="auto"/>
              <w:jc w:val="center"/>
              <w:rPr>
                <w:rFonts w:cs="Arial"/>
                <w:sz w:val="20"/>
              </w:rPr>
            </w:pPr>
            <w:r w:rsidRPr="00E3617C">
              <w:rPr>
                <w:rFonts w:cs="Arial"/>
                <w:sz w:val="20"/>
              </w:rPr>
              <w:t>212,</w:t>
            </w:r>
            <w:r w:rsidR="00B44D88" w:rsidRPr="00E3617C">
              <w:rPr>
                <w:rFonts w:cs="Arial"/>
                <w:sz w:val="20"/>
              </w:rPr>
              <w:t>0</w:t>
            </w: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tcPr>
          <w:p w:rsidR="005B31B8" w:rsidRPr="00E3617C" w:rsidRDefault="005B31B8" w:rsidP="008A7364">
            <w:pPr>
              <w:tabs>
                <w:tab w:val="left" w:pos="1134"/>
              </w:tabs>
              <w:spacing w:before="60" w:after="60" w:line="240" w:lineRule="auto"/>
              <w:jc w:val="center"/>
              <w:rPr>
                <w:rFonts w:cs="Arial"/>
                <w:sz w:val="20"/>
              </w:rPr>
            </w:pPr>
            <w:r w:rsidRPr="00E3617C">
              <w:rPr>
                <w:rFonts w:cs="Arial"/>
                <w:sz w:val="20"/>
              </w:rPr>
              <w:t>43,</w:t>
            </w:r>
            <w:r w:rsidR="00B44D88" w:rsidRPr="00E3617C">
              <w:rPr>
                <w:rFonts w:cs="Arial"/>
                <w:sz w:val="20"/>
              </w:rPr>
              <w:t>6</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D74313" w:rsidP="005B31B8">
            <w:pPr>
              <w:tabs>
                <w:tab w:val="left" w:pos="1134"/>
              </w:tabs>
              <w:spacing w:before="60" w:after="60" w:line="240" w:lineRule="auto"/>
              <w:jc w:val="center"/>
              <w:rPr>
                <w:rFonts w:cs="Arial"/>
                <w:sz w:val="20"/>
              </w:rPr>
            </w:pPr>
            <w:r w:rsidRPr="00E3617C">
              <w:rPr>
                <w:rFonts w:cs="Arial"/>
                <w:sz w:val="20"/>
              </w:rPr>
              <w:t>111,9</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28,6</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328,1</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36,1</w:t>
            </w:r>
          </w:p>
        </w:tc>
      </w:tr>
      <w:tr w:rsidR="005B31B8" w:rsidRPr="00E3617C" w:rsidTr="008649E4">
        <w:trPr>
          <w:trHeight w:val="387"/>
          <w:jc w:val="center"/>
        </w:trPr>
        <w:tc>
          <w:tcPr>
            <w:tcW w:w="257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24037F">
            <w:pPr>
              <w:tabs>
                <w:tab w:val="left" w:pos="1134"/>
              </w:tabs>
              <w:spacing w:before="60" w:after="60" w:line="240" w:lineRule="auto"/>
              <w:jc w:val="left"/>
              <w:rPr>
                <w:rFonts w:cs="Arial"/>
                <w:sz w:val="20"/>
              </w:rPr>
            </w:pPr>
            <w:r w:rsidRPr="00E3617C">
              <w:rPr>
                <w:rFonts w:cs="Arial"/>
                <w:sz w:val="20"/>
              </w:rPr>
              <w:t xml:space="preserve">Áreas com </w:t>
            </w:r>
            <w:r w:rsidR="00141B2A" w:rsidRPr="00E3617C">
              <w:rPr>
                <w:rFonts w:cs="Arial"/>
                <w:sz w:val="20"/>
              </w:rPr>
              <w:t>cana-de-açúcar</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5B31B8">
            <w:pPr>
              <w:tabs>
                <w:tab w:val="left" w:pos="1134"/>
              </w:tabs>
              <w:spacing w:before="60" w:after="60" w:line="240" w:lineRule="auto"/>
              <w:jc w:val="center"/>
              <w:rPr>
                <w:rFonts w:cs="Arial"/>
                <w:sz w:val="20"/>
              </w:rPr>
            </w:pPr>
            <w:r w:rsidRPr="00E3617C">
              <w:rPr>
                <w:rFonts w:cs="Arial"/>
                <w:sz w:val="20"/>
              </w:rPr>
              <w:t>57,1</w:t>
            </w: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tcPr>
          <w:p w:rsidR="005B31B8" w:rsidRPr="00E3617C" w:rsidRDefault="005B31B8" w:rsidP="008A7364">
            <w:pPr>
              <w:tabs>
                <w:tab w:val="left" w:pos="1134"/>
              </w:tabs>
              <w:spacing w:before="60" w:after="60" w:line="240" w:lineRule="auto"/>
              <w:jc w:val="center"/>
              <w:rPr>
                <w:rFonts w:cs="Arial"/>
                <w:sz w:val="20"/>
              </w:rPr>
            </w:pPr>
            <w:r w:rsidRPr="00E3617C">
              <w:rPr>
                <w:rFonts w:cs="Arial"/>
                <w:sz w:val="20"/>
              </w:rPr>
              <w:t>11,</w:t>
            </w:r>
            <w:r w:rsidR="00B44D88" w:rsidRPr="00E3617C">
              <w:rPr>
                <w:rFonts w:cs="Arial"/>
                <w:sz w:val="20"/>
              </w:rPr>
              <w:t>8</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D74313" w:rsidP="005B31B8">
            <w:pPr>
              <w:tabs>
                <w:tab w:val="left" w:pos="587"/>
                <w:tab w:val="center" w:pos="850"/>
                <w:tab w:val="left" w:pos="1134"/>
              </w:tabs>
              <w:spacing w:before="60" w:after="60" w:line="240" w:lineRule="auto"/>
              <w:jc w:val="center"/>
              <w:rPr>
                <w:rFonts w:cs="Arial"/>
                <w:sz w:val="20"/>
              </w:rPr>
            </w:pPr>
            <w:r w:rsidRPr="00E3617C">
              <w:rPr>
                <w:rFonts w:cs="Arial"/>
                <w:sz w:val="20"/>
              </w:rPr>
              <w:t>125,8</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587"/>
                <w:tab w:val="center" w:pos="850"/>
                <w:tab w:val="left" w:pos="1134"/>
              </w:tabs>
              <w:spacing w:before="60" w:after="60" w:line="240" w:lineRule="auto"/>
              <w:jc w:val="center"/>
              <w:rPr>
                <w:rFonts w:cs="Arial"/>
                <w:sz w:val="20"/>
              </w:rPr>
            </w:pPr>
            <w:r w:rsidRPr="00E3617C">
              <w:rPr>
                <w:rFonts w:cs="Arial"/>
                <w:sz w:val="20"/>
              </w:rPr>
              <w:t>32,1</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587"/>
                <w:tab w:val="center" w:pos="850"/>
                <w:tab w:val="left" w:pos="1134"/>
              </w:tabs>
              <w:spacing w:before="60" w:after="60" w:line="240" w:lineRule="auto"/>
              <w:jc w:val="center"/>
              <w:rPr>
                <w:rFonts w:cs="Arial"/>
                <w:sz w:val="20"/>
              </w:rPr>
            </w:pPr>
            <w:r w:rsidRPr="00E3617C">
              <w:rPr>
                <w:rFonts w:cs="Arial"/>
                <w:sz w:val="20"/>
              </w:rPr>
              <w:t>200,0</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22,0</w:t>
            </w:r>
          </w:p>
        </w:tc>
      </w:tr>
      <w:tr w:rsidR="005B31B8" w:rsidRPr="00E3617C" w:rsidTr="008649E4">
        <w:trPr>
          <w:trHeight w:val="387"/>
          <w:jc w:val="center"/>
        </w:trPr>
        <w:tc>
          <w:tcPr>
            <w:tcW w:w="257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24037F">
            <w:pPr>
              <w:tabs>
                <w:tab w:val="left" w:pos="1134"/>
              </w:tabs>
              <w:spacing w:before="60" w:after="60" w:line="240" w:lineRule="auto"/>
              <w:jc w:val="left"/>
              <w:rPr>
                <w:rFonts w:cs="Arial"/>
                <w:sz w:val="20"/>
              </w:rPr>
            </w:pPr>
            <w:r w:rsidRPr="00E3617C">
              <w:rPr>
                <w:rFonts w:cs="Arial"/>
                <w:sz w:val="20"/>
              </w:rPr>
              <w:t>Áreas com outras culturas</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5B31B8">
            <w:pPr>
              <w:tabs>
                <w:tab w:val="left" w:pos="1134"/>
              </w:tabs>
              <w:spacing w:before="60" w:after="60" w:line="240" w:lineRule="auto"/>
              <w:jc w:val="center"/>
              <w:rPr>
                <w:rFonts w:cs="Arial"/>
                <w:sz w:val="20"/>
              </w:rPr>
            </w:pPr>
            <w:r w:rsidRPr="00E3617C">
              <w:rPr>
                <w:rFonts w:cs="Arial"/>
                <w:sz w:val="20"/>
              </w:rPr>
              <w:t>9,0</w:t>
            </w: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tcPr>
          <w:p w:rsidR="005B31B8" w:rsidRPr="00E3617C" w:rsidRDefault="005B31B8" w:rsidP="008A7364">
            <w:pPr>
              <w:tabs>
                <w:tab w:val="left" w:pos="1134"/>
              </w:tabs>
              <w:spacing w:before="60" w:after="60" w:line="240" w:lineRule="auto"/>
              <w:jc w:val="center"/>
              <w:rPr>
                <w:rFonts w:cs="Arial"/>
                <w:sz w:val="20"/>
              </w:rPr>
            </w:pPr>
            <w:r w:rsidRPr="00E3617C">
              <w:rPr>
                <w:rFonts w:cs="Arial"/>
                <w:sz w:val="20"/>
              </w:rPr>
              <w:t>1,</w:t>
            </w:r>
            <w:r w:rsidR="00B44D88" w:rsidRPr="00E3617C">
              <w:rPr>
                <w:rFonts w:cs="Arial"/>
                <w:sz w:val="20"/>
              </w:rPr>
              <w:t>9</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D74313" w:rsidP="005B31B8">
            <w:pPr>
              <w:tabs>
                <w:tab w:val="left" w:pos="1134"/>
              </w:tabs>
              <w:spacing w:before="60" w:after="60" w:line="240" w:lineRule="auto"/>
              <w:jc w:val="center"/>
              <w:rPr>
                <w:rFonts w:cs="Arial"/>
                <w:sz w:val="20"/>
              </w:rPr>
            </w:pPr>
            <w:r w:rsidRPr="00E3617C">
              <w:rPr>
                <w:rFonts w:cs="Arial"/>
                <w:sz w:val="20"/>
              </w:rPr>
              <w:t>12,7</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3,3</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21,7</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2,4</w:t>
            </w:r>
          </w:p>
        </w:tc>
      </w:tr>
      <w:tr w:rsidR="005B31B8" w:rsidRPr="00E3617C" w:rsidTr="008649E4">
        <w:trPr>
          <w:trHeight w:val="387"/>
          <w:jc w:val="center"/>
        </w:trPr>
        <w:tc>
          <w:tcPr>
            <w:tcW w:w="257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24037F">
            <w:pPr>
              <w:tabs>
                <w:tab w:val="left" w:pos="1134"/>
              </w:tabs>
              <w:spacing w:before="60" w:after="60" w:line="240" w:lineRule="auto"/>
              <w:jc w:val="left"/>
              <w:rPr>
                <w:rFonts w:cs="Arial"/>
                <w:sz w:val="20"/>
              </w:rPr>
            </w:pPr>
            <w:r w:rsidRPr="00E3617C">
              <w:rPr>
                <w:rFonts w:cs="Arial"/>
                <w:sz w:val="20"/>
              </w:rPr>
              <w:t>Reflorestamento</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5B31B8">
            <w:pPr>
              <w:tabs>
                <w:tab w:val="left" w:pos="1134"/>
              </w:tabs>
              <w:spacing w:before="60" w:after="60" w:line="240" w:lineRule="auto"/>
              <w:jc w:val="center"/>
              <w:rPr>
                <w:rFonts w:cs="Arial"/>
                <w:sz w:val="20"/>
              </w:rPr>
            </w:pPr>
            <w:r w:rsidRPr="00E3617C">
              <w:rPr>
                <w:rFonts w:cs="Arial"/>
                <w:sz w:val="20"/>
              </w:rPr>
              <w:t>12,5</w:t>
            </w: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tcPr>
          <w:p w:rsidR="005B31B8" w:rsidRPr="00E3617C" w:rsidRDefault="005B31B8" w:rsidP="005B31B8">
            <w:pPr>
              <w:tabs>
                <w:tab w:val="left" w:pos="1134"/>
              </w:tabs>
              <w:spacing w:before="60" w:after="60" w:line="240" w:lineRule="auto"/>
              <w:jc w:val="center"/>
              <w:rPr>
                <w:rFonts w:cs="Arial"/>
                <w:sz w:val="20"/>
              </w:rPr>
            </w:pPr>
            <w:r w:rsidRPr="00E3617C">
              <w:rPr>
                <w:rFonts w:cs="Arial"/>
                <w:sz w:val="20"/>
              </w:rPr>
              <w:t>2,6</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D74313" w:rsidP="005B31B8">
            <w:pPr>
              <w:tabs>
                <w:tab w:val="left" w:pos="1134"/>
              </w:tabs>
              <w:spacing w:before="60" w:after="60" w:line="240" w:lineRule="auto"/>
              <w:jc w:val="center"/>
              <w:rPr>
                <w:rFonts w:cs="Arial"/>
                <w:sz w:val="20"/>
              </w:rPr>
            </w:pPr>
            <w:r w:rsidRPr="00E3617C">
              <w:rPr>
                <w:rFonts w:cs="Arial"/>
                <w:sz w:val="20"/>
              </w:rPr>
              <w:t>27,9</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8649E4">
            <w:pPr>
              <w:tabs>
                <w:tab w:val="left" w:pos="1134"/>
              </w:tabs>
              <w:spacing w:before="60" w:after="60" w:line="240" w:lineRule="auto"/>
              <w:jc w:val="center"/>
              <w:rPr>
                <w:rFonts w:cs="Arial"/>
                <w:sz w:val="20"/>
              </w:rPr>
            </w:pPr>
            <w:r w:rsidRPr="00E3617C">
              <w:rPr>
                <w:rFonts w:cs="Arial"/>
                <w:sz w:val="20"/>
              </w:rPr>
              <w:t>7,1</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40,4</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4,5</w:t>
            </w:r>
          </w:p>
        </w:tc>
      </w:tr>
      <w:tr w:rsidR="005B31B8" w:rsidRPr="00E3617C" w:rsidTr="008649E4">
        <w:trPr>
          <w:trHeight w:val="387"/>
          <w:jc w:val="center"/>
        </w:trPr>
        <w:tc>
          <w:tcPr>
            <w:tcW w:w="257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24037F">
            <w:pPr>
              <w:tabs>
                <w:tab w:val="left" w:pos="1134"/>
              </w:tabs>
              <w:spacing w:before="60" w:after="60" w:line="240" w:lineRule="auto"/>
              <w:jc w:val="left"/>
              <w:rPr>
                <w:rFonts w:cs="Arial"/>
                <w:sz w:val="20"/>
              </w:rPr>
            </w:pPr>
            <w:r w:rsidRPr="00E3617C">
              <w:rPr>
                <w:rFonts w:cs="Arial"/>
                <w:sz w:val="20"/>
              </w:rPr>
              <w:t>Vegetação Pioneira</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8A7364">
            <w:pPr>
              <w:tabs>
                <w:tab w:val="left" w:pos="1134"/>
              </w:tabs>
              <w:spacing w:before="60" w:after="60" w:line="240" w:lineRule="auto"/>
              <w:jc w:val="center"/>
              <w:rPr>
                <w:rFonts w:cs="Arial"/>
                <w:sz w:val="20"/>
              </w:rPr>
            </w:pPr>
            <w:r w:rsidRPr="00E3617C">
              <w:rPr>
                <w:rFonts w:cs="Arial"/>
                <w:sz w:val="20"/>
              </w:rPr>
              <w:t>20,</w:t>
            </w:r>
            <w:r w:rsidR="00B44D88" w:rsidRPr="00E3617C">
              <w:rPr>
                <w:rFonts w:cs="Arial"/>
                <w:sz w:val="20"/>
              </w:rPr>
              <w:t>2</w:t>
            </w: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tcPr>
          <w:p w:rsidR="005B31B8" w:rsidRPr="00E3617C" w:rsidRDefault="005B31B8" w:rsidP="005B31B8">
            <w:pPr>
              <w:tabs>
                <w:tab w:val="left" w:pos="1134"/>
              </w:tabs>
              <w:spacing w:before="60" w:after="60" w:line="240" w:lineRule="auto"/>
              <w:jc w:val="center"/>
              <w:rPr>
                <w:rFonts w:cs="Arial"/>
                <w:sz w:val="20"/>
              </w:rPr>
            </w:pPr>
            <w:r w:rsidRPr="00E3617C">
              <w:rPr>
                <w:rFonts w:cs="Arial"/>
                <w:sz w:val="20"/>
              </w:rPr>
              <w:t>4,2</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D74313" w:rsidP="005B31B8">
            <w:pPr>
              <w:tabs>
                <w:tab w:val="left" w:pos="1134"/>
              </w:tabs>
              <w:spacing w:before="60" w:after="60" w:line="240" w:lineRule="auto"/>
              <w:jc w:val="center"/>
              <w:rPr>
                <w:rFonts w:cs="Arial"/>
                <w:sz w:val="20"/>
              </w:rPr>
            </w:pPr>
            <w:r w:rsidRPr="00E3617C">
              <w:rPr>
                <w:rFonts w:cs="Arial"/>
                <w:sz w:val="20"/>
              </w:rPr>
              <w:t>14,7</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3,8</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37,0</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4,1</w:t>
            </w:r>
          </w:p>
        </w:tc>
      </w:tr>
      <w:tr w:rsidR="00D74313" w:rsidRPr="00E3617C" w:rsidTr="008649E4">
        <w:trPr>
          <w:trHeight w:val="387"/>
          <w:jc w:val="center"/>
        </w:trPr>
        <w:tc>
          <w:tcPr>
            <w:tcW w:w="2578" w:type="dxa"/>
            <w:tcBorders>
              <w:top w:val="single" w:sz="4" w:space="0" w:color="auto"/>
              <w:left w:val="single" w:sz="4" w:space="0" w:color="auto"/>
              <w:bottom w:val="single" w:sz="4" w:space="0" w:color="auto"/>
              <w:right w:val="single" w:sz="4" w:space="0" w:color="auto"/>
            </w:tcBorders>
            <w:vAlign w:val="center"/>
          </w:tcPr>
          <w:p w:rsidR="00D74313" w:rsidRPr="00E3617C" w:rsidRDefault="00D74313" w:rsidP="0024037F">
            <w:pPr>
              <w:tabs>
                <w:tab w:val="left" w:pos="1134"/>
              </w:tabs>
              <w:spacing w:before="60" w:after="60" w:line="240" w:lineRule="auto"/>
              <w:jc w:val="left"/>
              <w:rPr>
                <w:rFonts w:cs="Arial"/>
                <w:sz w:val="20"/>
              </w:rPr>
            </w:pPr>
            <w:r w:rsidRPr="00E3617C">
              <w:rPr>
                <w:rFonts w:cs="Arial"/>
                <w:sz w:val="20"/>
              </w:rPr>
              <w:t>Campo Úmido Antropizado</w:t>
            </w:r>
          </w:p>
        </w:tc>
        <w:tc>
          <w:tcPr>
            <w:tcW w:w="1138" w:type="dxa"/>
            <w:tcBorders>
              <w:top w:val="single" w:sz="4" w:space="0" w:color="auto"/>
              <w:left w:val="single" w:sz="4" w:space="0" w:color="auto"/>
              <w:bottom w:val="single" w:sz="4" w:space="0" w:color="auto"/>
              <w:right w:val="single" w:sz="4" w:space="0" w:color="auto"/>
            </w:tcBorders>
            <w:vAlign w:val="center"/>
          </w:tcPr>
          <w:p w:rsidR="00D74313" w:rsidRPr="00E3617C" w:rsidRDefault="00D74313" w:rsidP="008A7364">
            <w:pPr>
              <w:tabs>
                <w:tab w:val="left" w:pos="1134"/>
              </w:tabs>
              <w:spacing w:before="60" w:after="60" w:line="240" w:lineRule="auto"/>
              <w:jc w:val="center"/>
              <w:rPr>
                <w:rFonts w:cs="Arial"/>
                <w:sz w:val="20"/>
              </w:rPr>
            </w:pPr>
            <w:r w:rsidRPr="00E3617C">
              <w:rPr>
                <w:rFonts w:cs="Arial"/>
                <w:sz w:val="20"/>
              </w:rPr>
              <w:t>28,3</w:t>
            </w: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tcPr>
          <w:p w:rsidR="00D74313" w:rsidRPr="00E3617C" w:rsidRDefault="00D74313" w:rsidP="005B31B8">
            <w:pPr>
              <w:tabs>
                <w:tab w:val="left" w:pos="1134"/>
              </w:tabs>
              <w:spacing w:before="60" w:after="60" w:line="240" w:lineRule="auto"/>
              <w:jc w:val="center"/>
              <w:rPr>
                <w:rFonts w:cs="Arial"/>
                <w:sz w:val="20"/>
              </w:rPr>
            </w:pPr>
            <w:r w:rsidRPr="00E3617C">
              <w:rPr>
                <w:rFonts w:cs="Arial"/>
                <w:sz w:val="20"/>
              </w:rPr>
              <w:t>5,8</w:t>
            </w:r>
          </w:p>
        </w:tc>
        <w:tc>
          <w:tcPr>
            <w:tcW w:w="1138" w:type="dxa"/>
            <w:tcBorders>
              <w:top w:val="single" w:sz="4" w:space="0" w:color="auto"/>
              <w:left w:val="single" w:sz="4" w:space="0" w:color="auto"/>
              <w:bottom w:val="single" w:sz="4" w:space="0" w:color="auto"/>
              <w:right w:val="single" w:sz="4" w:space="0" w:color="auto"/>
            </w:tcBorders>
            <w:vAlign w:val="center"/>
          </w:tcPr>
          <w:p w:rsidR="00D74313" w:rsidRPr="00E3617C" w:rsidRDefault="00D74313" w:rsidP="005B31B8">
            <w:pPr>
              <w:tabs>
                <w:tab w:val="left" w:pos="1134"/>
              </w:tabs>
              <w:spacing w:before="60" w:after="60" w:line="240" w:lineRule="auto"/>
              <w:jc w:val="center"/>
              <w:rPr>
                <w:rFonts w:cs="Arial"/>
                <w:sz w:val="20"/>
              </w:rPr>
            </w:pPr>
            <w:r w:rsidRPr="00E3617C">
              <w:rPr>
                <w:rFonts w:cs="Arial"/>
                <w:sz w:val="20"/>
              </w:rPr>
              <w:t>3,7</w:t>
            </w:r>
          </w:p>
        </w:tc>
        <w:tc>
          <w:tcPr>
            <w:tcW w:w="1138" w:type="dxa"/>
            <w:tcBorders>
              <w:top w:val="single" w:sz="4" w:space="0" w:color="auto"/>
              <w:left w:val="single" w:sz="4" w:space="0" w:color="auto"/>
              <w:bottom w:val="single" w:sz="4" w:space="0" w:color="auto"/>
              <w:right w:val="single" w:sz="4" w:space="0" w:color="auto"/>
            </w:tcBorders>
            <w:vAlign w:val="center"/>
          </w:tcPr>
          <w:p w:rsidR="00D74313" w:rsidRPr="00E3617C" w:rsidRDefault="00E3617C" w:rsidP="005B31B8">
            <w:pPr>
              <w:tabs>
                <w:tab w:val="left" w:pos="1134"/>
              </w:tabs>
              <w:spacing w:before="60" w:after="60" w:line="240" w:lineRule="auto"/>
              <w:jc w:val="center"/>
              <w:rPr>
                <w:rFonts w:cs="Arial"/>
                <w:sz w:val="20"/>
              </w:rPr>
            </w:pPr>
            <w:r w:rsidRPr="00E3617C">
              <w:rPr>
                <w:rFonts w:cs="Arial"/>
                <w:sz w:val="20"/>
              </w:rPr>
              <w:t>0,9</w:t>
            </w:r>
          </w:p>
        </w:tc>
        <w:tc>
          <w:tcPr>
            <w:tcW w:w="1138" w:type="dxa"/>
            <w:tcBorders>
              <w:top w:val="single" w:sz="4" w:space="0" w:color="auto"/>
              <w:left w:val="single" w:sz="4" w:space="0" w:color="auto"/>
              <w:bottom w:val="single" w:sz="4" w:space="0" w:color="auto"/>
              <w:right w:val="single" w:sz="4" w:space="0" w:color="auto"/>
            </w:tcBorders>
            <w:vAlign w:val="center"/>
          </w:tcPr>
          <w:p w:rsidR="00D74313" w:rsidRPr="00E3617C" w:rsidRDefault="00E3617C" w:rsidP="005B31B8">
            <w:pPr>
              <w:tabs>
                <w:tab w:val="left" w:pos="1134"/>
              </w:tabs>
              <w:spacing w:before="60" w:after="60" w:line="240" w:lineRule="auto"/>
              <w:jc w:val="center"/>
              <w:rPr>
                <w:rFonts w:cs="Arial"/>
                <w:sz w:val="20"/>
              </w:rPr>
            </w:pPr>
            <w:r w:rsidRPr="00E3617C">
              <w:rPr>
                <w:rFonts w:cs="Arial"/>
                <w:sz w:val="20"/>
              </w:rPr>
              <w:t>31,9</w:t>
            </w:r>
          </w:p>
        </w:tc>
        <w:tc>
          <w:tcPr>
            <w:tcW w:w="1138" w:type="dxa"/>
            <w:tcBorders>
              <w:top w:val="single" w:sz="4" w:space="0" w:color="auto"/>
              <w:left w:val="single" w:sz="4" w:space="0" w:color="auto"/>
              <w:bottom w:val="single" w:sz="4" w:space="0" w:color="auto"/>
              <w:right w:val="single" w:sz="4" w:space="0" w:color="auto"/>
            </w:tcBorders>
            <w:vAlign w:val="center"/>
          </w:tcPr>
          <w:p w:rsidR="00D74313" w:rsidRPr="00E3617C" w:rsidRDefault="00E3617C" w:rsidP="005B31B8">
            <w:pPr>
              <w:tabs>
                <w:tab w:val="left" w:pos="1134"/>
              </w:tabs>
              <w:spacing w:before="60" w:after="60" w:line="240" w:lineRule="auto"/>
              <w:jc w:val="center"/>
              <w:rPr>
                <w:rFonts w:cs="Arial"/>
                <w:sz w:val="20"/>
              </w:rPr>
            </w:pPr>
            <w:r w:rsidRPr="00E3617C">
              <w:rPr>
                <w:rFonts w:cs="Arial"/>
                <w:sz w:val="20"/>
              </w:rPr>
              <w:t>3,5</w:t>
            </w:r>
          </w:p>
        </w:tc>
      </w:tr>
      <w:tr w:rsidR="005B31B8" w:rsidRPr="00E3617C" w:rsidTr="008649E4">
        <w:trPr>
          <w:trHeight w:val="387"/>
          <w:jc w:val="center"/>
        </w:trPr>
        <w:tc>
          <w:tcPr>
            <w:tcW w:w="257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24037F">
            <w:pPr>
              <w:tabs>
                <w:tab w:val="left" w:pos="1134"/>
              </w:tabs>
              <w:spacing w:before="60" w:after="60" w:line="240" w:lineRule="auto"/>
              <w:jc w:val="left"/>
              <w:rPr>
                <w:rFonts w:cs="Arial"/>
                <w:sz w:val="20"/>
              </w:rPr>
            </w:pPr>
            <w:r w:rsidRPr="00E3617C">
              <w:rPr>
                <w:rFonts w:cs="Arial"/>
                <w:sz w:val="20"/>
              </w:rPr>
              <w:t>Matas Nativas</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8A7364">
            <w:pPr>
              <w:tabs>
                <w:tab w:val="left" w:pos="1134"/>
              </w:tabs>
              <w:spacing w:before="60" w:after="60" w:line="240" w:lineRule="auto"/>
              <w:jc w:val="center"/>
              <w:rPr>
                <w:rFonts w:cs="Arial"/>
                <w:sz w:val="20"/>
              </w:rPr>
            </w:pPr>
            <w:r w:rsidRPr="00E3617C">
              <w:rPr>
                <w:rFonts w:cs="Arial"/>
                <w:sz w:val="20"/>
              </w:rPr>
              <w:t>87,</w:t>
            </w:r>
            <w:r w:rsidR="00B44D88" w:rsidRPr="00E3617C">
              <w:rPr>
                <w:rFonts w:cs="Arial"/>
                <w:sz w:val="20"/>
              </w:rPr>
              <w:t>4</w:t>
            </w: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tcPr>
          <w:p w:rsidR="005B31B8" w:rsidRPr="00E3617C" w:rsidRDefault="005B31B8" w:rsidP="005B31B8">
            <w:pPr>
              <w:tabs>
                <w:tab w:val="left" w:pos="1134"/>
              </w:tabs>
              <w:spacing w:before="60" w:after="60" w:line="240" w:lineRule="auto"/>
              <w:jc w:val="center"/>
              <w:rPr>
                <w:rFonts w:cs="Arial"/>
                <w:sz w:val="20"/>
              </w:rPr>
            </w:pPr>
            <w:r w:rsidRPr="00E3617C">
              <w:rPr>
                <w:rFonts w:cs="Arial"/>
                <w:sz w:val="20"/>
              </w:rPr>
              <w:t>17,9</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D74313" w:rsidP="005B31B8">
            <w:pPr>
              <w:tabs>
                <w:tab w:val="left" w:pos="1134"/>
              </w:tabs>
              <w:spacing w:before="60" w:after="60" w:line="240" w:lineRule="auto"/>
              <w:jc w:val="center"/>
              <w:rPr>
                <w:rFonts w:cs="Arial"/>
                <w:sz w:val="20"/>
              </w:rPr>
            </w:pPr>
            <w:r w:rsidRPr="00E3617C">
              <w:rPr>
                <w:rFonts w:cs="Arial"/>
                <w:sz w:val="20"/>
              </w:rPr>
              <w:t>82,0</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21,0</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175,3</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19,3</w:t>
            </w:r>
          </w:p>
        </w:tc>
      </w:tr>
      <w:tr w:rsidR="005B31B8" w:rsidRPr="00E3617C" w:rsidTr="008649E4">
        <w:trPr>
          <w:trHeight w:val="387"/>
          <w:jc w:val="center"/>
        </w:trPr>
        <w:tc>
          <w:tcPr>
            <w:tcW w:w="257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24037F">
            <w:pPr>
              <w:tabs>
                <w:tab w:val="left" w:pos="1134"/>
              </w:tabs>
              <w:spacing w:before="60" w:after="60" w:line="240" w:lineRule="auto"/>
              <w:jc w:val="left"/>
              <w:rPr>
                <w:rFonts w:cs="Arial"/>
                <w:sz w:val="20"/>
              </w:rPr>
            </w:pPr>
            <w:r w:rsidRPr="00E3617C">
              <w:rPr>
                <w:rFonts w:cs="Arial"/>
                <w:sz w:val="20"/>
              </w:rPr>
              <w:t>Outros Usos</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D74313" w:rsidP="008A7364">
            <w:pPr>
              <w:tabs>
                <w:tab w:val="left" w:pos="1134"/>
              </w:tabs>
              <w:spacing w:before="60" w:after="60" w:line="240" w:lineRule="auto"/>
              <w:jc w:val="center"/>
              <w:rPr>
                <w:rFonts w:cs="Arial"/>
                <w:sz w:val="20"/>
              </w:rPr>
            </w:pPr>
            <w:r w:rsidRPr="00E3617C">
              <w:rPr>
                <w:rFonts w:cs="Arial"/>
                <w:sz w:val="20"/>
              </w:rPr>
              <w:t>26,9</w:t>
            </w: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tcPr>
          <w:p w:rsidR="005B31B8" w:rsidRPr="00E3617C" w:rsidRDefault="00D74313" w:rsidP="005B31B8">
            <w:pPr>
              <w:tabs>
                <w:tab w:val="left" w:pos="1134"/>
              </w:tabs>
              <w:spacing w:before="60" w:after="60" w:line="240" w:lineRule="auto"/>
              <w:jc w:val="center"/>
              <w:rPr>
                <w:rFonts w:cs="Arial"/>
                <w:sz w:val="20"/>
              </w:rPr>
            </w:pPr>
            <w:r w:rsidRPr="00E3617C">
              <w:rPr>
                <w:rFonts w:cs="Arial"/>
                <w:sz w:val="20"/>
              </w:rPr>
              <w:t>5,5</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D74313" w:rsidP="008649E4">
            <w:pPr>
              <w:tabs>
                <w:tab w:val="left" w:pos="1134"/>
              </w:tabs>
              <w:spacing w:before="60" w:after="60" w:line="240" w:lineRule="auto"/>
              <w:jc w:val="center"/>
              <w:rPr>
                <w:rFonts w:cs="Arial"/>
                <w:sz w:val="20"/>
              </w:rPr>
            </w:pPr>
            <w:r w:rsidRPr="00E3617C">
              <w:rPr>
                <w:rFonts w:cs="Arial"/>
                <w:sz w:val="20"/>
              </w:rPr>
              <w:t>10,1</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2,6</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37,2</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4,1</w:t>
            </w:r>
          </w:p>
        </w:tc>
      </w:tr>
      <w:tr w:rsidR="005B31B8" w:rsidRPr="00E3617C" w:rsidTr="008649E4">
        <w:trPr>
          <w:trHeight w:val="387"/>
          <w:jc w:val="center"/>
        </w:trPr>
        <w:tc>
          <w:tcPr>
            <w:tcW w:w="2578" w:type="dxa"/>
            <w:tcBorders>
              <w:top w:val="single" w:sz="4" w:space="0" w:color="auto"/>
              <w:left w:val="single" w:sz="4" w:space="0" w:color="auto"/>
              <w:bottom w:val="single" w:sz="4" w:space="0" w:color="auto"/>
              <w:right w:val="single" w:sz="4" w:space="0" w:color="auto"/>
            </w:tcBorders>
            <w:vAlign w:val="center"/>
          </w:tcPr>
          <w:p w:rsidR="005B31B8" w:rsidRPr="00E3617C" w:rsidRDefault="005B31B8" w:rsidP="0024037F">
            <w:pPr>
              <w:tabs>
                <w:tab w:val="left" w:pos="1134"/>
              </w:tabs>
              <w:spacing w:before="60" w:after="60" w:line="240" w:lineRule="auto"/>
              <w:jc w:val="left"/>
              <w:rPr>
                <w:rFonts w:cs="Arial"/>
                <w:sz w:val="20"/>
              </w:rPr>
            </w:pPr>
            <w:r w:rsidRPr="00E3617C">
              <w:rPr>
                <w:rFonts w:cs="Arial"/>
                <w:sz w:val="20"/>
              </w:rPr>
              <w:t>Rios, represas e lagoas</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B44D88" w:rsidP="008A7364">
            <w:pPr>
              <w:tabs>
                <w:tab w:val="left" w:pos="1134"/>
              </w:tabs>
              <w:spacing w:before="60" w:after="60" w:line="240" w:lineRule="auto"/>
              <w:jc w:val="center"/>
              <w:rPr>
                <w:rFonts w:cs="Arial"/>
                <w:sz w:val="20"/>
              </w:rPr>
            </w:pPr>
            <w:r w:rsidRPr="00E3617C">
              <w:rPr>
                <w:rFonts w:cs="Arial"/>
                <w:sz w:val="20"/>
              </w:rPr>
              <w:t>32</w:t>
            </w:r>
            <w:r w:rsidR="005B31B8" w:rsidRPr="00E3617C">
              <w:rPr>
                <w:rFonts w:cs="Arial"/>
                <w:sz w:val="20"/>
              </w:rPr>
              <w:t>,</w:t>
            </w:r>
            <w:r w:rsidRPr="00E3617C">
              <w:rPr>
                <w:rFonts w:cs="Arial"/>
                <w:sz w:val="20"/>
              </w:rPr>
              <w:t>6</w:t>
            </w: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tcPr>
          <w:p w:rsidR="005B31B8" w:rsidRPr="00E3617C" w:rsidRDefault="00B44D88" w:rsidP="008A7364">
            <w:pPr>
              <w:tabs>
                <w:tab w:val="left" w:pos="1134"/>
              </w:tabs>
              <w:spacing w:before="60" w:after="60" w:line="240" w:lineRule="auto"/>
              <w:jc w:val="center"/>
              <w:rPr>
                <w:rFonts w:cs="Arial"/>
                <w:sz w:val="20"/>
              </w:rPr>
            </w:pPr>
            <w:r w:rsidRPr="00E3617C">
              <w:rPr>
                <w:rFonts w:cs="Arial"/>
                <w:sz w:val="20"/>
              </w:rPr>
              <w:t>6</w:t>
            </w:r>
            <w:r w:rsidR="005B31B8" w:rsidRPr="00E3617C">
              <w:rPr>
                <w:rFonts w:cs="Arial"/>
                <w:sz w:val="20"/>
              </w:rPr>
              <w:t>,</w:t>
            </w:r>
            <w:r w:rsidRPr="00E3617C">
              <w:rPr>
                <w:rFonts w:cs="Arial"/>
                <w:sz w:val="20"/>
              </w:rPr>
              <w:t>7</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D74313" w:rsidP="005B31B8">
            <w:pPr>
              <w:tabs>
                <w:tab w:val="left" w:pos="1134"/>
              </w:tabs>
              <w:spacing w:before="60" w:after="60" w:line="240" w:lineRule="auto"/>
              <w:jc w:val="center"/>
              <w:rPr>
                <w:rFonts w:cs="Arial"/>
                <w:sz w:val="20"/>
              </w:rPr>
            </w:pPr>
            <w:r w:rsidRPr="00E3617C">
              <w:rPr>
                <w:rFonts w:cs="Arial"/>
                <w:sz w:val="20"/>
              </w:rPr>
              <w:t>2,3</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0,6</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36,0</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sz w:val="20"/>
              </w:rPr>
            </w:pPr>
            <w:r w:rsidRPr="00E3617C">
              <w:rPr>
                <w:rFonts w:cs="Arial"/>
                <w:sz w:val="20"/>
              </w:rPr>
              <w:t>4,0</w:t>
            </w:r>
          </w:p>
        </w:tc>
      </w:tr>
      <w:tr w:rsidR="005B31B8" w:rsidRPr="00E3617C" w:rsidTr="008649E4">
        <w:trPr>
          <w:trHeight w:val="387"/>
          <w:jc w:val="center"/>
        </w:trPr>
        <w:tc>
          <w:tcPr>
            <w:tcW w:w="2578" w:type="dxa"/>
            <w:tcBorders>
              <w:top w:val="single" w:sz="4" w:space="0" w:color="auto"/>
              <w:bottom w:val="single" w:sz="6" w:space="0" w:color="auto"/>
              <w:right w:val="single" w:sz="4" w:space="0" w:color="auto"/>
            </w:tcBorders>
            <w:vAlign w:val="center"/>
          </w:tcPr>
          <w:p w:rsidR="005B31B8" w:rsidRPr="00E3617C" w:rsidRDefault="005B31B8" w:rsidP="0024037F">
            <w:pPr>
              <w:tabs>
                <w:tab w:val="left" w:pos="1134"/>
              </w:tabs>
              <w:spacing w:before="60" w:after="60" w:line="240" w:lineRule="auto"/>
              <w:jc w:val="left"/>
              <w:rPr>
                <w:rFonts w:cs="Arial"/>
                <w:b/>
                <w:sz w:val="20"/>
              </w:rPr>
            </w:pPr>
            <w:r w:rsidRPr="00E3617C">
              <w:rPr>
                <w:rFonts w:cs="Arial"/>
                <w:b/>
                <w:sz w:val="20"/>
              </w:rPr>
              <w:t>TOTAL</w:t>
            </w:r>
          </w:p>
        </w:tc>
        <w:tc>
          <w:tcPr>
            <w:tcW w:w="1138" w:type="dxa"/>
            <w:tcBorders>
              <w:top w:val="single" w:sz="4" w:space="0" w:color="auto"/>
              <w:bottom w:val="single" w:sz="4" w:space="0" w:color="auto"/>
              <w:right w:val="single" w:sz="4" w:space="0" w:color="auto"/>
            </w:tcBorders>
            <w:vAlign w:val="center"/>
          </w:tcPr>
          <w:p w:rsidR="005B31B8" w:rsidRPr="00E3617C" w:rsidRDefault="00B44D88" w:rsidP="008A7364">
            <w:pPr>
              <w:tabs>
                <w:tab w:val="left" w:pos="1134"/>
              </w:tabs>
              <w:spacing w:before="60" w:after="60" w:line="240" w:lineRule="auto"/>
              <w:jc w:val="center"/>
              <w:rPr>
                <w:rFonts w:cs="Arial"/>
                <w:b/>
                <w:sz w:val="20"/>
              </w:rPr>
            </w:pPr>
            <w:r w:rsidRPr="00E3617C">
              <w:rPr>
                <w:rFonts w:cs="Arial"/>
                <w:b/>
                <w:sz w:val="20"/>
              </w:rPr>
              <w:t>486</w:t>
            </w:r>
            <w:r w:rsidR="005B31B8" w:rsidRPr="00E3617C">
              <w:rPr>
                <w:rFonts w:cs="Arial"/>
                <w:b/>
                <w:sz w:val="20"/>
              </w:rPr>
              <w:t>,0</w:t>
            </w: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tcPr>
          <w:p w:rsidR="005B31B8" w:rsidRPr="00E3617C" w:rsidRDefault="005B31B8" w:rsidP="005B31B8">
            <w:pPr>
              <w:tabs>
                <w:tab w:val="left" w:pos="1134"/>
              </w:tabs>
              <w:spacing w:before="60" w:after="60" w:line="240" w:lineRule="auto"/>
              <w:jc w:val="center"/>
              <w:rPr>
                <w:rFonts w:cs="Arial"/>
                <w:b/>
                <w:sz w:val="20"/>
              </w:rPr>
            </w:pPr>
            <w:r w:rsidRPr="00E3617C">
              <w:rPr>
                <w:rFonts w:cs="Arial"/>
                <w:b/>
                <w:sz w:val="20"/>
              </w:rPr>
              <w:t>100,0</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D74313" w:rsidP="005B31B8">
            <w:pPr>
              <w:tabs>
                <w:tab w:val="left" w:pos="1134"/>
              </w:tabs>
              <w:spacing w:before="60" w:after="60" w:line="240" w:lineRule="auto"/>
              <w:jc w:val="center"/>
              <w:rPr>
                <w:rFonts w:cs="Arial"/>
                <w:b/>
                <w:sz w:val="20"/>
              </w:rPr>
            </w:pPr>
            <w:r w:rsidRPr="00E3617C">
              <w:rPr>
                <w:rFonts w:cs="Arial"/>
                <w:b/>
                <w:sz w:val="20"/>
              </w:rPr>
              <w:t>391,1</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b/>
                <w:sz w:val="20"/>
              </w:rPr>
            </w:pPr>
            <w:r w:rsidRPr="00E3617C">
              <w:rPr>
                <w:rFonts w:cs="Arial"/>
                <w:b/>
                <w:sz w:val="20"/>
              </w:rPr>
              <w:t>100,0</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b/>
                <w:sz w:val="20"/>
              </w:rPr>
            </w:pPr>
            <w:r w:rsidRPr="00E3617C">
              <w:rPr>
                <w:rFonts w:cs="Arial"/>
                <w:b/>
                <w:sz w:val="20"/>
              </w:rPr>
              <w:t>907,6</w:t>
            </w:r>
          </w:p>
        </w:tc>
        <w:tc>
          <w:tcPr>
            <w:tcW w:w="1138" w:type="dxa"/>
            <w:tcBorders>
              <w:top w:val="single" w:sz="4" w:space="0" w:color="auto"/>
              <w:left w:val="single" w:sz="4" w:space="0" w:color="auto"/>
              <w:bottom w:val="single" w:sz="4" w:space="0" w:color="auto"/>
              <w:right w:val="single" w:sz="4" w:space="0" w:color="auto"/>
            </w:tcBorders>
            <w:vAlign w:val="center"/>
          </w:tcPr>
          <w:p w:rsidR="005B31B8" w:rsidRPr="00E3617C" w:rsidRDefault="00E3617C" w:rsidP="005B31B8">
            <w:pPr>
              <w:tabs>
                <w:tab w:val="left" w:pos="1134"/>
              </w:tabs>
              <w:spacing w:before="60" w:after="60" w:line="240" w:lineRule="auto"/>
              <w:jc w:val="center"/>
              <w:rPr>
                <w:rFonts w:cs="Arial"/>
                <w:b/>
                <w:sz w:val="20"/>
              </w:rPr>
            </w:pPr>
            <w:r w:rsidRPr="00E3617C">
              <w:rPr>
                <w:rFonts w:cs="Arial"/>
                <w:b/>
                <w:sz w:val="20"/>
              </w:rPr>
              <w:t>100,0</w:t>
            </w:r>
          </w:p>
        </w:tc>
      </w:tr>
    </w:tbl>
    <w:p w:rsidR="005B31B8" w:rsidRPr="005047AF" w:rsidRDefault="005B31B8" w:rsidP="005B31B8">
      <w:pPr>
        <w:spacing w:line="240" w:lineRule="auto"/>
        <w:rPr>
          <w:sz w:val="20"/>
        </w:rPr>
      </w:pPr>
      <w:r w:rsidRPr="005047AF">
        <w:rPr>
          <w:sz w:val="20"/>
        </w:rPr>
        <w:t xml:space="preserve">(*) Engloba as áreas do reservatório, da faixa de 100m do entorno do reservatório e a </w:t>
      </w:r>
      <w:r>
        <w:rPr>
          <w:sz w:val="20"/>
        </w:rPr>
        <w:t>área de jusante da barragem.</w:t>
      </w:r>
    </w:p>
    <w:p w:rsidR="00166326" w:rsidRDefault="00B635BB" w:rsidP="00556987">
      <w:pPr>
        <w:spacing w:before="120" w:after="240" w:line="240" w:lineRule="auto"/>
        <w:rPr>
          <w:szCs w:val="22"/>
        </w:rPr>
      </w:pPr>
      <w:r w:rsidRPr="00DE0067">
        <w:rPr>
          <w:szCs w:val="22"/>
        </w:rPr>
        <w:t>A Capacidade de Uso das Terras é classificada como “</w:t>
      </w:r>
      <w:r w:rsidRPr="00DE0067">
        <w:rPr>
          <w:rFonts w:cs="Arial"/>
          <w:szCs w:val="22"/>
        </w:rPr>
        <w:t>Terras passíveis de serem utilizadas com culturas anuais ou perenes (incluindo aquelas com limitações para esses usos)</w:t>
      </w:r>
      <w:r w:rsidRPr="00DE0067">
        <w:rPr>
          <w:szCs w:val="22"/>
        </w:rPr>
        <w:t xml:space="preserve">” em 94% da área do Reservatório como pode ser visto no </w:t>
      </w:r>
      <w:r w:rsidR="008649E4" w:rsidRPr="006F141D">
        <w:rPr>
          <w:szCs w:val="22"/>
        </w:rPr>
        <w:t xml:space="preserve">Quadro </w:t>
      </w:r>
      <w:r w:rsidR="00542D7F" w:rsidRPr="006F141D">
        <w:rPr>
          <w:szCs w:val="22"/>
        </w:rPr>
        <w:t>1.3.</w:t>
      </w:r>
      <w:r w:rsidR="00B11E51" w:rsidRPr="006F141D">
        <w:rPr>
          <w:szCs w:val="22"/>
        </w:rPr>
        <w:t>32</w:t>
      </w:r>
      <w:r w:rsidR="00542D7F" w:rsidRPr="006F141D">
        <w:rPr>
          <w:szCs w:val="22"/>
        </w:rPr>
        <w:t>.</w:t>
      </w:r>
      <w:r w:rsidRPr="006F141D">
        <w:rPr>
          <w:szCs w:val="22"/>
        </w:rPr>
        <w:t xml:space="preserve">, mas grande parte destas terras, correspondendo a </w:t>
      </w:r>
      <w:r w:rsidR="006C7C4A" w:rsidRPr="006F141D">
        <w:rPr>
          <w:szCs w:val="22"/>
        </w:rPr>
        <w:t>42</w:t>
      </w:r>
      <w:r w:rsidRPr="006F141D">
        <w:rPr>
          <w:szCs w:val="22"/>
        </w:rPr>
        <w:t xml:space="preserve">% do reservatório, </w:t>
      </w:r>
      <w:r w:rsidR="006C7C4A" w:rsidRPr="006F141D">
        <w:rPr>
          <w:szCs w:val="22"/>
        </w:rPr>
        <w:t>embora passíveis de serem utilizadas</w:t>
      </w:r>
      <w:r w:rsidR="006C7C4A">
        <w:rPr>
          <w:szCs w:val="22"/>
        </w:rPr>
        <w:t xml:space="preserve"> com</w:t>
      </w:r>
      <w:r w:rsidRPr="00DE0067">
        <w:rPr>
          <w:szCs w:val="22"/>
        </w:rPr>
        <w:t xml:space="preserve"> culturas</w:t>
      </w:r>
      <w:r w:rsidR="006C7C4A">
        <w:rPr>
          <w:szCs w:val="22"/>
        </w:rPr>
        <w:t>, tem limitações para esses usos,</w:t>
      </w:r>
      <w:r w:rsidRPr="00DE0067">
        <w:rPr>
          <w:szCs w:val="22"/>
        </w:rPr>
        <w:t xml:space="preserve"> devido a declividade ou a textura cascalhenta.</w:t>
      </w:r>
    </w:p>
    <w:p w:rsidR="006F141D" w:rsidRDefault="008D3A12" w:rsidP="006F141D">
      <w:pPr>
        <w:pStyle w:val="Legenda"/>
        <w:spacing w:before="0" w:after="0" w:line="240" w:lineRule="auto"/>
        <w:jc w:val="center"/>
        <w:rPr>
          <w:b w:val="0"/>
          <w:i w:val="0"/>
        </w:rPr>
      </w:pPr>
      <w:bookmarkStart w:id="247" w:name="_Toc420316476"/>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33</w:t>
      </w:r>
      <w:r w:rsidR="00B80A05" w:rsidRPr="006F141D">
        <w:rPr>
          <w:i w:val="0"/>
        </w:rPr>
        <w:fldChar w:fldCharType="end"/>
      </w:r>
      <w:r w:rsidR="006F141D" w:rsidRPr="006F141D">
        <w:rPr>
          <w:i w:val="0"/>
        </w:rPr>
        <w:t>.</w:t>
      </w:r>
      <w:r w:rsidR="006F141D" w:rsidRPr="006F141D">
        <w:rPr>
          <w:b w:val="0"/>
          <w:i w:val="0"/>
        </w:rPr>
        <w:t xml:space="preserve"> - </w:t>
      </w:r>
      <w:r w:rsidR="00096D99" w:rsidRPr="006F141D">
        <w:rPr>
          <w:b w:val="0"/>
          <w:i w:val="0"/>
        </w:rPr>
        <w:t>Capacidade de Uso das Terras do Reservatório, da APP e ADA</w:t>
      </w:r>
      <w:bookmarkEnd w:id="247"/>
    </w:p>
    <w:p w:rsidR="00096D99" w:rsidRPr="006F141D" w:rsidRDefault="00096D99" w:rsidP="006F141D">
      <w:pPr>
        <w:pStyle w:val="Legenda"/>
        <w:spacing w:before="0" w:after="0" w:line="240" w:lineRule="auto"/>
        <w:jc w:val="center"/>
        <w:rPr>
          <w:b w:val="0"/>
          <w:i w:val="0"/>
        </w:rPr>
      </w:pPr>
      <w:r w:rsidRPr="006F141D">
        <w:rPr>
          <w:b w:val="0"/>
          <w:i w:val="0"/>
        </w:rPr>
        <w:t>da Barragem Duas Pontes.</w:t>
      </w:r>
    </w:p>
    <w:tbl>
      <w:tblPr>
        <w:tblW w:w="0" w:type="auto"/>
        <w:jc w:val="center"/>
        <w:tblInd w:w="-38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91"/>
        <w:gridCol w:w="1134"/>
        <w:gridCol w:w="865"/>
        <w:gridCol w:w="12"/>
        <w:gridCol w:w="854"/>
        <w:gridCol w:w="23"/>
      </w:tblGrid>
      <w:tr w:rsidR="00556987" w:rsidRPr="00744E4B" w:rsidTr="00806394">
        <w:trPr>
          <w:gridAfter w:val="1"/>
          <w:wAfter w:w="23" w:type="dxa"/>
          <w:trHeight w:val="817"/>
          <w:jc w:val="center"/>
        </w:trPr>
        <w:tc>
          <w:tcPr>
            <w:tcW w:w="6291" w:type="dxa"/>
            <w:shd w:val="clear" w:color="auto" w:fill="D9D9D9"/>
            <w:vAlign w:val="center"/>
          </w:tcPr>
          <w:p w:rsidR="00556987" w:rsidRPr="00384678" w:rsidRDefault="00556987" w:rsidP="00806394">
            <w:pPr>
              <w:keepNext/>
              <w:spacing w:before="40" w:after="20" w:line="240" w:lineRule="auto"/>
              <w:jc w:val="center"/>
              <w:rPr>
                <w:b/>
              </w:rPr>
            </w:pPr>
            <w:r w:rsidRPr="00556987">
              <w:rPr>
                <w:b/>
              </w:rPr>
              <w:t>Capacidade de Uso das Terras</w:t>
            </w:r>
          </w:p>
        </w:tc>
        <w:tc>
          <w:tcPr>
            <w:tcW w:w="1134" w:type="dxa"/>
            <w:shd w:val="clear" w:color="auto" w:fill="D9D9D9"/>
            <w:vAlign w:val="center"/>
          </w:tcPr>
          <w:p w:rsidR="00556987" w:rsidRPr="00556987" w:rsidRDefault="00556987" w:rsidP="00806394">
            <w:pPr>
              <w:keepNext/>
              <w:spacing w:before="40" w:after="20" w:line="240" w:lineRule="auto"/>
              <w:jc w:val="center"/>
              <w:rPr>
                <w:b/>
                <w:sz w:val="20"/>
              </w:rPr>
            </w:pPr>
            <w:r w:rsidRPr="00556987">
              <w:rPr>
                <w:b/>
                <w:sz w:val="20"/>
              </w:rPr>
              <w:t>Reserva tório</w:t>
            </w:r>
          </w:p>
        </w:tc>
        <w:tc>
          <w:tcPr>
            <w:tcW w:w="865" w:type="dxa"/>
            <w:shd w:val="clear" w:color="auto" w:fill="D9D9D9"/>
            <w:vAlign w:val="center"/>
          </w:tcPr>
          <w:p w:rsidR="00556987" w:rsidRPr="00556987" w:rsidRDefault="00556987" w:rsidP="00806394">
            <w:pPr>
              <w:keepNext/>
              <w:spacing w:before="40" w:after="20" w:line="240" w:lineRule="auto"/>
              <w:jc w:val="center"/>
              <w:rPr>
                <w:b/>
                <w:sz w:val="20"/>
              </w:rPr>
            </w:pPr>
            <w:r w:rsidRPr="00556987">
              <w:rPr>
                <w:b/>
                <w:sz w:val="20"/>
              </w:rPr>
              <w:t>APP</w:t>
            </w:r>
          </w:p>
        </w:tc>
        <w:tc>
          <w:tcPr>
            <w:tcW w:w="866" w:type="dxa"/>
            <w:gridSpan w:val="2"/>
            <w:shd w:val="clear" w:color="auto" w:fill="D9D9D9"/>
            <w:vAlign w:val="center"/>
          </w:tcPr>
          <w:p w:rsidR="00556987" w:rsidRPr="00556987" w:rsidRDefault="00556987" w:rsidP="00806394">
            <w:pPr>
              <w:keepNext/>
              <w:spacing w:before="40" w:after="20" w:line="240" w:lineRule="auto"/>
              <w:jc w:val="center"/>
              <w:rPr>
                <w:b/>
                <w:sz w:val="20"/>
              </w:rPr>
            </w:pPr>
            <w:r w:rsidRPr="00556987">
              <w:rPr>
                <w:b/>
                <w:sz w:val="20"/>
              </w:rPr>
              <w:t>ADA</w:t>
            </w:r>
          </w:p>
        </w:tc>
      </w:tr>
      <w:tr w:rsidR="00556987" w:rsidTr="00806394">
        <w:trPr>
          <w:trHeight w:val="794"/>
          <w:jc w:val="center"/>
        </w:trPr>
        <w:tc>
          <w:tcPr>
            <w:tcW w:w="6291" w:type="dxa"/>
            <w:shd w:val="clear" w:color="auto" w:fill="auto"/>
            <w:vAlign w:val="center"/>
          </w:tcPr>
          <w:p w:rsidR="00556987" w:rsidRPr="00DE0067" w:rsidRDefault="00556987" w:rsidP="00806394">
            <w:pPr>
              <w:spacing w:before="40" w:after="20" w:line="240" w:lineRule="auto"/>
              <w:jc w:val="left"/>
            </w:pPr>
            <w:r w:rsidRPr="00DE0067">
              <w:t>Terras passíveis de serem utilizadas com culturas anuais ou perenes (incluindo aquelas com limitações para esses usos)</w:t>
            </w:r>
          </w:p>
        </w:tc>
        <w:tc>
          <w:tcPr>
            <w:tcW w:w="1134" w:type="dxa"/>
            <w:shd w:val="clear" w:color="auto" w:fill="auto"/>
            <w:vAlign w:val="center"/>
          </w:tcPr>
          <w:p w:rsidR="00556987" w:rsidRPr="00DE0067" w:rsidRDefault="006C7C4A" w:rsidP="00806394">
            <w:pPr>
              <w:spacing w:before="40" w:after="20" w:line="240" w:lineRule="auto"/>
              <w:jc w:val="center"/>
            </w:pPr>
            <w:r>
              <w:t>6</w:t>
            </w:r>
            <w:r w:rsidR="00556987" w:rsidRPr="00DE0067">
              <w:t>4%</w:t>
            </w:r>
          </w:p>
        </w:tc>
        <w:tc>
          <w:tcPr>
            <w:tcW w:w="877" w:type="dxa"/>
            <w:gridSpan w:val="2"/>
            <w:vAlign w:val="center"/>
          </w:tcPr>
          <w:p w:rsidR="00556987" w:rsidRPr="00DE0067" w:rsidRDefault="006C7C4A" w:rsidP="00806394">
            <w:pPr>
              <w:spacing w:before="40" w:after="20" w:line="240" w:lineRule="auto"/>
              <w:jc w:val="center"/>
            </w:pPr>
            <w:r>
              <w:t>39</w:t>
            </w:r>
            <w:r w:rsidR="00556987" w:rsidRPr="00DE0067">
              <w:t>%</w:t>
            </w:r>
          </w:p>
        </w:tc>
        <w:tc>
          <w:tcPr>
            <w:tcW w:w="877" w:type="dxa"/>
            <w:gridSpan w:val="2"/>
            <w:vAlign w:val="center"/>
          </w:tcPr>
          <w:p w:rsidR="00556987" w:rsidRPr="00DE0067" w:rsidRDefault="006C7C4A" w:rsidP="00806394">
            <w:pPr>
              <w:spacing w:before="40" w:after="20" w:line="240" w:lineRule="auto"/>
              <w:jc w:val="center"/>
            </w:pPr>
            <w:r>
              <w:t>53</w:t>
            </w:r>
            <w:r w:rsidR="00556987" w:rsidRPr="00DE0067">
              <w:t>%</w:t>
            </w:r>
          </w:p>
        </w:tc>
      </w:tr>
      <w:tr w:rsidR="00556987" w:rsidTr="00806394">
        <w:trPr>
          <w:jc w:val="center"/>
        </w:trPr>
        <w:tc>
          <w:tcPr>
            <w:tcW w:w="6291" w:type="dxa"/>
            <w:shd w:val="clear" w:color="auto" w:fill="auto"/>
            <w:vAlign w:val="center"/>
          </w:tcPr>
          <w:p w:rsidR="00556987" w:rsidRPr="00DE0067" w:rsidRDefault="00556987" w:rsidP="00806394">
            <w:pPr>
              <w:spacing w:before="40" w:after="20" w:line="240" w:lineRule="auto"/>
              <w:jc w:val="left"/>
            </w:pPr>
            <w:r w:rsidRPr="00DE0067">
              <w:t>Terras normalmente impróprias para cultivos intensivos com culturas, mas adaptadas para uso com pastagem e/ou reflorestamento</w:t>
            </w:r>
          </w:p>
        </w:tc>
        <w:tc>
          <w:tcPr>
            <w:tcW w:w="1134" w:type="dxa"/>
            <w:shd w:val="clear" w:color="auto" w:fill="auto"/>
            <w:vAlign w:val="center"/>
          </w:tcPr>
          <w:p w:rsidR="00556987" w:rsidRPr="00DE0067" w:rsidRDefault="006C7C4A" w:rsidP="00806394">
            <w:pPr>
              <w:spacing w:before="40" w:after="20" w:line="240" w:lineRule="auto"/>
              <w:jc w:val="center"/>
            </w:pPr>
            <w:r>
              <w:t>3</w:t>
            </w:r>
            <w:r w:rsidR="00556987" w:rsidRPr="00DE0067">
              <w:t>6%</w:t>
            </w:r>
          </w:p>
        </w:tc>
        <w:tc>
          <w:tcPr>
            <w:tcW w:w="877" w:type="dxa"/>
            <w:gridSpan w:val="2"/>
            <w:vAlign w:val="center"/>
          </w:tcPr>
          <w:p w:rsidR="00556987" w:rsidRPr="00DE0067" w:rsidRDefault="006C7C4A" w:rsidP="00806394">
            <w:pPr>
              <w:spacing w:before="40" w:after="20" w:line="240" w:lineRule="auto"/>
              <w:jc w:val="center"/>
            </w:pPr>
            <w:r>
              <w:t>61</w:t>
            </w:r>
            <w:r w:rsidR="00556987" w:rsidRPr="00DE0067">
              <w:t>%</w:t>
            </w:r>
          </w:p>
        </w:tc>
        <w:tc>
          <w:tcPr>
            <w:tcW w:w="877" w:type="dxa"/>
            <w:gridSpan w:val="2"/>
            <w:vAlign w:val="center"/>
          </w:tcPr>
          <w:p w:rsidR="00556987" w:rsidRPr="00DE0067" w:rsidRDefault="006C7C4A" w:rsidP="00806394">
            <w:pPr>
              <w:spacing w:before="40" w:after="20" w:line="240" w:lineRule="auto"/>
              <w:jc w:val="center"/>
            </w:pPr>
            <w:r>
              <w:t>47</w:t>
            </w:r>
            <w:r w:rsidR="00556987" w:rsidRPr="00DE0067">
              <w:t>%</w:t>
            </w:r>
          </w:p>
        </w:tc>
      </w:tr>
      <w:tr w:rsidR="00556987" w:rsidTr="00806394">
        <w:trPr>
          <w:jc w:val="center"/>
        </w:trPr>
        <w:tc>
          <w:tcPr>
            <w:tcW w:w="6291" w:type="dxa"/>
            <w:shd w:val="clear" w:color="auto" w:fill="auto"/>
            <w:vAlign w:val="center"/>
          </w:tcPr>
          <w:p w:rsidR="00556987" w:rsidRPr="00DE0067" w:rsidRDefault="00556987" w:rsidP="00806394">
            <w:pPr>
              <w:spacing w:before="40" w:after="20" w:line="240" w:lineRule="auto"/>
              <w:jc w:val="left"/>
            </w:pPr>
            <w:r w:rsidRPr="00DE0067">
              <w:t>Terras não adaptadas para uso com culturas, pastagens ou reflorestamento</w:t>
            </w:r>
          </w:p>
        </w:tc>
        <w:tc>
          <w:tcPr>
            <w:tcW w:w="1134" w:type="dxa"/>
            <w:shd w:val="clear" w:color="auto" w:fill="auto"/>
            <w:vAlign w:val="center"/>
          </w:tcPr>
          <w:p w:rsidR="00556987" w:rsidRPr="00DE0067" w:rsidRDefault="00556987" w:rsidP="006C7C4A">
            <w:pPr>
              <w:spacing w:before="40" w:after="20" w:line="240" w:lineRule="auto"/>
              <w:jc w:val="center"/>
            </w:pPr>
            <w:r w:rsidRPr="00DE0067">
              <w:t>0,0</w:t>
            </w:r>
            <w:r w:rsidR="006C7C4A">
              <w:t>2</w:t>
            </w:r>
            <w:r w:rsidRPr="00DE0067">
              <w:t>%</w:t>
            </w:r>
          </w:p>
        </w:tc>
        <w:tc>
          <w:tcPr>
            <w:tcW w:w="877" w:type="dxa"/>
            <w:gridSpan w:val="2"/>
            <w:vAlign w:val="center"/>
          </w:tcPr>
          <w:p w:rsidR="00556987" w:rsidRPr="00DE0067" w:rsidRDefault="00556987" w:rsidP="006C7C4A">
            <w:pPr>
              <w:spacing w:before="40" w:after="20" w:line="240" w:lineRule="auto"/>
              <w:jc w:val="center"/>
            </w:pPr>
            <w:r w:rsidRPr="00DE0067">
              <w:t>0,</w:t>
            </w:r>
            <w:r w:rsidR="006C7C4A">
              <w:t>2</w:t>
            </w:r>
            <w:r w:rsidRPr="00DE0067">
              <w:t>%</w:t>
            </w:r>
          </w:p>
        </w:tc>
        <w:tc>
          <w:tcPr>
            <w:tcW w:w="877" w:type="dxa"/>
            <w:gridSpan w:val="2"/>
            <w:vAlign w:val="center"/>
          </w:tcPr>
          <w:p w:rsidR="00556987" w:rsidRPr="00DE0067" w:rsidRDefault="00556987" w:rsidP="00806394">
            <w:pPr>
              <w:spacing w:before="40" w:after="20" w:line="240" w:lineRule="auto"/>
              <w:jc w:val="center"/>
            </w:pPr>
            <w:r w:rsidRPr="00DE0067">
              <w:t>0,1%</w:t>
            </w:r>
          </w:p>
        </w:tc>
      </w:tr>
      <w:tr w:rsidR="00556987" w:rsidTr="00806394">
        <w:trPr>
          <w:trHeight w:val="491"/>
          <w:jc w:val="center"/>
        </w:trPr>
        <w:tc>
          <w:tcPr>
            <w:tcW w:w="6291" w:type="dxa"/>
            <w:shd w:val="clear" w:color="auto" w:fill="auto"/>
            <w:vAlign w:val="center"/>
          </w:tcPr>
          <w:p w:rsidR="00556987" w:rsidRPr="00DE0067" w:rsidRDefault="00556987" w:rsidP="00806394">
            <w:pPr>
              <w:spacing w:before="40" w:after="20" w:line="240" w:lineRule="auto"/>
              <w:jc w:val="left"/>
            </w:pPr>
            <w:r w:rsidRPr="00DE0067">
              <w:t>Total das Terras</w:t>
            </w:r>
          </w:p>
        </w:tc>
        <w:tc>
          <w:tcPr>
            <w:tcW w:w="1134" w:type="dxa"/>
            <w:shd w:val="clear" w:color="auto" w:fill="auto"/>
            <w:vAlign w:val="center"/>
          </w:tcPr>
          <w:p w:rsidR="00556987" w:rsidRPr="00DE0067" w:rsidRDefault="00556987" w:rsidP="00806394">
            <w:pPr>
              <w:spacing w:before="40" w:after="20" w:line="240" w:lineRule="auto"/>
              <w:jc w:val="center"/>
            </w:pPr>
            <w:r w:rsidRPr="00DE0067">
              <w:t>100%</w:t>
            </w:r>
          </w:p>
        </w:tc>
        <w:tc>
          <w:tcPr>
            <w:tcW w:w="877" w:type="dxa"/>
            <w:gridSpan w:val="2"/>
            <w:vAlign w:val="center"/>
          </w:tcPr>
          <w:p w:rsidR="00556987" w:rsidRPr="00DE0067" w:rsidRDefault="00556987" w:rsidP="00806394">
            <w:pPr>
              <w:spacing w:before="40" w:after="20" w:line="240" w:lineRule="auto"/>
              <w:jc w:val="center"/>
            </w:pPr>
            <w:r w:rsidRPr="00DE0067">
              <w:t>100%</w:t>
            </w:r>
          </w:p>
        </w:tc>
        <w:tc>
          <w:tcPr>
            <w:tcW w:w="877" w:type="dxa"/>
            <w:gridSpan w:val="2"/>
            <w:vAlign w:val="center"/>
          </w:tcPr>
          <w:p w:rsidR="00556987" w:rsidRPr="00DE0067" w:rsidRDefault="00556987" w:rsidP="00806394">
            <w:pPr>
              <w:spacing w:before="40" w:after="20" w:line="240" w:lineRule="auto"/>
              <w:jc w:val="center"/>
            </w:pPr>
            <w:r w:rsidRPr="00DE0067">
              <w:t>100%</w:t>
            </w:r>
          </w:p>
        </w:tc>
      </w:tr>
    </w:tbl>
    <w:p w:rsidR="00B635BB" w:rsidRDefault="00B635BB" w:rsidP="00982762">
      <w:pPr>
        <w:spacing w:line="240" w:lineRule="auto"/>
      </w:pPr>
    </w:p>
    <w:p w:rsidR="00B635BB" w:rsidRDefault="00E827B8" w:rsidP="00B635BB">
      <w:pPr>
        <w:spacing w:line="240" w:lineRule="auto"/>
      </w:pPr>
      <w:r>
        <w:t>Apesar</w:t>
      </w:r>
      <w:r w:rsidR="00B635BB" w:rsidRPr="00556987">
        <w:t xml:space="preserve"> </w:t>
      </w:r>
      <w:r>
        <w:t>d</w:t>
      </w:r>
      <w:r w:rsidR="00B635BB" w:rsidRPr="00556987">
        <w:t xml:space="preserve">o percentual de “Terras passíveis de serem utilizadas com culturas anuais ou perenes (incluindo aquelas com limitações para esses usos)” representa </w:t>
      </w:r>
      <w:r w:rsidR="006C7C4A">
        <w:t>6</w:t>
      </w:r>
      <w:r w:rsidR="00B635BB" w:rsidRPr="00556987">
        <w:t xml:space="preserve">4% do reservatório e </w:t>
      </w:r>
      <w:r w:rsidR="006C7C4A">
        <w:t>53</w:t>
      </w:r>
      <w:r w:rsidR="00B635BB" w:rsidRPr="00556987">
        <w:t>% da ADA, mas apenas 36% da AID-Duas Pontes, considera-se que o impacto da Perda dos Solos com Potencial Agrícola pode ser classificado como de magnitude pequena, pois ocorre em uma porção pequena da área do município</w:t>
      </w:r>
      <w:r w:rsidR="005E3CAB">
        <w:t xml:space="preserve"> de Amparo (o reservatório ocupa 1% das terras do município)</w:t>
      </w:r>
      <w:r w:rsidR="00B635BB" w:rsidRPr="00556987">
        <w:t>. Mas a sua importância é média considerando que as terras com as mesmas características são bem menos representativas na AID. O Impacto é local se restringindo a ADA, permanente, de ocorrência certa no final da implantação do projeto com o enchimento do Reservatório. O impacto é não mitigável.</w:t>
      </w:r>
    </w:p>
    <w:p w:rsidR="00B52FDC" w:rsidRDefault="00B52FDC" w:rsidP="00B635BB">
      <w:pPr>
        <w:spacing w:line="240" w:lineRule="auto"/>
      </w:pPr>
    </w:p>
    <w:p w:rsidR="00B52FDC" w:rsidRPr="006F141D" w:rsidRDefault="008D3A12" w:rsidP="006F141D">
      <w:pPr>
        <w:pStyle w:val="Legenda"/>
        <w:spacing w:before="0" w:after="0" w:line="240" w:lineRule="auto"/>
        <w:jc w:val="center"/>
        <w:rPr>
          <w:rFonts w:cs="Arial"/>
          <w:b w:val="0"/>
          <w:bCs/>
          <w:i w:val="0"/>
          <w:szCs w:val="22"/>
        </w:rPr>
      </w:pPr>
      <w:bookmarkStart w:id="248" w:name="_Toc420316477"/>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34</w:t>
      </w:r>
      <w:r w:rsidR="00B80A05" w:rsidRPr="006F141D">
        <w:rPr>
          <w:i w:val="0"/>
        </w:rPr>
        <w:fldChar w:fldCharType="end"/>
      </w:r>
      <w:r w:rsidR="006F141D" w:rsidRPr="006F141D">
        <w:rPr>
          <w:i w:val="0"/>
        </w:rPr>
        <w:t>.</w:t>
      </w:r>
      <w:r w:rsidR="006F141D" w:rsidRPr="006F141D">
        <w:rPr>
          <w:b w:val="0"/>
          <w:i w:val="0"/>
        </w:rPr>
        <w:t xml:space="preserve"> - </w:t>
      </w:r>
      <w:r w:rsidR="00B52FDC" w:rsidRPr="006F141D">
        <w:rPr>
          <w:rFonts w:eastAsia="Calibri"/>
          <w:b w:val="0"/>
          <w:bCs/>
          <w:i w:val="0"/>
          <w:szCs w:val="22"/>
          <w:lang w:eastAsia="en-US"/>
        </w:rPr>
        <w:t>Caracterização do</w:t>
      </w:r>
      <w:r w:rsidR="00B52FDC" w:rsidRPr="006F141D">
        <w:rPr>
          <w:rFonts w:cs="Arial"/>
          <w:b w:val="0"/>
          <w:bCs/>
          <w:i w:val="0"/>
          <w:szCs w:val="22"/>
        </w:rPr>
        <w:t xml:space="preserve"> Impacto - Perda de Solos com Potencial Agrícola</w:t>
      </w:r>
      <w:bookmarkEnd w:id="248"/>
    </w:p>
    <w:p w:rsidR="00B52FDC" w:rsidRDefault="00B52FDC" w:rsidP="006F141D">
      <w:pPr>
        <w:tabs>
          <w:tab w:val="left" w:pos="1134"/>
          <w:tab w:val="center" w:pos="4677"/>
          <w:tab w:val="left" w:pos="6075"/>
        </w:tabs>
        <w:spacing w:line="240" w:lineRule="auto"/>
        <w:jc w:val="center"/>
        <w:rPr>
          <w:rFonts w:cs="Arial"/>
          <w:bCs/>
          <w:szCs w:val="22"/>
        </w:rPr>
      </w:pPr>
      <w:r w:rsidRPr="006F141D">
        <w:rPr>
          <w:rFonts w:cs="Arial"/>
          <w:bCs/>
          <w:szCs w:val="22"/>
        </w:rPr>
        <w:t>Barragem Pedreira</w:t>
      </w:r>
    </w:p>
    <w:p w:rsidR="006F141D" w:rsidRPr="006F141D" w:rsidRDefault="006F141D" w:rsidP="006F141D">
      <w:pPr>
        <w:tabs>
          <w:tab w:val="left" w:pos="1134"/>
          <w:tab w:val="center" w:pos="4677"/>
          <w:tab w:val="left" w:pos="6075"/>
        </w:tabs>
        <w:spacing w:line="240" w:lineRule="auto"/>
        <w:jc w:val="center"/>
        <w:rPr>
          <w:rFonts w:cs="Arial"/>
          <w:bCs/>
          <w:szCs w:val="22"/>
        </w:rPr>
      </w:pPr>
    </w:p>
    <w:tbl>
      <w:tblPr>
        <w:tblW w:w="0" w:type="auto"/>
        <w:jc w:val="center"/>
        <w:tblInd w:w="231" w:type="dxa"/>
        <w:tblCellMar>
          <w:left w:w="0" w:type="dxa"/>
          <w:right w:w="0" w:type="dxa"/>
        </w:tblCellMar>
        <w:tblLook w:val="04A0" w:firstRow="1" w:lastRow="0" w:firstColumn="1" w:lastColumn="0" w:noHBand="0" w:noVBand="1"/>
      </w:tblPr>
      <w:tblGrid>
        <w:gridCol w:w="1236"/>
        <w:gridCol w:w="1236"/>
        <w:gridCol w:w="1894"/>
        <w:gridCol w:w="1550"/>
        <w:gridCol w:w="2994"/>
      </w:tblGrid>
      <w:tr w:rsidR="00B52FDC" w:rsidRPr="00254B6A" w:rsidTr="007D4692">
        <w:trPr>
          <w:trHeight w:val="375"/>
          <w:jc w:val="center"/>
        </w:trPr>
        <w:tc>
          <w:tcPr>
            <w:tcW w:w="1236"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rsidR="00B52FDC" w:rsidRPr="00254B6A" w:rsidRDefault="00B52FDC" w:rsidP="007D4692">
            <w:pPr>
              <w:tabs>
                <w:tab w:val="left" w:pos="1134"/>
              </w:tabs>
              <w:spacing w:line="240" w:lineRule="auto"/>
              <w:jc w:val="center"/>
              <w:rPr>
                <w:rFonts w:cs="Arial"/>
                <w:b/>
                <w:bCs/>
                <w:sz w:val="20"/>
              </w:rPr>
            </w:pPr>
            <w:r w:rsidRPr="00254B6A">
              <w:rPr>
                <w:rFonts w:cs="Arial"/>
                <w:b/>
                <w:bCs/>
                <w:sz w:val="20"/>
              </w:rPr>
              <w:t>Natureza</w:t>
            </w:r>
          </w:p>
        </w:tc>
        <w:tc>
          <w:tcPr>
            <w:tcW w:w="1236"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B52FDC" w:rsidRPr="00254B6A" w:rsidRDefault="00B52FDC" w:rsidP="007D4692">
            <w:pPr>
              <w:tabs>
                <w:tab w:val="left" w:pos="1134"/>
              </w:tabs>
              <w:spacing w:line="240" w:lineRule="auto"/>
              <w:jc w:val="center"/>
              <w:rPr>
                <w:rFonts w:cs="Arial"/>
                <w:b/>
                <w:bCs/>
                <w:sz w:val="20"/>
              </w:rPr>
            </w:pPr>
            <w:r w:rsidRPr="00254B6A">
              <w:rPr>
                <w:rFonts w:cs="Arial"/>
                <w:b/>
                <w:bCs/>
                <w:sz w:val="20"/>
              </w:rPr>
              <w:t>Ordem</w:t>
            </w:r>
          </w:p>
        </w:tc>
        <w:tc>
          <w:tcPr>
            <w:tcW w:w="1894"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B52FDC" w:rsidRPr="00254B6A" w:rsidRDefault="00B52FDC" w:rsidP="007D4692">
            <w:pPr>
              <w:tabs>
                <w:tab w:val="left" w:pos="1134"/>
              </w:tabs>
              <w:spacing w:line="240" w:lineRule="auto"/>
              <w:jc w:val="center"/>
              <w:rPr>
                <w:rFonts w:cs="Arial"/>
                <w:b/>
                <w:bCs/>
                <w:sz w:val="20"/>
              </w:rPr>
            </w:pPr>
            <w:r w:rsidRPr="00254B6A">
              <w:rPr>
                <w:rFonts w:cs="Arial"/>
                <w:b/>
                <w:bCs/>
                <w:sz w:val="20"/>
              </w:rPr>
              <w:t>Abrangência</w:t>
            </w:r>
          </w:p>
        </w:tc>
        <w:tc>
          <w:tcPr>
            <w:tcW w:w="155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B52FDC" w:rsidRPr="00254B6A" w:rsidRDefault="00B52FDC" w:rsidP="007D4692">
            <w:pPr>
              <w:tabs>
                <w:tab w:val="left" w:pos="1134"/>
              </w:tabs>
              <w:spacing w:line="240" w:lineRule="auto"/>
              <w:jc w:val="center"/>
              <w:rPr>
                <w:rFonts w:cs="Arial"/>
                <w:b/>
                <w:bCs/>
                <w:sz w:val="20"/>
              </w:rPr>
            </w:pPr>
            <w:r w:rsidRPr="00254B6A">
              <w:rPr>
                <w:rFonts w:cs="Arial"/>
                <w:b/>
                <w:bCs/>
                <w:sz w:val="20"/>
              </w:rPr>
              <w:t>Duração</w:t>
            </w:r>
          </w:p>
        </w:tc>
        <w:tc>
          <w:tcPr>
            <w:tcW w:w="2994"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B52FDC" w:rsidRPr="00254B6A" w:rsidRDefault="00B52FDC" w:rsidP="007D4692">
            <w:pPr>
              <w:tabs>
                <w:tab w:val="left" w:pos="1134"/>
              </w:tabs>
              <w:spacing w:line="240" w:lineRule="auto"/>
              <w:jc w:val="center"/>
              <w:rPr>
                <w:rFonts w:cs="Arial"/>
                <w:b/>
                <w:bCs/>
                <w:sz w:val="20"/>
              </w:rPr>
            </w:pPr>
            <w:r w:rsidRPr="00254B6A">
              <w:rPr>
                <w:rFonts w:cs="Arial"/>
                <w:b/>
                <w:bCs/>
                <w:sz w:val="20"/>
              </w:rPr>
              <w:t>Probabilidade de Ocorrência</w:t>
            </w:r>
          </w:p>
        </w:tc>
      </w:tr>
      <w:tr w:rsidR="00B52FDC" w:rsidRPr="00254B6A" w:rsidTr="007D4692">
        <w:trPr>
          <w:trHeight w:hRule="exact" w:val="426"/>
          <w:jc w:val="center"/>
        </w:trPr>
        <w:tc>
          <w:tcPr>
            <w:tcW w:w="123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B52FDC" w:rsidRPr="00254B6A" w:rsidRDefault="00B52FDC" w:rsidP="007D4692">
            <w:pPr>
              <w:tabs>
                <w:tab w:val="left" w:pos="1134"/>
              </w:tabs>
              <w:spacing w:line="240" w:lineRule="auto"/>
              <w:jc w:val="center"/>
              <w:rPr>
                <w:rFonts w:cs="Arial"/>
                <w:sz w:val="20"/>
              </w:rPr>
            </w:pPr>
            <w:r w:rsidRPr="00254B6A">
              <w:rPr>
                <w:rFonts w:cs="Arial"/>
                <w:sz w:val="20"/>
              </w:rPr>
              <w:t>Negativa</w:t>
            </w:r>
          </w:p>
        </w:tc>
        <w:tc>
          <w:tcPr>
            <w:tcW w:w="12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B52FDC" w:rsidRPr="00254B6A" w:rsidRDefault="00B52FDC" w:rsidP="007D4692">
            <w:pPr>
              <w:tabs>
                <w:tab w:val="left" w:pos="1134"/>
              </w:tabs>
              <w:spacing w:line="240" w:lineRule="auto"/>
              <w:jc w:val="center"/>
              <w:rPr>
                <w:rFonts w:cs="Arial"/>
                <w:sz w:val="20"/>
              </w:rPr>
            </w:pPr>
            <w:r w:rsidRPr="00254B6A">
              <w:rPr>
                <w:rFonts w:cs="Arial"/>
                <w:sz w:val="20"/>
              </w:rPr>
              <w:t>Direta</w:t>
            </w:r>
          </w:p>
        </w:tc>
        <w:tc>
          <w:tcPr>
            <w:tcW w:w="18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B52FDC" w:rsidRPr="00254B6A" w:rsidRDefault="00B52FDC" w:rsidP="007D4692">
            <w:pPr>
              <w:tabs>
                <w:tab w:val="left" w:pos="1134"/>
              </w:tabs>
              <w:spacing w:line="240" w:lineRule="auto"/>
              <w:jc w:val="center"/>
              <w:rPr>
                <w:rFonts w:cs="Arial"/>
                <w:sz w:val="20"/>
              </w:rPr>
            </w:pPr>
            <w:r w:rsidRPr="00254B6A">
              <w:rPr>
                <w:rFonts w:cs="Arial"/>
                <w:sz w:val="20"/>
              </w:rPr>
              <w:t>Local</w:t>
            </w:r>
            <w:r>
              <w:rPr>
                <w:rFonts w:cs="Arial"/>
                <w:sz w:val="20"/>
              </w:rPr>
              <w:t xml:space="preserve"> (</w:t>
            </w:r>
            <w:r w:rsidRPr="00254B6A">
              <w:rPr>
                <w:rFonts w:cs="Arial"/>
                <w:sz w:val="20"/>
              </w:rPr>
              <w:t>ADA)</w:t>
            </w:r>
          </w:p>
        </w:tc>
        <w:tc>
          <w:tcPr>
            <w:tcW w:w="1550" w:type="dxa"/>
            <w:tcBorders>
              <w:top w:val="nil"/>
              <w:left w:val="nil"/>
              <w:bottom w:val="single" w:sz="8" w:space="0" w:color="auto"/>
              <w:right w:val="single" w:sz="8" w:space="0" w:color="auto"/>
            </w:tcBorders>
            <w:tcMar>
              <w:top w:w="0" w:type="dxa"/>
              <w:left w:w="108" w:type="dxa"/>
              <w:bottom w:w="0" w:type="dxa"/>
              <w:right w:w="108" w:type="dxa"/>
            </w:tcMar>
            <w:vAlign w:val="center"/>
          </w:tcPr>
          <w:p w:rsidR="00B52FDC" w:rsidRPr="00254B6A" w:rsidRDefault="00B52FDC" w:rsidP="007D4692">
            <w:pPr>
              <w:tabs>
                <w:tab w:val="left" w:pos="1134"/>
              </w:tabs>
              <w:spacing w:line="240" w:lineRule="auto"/>
              <w:jc w:val="center"/>
              <w:rPr>
                <w:rFonts w:cs="Arial"/>
                <w:sz w:val="20"/>
              </w:rPr>
            </w:pPr>
            <w:r>
              <w:rPr>
                <w:rFonts w:cs="Arial"/>
                <w:sz w:val="20"/>
              </w:rPr>
              <w:t>Permanente</w:t>
            </w:r>
          </w:p>
        </w:tc>
        <w:tc>
          <w:tcPr>
            <w:tcW w:w="29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B52FDC" w:rsidRPr="00254B6A" w:rsidRDefault="00B52FDC" w:rsidP="007D4692">
            <w:pPr>
              <w:tabs>
                <w:tab w:val="left" w:pos="1134"/>
              </w:tabs>
              <w:spacing w:line="240" w:lineRule="auto"/>
              <w:jc w:val="center"/>
              <w:rPr>
                <w:rFonts w:cs="Arial"/>
                <w:sz w:val="20"/>
              </w:rPr>
            </w:pPr>
            <w:r>
              <w:rPr>
                <w:rFonts w:cs="Arial"/>
                <w:sz w:val="20"/>
              </w:rPr>
              <w:t>Certa</w:t>
            </w:r>
          </w:p>
        </w:tc>
      </w:tr>
    </w:tbl>
    <w:p w:rsidR="00B52FDC" w:rsidRDefault="00B52FDC" w:rsidP="00B52FDC">
      <w:pPr>
        <w:tabs>
          <w:tab w:val="left" w:pos="1134"/>
        </w:tabs>
        <w:spacing w:line="240" w:lineRule="auto"/>
        <w:jc w:val="center"/>
        <w:rPr>
          <w:rFonts w:cs="Arial"/>
          <w:sz w:val="20"/>
        </w:rPr>
      </w:pPr>
    </w:p>
    <w:tbl>
      <w:tblPr>
        <w:tblW w:w="0" w:type="auto"/>
        <w:jc w:val="center"/>
        <w:tblInd w:w="-59" w:type="dxa"/>
        <w:tblLayout w:type="fixed"/>
        <w:tblCellMar>
          <w:left w:w="0" w:type="dxa"/>
          <w:right w:w="0" w:type="dxa"/>
        </w:tblCellMar>
        <w:tblLook w:val="04A0" w:firstRow="1" w:lastRow="0" w:firstColumn="1" w:lastColumn="0" w:noHBand="0" w:noVBand="1"/>
      </w:tblPr>
      <w:tblGrid>
        <w:gridCol w:w="2468"/>
        <w:gridCol w:w="1926"/>
        <w:gridCol w:w="1560"/>
        <w:gridCol w:w="1474"/>
        <w:gridCol w:w="1475"/>
      </w:tblGrid>
      <w:tr w:rsidR="00B52FDC" w:rsidRPr="00254B6A" w:rsidTr="007D4692">
        <w:trPr>
          <w:trHeight w:hRule="exact" w:val="377"/>
          <w:jc w:val="center"/>
        </w:trPr>
        <w:tc>
          <w:tcPr>
            <w:tcW w:w="2468"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rsidR="00B52FDC" w:rsidRPr="00254B6A" w:rsidRDefault="00B52FDC" w:rsidP="007D4692">
            <w:pPr>
              <w:tabs>
                <w:tab w:val="left" w:pos="1134"/>
              </w:tabs>
              <w:spacing w:before="120" w:after="120" w:line="240" w:lineRule="auto"/>
              <w:jc w:val="center"/>
              <w:rPr>
                <w:rFonts w:cs="Arial"/>
                <w:b/>
                <w:bCs/>
                <w:sz w:val="20"/>
              </w:rPr>
            </w:pPr>
            <w:r w:rsidRPr="00254B6A">
              <w:rPr>
                <w:rFonts w:cs="Arial"/>
                <w:b/>
                <w:bCs/>
                <w:sz w:val="20"/>
              </w:rPr>
              <w:t>Época de Ocorrência</w:t>
            </w:r>
          </w:p>
        </w:tc>
        <w:tc>
          <w:tcPr>
            <w:tcW w:w="1926"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B52FDC" w:rsidRPr="00254B6A" w:rsidRDefault="00B52FDC" w:rsidP="007D4692">
            <w:pPr>
              <w:tabs>
                <w:tab w:val="left" w:pos="1134"/>
              </w:tabs>
              <w:spacing w:before="120" w:after="120" w:line="240" w:lineRule="auto"/>
              <w:jc w:val="center"/>
              <w:rPr>
                <w:rFonts w:cs="Arial"/>
                <w:b/>
                <w:bCs/>
                <w:sz w:val="20"/>
              </w:rPr>
            </w:pPr>
            <w:r w:rsidRPr="00254B6A">
              <w:rPr>
                <w:rFonts w:cs="Arial"/>
                <w:b/>
                <w:bCs/>
                <w:sz w:val="20"/>
              </w:rPr>
              <w:t>Reversibilidade</w:t>
            </w:r>
          </w:p>
        </w:tc>
        <w:tc>
          <w:tcPr>
            <w:tcW w:w="156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B52FDC" w:rsidRPr="00254B6A" w:rsidRDefault="00B52FDC" w:rsidP="007D4692">
            <w:pPr>
              <w:tabs>
                <w:tab w:val="left" w:pos="1134"/>
              </w:tabs>
              <w:spacing w:before="120" w:after="120" w:line="240" w:lineRule="auto"/>
              <w:jc w:val="center"/>
              <w:rPr>
                <w:rFonts w:cs="Arial"/>
                <w:b/>
                <w:bCs/>
                <w:sz w:val="20"/>
              </w:rPr>
            </w:pPr>
            <w:r w:rsidRPr="00254B6A">
              <w:rPr>
                <w:rFonts w:cs="Arial"/>
                <w:b/>
                <w:bCs/>
                <w:sz w:val="20"/>
              </w:rPr>
              <w:t>Magnitude</w:t>
            </w:r>
          </w:p>
        </w:tc>
        <w:tc>
          <w:tcPr>
            <w:tcW w:w="1474"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B52FDC" w:rsidRPr="00254B6A" w:rsidRDefault="00B52FDC" w:rsidP="007D4692">
            <w:pPr>
              <w:tabs>
                <w:tab w:val="left" w:pos="1134"/>
              </w:tabs>
              <w:spacing w:before="120" w:after="120" w:line="240" w:lineRule="auto"/>
              <w:jc w:val="center"/>
              <w:rPr>
                <w:rFonts w:cs="Arial"/>
                <w:b/>
                <w:bCs/>
                <w:sz w:val="20"/>
              </w:rPr>
            </w:pPr>
            <w:r w:rsidRPr="00254B6A">
              <w:rPr>
                <w:rFonts w:cs="Arial"/>
                <w:b/>
                <w:bCs/>
                <w:sz w:val="20"/>
              </w:rPr>
              <w:t>Importância</w:t>
            </w:r>
          </w:p>
        </w:tc>
        <w:tc>
          <w:tcPr>
            <w:tcW w:w="1475"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B52FDC" w:rsidRPr="00254B6A" w:rsidRDefault="00B52FDC" w:rsidP="007D4692">
            <w:pPr>
              <w:tabs>
                <w:tab w:val="left" w:pos="1134"/>
              </w:tabs>
              <w:spacing w:before="120" w:after="120" w:line="240" w:lineRule="auto"/>
              <w:jc w:val="center"/>
              <w:rPr>
                <w:rFonts w:cs="Arial"/>
                <w:b/>
                <w:bCs/>
                <w:sz w:val="20"/>
              </w:rPr>
            </w:pPr>
            <w:r w:rsidRPr="00254B6A">
              <w:rPr>
                <w:rFonts w:cs="Arial"/>
                <w:b/>
                <w:bCs/>
                <w:sz w:val="20"/>
              </w:rPr>
              <w:t>Mitigação</w:t>
            </w:r>
          </w:p>
        </w:tc>
      </w:tr>
      <w:tr w:rsidR="00B52FDC" w:rsidRPr="00254B6A" w:rsidTr="007D4692">
        <w:trPr>
          <w:trHeight w:hRule="exact" w:val="439"/>
          <w:jc w:val="center"/>
        </w:trPr>
        <w:tc>
          <w:tcPr>
            <w:tcW w:w="24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B52FDC" w:rsidRPr="00254B6A" w:rsidRDefault="00B52FDC" w:rsidP="007D4692">
            <w:pPr>
              <w:tabs>
                <w:tab w:val="left" w:pos="1134"/>
              </w:tabs>
              <w:spacing w:before="120" w:after="120" w:line="240" w:lineRule="auto"/>
              <w:jc w:val="center"/>
              <w:rPr>
                <w:rFonts w:cs="Arial"/>
                <w:sz w:val="20"/>
              </w:rPr>
            </w:pPr>
            <w:r w:rsidRPr="00254B6A">
              <w:rPr>
                <w:rFonts w:cs="Arial"/>
                <w:sz w:val="20"/>
              </w:rPr>
              <w:t>Curto Prazo</w:t>
            </w:r>
          </w:p>
        </w:tc>
        <w:tc>
          <w:tcPr>
            <w:tcW w:w="192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B52FDC" w:rsidRPr="00254B6A" w:rsidRDefault="00B52FDC" w:rsidP="007D4692">
            <w:pPr>
              <w:tabs>
                <w:tab w:val="left" w:pos="1134"/>
              </w:tabs>
              <w:spacing w:before="120" w:after="120" w:line="240" w:lineRule="auto"/>
              <w:jc w:val="center"/>
              <w:rPr>
                <w:rFonts w:cs="Arial"/>
                <w:sz w:val="20"/>
              </w:rPr>
            </w:pPr>
            <w:r>
              <w:rPr>
                <w:rFonts w:cs="Arial"/>
                <w:sz w:val="20"/>
              </w:rPr>
              <w:t>Irr</w:t>
            </w:r>
            <w:r w:rsidRPr="00254B6A">
              <w:rPr>
                <w:rFonts w:cs="Arial"/>
                <w:sz w:val="20"/>
              </w:rPr>
              <w:t>eversível</w:t>
            </w:r>
          </w:p>
        </w:tc>
        <w:tc>
          <w:tcPr>
            <w:tcW w:w="156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B52FDC" w:rsidRPr="00254B6A" w:rsidRDefault="00B52FDC" w:rsidP="007D4692">
            <w:pPr>
              <w:tabs>
                <w:tab w:val="left" w:pos="1134"/>
              </w:tabs>
              <w:spacing w:before="120" w:after="120" w:line="240" w:lineRule="auto"/>
              <w:jc w:val="center"/>
              <w:rPr>
                <w:rFonts w:cs="Arial"/>
                <w:sz w:val="20"/>
              </w:rPr>
            </w:pPr>
            <w:r w:rsidRPr="00254B6A">
              <w:rPr>
                <w:rFonts w:cs="Arial"/>
                <w:sz w:val="20"/>
              </w:rPr>
              <w:t>Pequena</w:t>
            </w:r>
          </w:p>
        </w:tc>
        <w:tc>
          <w:tcPr>
            <w:tcW w:w="147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B52FDC" w:rsidRPr="00254B6A" w:rsidRDefault="00B52FDC" w:rsidP="007D4692">
            <w:pPr>
              <w:tabs>
                <w:tab w:val="left" w:pos="1134"/>
              </w:tabs>
              <w:spacing w:before="120" w:after="120" w:line="240" w:lineRule="auto"/>
              <w:jc w:val="center"/>
              <w:rPr>
                <w:rFonts w:cs="Arial"/>
                <w:sz w:val="20"/>
              </w:rPr>
            </w:pPr>
            <w:r w:rsidRPr="00254B6A">
              <w:rPr>
                <w:rFonts w:cs="Arial"/>
                <w:sz w:val="20"/>
              </w:rPr>
              <w:t>Baixa</w:t>
            </w:r>
          </w:p>
        </w:tc>
        <w:tc>
          <w:tcPr>
            <w:tcW w:w="147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B52FDC" w:rsidRPr="00254B6A" w:rsidRDefault="00B52FDC" w:rsidP="007D4692">
            <w:pPr>
              <w:tabs>
                <w:tab w:val="left" w:pos="1134"/>
              </w:tabs>
              <w:spacing w:before="120" w:after="120" w:line="240" w:lineRule="auto"/>
              <w:jc w:val="center"/>
              <w:rPr>
                <w:rFonts w:cs="Arial"/>
                <w:sz w:val="20"/>
              </w:rPr>
            </w:pPr>
            <w:r>
              <w:rPr>
                <w:rFonts w:cs="Arial"/>
                <w:sz w:val="20"/>
              </w:rPr>
              <w:t xml:space="preserve">Não </w:t>
            </w:r>
            <w:r w:rsidRPr="00254B6A">
              <w:rPr>
                <w:rFonts w:cs="Arial"/>
                <w:sz w:val="20"/>
              </w:rPr>
              <w:t>Mitigável</w:t>
            </w:r>
          </w:p>
        </w:tc>
      </w:tr>
    </w:tbl>
    <w:p w:rsidR="00B52FDC" w:rsidRPr="00556987" w:rsidRDefault="00B52FDC" w:rsidP="00B635BB">
      <w:pPr>
        <w:spacing w:line="240" w:lineRule="auto"/>
      </w:pPr>
    </w:p>
    <w:p w:rsidR="00556987" w:rsidRPr="006F141D" w:rsidRDefault="008D3A12" w:rsidP="006F141D">
      <w:pPr>
        <w:pStyle w:val="Legenda"/>
        <w:spacing w:before="0" w:after="0" w:line="240" w:lineRule="auto"/>
        <w:jc w:val="center"/>
        <w:rPr>
          <w:rFonts w:cs="Arial"/>
          <w:b w:val="0"/>
          <w:bCs/>
          <w:i w:val="0"/>
          <w:szCs w:val="22"/>
        </w:rPr>
      </w:pPr>
      <w:bookmarkStart w:id="249" w:name="_Toc420316478"/>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35</w:t>
      </w:r>
      <w:r w:rsidR="00B80A05" w:rsidRPr="006F141D">
        <w:rPr>
          <w:i w:val="0"/>
        </w:rPr>
        <w:fldChar w:fldCharType="end"/>
      </w:r>
      <w:r w:rsidR="006F141D" w:rsidRPr="006F141D">
        <w:rPr>
          <w:i w:val="0"/>
        </w:rPr>
        <w:t>.</w:t>
      </w:r>
      <w:r w:rsidR="006F141D" w:rsidRPr="006F141D">
        <w:rPr>
          <w:b w:val="0"/>
          <w:i w:val="0"/>
        </w:rPr>
        <w:t xml:space="preserve"> - </w:t>
      </w:r>
      <w:r w:rsidR="00096D99" w:rsidRPr="006F141D">
        <w:rPr>
          <w:rFonts w:eastAsia="Calibri"/>
          <w:b w:val="0"/>
          <w:bCs/>
          <w:i w:val="0"/>
          <w:szCs w:val="22"/>
          <w:lang w:eastAsia="en-US"/>
        </w:rPr>
        <w:t>Caracterização do</w:t>
      </w:r>
      <w:r w:rsidR="00096D99" w:rsidRPr="006F141D">
        <w:rPr>
          <w:rFonts w:cs="Arial"/>
          <w:b w:val="0"/>
          <w:bCs/>
          <w:i w:val="0"/>
          <w:szCs w:val="22"/>
        </w:rPr>
        <w:t xml:space="preserve"> Impacto - Perda de Solos com Potencial Agrícola</w:t>
      </w:r>
      <w:bookmarkEnd w:id="249"/>
      <w:r w:rsidR="00556987" w:rsidRPr="006F141D">
        <w:rPr>
          <w:rFonts w:cs="Arial"/>
          <w:b w:val="0"/>
          <w:bCs/>
          <w:i w:val="0"/>
          <w:szCs w:val="22"/>
        </w:rPr>
        <w:t xml:space="preserve"> </w:t>
      </w:r>
    </w:p>
    <w:p w:rsidR="00096D99" w:rsidRDefault="00096D99" w:rsidP="006F141D">
      <w:pPr>
        <w:tabs>
          <w:tab w:val="left" w:pos="1134"/>
        </w:tabs>
        <w:spacing w:line="240" w:lineRule="auto"/>
        <w:jc w:val="center"/>
        <w:rPr>
          <w:rFonts w:cs="Arial"/>
          <w:bCs/>
          <w:szCs w:val="22"/>
        </w:rPr>
      </w:pPr>
      <w:r w:rsidRPr="006F141D">
        <w:rPr>
          <w:rFonts w:cs="Arial"/>
          <w:bCs/>
          <w:szCs w:val="22"/>
        </w:rPr>
        <w:t>Barragem Duas Pontes</w:t>
      </w:r>
    </w:p>
    <w:p w:rsidR="006F141D" w:rsidRPr="006F141D" w:rsidRDefault="006F141D" w:rsidP="006F141D">
      <w:pPr>
        <w:tabs>
          <w:tab w:val="left" w:pos="1134"/>
        </w:tabs>
        <w:spacing w:line="240" w:lineRule="auto"/>
        <w:jc w:val="center"/>
        <w:rPr>
          <w:rFonts w:cs="Arial"/>
          <w:bCs/>
          <w:szCs w:val="22"/>
        </w:rPr>
      </w:pPr>
    </w:p>
    <w:tbl>
      <w:tblPr>
        <w:tblW w:w="0" w:type="auto"/>
        <w:jc w:val="center"/>
        <w:tblInd w:w="-371" w:type="dxa"/>
        <w:tblCellMar>
          <w:left w:w="0" w:type="dxa"/>
          <w:right w:w="0" w:type="dxa"/>
        </w:tblCellMar>
        <w:tblLook w:val="04A0" w:firstRow="1" w:lastRow="0" w:firstColumn="1" w:lastColumn="0" w:noHBand="0" w:noVBand="1"/>
      </w:tblPr>
      <w:tblGrid>
        <w:gridCol w:w="1361"/>
        <w:gridCol w:w="1361"/>
        <w:gridCol w:w="1686"/>
        <w:gridCol w:w="1687"/>
        <w:gridCol w:w="3033"/>
      </w:tblGrid>
      <w:tr w:rsidR="00096D99" w:rsidRPr="00254B6A" w:rsidTr="006D20EA">
        <w:trPr>
          <w:trHeight w:val="375"/>
          <w:jc w:val="center"/>
        </w:trPr>
        <w:tc>
          <w:tcPr>
            <w:tcW w:w="1361"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rsidR="00096D99" w:rsidRPr="00254B6A" w:rsidRDefault="00096D99" w:rsidP="0024037F">
            <w:pPr>
              <w:tabs>
                <w:tab w:val="left" w:pos="1134"/>
              </w:tabs>
              <w:spacing w:before="20" w:after="20" w:line="240" w:lineRule="auto"/>
              <w:jc w:val="center"/>
              <w:rPr>
                <w:rFonts w:cs="Arial"/>
                <w:b/>
                <w:bCs/>
                <w:sz w:val="20"/>
              </w:rPr>
            </w:pPr>
            <w:r w:rsidRPr="00254B6A">
              <w:rPr>
                <w:rFonts w:cs="Arial"/>
                <w:b/>
                <w:bCs/>
                <w:sz w:val="20"/>
              </w:rPr>
              <w:t>Natureza</w:t>
            </w:r>
          </w:p>
        </w:tc>
        <w:tc>
          <w:tcPr>
            <w:tcW w:w="1361"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096D99" w:rsidRPr="00254B6A" w:rsidRDefault="00096D99" w:rsidP="0024037F">
            <w:pPr>
              <w:tabs>
                <w:tab w:val="left" w:pos="1134"/>
              </w:tabs>
              <w:spacing w:before="20" w:after="20" w:line="240" w:lineRule="auto"/>
              <w:jc w:val="center"/>
              <w:rPr>
                <w:rFonts w:cs="Arial"/>
                <w:b/>
                <w:bCs/>
                <w:sz w:val="20"/>
              </w:rPr>
            </w:pPr>
            <w:r w:rsidRPr="00254B6A">
              <w:rPr>
                <w:rFonts w:cs="Arial"/>
                <w:b/>
                <w:bCs/>
                <w:sz w:val="20"/>
              </w:rPr>
              <w:t>Ordem</w:t>
            </w:r>
          </w:p>
        </w:tc>
        <w:tc>
          <w:tcPr>
            <w:tcW w:w="1686"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096D99" w:rsidRPr="00254B6A" w:rsidRDefault="00096D99" w:rsidP="0024037F">
            <w:pPr>
              <w:tabs>
                <w:tab w:val="left" w:pos="1134"/>
              </w:tabs>
              <w:spacing w:before="20" w:after="20" w:line="240" w:lineRule="auto"/>
              <w:jc w:val="center"/>
              <w:rPr>
                <w:rFonts w:cs="Arial"/>
                <w:b/>
                <w:bCs/>
                <w:sz w:val="20"/>
              </w:rPr>
            </w:pPr>
            <w:r w:rsidRPr="00254B6A">
              <w:rPr>
                <w:rFonts w:cs="Arial"/>
                <w:b/>
                <w:bCs/>
                <w:sz w:val="20"/>
              </w:rPr>
              <w:t>Abrangência</w:t>
            </w:r>
          </w:p>
        </w:tc>
        <w:tc>
          <w:tcPr>
            <w:tcW w:w="1687"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096D99" w:rsidRPr="00254B6A" w:rsidRDefault="00096D99" w:rsidP="0024037F">
            <w:pPr>
              <w:tabs>
                <w:tab w:val="left" w:pos="1134"/>
              </w:tabs>
              <w:spacing w:before="20" w:after="20" w:line="240" w:lineRule="auto"/>
              <w:jc w:val="center"/>
              <w:rPr>
                <w:rFonts w:cs="Arial"/>
                <w:b/>
                <w:bCs/>
                <w:sz w:val="20"/>
              </w:rPr>
            </w:pPr>
            <w:r w:rsidRPr="00254B6A">
              <w:rPr>
                <w:rFonts w:cs="Arial"/>
                <w:b/>
                <w:bCs/>
                <w:sz w:val="20"/>
              </w:rPr>
              <w:t>Duração</w:t>
            </w:r>
          </w:p>
        </w:tc>
        <w:tc>
          <w:tcPr>
            <w:tcW w:w="3033"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096D99" w:rsidRPr="00254B6A" w:rsidRDefault="00096D99" w:rsidP="0024037F">
            <w:pPr>
              <w:tabs>
                <w:tab w:val="left" w:pos="1134"/>
              </w:tabs>
              <w:spacing w:before="20" w:after="20" w:line="240" w:lineRule="auto"/>
              <w:jc w:val="center"/>
              <w:rPr>
                <w:rFonts w:cs="Arial"/>
                <w:b/>
                <w:bCs/>
                <w:sz w:val="20"/>
              </w:rPr>
            </w:pPr>
            <w:r w:rsidRPr="00254B6A">
              <w:rPr>
                <w:rFonts w:cs="Arial"/>
                <w:b/>
                <w:bCs/>
                <w:sz w:val="20"/>
              </w:rPr>
              <w:t>Probabilidade de Ocorrência</w:t>
            </w:r>
          </w:p>
        </w:tc>
      </w:tr>
      <w:tr w:rsidR="00096D99" w:rsidRPr="00254B6A" w:rsidTr="006D20EA">
        <w:trPr>
          <w:trHeight w:hRule="exact" w:val="444"/>
          <w:jc w:val="center"/>
        </w:trPr>
        <w:tc>
          <w:tcPr>
            <w:tcW w:w="13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6D99" w:rsidRPr="00254B6A" w:rsidRDefault="00096D99" w:rsidP="00B30642">
            <w:pPr>
              <w:tabs>
                <w:tab w:val="left" w:pos="1134"/>
              </w:tabs>
              <w:spacing w:line="240" w:lineRule="auto"/>
              <w:jc w:val="center"/>
              <w:rPr>
                <w:rFonts w:cs="Arial"/>
                <w:sz w:val="20"/>
              </w:rPr>
            </w:pPr>
            <w:r w:rsidRPr="00254B6A">
              <w:rPr>
                <w:rFonts w:cs="Arial"/>
                <w:sz w:val="20"/>
              </w:rPr>
              <w:t>Negativa</w:t>
            </w:r>
          </w:p>
        </w:tc>
        <w:tc>
          <w:tcPr>
            <w:tcW w:w="136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6D99" w:rsidRPr="00254B6A" w:rsidRDefault="00096D99" w:rsidP="00B30642">
            <w:pPr>
              <w:tabs>
                <w:tab w:val="left" w:pos="1134"/>
              </w:tabs>
              <w:spacing w:line="240" w:lineRule="auto"/>
              <w:jc w:val="center"/>
              <w:rPr>
                <w:rFonts w:cs="Arial"/>
                <w:sz w:val="20"/>
              </w:rPr>
            </w:pPr>
            <w:r w:rsidRPr="00254B6A">
              <w:rPr>
                <w:rFonts w:cs="Arial"/>
                <w:sz w:val="20"/>
              </w:rPr>
              <w:t>Direta</w:t>
            </w:r>
          </w:p>
        </w:tc>
        <w:tc>
          <w:tcPr>
            <w:tcW w:w="168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6D99" w:rsidRPr="00254B6A" w:rsidRDefault="00096D99" w:rsidP="00B30642">
            <w:pPr>
              <w:tabs>
                <w:tab w:val="left" w:pos="1134"/>
              </w:tabs>
              <w:spacing w:line="240" w:lineRule="auto"/>
              <w:jc w:val="center"/>
              <w:rPr>
                <w:rFonts w:cs="Arial"/>
                <w:sz w:val="20"/>
              </w:rPr>
            </w:pPr>
            <w:r w:rsidRPr="00254B6A">
              <w:rPr>
                <w:rFonts w:cs="Arial"/>
                <w:sz w:val="20"/>
              </w:rPr>
              <w:t>Loca</w:t>
            </w:r>
            <w:r>
              <w:rPr>
                <w:rFonts w:cs="Arial"/>
                <w:sz w:val="20"/>
              </w:rPr>
              <w:t xml:space="preserve"> </w:t>
            </w:r>
            <w:r w:rsidRPr="00254B6A">
              <w:rPr>
                <w:rFonts w:cs="Arial"/>
                <w:sz w:val="20"/>
              </w:rPr>
              <w:t>l</w:t>
            </w:r>
            <w:r>
              <w:rPr>
                <w:rFonts w:cs="Arial"/>
                <w:sz w:val="20"/>
              </w:rPr>
              <w:t>(</w:t>
            </w:r>
            <w:r w:rsidRPr="00254B6A">
              <w:rPr>
                <w:rFonts w:cs="Arial"/>
                <w:sz w:val="20"/>
              </w:rPr>
              <w:t>ADA)</w:t>
            </w:r>
          </w:p>
        </w:tc>
        <w:tc>
          <w:tcPr>
            <w:tcW w:w="1687" w:type="dxa"/>
            <w:tcBorders>
              <w:top w:val="nil"/>
              <w:left w:val="nil"/>
              <w:bottom w:val="single" w:sz="8" w:space="0" w:color="auto"/>
              <w:right w:val="single" w:sz="8" w:space="0" w:color="auto"/>
            </w:tcBorders>
            <w:tcMar>
              <w:top w:w="0" w:type="dxa"/>
              <w:left w:w="108" w:type="dxa"/>
              <w:bottom w:w="0" w:type="dxa"/>
              <w:right w:w="108" w:type="dxa"/>
            </w:tcMar>
            <w:vAlign w:val="center"/>
          </w:tcPr>
          <w:p w:rsidR="00096D99" w:rsidRPr="00254B6A" w:rsidRDefault="00096D99" w:rsidP="00B30642">
            <w:pPr>
              <w:tabs>
                <w:tab w:val="left" w:pos="1134"/>
              </w:tabs>
              <w:spacing w:line="240" w:lineRule="auto"/>
              <w:jc w:val="center"/>
              <w:rPr>
                <w:rFonts w:cs="Arial"/>
                <w:sz w:val="20"/>
              </w:rPr>
            </w:pPr>
            <w:r>
              <w:rPr>
                <w:rFonts w:cs="Arial"/>
                <w:sz w:val="20"/>
              </w:rPr>
              <w:t>Permanente</w:t>
            </w:r>
          </w:p>
        </w:tc>
        <w:tc>
          <w:tcPr>
            <w:tcW w:w="303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6D99" w:rsidRPr="00254B6A" w:rsidRDefault="00096D99" w:rsidP="00B30642">
            <w:pPr>
              <w:tabs>
                <w:tab w:val="left" w:pos="1134"/>
              </w:tabs>
              <w:spacing w:line="240" w:lineRule="auto"/>
              <w:jc w:val="center"/>
              <w:rPr>
                <w:rFonts w:cs="Arial"/>
                <w:sz w:val="20"/>
              </w:rPr>
            </w:pPr>
            <w:r>
              <w:rPr>
                <w:rFonts w:cs="Arial"/>
                <w:sz w:val="20"/>
              </w:rPr>
              <w:t>Certa</w:t>
            </w:r>
          </w:p>
        </w:tc>
      </w:tr>
    </w:tbl>
    <w:p w:rsidR="00096D99" w:rsidRDefault="00096D99" w:rsidP="00E203B3">
      <w:pPr>
        <w:tabs>
          <w:tab w:val="left" w:pos="1134"/>
        </w:tabs>
        <w:spacing w:line="240" w:lineRule="auto"/>
        <w:jc w:val="center"/>
        <w:rPr>
          <w:rFonts w:cs="Arial"/>
          <w:sz w:val="20"/>
        </w:rPr>
      </w:pPr>
    </w:p>
    <w:tbl>
      <w:tblPr>
        <w:tblW w:w="0" w:type="auto"/>
        <w:jc w:val="center"/>
        <w:tblInd w:w="-130" w:type="dxa"/>
        <w:tblLayout w:type="fixed"/>
        <w:tblCellMar>
          <w:left w:w="0" w:type="dxa"/>
          <w:right w:w="0" w:type="dxa"/>
        </w:tblCellMar>
        <w:tblLook w:val="04A0" w:firstRow="1" w:lastRow="0" w:firstColumn="1" w:lastColumn="0" w:noHBand="0" w:noVBand="1"/>
      </w:tblPr>
      <w:tblGrid>
        <w:gridCol w:w="2668"/>
        <w:gridCol w:w="1739"/>
        <w:gridCol w:w="1663"/>
        <w:gridCol w:w="1475"/>
        <w:gridCol w:w="1475"/>
      </w:tblGrid>
      <w:tr w:rsidR="00096D99" w:rsidRPr="00254B6A" w:rsidTr="006D20EA">
        <w:trPr>
          <w:trHeight w:hRule="exact" w:val="497"/>
          <w:jc w:val="center"/>
        </w:trPr>
        <w:tc>
          <w:tcPr>
            <w:tcW w:w="2668"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rsidR="00096D99" w:rsidRPr="00254B6A" w:rsidRDefault="00096D99" w:rsidP="0024037F">
            <w:pPr>
              <w:tabs>
                <w:tab w:val="left" w:pos="1134"/>
              </w:tabs>
              <w:spacing w:before="120" w:after="120" w:line="240" w:lineRule="auto"/>
              <w:jc w:val="center"/>
              <w:rPr>
                <w:rFonts w:cs="Arial"/>
                <w:b/>
                <w:bCs/>
                <w:sz w:val="20"/>
              </w:rPr>
            </w:pPr>
            <w:r w:rsidRPr="00254B6A">
              <w:rPr>
                <w:rFonts w:cs="Arial"/>
                <w:b/>
                <w:bCs/>
                <w:sz w:val="20"/>
              </w:rPr>
              <w:t>Época de Ocorrência</w:t>
            </w:r>
          </w:p>
        </w:tc>
        <w:tc>
          <w:tcPr>
            <w:tcW w:w="173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096D99" w:rsidRPr="00254B6A" w:rsidRDefault="00096D99" w:rsidP="0024037F">
            <w:pPr>
              <w:tabs>
                <w:tab w:val="left" w:pos="1134"/>
              </w:tabs>
              <w:spacing w:before="120" w:after="120" w:line="240" w:lineRule="auto"/>
              <w:jc w:val="center"/>
              <w:rPr>
                <w:rFonts w:cs="Arial"/>
                <w:b/>
                <w:bCs/>
                <w:sz w:val="20"/>
              </w:rPr>
            </w:pPr>
            <w:r w:rsidRPr="00254B6A">
              <w:rPr>
                <w:rFonts w:cs="Arial"/>
                <w:b/>
                <w:bCs/>
                <w:sz w:val="20"/>
              </w:rPr>
              <w:t>Reversibilidade</w:t>
            </w:r>
          </w:p>
        </w:tc>
        <w:tc>
          <w:tcPr>
            <w:tcW w:w="1663"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096D99" w:rsidRPr="00254B6A" w:rsidRDefault="00096D99" w:rsidP="0024037F">
            <w:pPr>
              <w:tabs>
                <w:tab w:val="left" w:pos="1134"/>
              </w:tabs>
              <w:spacing w:before="120" w:after="120" w:line="240" w:lineRule="auto"/>
              <w:jc w:val="center"/>
              <w:rPr>
                <w:rFonts w:cs="Arial"/>
                <w:b/>
                <w:bCs/>
                <w:sz w:val="20"/>
              </w:rPr>
            </w:pPr>
            <w:r w:rsidRPr="00254B6A">
              <w:rPr>
                <w:rFonts w:cs="Arial"/>
                <w:b/>
                <w:bCs/>
                <w:sz w:val="20"/>
              </w:rPr>
              <w:t>Magnitude</w:t>
            </w:r>
          </w:p>
        </w:tc>
        <w:tc>
          <w:tcPr>
            <w:tcW w:w="1475"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096D99" w:rsidRPr="00254B6A" w:rsidRDefault="00096D99" w:rsidP="0024037F">
            <w:pPr>
              <w:tabs>
                <w:tab w:val="left" w:pos="1134"/>
              </w:tabs>
              <w:spacing w:before="120" w:after="120" w:line="240" w:lineRule="auto"/>
              <w:jc w:val="center"/>
              <w:rPr>
                <w:rFonts w:cs="Arial"/>
                <w:b/>
                <w:bCs/>
                <w:sz w:val="20"/>
              </w:rPr>
            </w:pPr>
            <w:r w:rsidRPr="00254B6A">
              <w:rPr>
                <w:rFonts w:cs="Arial"/>
                <w:b/>
                <w:bCs/>
                <w:sz w:val="20"/>
              </w:rPr>
              <w:t>Importância</w:t>
            </w:r>
          </w:p>
        </w:tc>
        <w:tc>
          <w:tcPr>
            <w:tcW w:w="1475"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096D99" w:rsidRPr="00254B6A" w:rsidRDefault="00096D99" w:rsidP="0024037F">
            <w:pPr>
              <w:tabs>
                <w:tab w:val="left" w:pos="1134"/>
              </w:tabs>
              <w:spacing w:before="120" w:after="120" w:line="240" w:lineRule="auto"/>
              <w:jc w:val="center"/>
              <w:rPr>
                <w:rFonts w:cs="Arial"/>
                <w:b/>
                <w:bCs/>
                <w:sz w:val="20"/>
              </w:rPr>
            </w:pPr>
            <w:r w:rsidRPr="00254B6A">
              <w:rPr>
                <w:rFonts w:cs="Arial"/>
                <w:b/>
                <w:bCs/>
                <w:sz w:val="20"/>
              </w:rPr>
              <w:t>Mitigação</w:t>
            </w:r>
          </w:p>
        </w:tc>
      </w:tr>
      <w:tr w:rsidR="00096D99" w:rsidRPr="00254B6A" w:rsidTr="006D20EA">
        <w:trPr>
          <w:trHeight w:hRule="exact" w:val="419"/>
          <w:jc w:val="center"/>
        </w:trPr>
        <w:tc>
          <w:tcPr>
            <w:tcW w:w="26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6D99" w:rsidRPr="00254B6A" w:rsidRDefault="00096D99" w:rsidP="00B30642">
            <w:pPr>
              <w:tabs>
                <w:tab w:val="left" w:pos="1134"/>
              </w:tabs>
              <w:spacing w:before="60" w:line="240" w:lineRule="auto"/>
              <w:jc w:val="center"/>
              <w:rPr>
                <w:rFonts w:cs="Arial"/>
                <w:sz w:val="20"/>
              </w:rPr>
            </w:pPr>
            <w:r w:rsidRPr="00254B6A">
              <w:rPr>
                <w:rFonts w:cs="Arial"/>
                <w:sz w:val="20"/>
              </w:rPr>
              <w:t>Curto Prazo</w:t>
            </w:r>
          </w:p>
        </w:tc>
        <w:tc>
          <w:tcPr>
            <w:tcW w:w="173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6D99" w:rsidRPr="00254B6A" w:rsidRDefault="00096D99" w:rsidP="00B30642">
            <w:pPr>
              <w:tabs>
                <w:tab w:val="left" w:pos="1134"/>
              </w:tabs>
              <w:spacing w:before="60" w:line="240" w:lineRule="auto"/>
              <w:jc w:val="center"/>
              <w:rPr>
                <w:rFonts w:cs="Arial"/>
                <w:sz w:val="20"/>
              </w:rPr>
            </w:pPr>
            <w:r>
              <w:rPr>
                <w:rFonts w:cs="Arial"/>
                <w:sz w:val="20"/>
              </w:rPr>
              <w:t>Irr</w:t>
            </w:r>
            <w:r w:rsidRPr="00254B6A">
              <w:rPr>
                <w:rFonts w:cs="Arial"/>
                <w:sz w:val="20"/>
              </w:rPr>
              <w:t>eversível</w:t>
            </w:r>
          </w:p>
        </w:tc>
        <w:tc>
          <w:tcPr>
            <w:tcW w:w="166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6D99" w:rsidRPr="00254B6A" w:rsidRDefault="00B635BB" w:rsidP="00B30642">
            <w:pPr>
              <w:tabs>
                <w:tab w:val="left" w:pos="1134"/>
              </w:tabs>
              <w:spacing w:before="60" w:line="240" w:lineRule="auto"/>
              <w:jc w:val="center"/>
              <w:rPr>
                <w:rFonts w:cs="Arial"/>
                <w:sz w:val="20"/>
              </w:rPr>
            </w:pPr>
            <w:r>
              <w:rPr>
                <w:rFonts w:cs="Arial"/>
                <w:sz w:val="20"/>
              </w:rPr>
              <w:t>Pequena</w:t>
            </w:r>
          </w:p>
        </w:tc>
        <w:tc>
          <w:tcPr>
            <w:tcW w:w="147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6D99" w:rsidRPr="00254B6A" w:rsidRDefault="00B635BB" w:rsidP="00B30642">
            <w:pPr>
              <w:tabs>
                <w:tab w:val="left" w:pos="1134"/>
              </w:tabs>
              <w:spacing w:before="60" w:line="240" w:lineRule="auto"/>
              <w:jc w:val="center"/>
              <w:rPr>
                <w:rFonts w:cs="Arial"/>
                <w:sz w:val="20"/>
              </w:rPr>
            </w:pPr>
            <w:r>
              <w:rPr>
                <w:rFonts w:cs="Arial"/>
                <w:sz w:val="20"/>
              </w:rPr>
              <w:t>Média</w:t>
            </w:r>
          </w:p>
        </w:tc>
        <w:tc>
          <w:tcPr>
            <w:tcW w:w="147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6D99" w:rsidRPr="00254B6A" w:rsidRDefault="00096D99" w:rsidP="00B30642">
            <w:pPr>
              <w:tabs>
                <w:tab w:val="left" w:pos="1134"/>
              </w:tabs>
              <w:spacing w:before="60" w:line="240" w:lineRule="auto"/>
              <w:jc w:val="center"/>
              <w:rPr>
                <w:rFonts w:cs="Arial"/>
                <w:sz w:val="20"/>
              </w:rPr>
            </w:pPr>
            <w:r>
              <w:rPr>
                <w:rFonts w:cs="Arial"/>
                <w:sz w:val="20"/>
              </w:rPr>
              <w:t xml:space="preserve">Não </w:t>
            </w:r>
            <w:r w:rsidRPr="00254B6A">
              <w:rPr>
                <w:rFonts w:cs="Arial"/>
                <w:sz w:val="20"/>
              </w:rPr>
              <w:t>Mitigável</w:t>
            </w:r>
          </w:p>
        </w:tc>
      </w:tr>
    </w:tbl>
    <w:p w:rsidR="00B635BB" w:rsidRDefault="00B635BB" w:rsidP="00982762">
      <w:pPr>
        <w:spacing w:line="240" w:lineRule="auto"/>
        <w:rPr>
          <w:rFonts w:cs="Arial"/>
          <w:b/>
          <w:szCs w:val="22"/>
        </w:rPr>
      </w:pPr>
    </w:p>
    <w:p w:rsidR="00982762" w:rsidRDefault="00096D99" w:rsidP="00982762">
      <w:pPr>
        <w:tabs>
          <w:tab w:val="left" w:pos="1134"/>
        </w:tabs>
        <w:spacing w:before="120" w:after="120" w:line="240" w:lineRule="auto"/>
        <w:rPr>
          <w:b/>
        </w:rPr>
      </w:pPr>
      <w:r w:rsidRPr="00C80763">
        <w:rPr>
          <w:rFonts w:cs="Arial"/>
          <w:b/>
          <w:szCs w:val="22"/>
        </w:rPr>
        <w:t xml:space="preserve">Ações Ambientais Propostas: </w:t>
      </w:r>
      <w:r w:rsidRPr="00C80763">
        <w:rPr>
          <w:rFonts w:cs="Arial"/>
          <w:szCs w:val="22"/>
        </w:rPr>
        <w:t>Não mitigável</w:t>
      </w:r>
    </w:p>
    <w:p w:rsidR="00973BCF" w:rsidRPr="00CE2C40" w:rsidRDefault="00A71868" w:rsidP="00CE2C40">
      <w:pPr>
        <w:pStyle w:val="Ttulo3"/>
        <w:spacing w:after="240"/>
        <w:rPr>
          <w:rFonts w:ascii="Arial Negrito" w:hAnsi="Arial Negrito"/>
          <w:b w:val="0"/>
          <w:bCs/>
        </w:rPr>
      </w:pPr>
      <w:bookmarkStart w:id="250" w:name="_Toc418758227"/>
      <w:bookmarkStart w:id="251" w:name="_Toc418758829"/>
      <w:bookmarkStart w:id="252" w:name="_Toc419813589"/>
      <w:r w:rsidRPr="00CE2C40">
        <w:rPr>
          <w:rFonts w:ascii="Arial Negrito" w:hAnsi="Arial Negrito"/>
          <w:b w:val="0"/>
          <w:bCs/>
        </w:rPr>
        <w:t>1.3.1.</w:t>
      </w:r>
      <w:r w:rsidR="00973BCF" w:rsidRPr="00CE2C40">
        <w:rPr>
          <w:rFonts w:ascii="Arial Negrito" w:hAnsi="Arial Negrito"/>
          <w:b w:val="0"/>
          <w:bCs/>
        </w:rPr>
        <w:t>1</w:t>
      </w:r>
      <w:r w:rsidR="008C5DE8" w:rsidRPr="00CE2C40">
        <w:rPr>
          <w:rFonts w:ascii="Arial Negrito" w:hAnsi="Arial Negrito"/>
          <w:b w:val="0"/>
          <w:bCs/>
        </w:rPr>
        <w:t>8</w:t>
      </w:r>
      <w:r w:rsidR="00973BCF" w:rsidRPr="00CE2C40">
        <w:rPr>
          <w:rFonts w:ascii="Arial Negrito" w:hAnsi="Arial Negrito"/>
          <w:b w:val="0"/>
          <w:bCs/>
        </w:rPr>
        <w:t>. Interfer</w:t>
      </w:r>
      <w:r w:rsidR="00973BCF" w:rsidRPr="00CE2C40">
        <w:rPr>
          <w:rFonts w:ascii="Arial Negrito" w:hAnsi="Arial Negrito" w:hint="eastAsia"/>
          <w:b w:val="0"/>
          <w:bCs/>
        </w:rPr>
        <w:t>ê</w:t>
      </w:r>
      <w:r w:rsidR="00973BCF" w:rsidRPr="00CE2C40">
        <w:rPr>
          <w:rFonts w:ascii="Arial Negrito" w:hAnsi="Arial Negrito"/>
          <w:b w:val="0"/>
          <w:bCs/>
        </w:rPr>
        <w:t xml:space="preserve">ncia em </w:t>
      </w:r>
      <w:r w:rsidR="00973BCF" w:rsidRPr="00CE2C40">
        <w:rPr>
          <w:rFonts w:ascii="Arial Negrito" w:hAnsi="Arial Negrito" w:hint="eastAsia"/>
          <w:b w:val="0"/>
          <w:bCs/>
        </w:rPr>
        <w:t>Á</w:t>
      </w:r>
      <w:r w:rsidR="00973BCF" w:rsidRPr="00CE2C40">
        <w:rPr>
          <w:rFonts w:ascii="Arial Negrito" w:hAnsi="Arial Negrito"/>
          <w:b w:val="0"/>
          <w:bCs/>
        </w:rPr>
        <w:t>reas de Pesquisa Miner</w:t>
      </w:r>
      <w:r w:rsidR="00973BCF" w:rsidRPr="00CE2C40">
        <w:rPr>
          <w:rFonts w:ascii="Arial Negrito" w:hAnsi="Arial Negrito" w:hint="eastAsia"/>
          <w:b w:val="0"/>
          <w:bCs/>
        </w:rPr>
        <w:t>á</w:t>
      </w:r>
      <w:r w:rsidR="00973BCF" w:rsidRPr="00CE2C40">
        <w:rPr>
          <w:rFonts w:ascii="Arial Negrito" w:hAnsi="Arial Negrito"/>
          <w:b w:val="0"/>
          <w:bCs/>
        </w:rPr>
        <w:t>ria</w:t>
      </w:r>
      <w:bookmarkEnd w:id="250"/>
      <w:bookmarkEnd w:id="251"/>
      <w:bookmarkEnd w:id="252"/>
    </w:p>
    <w:p w:rsidR="00B30642" w:rsidRPr="0082532A" w:rsidRDefault="00B30642" w:rsidP="00B30642">
      <w:pPr>
        <w:tabs>
          <w:tab w:val="left" w:pos="1134"/>
        </w:tabs>
        <w:spacing w:before="120" w:after="120" w:line="240" w:lineRule="auto"/>
        <w:rPr>
          <w:rFonts w:cs="Arial"/>
          <w:b/>
          <w:szCs w:val="22"/>
        </w:rPr>
      </w:pPr>
      <w:r w:rsidRPr="0082532A">
        <w:rPr>
          <w:rFonts w:cs="Arial"/>
          <w:b/>
          <w:szCs w:val="22"/>
        </w:rPr>
        <w:t>Fase de Implantação</w:t>
      </w:r>
    </w:p>
    <w:p w:rsidR="00B30642" w:rsidRPr="00BD140B" w:rsidRDefault="00B30642" w:rsidP="00B30642">
      <w:pPr>
        <w:spacing w:before="120" w:after="120" w:line="240" w:lineRule="auto"/>
        <w:rPr>
          <w:szCs w:val="22"/>
        </w:rPr>
      </w:pPr>
      <w:r w:rsidRPr="00BD140B">
        <w:rPr>
          <w:szCs w:val="22"/>
        </w:rPr>
        <w:t xml:space="preserve">Na Área Diretamente Afetada pelos Reservatórios das Barragens Pedreira e Duas Ponte não existem </w:t>
      </w:r>
      <w:r w:rsidRPr="0063616C">
        <w:rPr>
          <w:szCs w:val="22"/>
        </w:rPr>
        <w:t>minerações. Mas convém registrar que foram observadas pequenas cavas de exploração de areia junto ao ri</w:t>
      </w:r>
      <w:r w:rsidR="008C15C3">
        <w:rPr>
          <w:szCs w:val="22"/>
        </w:rPr>
        <w:t>beirão Pantaleão na ADA e AID da barragem</w:t>
      </w:r>
      <w:r w:rsidRPr="0063616C">
        <w:rPr>
          <w:szCs w:val="22"/>
        </w:rPr>
        <w:t xml:space="preserve"> Duas Pontes,</w:t>
      </w:r>
      <w:r w:rsidR="00BC4A3D" w:rsidRPr="0063616C">
        <w:rPr>
          <w:szCs w:val="22"/>
        </w:rPr>
        <w:t xml:space="preserve"> </w:t>
      </w:r>
      <w:r w:rsidR="008A03BE" w:rsidRPr="0063616C">
        <w:rPr>
          <w:szCs w:val="22"/>
        </w:rPr>
        <w:t xml:space="preserve">aparentemente </w:t>
      </w:r>
      <w:r w:rsidR="0063616C" w:rsidRPr="0063616C">
        <w:rPr>
          <w:szCs w:val="22"/>
        </w:rPr>
        <w:t>inativa</w:t>
      </w:r>
      <w:r w:rsidR="0063616C">
        <w:rPr>
          <w:szCs w:val="22"/>
        </w:rPr>
        <w:t>s</w:t>
      </w:r>
      <w:r w:rsidR="0063616C" w:rsidRPr="0063616C">
        <w:rPr>
          <w:szCs w:val="22"/>
        </w:rPr>
        <w:t>, demonstrando ser</w:t>
      </w:r>
      <w:r w:rsidR="0063616C">
        <w:rPr>
          <w:szCs w:val="22"/>
        </w:rPr>
        <w:t xml:space="preserve"> </w:t>
      </w:r>
      <w:r w:rsidR="0063616C" w:rsidRPr="0063616C">
        <w:rPr>
          <w:szCs w:val="22"/>
        </w:rPr>
        <w:t>uma atividade intermitente e provavelmente não regularizada</w:t>
      </w:r>
      <w:r w:rsidR="00BC4A3D" w:rsidRPr="0063616C">
        <w:rPr>
          <w:szCs w:val="22"/>
        </w:rPr>
        <w:t>.</w:t>
      </w:r>
      <w:r w:rsidR="00BC4A3D">
        <w:rPr>
          <w:szCs w:val="22"/>
        </w:rPr>
        <w:t xml:space="preserve"> </w:t>
      </w:r>
    </w:p>
    <w:p w:rsidR="00B30642" w:rsidRPr="00BD140B" w:rsidRDefault="00B30642" w:rsidP="00B30642">
      <w:pPr>
        <w:spacing w:before="120" w:after="120" w:line="240" w:lineRule="auto"/>
        <w:rPr>
          <w:szCs w:val="22"/>
        </w:rPr>
      </w:pPr>
      <w:r w:rsidRPr="00BD140B">
        <w:rPr>
          <w:szCs w:val="22"/>
        </w:rPr>
        <w:t>Os recursos minerais da região se restringem a minerais empregados preponderantemente na construção civil como brita (de granito), areia e cascalho, geralmente obtidos através de britagem de rochas cristalinas, rochas para cantaria (granitos ornamentais) e água mineral.</w:t>
      </w:r>
    </w:p>
    <w:p w:rsidR="00B30642" w:rsidRDefault="00B30642" w:rsidP="00B30642">
      <w:pPr>
        <w:spacing w:before="120" w:after="120" w:line="240" w:lineRule="auto"/>
      </w:pPr>
      <w:r w:rsidRPr="00BD140B">
        <w:rPr>
          <w:szCs w:val="22"/>
        </w:rPr>
        <w:t>A implantação das obras civis referentes às Barragens Pedreira e Duas Pontes, o enchimento do reservatório e a exploração de área de empréstimo, a preservação e recuperação da APP demandam o bloqueio, da área correspondente a ADA, junto ao DNPM com a finalidade de</w:t>
      </w:r>
      <w:r>
        <w:t xml:space="preserve"> garantir o indeferimento de Requerimentos de Lavra e de Licenciamento na área. </w:t>
      </w:r>
    </w:p>
    <w:p w:rsidR="00B30642" w:rsidRPr="006F5443" w:rsidRDefault="00B30642" w:rsidP="00B30642">
      <w:pPr>
        <w:spacing w:before="120" w:after="120" w:line="240" w:lineRule="auto"/>
        <w:rPr>
          <w:rFonts w:cs="Arial"/>
          <w:szCs w:val="22"/>
        </w:rPr>
      </w:pPr>
      <w:r>
        <w:rPr>
          <w:szCs w:val="22"/>
        </w:rPr>
        <w:t xml:space="preserve">Caso existam direitos minerários consolidados deverão ser tomadas medidas compensatórias em relação aos titulares destes direitos. No caso de Autorização de Pesquisa, </w:t>
      </w:r>
      <w:r w:rsidRPr="006F5443">
        <w:rPr>
          <w:rFonts w:cs="Arial"/>
          <w:szCs w:val="22"/>
        </w:rPr>
        <w:t>a comprovação do não desenvolvimento da atividade de pesquisa</w:t>
      </w:r>
      <w:r>
        <w:rPr>
          <w:rFonts w:cs="Arial"/>
          <w:szCs w:val="22"/>
        </w:rPr>
        <w:t xml:space="preserve"> e a inexistência ou inviabilidade econômica de exploração do bem pesquisado</w:t>
      </w:r>
      <w:r w:rsidRPr="006F5443">
        <w:rPr>
          <w:rFonts w:cs="Arial"/>
          <w:szCs w:val="22"/>
        </w:rPr>
        <w:t xml:space="preserve"> conduz a cassação</w:t>
      </w:r>
      <w:r>
        <w:rPr>
          <w:rFonts w:cs="Arial"/>
          <w:szCs w:val="22"/>
        </w:rPr>
        <w:t xml:space="preserve"> ou desistência</w:t>
      </w:r>
      <w:r w:rsidRPr="006F5443">
        <w:rPr>
          <w:rFonts w:cs="Arial"/>
          <w:szCs w:val="22"/>
        </w:rPr>
        <w:t xml:space="preserve"> do direito minerário relativo à área, deixando de existir a necessidade de compensação do mesmo. </w:t>
      </w:r>
    </w:p>
    <w:p w:rsidR="00B30642" w:rsidRDefault="00B30642" w:rsidP="00B30642">
      <w:pPr>
        <w:spacing w:before="120" w:after="120" w:line="240" w:lineRule="auto"/>
        <w:rPr>
          <w:szCs w:val="22"/>
        </w:rPr>
      </w:pPr>
      <w:r>
        <w:rPr>
          <w:szCs w:val="22"/>
        </w:rPr>
        <w:t xml:space="preserve">As medidas compensatórias, caso sejam necessárias, deverão ser acordadas após consulta aos órgãos competentes. </w:t>
      </w:r>
    </w:p>
    <w:p w:rsidR="00773040" w:rsidRPr="00555C1A" w:rsidRDefault="00773040" w:rsidP="00555C1A">
      <w:pPr>
        <w:pStyle w:val="Item-Trainho"/>
        <w:rPr>
          <w:b/>
        </w:rPr>
      </w:pPr>
      <w:r w:rsidRPr="00555C1A">
        <w:rPr>
          <w:b/>
        </w:rPr>
        <w:t>Barragem Pedreira</w:t>
      </w:r>
    </w:p>
    <w:p w:rsidR="00B30642" w:rsidRDefault="00B30642" w:rsidP="00B30642">
      <w:pPr>
        <w:spacing w:before="120" w:after="120" w:line="240" w:lineRule="auto"/>
        <w:rPr>
          <w:rFonts w:cs="Arial"/>
        </w:rPr>
      </w:pPr>
      <w:r>
        <w:rPr>
          <w:rFonts w:cs="Arial"/>
        </w:rPr>
        <w:t>Na</w:t>
      </w:r>
      <w:r w:rsidRPr="00BE0B69">
        <w:rPr>
          <w:rFonts w:cs="Arial"/>
        </w:rPr>
        <w:t xml:space="preserve"> ADA da Barragem Pedreira</w:t>
      </w:r>
      <w:r w:rsidRPr="00542040">
        <w:rPr>
          <w:rFonts w:cs="Arial"/>
        </w:rPr>
        <w:t xml:space="preserve"> </w:t>
      </w:r>
      <w:r w:rsidRPr="00BE0B69">
        <w:rPr>
          <w:rFonts w:cs="Arial"/>
        </w:rPr>
        <w:t xml:space="preserve">existem 2 (dois) títulos minerários </w:t>
      </w:r>
      <w:r w:rsidR="008A03BE" w:rsidRPr="00BE0B69">
        <w:rPr>
          <w:rFonts w:cs="Arial"/>
        </w:rPr>
        <w:t>refere</w:t>
      </w:r>
      <w:r w:rsidR="008A03BE">
        <w:rPr>
          <w:rFonts w:cs="Arial"/>
        </w:rPr>
        <w:t>ntes</w:t>
      </w:r>
      <w:r w:rsidRPr="00BE0B69">
        <w:rPr>
          <w:rFonts w:cs="Arial"/>
        </w:rPr>
        <w:t xml:space="preserve"> a Requerimento de Pesquisa, associado a granito pela Empresa</w:t>
      </w:r>
      <w:r w:rsidRPr="00BE0B69">
        <w:rPr>
          <w:rFonts w:cs="Arial"/>
          <w:sz w:val="24"/>
        </w:rPr>
        <w:t xml:space="preserve"> </w:t>
      </w:r>
      <w:r w:rsidRPr="00BE0B69">
        <w:rPr>
          <w:rFonts w:cs="Arial"/>
          <w:color w:val="000000"/>
        </w:rPr>
        <w:t>Ical Indústria de Calcinação Ltda</w:t>
      </w:r>
      <w:r w:rsidR="008A03BE">
        <w:rPr>
          <w:rFonts w:cs="Arial"/>
          <w:color w:val="000000"/>
        </w:rPr>
        <w:t>.</w:t>
      </w:r>
      <w:r>
        <w:rPr>
          <w:rFonts w:cs="Arial"/>
          <w:color w:val="000000"/>
        </w:rPr>
        <w:t>, s</w:t>
      </w:r>
      <w:r w:rsidRPr="00BE0B69">
        <w:rPr>
          <w:rFonts w:cs="Arial"/>
        </w:rPr>
        <w:t>egundo as informações disponíveis no Sistema de Informações Geográficas sobre Mineração (SIGMINE) do Departamento Nacional de Produção Mineral (DNPM) (disponível em http://sigmine.dnpm.gov.br/, consultado em junho de 2014)</w:t>
      </w:r>
      <w:r>
        <w:rPr>
          <w:rFonts w:cs="Arial"/>
        </w:rPr>
        <w:t>. Na região sul da ADA existem muitos matacões de granito indicando a possibilidade de exploração do recurso mineral.</w:t>
      </w:r>
    </w:p>
    <w:p w:rsidR="00B30642" w:rsidRPr="005C06A2" w:rsidRDefault="00B30642" w:rsidP="00B30642">
      <w:pPr>
        <w:spacing w:before="120" w:after="120" w:line="240" w:lineRule="auto"/>
        <w:rPr>
          <w:rFonts w:cs="Arial"/>
        </w:rPr>
      </w:pPr>
      <w:r w:rsidRPr="006F141D">
        <w:rPr>
          <w:rFonts w:cs="Arial"/>
        </w:rPr>
        <w:t xml:space="preserve">O </w:t>
      </w:r>
      <w:r w:rsidR="00DE0067" w:rsidRPr="006F141D">
        <w:rPr>
          <w:rFonts w:cs="Arial"/>
        </w:rPr>
        <w:t xml:space="preserve">Quadro </w:t>
      </w:r>
      <w:r w:rsidR="00542D7F" w:rsidRPr="006F141D">
        <w:rPr>
          <w:rFonts w:cs="Arial"/>
        </w:rPr>
        <w:t>1.3.</w:t>
      </w:r>
      <w:r w:rsidR="00B11E51" w:rsidRPr="006F141D">
        <w:rPr>
          <w:rFonts w:cs="Arial"/>
        </w:rPr>
        <w:t>35</w:t>
      </w:r>
      <w:r w:rsidR="00542D7F" w:rsidRPr="006F141D">
        <w:rPr>
          <w:rFonts w:cs="Arial"/>
        </w:rPr>
        <w:t>.</w:t>
      </w:r>
      <w:r w:rsidRPr="006F141D">
        <w:rPr>
          <w:rFonts w:cs="Arial"/>
          <w:b/>
          <w:bCs/>
        </w:rPr>
        <w:t xml:space="preserve"> </w:t>
      </w:r>
      <w:r w:rsidRPr="006F141D">
        <w:rPr>
          <w:rFonts w:cs="Arial"/>
        </w:rPr>
        <w:t>contém uma síntese com as informações de cada um destes processos e sua</w:t>
      </w:r>
      <w:r w:rsidRPr="00BE0B69">
        <w:rPr>
          <w:rFonts w:cs="Arial"/>
        </w:rPr>
        <w:t xml:space="preserve"> localização nos limites da ADA é apresentada no</w:t>
      </w:r>
      <w:r>
        <w:rPr>
          <w:rFonts w:cs="Arial"/>
        </w:rPr>
        <w:t>s</w:t>
      </w:r>
      <w:r w:rsidRPr="00BE0B69">
        <w:rPr>
          <w:rFonts w:cs="Arial"/>
        </w:rPr>
        <w:t xml:space="preserve"> Mapa</w:t>
      </w:r>
      <w:r>
        <w:rPr>
          <w:rFonts w:cs="Arial"/>
        </w:rPr>
        <w:t xml:space="preserve">s de Títulos Minerários – Processos e Substâncias </w:t>
      </w:r>
      <w:r w:rsidRPr="006B3101">
        <w:rPr>
          <w:rFonts w:cs="Arial"/>
        </w:rPr>
        <w:t xml:space="preserve">(Desenhos </w:t>
      </w:r>
      <w:r w:rsidR="006F141D">
        <w:rPr>
          <w:rFonts w:eastAsia="Batang"/>
          <w:lang w:eastAsia="en-US"/>
        </w:rPr>
        <w:t>n</w:t>
      </w:r>
      <w:r w:rsidR="006F141D" w:rsidRPr="00F94909">
        <w:rPr>
          <w:rFonts w:eastAsia="Batang"/>
          <w:u w:val="single"/>
          <w:vertAlign w:val="superscript"/>
          <w:lang w:eastAsia="en-US"/>
        </w:rPr>
        <w:t>o</w:t>
      </w:r>
      <w:r w:rsidR="006F141D">
        <w:rPr>
          <w:rFonts w:eastAsia="Batang"/>
          <w:u w:val="single"/>
          <w:vertAlign w:val="superscript"/>
          <w:lang w:eastAsia="en-US"/>
        </w:rPr>
        <w:t>s</w:t>
      </w:r>
      <w:r w:rsidR="006F141D" w:rsidRPr="006B3101">
        <w:rPr>
          <w:rFonts w:cs="Arial"/>
          <w:bCs/>
        </w:rPr>
        <w:t xml:space="preserve"> </w:t>
      </w:r>
      <w:r w:rsidRPr="006B3101">
        <w:rPr>
          <w:rFonts w:cs="Arial"/>
          <w:bCs/>
        </w:rPr>
        <w:t>7188-42-GL-830-DE-00107 e 7188-42-GL-830-DE-00108,</w:t>
      </w:r>
      <w:r>
        <w:rPr>
          <w:rFonts w:cs="Arial"/>
          <w:bCs/>
        </w:rPr>
        <w:t xml:space="preserve"> apresentados no Volume II, Tomo 2)</w:t>
      </w:r>
      <w:r w:rsidRPr="005C06A2">
        <w:rPr>
          <w:rFonts w:cs="Arial"/>
        </w:rPr>
        <w:t>.</w:t>
      </w:r>
    </w:p>
    <w:p w:rsidR="00B30642" w:rsidRPr="006F141D" w:rsidRDefault="008D3A12" w:rsidP="006F141D">
      <w:pPr>
        <w:pStyle w:val="Legenda"/>
        <w:jc w:val="center"/>
        <w:rPr>
          <w:b w:val="0"/>
          <w:i w:val="0"/>
        </w:rPr>
      </w:pPr>
      <w:bookmarkStart w:id="253" w:name="_Toc405455078"/>
      <w:bookmarkStart w:id="254" w:name="_Toc420316479"/>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36</w:t>
      </w:r>
      <w:r w:rsidR="00B80A05" w:rsidRPr="006F141D">
        <w:rPr>
          <w:i w:val="0"/>
        </w:rPr>
        <w:fldChar w:fldCharType="end"/>
      </w:r>
      <w:r w:rsidR="006F141D" w:rsidRPr="006F141D">
        <w:rPr>
          <w:i w:val="0"/>
        </w:rPr>
        <w:t xml:space="preserve">. - </w:t>
      </w:r>
      <w:r w:rsidR="00B30642" w:rsidRPr="006F141D">
        <w:rPr>
          <w:rFonts w:cs="Arial"/>
          <w:b w:val="0"/>
          <w:i w:val="0"/>
        </w:rPr>
        <w:t>Títulos Minerários na ADA da Barragem Pedreira</w:t>
      </w:r>
      <w:bookmarkEnd w:id="253"/>
      <w:bookmarkEnd w:id="254"/>
    </w:p>
    <w:tbl>
      <w:tblPr>
        <w:tblW w:w="5000" w:type="pct"/>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1"/>
        <w:gridCol w:w="1550"/>
        <w:gridCol w:w="846"/>
        <w:gridCol w:w="1541"/>
        <w:gridCol w:w="2301"/>
        <w:gridCol w:w="1558"/>
        <w:gridCol w:w="1064"/>
      </w:tblGrid>
      <w:tr w:rsidR="00B30642" w:rsidRPr="00E155C0" w:rsidTr="00E155C0">
        <w:trPr>
          <w:trHeight w:val="579"/>
          <w:jc w:val="center"/>
        </w:trPr>
        <w:tc>
          <w:tcPr>
            <w:tcW w:w="371"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FID</w:t>
            </w:r>
          </w:p>
        </w:tc>
        <w:tc>
          <w:tcPr>
            <w:tcW w:w="809"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PROCESSO/ ANO</w:t>
            </w:r>
          </w:p>
        </w:tc>
        <w:tc>
          <w:tcPr>
            <w:tcW w:w="442"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AREA</w:t>
            </w:r>
          </w:p>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(ha)</w:t>
            </w:r>
          </w:p>
        </w:tc>
        <w:tc>
          <w:tcPr>
            <w:tcW w:w="805"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FASE</w:t>
            </w:r>
          </w:p>
        </w:tc>
        <w:tc>
          <w:tcPr>
            <w:tcW w:w="1202"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NOME</w:t>
            </w:r>
          </w:p>
        </w:tc>
        <w:tc>
          <w:tcPr>
            <w:tcW w:w="814"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USO</w:t>
            </w:r>
          </w:p>
        </w:tc>
        <w:tc>
          <w:tcPr>
            <w:tcW w:w="556"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SUBS</w:t>
            </w:r>
          </w:p>
        </w:tc>
      </w:tr>
      <w:tr w:rsidR="00B30642" w:rsidRPr="00E155C0" w:rsidTr="00E155C0">
        <w:trPr>
          <w:trHeight w:val="545"/>
          <w:jc w:val="center"/>
        </w:trPr>
        <w:tc>
          <w:tcPr>
            <w:tcW w:w="371" w:type="pct"/>
            <w:shd w:val="clear" w:color="auto" w:fill="auto"/>
            <w:vAlign w:val="center"/>
          </w:tcPr>
          <w:p w:rsidR="00B30642" w:rsidRPr="00E155C0" w:rsidRDefault="00B30642" w:rsidP="0024037F">
            <w:pPr>
              <w:spacing w:line="240" w:lineRule="auto"/>
              <w:jc w:val="center"/>
              <w:rPr>
                <w:rFonts w:cs="Arial"/>
                <w:color w:val="000000"/>
                <w:sz w:val="20"/>
              </w:rPr>
            </w:pPr>
            <w:r w:rsidRPr="00E155C0">
              <w:rPr>
                <w:rFonts w:cs="Arial"/>
                <w:color w:val="000000"/>
                <w:sz w:val="20"/>
              </w:rPr>
              <w:t>1</w:t>
            </w:r>
          </w:p>
        </w:tc>
        <w:tc>
          <w:tcPr>
            <w:tcW w:w="809" w:type="pct"/>
            <w:shd w:val="clear" w:color="auto" w:fill="auto"/>
            <w:vAlign w:val="center"/>
          </w:tcPr>
          <w:p w:rsidR="00B30642" w:rsidRPr="00E155C0" w:rsidRDefault="00B30642" w:rsidP="0024037F">
            <w:pPr>
              <w:spacing w:line="240" w:lineRule="auto"/>
              <w:rPr>
                <w:rFonts w:cs="Arial"/>
                <w:color w:val="000000"/>
                <w:sz w:val="20"/>
              </w:rPr>
            </w:pPr>
            <w:r w:rsidRPr="00E155C0">
              <w:rPr>
                <w:rFonts w:cs="Arial"/>
                <w:color w:val="000000"/>
                <w:sz w:val="20"/>
              </w:rPr>
              <w:t>821163/2012</w:t>
            </w:r>
          </w:p>
        </w:tc>
        <w:tc>
          <w:tcPr>
            <w:tcW w:w="442" w:type="pct"/>
            <w:shd w:val="clear" w:color="auto" w:fill="auto"/>
            <w:vAlign w:val="center"/>
          </w:tcPr>
          <w:p w:rsidR="00B30642" w:rsidRPr="00E155C0" w:rsidRDefault="00B30642" w:rsidP="0024037F">
            <w:pPr>
              <w:spacing w:line="240" w:lineRule="auto"/>
              <w:rPr>
                <w:rFonts w:cs="Arial"/>
                <w:color w:val="000000"/>
                <w:sz w:val="20"/>
              </w:rPr>
            </w:pPr>
            <w:r w:rsidRPr="00E155C0">
              <w:rPr>
                <w:rFonts w:cs="Arial"/>
                <w:color w:val="000000"/>
                <w:sz w:val="20"/>
              </w:rPr>
              <w:t>398,57</w:t>
            </w:r>
          </w:p>
        </w:tc>
        <w:tc>
          <w:tcPr>
            <w:tcW w:w="805" w:type="pct"/>
            <w:shd w:val="clear" w:color="auto" w:fill="auto"/>
            <w:vAlign w:val="center"/>
          </w:tcPr>
          <w:p w:rsidR="00B30642" w:rsidRPr="00E155C0" w:rsidRDefault="00B30642" w:rsidP="00773040">
            <w:pPr>
              <w:spacing w:line="240" w:lineRule="auto"/>
              <w:rPr>
                <w:rFonts w:cs="Arial"/>
                <w:color w:val="000000"/>
                <w:sz w:val="20"/>
              </w:rPr>
            </w:pPr>
            <w:r w:rsidRPr="00E155C0">
              <w:rPr>
                <w:rFonts w:cs="Arial"/>
                <w:color w:val="000000"/>
                <w:sz w:val="20"/>
              </w:rPr>
              <w:t>Requerimento</w:t>
            </w:r>
            <w:r w:rsidR="00773040" w:rsidRPr="00E155C0">
              <w:rPr>
                <w:rFonts w:cs="Arial"/>
                <w:color w:val="000000"/>
                <w:sz w:val="20"/>
              </w:rPr>
              <w:t xml:space="preserve"> </w:t>
            </w:r>
            <w:r w:rsidRPr="00E155C0">
              <w:rPr>
                <w:rFonts w:cs="Arial"/>
                <w:color w:val="000000"/>
                <w:sz w:val="20"/>
              </w:rPr>
              <w:t>de Pesquisa</w:t>
            </w:r>
          </w:p>
        </w:tc>
        <w:tc>
          <w:tcPr>
            <w:tcW w:w="1202" w:type="pct"/>
            <w:shd w:val="clear" w:color="auto" w:fill="auto"/>
            <w:vAlign w:val="center"/>
          </w:tcPr>
          <w:p w:rsidR="00B30642" w:rsidRPr="00E155C0" w:rsidRDefault="00B30642" w:rsidP="0024037F">
            <w:pPr>
              <w:spacing w:line="240" w:lineRule="auto"/>
              <w:rPr>
                <w:rFonts w:cs="Arial"/>
                <w:color w:val="000000"/>
                <w:sz w:val="20"/>
              </w:rPr>
            </w:pPr>
            <w:r w:rsidRPr="00E155C0">
              <w:rPr>
                <w:rFonts w:cs="Arial"/>
                <w:color w:val="000000"/>
                <w:sz w:val="20"/>
              </w:rPr>
              <w:t>Ical Indústria de Calcinação Ltda.</w:t>
            </w:r>
          </w:p>
        </w:tc>
        <w:tc>
          <w:tcPr>
            <w:tcW w:w="814" w:type="pct"/>
            <w:shd w:val="clear" w:color="auto" w:fill="auto"/>
            <w:vAlign w:val="center"/>
          </w:tcPr>
          <w:p w:rsidR="00B30642" w:rsidRPr="00E155C0" w:rsidRDefault="00B30642" w:rsidP="0024037F">
            <w:pPr>
              <w:spacing w:line="240" w:lineRule="auto"/>
              <w:rPr>
                <w:rFonts w:cs="Arial"/>
                <w:color w:val="000000"/>
                <w:sz w:val="20"/>
              </w:rPr>
            </w:pPr>
            <w:r w:rsidRPr="00E155C0">
              <w:rPr>
                <w:rFonts w:cs="Arial"/>
                <w:color w:val="000000"/>
                <w:sz w:val="20"/>
              </w:rPr>
              <w:t>Revestimento</w:t>
            </w:r>
          </w:p>
        </w:tc>
        <w:tc>
          <w:tcPr>
            <w:tcW w:w="556" w:type="pct"/>
            <w:shd w:val="clear" w:color="auto" w:fill="auto"/>
            <w:vAlign w:val="center"/>
          </w:tcPr>
          <w:p w:rsidR="00B30642" w:rsidRPr="00E155C0" w:rsidRDefault="00B30642" w:rsidP="0024037F">
            <w:pPr>
              <w:spacing w:line="240" w:lineRule="auto"/>
              <w:rPr>
                <w:rFonts w:cs="Arial"/>
                <w:color w:val="000000"/>
                <w:sz w:val="20"/>
              </w:rPr>
            </w:pPr>
            <w:r w:rsidRPr="00E155C0">
              <w:rPr>
                <w:rFonts w:cs="Arial"/>
                <w:color w:val="000000"/>
                <w:sz w:val="20"/>
              </w:rPr>
              <w:t>Granito</w:t>
            </w:r>
          </w:p>
        </w:tc>
      </w:tr>
      <w:tr w:rsidR="00B30642" w:rsidRPr="00E155C0" w:rsidTr="00E155C0">
        <w:trPr>
          <w:trHeight w:val="553"/>
          <w:jc w:val="center"/>
        </w:trPr>
        <w:tc>
          <w:tcPr>
            <w:tcW w:w="371" w:type="pct"/>
            <w:shd w:val="clear" w:color="auto" w:fill="auto"/>
            <w:vAlign w:val="center"/>
          </w:tcPr>
          <w:p w:rsidR="00B30642" w:rsidRPr="00E155C0" w:rsidRDefault="00B30642" w:rsidP="0024037F">
            <w:pPr>
              <w:spacing w:line="240" w:lineRule="auto"/>
              <w:jc w:val="center"/>
              <w:rPr>
                <w:rFonts w:cs="Arial"/>
                <w:color w:val="000000"/>
                <w:sz w:val="20"/>
              </w:rPr>
            </w:pPr>
            <w:r w:rsidRPr="00E155C0">
              <w:rPr>
                <w:rFonts w:cs="Arial"/>
                <w:color w:val="000000"/>
                <w:sz w:val="20"/>
              </w:rPr>
              <w:t>2</w:t>
            </w:r>
          </w:p>
        </w:tc>
        <w:tc>
          <w:tcPr>
            <w:tcW w:w="809" w:type="pct"/>
            <w:shd w:val="clear" w:color="auto" w:fill="auto"/>
            <w:vAlign w:val="center"/>
          </w:tcPr>
          <w:p w:rsidR="00B30642" w:rsidRPr="00E155C0" w:rsidRDefault="00B30642" w:rsidP="0024037F">
            <w:pPr>
              <w:spacing w:line="240" w:lineRule="auto"/>
              <w:rPr>
                <w:rFonts w:cs="Arial"/>
                <w:color w:val="000000"/>
                <w:sz w:val="20"/>
              </w:rPr>
            </w:pPr>
            <w:r w:rsidRPr="00E155C0">
              <w:rPr>
                <w:rFonts w:cs="Arial"/>
                <w:color w:val="000000"/>
                <w:sz w:val="20"/>
              </w:rPr>
              <w:t>821164/2012</w:t>
            </w:r>
          </w:p>
        </w:tc>
        <w:tc>
          <w:tcPr>
            <w:tcW w:w="442" w:type="pct"/>
            <w:shd w:val="clear" w:color="auto" w:fill="auto"/>
            <w:vAlign w:val="center"/>
          </w:tcPr>
          <w:p w:rsidR="00B30642" w:rsidRPr="00E155C0" w:rsidRDefault="00B30642" w:rsidP="0024037F">
            <w:pPr>
              <w:spacing w:line="240" w:lineRule="auto"/>
              <w:rPr>
                <w:rFonts w:cs="Arial"/>
                <w:color w:val="000000"/>
                <w:sz w:val="20"/>
              </w:rPr>
            </w:pPr>
            <w:r w:rsidRPr="00E155C0">
              <w:rPr>
                <w:rFonts w:cs="Arial"/>
                <w:color w:val="000000"/>
                <w:sz w:val="20"/>
              </w:rPr>
              <w:t>858,68</w:t>
            </w:r>
          </w:p>
        </w:tc>
        <w:tc>
          <w:tcPr>
            <w:tcW w:w="805" w:type="pct"/>
            <w:shd w:val="clear" w:color="auto" w:fill="auto"/>
            <w:vAlign w:val="center"/>
          </w:tcPr>
          <w:p w:rsidR="00B30642" w:rsidRPr="00E155C0" w:rsidRDefault="00B30642" w:rsidP="00773040">
            <w:pPr>
              <w:spacing w:line="240" w:lineRule="auto"/>
              <w:rPr>
                <w:rFonts w:cs="Arial"/>
                <w:color w:val="000000"/>
                <w:sz w:val="20"/>
              </w:rPr>
            </w:pPr>
            <w:r w:rsidRPr="00E155C0">
              <w:rPr>
                <w:rFonts w:cs="Arial"/>
                <w:color w:val="000000"/>
                <w:sz w:val="20"/>
              </w:rPr>
              <w:t>Requerimento de Pesquisa</w:t>
            </w:r>
          </w:p>
        </w:tc>
        <w:tc>
          <w:tcPr>
            <w:tcW w:w="1202" w:type="pct"/>
            <w:shd w:val="clear" w:color="auto" w:fill="auto"/>
            <w:vAlign w:val="center"/>
          </w:tcPr>
          <w:p w:rsidR="00B30642" w:rsidRPr="00E155C0" w:rsidRDefault="00B30642" w:rsidP="0024037F">
            <w:pPr>
              <w:spacing w:line="240" w:lineRule="auto"/>
              <w:rPr>
                <w:rFonts w:cs="Arial"/>
                <w:color w:val="000000"/>
                <w:sz w:val="20"/>
              </w:rPr>
            </w:pPr>
            <w:r w:rsidRPr="00E155C0">
              <w:rPr>
                <w:rFonts w:cs="Arial"/>
                <w:color w:val="000000"/>
                <w:sz w:val="20"/>
              </w:rPr>
              <w:t>Ical Indústria de Calcinação Ltda.</w:t>
            </w:r>
          </w:p>
        </w:tc>
        <w:tc>
          <w:tcPr>
            <w:tcW w:w="814" w:type="pct"/>
            <w:shd w:val="clear" w:color="auto" w:fill="auto"/>
            <w:vAlign w:val="center"/>
          </w:tcPr>
          <w:p w:rsidR="00B30642" w:rsidRPr="00E155C0" w:rsidRDefault="00B30642" w:rsidP="0024037F">
            <w:pPr>
              <w:spacing w:line="240" w:lineRule="auto"/>
              <w:rPr>
                <w:rFonts w:cs="Arial"/>
                <w:color w:val="000000"/>
                <w:sz w:val="20"/>
              </w:rPr>
            </w:pPr>
            <w:r w:rsidRPr="00E155C0">
              <w:rPr>
                <w:rFonts w:cs="Arial"/>
                <w:color w:val="000000"/>
                <w:sz w:val="20"/>
              </w:rPr>
              <w:t>Revestimento</w:t>
            </w:r>
          </w:p>
        </w:tc>
        <w:tc>
          <w:tcPr>
            <w:tcW w:w="556" w:type="pct"/>
            <w:shd w:val="clear" w:color="auto" w:fill="auto"/>
            <w:vAlign w:val="center"/>
          </w:tcPr>
          <w:p w:rsidR="00B30642" w:rsidRPr="00E155C0" w:rsidRDefault="00B30642" w:rsidP="0024037F">
            <w:pPr>
              <w:spacing w:line="240" w:lineRule="auto"/>
              <w:rPr>
                <w:rFonts w:cs="Arial"/>
                <w:color w:val="000000"/>
                <w:sz w:val="20"/>
              </w:rPr>
            </w:pPr>
            <w:r w:rsidRPr="00E155C0">
              <w:rPr>
                <w:rFonts w:cs="Arial"/>
                <w:color w:val="000000"/>
                <w:sz w:val="20"/>
              </w:rPr>
              <w:t>Granito</w:t>
            </w:r>
          </w:p>
        </w:tc>
      </w:tr>
    </w:tbl>
    <w:p w:rsidR="00B30642" w:rsidRPr="00E155C0" w:rsidRDefault="00B30642" w:rsidP="00B30642">
      <w:pPr>
        <w:rPr>
          <w:sz w:val="20"/>
        </w:rPr>
      </w:pPr>
      <w:r w:rsidRPr="00E155C0">
        <w:rPr>
          <w:sz w:val="20"/>
        </w:rPr>
        <w:t xml:space="preserve">Fonte: Departamento Nacional de Produção Mineral – DNPM (junho de 2014) </w:t>
      </w:r>
    </w:p>
    <w:p w:rsidR="00C40284" w:rsidRDefault="00B30642" w:rsidP="00B30642">
      <w:pPr>
        <w:spacing w:before="120" w:after="120" w:line="240" w:lineRule="auto"/>
        <w:rPr>
          <w:szCs w:val="22"/>
        </w:rPr>
      </w:pPr>
      <w:r w:rsidRPr="002A79E5">
        <w:rPr>
          <w:szCs w:val="22"/>
        </w:rPr>
        <w:t>C</w:t>
      </w:r>
      <w:r>
        <w:rPr>
          <w:szCs w:val="22"/>
        </w:rPr>
        <w:t>omo os processos estão na etapa inicial</w:t>
      </w:r>
      <w:r w:rsidR="00777993">
        <w:rPr>
          <w:szCs w:val="22"/>
        </w:rPr>
        <w:t>,</w:t>
      </w:r>
      <w:r>
        <w:rPr>
          <w:szCs w:val="22"/>
        </w:rPr>
        <w:t xml:space="preserve"> na fase de Requerimento de Pesquisa</w:t>
      </w:r>
      <w:r w:rsidR="00777993">
        <w:rPr>
          <w:szCs w:val="22"/>
        </w:rPr>
        <w:t>,</w:t>
      </w:r>
      <w:r>
        <w:rPr>
          <w:szCs w:val="22"/>
        </w:rPr>
        <w:t xml:space="preserve"> e as áreas pesquisadas extrapolam, em muito, os limites da ADA</w:t>
      </w:r>
      <w:r w:rsidR="00D05B30">
        <w:rPr>
          <w:szCs w:val="22"/>
        </w:rPr>
        <w:t xml:space="preserve"> da Barragem Pedreira,</w:t>
      </w:r>
      <w:r>
        <w:rPr>
          <w:szCs w:val="22"/>
        </w:rPr>
        <w:t xml:space="preserve"> o impacto foi considerado de Magnitude Pequena. Pelo fato de existirem muitos afloramento</w:t>
      </w:r>
      <w:r w:rsidR="00773040">
        <w:rPr>
          <w:szCs w:val="22"/>
        </w:rPr>
        <w:t>s</w:t>
      </w:r>
      <w:r>
        <w:rPr>
          <w:szCs w:val="22"/>
        </w:rPr>
        <w:t xml:space="preserve"> de granito na região, fora da ADA, a importância do impacto é baixa, a abrangência é local, porção sul da ADA, a duração </w:t>
      </w:r>
      <w:r w:rsidRPr="00773040">
        <w:rPr>
          <w:szCs w:val="22"/>
        </w:rPr>
        <w:t>permanente,</w:t>
      </w:r>
      <w:r>
        <w:rPr>
          <w:szCs w:val="22"/>
        </w:rPr>
        <w:t xml:space="preserve"> pois o bloqueio da área do DNPM é definitiva. A ocorrência é certa em função do enchimento do reservatório e implantação da APP </w:t>
      </w:r>
      <w:r w:rsidR="00AF1CD9">
        <w:rPr>
          <w:szCs w:val="22"/>
        </w:rPr>
        <w:t>em curto prazo</w:t>
      </w:r>
      <w:r>
        <w:rPr>
          <w:szCs w:val="22"/>
        </w:rPr>
        <w:t>, sendo o impacto irreversível e mitigável, no sentido que se houverem direitos minerários consolidados deverão ser tomadas medidas compensatórias em relação aos titulares destes direitos.</w:t>
      </w:r>
    </w:p>
    <w:p w:rsidR="00773040" w:rsidRPr="00555C1A" w:rsidRDefault="00773040" w:rsidP="00555C1A">
      <w:pPr>
        <w:pStyle w:val="Item-Trainho"/>
        <w:rPr>
          <w:b/>
        </w:rPr>
      </w:pPr>
      <w:r w:rsidRPr="00555C1A">
        <w:rPr>
          <w:b/>
        </w:rPr>
        <w:t>Barragem Duas Pontes</w:t>
      </w:r>
    </w:p>
    <w:p w:rsidR="00B30642" w:rsidRPr="00BE0B69" w:rsidRDefault="00B30642" w:rsidP="00B30642">
      <w:pPr>
        <w:autoSpaceDE w:val="0"/>
        <w:autoSpaceDN w:val="0"/>
        <w:adjustRightInd w:val="0"/>
        <w:spacing w:before="120" w:after="120" w:line="240" w:lineRule="auto"/>
        <w:rPr>
          <w:b/>
        </w:rPr>
      </w:pPr>
      <w:r>
        <w:rPr>
          <w:rFonts w:cs="Arial"/>
        </w:rPr>
        <w:t>N</w:t>
      </w:r>
      <w:r w:rsidRPr="00BE0B69">
        <w:rPr>
          <w:rFonts w:cs="Arial"/>
        </w:rPr>
        <w:t>a</w:t>
      </w:r>
      <w:r w:rsidRPr="00BE0B69">
        <w:t xml:space="preserve"> Área Diretamente Afetada </w:t>
      </w:r>
      <w:r>
        <w:t>da Barragem</w:t>
      </w:r>
      <w:r w:rsidRPr="00BE0B69">
        <w:t xml:space="preserve"> Duas Pontes existem seis (6) títulos minerários, sendo três (3) referentes a Autorização de Pesquisa de Argila para uso industrial, dois (2) referentes a Requerimento de Pesquisa de Minério de Manganês e um (1) Requerimento de Pesquisa de Areia para Construção Civil</w:t>
      </w:r>
      <w:r>
        <w:t>,</w:t>
      </w:r>
      <w:r w:rsidRPr="008235A9">
        <w:rPr>
          <w:rFonts w:cs="Arial"/>
        </w:rPr>
        <w:t xml:space="preserve"> </w:t>
      </w:r>
      <w:r>
        <w:rPr>
          <w:rFonts w:cs="Arial"/>
        </w:rPr>
        <w:t>s</w:t>
      </w:r>
      <w:r w:rsidRPr="00BE0B69">
        <w:rPr>
          <w:rFonts w:cs="Arial"/>
        </w:rPr>
        <w:t>egundo informações disponíveis no Sistema de Informações Geográficas sobre Mineração (SIGMINE) do Departamento Nacional de Produção Mineral (DNPM</w:t>
      </w:r>
      <w:r w:rsidRPr="00E166AB">
        <w:rPr>
          <w:rFonts w:cs="Arial"/>
        </w:rPr>
        <w:t>), consultado em junho de 2014.</w:t>
      </w:r>
      <w:r w:rsidRPr="00542A48">
        <w:rPr>
          <w:color w:val="FF0000"/>
        </w:rPr>
        <w:t xml:space="preserve"> </w:t>
      </w:r>
    </w:p>
    <w:p w:rsidR="00B30642" w:rsidRPr="007270EC" w:rsidRDefault="00B30642" w:rsidP="00B30642">
      <w:pPr>
        <w:spacing w:before="120" w:after="120" w:line="240" w:lineRule="auto"/>
        <w:rPr>
          <w:rFonts w:cs="Arial"/>
        </w:rPr>
      </w:pPr>
      <w:r w:rsidRPr="006F141D">
        <w:rPr>
          <w:rFonts w:cs="Arial"/>
        </w:rPr>
        <w:t xml:space="preserve">O Quadro </w:t>
      </w:r>
      <w:r w:rsidR="00542D7F" w:rsidRPr="006F141D">
        <w:rPr>
          <w:rFonts w:cs="Arial"/>
        </w:rPr>
        <w:t>1.3.</w:t>
      </w:r>
      <w:r w:rsidR="00B11E51" w:rsidRPr="006F141D">
        <w:rPr>
          <w:rFonts w:cs="Arial"/>
        </w:rPr>
        <w:t>36</w:t>
      </w:r>
      <w:r w:rsidR="00542D7F" w:rsidRPr="006F141D">
        <w:rPr>
          <w:rFonts w:cs="Arial"/>
        </w:rPr>
        <w:t>.</w:t>
      </w:r>
      <w:r w:rsidRPr="006F141D">
        <w:rPr>
          <w:rFonts w:cs="Arial"/>
        </w:rPr>
        <w:t xml:space="preserve"> contém uma síntese com as informações mais relevantes de cada um destes</w:t>
      </w:r>
      <w:r w:rsidRPr="00BE0B69">
        <w:rPr>
          <w:rFonts w:cs="Arial"/>
        </w:rPr>
        <w:t xml:space="preserve"> registros e sua localização nos limites da ADA é apresentada no </w:t>
      </w:r>
      <w:r w:rsidRPr="006B3101">
        <w:rPr>
          <w:rFonts w:cs="Arial"/>
        </w:rPr>
        <w:t xml:space="preserve">Mapas Títulos Minerários –  Substâncias e Processos da ADA (Desenhos </w:t>
      </w:r>
      <w:r w:rsidR="006F141D">
        <w:rPr>
          <w:rFonts w:eastAsia="Batang"/>
          <w:lang w:eastAsia="en-US"/>
        </w:rPr>
        <w:t>n</w:t>
      </w:r>
      <w:r w:rsidR="006F141D" w:rsidRPr="00F94909">
        <w:rPr>
          <w:rFonts w:eastAsia="Batang"/>
          <w:u w:val="single"/>
          <w:vertAlign w:val="superscript"/>
          <w:lang w:eastAsia="en-US"/>
        </w:rPr>
        <w:t>o</w:t>
      </w:r>
      <w:r w:rsidR="006F141D">
        <w:rPr>
          <w:rFonts w:eastAsia="Batang"/>
          <w:u w:val="single"/>
          <w:vertAlign w:val="superscript"/>
          <w:lang w:eastAsia="en-US"/>
        </w:rPr>
        <w:t>s</w:t>
      </w:r>
      <w:r w:rsidR="006F141D" w:rsidRPr="006B3101">
        <w:rPr>
          <w:rFonts w:cs="Arial"/>
          <w:bCs/>
        </w:rPr>
        <w:t xml:space="preserve"> </w:t>
      </w:r>
      <w:r w:rsidRPr="006B3101">
        <w:rPr>
          <w:rFonts w:cs="Arial"/>
          <w:bCs/>
        </w:rPr>
        <w:t xml:space="preserve">7188-42-GL-830-DE-110 e 7188-42-GL-830-DE-111, apresentados no </w:t>
      </w:r>
      <w:r w:rsidRPr="006B3101">
        <w:t>Volume II, Tomo 2</w:t>
      </w:r>
      <w:r w:rsidRPr="006B3101">
        <w:rPr>
          <w:rFonts w:cs="Arial"/>
          <w:bCs/>
        </w:rPr>
        <w:t>)</w:t>
      </w:r>
      <w:r w:rsidRPr="006B3101">
        <w:rPr>
          <w:rFonts w:cs="Arial"/>
        </w:rPr>
        <w:t>.</w:t>
      </w:r>
    </w:p>
    <w:p w:rsidR="00B30642" w:rsidRPr="009E5DB6" w:rsidRDefault="00B30642" w:rsidP="00B30642">
      <w:pPr>
        <w:spacing w:before="120" w:after="120" w:line="240" w:lineRule="auto"/>
      </w:pPr>
      <w:r>
        <w:t>É importante esclarecer que d</w:t>
      </w:r>
      <w:r w:rsidRPr="00BE0B69">
        <w:t xml:space="preserve">entro dos limites da Área Diretamente Afetada pela Barragem </w:t>
      </w:r>
      <w:r>
        <w:t>Duas Pontes</w:t>
      </w:r>
      <w:r w:rsidRPr="00BE0B69">
        <w:t xml:space="preserve"> não existem ocorrências ou depósitos minerais cadastrados no CPRM</w:t>
      </w:r>
      <w:r>
        <w:t>, nem</w:t>
      </w:r>
      <w:r w:rsidR="00861361">
        <w:t xml:space="preserve"> foram observado</w:t>
      </w:r>
      <w:r>
        <w:t>s nos trabalhos de campo</w:t>
      </w:r>
      <w:r w:rsidRPr="00BE0B69">
        <w:t>,</w:t>
      </w:r>
      <w:r>
        <w:t xml:space="preserve"> conforme apresentado no Capítulo de Recursos Minerais do Diagnóstico deste EIA. </w:t>
      </w:r>
      <w:r w:rsidR="00861361">
        <w:t>F</w:t>
      </w:r>
      <w:r w:rsidRPr="009E5DB6">
        <w:t>oram verificadas pequenas cavas</w:t>
      </w:r>
      <w:r w:rsidR="00861361">
        <w:t xml:space="preserve"> de</w:t>
      </w:r>
      <w:r w:rsidR="00861361" w:rsidRPr="009E5DB6">
        <w:t xml:space="preserve"> exploração de areia aluvial, </w:t>
      </w:r>
      <w:r w:rsidR="00861361">
        <w:t xml:space="preserve">encontrando-se inativas nos dias das </w:t>
      </w:r>
      <w:r w:rsidR="00777993">
        <w:t>inspeções</w:t>
      </w:r>
      <w:r w:rsidR="00861361" w:rsidRPr="009E5DB6">
        <w:t xml:space="preserve">, indicando uma atividade intermitente e provavelmente </w:t>
      </w:r>
      <w:r w:rsidR="00EA75B8">
        <w:t>não regularizada</w:t>
      </w:r>
      <w:r w:rsidR="00861361">
        <w:t>, dada a f</w:t>
      </w:r>
      <w:r w:rsidR="00861361" w:rsidRPr="009E5DB6">
        <w:t>alta</w:t>
      </w:r>
      <w:r w:rsidRPr="009E5DB6">
        <w:t xml:space="preserve"> de recuperação das áreas degradadas pela mineração. </w:t>
      </w:r>
    </w:p>
    <w:p w:rsidR="00B30642" w:rsidRPr="006F141D" w:rsidRDefault="008D3A12" w:rsidP="006F141D">
      <w:pPr>
        <w:pStyle w:val="Legenda"/>
        <w:jc w:val="center"/>
        <w:rPr>
          <w:b w:val="0"/>
          <w:i w:val="0"/>
        </w:rPr>
      </w:pPr>
      <w:bookmarkStart w:id="255" w:name="_Toc405455081"/>
      <w:bookmarkStart w:id="256" w:name="_Toc420316480"/>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37</w:t>
      </w:r>
      <w:r w:rsidR="00B80A05" w:rsidRPr="006F141D">
        <w:rPr>
          <w:i w:val="0"/>
        </w:rPr>
        <w:fldChar w:fldCharType="end"/>
      </w:r>
      <w:r w:rsidR="006F141D" w:rsidRPr="006F141D">
        <w:rPr>
          <w:i w:val="0"/>
        </w:rPr>
        <w:t>.</w:t>
      </w:r>
      <w:r w:rsidR="006F141D" w:rsidRPr="006F141D">
        <w:rPr>
          <w:b w:val="0"/>
          <w:i w:val="0"/>
        </w:rPr>
        <w:t xml:space="preserve"> - </w:t>
      </w:r>
      <w:r w:rsidR="00B30642" w:rsidRPr="006F141D">
        <w:rPr>
          <w:rFonts w:cs="Arial"/>
          <w:b w:val="0"/>
          <w:i w:val="0"/>
        </w:rPr>
        <w:t>Títulos Minerários associados à ADA da Barragem Duas Pontes.</w:t>
      </w:r>
      <w:bookmarkEnd w:id="255"/>
      <w:bookmarkEnd w:id="256"/>
    </w:p>
    <w:tbl>
      <w:tblPr>
        <w:tblW w:w="5000" w:type="pct"/>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1"/>
        <w:gridCol w:w="1518"/>
        <w:gridCol w:w="974"/>
        <w:gridCol w:w="1531"/>
        <w:gridCol w:w="2228"/>
        <w:gridCol w:w="1252"/>
        <w:gridCol w:w="1357"/>
      </w:tblGrid>
      <w:tr w:rsidR="00BB4A3C" w:rsidRPr="00E155C0" w:rsidTr="00E155C0">
        <w:trPr>
          <w:trHeight w:val="507"/>
          <w:jc w:val="center"/>
        </w:trPr>
        <w:tc>
          <w:tcPr>
            <w:tcW w:w="371"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FID</w:t>
            </w:r>
          </w:p>
        </w:tc>
        <w:tc>
          <w:tcPr>
            <w:tcW w:w="793"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PROCESSO ANO</w:t>
            </w:r>
          </w:p>
        </w:tc>
        <w:tc>
          <w:tcPr>
            <w:tcW w:w="509"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AREA</w:t>
            </w:r>
          </w:p>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(ha)</w:t>
            </w:r>
          </w:p>
        </w:tc>
        <w:tc>
          <w:tcPr>
            <w:tcW w:w="800"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FASE</w:t>
            </w:r>
          </w:p>
        </w:tc>
        <w:tc>
          <w:tcPr>
            <w:tcW w:w="1164"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NOME</w:t>
            </w:r>
          </w:p>
        </w:tc>
        <w:tc>
          <w:tcPr>
            <w:tcW w:w="654"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SUBS</w:t>
            </w:r>
          </w:p>
        </w:tc>
        <w:tc>
          <w:tcPr>
            <w:tcW w:w="709" w:type="pct"/>
            <w:shd w:val="clear" w:color="auto" w:fill="D9D9D9"/>
            <w:vAlign w:val="center"/>
          </w:tcPr>
          <w:p w:rsidR="00B30642" w:rsidRPr="00E155C0" w:rsidRDefault="00B30642" w:rsidP="0024037F">
            <w:pPr>
              <w:spacing w:line="240" w:lineRule="auto"/>
              <w:jc w:val="center"/>
              <w:rPr>
                <w:rFonts w:cs="Arial"/>
                <w:b/>
                <w:bCs/>
                <w:color w:val="000000"/>
                <w:sz w:val="20"/>
              </w:rPr>
            </w:pPr>
            <w:r w:rsidRPr="00E155C0">
              <w:rPr>
                <w:rFonts w:cs="Arial"/>
                <w:b/>
                <w:bCs/>
                <w:color w:val="000000"/>
                <w:sz w:val="20"/>
              </w:rPr>
              <w:t>USO</w:t>
            </w:r>
          </w:p>
        </w:tc>
      </w:tr>
      <w:tr w:rsidR="00BB4A3C" w:rsidRPr="00E155C0" w:rsidTr="00E155C0">
        <w:trPr>
          <w:trHeight w:val="429"/>
          <w:jc w:val="center"/>
        </w:trPr>
        <w:tc>
          <w:tcPr>
            <w:tcW w:w="371" w:type="pct"/>
            <w:shd w:val="clear" w:color="auto" w:fill="auto"/>
            <w:vAlign w:val="center"/>
          </w:tcPr>
          <w:p w:rsidR="00B30642" w:rsidRPr="00E155C0" w:rsidRDefault="00B30642" w:rsidP="00BB4A3C">
            <w:pPr>
              <w:spacing w:line="240" w:lineRule="auto"/>
              <w:jc w:val="center"/>
              <w:rPr>
                <w:sz w:val="20"/>
              </w:rPr>
            </w:pPr>
            <w:r w:rsidRPr="00E155C0">
              <w:rPr>
                <w:sz w:val="20"/>
              </w:rPr>
              <w:t>1</w:t>
            </w:r>
          </w:p>
        </w:tc>
        <w:tc>
          <w:tcPr>
            <w:tcW w:w="793" w:type="pct"/>
            <w:shd w:val="clear" w:color="auto" w:fill="auto"/>
            <w:vAlign w:val="center"/>
          </w:tcPr>
          <w:p w:rsidR="00B30642" w:rsidRPr="00E155C0" w:rsidRDefault="00B30642" w:rsidP="0024037F">
            <w:pPr>
              <w:spacing w:line="240" w:lineRule="auto"/>
              <w:rPr>
                <w:sz w:val="20"/>
              </w:rPr>
            </w:pPr>
            <w:r w:rsidRPr="00E155C0">
              <w:rPr>
                <w:sz w:val="20"/>
              </w:rPr>
              <w:t>820086/2006</w:t>
            </w:r>
          </w:p>
        </w:tc>
        <w:tc>
          <w:tcPr>
            <w:tcW w:w="509" w:type="pct"/>
            <w:shd w:val="clear" w:color="auto" w:fill="auto"/>
            <w:vAlign w:val="center"/>
          </w:tcPr>
          <w:p w:rsidR="00B30642" w:rsidRPr="00E155C0" w:rsidRDefault="00B30642" w:rsidP="00BB4A3C">
            <w:pPr>
              <w:spacing w:line="240" w:lineRule="auto"/>
              <w:jc w:val="center"/>
              <w:rPr>
                <w:sz w:val="20"/>
              </w:rPr>
            </w:pPr>
            <w:r w:rsidRPr="00E155C0">
              <w:rPr>
                <w:sz w:val="20"/>
              </w:rPr>
              <w:t>397,39</w:t>
            </w:r>
          </w:p>
        </w:tc>
        <w:tc>
          <w:tcPr>
            <w:tcW w:w="800" w:type="pct"/>
            <w:shd w:val="clear" w:color="auto" w:fill="auto"/>
            <w:vAlign w:val="center"/>
          </w:tcPr>
          <w:p w:rsidR="00B30642" w:rsidRPr="00E155C0" w:rsidRDefault="00B30642" w:rsidP="0024037F">
            <w:pPr>
              <w:spacing w:line="240" w:lineRule="auto"/>
              <w:rPr>
                <w:sz w:val="20"/>
              </w:rPr>
            </w:pPr>
            <w:r w:rsidRPr="00E155C0">
              <w:rPr>
                <w:sz w:val="20"/>
              </w:rPr>
              <w:t>Requerimento de Pesquisa</w:t>
            </w:r>
          </w:p>
        </w:tc>
        <w:tc>
          <w:tcPr>
            <w:tcW w:w="1164" w:type="pct"/>
            <w:shd w:val="clear" w:color="auto" w:fill="auto"/>
            <w:vAlign w:val="center"/>
          </w:tcPr>
          <w:p w:rsidR="00B30642" w:rsidRPr="00E155C0" w:rsidRDefault="00B30642" w:rsidP="0024037F">
            <w:pPr>
              <w:spacing w:line="240" w:lineRule="auto"/>
              <w:rPr>
                <w:sz w:val="20"/>
              </w:rPr>
            </w:pPr>
            <w:r w:rsidRPr="00E155C0">
              <w:rPr>
                <w:sz w:val="20"/>
              </w:rPr>
              <w:t>LENA &amp; CIA LTDA</w:t>
            </w:r>
          </w:p>
        </w:tc>
        <w:tc>
          <w:tcPr>
            <w:tcW w:w="654" w:type="pct"/>
            <w:shd w:val="clear" w:color="auto" w:fill="auto"/>
            <w:vAlign w:val="center"/>
          </w:tcPr>
          <w:p w:rsidR="00B30642" w:rsidRPr="00E155C0" w:rsidRDefault="00B30642" w:rsidP="0024037F">
            <w:pPr>
              <w:spacing w:line="240" w:lineRule="auto"/>
              <w:rPr>
                <w:sz w:val="20"/>
              </w:rPr>
            </w:pPr>
            <w:r w:rsidRPr="00E155C0">
              <w:rPr>
                <w:sz w:val="20"/>
              </w:rPr>
              <w:t>Minério de Manganês</w:t>
            </w:r>
          </w:p>
        </w:tc>
        <w:tc>
          <w:tcPr>
            <w:tcW w:w="709" w:type="pct"/>
            <w:shd w:val="clear" w:color="auto" w:fill="auto"/>
            <w:vAlign w:val="center"/>
          </w:tcPr>
          <w:p w:rsidR="00B30642" w:rsidRPr="00E155C0" w:rsidRDefault="00B30642" w:rsidP="0024037F">
            <w:pPr>
              <w:spacing w:line="240" w:lineRule="auto"/>
              <w:rPr>
                <w:sz w:val="20"/>
              </w:rPr>
            </w:pPr>
            <w:r w:rsidRPr="00E155C0">
              <w:rPr>
                <w:sz w:val="20"/>
              </w:rPr>
              <w:t>Metalurgia</w:t>
            </w:r>
          </w:p>
        </w:tc>
      </w:tr>
      <w:tr w:rsidR="00BB4A3C" w:rsidRPr="00E155C0" w:rsidTr="00E155C0">
        <w:trPr>
          <w:trHeight w:val="465"/>
          <w:jc w:val="center"/>
        </w:trPr>
        <w:tc>
          <w:tcPr>
            <w:tcW w:w="371" w:type="pct"/>
            <w:shd w:val="clear" w:color="auto" w:fill="auto"/>
            <w:vAlign w:val="center"/>
          </w:tcPr>
          <w:p w:rsidR="00B30642" w:rsidRPr="00E155C0" w:rsidRDefault="00B30642" w:rsidP="00BB4A3C">
            <w:pPr>
              <w:spacing w:line="240" w:lineRule="auto"/>
              <w:jc w:val="center"/>
              <w:rPr>
                <w:sz w:val="20"/>
              </w:rPr>
            </w:pPr>
            <w:r w:rsidRPr="00E155C0">
              <w:rPr>
                <w:sz w:val="20"/>
              </w:rPr>
              <w:t>2</w:t>
            </w:r>
          </w:p>
        </w:tc>
        <w:tc>
          <w:tcPr>
            <w:tcW w:w="793" w:type="pct"/>
            <w:shd w:val="clear" w:color="auto" w:fill="auto"/>
            <w:vAlign w:val="center"/>
          </w:tcPr>
          <w:p w:rsidR="00B30642" w:rsidRPr="00E155C0" w:rsidRDefault="00B30642" w:rsidP="0024037F">
            <w:pPr>
              <w:spacing w:line="240" w:lineRule="auto"/>
              <w:rPr>
                <w:sz w:val="20"/>
              </w:rPr>
            </w:pPr>
            <w:r w:rsidRPr="00E155C0">
              <w:rPr>
                <w:sz w:val="20"/>
              </w:rPr>
              <w:t>820001/2009</w:t>
            </w:r>
          </w:p>
        </w:tc>
        <w:tc>
          <w:tcPr>
            <w:tcW w:w="509" w:type="pct"/>
            <w:shd w:val="clear" w:color="auto" w:fill="auto"/>
            <w:vAlign w:val="center"/>
          </w:tcPr>
          <w:p w:rsidR="00B30642" w:rsidRPr="00E155C0" w:rsidRDefault="00B30642" w:rsidP="00BB4A3C">
            <w:pPr>
              <w:spacing w:line="240" w:lineRule="auto"/>
              <w:jc w:val="center"/>
              <w:rPr>
                <w:sz w:val="20"/>
              </w:rPr>
            </w:pPr>
            <w:r w:rsidRPr="00E155C0">
              <w:rPr>
                <w:sz w:val="20"/>
              </w:rPr>
              <w:t>1127,25</w:t>
            </w:r>
          </w:p>
        </w:tc>
        <w:tc>
          <w:tcPr>
            <w:tcW w:w="800" w:type="pct"/>
            <w:shd w:val="clear" w:color="auto" w:fill="auto"/>
            <w:vAlign w:val="center"/>
          </w:tcPr>
          <w:p w:rsidR="00B30642" w:rsidRPr="00E155C0" w:rsidRDefault="00B30642" w:rsidP="0024037F">
            <w:pPr>
              <w:spacing w:line="240" w:lineRule="auto"/>
              <w:rPr>
                <w:sz w:val="20"/>
              </w:rPr>
            </w:pPr>
            <w:r w:rsidRPr="00E155C0">
              <w:rPr>
                <w:sz w:val="20"/>
              </w:rPr>
              <w:t>Requerimento de Pesquisa</w:t>
            </w:r>
          </w:p>
        </w:tc>
        <w:tc>
          <w:tcPr>
            <w:tcW w:w="1164" w:type="pct"/>
            <w:shd w:val="clear" w:color="auto" w:fill="auto"/>
            <w:vAlign w:val="center"/>
          </w:tcPr>
          <w:p w:rsidR="00B30642" w:rsidRPr="00E155C0" w:rsidRDefault="00B30642" w:rsidP="0024037F">
            <w:pPr>
              <w:spacing w:line="240" w:lineRule="auto"/>
              <w:rPr>
                <w:sz w:val="20"/>
              </w:rPr>
            </w:pPr>
            <w:r w:rsidRPr="00E155C0">
              <w:rPr>
                <w:sz w:val="20"/>
              </w:rPr>
              <w:t>LENA &amp; CIA. LTDA</w:t>
            </w:r>
          </w:p>
        </w:tc>
        <w:tc>
          <w:tcPr>
            <w:tcW w:w="654" w:type="pct"/>
            <w:shd w:val="clear" w:color="auto" w:fill="auto"/>
            <w:vAlign w:val="center"/>
          </w:tcPr>
          <w:p w:rsidR="00B30642" w:rsidRPr="00E155C0" w:rsidRDefault="00B30642" w:rsidP="0024037F">
            <w:pPr>
              <w:spacing w:line="240" w:lineRule="auto"/>
              <w:rPr>
                <w:sz w:val="20"/>
              </w:rPr>
            </w:pPr>
            <w:r w:rsidRPr="00E155C0">
              <w:rPr>
                <w:sz w:val="20"/>
              </w:rPr>
              <w:t>Minério de Manganês</w:t>
            </w:r>
          </w:p>
        </w:tc>
        <w:tc>
          <w:tcPr>
            <w:tcW w:w="709" w:type="pct"/>
            <w:shd w:val="clear" w:color="auto" w:fill="auto"/>
            <w:vAlign w:val="center"/>
          </w:tcPr>
          <w:p w:rsidR="00B30642" w:rsidRPr="00E155C0" w:rsidRDefault="00B30642" w:rsidP="0024037F">
            <w:pPr>
              <w:spacing w:line="240" w:lineRule="auto"/>
              <w:rPr>
                <w:sz w:val="20"/>
              </w:rPr>
            </w:pPr>
            <w:r w:rsidRPr="00E155C0">
              <w:rPr>
                <w:sz w:val="20"/>
              </w:rPr>
              <w:t>Industrial</w:t>
            </w:r>
          </w:p>
        </w:tc>
      </w:tr>
      <w:tr w:rsidR="00BB4A3C" w:rsidRPr="00E155C0" w:rsidTr="00E155C0">
        <w:trPr>
          <w:trHeight w:val="508"/>
          <w:jc w:val="center"/>
        </w:trPr>
        <w:tc>
          <w:tcPr>
            <w:tcW w:w="371" w:type="pct"/>
            <w:shd w:val="clear" w:color="auto" w:fill="auto"/>
            <w:vAlign w:val="center"/>
          </w:tcPr>
          <w:p w:rsidR="00B30642" w:rsidRPr="00E155C0" w:rsidRDefault="00B30642" w:rsidP="00BB4A3C">
            <w:pPr>
              <w:spacing w:line="240" w:lineRule="auto"/>
              <w:jc w:val="center"/>
              <w:rPr>
                <w:sz w:val="20"/>
              </w:rPr>
            </w:pPr>
            <w:r w:rsidRPr="00E155C0">
              <w:rPr>
                <w:sz w:val="20"/>
              </w:rPr>
              <w:t>3</w:t>
            </w:r>
          </w:p>
        </w:tc>
        <w:tc>
          <w:tcPr>
            <w:tcW w:w="793" w:type="pct"/>
            <w:shd w:val="clear" w:color="auto" w:fill="auto"/>
            <w:vAlign w:val="center"/>
          </w:tcPr>
          <w:p w:rsidR="00B30642" w:rsidRPr="00E155C0" w:rsidRDefault="00B30642" w:rsidP="0024037F">
            <w:pPr>
              <w:spacing w:line="240" w:lineRule="auto"/>
              <w:rPr>
                <w:sz w:val="20"/>
              </w:rPr>
            </w:pPr>
            <w:r w:rsidRPr="00E155C0">
              <w:rPr>
                <w:sz w:val="20"/>
              </w:rPr>
              <w:t>820774/2012</w:t>
            </w:r>
          </w:p>
        </w:tc>
        <w:tc>
          <w:tcPr>
            <w:tcW w:w="509" w:type="pct"/>
            <w:shd w:val="clear" w:color="auto" w:fill="auto"/>
            <w:vAlign w:val="center"/>
          </w:tcPr>
          <w:p w:rsidR="00B30642" w:rsidRPr="00E155C0" w:rsidRDefault="00B30642" w:rsidP="00BB4A3C">
            <w:pPr>
              <w:spacing w:line="240" w:lineRule="auto"/>
              <w:jc w:val="center"/>
              <w:rPr>
                <w:sz w:val="20"/>
              </w:rPr>
            </w:pPr>
            <w:r w:rsidRPr="00E155C0">
              <w:rPr>
                <w:sz w:val="20"/>
              </w:rPr>
              <w:t>617,69</w:t>
            </w:r>
          </w:p>
        </w:tc>
        <w:tc>
          <w:tcPr>
            <w:tcW w:w="800" w:type="pct"/>
            <w:shd w:val="clear" w:color="auto" w:fill="auto"/>
            <w:vAlign w:val="center"/>
          </w:tcPr>
          <w:p w:rsidR="00B30642" w:rsidRPr="00E155C0" w:rsidRDefault="00B30642" w:rsidP="0024037F">
            <w:pPr>
              <w:spacing w:line="240" w:lineRule="auto"/>
              <w:jc w:val="left"/>
              <w:rPr>
                <w:sz w:val="20"/>
              </w:rPr>
            </w:pPr>
            <w:r w:rsidRPr="00E155C0">
              <w:rPr>
                <w:sz w:val="20"/>
              </w:rPr>
              <w:t>Autorização de Pesquisa</w:t>
            </w:r>
          </w:p>
        </w:tc>
        <w:tc>
          <w:tcPr>
            <w:tcW w:w="1164" w:type="pct"/>
            <w:shd w:val="clear" w:color="auto" w:fill="auto"/>
            <w:vAlign w:val="center"/>
          </w:tcPr>
          <w:p w:rsidR="00B30642" w:rsidRPr="00E155C0" w:rsidRDefault="00B30642" w:rsidP="0024037F">
            <w:pPr>
              <w:spacing w:line="240" w:lineRule="auto"/>
              <w:rPr>
                <w:sz w:val="20"/>
              </w:rPr>
            </w:pPr>
            <w:r w:rsidRPr="00E155C0">
              <w:rPr>
                <w:sz w:val="20"/>
              </w:rPr>
              <w:t>Antonio Ricardo Beira</w:t>
            </w:r>
          </w:p>
        </w:tc>
        <w:tc>
          <w:tcPr>
            <w:tcW w:w="654" w:type="pct"/>
            <w:shd w:val="clear" w:color="auto" w:fill="auto"/>
            <w:vAlign w:val="center"/>
          </w:tcPr>
          <w:p w:rsidR="00B30642" w:rsidRPr="00E155C0" w:rsidRDefault="00B30642" w:rsidP="0024037F">
            <w:pPr>
              <w:spacing w:line="240" w:lineRule="auto"/>
              <w:rPr>
                <w:sz w:val="20"/>
              </w:rPr>
            </w:pPr>
            <w:r w:rsidRPr="00E155C0">
              <w:rPr>
                <w:sz w:val="20"/>
              </w:rPr>
              <w:t>Argila</w:t>
            </w:r>
          </w:p>
        </w:tc>
        <w:tc>
          <w:tcPr>
            <w:tcW w:w="709" w:type="pct"/>
            <w:shd w:val="clear" w:color="auto" w:fill="auto"/>
            <w:vAlign w:val="center"/>
          </w:tcPr>
          <w:p w:rsidR="00B30642" w:rsidRPr="00E155C0" w:rsidRDefault="00B30642" w:rsidP="0024037F">
            <w:pPr>
              <w:spacing w:line="240" w:lineRule="auto"/>
              <w:rPr>
                <w:sz w:val="20"/>
              </w:rPr>
            </w:pPr>
            <w:r w:rsidRPr="00E155C0">
              <w:rPr>
                <w:sz w:val="20"/>
              </w:rPr>
              <w:t>Industrial</w:t>
            </w:r>
          </w:p>
        </w:tc>
      </w:tr>
      <w:tr w:rsidR="00BB4A3C" w:rsidRPr="00E155C0" w:rsidTr="00E155C0">
        <w:trPr>
          <w:trHeight w:val="508"/>
          <w:jc w:val="center"/>
        </w:trPr>
        <w:tc>
          <w:tcPr>
            <w:tcW w:w="371" w:type="pct"/>
            <w:shd w:val="clear" w:color="auto" w:fill="auto"/>
            <w:vAlign w:val="center"/>
          </w:tcPr>
          <w:p w:rsidR="00B30642" w:rsidRPr="00E155C0" w:rsidRDefault="00B30642" w:rsidP="00BB4A3C">
            <w:pPr>
              <w:spacing w:line="240" w:lineRule="auto"/>
              <w:jc w:val="center"/>
              <w:rPr>
                <w:sz w:val="20"/>
              </w:rPr>
            </w:pPr>
            <w:r w:rsidRPr="00E155C0">
              <w:rPr>
                <w:sz w:val="20"/>
              </w:rPr>
              <w:t>4</w:t>
            </w:r>
          </w:p>
        </w:tc>
        <w:tc>
          <w:tcPr>
            <w:tcW w:w="793" w:type="pct"/>
            <w:shd w:val="clear" w:color="auto" w:fill="auto"/>
            <w:vAlign w:val="center"/>
          </w:tcPr>
          <w:p w:rsidR="00B30642" w:rsidRPr="00E155C0" w:rsidRDefault="00B30642" w:rsidP="0024037F">
            <w:pPr>
              <w:spacing w:line="240" w:lineRule="auto"/>
              <w:rPr>
                <w:sz w:val="20"/>
              </w:rPr>
            </w:pPr>
            <w:r w:rsidRPr="00E155C0">
              <w:rPr>
                <w:sz w:val="20"/>
              </w:rPr>
              <w:t>820238/2013</w:t>
            </w:r>
          </w:p>
        </w:tc>
        <w:tc>
          <w:tcPr>
            <w:tcW w:w="509" w:type="pct"/>
            <w:shd w:val="clear" w:color="auto" w:fill="auto"/>
            <w:vAlign w:val="center"/>
          </w:tcPr>
          <w:p w:rsidR="00B30642" w:rsidRPr="00E155C0" w:rsidRDefault="00B30642" w:rsidP="00BB4A3C">
            <w:pPr>
              <w:spacing w:line="240" w:lineRule="auto"/>
              <w:jc w:val="center"/>
              <w:rPr>
                <w:sz w:val="20"/>
              </w:rPr>
            </w:pPr>
            <w:r w:rsidRPr="00E155C0">
              <w:rPr>
                <w:sz w:val="20"/>
              </w:rPr>
              <w:t>621,14</w:t>
            </w:r>
          </w:p>
        </w:tc>
        <w:tc>
          <w:tcPr>
            <w:tcW w:w="800" w:type="pct"/>
            <w:shd w:val="clear" w:color="auto" w:fill="auto"/>
            <w:vAlign w:val="center"/>
          </w:tcPr>
          <w:p w:rsidR="00B30642" w:rsidRPr="00E155C0" w:rsidRDefault="00B30642" w:rsidP="0024037F">
            <w:pPr>
              <w:spacing w:line="240" w:lineRule="auto"/>
              <w:jc w:val="left"/>
              <w:rPr>
                <w:sz w:val="20"/>
              </w:rPr>
            </w:pPr>
            <w:r w:rsidRPr="00E155C0">
              <w:rPr>
                <w:sz w:val="20"/>
              </w:rPr>
              <w:t>Autorização de Pesquisa</w:t>
            </w:r>
          </w:p>
        </w:tc>
        <w:tc>
          <w:tcPr>
            <w:tcW w:w="1164" w:type="pct"/>
            <w:shd w:val="clear" w:color="auto" w:fill="auto"/>
            <w:vAlign w:val="center"/>
          </w:tcPr>
          <w:p w:rsidR="00B30642" w:rsidRPr="00E155C0" w:rsidRDefault="00B30642" w:rsidP="0024037F">
            <w:pPr>
              <w:spacing w:line="240" w:lineRule="auto"/>
              <w:rPr>
                <w:sz w:val="20"/>
              </w:rPr>
            </w:pPr>
            <w:r w:rsidRPr="00E155C0">
              <w:rPr>
                <w:sz w:val="20"/>
              </w:rPr>
              <w:t>Antonio Ricardo Beira</w:t>
            </w:r>
          </w:p>
        </w:tc>
        <w:tc>
          <w:tcPr>
            <w:tcW w:w="654" w:type="pct"/>
            <w:shd w:val="clear" w:color="auto" w:fill="auto"/>
            <w:vAlign w:val="center"/>
          </w:tcPr>
          <w:p w:rsidR="00B30642" w:rsidRPr="00E155C0" w:rsidRDefault="00B30642" w:rsidP="0024037F">
            <w:pPr>
              <w:spacing w:line="240" w:lineRule="auto"/>
              <w:rPr>
                <w:sz w:val="20"/>
              </w:rPr>
            </w:pPr>
            <w:r w:rsidRPr="00E155C0">
              <w:rPr>
                <w:sz w:val="20"/>
              </w:rPr>
              <w:t>Argila</w:t>
            </w:r>
          </w:p>
        </w:tc>
        <w:tc>
          <w:tcPr>
            <w:tcW w:w="709" w:type="pct"/>
            <w:shd w:val="clear" w:color="auto" w:fill="auto"/>
            <w:vAlign w:val="center"/>
          </w:tcPr>
          <w:p w:rsidR="00B30642" w:rsidRPr="00E155C0" w:rsidRDefault="00B30642" w:rsidP="0024037F">
            <w:pPr>
              <w:spacing w:line="240" w:lineRule="auto"/>
              <w:rPr>
                <w:sz w:val="20"/>
              </w:rPr>
            </w:pPr>
            <w:r w:rsidRPr="00E155C0">
              <w:rPr>
                <w:sz w:val="20"/>
              </w:rPr>
              <w:t>Industrial</w:t>
            </w:r>
          </w:p>
        </w:tc>
      </w:tr>
      <w:tr w:rsidR="00BB4A3C" w:rsidRPr="00E155C0" w:rsidTr="00E155C0">
        <w:trPr>
          <w:trHeight w:val="444"/>
          <w:jc w:val="center"/>
        </w:trPr>
        <w:tc>
          <w:tcPr>
            <w:tcW w:w="371" w:type="pct"/>
            <w:shd w:val="clear" w:color="auto" w:fill="auto"/>
            <w:vAlign w:val="center"/>
          </w:tcPr>
          <w:p w:rsidR="00B30642" w:rsidRPr="00E155C0" w:rsidRDefault="00B30642" w:rsidP="00BB4A3C">
            <w:pPr>
              <w:spacing w:line="240" w:lineRule="auto"/>
              <w:jc w:val="center"/>
              <w:rPr>
                <w:sz w:val="20"/>
              </w:rPr>
            </w:pPr>
            <w:r w:rsidRPr="00E155C0">
              <w:rPr>
                <w:sz w:val="20"/>
              </w:rPr>
              <w:t>5</w:t>
            </w:r>
          </w:p>
        </w:tc>
        <w:tc>
          <w:tcPr>
            <w:tcW w:w="793" w:type="pct"/>
            <w:shd w:val="clear" w:color="auto" w:fill="auto"/>
            <w:vAlign w:val="center"/>
          </w:tcPr>
          <w:p w:rsidR="00B30642" w:rsidRPr="00E155C0" w:rsidRDefault="00B30642" w:rsidP="0024037F">
            <w:pPr>
              <w:spacing w:line="240" w:lineRule="auto"/>
              <w:rPr>
                <w:sz w:val="20"/>
              </w:rPr>
            </w:pPr>
            <w:r w:rsidRPr="00E155C0">
              <w:rPr>
                <w:sz w:val="20"/>
              </w:rPr>
              <w:t>821351/2012</w:t>
            </w:r>
          </w:p>
        </w:tc>
        <w:tc>
          <w:tcPr>
            <w:tcW w:w="509" w:type="pct"/>
            <w:shd w:val="clear" w:color="auto" w:fill="auto"/>
            <w:vAlign w:val="center"/>
          </w:tcPr>
          <w:p w:rsidR="00B30642" w:rsidRPr="00E155C0" w:rsidRDefault="00B30642" w:rsidP="00BB4A3C">
            <w:pPr>
              <w:spacing w:line="240" w:lineRule="auto"/>
              <w:jc w:val="center"/>
              <w:rPr>
                <w:sz w:val="20"/>
              </w:rPr>
            </w:pPr>
            <w:r w:rsidRPr="00E155C0">
              <w:rPr>
                <w:sz w:val="20"/>
              </w:rPr>
              <w:t>722,88</w:t>
            </w:r>
          </w:p>
        </w:tc>
        <w:tc>
          <w:tcPr>
            <w:tcW w:w="800" w:type="pct"/>
            <w:shd w:val="clear" w:color="auto" w:fill="auto"/>
            <w:vAlign w:val="center"/>
          </w:tcPr>
          <w:p w:rsidR="00B30642" w:rsidRPr="00E155C0" w:rsidRDefault="00B30642" w:rsidP="0024037F">
            <w:pPr>
              <w:spacing w:line="240" w:lineRule="auto"/>
              <w:jc w:val="left"/>
              <w:rPr>
                <w:sz w:val="20"/>
              </w:rPr>
            </w:pPr>
            <w:r w:rsidRPr="00E155C0">
              <w:rPr>
                <w:sz w:val="20"/>
              </w:rPr>
              <w:t>Autorização de Pesquisa</w:t>
            </w:r>
          </w:p>
        </w:tc>
        <w:tc>
          <w:tcPr>
            <w:tcW w:w="1164" w:type="pct"/>
            <w:shd w:val="clear" w:color="auto" w:fill="auto"/>
            <w:vAlign w:val="center"/>
          </w:tcPr>
          <w:p w:rsidR="00B30642" w:rsidRPr="00E155C0" w:rsidRDefault="00B30642" w:rsidP="0024037F">
            <w:pPr>
              <w:spacing w:line="240" w:lineRule="auto"/>
              <w:rPr>
                <w:sz w:val="20"/>
              </w:rPr>
            </w:pPr>
            <w:r w:rsidRPr="00E155C0">
              <w:rPr>
                <w:sz w:val="20"/>
              </w:rPr>
              <w:t>Antonio Ricardo Beira</w:t>
            </w:r>
          </w:p>
        </w:tc>
        <w:tc>
          <w:tcPr>
            <w:tcW w:w="654" w:type="pct"/>
            <w:shd w:val="clear" w:color="auto" w:fill="auto"/>
            <w:vAlign w:val="center"/>
          </w:tcPr>
          <w:p w:rsidR="00B30642" w:rsidRPr="00E155C0" w:rsidRDefault="00B30642" w:rsidP="0024037F">
            <w:pPr>
              <w:spacing w:line="240" w:lineRule="auto"/>
              <w:rPr>
                <w:sz w:val="20"/>
              </w:rPr>
            </w:pPr>
            <w:r w:rsidRPr="00E155C0">
              <w:rPr>
                <w:sz w:val="20"/>
              </w:rPr>
              <w:t>Argila</w:t>
            </w:r>
          </w:p>
        </w:tc>
        <w:tc>
          <w:tcPr>
            <w:tcW w:w="709" w:type="pct"/>
            <w:shd w:val="clear" w:color="auto" w:fill="auto"/>
            <w:vAlign w:val="center"/>
          </w:tcPr>
          <w:p w:rsidR="00B30642" w:rsidRPr="00E155C0" w:rsidRDefault="00B30642" w:rsidP="0024037F">
            <w:pPr>
              <w:spacing w:line="240" w:lineRule="auto"/>
              <w:rPr>
                <w:sz w:val="20"/>
              </w:rPr>
            </w:pPr>
            <w:r w:rsidRPr="00E155C0">
              <w:rPr>
                <w:sz w:val="20"/>
              </w:rPr>
              <w:t>Industrial</w:t>
            </w:r>
          </w:p>
        </w:tc>
      </w:tr>
      <w:tr w:rsidR="00BB4A3C" w:rsidRPr="00E155C0" w:rsidTr="00E155C0">
        <w:trPr>
          <w:trHeight w:val="508"/>
          <w:jc w:val="center"/>
        </w:trPr>
        <w:tc>
          <w:tcPr>
            <w:tcW w:w="371" w:type="pct"/>
            <w:shd w:val="clear" w:color="auto" w:fill="auto"/>
            <w:vAlign w:val="center"/>
          </w:tcPr>
          <w:p w:rsidR="00B30642" w:rsidRPr="00E155C0" w:rsidRDefault="00B30642" w:rsidP="00BB4A3C">
            <w:pPr>
              <w:spacing w:line="240" w:lineRule="auto"/>
              <w:jc w:val="center"/>
              <w:rPr>
                <w:sz w:val="20"/>
              </w:rPr>
            </w:pPr>
            <w:r w:rsidRPr="00E155C0">
              <w:rPr>
                <w:sz w:val="20"/>
              </w:rPr>
              <w:t>6</w:t>
            </w:r>
          </w:p>
        </w:tc>
        <w:tc>
          <w:tcPr>
            <w:tcW w:w="793" w:type="pct"/>
            <w:shd w:val="clear" w:color="auto" w:fill="auto"/>
            <w:vAlign w:val="center"/>
          </w:tcPr>
          <w:p w:rsidR="00B30642" w:rsidRPr="00E155C0" w:rsidRDefault="00B30642" w:rsidP="0024037F">
            <w:pPr>
              <w:spacing w:line="240" w:lineRule="auto"/>
              <w:rPr>
                <w:sz w:val="20"/>
              </w:rPr>
            </w:pPr>
            <w:r w:rsidRPr="00E155C0">
              <w:rPr>
                <w:sz w:val="20"/>
              </w:rPr>
              <w:t>820808/2013</w:t>
            </w:r>
          </w:p>
        </w:tc>
        <w:tc>
          <w:tcPr>
            <w:tcW w:w="509" w:type="pct"/>
            <w:shd w:val="clear" w:color="auto" w:fill="auto"/>
            <w:vAlign w:val="center"/>
          </w:tcPr>
          <w:p w:rsidR="00B30642" w:rsidRPr="00E155C0" w:rsidRDefault="00B30642" w:rsidP="00BB4A3C">
            <w:pPr>
              <w:spacing w:line="240" w:lineRule="auto"/>
              <w:jc w:val="center"/>
              <w:rPr>
                <w:sz w:val="20"/>
              </w:rPr>
            </w:pPr>
            <w:r w:rsidRPr="00E155C0">
              <w:rPr>
                <w:sz w:val="20"/>
              </w:rPr>
              <w:t>996,01</w:t>
            </w:r>
          </w:p>
        </w:tc>
        <w:tc>
          <w:tcPr>
            <w:tcW w:w="800" w:type="pct"/>
            <w:shd w:val="clear" w:color="auto" w:fill="auto"/>
            <w:vAlign w:val="center"/>
          </w:tcPr>
          <w:p w:rsidR="00B30642" w:rsidRPr="00E155C0" w:rsidRDefault="00B30642" w:rsidP="0024037F">
            <w:pPr>
              <w:spacing w:line="240" w:lineRule="auto"/>
              <w:rPr>
                <w:sz w:val="20"/>
              </w:rPr>
            </w:pPr>
            <w:r w:rsidRPr="00E155C0">
              <w:rPr>
                <w:sz w:val="20"/>
              </w:rPr>
              <w:t>Requerimento de Pesquisa</w:t>
            </w:r>
          </w:p>
        </w:tc>
        <w:tc>
          <w:tcPr>
            <w:tcW w:w="1164" w:type="pct"/>
            <w:shd w:val="clear" w:color="auto" w:fill="auto"/>
            <w:vAlign w:val="center"/>
          </w:tcPr>
          <w:p w:rsidR="00B30642" w:rsidRPr="00E155C0" w:rsidRDefault="00B30642" w:rsidP="00BB4A3C">
            <w:pPr>
              <w:spacing w:line="240" w:lineRule="auto"/>
              <w:jc w:val="left"/>
              <w:rPr>
                <w:sz w:val="20"/>
              </w:rPr>
            </w:pPr>
            <w:r w:rsidRPr="00E155C0">
              <w:rPr>
                <w:sz w:val="20"/>
              </w:rPr>
              <w:t>Leonardo Mantelatto Poltronieri</w:t>
            </w:r>
          </w:p>
        </w:tc>
        <w:tc>
          <w:tcPr>
            <w:tcW w:w="654" w:type="pct"/>
            <w:shd w:val="clear" w:color="auto" w:fill="auto"/>
            <w:vAlign w:val="center"/>
          </w:tcPr>
          <w:p w:rsidR="00B30642" w:rsidRPr="00E155C0" w:rsidRDefault="00B30642" w:rsidP="0024037F">
            <w:pPr>
              <w:spacing w:line="240" w:lineRule="auto"/>
              <w:rPr>
                <w:sz w:val="20"/>
              </w:rPr>
            </w:pPr>
            <w:r w:rsidRPr="00E155C0">
              <w:rPr>
                <w:sz w:val="20"/>
              </w:rPr>
              <w:t>Areia</w:t>
            </w:r>
          </w:p>
        </w:tc>
        <w:tc>
          <w:tcPr>
            <w:tcW w:w="709" w:type="pct"/>
            <w:shd w:val="clear" w:color="auto" w:fill="auto"/>
            <w:vAlign w:val="center"/>
          </w:tcPr>
          <w:p w:rsidR="00B30642" w:rsidRPr="00E155C0" w:rsidRDefault="00B30642" w:rsidP="0024037F">
            <w:pPr>
              <w:spacing w:line="240" w:lineRule="auto"/>
              <w:rPr>
                <w:sz w:val="20"/>
              </w:rPr>
            </w:pPr>
            <w:r w:rsidRPr="00E155C0">
              <w:rPr>
                <w:sz w:val="20"/>
              </w:rPr>
              <w:t>Construção Civil</w:t>
            </w:r>
          </w:p>
        </w:tc>
      </w:tr>
    </w:tbl>
    <w:p w:rsidR="00B30642" w:rsidRPr="00E155C0" w:rsidRDefault="00B30642" w:rsidP="00B30642">
      <w:pPr>
        <w:rPr>
          <w:sz w:val="20"/>
        </w:rPr>
      </w:pPr>
      <w:r w:rsidRPr="00E155C0">
        <w:rPr>
          <w:sz w:val="20"/>
        </w:rPr>
        <w:t>Fonte: Departamento Nacional de Produção Mineral – DNPM (junho de 2014).</w:t>
      </w:r>
    </w:p>
    <w:p w:rsidR="00B30642" w:rsidRDefault="00B30642" w:rsidP="00B30642">
      <w:pPr>
        <w:spacing w:before="120" w:after="120" w:line="240" w:lineRule="auto"/>
        <w:rPr>
          <w:szCs w:val="22"/>
        </w:rPr>
      </w:pPr>
      <w:r w:rsidRPr="002A79E5">
        <w:rPr>
          <w:szCs w:val="22"/>
        </w:rPr>
        <w:t>C</w:t>
      </w:r>
      <w:r>
        <w:rPr>
          <w:szCs w:val="22"/>
        </w:rPr>
        <w:t xml:space="preserve">omo </w:t>
      </w:r>
      <w:r w:rsidR="00E80E63">
        <w:rPr>
          <w:szCs w:val="22"/>
        </w:rPr>
        <w:t>3</w:t>
      </w:r>
      <w:r>
        <w:rPr>
          <w:szCs w:val="22"/>
        </w:rPr>
        <w:t xml:space="preserve"> processos estão na etapa inicial do processo na fase de Requerimento de Pesquisa e as Substância pesquisada, salvo a areia, não terem ocorrências ou depósitos cadastrados ou identificados na ADA ou na AID</w:t>
      </w:r>
      <w:r w:rsidR="00D05B30">
        <w:rPr>
          <w:szCs w:val="22"/>
        </w:rPr>
        <w:t xml:space="preserve"> da Barragem Duas Pontes</w:t>
      </w:r>
      <w:r w:rsidR="00982762">
        <w:rPr>
          <w:szCs w:val="22"/>
        </w:rPr>
        <w:t>, a</w:t>
      </w:r>
      <w:r>
        <w:rPr>
          <w:szCs w:val="22"/>
        </w:rPr>
        <w:t xml:space="preserve"> </w:t>
      </w:r>
      <w:r w:rsidR="005E3CAB">
        <w:rPr>
          <w:szCs w:val="22"/>
        </w:rPr>
        <w:t>m</w:t>
      </w:r>
      <w:r>
        <w:rPr>
          <w:szCs w:val="22"/>
        </w:rPr>
        <w:t xml:space="preserve">agnitude </w:t>
      </w:r>
      <w:r w:rsidR="00982762">
        <w:rPr>
          <w:szCs w:val="22"/>
        </w:rPr>
        <w:t xml:space="preserve">foi classificada  como </w:t>
      </w:r>
      <w:r>
        <w:rPr>
          <w:szCs w:val="22"/>
        </w:rPr>
        <w:t>Pequena, podendo chegar a ser irrelevante. Pelo fato da maioria dos bens pesquisados não terem registros ou potencialidade na ADA, a importância do impacto é baixa, a abrangência é local, restrita a ADA, a duração permanente</w:t>
      </w:r>
      <w:r w:rsidR="005E3CAB">
        <w:rPr>
          <w:szCs w:val="22"/>
        </w:rPr>
        <w:t>,</w:t>
      </w:r>
      <w:r>
        <w:rPr>
          <w:szCs w:val="22"/>
        </w:rPr>
        <w:t xml:space="preserve"> pois o bloqueio da área do DNPM é definitiv</w:t>
      </w:r>
      <w:r w:rsidR="005E3CAB">
        <w:rPr>
          <w:szCs w:val="22"/>
        </w:rPr>
        <w:t>o</w:t>
      </w:r>
      <w:r>
        <w:rPr>
          <w:szCs w:val="22"/>
        </w:rPr>
        <w:t>. A ocorrência é certa em função do enchimento do reservatório e implantação da APP</w:t>
      </w:r>
      <w:r w:rsidR="00982762">
        <w:rPr>
          <w:szCs w:val="22"/>
        </w:rPr>
        <w:t>,</w:t>
      </w:r>
      <w:r>
        <w:rPr>
          <w:szCs w:val="22"/>
        </w:rPr>
        <w:t xml:space="preserve"> e </w:t>
      </w:r>
      <w:r w:rsidR="005E3CAB">
        <w:rPr>
          <w:szCs w:val="22"/>
        </w:rPr>
        <w:t>em curto prazo</w:t>
      </w:r>
      <w:r>
        <w:rPr>
          <w:szCs w:val="22"/>
        </w:rPr>
        <w:t>, sendo o impacto irreversível e mitigável, no sentido que se houverem direitos minerários consolidados deverão ser tomadas medidas compensatórias em relação aos titulares destes direitos.</w:t>
      </w:r>
    </w:p>
    <w:p w:rsidR="006617E4" w:rsidRPr="006F141D" w:rsidRDefault="008D3A12" w:rsidP="006F141D">
      <w:pPr>
        <w:pStyle w:val="Legenda"/>
        <w:spacing w:before="0" w:after="0" w:line="240" w:lineRule="auto"/>
        <w:jc w:val="center"/>
        <w:rPr>
          <w:rFonts w:eastAsia="Calibri"/>
          <w:b w:val="0"/>
          <w:bCs/>
          <w:i w:val="0"/>
          <w:szCs w:val="22"/>
          <w:lang w:eastAsia="en-US"/>
        </w:rPr>
      </w:pPr>
      <w:bookmarkStart w:id="257" w:name="_Toc420316481"/>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38</w:t>
      </w:r>
      <w:r w:rsidR="00B80A05" w:rsidRPr="006F141D">
        <w:rPr>
          <w:i w:val="0"/>
        </w:rPr>
        <w:fldChar w:fldCharType="end"/>
      </w:r>
      <w:r w:rsidR="006F141D" w:rsidRPr="006F141D">
        <w:rPr>
          <w:i w:val="0"/>
        </w:rPr>
        <w:t>.</w:t>
      </w:r>
      <w:r w:rsidR="006F141D" w:rsidRPr="006F141D">
        <w:rPr>
          <w:b w:val="0"/>
          <w:i w:val="0"/>
        </w:rPr>
        <w:t xml:space="preserve"> - </w:t>
      </w:r>
      <w:r w:rsidR="00D05B30" w:rsidRPr="006F141D">
        <w:rPr>
          <w:rFonts w:eastAsia="Calibri"/>
          <w:b w:val="0"/>
          <w:bCs/>
          <w:i w:val="0"/>
          <w:szCs w:val="22"/>
          <w:lang w:eastAsia="en-US"/>
        </w:rPr>
        <w:t>Caracterização do Impacto - Interferência em Áreas de Pesquisa Minerária</w:t>
      </w:r>
      <w:bookmarkEnd w:id="257"/>
    </w:p>
    <w:p w:rsidR="00D05B30" w:rsidRDefault="00D05B30" w:rsidP="006F141D">
      <w:pPr>
        <w:autoSpaceDE w:val="0"/>
        <w:autoSpaceDN w:val="0"/>
        <w:adjustRightInd w:val="0"/>
        <w:spacing w:line="240" w:lineRule="auto"/>
        <w:contextualSpacing/>
        <w:jc w:val="center"/>
        <w:rPr>
          <w:rFonts w:eastAsia="Calibri"/>
          <w:bCs/>
          <w:szCs w:val="22"/>
          <w:lang w:eastAsia="en-US"/>
        </w:rPr>
      </w:pPr>
      <w:r w:rsidRPr="006F141D">
        <w:rPr>
          <w:rFonts w:eastAsia="Calibri"/>
          <w:bCs/>
          <w:szCs w:val="22"/>
          <w:lang w:eastAsia="en-US"/>
        </w:rPr>
        <w:t>Barrage</w:t>
      </w:r>
      <w:r w:rsidR="006617E4" w:rsidRPr="006F141D">
        <w:rPr>
          <w:rFonts w:eastAsia="Calibri"/>
          <w:bCs/>
          <w:szCs w:val="22"/>
          <w:lang w:eastAsia="en-US"/>
        </w:rPr>
        <w:t>ns</w:t>
      </w:r>
      <w:r w:rsidRPr="006F141D">
        <w:rPr>
          <w:rFonts w:eastAsia="Calibri"/>
          <w:bCs/>
          <w:szCs w:val="22"/>
          <w:lang w:eastAsia="en-US"/>
        </w:rPr>
        <w:t xml:space="preserve"> Pedreira</w:t>
      </w:r>
      <w:r w:rsidR="006617E4" w:rsidRPr="006F141D">
        <w:rPr>
          <w:rFonts w:eastAsia="Calibri"/>
          <w:bCs/>
          <w:szCs w:val="22"/>
          <w:lang w:eastAsia="en-US"/>
        </w:rPr>
        <w:t xml:space="preserve"> e Duas Pontes</w:t>
      </w:r>
    </w:p>
    <w:tbl>
      <w:tblPr>
        <w:tblW w:w="0" w:type="auto"/>
        <w:jc w:val="center"/>
        <w:tblInd w:w="8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6"/>
        <w:gridCol w:w="1177"/>
        <w:gridCol w:w="1701"/>
        <w:gridCol w:w="1595"/>
        <w:gridCol w:w="3024"/>
      </w:tblGrid>
      <w:tr w:rsidR="00D05B30" w:rsidRPr="00FC335E" w:rsidTr="006F141D">
        <w:trPr>
          <w:trHeight w:hRule="exact" w:val="382"/>
          <w:jc w:val="center"/>
        </w:trPr>
        <w:tc>
          <w:tcPr>
            <w:tcW w:w="117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D05B30" w:rsidRPr="00FC335E" w:rsidRDefault="00D05B30" w:rsidP="007D4692">
            <w:pPr>
              <w:spacing w:line="240" w:lineRule="auto"/>
              <w:jc w:val="center"/>
              <w:rPr>
                <w:b/>
                <w:sz w:val="20"/>
              </w:rPr>
            </w:pPr>
            <w:r w:rsidRPr="00FC335E">
              <w:rPr>
                <w:b/>
                <w:sz w:val="20"/>
              </w:rPr>
              <w:t>Natureza</w:t>
            </w:r>
          </w:p>
        </w:tc>
        <w:tc>
          <w:tcPr>
            <w:tcW w:w="117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D05B30" w:rsidRPr="00FC335E" w:rsidRDefault="00D05B30" w:rsidP="007D4692">
            <w:pPr>
              <w:spacing w:line="240" w:lineRule="auto"/>
              <w:jc w:val="center"/>
              <w:rPr>
                <w:b/>
                <w:sz w:val="20"/>
              </w:rPr>
            </w:pPr>
            <w:r w:rsidRPr="00FC335E">
              <w:rPr>
                <w:b/>
                <w:sz w:val="20"/>
              </w:rPr>
              <w:t>Ordem</w:t>
            </w:r>
          </w:p>
        </w:tc>
        <w:tc>
          <w:tcPr>
            <w:tcW w:w="170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D05B30" w:rsidRPr="00FC335E" w:rsidRDefault="00D05B30" w:rsidP="007D4692">
            <w:pPr>
              <w:spacing w:line="240" w:lineRule="auto"/>
              <w:jc w:val="center"/>
              <w:rPr>
                <w:b/>
                <w:sz w:val="20"/>
              </w:rPr>
            </w:pPr>
            <w:r w:rsidRPr="00FC335E">
              <w:rPr>
                <w:b/>
                <w:sz w:val="20"/>
              </w:rPr>
              <w:t>Abrangência</w:t>
            </w:r>
          </w:p>
        </w:tc>
        <w:tc>
          <w:tcPr>
            <w:tcW w:w="159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D05B30" w:rsidRPr="00FC335E" w:rsidRDefault="00D05B30" w:rsidP="007D4692">
            <w:pPr>
              <w:spacing w:line="240" w:lineRule="auto"/>
              <w:jc w:val="center"/>
              <w:rPr>
                <w:b/>
                <w:sz w:val="20"/>
              </w:rPr>
            </w:pPr>
            <w:r w:rsidRPr="00FC335E">
              <w:rPr>
                <w:b/>
                <w:sz w:val="20"/>
              </w:rPr>
              <w:t>Duração</w:t>
            </w:r>
          </w:p>
        </w:tc>
        <w:tc>
          <w:tcPr>
            <w:tcW w:w="3024"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D05B30" w:rsidRPr="00FC335E" w:rsidRDefault="00D05B30" w:rsidP="007D4692">
            <w:pPr>
              <w:spacing w:line="240" w:lineRule="auto"/>
              <w:jc w:val="center"/>
              <w:rPr>
                <w:b/>
                <w:sz w:val="20"/>
              </w:rPr>
            </w:pPr>
            <w:r w:rsidRPr="00FC335E">
              <w:rPr>
                <w:b/>
                <w:sz w:val="20"/>
              </w:rPr>
              <w:t>Probabilidade de Ocorrência</w:t>
            </w:r>
          </w:p>
        </w:tc>
      </w:tr>
      <w:tr w:rsidR="00D05B30" w:rsidRPr="00FC335E" w:rsidTr="006F141D">
        <w:trPr>
          <w:trHeight w:hRule="exact" w:val="431"/>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rsidR="00D05B30" w:rsidRPr="00FC335E" w:rsidRDefault="00D05B30" w:rsidP="007D4692">
            <w:pPr>
              <w:spacing w:before="120" w:after="120" w:line="240" w:lineRule="auto"/>
              <w:jc w:val="center"/>
              <w:rPr>
                <w:sz w:val="20"/>
              </w:rPr>
            </w:pPr>
            <w:r w:rsidRPr="00FC335E">
              <w:rPr>
                <w:sz w:val="20"/>
              </w:rPr>
              <w:t>Negativa</w:t>
            </w:r>
          </w:p>
        </w:tc>
        <w:tc>
          <w:tcPr>
            <w:tcW w:w="1177" w:type="dxa"/>
            <w:tcBorders>
              <w:top w:val="single" w:sz="4" w:space="0" w:color="auto"/>
              <w:left w:val="single" w:sz="4" w:space="0" w:color="auto"/>
              <w:bottom w:val="single" w:sz="4" w:space="0" w:color="auto"/>
              <w:right w:val="single" w:sz="4" w:space="0" w:color="auto"/>
            </w:tcBorders>
            <w:vAlign w:val="center"/>
            <w:hideMark/>
          </w:tcPr>
          <w:p w:rsidR="00D05B30" w:rsidRPr="00FC335E" w:rsidRDefault="00D05B30" w:rsidP="007D4692">
            <w:pPr>
              <w:spacing w:before="120" w:after="120" w:line="240" w:lineRule="auto"/>
              <w:jc w:val="center"/>
              <w:rPr>
                <w:sz w:val="20"/>
              </w:rPr>
            </w:pPr>
            <w:r w:rsidRPr="00FC335E">
              <w:rPr>
                <w:sz w:val="20"/>
              </w:rPr>
              <w:t>Direta</w:t>
            </w:r>
          </w:p>
        </w:tc>
        <w:tc>
          <w:tcPr>
            <w:tcW w:w="1701" w:type="dxa"/>
            <w:tcBorders>
              <w:top w:val="single" w:sz="4" w:space="0" w:color="auto"/>
              <w:left w:val="single" w:sz="4" w:space="0" w:color="auto"/>
              <w:bottom w:val="single" w:sz="4" w:space="0" w:color="auto"/>
              <w:right w:val="single" w:sz="4" w:space="0" w:color="auto"/>
            </w:tcBorders>
            <w:vAlign w:val="center"/>
            <w:hideMark/>
          </w:tcPr>
          <w:p w:rsidR="00D05B30" w:rsidRPr="00FC335E" w:rsidRDefault="00D05B30" w:rsidP="007D4692">
            <w:pPr>
              <w:spacing w:before="120" w:after="120" w:line="240" w:lineRule="auto"/>
              <w:jc w:val="center"/>
              <w:rPr>
                <w:sz w:val="20"/>
              </w:rPr>
            </w:pPr>
            <w:r w:rsidRPr="00FC335E">
              <w:rPr>
                <w:sz w:val="20"/>
              </w:rPr>
              <w:t>Local (ADA)</w:t>
            </w:r>
          </w:p>
        </w:tc>
        <w:tc>
          <w:tcPr>
            <w:tcW w:w="1595" w:type="dxa"/>
            <w:tcBorders>
              <w:top w:val="single" w:sz="4" w:space="0" w:color="auto"/>
              <w:left w:val="single" w:sz="4" w:space="0" w:color="auto"/>
              <w:bottom w:val="single" w:sz="4" w:space="0" w:color="auto"/>
              <w:right w:val="single" w:sz="4" w:space="0" w:color="auto"/>
            </w:tcBorders>
            <w:vAlign w:val="center"/>
            <w:hideMark/>
          </w:tcPr>
          <w:p w:rsidR="00D05B30" w:rsidRPr="00FC335E" w:rsidRDefault="00D05B30" w:rsidP="007D4692">
            <w:pPr>
              <w:spacing w:before="120" w:after="120" w:line="240" w:lineRule="auto"/>
              <w:jc w:val="center"/>
              <w:rPr>
                <w:sz w:val="20"/>
              </w:rPr>
            </w:pPr>
            <w:r w:rsidRPr="00FC335E">
              <w:rPr>
                <w:sz w:val="20"/>
              </w:rPr>
              <w:t>Permanente</w:t>
            </w:r>
          </w:p>
        </w:tc>
        <w:tc>
          <w:tcPr>
            <w:tcW w:w="3024" w:type="dxa"/>
            <w:tcBorders>
              <w:top w:val="single" w:sz="4" w:space="0" w:color="auto"/>
              <w:left w:val="single" w:sz="4" w:space="0" w:color="auto"/>
              <w:bottom w:val="single" w:sz="4" w:space="0" w:color="auto"/>
              <w:right w:val="single" w:sz="4" w:space="0" w:color="auto"/>
            </w:tcBorders>
            <w:vAlign w:val="center"/>
            <w:hideMark/>
          </w:tcPr>
          <w:p w:rsidR="00D05B30" w:rsidRPr="00FC335E" w:rsidRDefault="00D05B30" w:rsidP="007D4692">
            <w:pPr>
              <w:spacing w:before="120" w:after="120" w:line="240" w:lineRule="auto"/>
              <w:jc w:val="center"/>
              <w:rPr>
                <w:sz w:val="20"/>
              </w:rPr>
            </w:pPr>
            <w:r w:rsidRPr="00FC335E">
              <w:rPr>
                <w:sz w:val="20"/>
              </w:rPr>
              <w:t>Certa</w:t>
            </w:r>
          </w:p>
        </w:tc>
      </w:tr>
    </w:tbl>
    <w:p w:rsidR="00D05B30" w:rsidRPr="00FC335E" w:rsidRDefault="00D05B30" w:rsidP="00D05B30">
      <w:pPr>
        <w:spacing w:line="240" w:lineRule="auto"/>
        <w:rPr>
          <w:sz w:val="20"/>
        </w:rPr>
      </w:pPr>
    </w:p>
    <w:tbl>
      <w:tblPr>
        <w:tblW w:w="8637" w:type="dxa"/>
        <w:jc w:val="center"/>
        <w:tblInd w:w="-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5"/>
        <w:gridCol w:w="1733"/>
        <w:gridCol w:w="1529"/>
        <w:gridCol w:w="1623"/>
        <w:gridCol w:w="1417"/>
      </w:tblGrid>
      <w:tr w:rsidR="00D05B30" w:rsidRPr="00FC335E" w:rsidTr="007D4692">
        <w:trPr>
          <w:trHeight w:hRule="exact" w:val="467"/>
          <w:jc w:val="center"/>
        </w:trPr>
        <w:tc>
          <w:tcPr>
            <w:tcW w:w="233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D05B30" w:rsidRPr="00FC335E" w:rsidRDefault="00D05B30" w:rsidP="007D4692">
            <w:pPr>
              <w:spacing w:line="240" w:lineRule="auto"/>
              <w:jc w:val="center"/>
              <w:rPr>
                <w:b/>
                <w:sz w:val="20"/>
              </w:rPr>
            </w:pPr>
            <w:r w:rsidRPr="00FC335E">
              <w:rPr>
                <w:b/>
                <w:sz w:val="20"/>
              </w:rPr>
              <w:t>Época de Ocorrência</w:t>
            </w:r>
          </w:p>
        </w:tc>
        <w:tc>
          <w:tcPr>
            <w:tcW w:w="1733"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D05B30" w:rsidRPr="00FC335E" w:rsidRDefault="00D05B30" w:rsidP="007D4692">
            <w:pPr>
              <w:spacing w:line="240" w:lineRule="auto"/>
              <w:jc w:val="center"/>
              <w:rPr>
                <w:b/>
                <w:sz w:val="20"/>
              </w:rPr>
            </w:pPr>
            <w:r w:rsidRPr="00FC335E">
              <w:rPr>
                <w:b/>
                <w:sz w:val="20"/>
              </w:rPr>
              <w:t>Reversibilidade</w:t>
            </w:r>
          </w:p>
        </w:tc>
        <w:tc>
          <w:tcPr>
            <w:tcW w:w="1529"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D05B30" w:rsidRPr="00FC335E" w:rsidRDefault="00D05B30" w:rsidP="007D4692">
            <w:pPr>
              <w:spacing w:line="240" w:lineRule="auto"/>
              <w:jc w:val="center"/>
              <w:rPr>
                <w:b/>
                <w:sz w:val="20"/>
              </w:rPr>
            </w:pPr>
            <w:r w:rsidRPr="00FC335E">
              <w:rPr>
                <w:b/>
                <w:sz w:val="20"/>
              </w:rPr>
              <w:t>Magnitude</w:t>
            </w:r>
          </w:p>
        </w:tc>
        <w:tc>
          <w:tcPr>
            <w:tcW w:w="1623"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D05B30" w:rsidRPr="00FC335E" w:rsidRDefault="00D05B30" w:rsidP="007D4692">
            <w:pPr>
              <w:spacing w:line="240" w:lineRule="auto"/>
              <w:jc w:val="center"/>
              <w:rPr>
                <w:b/>
                <w:sz w:val="20"/>
              </w:rPr>
            </w:pPr>
            <w:r w:rsidRPr="00FC335E">
              <w:rPr>
                <w:b/>
                <w:sz w:val="20"/>
              </w:rPr>
              <w:t>Importância</w:t>
            </w:r>
          </w:p>
        </w:tc>
        <w:tc>
          <w:tcPr>
            <w:tcW w:w="141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D05B30" w:rsidRPr="00FC335E" w:rsidRDefault="00D05B30" w:rsidP="007D4692">
            <w:pPr>
              <w:spacing w:line="240" w:lineRule="auto"/>
              <w:jc w:val="center"/>
              <w:rPr>
                <w:b/>
                <w:sz w:val="20"/>
              </w:rPr>
            </w:pPr>
            <w:r w:rsidRPr="00FC335E">
              <w:rPr>
                <w:b/>
                <w:sz w:val="20"/>
              </w:rPr>
              <w:t>Mitigação</w:t>
            </w:r>
          </w:p>
        </w:tc>
      </w:tr>
      <w:tr w:rsidR="00D05B30" w:rsidRPr="00FC335E" w:rsidTr="007D4692">
        <w:trPr>
          <w:trHeight w:hRule="exact" w:val="459"/>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rsidR="00D05B30" w:rsidRPr="00FC335E" w:rsidRDefault="00D05B30" w:rsidP="007D4692">
            <w:pPr>
              <w:spacing w:before="120" w:after="120" w:line="240" w:lineRule="auto"/>
              <w:jc w:val="center"/>
              <w:rPr>
                <w:sz w:val="20"/>
              </w:rPr>
            </w:pPr>
            <w:r w:rsidRPr="00FC335E">
              <w:rPr>
                <w:sz w:val="20"/>
              </w:rPr>
              <w:t>Curto Prazo</w:t>
            </w:r>
          </w:p>
        </w:tc>
        <w:tc>
          <w:tcPr>
            <w:tcW w:w="1733" w:type="dxa"/>
            <w:tcBorders>
              <w:top w:val="single" w:sz="4" w:space="0" w:color="auto"/>
              <w:left w:val="single" w:sz="4" w:space="0" w:color="auto"/>
              <w:bottom w:val="single" w:sz="4" w:space="0" w:color="auto"/>
              <w:right w:val="single" w:sz="4" w:space="0" w:color="auto"/>
            </w:tcBorders>
            <w:vAlign w:val="center"/>
            <w:hideMark/>
          </w:tcPr>
          <w:p w:rsidR="00D05B30" w:rsidRPr="00FC335E" w:rsidRDefault="00D05B30" w:rsidP="007D4692">
            <w:pPr>
              <w:spacing w:before="120" w:after="120" w:line="240" w:lineRule="auto"/>
              <w:jc w:val="center"/>
              <w:rPr>
                <w:sz w:val="20"/>
              </w:rPr>
            </w:pPr>
            <w:r w:rsidRPr="00FC335E">
              <w:rPr>
                <w:sz w:val="20"/>
              </w:rPr>
              <w:t>Irreversível</w:t>
            </w:r>
          </w:p>
        </w:tc>
        <w:tc>
          <w:tcPr>
            <w:tcW w:w="1529" w:type="dxa"/>
            <w:tcBorders>
              <w:top w:val="single" w:sz="4" w:space="0" w:color="auto"/>
              <w:left w:val="single" w:sz="4" w:space="0" w:color="auto"/>
              <w:bottom w:val="single" w:sz="4" w:space="0" w:color="auto"/>
              <w:right w:val="single" w:sz="4" w:space="0" w:color="auto"/>
            </w:tcBorders>
            <w:vAlign w:val="center"/>
            <w:hideMark/>
          </w:tcPr>
          <w:p w:rsidR="00D05B30" w:rsidRPr="00FC335E" w:rsidRDefault="00D05B30" w:rsidP="007D4692">
            <w:pPr>
              <w:spacing w:before="120" w:after="120" w:line="240" w:lineRule="auto"/>
              <w:jc w:val="center"/>
              <w:rPr>
                <w:sz w:val="20"/>
              </w:rPr>
            </w:pPr>
            <w:r w:rsidRPr="00FC335E">
              <w:rPr>
                <w:sz w:val="20"/>
              </w:rPr>
              <w:t>Pequena</w:t>
            </w:r>
          </w:p>
        </w:tc>
        <w:tc>
          <w:tcPr>
            <w:tcW w:w="1623" w:type="dxa"/>
            <w:tcBorders>
              <w:top w:val="single" w:sz="4" w:space="0" w:color="auto"/>
              <w:left w:val="single" w:sz="4" w:space="0" w:color="auto"/>
              <w:bottom w:val="single" w:sz="4" w:space="0" w:color="auto"/>
              <w:right w:val="single" w:sz="4" w:space="0" w:color="auto"/>
            </w:tcBorders>
            <w:vAlign w:val="center"/>
            <w:hideMark/>
          </w:tcPr>
          <w:p w:rsidR="00D05B30" w:rsidRPr="00FC335E" w:rsidRDefault="00D05B30" w:rsidP="007D4692">
            <w:pPr>
              <w:spacing w:before="120" w:after="120" w:line="240" w:lineRule="auto"/>
              <w:jc w:val="center"/>
              <w:rPr>
                <w:sz w:val="20"/>
              </w:rPr>
            </w:pPr>
            <w:r w:rsidRPr="00FC335E">
              <w:rPr>
                <w:sz w:val="20"/>
              </w:rPr>
              <w:t>Baixa</w:t>
            </w:r>
          </w:p>
        </w:tc>
        <w:tc>
          <w:tcPr>
            <w:tcW w:w="1417" w:type="dxa"/>
            <w:tcBorders>
              <w:top w:val="single" w:sz="4" w:space="0" w:color="auto"/>
              <w:left w:val="single" w:sz="4" w:space="0" w:color="auto"/>
              <w:bottom w:val="single" w:sz="4" w:space="0" w:color="auto"/>
              <w:right w:val="single" w:sz="4" w:space="0" w:color="auto"/>
            </w:tcBorders>
            <w:vAlign w:val="center"/>
            <w:hideMark/>
          </w:tcPr>
          <w:p w:rsidR="00D05B30" w:rsidRPr="00FC335E" w:rsidRDefault="00D05B30" w:rsidP="007D4692">
            <w:pPr>
              <w:spacing w:before="120" w:after="120" w:line="240" w:lineRule="auto"/>
              <w:jc w:val="center"/>
              <w:rPr>
                <w:sz w:val="20"/>
              </w:rPr>
            </w:pPr>
            <w:r w:rsidRPr="00FC335E">
              <w:rPr>
                <w:rFonts w:cs="Arial"/>
                <w:sz w:val="20"/>
              </w:rPr>
              <w:t>Mitigável</w:t>
            </w:r>
          </w:p>
        </w:tc>
      </w:tr>
    </w:tbl>
    <w:p w:rsidR="005E0BD4" w:rsidRDefault="005E0BD4" w:rsidP="00C40284">
      <w:pPr>
        <w:spacing w:line="240" w:lineRule="auto"/>
        <w:rPr>
          <w:rFonts w:cs="Arial"/>
          <w:b/>
          <w:color w:val="000000"/>
          <w:szCs w:val="22"/>
        </w:rPr>
      </w:pPr>
    </w:p>
    <w:p w:rsidR="00B30642" w:rsidRPr="00555C1A" w:rsidRDefault="00B30642" w:rsidP="00555C1A">
      <w:pPr>
        <w:pStyle w:val="Item-Trainho"/>
        <w:rPr>
          <w:b/>
        </w:rPr>
      </w:pPr>
      <w:r w:rsidRPr="00555C1A">
        <w:rPr>
          <w:b/>
        </w:rPr>
        <w:t>Ações Ambientais Propostas</w:t>
      </w:r>
    </w:p>
    <w:p w:rsidR="00B30642" w:rsidRPr="00EE17E4" w:rsidRDefault="00B30642" w:rsidP="00B30642">
      <w:pPr>
        <w:tabs>
          <w:tab w:val="left" w:pos="1134"/>
        </w:tabs>
        <w:spacing w:before="120" w:after="120" w:line="240" w:lineRule="auto"/>
        <w:rPr>
          <w:rFonts w:cs="Arial"/>
          <w:szCs w:val="22"/>
        </w:rPr>
      </w:pPr>
      <w:r w:rsidRPr="00EE17E4">
        <w:rPr>
          <w:rFonts w:cs="Arial"/>
          <w:szCs w:val="22"/>
        </w:rPr>
        <w:t>As medidas a serem tomadas referem-se verificação de alternativas indenizatórias, caso necessário. Esses processos compensatórios deverão ser analisados e identificados após consultas aos órgãos competentes, tendo em vista uma completa averiguação da existência de direitos assegurados para a exploração mineral.</w:t>
      </w:r>
    </w:p>
    <w:p w:rsidR="00B30642" w:rsidRPr="00EE17E4" w:rsidRDefault="00B30642" w:rsidP="00B30642">
      <w:pPr>
        <w:spacing w:before="120" w:after="120" w:line="240" w:lineRule="auto"/>
        <w:rPr>
          <w:rFonts w:cs="Arial"/>
          <w:szCs w:val="22"/>
        </w:rPr>
      </w:pPr>
      <w:r w:rsidRPr="00EE17E4">
        <w:rPr>
          <w:rFonts w:cs="Arial"/>
          <w:szCs w:val="22"/>
        </w:rPr>
        <w:t xml:space="preserve">É importante registrar que, nas áreas requeridas para pesquisa, a comprovação do não desenvolvimento da atividade de pesquisa conduz a cassação do direito minerário relativo à área, deixando de existir a necessidade de compensação do mesmo. </w:t>
      </w:r>
    </w:p>
    <w:p w:rsidR="00B30642" w:rsidRPr="00B30642" w:rsidRDefault="00B30642" w:rsidP="009E1DAB">
      <w:pPr>
        <w:spacing w:before="120" w:after="120" w:line="240" w:lineRule="auto"/>
      </w:pPr>
      <w:r w:rsidRPr="00EE17E4">
        <w:rPr>
          <w:rFonts w:cs="Arial"/>
          <w:szCs w:val="22"/>
        </w:rPr>
        <w:t xml:space="preserve">A identificação de todos os processos minerários afetados diretamente pelo empreendimento, bem como a existência de eventual exploração mineral, e a situação legal dos mesmos </w:t>
      </w:r>
      <w:r w:rsidR="0059476D" w:rsidRPr="00EE17E4">
        <w:rPr>
          <w:rFonts w:cs="Arial"/>
          <w:szCs w:val="22"/>
        </w:rPr>
        <w:t>são</w:t>
      </w:r>
      <w:r w:rsidRPr="00EE17E4">
        <w:rPr>
          <w:rFonts w:cs="Arial"/>
          <w:szCs w:val="22"/>
        </w:rPr>
        <w:t xml:space="preserve"> prevista</w:t>
      </w:r>
      <w:r w:rsidR="0059476D" w:rsidRPr="00EE17E4">
        <w:rPr>
          <w:rFonts w:cs="Arial"/>
          <w:szCs w:val="22"/>
        </w:rPr>
        <w:t>s</w:t>
      </w:r>
      <w:r w:rsidRPr="00EE17E4">
        <w:rPr>
          <w:rFonts w:cs="Arial"/>
          <w:szCs w:val="22"/>
        </w:rPr>
        <w:t xml:space="preserve"> no Programa de Acompanhamento dos Direitos Minerários.</w:t>
      </w:r>
    </w:p>
    <w:p w:rsidR="00973BCF" w:rsidRPr="00CE2C40" w:rsidRDefault="00A71868" w:rsidP="002C0D71">
      <w:pPr>
        <w:pStyle w:val="Ttulo3"/>
      </w:pPr>
      <w:bookmarkStart w:id="258" w:name="_Toc418758228"/>
      <w:bookmarkStart w:id="259" w:name="_Toc418758830"/>
      <w:bookmarkStart w:id="260" w:name="_Toc419813590"/>
      <w:r w:rsidRPr="00CE2C40">
        <w:t>1.3.1.</w:t>
      </w:r>
      <w:r w:rsidR="008C5DE8" w:rsidRPr="00CE2C40">
        <w:t>19</w:t>
      </w:r>
      <w:r w:rsidR="00973BCF" w:rsidRPr="00CE2C40">
        <w:t>. Altera</w:t>
      </w:r>
      <w:r w:rsidR="00973BCF" w:rsidRPr="00CE2C40">
        <w:rPr>
          <w:rFonts w:hint="eastAsia"/>
        </w:rPr>
        <w:t>çã</w:t>
      </w:r>
      <w:r w:rsidR="00973BCF" w:rsidRPr="00CE2C40">
        <w:t>o da Paisagem com a Forma</w:t>
      </w:r>
      <w:r w:rsidR="00973BCF" w:rsidRPr="00CE2C40">
        <w:rPr>
          <w:rFonts w:hint="eastAsia"/>
        </w:rPr>
        <w:t>çã</w:t>
      </w:r>
      <w:r w:rsidR="00973BCF" w:rsidRPr="00CE2C40">
        <w:t>o do</w:t>
      </w:r>
      <w:r w:rsidR="006617E4" w:rsidRPr="00CE2C40">
        <w:t>s</w:t>
      </w:r>
      <w:r w:rsidR="00973BCF" w:rsidRPr="00CE2C40">
        <w:t xml:space="preserve"> Reservat</w:t>
      </w:r>
      <w:r w:rsidR="00973BCF" w:rsidRPr="00CE2C40">
        <w:rPr>
          <w:rFonts w:hint="eastAsia"/>
        </w:rPr>
        <w:t>ó</w:t>
      </w:r>
      <w:r w:rsidR="00973BCF" w:rsidRPr="00CE2C40">
        <w:t>rio</w:t>
      </w:r>
      <w:r w:rsidR="006617E4" w:rsidRPr="00CE2C40">
        <w:t>s</w:t>
      </w:r>
      <w:bookmarkEnd w:id="258"/>
      <w:bookmarkEnd w:id="259"/>
      <w:bookmarkEnd w:id="260"/>
    </w:p>
    <w:p w:rsidR="00B30642" w:rsidRDefault="00B30642" w:rsidP="00B30642">
      <w:pPr>
        <w:autoSpaceDE w:val="0"/>
        <w:autoSpaceDN w:val="0"/>
        <w:adjustRightInd w:val="0"/>
        <w:spacing w:before="120" w:after="120" w:line="240" w:lineRule="auto"/>
        <w:rPr>
          <w:rFonts w:cs="Arial"/>
          <w:b/>
          <w:szCs w:val="22"/>
        </w:rPr>
      </w:pPr>
      <w:r w:rsidRPr="00DD4EE8">
        <w:rPr>
          <w:rFonts w:cs="Arial"/>
          <w:b/>
          <w:szCs w:val="22"/>
        </w:rPr>
        <w:t>Fase: Implantação</w:t>
      </w:r>
    </w:p>
    <w:p w:rsidR="00B30642" w:rsidRDefault="00B30642" w:rsidP="0059476D">
      <w:pPr>
        <w:pStyle w:val="Corpodetexto"/>
      </w:pPr>
      <w:r>
        <w:t>Os rios Jaguari e Camanducaia, pelas suas características geológicas e geomorfológicas, são rios com um número razoável de corredeiras e pedrais na Área de Influência Direta das Barragens, o que imprime à paisagem uma beleza peculiar. Muitos destes locais são utilizados pela população local e turistas para lazer. Para propiciar este uso, existe no caso d</w:t>
      </w:r>
      <w:r w:rsidR="00166326">
        <w:t>a Barragem</w:t>
      </w:r>
      <w:r>
        <w:t xml:space="preserve"> Duas Pontes um empreendimento chamado Mundão das Trilhas. Neste local são desenvolvidas atividades de ecoturismo ligadas ao rio Camanducaia e aos paredões rochosos da</w:t>
      </w:r>
      <w:r w:rsidR="00F024EC">
        <w:t xml:space="preserve"> S</w:t>
      </w:r>
      <w:r>
        <w:t xml:space="preserve">erra dos Feixos.  </w:t>
      </w:r>
    </w:p>
    <w:p w:rsidR="00F024EC" w:rsidRPr="00BD6945" w:rsidRDefault="00F024EC" w:rsidP="00F024EC">
      <w:pPr>
        <w:pStyle w:val="Corpodetexto"/>
      </w:pPr>
      <w:r w:rsidRPr="00724289">
        <w:rPr>
          <w:rFonts w:cs="Arial"/>
          <w:szCs w:val="22"/>
        </w:rPr>
        <w:t>A alteração da paisagem é entendida, num primeiro momento, como uma modificação no domínio do visível, aquilo que a vista abarca. Mas ela não é apenas o que se vê, a dimensão da paisagem é a dimensão da percepção, o que chega aos sentidos, sendo assim, está intimamente ligada a uma apreensão estética do espaço. Como a percepção depende dos sentidos, ela pode ser muito diferente de indivíduo para indivíduo e muito mais de uma comunidade de pessoas para outra. Mas as alterações nos recursos cênicos pode ocasionar a perda de referências socioambientais e culturais da população local e de seus frequentadores</w:t>
      </w:r>
      <w:r>
        <w:rPr>
          <w:rFonts w:cs="Arial"/>
          <w:szCs w:val="22"/>
        </w:rPr>
        <w:t>.</w:t>
      </w:r>
      <w:r w:rsidRPr="00BD6945">
        <w:t xml:space="preserve"> </w:t>
      </w:r>
    </w:p>
    <w:p w:rsidR="00F024EC" w:rsidRPr="00782BF1" w:rsidRDefault="00F024EC" w:rsidP="00F024EC">
      <w:pPr>
        <w:pStyle w:val="Corpodetexto"/>
      </w:pPr>
      <w:r>
        <w:t>Embora um reservatório seja normalmente considerado um elemento paisagístico de interesse, ou um recurso cênico, a sua formação vai alterar a paisagem preexistente e as práticas sociais de utilização da água do rio para o lazer. Torna-se necessário, portanto, prever alternativas de recreação e lazer, compatíveis com o uso dos reservatórios para abastecimento.</w:t>
      </w:r>
    </w:p>
    <w:p w:rsidR="00F024EC" w:rsidRDefault="00F024EC" w:rsidP="00F024EC">
      <w:pPr>
        <w:pStyle w:val="Corpodetexto"/>
      </w:pPr>
      <w:r>
        <w:t xml:space="preserve">Considerando as características regionais, a transformação da paisagem com a formação do reservatório, foi considerada um impacto negativo </w:t>
      </w:r>
      <w:r w:rsidRPr="00942106">
        <w:t xml:space="preserve">de </w:t>
      </w:r>
      <w:r w:rsidR="00982762">
        <w:t>pequena</w:t>
      </w:r>
      <w:r w:rsidRPr="00942106">
        <w:t xml:space="preserve"> magnitude</w:t>
      </w:r>
      <w:r>
        <w:t xml:space="preserve">, pois existem aspectos positivos do ponto de vista paisagístico e de lazer em reservatórios. </w:t>
      </w:r>
    </w:p>
    <w:p w:rsidR="00F024EC" w:rsidRPr="00942106" w:rsidRDefault="00F024EC" w:rsidP="00F024EC">
      <w:pPr>
        <w:pStyle w:val="Corpodetexto"/>
        <w:spacing w:after="240"/>
      </w:pPr>
      <w:r w:rsidRPr="00942106">
        <w:t>A importância foi considerada média</w:t>
      </w:r>
      <w:r>
        <w:t xml:space="preserve"> uma vez que o enchimento do reservatório mudará a paisagem significativamente. Mas é possível usar o reservatório para recreação e lazer, como também, ele próprio, se constitui num recurso cênico.</w:t>
      </w:r>
    </w:p>
    <w:p w:rsidR="00B30642" w:rsidRPr="006F141D" w:rsidRDefault="008D3A12" w:rsidP="00E155C0">
      <w:pPr>
        <w:pStyle w:val="Legenda"/>
        <w:spacing w:before="0" w:after="0" w:line="240" w:lineRule="auto"/>
        <w:jc w:val="center"/>
        <w:rPr>
          <w:rFonts w:cs="Arial"/>
          <w:b w:val="0"/>
          <w:i w:val="0"/>
          <w:szCs w:val="22"/>
        </w:rPr>
      </w:pPr>
      <w:bookmarkStart w:id="261" w:name="_Toc420316482"/>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39</w:t>
      </w:r>
      <w:r w:rsidR="00B80A05" w:rsidRPr="006F141D">
        <w:rPr>
          <w:i w:val="0"/>
        </w:rPr>
        <w:fldChar w:fldCharType="end"/>
      </w:r>
      <w:r w:rsidR="006F141D" w:rsidRPr="006F141D">
        <w:rPr>
          <w:i w:val="0"/>
        </w:rPr>
        <w:t>.</w:t>
      </w:r>
      <w:r w:rsidR="006F141D" w:rsidRPr="006F141D">
        <w:rPr>
          <w:b w:val="0"/>
          <w:i w:val="0"/>
        </w:rPr>
        <w:t xml:space="preserve"> - </w:t>
      </w:r>
      <w:r w:rsidR="00B30642" w:rsidRPr="006F141D">
        <w:rPr>
          <w:rFonts w:eastAsia="Calibri"/>
          <w:b w:val="0"/>
          <w:bCs/>
          <w:i w:val="0"/>
          <w:szCs w:val="22"/>
          <w:lang w:eastAsia="en-US"/>
        </w:rPr>
        <w:t xml:space="preserve">Caracterização do Impacto - </w:t>
      </w:r>
      <w:r w:rsidR="00B30642" w:rsidRPr="006F141D">
        <w:rPr>
          <w:rFonts w:cs="Arial"/>
          <w:b w:val="0"/>
          <w:i w:val="0"/>
          <w:szCs w:val="22"/>
        </w:rPr>
        <w:t>Alteração da Paisagem com a Formação do</w:t>
      </w:r>
      <w:r w:rsidR="006617E4" w:rsidRPr="006F141D">
        <w:rPr>
          <w:rFonts w:cs="Arial"/>
          <w:b w:val="0"/>
          <w:i w:val="0"/>
          <w:szCs w:val="22"/>
        </w:rPr>
        <w:t>s</w:t>
      </w:r>
      <w:r w:rsidR="00B30642" w:rsidRPr="006F141D">
        <w:rPr>
          <w:rFonts w:cs="Arial"/>
          <w:b w:val="0"/>
          <w:i w:val="0"/>
          <w:szCs w:val="22"/>
        </w:rPr>
        <w:t xml:space="preserve"> Reservatório</w:t>
      </w:r>
      <w:r w:rsidR="006617E4" w:rsidRPr="006F141D">
        <w:rPr>
          <w:rFonts w:cs="Arial"/>
          <w:b w:val="0"/>
          <w:i w:val="0"/>
          <w:szCs w:val="22"/>
        </w:rPr>
        <w:t>s</w:t>
      </w:r>
      <w:r w:rsidR="00B30642" w:rsidRPr="006F141D">
        <w:rPr>
          <w:rFonts w:cs="Arial"/>
          <w:b w:val="0"/>
          <w:i w:val="0"/>
          <w:szCs w:val="22"/>
        </w:rPr>
        <w:t xml:space="preserve"> da</w:t>
      </w:r>
      <w:r w:rsidR="00942106" w:rsidRPr="006F141D">
        <w:rPr>
          <w:rFonts w:cs="Arial"/>
          <w:b w:val="0"/>
          <w:i w:val="0"/>
          <w:szCs w:val="22"/>
        </w:rPr>
        <w:t>s</w:t>
      </w:r>
      <w:r w:rsidR="00B30642" w:rsidRPr="006F141D">
        <w:rPr>
          <w:rFonts w:cs="Arial"/>
          <w:b w:val="0"/>
          <w:i w:val="0"/>
          <w:szCs w:val="22"/>
        </w:rPr>
        <w:t xml:space="preserve"> Barrage</w:t>
      </w:r>
      <w:r w:rsidR="00942106" w:rsidRPr="006F141D">
        <w:rPr>
          <w:rFonts w:cs="Arial"/>
          <w:b w:val="0"/>
          <w:i w:val="0"/>
          <w:szCs w:val="22"/>
        </w:rPr>
        <w:t>ns</w:t>
      </w:r>
      <w:r w:rsidR="00B30642" w:rsidRPr="006F141D">
        <w:rPr>
          <w:rFonts w:cs="Arial"/>
          <w:b w:val="0"/>
          <w:i w:val="0"/>
          <w:szCs w:val="22"/>
        </w:rPr>
        <w:t xml:space="preserve"> Pedreira</w:t>
      </w:r>
      <w:r w:rsidR="00900B42" w:rsidRPr="006F141D">
        <w:rPr>
          <w:rFonts w:cs="Arial"/>
          <w:b w:val="0"/>
          <w:i w:val="0"/>
          <w:szCs w:val="22"/>
        </w:rPr>
        <w:t xml:space="preserve"> e</w:t>
      </w:r>
      <w:r w:rsidR="00942106" w:rsidRPr="006F141D">
        <w:rPr>
          <w:rFonts w:cs="Arial"/>
          <w:b w:val="0"/>
          <w:i w:val="0"/>
          <w:szCs w:val="22"/>
        </w:rPr>
        <w:t xml:space="preserve"> Duas Pontes</w:t>
      </w:r>
      <w:bookmarkEnd w:id="261"/>
      <w:r w:rsidR="00942106" w:rsidRPr="006F141D">
        <w:rPr>
          <w:rFonts w:cs="Arial"/>
          <w:b w:val="0"/>
          <w:i w:val="0"/>
          <w:szCs w:val="22"/>
        </w:rPr>
        <w:t xml:space="preserve"> </w:t>
      </w:r>
    </w:p>
    <w:tbl>
      <w:tblPr>
        <w:tblW w:w="0" w:type="auto"/>
        <w:jc w:val="center"/>
        <w:tblInd w:w="-4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101"/>
        <w:gridCol w:w="1984"/>
        <w:gridCol w:w="1426"/>
        <w:gridCol w:w="3019"/>
      </w:tblGrid>
      <w:tr w:rsidR="00B30642" w:rsidRPr="00525A74" w:rsidTr="00301508">
        <w:trPr>
          <w:trHeight w:hRule="exact" w:val="567"/>
          <w:jc w:val="center"/>
        </w:trPr>
        <w:tc>
          <w:tcPr>
            <w:tcW w:w="1362" w:type="dxa"/>
            <w:shd w:val="clear" w:color="auto" w:fill="D9D9D9"/>
            <w:vAlign w:val="center"/>
          </w:tcPr>
          <w:p w:rsidR="00B30642" w:rsidRPr="00525A74" w:rsidRDefault="00B30642" w:rsidP="0024037F">
            <w:pPr>
              <w:tabs>
                <w:tab w:val="left" w:pos="1134"/>
              </w:tabs>
              <w:spacing w:before="120" w:after="120" w:line="240" w:lineRule="auto"/>
              <w:jc w:val="center"/>
              <w:rPr>
                <w:rFonts w:cs="Arial"/>
                <w:b/>
                <w:sz w:val="20"/>
              </w:rPr>
            </w:pPr>
            <w:r w:rsidRPr="00525A74">
              <w:rPr>
                <w:rFonts w:cs="Arial"/>
                <w:b/>
                <w:sz w:val="20"/>
              </w:rPr>
              <w:t>Natureza</w:t>
            </w:r>
          </w:p>
        </w:tc>
        <w:tc>
          <w:tcPr>
            <w:tcW w:w="1101" w:type="dxa"/>
            <w:shd w:val="clear" w:color="auto" w:fill="D9D9D9"/>
            <w:vAlign w:val="center"/>
          </w:tcPr>
          <w:p w:rsidR="00B30642" w:rsidRPr="00525A74" w:rsidRDefault="00B30642" w:rsidP="0024037F">
            <w:pPr>
              <w:tabs>
                <w:tab w:val="left" w:pos="1134"/>
              </w:tabs>
              <w:spacing w:before="120" w:after="120" w:line="240" w:lineRule="auto"/>
              <w:jc w:val="center"/>
              <w:rPr>
                <w:rFonts w:cs="Arial"/>
                <w:b/>
                <w:sz w:val="20"/>
              </w:rPr>
            </w:pPr>
            <w:r w:rsidRPr="00525A74">
              <w:rPr>
                <w:rFonts w:cs="Arial"/>
                <w:b/>
                <w:sz w:val="20"/>
              </w:rPr>
              <w:t>Ordem</w:t>
            </w:r>
          </w:p>
        </w:tc>
        <w:tc>
          <w:tcPr>
            <w:tcW w:w="1984" w:type="dxa"/>
            <w:shd w:val="clear" w:color="auto" w:fill="D9D9D9"/>
            <w:vAlign w:val="center"/>
          </w:tcPr>
          <w:p w:rsidR="00B30642" w:rsidRPr="00525A74" w:rsidRDefault="00B30642" w:rsidP="0024037F">
            <w:pPr>
              <w:tabs>
                <w:tab w:val="left" w:pos="1134"/>
              </w:tabs>
              <w:spacing w:before="120" w:after="120" w:line="240" w:lineRule="auto"/>
              <w:jc w:val="center"/>
              <w:rPr>
                <w:rFonts w:cs="Arial"/>
                <w:b/>
                <w:sz w:val="20"/>
              </w:rPr>
            </w:pPr>
            <w:r w:rsidRPr="00525A74">
              <w:rPr>
                <w:rFonts w:cs="Arial"/>
                <w:b/>
                <w:sz w:val="20"/>
              </w:rPr>
              <w:t>Abrangência</w:t>
            </w:r>
          </w:p>
        </w:tc>
        <w:tc>
          <w:tcPr>
            <w:tcW w:w="1426" w:type="dxa"/>
            <w:shd w:val="clear" w:color="auto" w:fill="D9D9D9"/>
            <w:vAlign w:val="center"/>
          </w:tcPr>
          <w:p w:rsidR="00B30642" w:rsidRPr="00525A74" w:rsidRDefault="00B30642" w:rsidP="0024037F">
            <w:pPr>
              <w:tabs>
                <w:tab w:val="left" w:pos="1134"/>
              </w:tabs>
              <w:spacing w:before="120" w:after="120" w:line="240" w:lineRule="auto"/>
              <w:jc w:val="center"/>
              <w:rPr>
                <w:rFonts w:cs="Arial"/>
                <w:b/>
                <w:sz w:val="20"/>
              </w:rPr>
            </w:pPr>
            <w:r w:rsidRPr="00525A74">
              <w:rPr>
                <w:rFonts w:cs="Arial"/>
                <w:b/>
                <w:sz w:val="20"/>
              </w:rPr>
              <w:t>Duração</w:t>
            </w:r>
          </w:p>
        </w:tc>
        <w:tc>
          <w:tcPr>
            <w:tcW w:w="3019" w:type="dxa"/>
            <w:shd w:val="clear" w:color="auto" w:fill="D9D9D9"/>
            <w:vAlign w:val="center"/>
          </w:tcPr>
          <w:p w:rsidR="00B30642" w:rsidRPr="00525A74" w:rsidRDefault="00B30642" w:rsidP="0024037F">
            <w:pPr>
              <w:tabs>
                <w:tab w:val="left" w:pos="1134"/>
              </w:tabs>
              <w:spacing w:before="120" w:after="120" w:line="240" w:lineRule="auto"/>
              <w:jc w:val="center"/>
              <w:rPr>
                <w:rFonts w:cs="Arial"/>
                <w:b/>
                <w:sz w:val="20"/>
              </w:rPr>
            </w:pPr>
            <w:r w:rsidRPr="00525A74">
              <w:rPr>
                <w:rFonts w:cs="Arial"/>
                <w:b/>
                <w:sz w:val="20"/>
              </w:rPr>
              <w:t>Probabilidade de Ocorrência</w:t>
            </w:r>
          </w:p>
        </w:tc>
      </w:tr>
      <w:tr w:rsidR="00B30642" w:rsidRPr="00525A74" w:rsidTr="001E674A">
        <w:trPr>
          <w:trHeight w:hRule="exact" w:val="454"/>
          <w:jc w:val="center"/>
        </w:trPr>
        <w:tc>
          <w:tcPr>
            <w:tcW w:w="1362" w:type="dxa"/>
            <w:shd w:val="clear" w:color="auto" w:fill="auto"/>
            <w:vAlign w:val="center"/>
          </w:tcPr>
          <w:p w:rsidR="00B30642" w:rsidRPr="00525A74" w:rsidRDefault="00B30642" w:rsidP="00942106">
            <w:pPr>
              <w:tabs>
                <w:tab w:val="left" w:pos="1134"/>
              </w:tabs>
              <w:spacing w:line="240" w:lineRule="auto"/>
              <w:jc w:val="center"/>
              <w:rPr>
                <w:rFonts w:cs="Arial"/>
                <w:sz w:val="20"/>
              </w:rPr>
            </w:pPr>
            <w:r w:rsidRPr="00942106">
              <w:rPr>
                <w:rFonts w:cs="Arial"/>
                <w:sz w:val="20"/>
              </w:rPr>
              <w:t>Negativa</w:t>
            </w:r>
          </w:p>
        </w:tc>
        <w:tc>
          <w:tcPr>
            <w:tcW w:w="1101" w:type="dxa"/>
            <w:shd w:val="clear" w:color="auto" w:fill="auto"/>
            <w:vAlign w:val="center"/>
          </w:tcPr>
          <w:p w:rsidR="00B30642" w:rsidRPr="00525A74" w:rsidRDefault="00B30642" w:rsidP="00942106">
            <w:pPr>
              <w:tabs>
                <w:tab w:val="left" w:pos="1134"/>
              </w:tabs>
              <w:spacing w:line="240" w:lineRule="auto"/>
              <w:jc w:val="center"/>
              <w:rPr>
                <w:rFonts w:cs="Arial"/>
                <w:sz w:val="20"/>
              </w:rPr>
            </w:pPr>
            <w:r w:rsidRPr="00525A74">
              <w:rPr>
                <w:rFonts w:cs="Arial"/>
                <w:sz w:val="20"/>
              </w:rPr>
              <w:t>Direta</w:t>
            </w:r>
          </w:p>
        </w:tc>
        <w:tc>
          <w:tcPr>
            <w:tcW w:w="1984" w:type="dxa"/>
            <w:shd w:val="clear" w:color="auto" w:fill="auto"/>
            <w:vAlign w:val="center"/>
          </w:tcPr>
          <w:p w:rsidR="00B30642" w:rsidRPr="00525A74" w:rsidRDefault="00B30642" w:rsidP="00942106">
            <w:pPr>
              <w:tabs>
                <w:tab w:val="left" w:pos="1134"/>
              </w:tabs>
              <w:spacing w:line="240" w:lineRule="auto"/>
              <w:jc w:val="center"/>
              <w:rPr>
                <w:rFonts w:cs="Arial"/>
                <w:sz w:val="20"/>
              </w:rPr>
            </w:pPr>
            <w:r w:rsidRPr="00525A74">
              <w:rPr>
                <w:rFonts w:cs="Arial"/>
                <w:sz w:val="20"/>
              </w:rPr>
              <w:t>ADA e AID</w:t>
            </w:r>
          </w:p>
        </w:tc>
        <w:tc>
          <w:tcPr>
            <w:tcW w:w="1426" w:type="dxa"/>
            <w:shd w:val="clear" w:color="auto" w:fill="auto"/>
            <w:vAlign w:val="center"/>
          </w:tcPr>
          <w:p w:rsidR="00B30642" w:rsidRPr="00525A74" w:rsidRDefault="00B30642" w:rsidP="00942106">
            <w:pPr>
              <w:tabs>
                <w:tab w:val="left" w:pos="1134"/>
              </w:tabs>
              <w:spacing w:line="240" w:lineRule="auto"/>
              <w:jc w:val="center"/>
              <w:rPr>
                <w:rFonts w:cs="Arial"/>
                <w:sz w:val="20"/>
              </w:rPr>
            </w:pPr>
            <w:r w:rsidRPr="00525A74">
              <w:rPr>
                <w:rFonts w:cs="Arial"/>
                <w:sz w:val="20"/>
              </w:rPr>
              <w:t>Permanente</w:t>
            </w:r>
          </w:p>
        </w:tc>
        <w:tc>
          <w:tcPr>
            <w:tcW w:w="3019" w:type="dxa"/>
            <w:shd w:val="clear" w:color="auto" w:fill="auto"/>
            <w:vAlign w:val="center"/>
          </w:tcPr>
          <w:p w:rsidR="00B30642" w:rsidRPr="00525A74" w:rsidRDefault="00B30642" w:rsidP="00942106">
            <w:pPr>
              <w:tabs>
                <w:tab w:val="left" w:pos="1134"/>
              </w:tabs>
              <w:spacing w:line="240" w:lineRule="auto"/>
              <w:jc w:val="center"/>
              <w:rPr>
                <w:rFonts w:cs="Arial"/>
                <w:sz w:val="20"/>
              </w:rPr>
            </w:pPr>
            <w:r w:rsidRPr="00525A74">
              <w:rPr>
                <w:rFonts w:cs="Arial"/>
                <w:sz w:val="20"/>
              </w:rPr>
              <w:t>Certa</w:t>
            </w:r>
          </w:p>
        </w:tc>
      </w:tr>
    </w:tbl>
    <w:p w:rsidR="00B30642" w:rsidRPr="00525A74" w:rsidRDefault="00B30642" w:rsidP="00BF1E70">
      <w:pPr>
        <w:tabs>
          <w:tab w:val="left" w:pos="1134"/>
        </w:tabs>
        <w:spacing w:line="240" w:lineRule="auto"/>
        <w:jc w:val="center"/>
        <w:rPr>
          <w:rFonts w:cs="Arial"/>
          <w:sz w:val="20"/>
        </w:rPr>
      </w:pPr>
    </w:p>
    <w:tbl>
      <w:tblPr>
        <w:tblW w:w="8866" w:type="dxa"/>
        <w:jc w:val="center"/>
        <w:tblInd w:w="-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0"/>
        <w:gridCol w:w="1984"/>
        <w:gridCol w:w="1418"/>
        <w:gridCol w:w="1507"/>
        <w:gridCol w:w="1507"/>
      </w:tblGrid>
      <w:tr w:rsidR="00BF1E70" w:rsidRPr="00525A74" w:rsidTr="00301508">
        <w:trPr>
          <w:trHeight w:hRule="exact" w:val="391"/>
          <w:jc w:val="center"/>
        </w:trPr>
        <w:tc>
          <w:tcPr>
            <w:tcW w:w="2450" w:type="dxa"/>
            <w:shd w:val="clear" w:color="auto" w:fill="D9D9D9"/>
            <w:vAlign w:val="center"/>
          </w:tcPr>
          <w:p w:rsidR="00B30642" w:rsidRPr="00525A74" w:rsidRDefault="00B30642" w:rsidP="0024037F">
            <w:pPr>
              <w:tabs>
                <w:tab w:val="left" w:pos="1134"/>
              </w:tabs>
              <w:spacing w:before="120" w:after="120" w:line="240" w:lineRule="auto"/>
              <w:jc w:val="center"/>
              <w:rPr>
                <w:rFonts w:cs="Arial"/>
                <w:b/>
                <w:sz w:val="20"/>
              </w:rPr>
            </w:pPr>
            <w:r w:rsidRPr="00525A74">
              <w:rPr>
                <w:rFonts w:cs="Arial"/>
                <w:b/>
                <w:sz w:val="20"/>
              </w:rPr>
              <w:t>Época de Ocorrência</w:t>
            </w:r>
          </w:p>
        </w:tc>
        <w:tc>
          <w:tcPr>
            <w:tcW w:w="1984" w:type="dxa"/>
            <w:shd w:val="clear" w:color="auto" w:fill="D9D9D9"/>
            <w:vAlign w:val="center"/>
          </w:tcPr>
          <w:p w:rsidR="00B30642" w:rsidRPr="00525A74" w:rsidRDefault="00B30642" w:rsidP="0024037F">
            <w:pPr>
              <w:tabs>
                <w:tab w:val="left" w:pos="1134"/>
              </w:tabs>
              <w:spacing w:before="120" w:after="120" w:line="240" w:lineRule="auto"/>
              <w:jc w:val="center"/>
              <w:rPr>
                <w:rFonts w:cs="Arial"/>
                <w:b/>
                <w:sz w:val="20"/>
              </w:rPr>
            </w:pPr>
            <w:r w:rsidRPr="00525A74">
              <w:rPr>
                <w:rFonts w:cs="Arial"/>
                <w:b/>
                <w:sz w:val="20"/>
              </w:rPr>
              <w:t>Reversibilidade</w:t>
            </w:r>
          </w:p>
        </w:tc>
        <w:tc>
          <w:tcPr>
            <w:tcW w:w="1418" w:type="dxa"/>
            <w:shd w:val="clear" w:color="auto" w:fill="D9D9D9"/>
            <w:vAlign w:val="center"/>
          </w:tcPr>
          <w:p w:rsidR="00B30642" w:rsidRPr="00525A74" w:rsidRDefault="00B30642" w:rsidP="0024037F">
            <w:pPr>
              <w:tabs>
                <w:tab w:val="left" w:pos="1134"/>
              </w:tabs>
              <w:spacing w:before="120" w:after="120" w:line="240" w:lineRule="auto"/>
              <w:jc w:val="center"/>
              <w:rPr>
                <w:rFonts w:cs="Arial"/>
                <w:b/>
                <w:sz w:val="20"/>
              </w:rPr>
            </w:pPr>
            <w:r w:rsidRPr="00525A74">
              <w:rPr>
                <w:rFonts w:cs="Arial"/>
                <w:b/>
                <w:sz w:val="20"/>
              </w:rPr>
              <w:t>Magnitude</w:t>
            </w:r>
          </w:p>
        </w:tc>
        <w:tc>
          <w:tcPr>
            <w:tcW w:w="1507" w:type="dxa"/>
            <w:shd w:val="clear" w:color="auto" w:fill="D9D9D9"/>
            <w:vAlign w:val="center"/>
          </w:tcPr>
          <w:p w:rsidR="00B30642" w:rsidRPr="00525A74" w:rsidRDefault="00B30642" w:rsidP="0024037F">
            <w:pPr>
              <w:tabs>
                <w:tab w:val="left" w:pos="1134"/>
              </w:tabs>
              <w:spacing w:before="120" w:after="120" w:line="240" w:lineRule="auto"/>
              <w:jc w:val="center"/>
              <w:rPr>
                <w:rFonts w:cs="Arial"/>
                <w:b/>
                <w:sz w:val="20"/>
              </w:rPr>
            </w:pPr>
            <w:r w:rsidRPr="00525A74">
              <w:rPr>
                <w:rFonts w:cs="Arial"/>
                <w:b/>
                <w:sz w:val="20"/>
              </w:rPr>
              <w:t>Importância</w:t>
            </w:r>
          </w:p>
        </w:tc>
        <w:tc>
          <w:tcPr>
            <w:tcW w:w="1507" w:type="dxa"/>
            <w:shd w:val="clear" w:color="auto" w:fill="D9D9D9"/>
            <w:vAlign w:val="center"/>
          </w:tcPr>
          <w:p w:rsidR="00B30642" w:rsidRPr="00525A74" w:rsidRDefault="00B30642" w:rsidP="0024037F">
            <w:pPr>
              <w:tabs>
                <w:tab w:val="left" w:pos="1134"/>
              </w:tabs>
              <w:spacing w:before="120" w:after="120" w:line="240" w:lineRule="auto"/>
              <w:jc w:val="center"/>
              <w:rPr>
                <w:rFonts w:cs="Arial"/>
                <w:b/>
                <w:sz w:val="20"/>
              </w:rPr>
            </w:pPr>
            <w:r w:rsidRPr="00525A74">
              <w:rPr>
                <w:rFonts w:cs="Arial"/>
                <w:b/>
                <w:sz w:val="20"/>
              </w:rPr>
              <w:t>Mitigação</w:t>
            </w:r>
          </w:p>
        </w:tc>
      </w:tr>
      <w:tr w:rsidR="00BF1E70" w:rsidRPr="00525A74" w:rsidTr="001E674A">
        <w:trPr>
          <w:trHeight w:hRule="exact" w:val="568"/>
          <w:jc w:val="center"/>
        </w:trPr>
        <w:tc>
          <w:tcPr>
            <w:tcW w:w="2450" w:type="dxa"/>
            <w:shd w:val="clear" w:color="auto" w:fill="auto"/>
            <w:vAlign w:val="center"/>
          </w:tcPr>
          <w:p w:rsidR="00B30642" w:rsidRPr="00525A74" w:rsidRDefault="00B30642" w:rsidP="00942106">
            <w:pPr>
              <w:tabs>
                <w:tab w:val="left" w:pos="1134"/>
              </w:tabs>
              <w:spacing w:line="240" w:lineRule="auto"/>
              <w:jc w:val="center"/>
              <w:rPr>
                <w:rFonts w:cs="Arial"/>
                <w:sz w:val="20"/>
              </w:rPr>
            </w:pPr>
            <w:r w:rsidRPr="00525A74">
              <w:rPr>
                <w:rFonts w:cs="Arial"/>
                <w:sz w:val="20"/>
              </w:rPr>
              <w:t>Curto Prazo</w:t>
            </w:r>
          </w:p>
        </w:tc>
        <w:tc>
          <w:tcPr>
            <w:tcW w:w="1984" w:type="dxa"/>
            <w:shd w:val="clear" w:color="auto" w:fill="auto"/>
            <w:vAlign w:val="center"/>
          </w:tcPr>
          <w:p w:rsidR="00B30642" w:rsidRPr="00525A74" w:rsidRDefault="00B30642" w:rsidP="00942106">
            <w:pPr>
              <w:tabs>
                <w:tab w:val="left" w:pos="1134"/>
              </w:tabs>
              <w:spacing w:line="240" w:lineRule="auto"/>
              <w:jc w:val="center"/>
              <w:rPr>
                <w:rFonts w:cs="Arial"/>
                <w:sz w:val="20"/>
              </w:rPr>
            </w:pPr>
            <w:r w:rsidRPr="00525A74">
              <w:rPr>
                <w:rFonts w:cs="Arial"/>
                <w:sz w:val="20"/>
              </w:rPr>
              <w:t>Irreversível</w:t>
            </w:r>
          </w:p>
        </w:tc>
        <w:tc>
          <w:tcPr>
            <w:tcW w:w="1418" w:type="dxa"/>
            <w:shd w:val="clear" w:color="auto" w:fill="auto"/>
            <w:vAlign w:val="center"/>
          </w:tcPr>
          <w:p w:rsidR="00B30642" w:rsidRPr="00942106" w:rsidRDefault="00982762" w:rsidP="00942106">
            <w:pPr>
              <w:tabs>
                <w:tab w:val="left" w:pos="1134"/>
              </w:tabs>
              <w:spacing w:line="240" w:lineRule="auto"/>
              <w:jc w:val="center"/>
              <w:rPr>
                <w:rFonts w:cs="Arial"/>
                <w:sz w:val="20"/>
              </w:rPr>
            </w:pPr>
            <w:r>
              <w:rPr>
                <w:rFonts w:cs="Arial"/>
                <w:sz w:val="20"/>
              </w:rPr>
              <w:t>Pequena</w:t>
            </w:r>
          </w:p>
        </w:tc>
        <w:tc>
          <w:tcPr>
            <w:tcW w:w="1507" w:type="dxa"/>
            <w:shd w:val="clear" w:color="auto" w:fill="auto"/>
            <w:vAlign w:val="center"/>
          </w:tcPr>
          <w:p w:rsidR="00B30642" w:rsidRPr="00942106" w:rsidRDefault="00B30642" w:rsidP="00942106">
            <w:pPr>
              <w:tabs>
                <w:tab w:val="left" w:pos="1134"/>
              </w:tabs>
              <w:spacing w:line="240" w:lineRule="auto"/>
              <w:jc w:val="center"/>
              <w:rPr>
                <w:rFonts w:cs="Arial"/>
                <w:sz w:val="20"/>
              </w:rPr>
            </w:pPr>
            <w:r w:rsidRPr="00942106">
              <w:rPr>
                <w:rFonts w:cs="Arial"/>
                <w:sz w:val="20"/>
              </w:rPr>
              <w:t>Média</w:t>
            </w:r>
          </w:p>
        </w:tc>
        <w:tc>
          <w:tcPr>
            <w:tcW w:w="1507" w:type="dxa"/>
            <w:shd w:val="clear" w:color="auto" w:fill="auto"/>
            <w:vAlign w:val="center"/>
          </w:tcPr>
          <w:p w:rsidR="00B30642" w:rsidRPr="00525A74" w:rsidRDefault="00B30642" w:rsidP="00942106">
            <w:pPr>
              <w:tabs>
                <w:tab w:val="left" w:pos="1134"/>
              </w:tabs>
              <w:spacing w:line="240" w:lineRule="auto"/>
              <w:jc w:val="center"/>
              <w:rPr>
                <w:rFonts w:cs="Arial"/>
                <w:sz w:val="20"/>
              </w:rPr>
            </w:pPr>
            <w:r w:rsidRPr="00525A74">
              <w:rPr>
                <w:rFonts w:cs="Arial"/>
                <w:sz w:val="20"/>
              </w:rPr>
              <w:t>Não Mitigável</w:t>
            </w:r>
          </w:p>
        </w:tc>
      </w:tr>
    </w:tbl>
    <w:p w:rsidR="00B30642" w:rsidRDefault="00B30642" w:rsidP="00B30642">
      <w:pPr>
        <w:tabs>
          <w:tab w:val="left" w:pos="1134"/>
        </w:tabs>
        <w:spacing w:before="120" w:after="120" w:line="240" w:lineRule="auto"/>
        <w:rPr>
          <w:rFonts w:cs="Arial"/>
          <w:szCs w:val="22"/>
        </w:rPr>
      </w:pPr>
      <w:r w:rsidRPr="00525A74">
        <w:rPr>
          <w:rFonts w:cs="Arial"/>
          <w:b/>
          <w:szCs w:val="22"/>
        </w:rPr>
        <w:t>Ações Ambientais Propostas:</w:t>
      </w:r>
      <w:r w:rsidRPr="00525A74">
        <w:rPr>
          <w:rFonts w:cs="Arial"/>
          <w:szCs w:val="22"/>
        </w:rPr>
        <w:t xml:space="preserve"> Ainda que esse impacto não seja mitigável</w:t>
      </w:r>
      <w:r>
        <w:rPr>
          <w:rFonts w:cs="Arial"/>
          <w:szCs w:val="22"/>
        </w:rPr>
        <w:t>,</w:t>
      </w:r>
      <w:r w:rsidRPr="00525A74">
        <w:rPr>
          <w:rFonts w:cs="Arial"/>
          <w:szCs w:val="22"/>
        </w:rPr>
        <w:t xml:space="preserve"> as ações previstas nos Programas de </w:t>
      </w:r>
      <w:r w:rsidR="00D225D5">
        <w:rPr>
          <w:rFonts w:cs="Arial"/>
          <w:szCs w:val="22"/>
        </w:rPr>
        <w:t>Comunicação e Interação Social</w:t>
      </w:r>
      <w:r w:rsidRPr="00525A74">
        <w:rPr>
          <w:rFonts w:cs="Arial"/>
          <w:szCs w:val="22"/>
        </w:rPr>
        <w:t xml:space="preserve"> podem contribuir para minimizar esse impacto, considerando as novas oportunidades de lazer e turismo associadas à formação do reservatório.</w:t>
      </w:r>
    </w:p>
    <w:p w:rsidR="00973BCF" w:rsidRPr="00B00F03" w:rsidRDefault="00973BCF" w:rsidP="002C0D71">
      <w:pPr>
        <w:pStyle w:val="Ttulo3"/>
      </w:pPr>
      <w:bookmarkStart w:id="262" w:name="_Toc418758229"/>
      <w:bookmarkStart w:id="263" w:name="_Toc418758831"/>
      <w:bookmarkStart w:id="264" w:name="_Toc419813591"/>
      <w:r w:rsidRPr="00B00F03">
        <w:t>1.3.2</w:t>
      </w:r>
      <w:r w:rsidR="00555C1A" w:rsidRPr="00B00F03">
        <w:t>.</w:t>
      </w:r>
      <w:r w:rsidRPr="00B00F03">
        <w:t xml:space="preserve"> Meio Bi</w:t>
      </w:r>
      <w:r w:rsidRPr="00B00F03">
        <w:rPr>
          <w:rFonts w:hint="eastAsia"/>
        </w:rPr>
        <w:t>ó</w:t>
      </w:r>
      <w:r w:rsidRPr="00B00F03">
        <w:t>tico</w:t>
      </w:r>
      <w:bookmarkEnd w:id="262"/>
      <w:bookmarkEnd w:id="263"/>
      <w:bookmarkEnd w:id="264"/>
    </w:p>
    <w:p w:rsidR="00973BCF" w:rsidRPr="002C0D71" w:rsidRDefault="00CD6D82">
      <w:pPr>
        <w:pStyle w:val="Ttulo3"/>
      </w:pPr>
      <w:bookmarkStart w:id="265" w:name="_Toc418758230"/>
      <w:bookmarkStart w:id="266" w:name="_Toc418758832"/>
      <w:bookmarkStart w:id="267" w:name="_Toc419813592"/>
      <w:r w:rsidRPr="00125F44">
        <w:t>1.3.2.</w:t>
      </w:r>
      <w:r w:rsidR="008D0D70" w:rsidRPr="002C0D71">
        <w:t>1</w:t>
      </w:r>
      <w:r w:rsidR="00973BCF" w:rsidRPr="002C0D71">
        <w:t>. Perda de Cobertura Vegetal Nativa</w:t>
      </w:r>
      <w:bookmarkEnd w:id="265"/>
      <w:bookmarkEnd w:id="266"/>
      <w:bookmarkEnd w:id="267"/>
    </w:p>
    <w:p w:rsidR="00F665CF" w:rsidRPr="00F665CF" w:rsidRDefault="00F665CF" w:rsidP="00F665CF">
      <w:pPr>
        <w:widowControl w:val="0"/>
        <w:autoSpaceDE w:val="0"/>
        <w:autoSpaceDN w:val="0"/>
        <w:adjustRightInd w:val="0"/>
        <w:spacing w:before="120" w:after="120" w:line="240" w:lineRule="auto"/>
        <w:rPr>
          <w:rFonts w:eastAsia="Calibri" w:cs="Arial"/>
          <w:b/>
          <w:szCs w:val="22"/>
          <w:lang w:eastAsia="en-US"/>
        </w:rPr>
      </w:pPr>
      <w:r w:rsidRPr="00F665CF">
        <w:rPr>
          <w:rFonts w:eastAsia="Calibri" w:cs="Arial"/>
          <w:b/>
          <w:szCs w:val="22"/>
          <w:lang w:eastAsia="en-US"/>
        </w:rPr>
        <w:t>Fase: Implantação</w:t>
      </w:r>
    </w:p>
    <w:p w:rsidR="00F665CF" w:rsidRPr="00F665CF" w:rsidRDefault="00F665CF" w:rsidP="00F665CF">
      <w:pPr>
        <w:widowControl w:val="0"/>
        <w:autoSpaceDE w:val="0"/>
        <w:autoSpaceDN w:val="0"/>
        <w:adjustRightInd w:val="0"/>
        <w:spacing w:before="120" w:after="120" w:line="240" w:lineRule="auto"/>
        <w:rPr>
          <w:rFonts w:eastAsia="Calibri" w:cs="Arial"/>
          <w:szCs w:val="22"/>
          <w:lang w:eastAsia="en-US"/>
        </w:rPr>
      </w:pPr>
      <w:r w:rsidRPr="00F665CF">
        <w:rPr>
          <w:rFonts w:eastAsia="Calibri" w:cs="Arial"/>
          <w:szCs w:val="22"/>
          <w:lang w:eastAsia="en-US"/>
        </w:rPr>
        <w:t xml:space="preserve">Uma das primeiras atividades da fase de implantação </w:t>
      </w:r>
      <w:r w:rsidR="0081497F">
        <w:rPr>
          <w:rFonts w:eastAsia="Calibri" w:cs="Arial"/>
          <w:szCs w:val="22"/>
          <w:lang w:eastAsia="en-US"/>
        </w:rPr>
        <w:t>das B</w:t>
      </w:r>
      <w:r w:rsidRPr="00F665CF">
        <w:rPr>
          <w:rFonts w:eastAsia="Calibri" w:cs="Arial"/>
          <w:szCs w:val="22"/>
          <w:lang w:eastAsia="en-US"/>
        </w:rPr>
        <w:t>arragens Pedreira e Duas Pontes será a remoção da cobertura vegetal existente na área onde serão construídas as barragens. Posteriormente, também será removida a cobertura vegetal existente nas áreas de inundação dos futuros reservatórios.</w:t>
      </w:r>
    </w:p>
    <w:p w:rsidR="00F665CF" w:rsidRPr="006F141D" w:rsidRDefault="00F665CF" w:rsidP="00F665CF">
      <w:pPr>
        <w:widowControl w:val="0"/>
        <w:autoSpaceDE w:val="0"/>
        <w:autoSpaceDN w:val="0"/>
        <w:adjustRightInd w:val="0"/>
        <w:spacing w:before="120" w:after="120" w:line="240" w:lineRule="auto"/>
        <w:rPr>
          <w:rFonts w:eastAsia="Calibri" w:cs="Arial"/>
          <w:szCs w:val="22"/>
          <w:lang w:eastAsia="en-US"/>
        </w:rPr>
      </w:pPr>
      <w:r w:rsidRPr="00F665CF">
        <w:rPr>
          <w:rFonts w:eastAsia="Calibri" w:cs="Arial"/>
          <w:szCs w:val="22"/>
          <w:lang w:eastAsia="en-US"/>
        </w:rPr>
        <w:t>A supressão de cobertura vegetal atingirá diferentes fitofisionomias. Serão afetadas desde formações que representam pouco prejuízo ambiental, como aqueles ambientes de origem antrópica (áreas de pastagens e de culturas), até algumas que se encontram em bom estado de conservação, cujo prejuízo ambiental é mais significativo, caso das formações da Floresta Estacion</w:t>
      </w:r>
      <w:r w:rsidR="00E80CC8">
        <w:rPr>
          <w:rFonts w:eastAsia="Calibri" w:cs="Arial"/>
          <w:szCs w:val="22"/>
          <w:lang w:eastAsia="en-US"/>
        </w:rPr>
        <w:t>al Semidecidual, que na ADA da</w:t>
      </w:r>
      <w:r w:rsidR="0081497F">
        <w:rPr>
          <w:rFonts w:eastAsia="Calibri" w:cs="Arial"/>
          <w:szCs w:val="22"/>
          <w:lang w:eastAsia="en-US"/>
        </w:rPr>
        <w:t xml:space="preserve"> B</w:t>
      </w:r>
      <w:r w:rsidRPr="00F665CF">
        <w:rPr>
          <w:rFonts w:eastAsia="Calibri" w:cs="Arial"/>
          <w:szCs w:val="22"/>
          <w:lang w:eastAsia="en-US"/>
        </w:rPr>
        <w:t>arragem Pedreira se encontram em estágio inicial do processo de s</w:t>
      </w:r>
      <w:r w:rsidR="0081497F">
        <w:rPr>
          <w:rFonts w:eastAsia="Calibri" w:cs="Arial"/>
          <w:szCs w:val="22"/>
          <w:lang w:eastAsia="en-US"/>
        </w:rPr>
        <w:t>ucessão secundária e na ADA da B</w:t>
      </w:r>
      <w:r w:rsidRPr="00F665CF">
        <w:rPr>
          <w:rFonts w:eastAsia="Calibri" w:cs="Arial"/>
          <w:szCs w:val="22"/>
          <w:lang w:eastAsia="en-US"/>
        </w:rPr>
        <w:t>arragem Duas Pontes se encontram nos estágios inicial e médio de regeneração. Os quantitativos relacionados à supressão da cobertura vegetal</w:t>
      </w:r>
      <w:r w:rsidR="00257450">
        <w:rPr>
          <w:rFonts w:eastAsia="Calibri" w:cs="Arial"/>
          <w:szCs w:val="22"/>
          <w:lang w:eastAsia="en-US"/>
        </w:rPr>
        <w:t xml:space="preserve">, </w:t>
      </w:r>
      <w:r w:rsidR="00257450" w:rsidRPr="008E6AF6">
        <w:rPr>
          <w:rFonts w:eastAsia="Calibri" w:cs="Arial"/>
          <w:szCs w:val="22"/>
          <w:lang w:eastAsia="en-US"/>
        </w:rPr>
        <w:t xml:space="preserve">somadas </w:t>
      </w:r>
      <w:r w:rsidR="00257450" w:rsidRPr="006F141D">
        <w:rPr>
          <w:rFonts w:eastAsia="Calibri" w:cs="Arial"/>
          <w:szCs w:val="22"/>
          <w:lang w:eastAsia="en-US"/>
        </w:rPr>
        <w:t>as áreas perdidas por alagamento e pela construção das barragens,</w:t>
      </w:r>
      <w:r w:rsidRPr="006F141D">
        <w:rPr>
          <w:rFonts w:eastAsia="Calibri" w:cs="Arial"/>
          <w:szCs w:val="22"/>
          <w:lang w:eastAsia="en-US"/>
        </w:rPr>
        <w:t xml:space="preserve"> são apresentados nas </w:t>
      </w:r>
      <w:r w:rsidR="00D130EB" w:rsidRPr="006F141D">
        <w:rPr>
          <w:rFonts w:eastAsia="Calibri" w:cs="Arial"/>
          <w:szCs w:val="22"/>
          <w:lang w:eastAsia="en-US"/>
        </w:rPr>
        <w:t>Quadros</w:t>
      </w:r>
      <w:r w:rsidRPr="006F141D">
        <w:rPr>
          <w:rFonts w:eastAsia="Calibri" w:cs="Arial"/>
          <w:szCs w:val="22"/>
          <w:lang w:eastAsia="en-US"/>
        </w:rPr>
        <w:t xml:space="preserve"> 1.3.</w:t>
      </w:r>
      <w:r w:rsidR="00B11E51" w:rsidRPr="006F141D">
        <w:rPr>
          <w:rFonts w:eastAsia="Calibri" w:cs="Arial"/>
          <w:szCs w:val="22"/>
          <w:lang w:eastAsia="en-US"/>
        </w:rPr>
        <w:t>3</w:t>
      </w:r>
      <w:r w:rsidR="00D130EB" w:rsidRPr="006F141D">
        <w:rPr>
          <w:rFonts w:eastAsia="Calibri" w:cs="Arial"/>
          <w:szCs w:val="22"/>
          <w:lang w:eastAsia="en-US"/>
        </w:rPr>
        <w:t>9 e 1.3.</w:t>
      </w:r>
      <w:r w:rsidR="00B11E51" w:rsidRPr="006F141D">
        <w:rPr>
          <w:rFonts w:eastAsia="Calibri" w:cs="Arial"/>
          <w:szCs w:val="22"/>
          <w:lang w:eastAsia="en-US"/>
        </w:rPr>
        <w:t>40</w:t>
      </w:r>
      <w:r w:rsidR="006A5421" w:rsidRPr="006F141D">
        <w:rPr>
          <w:rFonts w:eastAsia="Calibri" w:cs="Arial"/>
          <w:szCs w:val="22"/>
          <w:lang w:eastAsia="en-US"/>
        </w:rPr>
        <w:t>.</w:t>
      </w:r>
    </w:p>
    <w:p w:rsidR="00827D70" w:rsidRPr="006F141D" w:rsidRDefault="00827D70" w:rsidP="00827D70">
      <w:pPr>
        <w:widowControl w:val="0"/>
        <w:autoSpaceDE w:val="0"/>
        <w:autoSpaceDN w:val="0"/>
        <w:adjustRightInd w:val="0"/>
        <w:spacing w:before="120" w:after="120" w:line="240" w:lineRule="auto"/>
      </w:pPr>
      <w:r w:rsidRPr="006F141D">
        <w:t xml:space="preserve">Embora predominem formações antrópicas tanto na ADA da Barragem Pedreira como na ADA da Barragem Duas Pontes, ou seja, áreas de plantio de </w:t>
      </w:r>
      <w:r w:rsidR="00141B2A" w:rsidRPr="006F141D">
        <w:t>cana-de-açúcar</w:t>
      </w:r>
      <w:r w:rsidRPr="006F141D">
        <w:t>, pasto, pasto sujo</w:t>
      </w:r>
      <w:r w:rsidR="00F408DD" w:rsidRPr="006F141D">
        <w:t xml:space="preserve"> e reflorestamentos de exóticas</w:t>
      </w:r>
      <w:r w:rsidRPr="006F141D">
        <w:t xml:space="preserve"> haverá perda de cobertura vegetal nativa.</w:t>
      </w:r>
    </w:p>
    <w:p w:rsidR="00827D70" w:rsidRDefault="00827D70" w:rsidP="00827D70">
      <w:pPr>
        <w:widowControl w:val="0"/>
        <w:autoSpaceDE w:val="0"/>
        <w:autoSpaceDN w:val="0"/>
        <w:adjustRightInd w:val="0"/>
        <w:spacing w:before="120" w:after="120" w:line="240" w:lineRule="auto"/>
      </w:pPr>
      <w:r w:rsidRPr="006F141D">
        <w:t xml:space="preserve">Para a implantação e operação da Barragem Pedreira será necessária a supressão de </w:t>
      </w:r>
      <w:r w:rsidRPr="006F141D">
        <w:rPr>
          <w:b/>
        </w:rPr>
        <w:t>93,0</w:t>
      </w:r>
      <w:r w:rsidRPr="006F141D">
        <w:t xml:space="preserve"> ha de Floresta Estacional Semidecidual em estágio inicial do processo de sucessão secundária, dos quais </w:t>
      </w:r>
      <w:r w:rsidRPr="006F141D">
        <w:rPr>
          <w:b/>
        </w:rPr>
        <w:t>71,7</w:t>
      </w:r>
      <w:r w:rsidRPr="006F141D">
        <w:t xml:space="preserve"> ha pela formação do reservatório e </w:t>
      </w:r>
      <w:r w:rsidRPr="006F141D">
        <w:rPr>
          <w:b/>
        </w:rPr>
        <w:t>21,3</w:t>
      </w:r>
      <w:r w:rsidRPr="006F141D">
        <w:t xml:space="preserve"> ha pela supressão necessária a construção das barragens e áreas de apoio e acessos à obra. Deste total, </w:t>
      </w:r>
      <w:r w:rsidRPr="006F141D">
        <w:rPr>
          <w:b/>
        </w:rPr>
        <w:t>32,7</w:t>
      </w:r>
      <w:r w:rsidRPr="006F141D">
        <w:t xml:space="preserve"> ha representam formações ribeirinhas, que se desenvolvem as margens dos corpos d’água, e </w:t>
      </w:r>
      <w:r w:rsidRPr="006F141D">
        <w:rPr>
          <w:b/>
        </w:rPr>
        <w:t>31,1</w:t>
      </w:r>
      <w:r w:rsidRPr="006F141D">
        <w:t xml:space="preserve"> ha representam formações cujo dossel é formado por espécimes de eucalipto. O restante, </w:t>
      </w:r>
      <w:r w:rsidRPr="006F141D">
        <w:rPr>
          <w:b/>
        </w:rPr>
        <w:t>29,2</w:t>
      </w:r>
      <w:r w:rsidRPr="006F141D">
        <w:t xml:space="preserve"> ha representam formações sem eucalipto e que se desenvolvem nos interflúvios, sem influência direta dos cursos d’água (Quadro 1.3.</w:t>
      </w:r>
      <w:r w:rsidR="00B11E51" w:rsidRPr="006F141D">
        <w:t>3</w:t>
      </w:r>
      <w:r w:rsidRPr="006F141D">
        <w:t>9.)</w:t>
      </w:r>
    </w:p>
    <w:p w:rsidR="00827D70" w:rsidRPr="006F141D" w:rsidRDefault="008D3A12" w:rsidP="006F141D">
      <w:pPr>
        <w:pStyle w:val="Legenda"/>
        <w:spacing w:before="0" w:after="0" w:line="240" w:lineRule="auto"/>
        <w:jc w:val="center"/>
        <w:rPr>
          <w:b w:val="0"/>
          <w:i w:val="0"/>
        </w:rPr>
      </w:pPr>
      <w:bookmarkStart w:id="268" w:name="_Toc420316483"/>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40</w:t>
      </w:r>
      <w:r w:rsidR="00B80A05" w:rsidRPr="006F141D">
        <w:rPr>
          <w:i w:val="0"/>
        </w:rPr>
        <w:fldChar w:fldCharType="end"/>
      </w:r>
      <w:r w:rsidR="006F141D" w:rsidRPr="006F141D">
        <w:rPr>
          <w:i w:val="0"/>
        </w:rPr>
        <w:t>.</w:t>
      </w:r>
      <w:r w:rsidR="006F141D" w:rsidRPr="006F141D">
        <w:rPr>
          <w:b w:val="0"/>
          <w:i w:val="0"/>
        </w:rPr>
        <w:t xml:space="preserve"> - </w:t>
      </w:r>
      <w:r w:rsidR="00827D70" w:rsidRPr="006F141D">
        <w:rPr>
          <w:b w:val="0"/>
          <w:i w:val="0"/>
        </w:rPr>
        <w:t>Áreas das diferentes fitofisionomias a serem suprimidas</w:t>
      </w:r>
      <w:bookmarkEnd w:id="268"/>
      <w:r w:rsidR="00827D70" w:rsidRPr="006F141D">
        <w:rPr>
          <w:b w:val="0"/>
          <w:i w:val="0"/>
        </w:rPr>
        <w:t xml:space="preserve"> </w:t>
      </w:r>
    </w:p>
    <w:p w:rsidR="00827D70" w:rsidRPr="006F141D" w:rsidRDefault="00827D70" w:rsidP="006F141D">
      <w:pPr>
        <w:widowControl w:val="0"/>
        <w:autoSpaceDE w:val="0"/>
        <w:autoSpaceDN w:val="0"/>
        <w:adjustRightInd w:val="0"/>
        <w:spacing w:line="240" w:lineRule="auto"/>
        <w:ind w:firstLine="851"/>
        <w:jc w:val="center"/>
        <w:rPr>
          <w:rFonts w:eastAsia="Calibri" w:cs="Arial"/>
          <w:szCs w:val="22"/>
          <w:lang w:eastAsia="en-US"/>
        </w:rPr>
      </w:pPr>
      <w:r w:rsidRPr="006F141D">
        <w:t>na Barragem Pedreira</w:t>
      </w:r>
    </w:p>
    <w:tbl>
      <w:tblPr>
        <w:tblW w:w="7288" w:type="dxa"/>
        <w:jc w:val="center"/>
        <w:tblInd w:w="-529" w:type="dxa"/>
        <w:tblLayout w:type="fixed"/>
        <w:tblLook w:val="04A0" w:firstRow="1" w:lastRow="0" w:firstColumn="1" w:lastColumn="0" w:noHBand="0" w:noVBand="1"/>
      </w:tblPr>
      <w:tblGrid>
        <w:gridCol w:w="4394"/>
        <w:gridCol w:w="1268"/>
        <w:gridCol w:w="1626"/>
      </w:tblGrid>
      <w:tr w:rsidR="00F665CF" w:rsidRPr="00621AED" w:rsidTr="00301508">
        <w:trPr>
          <w:trHeight w:val="280"/>
          <w:jc w:val="center"/>
        </w:trPr>
        <w:tc>
          <w:tcPr>
            <w:tcW w:w="439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rsidR="00F665CF" w:rsidRPr="0081497F" w:rsidRDefault="00F665CF" w:rsidP="001A063B">
            <w:pPr>
              <w:spacing w:line="240" w:lineRule="auto"/>
              <w:jc w:val="center"/>
              <w:rPr>
                <w:rFonts w:ascii="Calibri" w:hAnsi="Calibri"/>
                <w:b/>
                <w:bCs/>
                <w:color w:val="000000"/>
                <w:szCs w:val="22"/>
              </w:rPr>
            </w:pPr>
            <w:r w:rsidRPr="0081497F">
              <w:rPr>
                <w:rFonts w:ascii="Calibri" w:hAnsi="Calibri"/>
                <w:b/>
                <w:bCs/>
                <w:color w:val="000000"/>
                <w:szCs w:val="22"/>
              </w:rPr>
              <w:t>Fitofisionomia</w:t>
            </w:r>
          </w:p>
        </w:tc>
        <w:tc>
          <w:tcPr>
            <w:tcW w:w="1268" w:type="dxa"/>
            <w:tcBorders>
              <w:top w:val="single" w:sz="4" w:space="0" w:color="auto"/>
              <w:left w:val="nil"/>
              <w:bottom w:val="single" w:sz="4" w:space="0" w:color="auto"/>
              <w:right w:val="single" w:sz="4" w:space="0" w:color="auto"/>
            </w:tcBorders>
            <w:shd w:val="clear" w:color="auto" w:fill="D9D9D9"/>
            <w:noWrap/>
            <w:vAlign w:val="center"/>
            <w:hideMark/>
          </w:tcPr>
          <w:p w:rsidR="00F665CF" w:rsidRPr="0081497F" w:rsidRDefault="00F665CF" w:rsidP="00350900">
            <w:pPr>
              <w:spacing w:line="240" w:lineRule="auto"/>
              <w:jc w:val="center"/>
              <w:rPr>
                <w:rFonts w:ascii="Calibri" w:hAnsi="Calibri"/>
                <w:b/>
                <w:bCs/>
                <w:color w:val="000000"/>
                <w:szCs w:val="22"/>
              </w:rPr>
            </w:pPr>
            <w:r w:rsidRPr="0081497F">
              <w:rPr>
                <w:rFonts w:ascii="Calibri" w:hAnsi="Calibri"/>
                <w:b/>
                <w:bCs/>
                <w:color w:val="000000"/>
                <w:szCs w:val="22"/>
              </w:rPr>
              <w:t>Área</w:t>
            </w:r>
            <w:r w:rsidR="00350900">
              <w:rPr>
                <w:rFonts w:ascii="Calibri" w:hAnsi="Calibri"/>
                <w:b/>
                <w:bCs/>
                <w:color w:val="000000"/>
                <w:szCs w:val="22"/>
              </w:rPr>
              <w:t xml:space="preserve"> (*)</w:t>
            </w:r>
            <w:r w:rsidRPr="0081497F">
              <w:rPr>
                <w:rFonts w:ascii="Calibri" w:hAnsi="Calibri"/>
                <w:b/>
                <w:bCs/>
                <w:color w:val="000000"/>
                <w:szCs w:val="22"/>
              </w:rPr>
              <w:t xml:space="preserve"> (ha)</w:t>
            </w:r>
            <w:r w:rsidR="00350900">
              <w:rPr>
                <w:rFonts w:ascii="Calibri" w:hAnsi="Calibri"/>
                <w:b/>
                <w:bCs/>
                <w:color w:val="000000"/>
                <w:szCs w:val="22"/>
              </w:rPr>
              <w:t xml:space="preserve"> </w:t>
            </w:r>
          </w:p>
        </w:tc>
        <w:tc>
          <w:tcPr>
            <w:tcW w:w="1626" w:type="dxa"/>
            <w:tcBorders>
              <w:top w:val="single" w:sz="4" w:space="0" w:color="auto"/>
              <w:left w:val="nil"/>
              <w:bottom w:val="single" w:sz="4" w:space="0" w:color="auto"/>
              <w:right w:val="single" w:sz="4" w:space="0" w:color="auto"/>
            </w:tcBorders>
            <w:shd w:val="clear" w:color="auto" w:fill="D9D9D9"/>
          </w:tcPr>
          <w:p w:rsidR="00F665CF" w:rsidRPr="0081497F" w:rsidRDefault="00F665CF" w:rsidP="001A063B">
            <w:pPr>
              <w:spacing w:line="240" w:lineRule="auto"/>
              <w:jc w:val="center"/>
              <w:rPr>
                <w:rFonts w:ascii="Calibri" w:hAnsi="Calibri"/>
                <w:b/>
                <w:bCs/>
                <w:color w:val="000000"/>
                <w:szCs w:val="22"/>
              </w:rPr>
            </w:pPr>
            <w:r w:rsidRPr="0081497F">
              <w:rPr>
                <w:rFonts w:ascii="Calibri" w:hAnsi="Calibri"/>
                <w:b/>
                <w:bCs/>
                <w:color w:val="000000"/>
                <w:szCs w:val="22"/>
              </w:rPr>
              <w:t>Área Relativa (%)</w:t>
            </w:r>
          </w:p>
        </w:tc>
      </w:tr>
      <w:tr w:rsidR="008F254A" w:rsidRPr="00621AED" w:rsidTr="008F254A">
        <w:trPr>
          <w:trHeight w:val="280"/>
          <w:jc w:val="center"/>
        </w:trPr>
        <w:tc>
          <w:tcPr>
            <w:tcW w:w="43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54A" w:rsidRPr="008F254A" w:rsidRDefault="008F254A" w:rsidP="008F254A">
            <w:pPr>
              <w:spacing w:line="240" w:lineRule="auto"/>
              <w:jc w:val="left"/>
              <w:rPr>
                <w:rFonts w:cs="Arial"/>
                <w:color w:val="000000"/>
                <w:sz w:val="20"/>
              </w:rPr>
            </w:pPr>
            <w:r w:rsidRPr="008F254A">
              <w:rPr>
                <w:rFonts w:cs="Arial"/>
                <w:color w:val="000000"/>
                <w:sz w:val="20"/>
              </w:rPr>
              <w:t>Floresta Estacional Inicial</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rsidR="008F254A" w:rsidRPr="00301508" w:rsidRDefault="008F254A" w:rsidP="008F254A">
            <w:pPr>
              <w:spacing w:line="240" w:lineRule="auto"/>
              <w:jc w:val="right"/>
              <w:rPr>
                <w:rFonts w:cs="Arial"/>
                <w:sz w:val="20"/>
              </w:rPr>
            </w:pPr>
            <w:r w:rsidRPr="00301508">
              <w:rPr>
                <w:rFonts w:cs="Arial"/>
                <w:sz w:val="20"/>
              </w:rPr>
              <w:t>29,2</w:t>
            </w:r>
          </w:p>
        </w:tc>
        <w:tc>
          <w:tcPr>
            <w:tcW w:w="1626" w:type="dxa"/>
            <w:tcBorders>
              <w:top w:val="single" w:sz="4" w:space="0" w:color="auto"/>
              <w:left w:val="nil"/>
              <w:bottom w:val="single" w:sz="4" w:space="0" w:color="auto"/>
              <w:right w:val="single" w:sz="4" w:space="0" w:color="auto"/>
            </w:tcBorders>
            <w:vAlign w:val="center"/>
          </w:tcPr>
          <w:p w:rsidR="008F254A" w:rsidRPr="00301508" w:rsidRDefault="008F254A" w:rsidP="008F254A">
            <w:pPr>
              <w:spacing w:line="240" w:lineRule="auto"/>
              <w:jc w:val="right"/>
              <w:rPr>
                <w:rFonts w:cs="Arial"/>
                <w:sz w:val="20"/>
              </w:rPr>
            </w:pPr>
            <w:r w:rsidRPr="00301508">
              <w:rPr>
                <w:rFonts w:cs="Arial"/>
                <w:sz w:val="20"/>
              </w:rPr>
              <w:t>14,4</w:t>
            </w:r>
          </w:p>
        </w:tc>
      </w:tr>
      <w:tr w:rsidR="008F254A" w:rsidRPr="00621AED" w:rsidTr="008F254A">
        <w:trPr>
          <w:trHeight w:val="280"/>
          <w:jc w:val="center"/>
        </w:trPr>
        <w:tc>
          <w:tcPr>
            <w:tcW w:w="43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54A" w:rsidRPr="008F254A" w:rsidRDefault="008F254A" w:rsidP="008F254A">
            <w:pPr>
              <w:spacing w:line="240" w:lineRule="auto"/>
              <w:jc w:val="left"/>
              <w:rPr>
                <w:rFonts w:cs="Arial"/>
                <w:color w:val="000000"/>
                <w:sz w:val="20"/>
              </w:rPr>
            </w:pPr>
            <w:r w:rsidRPr="008F254A">
              <w:rPr>
                <w:rFonts w:cs="Arial"/>
                <w:color w:val="000000"/>
                <w:sz w:val="20"/>
              </w:rPr>
              <w:t>Floresta Estacional Inicial Ribeirinha</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rsidR="008F254A" w:rsidRPr="00301508" w:rsidRDefault="008F254A" w:rsidP="008F254A">
            <w:pPr>
              <w:spacing w:line="240" w:lineRule="auto"/>
              <w:jc w:val="right"/>
              <w:rPr>
                <w:rFonts w:cs="Arial"/>
                <w:sz w:val="20"/>
              </w:rPr>
            </w:pPr>
            <w:r w:rsidRPr="00301508">
              <w:rPr>
                <w:rFonts w:cs="Arial"/>
                <w:sz w:val="20"/>
              </w:rPr>
              <w:t>32,7</w:t>
            </w:r>
          </w:p>
        </w:tc>
        <w:tc>
          <w:tcPr>
            <w:tcW w:w="1626" w:type="dxa"/>
            <w:tcBorders>
              <w:top w:val="single" w:sz="4" w:space="0" w:color="auto"/>
              <w:left w:val="nil"/>
              <w:bottom w:val="single" w:sz="4" w:space="0" w:color="auto"/>
              <w:right w:val="single" w:sz="4" w:space="0" w:color="auto"/>
            </w:tcBorders>
            <w:vAlign w:val="center"/>
          </w:tcPr>
          <w:p w:rsidR="008F254A" w:rsidRPr="00301508" w:rsidRDefault="008F254A" w:rsidP="008F254A">
            <w:pPr>
              <w:spacing w:line="240" w:lineRule="auto"/>
              <w:jc w:val="right"/>
              <w:rPr>
                <w:rFonts w:cs="Arial"/>
                <w:sz w:val="20"/>
              </w:rPr>
            </w:pPr>
            <w:r w:rsidRPr="00301508">
              <w:rPr>
                <w:rFonts w:cs="Arial"/>
                <w:sz w:val="20"/>
              </w:rPr>
              <w:t>16,1</w:t>
            </w:r>
          </w:p>
        </w:tc>
      </w:tr>
      <w:tr w:rsidR="008F254A" w:rsidRPr="00621AED" w:rsidTr="008F254A">
        <w:trPr>
          <w:trHeight w:val="280"/>
          <w:jc w:val="center"/>
        </w:trPr>
        <w:tc>
          <w:tcPr>
            <w:tcW w:w="43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54A" w:rsidRPr="008F254A" w:rsidRDefault="008F254A" w:rsidP="008F254A">
            <w:pPr>
              <w:spacing w:line="240" w:lineRule="auto"/>
              <w:jc w:val="left"/>
              <w:rPr>
                <w:rFonts w:cs="Arial"/>
                <w:color w:val="000000"/>
                <w:sz w:val="20"/>
              </w:rPr>
            </w:pPr>
            <w:r w:rsidRPr="008F254A">
              <w:rPr>
                <w:rFonts w:cs="Arial"/>
                <w:color w:val="000000"/>
                <w:sz w:val="20"/>
              </w:rPr>
              <w:t>Floresta Estacional Inicial Dossel Eucalipto</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rsidR="008F254A" w:rsidRPr="00301508" w:rsidRDefault="008F254A" w:rsidP="008F254A">
            <w:pPr>
              <w:spacing w:line="240" w:lineRule="auto"/>
              <w:jc w:val="right"/>
              <w:rPr>
                <w:rFonts w:cs="Arial"/>
                <w:sz w:val="20"/>
              </w:rPr>
            </w:pPr>
            <w:r w:rsidRPr="00301508">
              <w:rPr>
                <w:rFonts w:cs="Arial"/>
                <w:sz w:val="20"/>
              </w:rPr>
              <w:t>31,1</w:t>
            </w:r>
          </w:p>
        </w:tc>
        <w:tc>
          <w:tcPr>
            <w:tcW w:w="1626" w:type="dxa"/>
            <w:tcBorders>
              <w:top w:val="single" w:sz="4" w:space="0" w:color="auto"/>
              <w:left w:val="nil"/>
              <w:bottom w:val="single" w:sz="4" w:space="0" w:color="auto"/>
              <w:right w:val="single" w:sz="4" w:space="0" w:color="auto"/>
            </w:tcBorders>
            <w:vAlign w:val="center"/>
          </w:tcPr>
          <w:p w:rsidR="008F254A" w:rsidRPr="00301508" w:rsidRDefault="008F254A" w:rsidP="008F254A">
            <w:pPr>
              <w:spacing w:line="240" w:lineRule="auto"/>
              <w:jc w:val="right"/>
              <w:rPr>
                <w:rFonts w:cs="Arial"/>
                <w:sz w:val="20"/>
              </w:rPr>
            </w:pPr>
            <w:r w:rsidRPr="00301508">
              <w:rPr>
                <w:rFonts w:cs="Arial"/>
                <w:sz w:val="20"/>
              </w:rPr>
              <w:t>15,3</w:t>
            </w:r>
          </w:p>
        </w:tc>
      </w:tr>
      <w:tr w:rsidR="008F254A" w:rsidRPr="00621AED" w:rsidTr="008F254A">
        <w:trPr>
          <w:trHeight w:val="280"/>
          <w:jc w:val="center"/>
        </w:trPr>
        <w:tc>
          <w:tcPr>
            <w:tcW w:w="43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54A" w:rsidRPr="008F254A" w:rsidRDefault="008F254A" w:rsidP="008F254A">
            <w:pPr>
              <w:spacing w:line="240" w:lineRule="auto"/>
              <w:jc w:val="left"/>
              <w:rPr>
                <w:rFonts w:cs="Arial"/>
                <w:color w:val="000000"/>
                <w:sz w:val="20"/>
              </w:rPr>
            </w:pPr>
            <w:r w:rsidRPr="008F254A">
              <w:rPr>
                <w:rFonts w:cs="Arial"/>
                <w:color w:val="000000"/>
                <w:sz w:val="20"/>
              </w:rPr>
              <w:t>Vegetação Pioneira</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rsidR="008F254A" w:rsidRPr="00301508" w:rsidRDefault="008F254A" w:rsidP="008F254A">
            <w:pPr>
              <w:spacing w:line="240" w:lineRule="auto"/>
              <w:jc w:val="right"/>
              <w:rPr>
                <w:rFonts w:cs="Arial"/>
                <w:sz w:val="20"/>
              </w:rPr>
            </w:pPr>
            <w:r w:rsidRPr="00301508">
              <w:rPr>
                <w:rFonts w:cs="Arial"/>
                <w:sz w:val="20"/>
              </w:rPr>
              <w:t>15,5</w:t>
            </w:r>
          </w:p>
        </w:tc>
        <w:tc>
          <w:tcPr>
            <w:tcW w:w="1626" w:type="dxa"/>
            <w:tcBorders>
              <w:top w:val="single" w:sz="4" w:space="0" w:color="auto"/>
              <w:left w:val="nil"/>
              <w:bottom w:val="single" w:sz="4" w:space="0" w:color="auto"/>
              <w:right w:val="single" w:sz="4" w:space="0" w:color="auto"/>
            </w:tcBorders>
            <w:vAlign w:val="center"/>
          </w:tcPr>
          <w:p w:rsidR="008F254A" w:rsidRPr="00301508" w:rsidRDefault="008F254A" w:rsidP="008F254A">
            <w:pPr>
              <w:spacing w:line="240" w:lineRule="auto"/>
              <w:jc w:val="right"/>
              <w:rPr>
                <w:rFonts w:cs="Arial"/>
                <w:sz w:val="20"/>
              </w:rPr>
            </w:pPr>
            <w:r w:rsidRPr="00301508">
              <w:rPr>
                <w:rFonts w:cs="Arial"/>
                <w:sz w:val="20"/>
              </w:rPr>
              <w:t>7,6</w:t>
            </w:r>
          </w:p>
        </w:tc>
      </w:tr>
      <w:tr w:rsidR="008F254A" w:rsidRPr="00621AED" w:rsidTr="008F254A">
        <w:trPr>
          <w:trHeight w:val="280"/>
          <w:jc w:val="center"/>
        </w:trPr>
        <w:tc>
          <w:tcPr>
            <w:tcW w:w="43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8F254A" w:rsidRPr="008F254A" w:rsidRDefault="008F254A" w:rsidP="008F254A">
            <w:pPr>
              <w:spacing w:line="240" w:lineRule="auto"/>
              <w:jc w:val="left"/>
              <w:rPr>
                <w:rFonts w:cs="Arial"/>
                <w:color w:val="000000"/>
                <w:sz w:val="20"/>
              </w:rPr>
            </w:pPr>
            <w:r w:rsidRPr="008F254A">
              <w:rPr>
                <w:rFonts w:cs="Arial"/>
                <w:color w:val="000000"/>
                <w:sz w:val="20"/>
              </w:rPr>
              <w:t>Campo úmido antropizado</w:t>
            </w:r>
          </w:p>
        </w:tc>
        <w:tc>
          <w:tcPr>
            <w:tcW w:w="1268" w:type="dxa"/>
            <w:tcBorders>
              <w:top w:val="single" w:sz="4" w:space="0" w:color="auto"/>
              <w:left w:val="nil"/>
              <w:bottom w:val="single" w:sz="4" w:space="0" w:color="auto"/>
              <w:right w:val="single" w:sz="4" w:space="0" w:color="auto"/>
            </w:tcBorders>
            <w:shd w:val="clear" w:color="auto" w:fill="auto"/>
            <w:noWrap/>
            <w:vAlign w:val="center"/>
          </w:tcPr>
          <w:p w:rsidR="008F254A" w:rsidRPr="00301508" w:rsidRDefault="008F254A" w:rsidP="008F254A">
            <w:pPr>
              <w:spacing w:line="240" w:lineRule="auto"/>
              <w:jc w:val="right"/>
              <w:rPr>
                <w:rFonts w:cs="Arial"/>
                <w:sz w:val="20"/>
              </w:rPr>
            </w:pPr>
            <w:r w:rsidRPr="00301508">
              <w:rPr>
                <w:rFonts w:cs="Arial"/>
                <w:sz w:val="20"/>
              </w:rPr>
              <w:t>0,6</w:t>
            </w:r>
          </w:p>
        </w:tc>
        <w:tc>
          <w:tcPr>
            <w:tcW w:w="1626" w:type="dxa"/>
            <w:tcBorders>
              <w:top w:val="single" w:sz="4" w:space="0" w:color="auto"/>
              <w:left w:val="nil"/>
              <w:bottom w:val="single" w:sz="4" w:space="0" w:color="auto"/>
              <w:right w:val="single" w:sz="4" w:space="0" w:color="auto"/>
            </w:tcBorders>
            <w:vAlign w:val="center"/>
          </w:tcPr>
          <w:p w:rsidR="008F254A" w:rsidRPr="00301508" w:rsidRDefault="008F254A" w:rsidP="008F254A">
            <w:pPr>
              <w:spacing w:line="240" w:lineRule="auto"/>
              <w:jc w:val="right"/>
              <w:rPr>
                <w:rFonts w:cs="Arial"/>
                <w:sz w:val="20"/>
              </w:rPr>
            </w:pPr>
            <w:r w:rsidRPr="00301508">
              <w:rPr>
                <w:rFonts w:cs="Arial"/>
                <w:sz w:val="20"/>
              </w:rPr>
              <w:t>0,3</w:t>
            </w:r>
          </w:p>
        </w:tc>
      </w:tr>
      <w:tr w:rsidR="008F254A" w:rsidRPr="00621AED" w:rsidTr="008F254A">
        <w:trPr>
          <w:trHeight w:val="280"/>
          <w:jc w:val="center"/>
        </w:trPr>
        <w:tc>
          <w:tcPr>
            <w:tcW w:w="43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54A" w:rsidRPr="008F254A" w:rsidRDefault="008F254A" w:rsidP="008F254A">
            <w:pPr>
              <w:spacing w:line="240" w:lineRule="auto"/>
              <w:jc w:val="left"/>
              <w:rPr>
                <w:rFonts w:cs="Arial"/>
                <w:color w:val="000000"/>
                <w:sz w:val="20"/>
              </w:rPr>
            </w:pPr>
            <w:r w:rsidRPr="008F254A">
              <w:rPr>
                <w:rFonts w:cs="Arial"/>
                <w:color w:val="000000"/>
                <w:sz w:val="20"/>
              </w:rPr>
              <w:t>Pasto\Pasto Sujo</w:t>
            </w:r>
          </w:p>
        </w:tc>
        <w:tc>
          <w:tcPr>
            <w:tcW w:w="1268" w:type="dxa"/>
            <w:tcBorders>
              <w:top w:val="single" w:sz="4" w:space="0" w:color="auto"/>
              <w:left w:val="nil"/>
              <w:bottom w:val="single" w:sz="4" w:space="0" w:color="auto"/>
              <w:right w:val="single" w:sz="4" w:space="0" w:color="auto"/>
            </w:tcBorders>
            <w:shd w:val="clear" w:color="auto" w:fill="auto"/>
            <w:vAlign w:val="center"/>
            <w:hideMark/>
          </w:tcPr>
          <w:p w:rsidR="008F254A" w:rsidRPr="00301508" w:rsidRDefault="008F254A" w:rsidP="008F254A">
            <w:pPr>
              <w:spacing w:line="240" w:lineRule="auto"/>
              <w:jc w:val="right"/>
              <w:rPr>
                <w:rFonts w:cs="Arial"/>
                <w:sz w:val="20"/>
              </w:rPr>
            </w:pPr>
            <w:r w:rsidRPr="00301508">
              <w:rPr>
                <w:rFonts w:cs="Arial"/>
                <w:sz w:val="20"/>
              </w:rPr>
              <w:t>80,7</w:t>
            </w:r>
          </w:p>
        </w:tc>
        <w:tc>
          <w:tcPr>
            <w:tcW w:w="1626" w:type="dxa"/>
            <w:tcBorders>
              <w:top w:val="single" w:sz="4" w:space="0" w:color="auto"/>
              <w:left w:val="nil"/>
              <w:bottom w:val="single" w:sz="4" w:space="0" w:color="auto"/>
              <w:right w:val="single" w:sz="4" w:space="0" w:color="auto"/>
            </w:tcBorders>
            <w:vAlign w:val="center"/>
          </w:tcPr>
          <w:p w:rsidR="008F254A" w:rsidRPr="00301508" w:rsidRDefault="008F254A" w:rsidP="008F254A">
            <w:pPr>
              <w:spacing w:line="240" w:lineRule="auto"/>
              <w:jc w:val="right"/>
              <w:rPr>
                <w:rFonts w:cs="Arial"/>
                <w:sz w:val="20"/>
              </w:rPr>
            </w:pPr>
            <w:r w:rsidRPr="00301508">
              <w:rPr>
                <w:rFonts w:cs="Arial"/>
                <w:sz w:val="20"/>
              </w:rPr>
              <w:t>39,7</w:t>
            </w:r>
          </w:p>
        </w:tc>
      </w:tr>
      <w:tr w:rsidR="008F254A" w:rsidRPr="00621AED" w:rsidTr="008F254A">
        <w:trPr>
          <w:trHeight w:val="280"/>
          <w:jc w:val="center"/>
        </w:trPr>
        <w:tc>
          <w:tcPr>
            <w:tcW w:w="43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54A" w:rsidRPr="008F254A" w:rsidRDefault="008F254A" w:rsidP="008F254A">
            <w:pPr>
              <w:spacing w:line="240" w:lineRule="auto"/>
              <w:jc w:val="left"/>
              <w:rPr>
                <w:rFonts w:cs="Arial"/>
                <w:color w:val="000000"/>
                <w:sz w:val="20"/>
              </w:rPr>
            </w:pPr>
            <w:r w:rsidRPr="008F254A">
              <w:rPr>
                <w:rFonts w:cs="Arial"/>
                <w:color w:val="000000"/>
                <w:sz w:val="20"/>
              </w:rPr>
              <w:t>Cultivo</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rsidR="008F254A" w:rsidRPr="00301508" w:rsidRDefault="008F254A" w:rsidP="008F254A">
            <w:pPr>
              <w:spacing w:line="240" w:lineRule="auto"/>
              <w:jc w:val="right"/>
              <w:rPr>
                <w:rFonts w:cs="Arial"/>
                <w:sz w:val="20"/>
              </w:rPr>
            </w:pPr>
            <w:r w:rsidRPr="00301508">
              <w:rPr>
                <w:rFonts w:cs="Arial"/>
                <w:sz w:val="20"/>
              </w:rPr>
              <w:t>0,1</w:t>
            </w:r>
          </w:p>
        </w:tc>
        <w:tc>
          <w:tcPr>
            <w:tcW w:w="1626" w:type="dxa"/>
            <w:tcBorders>
              <w:top w:val="single" w:sz="4" w:space="0" w:color="auto"/>
              <w:left w:val="nil"/>
              <w:bottom w:val="single" w:sz="4" w:space="0" w:color="auto"/>
              <w:right w:val="single" w:sz="4" w:space="0" w:color="auto"/>
            </w:tcBorders>
            <w:vAlign w:val="center"/>
          </w:tcPr>
          <w:p w:rsidR="008F254A" w:rsidRPr="00301508" w:rsidRDefault="008F254A" w:rsidP="008F254A">
            <w:pPr>
              <w:spacing w:line="240" w:lineRule="auto"/>
              <w:jc w:val="right"/>
              <w:rPr>
                <w:rFonts w:cs="Arial"/>
                <w:sz w:val="20"/>
              </w:rPr>
            </w:pPr>
            <w:r w:rsidRPr="00301508">
              <w:rPr>
                <w:rFonts w:cs="Arial"/>
                <w:sz w:val="20"/>
              </w:rPr>
              <w:t>0,1</w:t>
            </w:r>
          </w:p>
        </w:tc>
      </w:tr>
      <w:tr w:rsidR="008F254A" w:rsidRPr="00621AED" w:rsidTr="008F254A">
        <w:trPr>
          <w:trHeight w:val="280"/>
          <w:jc w:val="center"/>
        </w:trPr>
        <w:tc>
          <w:tcPr>
            <w:tcW w:w="43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54A" w:rsidRPr="008F254A" w:rsidRDefault="008F254A" w:rsidP="008F254A">
            <w:pPr>
              <w:spacing w:line="240" w:lineRule="auto"/>
              <w:jc w:val="left"/>
              <w:rPr>
                <w:rFonts w:cs="Arial"/>
                <w:color w:val="000000"/>
                <w:sz w:val="20"/>
              </w:rPr>
            </w:pPr>
            <w:r w:rsidRPr="008F254A">
              <w:rPr>
                <w:rFonts w:cs="Arial"/>
                <w:color w:val="000000"/>
                <w:sz w:val="20"/>
              </w:rPr>
              <w:t>Silvicultura</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rsidR="008F254A" w:rsidRPr="00301508" w:rsidRDefault="008F254A" w:rsidP="008F254A">
            <w:pPr>
              <w:spacing w:line="240" w:lineRule="auto"/>
              <w:jc w:val="right"/>
              <w:rPr>
                <w:rFonts w:cs="Arial"/>
                <w:sz w:val="20"/>
              </w:rPr>
            </w:pPr>
            <w:r w:rsidRPr="00301508">
              <w:rPr>
                <w:rFonts w:cs="Arial"/>
                <w:sz w:val="20"/>
              </w:rPr>
              <w:t>13,3</w:t>
            </w:r>
          </w:p>
        </w:tc>
        <w:tc>
          <w:tcPr>
            <w:tcW w:w="1626" w:type="dxa"/>
            <w:tcBorders>
              <w:top w:val="single" w:sz="4" w:space="0" w:color="auto"/>
              <w:left w:val="nil"/>
              <w:bottom w:val="single" w:sz="4" w:space="0" w:color="auto"/>
              <w:right w:val="single" w:sz="4" w:space="0" w:color="auto"/>
            </w:tcBorders>
            <w:vAlign w:val="center"/>
          </w:tcPr>
          <w:p w:rsidR="008F254A" w:rsidRPr="00301508" w:rsidRDefault="008F254A" w:rsidP="008F254A">
            <w:pPr>
              <w:spacing w:line="240" w:lineRule="auto"/>
              <w:jc w:val="right"/>
              <w:rPr>
                <w:rFonts w:cs="Arial"/>
                <w:sz w:val="20"/>
              </w:rPr>
            </w:pPr>
            <w:r w:rsidRPr="00301508">
              <w:rPr>
                <w:rFonts w:cs="Arial"/>
                <w:sz w:val="20"/>
              </w:rPr>
              <w:t>6,5</w:t>
            </w:r>
          </w:p>
        </w:tc>
      </w:tr>
      <w:tr w:rsidR="008F254A" w:rsidRPr="00621AED" w:rsidTr="008F254A">
        <w:trPr>
          <w:trHeight w:val="280"/>
          <w:jc w:val="center"/>
        </w:trPr>
        <w:tc>
          <w:tcPr>
            <w:tcW w:w="43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8F254A" w:rsidRPr="008F254A" w:rsidRDefault="008F254A" w:rsidP="008F254A">
            <w:pPr>
              <w:spacing w:line="240" w:lineRule="auto"/>
              <w:jc w:val="left"/>
              <w:rPr>
                <w:rFonts w:cs="Arial"/>
                <w:b/>
                <w:sz w:val="20"/>
              </w:rPr>
            </w:pPr>
            <w:r w:rsidRPr="008F254A">
              <w:rPr>
                <w:rFonts w:cs="Arial"/>
                <w:b/>
                <w:sz w:val="20"/>
              </w:rPr>
              <w:t>Total</w:t>
            </w:r>
          </w:p>
        </w:tc>
        <w:tc>
          <w:tcPr>
            <w:tcW w:w="1268" w:type="dxa"/>
            <w:tcBorders>
              <w:top w:val="single" w:sz="4" w:space="0" w:color="auto"/>
              <w:left w:val="nil"/>
              <w:bottom w:val="single" w:sz="4" w:space="0" w:color="auto"/>
              <w:right w:val="single" w:sz="4" w:space="0" w:color="auto"/>
            </w:tcBorders>
            <w:shd w:val="clear" w:color="auto" w:fill="auto"/>
            <w:noWrap/>
            <w:vAlign w:val="center"/>
          </w:tcPr>
          <w:p w:rsidR="008F254A" w:rsidRPr="00301508" w:rsidRDefault="008F254A" w:rsidP="008F254A">
            <w:pPr>
              <w:spacing w:line="240" w:lineRule="auto"/>
              <w:jc w:val="right"/>
              <w:rPr>
                <w:rFonts w:cs="Arial"/>
                <w:b/>
                <w:sz w:val="20"/>
                <w:highlight w:val="yellow"/>
              </w:rPr>
            </w:pPr>
            <w:r w:rsidRPr="00301508">
              <w:rPr>
                <w:rFonts w:cs="Arial"/>
                <w:b/>
                <w:sz w:val="20"/>
              </w:rPr>
              <w:t>203,2</w:t>
            </w:r>
          </w:p>
        </w:tc>
        <w:tc>
          <w:tcPr>
            <w:tcW w:w="1626" w:type="dxa"/>
            <w:tcBorders>
              <w:top w:val="single" w:sz="4" w:space="0" w:color="auto"/>
              <w:left w:val="nil"/>
              <w:bottom w:val="single" w:sz="4" w:space="0" w:color="auto"/>
              <w:right w:val="single" w:sz="4" w:space="0" w:color="auto"/>
            </w:tcBorders>
            <w:vAlign w:val="center"/>
          </w:tcPr>
          <w:p w:rsidR="008F254A" w:rsidRPr="00301508" w:rsidRDefault="008F254A" w:rsidP="008F254A">
            <w:pPr>
              <w:spacing w:line="240" w:lineRule="auto"/>
              <w:jc w:val="right"/>
              <w:rPr>
                <w:rFonts w:cs="Arial"/>
                <w:b/>
                <w:sz w:val="20"/>
                <w:highlight w:val="yellow"/>
              </w:rPr>
            </w:pPr>
            <w:r w:rsidRPr="00301508">
              <w:rPr>
                <w:rFonts w:cs="Arial"/>
                <w:b/>
                <w:sz w:val="20"/>
              </w:rPr>
              <w:t>100</w:t>
            </w:r>
          </w:p>
        </w:tc>
      </w:tr>
    </w:tbl>
    <w:p w:rsidR="00350900" w:rsidRPr="00350900" w:rsidRDefault="00350900" w:rsidP="00350900">
      <w:pPr>
        <w:widowControl w:val="0"/>
        <w:autoSpaceDE w:val="0"/>
        <w:autoSpaceDN w:val="0"/>
        <w:adjustRightInd w:val="0"/>
        <w:spacing w:after="120" w:line="240" w:lineRule="auto"/>
        <w:jc w:val="center"/>
        <w:rPr>
          <w:sz w:val="20"/>
        </w:rPr>
      </w:pPr>
      <w:r w:rsidRPr="00350900">
        <w:rPr>
          <w:sz w:val="20"/>
        </w:rPr>
        <w:t>(*) Área a ser ocupada pelo reservatório e pelas obras de jusante, junto ao eixo.</w:t>
      </w:r>
    </w:p>
    <w:p w:rsidR="00827D70" w:rsidRPr="006F141D" w:rsidRDefault="00827D70" w:rsidP="00827D70">
      <w:pPr>
        <w:widowControl w:val="0"/>
        <w:autoSpaceDE w:val="0"/>
        <w:autoSpaceDN w:val="0"/>
        <w:adjustRightInd w:val="0"/>
        <w:spacing w:before="120" w:after="120" w:line="240" w:lineRule="auto"/>
        <w:rPr>
          <w:rFonts w:eastAsia="Calibri" w:cs="Arial"/>
          <w:b/>
          <w:szCs w:val="22"/>
          <w:lang w:eastAsia="en-US"/>
        </w:rPr>
      </w:pPr>
      <w:r>
        <w:t xml:space="preserve">No caso da Barragem Duas Pontes, a implantação e operação não afetará somente formações em estágio inicial, </w:t>
      </w:r>
      <w:r w:rsidRPr="00301508">
        <w:t xml:space="preserve">como também em estágio médio e avançado do processo de sucessão secundária, totalizando </w:t>
      </w:r>
      <w:r w:rsidRPr="00301508">
        <w:rPr>
          <w:b/>
        </w:rPr>
        <w:t>93,4</w:t>
      </w:r>
      <w:r w:rsidRPr="00301508">
        <w:t xml:space="preserve"> ha dos quais </w:t>
      </w:r>
      <w:r w:rsidRPr="00301508">
        <w:rPr>
          <w:b/>
        </w:rPr>
        <w:t>87,5</w:t>
      </w:r>
      <w:r w:rsidRPr="00301508">
        <w:t xml:space="preserve"> ha pela formação do reservatório e </w:t>
      </w:r>
      <w:r w:rsidRPr="00301508">
        <w:rPr>
          <w:b/>
        </w:rPr>
        <w:t>5,9</w:t>
      </w:r>
      <w:r w:rsidRPr="00301508">
        <w:t xml:space="preserve"> ha pela supressão necessária a construção das barragens e áreas de apoio e acessos à obra. Deste total, </w:t>
      </w:r>
      <w:r w:rsidRPr="00301508">
        <w:rPr>
          <w:b/>
        </w:rPr>
        <w:t>29,5</w:t>
      </w:r>
      <w:r w:rsidRPr="00301508">
        <w:t xml:space="preserve"> ha representam de formações de Floresta Estacional em estágio inicial de regeneração terão que ser suprimidos, dos quais 13,4 ha representam formações ribeirinhas. Um total de </w:t>
      </w:r>
      <w:r w:rsidRPr="00301508">
        <w:rPr>
          <w:b/>
        </w:rPr>
        <w:t>54,4</w:t>
      </w:r>
      <w:r w:rsidRPr="00301508">
        <w:t xml:space="preserve"> ha de formações em estágio médio também será perdido com a Barragem Duas Pontes. Deste total, 14,4 ha</w:t>
      </w:r>
      <w:r>
        <w:t xml:space="preserve"> são de formações ribeirinhas. Por fim, 9,5 ha de formações nativas em estágio avançado do processo de </w:t>
      </w:r>
      <w:r w:rsidRPr="006F141D">
        <w:t>sucessão secundária serão perdidos com a formação do lago associado à Barragem Duas Pontes (Quadro 1.3.</w:t>
      </w:r>
      <w:r w:rsidR="00B11E51" w:rsidRPr="006F141D">
        <w:t>40</w:t>
      </w:r>
      <w:r w:rsidRPr="006F141D">
        <w:t>).</w:t>
      </w:r>
    </w:p>
    <w:p w:rsidR="00827D70" w:rsidRPr="006F141D" w:rsidRDefault="008D3A12" w:rsidP="006F141D">
      <w:pPr>
        <w:pStyle w:val="Legenda"/>
        <w:spacing w:before="0" w:after="0" w:line="240" w:lineRule="auto"/>
        <w:jc w:val="center"/>
        <w:rPr>
          <w:b w:val="0"/>
          <w:i w:val="0"/>
        </w:rPr>
      </w:pPr>
      <w:bookmarkStart w:id="269" w:name="_Toc420316484"/>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41</w:t>
      </w:r>
      <w:r w:rsidR="00B80A05" w:rsidRPr="006F141D">
        <w:rPr>
          <w:i w:val="0"/>
        </w:rPr>
        <w:fldChar w:fldCharType="end"/>
      </w:r>
      <w:r w:rsidR="006F141D" w:rsidRPr="006F141D">
        <w:rPr>
          <w:i w:val="0"/>
        </w:rPr>
        <w:t>.</w:t>
      </w:r>
      <w:r w:rsidR="006F141D" w:rsidRPr="006F141D">
        <w:rPr>
          <w:b w:val="0"/>
          <w:i w:val="0"/>
        </w:rPr>
        <w:t xml:space="preserve"> - </w:t>
      </w:r>
      <w:r w:rsidR="008F254A" w:rsidRPr="006F141D">
        <w:rPr>
          <w:b w:val="0"/>
          <w:i w:val="0"/>
        </w:rPr>
        <w:t>Áreas das diferentes fitofisionomias a serem suprimidas</w:t>
      </w:r>
      <w:bookmarkEnd w:id="269"/>
      <w:r w:rsidR="008F254A" w:rsidRPr="006F141D">
        <w:rPr>
          <w:b w:val="0"/>
          <w:i w:val="0"/>
        </w:rPr>
        <w:t xml:space="preserve"> </w:t>
      </w:r>
    </w:p>
    <w:p w:rsidR="00F665CF" w:rsidRDefault="008F254A" w:rsidP="006F141D">
      <w:pPr>
        <w:widowControl w:val="0"/>
        <w:autoSpaceDE w:val="0"/>
        <w:autoSpaceDN w:val="0"/>
        <w:adjustRightInd w:val="0"/>
        <w:spacing w:line="240" w:lineRule="auto"/>
        <w:jc w:val="center"/>
      </w:pPr>
      <w:r w:rsidRPr="006F141D">
        <w:t>na Barragem Duas Pontes</w:t>
      </w:r>
      <w:r w:rsidR="00350900" w:rsidRPr="006F141D">
        <w:t xml:space="preserve"> </w:t>
      </w:r>
    </w:p>
    <w:p w:rsidR="006F141D" w:rsidRPr="006F141D" w:rsidRDefault="006F141D" w:rsidP="006F141D">
      <w:pPr>
        <w:widowControl w:val="0"/>
        <w:autoSpaceDE w:val="0"/>
        <w:autoSpaceDN w:val="0"/>
        <w:adjustRightInd w:val="0"/>
        <w:spacing w:line="240" w:lineRule="auto"/>
        <w:jc w:val="center"/>
        <w:rPr>
          <w:rFonts w:eastAsia="Calibri" w:cs="Arial"/>
          <w:szCs w:val="22"/>
          <w:lang w:eastAsia="en-US"/>
        </w:rPr>
      </w:pPr>
    </w:p>
    <w:tbl>
      <w:tblPr>
        <w:tblW w:w="7294" w:type="dxa"/>
        <w:jc w:val="center"/>
        <w:tblInd w:w="-793" w:type="dxa"/>
        <w:tblLook w:val="04A0" w:firstRow="1" w:lastRow="0" w:firstColumn="1" w:lastColumn="0" w:noHBand="0" w:noVBand="1"/>
      </w:tblPr>
      <w:tblGrid>
        <w:gridCol w:w="4378"/>
        <w:gridCol w:w="1402"/>
        <w:gridCol w:w="1514"/>
      </w:tblGrid>
      <w:tr w:rsidR="00F665CF" w:rsidRPr="00AA0111" w:rsidTr="00301508">
        <w:trPr>
          <w:trHeight w:val="280"/>
          <w:tblHeader/>
          <w:jc w:val="center"/>
        </w:trPr>
        <w:tc>
          <w:tcPr>
            <w:tcW w:w="4378"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rsidR="00F665CF" w:rsidRPr="00301508" w:rsidRDefault="00F665CF" w:rsidP="001A063B">
            <w:pPr>
              <w:spacing w:line="240" w:lineRule="auto"/>
              <w:jc w:val="center"/>
              <w:rPr>
                <w:rFonts w:ascii="Calibri" w:hAnsi="Calibri"/>
                <w:b/>
                <w:bCs/>
                <w:color w:val="000000"/>
                <w:szCs w:val="22"/>
              </w:rPr>
            </w:pPr>
            <w:r w:rsidRPr="00301508">
              <w:rPr>
                <w:rFonts w:ascii="Calibri" w:hAnsi="Calibri"/>
                <w:b/>
                <w:bCs/>
                <w:color w:val="000000"/>
                <w:szCs w:val="22"/>
              </w:rPr>
              <w:t>Fitofisionomias e Outros Usos</w:t>
            </w:r>
          </w:p>
        </w:tc>
        <w:tc>
          <w:tcPr>
            <w:tcW w:w="1402" w:type="dxa"/>
            <w:tcBorders>
              <w:top w:val="single" w:sz="4" w:space="0" w:color="auto"/>
              <w:left w:val="nil"/>
              <w:bottom w:val="single" w:sz="4" w:space="0" w:color="auto"/>
              <w:right w:val="single" w:sz="4" w:space="0" w:color="auto"/>
            </w:tcBorders>
            <w:shd w:val="clear" w:color="auto" w:fill="D9D9D9"/>
            <w:noWrap/>
            <w:vAlign w:val="center"/>
            <w:hideMark/>
          </w:tcPr>
          <w:p w:rsidR="00350900" w:rsidRDefault="00F665CF" w:rsidP="00350900">
            <w:pPr>
              <w:spacing w:line="240" w:lineRule="auto"/>
              <w:jc w:val="center"/>
              <w:rPr>
                <w:rFonts w:ascii="Calibri" w:hAnsi="Calibri"/>
                <w:b/>
                <w:bCs/>
                <w:color w:val="000000"/>
                <w:szCs w:val="22"/>
              </w:rPr>
            </w:pPr>
            <w:r w:rsidRPr="00301508">
              <w:rPr>
                <w:rFonts w:ascii="Calibri" w:hAnsi="Calibri"/>
                <w:b/>
                <w:bCs/>
                <w:color w:val="000000"/>
                <w:szCs w:val="22"/>
              </w:rPr>
              <w:t>Área</w:t>
            </w:r>
            <w:r w:rsidR="00350900">
              <w:rPr>
                <w:rFonts w:ascii="Calibri" w:hAnsi="Calibri"/>
                <w:b/>
                <w:bCs/>
                <w:color w:val="000000"/>
                <w:szCs w:val="22"/>
              </w:rPr>
              <w:t xml:space="preserve"> </w:t>
            </w:r>
            <w:r w:rsidR="00350900">
              <w:t>(*)</w:t>
            </w:r>
          </w:p>
          <w:p w:rsidR="00F665CF" w:rsidRPr="00301508" w:rsidRDefault="00F665CF" w:rsidP="00350900">
            <w:pPr>
              <w:spacing w:line="240" w:lineRule="auto"/>
              <w:jc w:val="center"/>
              <w:rPr>
                <w:rFonts w:ascii="Calibri" w:hAnsi="Calibri"/>
                <w:b/>
                <w:bCs/>
                <w:color w:val="000000"/>
                <w:szCs w:val="22"/>
              </w:rPr>
            </w:pPr>
            <w:r w:rsidRPr="00301508">
              <w:rPr>
                <w:rFonts w:ascii="Calibri" w:hAnsi="Calibri"/>
                <w:b/>
                <w:bCs/>
                <w:color w:val="000000"/>
                <w:szCs w:val="22"/>
              </w:rPr>
              <w:t>(ha)</w:t>
            </w:r>
            <w:r w:rsidR="00350900">
              <w:t xml:space="preserve"> </w:t>
            </w:r>
          </w:p>
        </w:tc>
        <w:tc>
          <w:tcPr>
            <w:tcW w:w="1514" w:type="dxa"/>
            <w:tcBorders>
              <w:top w:val="single" w:sz="4" w:space="0" w:color="auto"/>
              <w:left w:val="nil"/>
              <w:bottom w:val="single" w:sz="4" w:space="0" w:color="auto"/>
              <w:right w:val="single" w:sz="4" w:space="0" w:color="auto"/>
            </w:tcBorders>
            <w:shd w:val="clear" w:color="auto" w:fill="D9D9D9"/>
          </w:tcPr>
          <w:p w:rsidR="00F665CF" w:rsidRPr="00301508" w:rsidRDefault="00F665CF" w:rsidP="001A063B">
            <w:pPr>
              <w:spacing w:line="240" w:lineRule="auto"/>
              <w:jc w:val="center"/>
              <w:rPr>
                <w:rFonts w:ascii="Calibri" w:hAnsi="Calibri"/>
                <w:b/>
                <w:bCs/>
                <w:color w:val="000000"/>
                <w:szCs w:val="22"/>
              </w:rPr>
            </w:pPr>
            <w:r w:rsidRPr="00301508">
              <w:rPr>
                <w:rFonts w:ascii="Calibri" w:hAnsi="Calibri"/>
                <w:b/>
                <w:bCs/>
                <w:color w:val="000000"/>
                <w:szCs w:val="22"/>
              </w:rPr>
              <w:t>Área Relativa (%)</w:t>
            </w:r>
          </w:p>
        </w:tc>
      </w:tr>
      <w:tr w:rsidR="008F254A" w:rsidRPr="00301508" w:rsidTr="0081497F">
        <w:trPr>
          <w:trHeight w:val="280"/>
          <w:jc w:val="center"/>
        </w:trPr>
        <w:tc>
          <w:tcPr>
            <w:tcW w:w="4378" w:type="dxa"/>
            <w:tcBorders>
              <w:top w:val="nil"/>
              <w:left w:val="single" w:sz="4" w:space="0" w:color="auto"/>
              <w:bottom w:val="single" w:sz="4" w:space="0" w:color="auto"/>
              <w:right w:val="single" w:sz="4" w:space="0" w:color="auto"/>
            </w:tcBorders>
            <w:shd w:val="clear" w:color="auto" w:fill="auto"/>
            <w:noWrap/>
            <w:vAlign w:val="bottom"/>
            <w:hideMark/>
          </w:tcPr>
          <w:p w:rsidR="008F254A" w:rsidRPr="00301508" w:rsidRDefault="008F254A" w:rsidP="001A063B">
            <w:pPr>
              <w:spacing w:line="240" w:lineRule="auto"/>
              <w:rPr>
                <w:rFonts w:cs="Arial"/>
                <w:sz w:val="20"/>
              </w:rPr>
            </w:pPr>
            <w:r w:rsidRPr="00301508">
              <w:rPr>
                <w:rFonts w:cs="Arial"/>
                <w:sz w:val="20"/>
              </w:rPr>
              <w:t>Floresta Estacional Avançado</w:t>
            </w:r>
          </w:p>
        </w:tc>
        <w:tc>
          <w:tcPr>
            <w:tcW w:w="1402" w:type="dxa"/>
            <w:tcBorders>
              <w:top w:val="nil"/>
              <w:left w:val="nil"/>
              <w:bottom w:val="single" w:sz="4" w:space="0" w:color="auto"/>
              <w:right w:val="single" w:sz="4" w:space="0" w:color="auto"/>
            </w:tcBorders>
            <w:shd w:val="clear" w:color="auto" w:fill="auto"/>
            <w:noWrap/>
            <w:vAlign w:val="bottom"/>
            <w:hideMark/>
          </w:tcPr>
          <w:p w:rsidR="008F254A" w:rsidRPr="00301508" w:rsidRDefault="008F254A" w:rsidP="008B5ABD">
            <w:pPr>
              <w:spacing w:line="240" w:lineRule="auto"/>
              <w:jc w:val="right"/>
              <w:rPr>
                <w:rFonts w:cs="Arial"/>
                <w:sz w:val="20"/>
              </w:rPr>
            </w:pPr>
            <w:r w:rsidRPr="00301508">
              <w:rPr>
                <w:rFonts w:cs="Arial"/>
                <w:sz w:val="20"/>
              </w:rPr>
              <w:t>9,5</w:t>
            </w:r>
          </w:p>
        </w:tc>
        <w:tc>
          <w:tcPr>
            <w:tcW w:w="1514" w:type="dxa"/>
            <w:tcBorders>
              <w:top w:val="nil"/>
              <w:left w:val="nil"/>
              <w:bottom w:val="single" w:sz="4" w:space="0" w:color="auto"/>
              <w:right w:val="single" w:sz="4" w:space="0" w:color="auto"/>
            </w:tcBorders>
            <w:vAlign w:val="bottom"/>
          </w:tcPr>
          <w:p w:rsidR="008F254A" w:rsidRPr="00301508" w:rsidRDefault="008F254A" w:rsidP="008B5ABD">
            <w:pPr>
              <w:spacing w:line="240" w:lineRule="auto"/>
              <w:jc w:val="right"/>
              <w:rPr>
                <w:rFonts w:cs="Arial"/>
                <w:sz w:val="20"/>
              </w:rPr>
            </w:pPr>
            <w:r w:rsidRPr="00301508">
              <w:rPr>
                <w:rFonts w:cs="Arial"/>
                <w:sz w:val="20"/>
              </w:rPr>
              <w:t>2,1</w:t>
            </w:r>
          </w:p>
        </w:tc>
      </w:tr>
      <w:tr w:rsidR="008F254A" w:rsidRPr="00301508" w:rsidTr="0081497F">
        <w:trPr>
          <w:trHeight w:val="280"/>
          <w:jc w:val="center"/>
        </w:trPr>
        <w:tc>
          <w:tcPr>
            <w:tcW w:w="4378" w:type="dxa"/>
            <w:tcBorders>
              <w:top w:val="nil"/>
              <w:left w:val="single" w:sz="4" w:space="0" w:color="auto"/>
              <w:bottom w:val="single" w:sz="4" w:space="0" w:color="auto"/>
              <w:right w:val="single" w:sz="4" w:space="0" w:color="auto"/>
            </w:tcBorders>
            <w:shd w:val="clear" w:color="auto" w:fill="auto"/>
            <w:noWrap/>
            <w:vAlign w:val="bottom"/>
            <w:hideMark/>
          </w:tcPr>
          <w:p w:rsidR="008F254A" w:rsidRPr="00301508" w:rsidRDefault="008F254A" w:rsidP="001A063B">
            <w:pPr>
              <w:spacing w:line="240" w:lineRule="auto"/>
              <w:rPr>
                <w:rFonts w:cs="Arial"/>
                <w:sz w:val="20"/>
              </w:rPr>
            </w:pPr>
            <w:r w:rsidRPr="00301508">
              <w:rPr>
                <w:rFonts w:cs="Arial"/>
                <w:sz w:val="20"/>
              </w:rPr>
              <w:t>Floresta Estacional Inicial</w:t>
            </w:r>
          </w:p>
        </w:tc>
        <w:tc>
          <w:tcPr>
            <w:tcW w:w="1402" w:type="dxa"/>
            <w:tcBorders>
              <w:top w:val="nil"/>
              <w:left w:val="nil"/>
              <w:bottom w:val="single" w:sz="4" w:space="0" w:color="auto"/>
              <w:right w:val="single" w:sz="4" w:space="0" w:color="auto"/>
            </w:tcBorders>
            <w:shd w:val="clear" w:color="auto" w:fill="auto"/>
            <w:noWrap/>
            <w:vAlign w:val="bottom"/>
            <w:hideMark/>
          </w:tcPr>
          <w:p w:rsidR="008F254A" w:rsidRPr="00301508" w:rsidRDefault="008F254A" w:rsidP="008B5ABD">
            <w:pPr>
              <w:spacing w:line="240" w:lineRule="auto"/>
              <w:jc w:val="right"/>
              <w:rPr>
                <w:rFonts w:cs="Arial"/>
                <w:sz w:val="20"/>
              </w:rPr>
            </w:pPr>
            <w:r w:rsidRPr="00301508">
              <w:rPr>
                <w:rFonts w:cs="Arial"/>
                <w:sz w:val="20"/>
              </w:rPr>
              <w:t>16,1</w:t>
            </w:r>
          </w:p>
        </w:tc>
        <w:tc>
          <w:tcPr>
            <w:tcW w:w="1514" w:type="dxa"/>
            <w:tcBorders>
              <w:top w:val="nil"/>
              <w:left w:val="nil"/>
              <w:bottom w:val="single" w:sz="4" w:space="0" w:color="auto"/>
              <w:right w:val="single" w:sz="4" w:space="0" w:color="auto"/>
            </w:tcBorders>
            <w:vAlign w:val="bottom"/>
          </w:tcPr>
          <w:p w:rsidR="008F254A" w:rsidRPr="00301508" w:rsidRDefault="008F254A" w:rsidP="008B5ABD">
            <w:pPr>
              <w:spacing w:line="240" w:lineRule="auto"/>
              <w:jc w:val="right"/>
              <w:rPr>
                <w:rFonts w:cs="Arial"/>
                <w:sz w:val="20"/>
              </w:rPr>
            </w:pPr>
            <w:r w:rsidRPr="00301508">
              <w:rPr>
                <w:rFonts w:cs="Arial"/>
                <w:sz w:val="20"/>
              </w:rPr>
              <w:t>3,5</w:t>
            </w:r>
          </w:p>
        </w:tc>
      </w:tr>
      <w:tr w:rsidR="008F254A" w:rsidRPr="00301508" w:rsidTr="0081497F">
        <w:trPr>
          <w:trHeight w:val="280"/>
          <w:jc w:val="center"/>
        </w:trPr>
        <w:tc>
          <w:tcPr>
            <w:tcW w:w="4378" w:type="dxa"/>
            <w:tcBorders>
              <w:top w:val="nil"/>
              <w:left w:val="single" w:sz="4" w:space="0" w:color="auto"/>
              <w:bottom w:val="single" w:sz="4" w:space="0" w:color="auto"/>
              <w:right w:val="single" w:sz="4" w:space="0" w:color="auto"/>
            </w:tcBorders>
            <w:shd w:val="clear" w:color="auto" w:fill="auto"/>
            <w:noWrap/>
            <w:vAlign w:val="bottom"/>
            <w:hideMark/>
          </w:tcPr>
          <w:p w:rsidR="008F254A" w:rsidRPr="00301508" w:rsidRDefault="008F254A" w:rsidP="001A063B">
            <w:pPr>
              <w:spacing w:line="240" w:lineRule="auto"/>
              <w:rPr>
                <w:rFonts w:cs="Arial"/>
                <w:sz w:val="20"/>
              </w:rPr>
            </w:pPr>
            <w:r w:rsidRPr="00301508">
              <w:rPr>
                <w:rFonts w:cs="Arial"/>
                <w:sz w:val="20"/>
              </w:rPr>
              <w:t xml:space="preserve">Floresta Estacional Inicial Ribeirinha </w:t>
            </w:r>
          </w:p>
        </w:tc>
        <w:tc>
          <w:tcPr>
            <w:tcW w:w="1402" w:type="dxa"/>
            <w:tcBorders>
              <w:top w:val="nil"/>
              <w:left w:val="nil"/>
              <w:bottom w:val="single" w:sz="4" w:space="0" w:color="auto"/>
              <w:right w:val="single" w:sz="4" w:space="0" w:color="auto"/>
            </w:tcBorders>
            <w:shd w:val="clear" w:color="auto" w:fill="auto"/>
            <w:noWrap/>
            <w:vAlign w:val="bottom"/>
            <w:hideMark/>
          </w:tcPr>
          <w:p w:rsidR="008F254A" w:rsidRPr="00301508" w:rsidRDefault="008F254A" w:rsidP="008B5ABD">
            <w:pPr>
              <w:spacing w:line="240" w:lineRule="auto"/>
              <w:jc w:val="right"/>
              <w:rPr>
                <w:rFonts w:cs="Arial"/>
                <w:sz w:val="20"/>
              </w:rPr>
            </w:pPr>
            <w:r w:rsidRPr="00301508">
              <w:rPr>
                <w:rFonts w:cs="Arial"/>
                <w:sz w:val="20"/>
              </w:rPr>
              <w:t>13,4</w:t>
            </w:r>
          </w:p>
        </w:tc>
        <w:tc>
          <w:tcPr>
            <w:tcW w:w="1514" w:type="dxa"/>
            <w:tcBorders>
              <w:top w:val="nil"/>
              <w:left w:val="nil"/>
              <w:bottom w:val="single" w:sz="4" w:space="0" w:color="auto"/>
              <w:right w:val="single" w:sz="4" w:space="0" w:color="auto"/>
            </w:tcBorders>
            <w:vAlign w:val="bottom"/>
          </w:tcPr>
          <w:p w:rsidR="008F254A" w:rsidRPr="00301508" w:rsidRDefault="008F254A" w:rsidP="008B5ABD">
            <w:pPr>
              <w:spacing w:line="240" w:lineRule="auto"/>
              <w:jc w:val="right"/>
              <w:rPr>
                <w:rFonts w:cs="Arial"/>
                <w:sz w:val="20"/>
              </w:rPr>
            </w:pPr>
            <w:r w:rsidRPr="00301508">
              <w:rPr>
                <w:rFonts w:cs="Arial"/>
                <w:sz w:val="20"/>
              </w:rPr>
              <w:t>2,9</w:t>
            </w:r>
          </w:p>
        </w:tc>
      </w:tr>
      <w:tr w:rsidR="008F254A" w:rsidRPr="00301508" w:rsidTr="0081497F">
        <w:trPr>
          <w:trHeight w:val="280"/>
          <w:jc w:val="center"/>
        </w:trPr>
        <w:tc>
          <w:tcPr>
            <w:tcW w:w="4378" w:type="dxa"/>
            <w:tcBorders>
              <w:top w:val="nil"/>
              <w:left w:val="single" w:sz="4" w:space="0" w:color="auto"/>
              <w:bottom w:val="single" w:sz="4" w:space="0" w:color="auto"/>
              <w:right w:val="single" w:sz="4" w:space="0" w:color="auto"/>
            </w:tcBorders>
            <w:shd w:val="clear" w:color="auto" w:fill="auto"/>
            <w:noWrap/>
            <w:vAlign w:val="bottom"/>
            <w:hideMark/>
          </w:tcPr>
          <w:p w:rsidR="008F254A" w:rsidRPr="00301508" w:rsidRDefault="008F254A" w:rsidP="001A063B">
            <w:pPr>
              <w:spacing w:line="240" w:lineRule="auto"/>
              <w:rPr>
                <w:rFonts w:cs="Arial"/>
                <w:sz w:val="20"/>
              </w:rPr>
            </w:pPr>
            <w:r w:rsidRPr="00301508">
              <w:rPr>
                <w:rFonts w:cs="Arial"/>
                <w:sz w:val="20"/>
              </w:rPr>
              <w:t>Floresta Estacional Médio</w:t>
            </w:r>
          </w:p>
        </w:tc>
        <w:tc>
          <w:tcPr>
            <w:tcW w:w="1402" w:type="dxa"/>
            <w:tcBorders>
              <w:top w:val="nil"/>
              <w:left w:val="nil"/>
              <w:bottom w:val="single" w:sz="4" w:space="0" w:color="auto"/>
              <w:right w:val="single" w:sz="4" w:space="0" w:color="auto"/>
            </w:tcBorders>
            <w:shd w:val="clear" w:color="auto" w:fill="auto"/>
            <w:noWrap/>
            <w:vAlign w:val="bottom"/>
            <w:hideMark/>
          </w:tcPr>
          <w:p w:rsidR="008F254A" w:rsidRPr="00301508" w:rsidRDefault="008F254A" w:rsidP="008B5ABD">
            <w:pPr>
              <w:spacing w:line="240" w:lineRule="auto"/>
              <w:jc w:val="right"/>
              <w:rPr>
                <w:rFonts w:cs="Arial"/>
                <w:sz w:val="20"/>
              </w:rPr>
            </w:pPr>
            <w:r w:rsidRPr="00301508">
              <w:rPr>
                <w:rFonts w:cs="Arial"/>
                <w:sz w:val="20"/>
              </w:rPr>
              <w:t>40,0</w:t>
            </w:r>
          </w:p>
        </w:tc>
        <w:tc>
          <w:tcPr>
            <w:tcW w:w="1514" w:type="dxa"/>
            <w:tcBorders>
              <w:top w:val="nil"/>
              <w:left w:val="nil"/>
              <w:bottom w:val="single" w:sz="4" w:space="0" w:color="auto"/>
              <w:right w:val="single" w:sz="4" w:space="0" w:color="auto"/>
            </w:tcBorders>
            <w:vAlign w:val="bottom"/>
          </w:tcPr>
          <w:p w:rsidR="008F254A" w:rsidRPr="00301508" w:rsidRDefault="008F254A" w:rsidP="008B5ABD">
            <w:pPr>
              <w:spacing w:line="240" w:lineRule="auto"/>
              <w:jc w:val="right"/>
              <w:rPr>
                <w:rFonts w:cs="Arial"/>
                <w:sz w:val="20"/>
              </w:rPr>
            </w:pPr>
            <w:r w:rsidRPr="00301508">
              <w:rPr>
                <w:rFonts w:cs="Arial"/>
                <w:sz w:val="20"/>
              </w:rPr>
              <w:t>8,8</w:t>
            </w:r>
          </w:p>
        </w:tc>
      </w:tr>
      <w:tr w:rsidR="008F254A" w:rsidRPr="00301508" w:rsidTr="0081497F">
        <w:trPr>
          <w:trHeight w:val="280"/>
          <w:jc w:val="center"/>
        </w:trPr>
        <w:tc>
          <w:tcPr>
            <w:tcW w:w="4378" w:type="dxa"/>
            <w:tcBorders>
              <w:top w:val="nil"/>
              <w:left w:val="single" w:sz="4" w:space="0" w:color="auto"/>
              <w:bottom w:val="single" w:sz="4" w:space="0" w:color="auto"/>
              <w:right w:val="single" w:sz="4" w:space="0" w:color="auto"/>
            </w:tcBorders>
            <w:shd w:val="clear" w:color="auto" w:fill="auto"/>
            <w:noWrap/>
            <w:vAlign w:val="bottom"/>
            <w:hideMark/>
          </w:tcPr>
          <w:p w:rsidR="008F254A" w:rsidRPr="00301508" w:rsidRDefault="008F254A" w:rsidP="001A063B">
            <w:pPr>
              <w:spacing w:line="240" w:lineRule="auto"/>
              <w:rPr>
                <w:rFonts w:cs="Arial"/>
                <w:sz w:val="20"/>
              </w:rPr>
            </w:pPr>
            <w:r w:rsidRPr="00301508">
              <w:rPr>
                <w:rFonts w:cs="Arial"/>
                <w:sz w:val="20"/>
              </w:rPr>
              <w:t xml:space="preserve">Floresta Estacional Médio Ribeirinha </w:t>
            </w:r>
          </w:p>
        </w:tc>
        <w:tc>
          <w:tcPr>
            <w:tcW w:w="1402" w:type="dxa"/>
            <w:tcBorders>
              <w:top w:val="nil"/>
              <w:left w:val="nil"/>
              <w:bottom w:val="single" w:sz="4" w:space="0" w:color="auto"/>
              <w:right w:val="single" w:sz="4" w:space="0" w:color="auto"/>
            </w:tcBorders>
            <w:shd w:val="clear" w:color="auto" w:fill="auto"/>
            <w:noWrap/>
            <w:vAlign w:val="bottom"/>
            <w:hideMark/>
          </w:tcPr>
          <w:p w:rsidR="008F254A" w:rsidRPr="00301508" w:rsidRDefault="008F254A" w:rsidP="008B5ABD">
            <w:pPr>
              <w:spacing w:line="240" w:lineRule="auto"/>
              <w:jc w:val="right"/>
              <w:rPr>
                <w:rFonts w:cs="Arial"/>
                <w:sz w:val="20"/>
              </w:rPr>
            </w:pPr>
            <w:r w:rsidRPr="00301508">
              <w:rPr>
                <w:rFonts w:cs="Arial"/>
                <w:sz w:val="20"/>
              </w:rPr>
              <w:t>14,4</w:t>
            </w:r>
          </w:p>
        </w:tc>
        <w:tc>
          <w:tcPr>
            <w:tcW w:w="1514" w:type="dxa"/>
            <w:tcBorders>
              <w:top w:val="nil"/>
              <w:left w:val="nil"/>
              <w:bottom w:val="single" w:sz="4" w:space="0" w:color="auto"/>
              <w:right w:val="single" w:sz="4" w:space="0" w:color="auto"/>
            </w:tcBorders>
            <w:vAlign w:val="bottom"/>
          </w:tcPr>
          <w:p w:rsidR="008F254A" w:rsidRPr="00301508" w:rsidRDefault="008F254A" w:rsidP="008B5ABD">
            <w:pPr>
              <w:spacing w:line="240" w:lineRule="auto"/>
              <w:jc w:val="right"/>
              <w:rPr>
                <w:rFonts w:cs="Arial"/>
                <w:sz w:val="20"/>
              </w:rPr>
            </w:pPr>
            <w:r w:rsidRPr="00301508">
              <w:rPr>
                <w:rFonts w:cs="Arial"/>
                <w:sz w:val="20"/>
              </w:rPr>
              <w:t>3,1</w:t>
            </w:r>
          </w:p>
        </w:tc>
      </w:tr>
      <w:tr w:rsidR="008F254A" w:rsidRPr="00301508" w:rsidTr="0081497F">
        <w:trPr>
          <w:trHeight w:val="280"/>
          <w:jc w:val="center"/>
        </w:trPr>
        <w:tc>
          <w:tcPr>
            <w:tcW w:w="4378" w:type="dxa"/>
            <w:tcBorders>
              <w:top w:val="nil"/>
              <w:left w:val="single" w:sz="4" w:space="0" w:color="auto"/>
              <w:bottom w:val="single" w:sz="4" w:space="0" w:color="auto"/>
              <w:right w:val="single" w:sz="4" w:space="0" w:color="auto"/>
            </w:tcBorders>
            <w:shd w:val="clear" w:color="auto" w:fill="auto"/>
            <w:noWrap/>
            <w:vAlign w:val="bottom"/>
            <w:hideMark/>
          </w:tcPr>
          <w:p w:rsidR="008F254A" w:rsidRPr="00301508" w:rsidRDefault="008F254A" w:rsidP="001A063B">
            <w:pPr>
              <w:spacing w:line="240" w:lineRule="auto"/>
              <w:rPr>
                <w:rFonts w:cs="Arial"/>
                <w:sz w:val="20"/>
              </w:rPr>
            </w:pPr>
            <w:r w:rsidRPr="00301508">
              <w:rPr>
                <w:rFonts w:cs="Arial"/>
                <w:sz w:val="20"/>
              </w:rPr>
              <w:t xml:space="preserve">Vegetação Pioneira </w:t>
            </w:r>
          </w:p>
        </w:tc>
        <w:tc>
          <w:tcPr>
            <w:tcW w:w="1402" w:type="dxa"/>
            <w:tcBorders>
              <w:top w:val="nil"/>
              <w:left w:val="nil"/>
              <w:bottom w:val="single" w:sz="4" w:space="0" w:color="auto"/>
              <w:right w:val="single" w:sz="4" w:space="0" w:color="auto"/>
            </w:tcBorders>
            <w:shd w:val="clear" w:color="auto" w:fill="auto"/>
            <w:noWrap/>
            <w:vAlign w:val="bottom"/>
            <w:hideMark/>
          </w:tcPr>
          <w:p w:rsidR="008F254A" w:rsidRPr="00301508" w:rsidRDefault="008F254A" w:rsidP="008B5ABD">
            <w:pPr>
              <w:spacing w:line="240" w:lineRule="auto"/>
              <w:jc w:val="right"/>
              <w:rPr>
                <w:rFonts w:cs="Arial"/>
                <w:sz w:val="20"/>
              </w:rPr>
            </w:pPr>
            <w:r w:rsidRPr="00301508">
              <w:rPr>
                <w:rFonts w:cs="Arial"/>
                <w:sz w:val="20"/>
              </w:rPr>
              <w:t>22,9</w:t>
            </w:r>
          </w:p>
        </w:tc>
        <w:tc>
          <w:tcPr>
            <w:tcW w:w="1514" w:type="dxa"/>
            <w:tcBorders>
              <w:top w:val="nil"/>
              <w:left w:val="nil"/>
              <w:bottom w:val="single" w:sz="4" w:space="0" w:color="auto"/>
              <w:right w:val="single" w:sz="4" w:space="0" w:color="auto"/>
            </w:tcBorders>
            <w:vAlign w:val="bottom"/>
          </w:tcPr>
          <w:p w:rsidR="008F254A" w:rsidRPr="00301508" w:rsidRDefault="008F254A" w:rsidP="008B5ABD">
            <w:pPr>
              <w:spacing w:line="240" w:lineRule="auto"/>
              <w:jc w:val="right"/>
              <w:rPr>
                <w:rFonts w:cs="Arial"/>
                <w:sz w:val="20"/>
              </w:rPr>
            </w:pPr>
            <w:r w:rsidRPr="00301508">
              <w:rPr>
                <w:rFonts w:cs="Arial"/>
                <w:sz w:val="20"/>
              </w:rPr>
              <w:t>5,0</w:t>
            </w:r>
          </w:p>
        </w:tc>
      </w:tr>
      <w:tr w:rsidR="008F254A" w:rsidRPr="00301508" w:rsidTr="0081497F">
        <w:trPr>
          <w:trHeight w:val="280"/>
          <w:jc w:val="center"/>
        </w:trPr>
        <w:tc>
          <w:tcPr>
            <w:tcW w:w="4378" w:type="dxa"/>
            <w:tcBorders>
              <w:top w:val="nil"/>
              <w:left w:val="single" w:sz="4" w:space="0" w:color="auto"/>
              <w:bottom w:val="single" w:sz="4" w:space="0" w:color="auto"/>
              <w:right w:val="single" w:sz="4" w:space="0" w:color="auto"/>
            </w:tcBorders>
            <w:shd w:val="clear" w:color="auto" w:fill="auto"/>
            <w:noWrap/>
            <w:vAlign w:val="bottom"/>
            <w:hideMark/>
          </w:tcPr>
          <w:p w:rsidR="008F254A" w:rsidRPr="00301508" w:rsidRDefault="008F254A" w:rsidP="001A063B">
            <w:pPr>
              <w:spacing w:line="240" w:lineRule="auto"/>
              <w:rPr>
                <w:rFonts w:cs="Arial"/>
                <w:sz w:val="20"/>
              </w:rPr>
            </w:pPr>
            <w:r w:rsidRPr="00301508">
              <w:rPr>
                <w:rFonts w:cs="Arial"/>
                <w:sz w:val="20"/>
              </w:rPr>
              <w:t>Campo úmido antropizado</w:t>
            </w:r>
          </w:p>
        </w:tc>
        <w:tc>
          <w:tcPr>
            <w:tcW w:w="1402" w:type="dxa"/>
            <w:tcBorders>
              <w:top w:val="nil"/>
              <w:left w:val="nil"/>
              <w:bottom w:val="single" w:sz="4" w:space="0" w:color="auto"/>
              <w:right w:val="single" w:sz="4" w:space="0" w:color="auto"/>
            </w:tcBorders>
            <w:shd w:val="clear" w:color="auto" w:fill="auto"/>
            <w:noWrap/>
            <w:vAlign w:val="bottom"/>
            <w:hideMark/>
          </w:tcPr>
          <w:p w:rsidR="008F254A" w:rsidRPr="00301508" w:rsidRDefault="008F254A" w:rsidP="008B5ABD">
            <w:pPr>
              <w:spacing w:line="240" w:lineRule="auto"/>
              <w:jc w:val="right"/>
              <w:rPr>
                <w:rFonts w:cs="Arial"/>
                <w:sz w:val="20"/>
              </w:rPr>
            </w:pPr>
            <w:r w:rsidRPr="00301508">
              <w:rPr>
                <w:rFonts w:cs="Arial"/>
                <w:sz w:val="20"/>
              </w:rPr>
              <w:t>28,3</w:t>
            </w:r>
          </w:p>
        </w:tc>
        <w:tc>
          <w:tcPr>
            <w:tcW w:w="1514" w:type="dxa"/>
            <w:tcBorders>
              <w:top w:val="nil"/>
              <w:left w:val="nil"/>
              <w:bottom w:val="single" w:sz="4" w:space="0" w:color="auto"/>
              <w:right w:val="single" w:sz="4" w:space="0" w:color="auto"/>
            </w:tcBorders>
            <w:vAlign w:val="bottom"/>
          </w:tcPr>
          <w:p w:rsidR="008F254A" w:rsidRPr="00301508" w:rsidRDefault="008F254A" w:rsidP="008B5ABD">
            <w:pPr>
              <w:spacing w:line="240" w:lineRule="auto"/>
              <w:jc w:val="right"/>
              <w:rPr>
                <w:rFonts w:cs="Arial"/>
                <w:sz w:val="20"/>
              </w:rPr>
            </w:pPr>
            <w:r w:rsidRPr="00301508">
              <w:rPr>
                <w:rFonts w:cs="Arial"/>
                <w:sz w:val="20"/>
              </w:rPr>
              <w:t>6,2</w:t>
            </w:r>
          </w:p>
        </w:tc>
      </w:tr>
      <w:tr w:rsidR="008F254A" w:rsidRPr="00301508" w:rsidTr="0081497F">
        <w:trPr>
          <w:trHeight w:val="280"/>
          <w:jc w:val="center"/>
        </w:trPr>
        <w:tc>
          <w:tcPr>
            <w:tcW w:w="4378" w:type="dxa"/>
            <w:tcBorders>
              <w:top w:val="nil"/>
              <w:left w:val="single" w:sz="4" w:space="0" w:color="auto"/>
              <w:bottom w:val="single" w:sz="4" w:space="0" w:color="auto"/>
              <w:right w:val="single" w:sz="4" w:space="0" w:color="auto"/>
            </w:tcBorders>
            <w:shd w:val="clear" w:color="auto" w:fill="auto"/>
            <w:noWrap/>
            <w:vAlign w:val="bottom"/>
            <w:hideMark/>
          </w:tcPr>
          <w:p w:rsidR="008F254A" w:rsidRPr="00301508" w:rsidRDefault="00141B2A" w:rsidP="001A063B">
            <w:pPr>
              <w:spacing w:line="240" w:lineRule="auto"/>
              <w:rPr>
                <w:rFonts w:cs="Arial"/>
                <w:sz w:val="20"/>
              </w:rPr>
            </w:pPr>
            <w:r>
              <w:rPr>
                <w:rFonts w:cs="Arial"/>
                <w:sz w:val="20"/>
              </w:rPr>
              <w:t>Cana-de-açúcar</w:t>
            </w:r>
          </w:p>
        </w:tc>
        <w:tc>
          <w:tcPr>
            <w:tcW w:w="1402" w:type="dxa"/>
            <w:tcBorders>
              <w:top w:val="nil"/>
              <w:left w:val="nil"/>
              <w:bottom w:val="single" w:sz="4" w:space="0" w:color="auto"/>
              <w:right w:val="single" w:sz="4" w:space="0" w:color="auto"/>
            </w:tcBorders>
            <w:shd w:val="clear" w:color="auto" w:fill="auto"/>
            <w:noWrap/>
            <w:vAlign w:val="bottom"/>
            <w:hideMark/>
          </w:tcPr>
          <w:p w:rsidR="008F254A" w:rsidRPr="00301508" w:rsidRDefault="008F254A" w:rsidP="008B5ABD">
            <w:pPr>
              <w:spacing w:line="240" w:lineRule="auto"/>
              <w:jc w:val="right"/>
              <w:rPr>
                <w:rFonts w:cs="Arial"/>
                <w:sz w:val="20"/>
              </w:rPr>
            </w:pPr>
            <w:r w:rsidRPr="00301508">
              <w:rPr>
                <w:rFonts w:cs="Arial"/>
                <w:sz w:val="20"/>
              </w:rPr>
              <w:t>74,1</w:t>
            </w:r>
          </w:p>
        </w:tc>
        <w:tc>
          <w:tcPr>
            <w:tcW w:w="1514" w:type="dxa"/>
            <w:tcBorders>
              <w:top w:val="nil"/>
              <w:left w:val="nil"/>
              <w:bottom w:val="single" w:sz="4" w:space="0" w:color="auto"/>
              <w:right w:val="single" w:sz="4" w:space="0" w:color="auto"/>
            </w:tcBorders>
            <w:vAlign w:val="bottom"/>
          </w:tcPr>
          <w:p w:rsidR="008F254A" w:rsidRPr="00301508" w:rsidRDefault="008F254A" w:rsidP="008B5ABD">
            <w:pPr>
              <w:spacing w:line="240" w:lineRule="auto"/>
              <w:jc w:val="right"/>
              <w:rPr>
                <w:rFonts w:cs="Arial"/>
                <w:sz w:val="20"/>
              </w:rPr>
            </w:pPr>
            <w:r w:rsidRPr="00301508">
              <w:rPr>
                <w:rFonts w:cs="Arial"/>
                <w:sz w:val="20"/>
              </w:rPr>
              <w:t>16,2</w:t>
            </w:r>
          </w:p>
        </w:tc>
      </w:tr>
      <w:tr w:rsidR="008F254A" w:rsidRPr="00301508" w:rsidTr="0081497F">
        <w:trPr>
          <w:trHeight w:val="280"/>
          <w:jc w:val="center"/>
        </w:trPr>
        <w:tc>
          <w:tcPr>
            <w:tcW w:w="4378" w:type="dxa"/>
            <w:tcBorders>
              <w:top w:val="nil"/>
              <w:left w:val="single" w:sz="4" w:space="0" w:color="auto"/>
              <w:bottom w:val="single" w:sz="4" w:space="0" w:color="auto"/>
              <w:right w:val="single" w:sz="4" w:space="0" w:color="auto"/>
            </w:tcBorders>
            <w:shd w:val="clear" w:color="auto" w:fill="auto"/>
            <w:noWrap/>
            <w:vAlign w:val="bottom"/>
            <w:hideMark/>
          </w:tcPr>
          <w:p w:rsidR="008F254A" w:rsidRPr="00301508" w:rsidRDefault="008F254A" w:rsidP="001A063B">
            <w:pPr>
              <w:spacing w:line="240" w:lineRule="auto"/>
              <w:rPr>
                <w:rFonts w:cs="Arial"/>
                <w:sz w:val="20"/>
              </w:rPr>
            </w:pPr>
            <w:r w:rsidRPr="00301508">
              <w:rPr>
                <w:rFonts w:cs="Arial"/>
                <w:sz w:val="20"/>
              </w:rPr>
              <w:t>Cultivo</w:t>
            </w:r>
          </w:p>
        </w:tc>
        <w:tc>
          <w:tcPr>
            <w:tcW w:w="1402" w:type="dxa"/>
            <w:tcBorders>
              <w:top w:val="nil"/>
              <w:left w:val="nil"/>
              <w:bottom w:val="single" w:sz="4" w:space="0" w:color="auto"/>
              <w:right w:val="single" w:sz="4" w:space="0" w:color="auto"/>
            </w:tcBorders>
            <w:shd w:val="clear" w:color="auto" w:fill="auto"/>
            <w:noWrap/>
            <w:vAlign w:val="bottom"/>
            <w:hideMark/>
          </w:tcPr>
          <w:p w:rsidR="008F254A" w:rsidRPr="00301508" w:rsidRDefault="008F254A" w:rsidP="008B5ABD">
            <w:pPr>
              <w:spacing w:line="240" w:lineRule="auto"/>
              <w:jc w:val="right"/>
              <w:rPr>
                <w:rFonts w:cs="Arial"/>
                <w:sz w:val="20"/>
              </w:rPr>
            </w:pPr>
            <w:r w:rsidRPr="00301508">
              <w:rPr>
                <w:rFonts w:cs="Arial"/>
                <w:sz w:val="20"/>
              </w:rPr>
              <w:t>9,0</w:t>
            </w:r>
          </w:p>
        </w:tc>
        <w:tc>
          <w:tcPr>
            <w:tcW w:w="1514" w:type="dxa"/>
            <w:tcBorders>
              <w:top w:val="nil"/>
              <w:left w:val="nil"/>
              <w:bottom w:val="single" w:sz="4" w:space="0" w:color="auto"/>
              <w:right w:val="single" w:sz="4" w:space="0" w:color="auto"/>
            </w:tcBorders>
            <w:vAlign w:val="bottom"/>
          </w:tcPr>
          <w:p w:rsidR="008F254A" w:rsidRPr="00301508" w:rsidRDefault="008F254A" w:rsidP="008B5ABD">
            <w:pPr>
              <w:spacing w:line="240" w:lineRule="auto"/>
              <w:jc w:val="right"/>
              <w:rPr>
                <w:rFonts w:cs="Arial"/>
                <w:sz w:val="20"/>
              </w:rPr>
            </w:pPr>
            <w:r w:rsidRPr="00301508">
              <w:rPr>
                <w:rFonts w:cs="Arial"/>
                <w:sz w:val="20"/>
              </w:rPr>
              <w:t>2,0</w:t>
            </w:r>
          </w:p>
        </w:tc>
      </w:tr>
      <w:tr w:rsidR="008F254A" w:rsidRPr="00301508" w:rsidTr="0081497F">
        <w:trPr>
          <w:trHeight w:val="280"/>
          <w:jc w:val="center"/>
        </w:trPr>
        <w:tc>
          <w:tcPr>
            <w:tcW w:w="4378" w:type="dxa"/>
            <w:tcBorders>
              <w:top w:val="single" w:sz="4" w:space="0" w:color="auto"/>
              <w:left w:val="single" w:sz="4" w:space="0" w:color="auto"/>
              <w:bottom w:val="nil"/>
              <w:right w:val="single" w:sz="4" w:space="0" w:color="auto"/>
            </w:tcBorders>
            <w:shd w:val="clear" w:color="auto" w:fill="auto"/>
            <w:noWrap/>
            <w:vAlign w:val="center"/>
            <w:hideMark/>
          </w:tcPr>
          <w:p w:rsidR="008F254A" w:rsidRPr="00301508" w:rsidRDefault="008F254A" w:rsidP="001A063B">
            <w:pPr>
              <w:spacing w:line="240" w:lineRule="auto"/>
              <w:rPr>
                <w:rFonts w:cs="Arial"/>
                <w:sz w:val="20"/>
              </w:rPr>
            </w:pPr>
            <w:r w:rsidRPr="00301508">
              <w:rPr>
                <w:rFonts w:cs="Arial"/>
                <w:sz w:val="20"/>
              </w:rPr>
              <w:t>Pasto/Pasto Sujo</w:t>
            </w:r>
          </w:p>
        </w:tc>
        <w:tc>
          <w:tcPr>
            <w:tcW w:w="1402" w:type="dxa"/>
            <w:tcBorders>
              <w:top w:val="nil"/>
              <w:left w:val="nil"/>
              <w:bottom w:val="single" w:sz="4" w:space="0" w:color="auto"/>
              <w:right w:val="single" w:sz="4" w:space="0" w:color="auto"/>
            </w:tcBorders>
            <w:shd w:val="clear" w:color="auto" w:fill="auto"/>
            <w:noWrap/>
            <w:vAlign w:val="bottom"/>
            <w:hideMark/>
          </w:tcPr>
          <w:p w:rsidR="008F254A" w:rsidRPr="00301508" w:rsidRDefault="008F254A" w:rsidP="008B5ABD">
            <w:pPr>
              <w:spacing w:line="240" w:lineRule="auto"/>
              <w:jc w:val="right"/>
              <w:rPr>
                <w:rFonts w:cs="Arial"/>
                <w:sz w:val="20"/>
              </w:rPr>
            </w:pPr>
            <w:r w:rsidRPr="00301508">
              <w:rPr>
                <w:rFonts w:cs="Arial"/>
                <w:sz w:val="20"/>
              </w:rPr>
              <w:t>216,5</w:t>
            </w:r>
          </w:p>
        </w:tc>
        <w:tc>
          <w:tcPr>
            <w:tcW w:w="1514" w:type="dxa"/>
            <w:tcBorders>
              <w:top w:val="nil"/>
              <w:left w:val="nil"/>
              <w:bottom w:val="single" w:sz="4" w:space="0" w:color="auto"/>
              <w:right w:val="single" w:sz="4" w:space="0" w:color="auto"/>
            </w:tcBorders>
            <w:vAlign w:val="bottom"/>
          </w:tcPr>
          <w:p w:rsidR="008F254A" w:rsidRPr="00301508" w:rsidRDefault="008F254A" w:rsidP="008B5ABD">
            <w:pPr>
              <w:spacing w:line="240" w:lineRule="auto"/>
              <w:jc w:val="right"/>
              <w:rPr>
                <w:rFonts w:cs="Arial"/>
                <w:sz w:val="20"/>
              </w:rPr>
            </w:pPr>
            <w:r w:rsidRPr="00301508">
              <w:rPr>
                <w:rFonts w:cs="Arial"/>
                <w:sz w:val="20"/>
              </w:rPr>
              <w:t>47,4</w:t>
            </w:r>
          </w:p>
        </w:tc>
      </w:tr>
      <w:tr w:rsidR="008F254A" w:rsidRPr="00301508" w:rsidTr="0081497F">
        <w:trPr>
          <w:trHeight w:val="280"/>
          <w:jc w:val="center"/>
        </w:trPr>
        <w:tc>
          <w:tcPr>
            <w:tcW w:w="437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F254A" w:rsidRPr="00301508" w:rsidRDefault="008F254A" w:rsidP="001A063B">
            <w:pPr>
              <w:spacing w:line="240" w:lineRule="auto"/>
              <w:rPr>
                <w:rFonts w:cs="Arial"/>
                <w:sz w:val="20"/>
              </w:rPr>
            </w:pPr>
            <w:r w:rsidRPr="00301508">
              <w:rPr>
                <w:rFonts w:cs="Arial"/>
                <w:sz w:val="20"/>
              </w:rPr>
              <w:t>Silvicultura</w:t>
            </w:r>
          </w:p>
        </w:tc>
        <w:tc>
          <w:tcPr>
            <w:tcW w:w="1402" w:type="dxa"/>
            <w:tcBorders>
              <w:top w:val="nil"/>
              <w:left w:val="nil"/>
              <w:bottom w:val="single" w:sz="4" w:space="0" w:color="auto"/>
              <w:right w:val="single" w:sz="4" w:space="0" w:color="auto"/>
            </w:tcBorders>
            <w:shd w:val="clear" w:color="auto" w:fill="auto"/>
            <w:noWrap/>
            <w:vAlign w:val="bottom"/>
            <w:hideMark/>
          </w:tcPr>
          <w:p w:rsidR="008F254A" w:rsidRPr="00301508" w:rsidRDefault="008F254A" w:rsidP="008B5ABD">
            <w:pPr>
              <w:spacing w:line="240" w:lineRule="auto"/>
              <w:jc w:val="right"/>
              <w:rPr>
                <w:rFonts w:cs="Arial"/>
                <w:sz w:val="20"/>
              </w:rPr>
            </w:pPr>
            <w:r w:rsidRPr="00301508">
              <w:rPr>
                <w:rFonts w:cs="Arial"/>
                <w:sz w:val="20"/>
              </w:rPr>
              <w:t>12,5</w:t>
            </w:r>
          </w:p>
        </w:tc>
        <w:tc>
          <w:tcPr>
            <w:tcW w:w="1514" w:type="dxa"/>
            <w:tcBorders>
              <w:top w:val="nil"/>
              <w:left w:val="nil"/>
              <w:bottom w:val="single" w:sz="4" w:space="0" w:color="auto"/>
              <w:right w:val="single" w:sz="4" w:space="0" w:color="auto"/>
            </w:tcBorders>
            <w:vAlign w:val="bottom"/>
          </w:tcPr>
          <w:p w:rsidR="008F254A" w:rsidRPr="00301508" w:rsidRDefault="008F254A" w:rsidP="008B5ABD">
            <w:pPr>
              <w:spacing w:line="240" w:lineRule="auto"/>
              <w:jc w:val="right"/>
              <w:rPr>
                <w:rFonts w:cs="Arial"/>
                <w:sz w:val="20"/>
              </w:rPr>
            </w:pPr>
            <w:r w:rsidRPr="00301508">
              <w:rPr>
                <w:rFonts w:cs="Arial"/>
                <w:sz w:val="20"/>
              </w:rPr>
              <w:t>2,7</w:t>
            </w:r>
          </w:p>
        </w:tc>
      </w:tr>
      <w:tr w:rsidR="008F254A" w:rsidRPr="00301508" w:rsidTr="0081497F">
        <w:trPr>
          <w:trHeight w:val="280"/>
          <w:jc w:val="center"/>
        </w:trPr>
        <w:tc>
          <w:tcPr>
            <w:tcW w:w="4378" w:type="dxa"/>
            <w:tcBorders>
              <w:top w:val="single" w:sz="4" w:space="0" w:color="auto"/>
              <w:left w:val="single" w:sz="4" w:space="0" w:color="auto"/>
              <w:bottom w:val="single" w:sz="4" w:space="0" w:color="auto"/>
              <w:right w:val="single" w:sz="4" w:space="0" w:color="auto"/>
            </w:tcBorders>
            <w:shd w:val="clear" w:color="auto" w:fill="auto"/>
            <w:noWrap/>
            <w:vAlign w:val="bottom"/>
          </w:tcPr>
          <w:p w:rsidR="008F254A" w:rsidRPr="00301508" w:rsidRDefault="008F254A" w:rsidP="001A063B">
            <w:pPr>
              <w:spacing w:line="240" w:lineRule="auto"/>
              <w:rPr>
                <w:rFonts w:cs="Arial"/>
                <w:b/>
                <w:sz w:val="20"/>
              </w:rPr>
            </w:pPr>
            <w:r w:rsidRPr="00301508">
              <w:rPr>
                <w:rFonts w:cs="Arial"/>
                <w:b/>
                <w:sz w:val="20"/>
              </w:rPr>
              <w:t>Total</w:t>
            </w:r>
          </w:p>
        </w:tc>
        <w:tc>
          <w:tcPr>
            <w:tcW w:w="1402" w:type="dxa"/>
            <w:tcBorders>
              <w:top w:val="single" w:sz="4" w:space="0" w:color="auto"/>
              <w:left w:val="nil"/>
              <w:bottom w:val="single" w:sz="4" w:space="0" w:color="auto"/>
              <w:right w:val="single" w:sz="4" w:space="0" w:color="auto"/>
            </w:tcBorders>
            <w:shd w:val="clear" w:color="auto" w:fill="auto"/>
            <w:noWrap/>
            <w:vAlign w:val="bottom"/>
          </w:tcPr>
          <w:p w:rsidR="008F254A" w:rsidRPr="00301508" w:rsidRDefault="008F254A" w:rsidP="008B5ABD">
            <w:pPr>
              <w:spacing w:line="240" w:lineRule="auto"/>
              <w:jc w:val="right"/>
              <w:rPr>
                <w:rFonts w:cs="Arial"/>
                <w:b/>
                <w:sz w:val="20"/>
              </w:rPr>
            </w:pPr>
            <w:r w:rsidRPr="00301508">
              <w:rPr>
                <w:rFonts w:cs="Arial"/>
                <w:b/>
                <w:sz w:val="20"/>
              </w:rPr>
              <w:t>456,6</w:t>
            </w:r>
          </w:p>
        </w:tc>
        <w:tc>
          <w:tcPr>
            <w:tcW w:w="1514" w:type="dxa"/>
            <w:tcBorders>
              <w:top w:val="single" w:sz="4" w:space="0" w:color="auto"/>
              <w:left w:val="nil"/>
              <w:bottom w:val="single" w:sz="4" w:space="0" w:color="auto"/>
              <w:right w:val="single" w:sz="4" w:space="0" w:color="auto"/>
            </w:tcBorders>
            <w:vAlign w:val="bottom"/>
          </w:tcPr>
          <w:p w:rsidR="008F254A" w:rsidRPr="00301508" w:rsidRDefault="008F254A" w:rsidP="008B5ABD">
            <w:pPr>
              <w:spacing w:line="240" w:lineRule="auto"/>
              <w:jc w:val="right"/>
              <w:rPr>
                <w:rFonts w:cs="Arial"/>
                <w:b/>
                <w:sz w:val="20"/>
              </w:rPr>
            </w:pPr>
            <w:r w:rsidRPr="00301508">
              <w:rPr>
                <w:rFonts w:cs="Arial"/>
                <w:b/>
                <w:sz w:val="20"/>
              </w:rPr>
              <w:t>100</w:t>
            </w:r>
          </w:p>
        </w:tc>
      </w:tr>
    </w:tbl>
    <w:p w:rsidR="00F665CF" w:rsidRPr="00350900" w:rsidRDefault="00350900" w:rsidP="00350900">
      <w:pPr>
        <w:widowControl w:val="0"/>
        <w:autoSpaceDE w:val="0"/>
        <w:autoSpaceDN w:val="0"/>
        <w:adjustRightInd w:val="0"/>
        <w:spacing w:after="120" w:line="240" w:lineRule="auto"/>
        <w:jc w:val="center"/>
        <w:rPr>
          <w:sz w:val="20"/>
        </w:rPr>
      </w:pPr>
      <w:r w:rsidRPr="00350900">
        <w:rPr>
          <w:sz w:val="20"/>
        </w:rPr>
        <w:t>(*) Área a ser ocupada pelo reservatório e pelas obras de jusante, junto ao eixo.</w:t>
      </w:r>
    </w:p>
    <w:p w:rsidR="00806394" w:rsidRDefault="00806394" w:rsidP="0081497F">
      <w:pPr>
        <w:widowControl w:val="0"/>
        <w:autoSpaceDE w:val="0"/>
        <w:autoSpaceDN w:val="0"/>
        <w:adjustRightInd w:val="0"/>
        <w:spacing w:before="120" w:after="120" w:line="240" w:lineRule="auto"/>
      </w:pPr>
    </w:p>
    <w:p w:rsidR="00F024EC" w:rsidRDefault="00F665CF" w:rsidP="0081497F">
      <w:pPr>
        <w:widowControl w:val="0"/>
        <w:autoSpaceDE w:val="0"/>
        <w:autoSpaceDN w:val="0"/>
        <w:adjustRightInd w:val="0"/>
        <w:spacing w:before="120" w:after="120" w:line="240" w:lineRule="auto"/>
      </w:pPr>
      <w:r w:rsidRPr="0081497F">
        <w:t>Me</w:t>
      </w:r>
      <w:r w:rsidR="002962A2">
        <w:t>smo considerando que a</w:t>
      </w:r>
      <w:r w:rsidR="0081497F">
        <w:t xml:space="preserve"> ADA da Barragem </w:t>
      </w:r>
      <w:r w:rsidRPr="0081497F">
        <w:t>Pedreira é predominantemente ocupada por formações de origem antrópica, ou sobre forte influência, a perda de formações nativas, ainda que em estágio inicial de regeneração, deve ser considerada de média magnitude e alta importância. A seguir á apresentada a avaliação do impacto de perda de cobertura vegeta</w:t>
      </w:r>
      <w:r w:rsidR="0081497F">
        <w:t xml:space="preserve">l decorrente da implantação da Barragem </w:t>
      </w:r>
      <w:r w:rsidRPr="0081497F">
        <w:t>Pedreira.</w:t>
      </w:r>
    </w:p>
    <w:p w:rsidR="00301508" w:rsidRPr="006F141D" w:rsidRDefault="008D3A12" w:rsidP="006F141D">
      <w:pPr>
        <w:pStyle w:val="Legenda"/>
        <w:spacing w:before="0" w:after="0" w:line="240" w:lineRule="auto"/>
        <w:jc w:val="center"/>
        <w:rPr>
          <w:rFonts w:cs="Arial"/>
          <w:b w:val="0"/>
          <w:bCs/>
          <w:i w:val="0"/>
          <w:szCs w:val="22"/>
        </w:rPr>
      </w:pPr>
      <w:bookmarkStart w:id="270" w:name="_Toc420316485"/>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42</w:t>
      </w:r>
      <w:r w:rsidR="00B80A05" w:rsidRPr="006F141D">
        <w:rPr>
          <w:i w:val="0"/>
        </w:rPr>
        <w:fldChar w:fldCharType="end"/>
      </w:r>
      <w:r w:rsidR="006F141D" w:rsidRPr="006F141D">
        <w:rPr>
          <w:i w:val="0"/>
        </w:rPr>
        <w:t>.</w:t>
      </w:r>
      <w:r w:rsidR="006F141D" w:rsidRPr="006F141D">
        <w:rPr>
          <w:b w:val="0"/>
          <w:i w:val="0"/>
        </w:rPr>
        <w:t xml:space="preserve"> - </w:t>
      </w:r>
      <w:r w:rsidR="00F665CF" w:rsidRPr="006F141D">
        <w:rPr>
          <w:rFonts w:cs="Arial"/>
          <w:b w:val="0"/>
          <w:bCs/>
          <w:i w:val="0"/>
          <w:szCs w:val="22"/>
        </w:rPr>
        <w:t>Caracterização do Impacto – Perda de Cobertura Vegetal Nativa</w:t>
      </w:r>
      <w:bookmarkEnd w:id="270"/>
      <w:r w:rsidR="00301508" w:rsidRPr="006F141D">
        <w:rPr>
          <w:rFonts w:cs="Arial"/>
          <w:b w:val="0"/>
          <w:bCs/>
          <w:i w:val="0"/>
          <w:szCs w:val="22"/>
        </w:rPr>
        <w:t xml:space="preserve"> </w:t>
      </w:r>
    </w:p>
    <w:p w:rsidR="00F665CF" w:rsidRDefault="00F665CF" w:rsidP="006F141D">
      <w:pPr>
        <w:autoSpaceDE w:val="0"/>
        <w:autoSpaceDN w:val="0"/>
        <w:adjustRightInd w:val="0"/>
        <w:spacing w:line="240" w:lineRule="auto"/>
        <w:jc w:val="center"/>
        <w:rPr>
          <w:rFonts w:cs="Arial"/>
          <w:bCs/>
          <w:szCs w:val="22"/>
        </w:rPr>
      </w:pPr>
      <w:r w:rsidRPr="006F141D">
        <w:rPr>
          <w:rFonts w:cs="Arial"/>
          <w:bCs/>
          <w:szCs w:val="22"/>
        </w:rPr>
        <w:t xml:space="preserve">Barragem Pedreira </w:t>
      </w:r>
    </w:p>
    <w:p w:rsidR="006F141D" w:rsidRPr="006F141D" w:rsidRDefault="006F141D" w:rsidP="006F141D">
      <w:pPr>
        <w:autoSpaceDE w:val="0"/>
        <w:autoSpaceDN w:val="0"/>
        <w:adjustRightInd w:val="0"/>
        <w:spacing w:line="240" w:lineRule="auto"/>
        <w:jc w:val="center"/>
        <w:rPr>
          <w:rFonts w:cs="Arial"/>
          <w:bCs/>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972"/>
        <w:gridCol w:w="1795"/>
        <w:gridCol w:w="1417"/>
        <w:gridCol w:w="3051"/>
      </w:tblGrid>
      <w:tr w:rsidR="00F665CF" w:rsidRPr="00F61027" w:rsidTr="001A063B">
        <w:trPr>
          <w:trHeight w:val="397"/>
          <w:jc w:val="center"/>
        </w:trPr>
        <w:tc>
          <w:tcPr>
            <w:tcW w:w="1172"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Natureza</w:t>
            </w:r>
          </w:p>
        </w:tc>
        <w:tc>
          <w:tcPr>
            <w:tcW w:w="972"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Ordem</w:t>
            </w:r>
          </w:p>
        </w:tc>
        <w:tc>
          <w:tcPr>
            <w:tcW w:w="1795"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Abrangência</w:t>
            </w:r>
          </w:p>
        </w:tc>
        <w:tc>
          <w:tcPr>
            <w:tcW w:w="1417"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Duração</w:t>
            </w:r>
          </w:p>
        </w:tc>
        <w:tc>
          <w:tcPr>
            <w:tcW w:w="3051"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Probabilidade de Ocorrência</w:t>
            </w:r>
          </w:p>
        </w:tc>
      </w:tr>
      <w:tr w:rsidR="00F665CF" w:rsidRPr="00F61027" w:rsidTr="001A063B">
        <w:trPr>
          <w:jc w:val="center"/>
        </w:trPr>
        <w:tc>
          <w:tcPr>
            <w:tcW w:w="1172"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Pr>
                <w:rFonts w:cs="Arial"/>
                <w:sz w:val="20"/>
              </w:rPr>
              <w:t>Negativa</w:t>
            </w:r>
          </w:p>
        </w:tc>
        <w:tc>
          <w:tcPr>
            <w:tcW w:w="972"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Direta</w:t>
            </w:r>
          </w:p>
        </w:tc>
        <w:tc>
          <w:tcPr>
            <w:tcW w:w="1795"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Local (ADA/AID)</w:t>
            </w:r>
          </w:p>
        </w:tc>
        <w:tc>
          <w:tcPr>
            <w:tcW w:w="1417"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Permanente</w:t>
            </w:r>
          </w:p>
        </w:tc>
        <w:tc>
          <w:tcPr>
            <w:tcW w:w="3051"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Certa</w:t>
            </w:r>
          </w:p>
        </w:tc>
      </w:tr>
    </w:tbl>
    <w:p w:rsidR="00F665CF" w:rsidRPr="00F61027" w:rsidRDefault="00F665CF" w:rsidP="00F024EC">
      <w:pPr>
        <w:autoSpaceDE w:val="0"/>
        <w:autoSpaceDN w:val="0"/>
        <w:adjustRightInd w:val="0"/>
        <w:spacing w:line="240" w:lineRule="auto"/>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F665CF" w:rsidRPr="00F61027" w:rsidTr="001A063B">
        <w:trPr>
          <w:trHeight w:val="397"/>
          <w:jc w:val="center"/>
        </w:trPr>
        <w:tc>
          <w:tcPr>
            <w:tcW w:w="2329"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Época de Ocorrência</w:t>
            </w:r>
          </w:p>
        </w:tc>
        <w:tc>
          <w:tcPr>
            <w:tcW w:w="1796"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Reversibilidade</w:t>
            </w:r>
          </w:p>
        </w:tc>
        <w:tc>
          <w:tcPr>
            <w:tcW w:w="1328"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Magnitude</w:t>
            </w:r>
          </w:p>
        </w:tc>
        <w:tc>
          <w:tcPr>
            <w:tcW w:w="1461"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Importância</w:t>
            </w:r>
          </w:p>
        </w:tc>
        <w:tc>
          <w:tcPr>
            <w:tcW w:w="1539"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Mitigação</w:t>
            </w:r>
          </w:p>
        </w:tc>
      </w:tr>
      <w:tr w:rsidR="00F665CF" w:rsidRPr="00F61027" w:rsidTr="001A063B">
        <w:trPr>
          <w:jc w:val="center"/>
        </w:trPr>
        <w:tc>
          <w:tcPr>
            <w:tcW w:w="2329"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Pr>
                <w:rFonts w:cs="Arial"/>
                <w:sz w:val="20"/>
              </w:rPr>
              <w:t>Curto</w:t>
            </w:r>
            <w:r w:rsidRPr="00F61027">
              <w:rPr>
                <w:rFonts w:cs="Arial"/>
                <w:sz w:val="20"/>
              </w:rPr>
              <w:t xml:space="preserve"> Prazo</w:t>
            </w:r>
          </w:p>
        </w:tc>
        <w:tc>
          <w:tcPr>
            <w:tcW w:w="1796"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Irreversível</w:t>
            </w:r>
          </w:p>
        </w:tc>
        <w:tc>
          <w:tcPr>
            <w:tcW w:w="1328"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Pr>
                <w:rFonts w:cs="Arial"/>
                <w:sz w:val="20"/>
              </w:rPr>
              <w:t>Média</w:t>
            </w:r>
          </w:p>
        </w:tc>
        <w:tc>
          <w:tcPr>
            <w:tcW w:w="1461"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Pr>
                <w:rFonts w:cs="Arial"/>
                <w:sz w:val="20"/>
              </w:rPr>
              <w:t>Alta</w:t>
            </w:r>
          </w:p>
        </w:tc>
        <w:tc>
          <w:tcPr>
            <w:tcW w:w="1539"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Não Mitigável</w:t>
            </w:r>
          </w:p>
        </w:tc>
      </w:tr>
    </w:tbl>
    <w:p w:rsidR="007E754E" w:rsidRDefault="007E754E" w:rsidP="00301508">
      <w:pPr>
        <w:autoSpaceDE w:val="0"/>
        <w:autoSpaceDN w:val="0"/>
        <w:adjustRightInd w:val="0"/>
        <w:spacing w:before="240" w:after="120" w:line="240" w:lineRule="auto"/>
        <w:rPr>
          <w:rFonts w:cs="Arial"/>
          <w:bCs/>
          <w:szCs w:val="22"/>
        </w:rPr>
      </w:pPr>
      <w:r>
        <w:rPr>
          <w:rFonts w:cs="Arial"/>
          <w:bCs/>
          <w:szCs w:val="22"/>
        </w:rPr>
        <w:t>No caso da Barragem</w:t>
      </w:r>
      <w:r w:rsidR="00F665CF" w:rsidRPr="00FB1A1A">
        <w:rPr>
          <w:rFonts w:cs="Arial"/>
          <w:bCs/>
          <w:szCs w:val="22"/>
        </w:rPr>
        <w:t xml:space="preserve"> Duas Pontes, conforme apresentado, os prejuízos ambientais decorrentes de sua implantação, são maiores do que aqueles</w:t>
      </w:r>
      <w:r>
        <w:rPr>
          <w:rFonts w:cs="Arial"/>
          <w:bCs/>
          <w:szCs w:val="22"/>
        </w:rPr>
        <w:t xml:space="preserve"> decorrentes da implantação da B</w:t>
      </w:r>
      <w:r w:rsidR="00F665CF" w:rsidRPr="00FB1A1A">
        <w:rPr>
          <w:rFonts w:cs="Arial"/>
          <w:bCs/>
          <w:szCs w:val="22"/>
        </w:rPr>
        <w:t>arragem Pedreira. Tal fato deve-se à perda não apenas de formações em estágio in</w:t>
      </w:r>
      <w:r w:rsidR="00F665CF">
        <w:rPr>
          <w:rFonts w:cs="Arial"/>
          <w:bCs/>
          <w:szCs w:val="22"/>
        </w:rPr>
        <w:t>i</w:t>
      </w:r>
      <w:r w:rsidR="00F665CF" w:rsidRPr="00FB1A1A">
        <w:rPr>
          <w:rFonts w:cs="Arial"/>
          <w:bCs/>
          <w:szCs w:val="22"/>
        </w:rPr>
        <w:t xml:space="preserve">cial de regeneração, mas, também, de formações em melhor estado de conservação, ou seja, </w:t>
      </w:r>
      <w:r w:rsidR="002962A2" w:rsidRPr="00FB1A1A">
        <w:rPr>
          <w:rFonts w:cs="Arial"/>
          <w:bCs/>
          <w:szCs w:val="22"/>
        </w:rPr>
        <w:t xml:space="preserve">em </w:t>
      </w:r>
      <w:r w:rsidR="002962A2" w:rsidRPr="006600FE">
        <w:rPr>
          <w:rFonts w:cs="Arial"/>
          <w:bCs/>
          <w:szCs w:val="22"/>
        </w:rPr>
        <w:t>estágio médio e avançado do processo de sucessão</w:t>
      </w:r>
      <w:r w:rsidR="00F665CF" w:rsidRPr="006600FE">
        <w:rPr>
          <w:rFonts w:cs="Arial"/>
          <w:bCs/>
          <w:szCs w:val="22"/>
        </w:rPr>
        <w:t>. Assim, a despeito da predominância de</w:t>
      </w:r>
      <w:r w:rsidR="00F665CF" w:rsidRPr="00FB1A1A">
        <w:rPr>
          <w:rFonts w:cs="Arial"/>
          <w:bCs/>
          <w:szCs w:val="22"/>
        </w:rPr>
        <w:t xml:space="preserve"> formações de origem antrópica o impacto de perda de cobertura vegetal decorrente da implantação da </w:t>
      </w:r>
      <w:r>
        <w:rPr>
          <w:rFonts w:cs="Arial"/>
          <w:bCs/>
          <w:szCs w:val="22"/>
        </w:rPr>
        <w:t>B</w:t>
      </w:r>
      <w:r w:rsidR="00F665CF" w:rsidRPr="00FB1A1A">
        <w:rPr>
          <w:rFonts w:cs="Arial"/>
          <w:bCs/>
          <w:szCs w:val="22"/>
        </w:rPr>
        <w:t>arragem Duas Pontes é considerado de grande magnitude e alta importância. A seguir é apresentada a avaliação deste impacto com base nos demais parâmetros.</w:t>
      </w:r>
    </w:p>
    <w:p w:rsidR="00806394" w:rsidRPr="00FB1A1A" w:rsidRDefault="00806394" w:rsidP="00301508">
      <w:pPr>
        <w:autoSpaceDE w:val="0"/>
        <w:autoSpaceDN w:val="0"/>
        <w:adjustRightInd w:val="0"/>
        <w:spacing w:before="240" w:after="120" w:line="240" w:lineRule="auto"/>
        <w:rPr>
          <w:rFonts w:cs="Arial"/>
          <w:bCs/>
          <w:szCs w:val="22"/>
        </w:rPr>
      </w:pPr>
    </w:p>
    <w:p w:rsidR="00301508" w:rsidRPr="006F141D" w:rsidRDefault="008D3A12" w:rsidP="006F141D">
      <w:pPr>
        <w:pStyle w:val="Legenda"/>
        <w:spacing w:before="0" w:after="0" w:line="240" w:lineRule="auto"/>
        <w:jc w:val="center"/>
        <w:rPr>
          <w:rFonts w:cs="Arial"/>
          <w:b w:val="0"/>
          <w:bCs/>
          <w:i w:val="0"/>
          <w:szCs w:val="22"/>
        </w:rPr>
      </w:pPr>
      <w:bookmarkStart w:id="271" w:name="_Toc420316486"/>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43</w:t>
      </w:r>
      <w:r w:rsidR="00B80A05" w:rsidRPr="006F141D">
        <w:rPr>
          <w:i w:val="0"/>
        </w:rPr>
        <w:fldChar w:fldCharType="end"/>
      </w:r>
      <w:r w:rsidR="006F141D" w:rsidRPr="006F141D">
        <w:rPr>
          <w:i w:val="0"/>
        </w:rPr>
        <w:t>.</w:t>
      </w:r>
      <w:r w:rsidR="006F141D" w:rsidRPr="006F141D">
        <w:rPr>
          <w:b w:val="0"/>
          <w:i w:val="0"/>
        </w:rPr>
        <w:t xml:space="preserve"> - </w:t>
      </w:r>
      <w:r w:rsidR="00F665CF" w:rsidRPr="006F141D">
        <w:rPr>
          <w:rFonts w:cs="Arial"/>
          <w:b w:val="0"/>
          <w:bCs/>
          <w:i w:val="0"/>
          <w:szCs w:val="22"/>
        </w:rPr>
        <w:t>Caracterização do Impacto - Perda de Cobertura Vegetal Nativa</w:t>
      </w:r>
      <w:bookmarkEnd w:id="271"/>
    </w:p>
    <w:p w:rsidR="00F665CF" w:rsidRPr="006F141D" w:rsidRDefault="00F665CF" w:rsidP="006F141D">
      <w:pPr>
        <w:autoSpaceDE w:val="0"/>
        <w:autoSpaceDN w:val="0"/>
        <w:adjustRightInd w:val="0"/>
        <w:spacing w:line="240" w:lineRule="auto"/>
        <w:jc w:val="center"/>
        <w:rPr>
          <w:rFonts w:cs="Arial"/>
          <w:bCs/>
          <w:szCs w:val="22"/>
        </w:rPr>
      </w:pPr>
      <w:r w:rsidRPr="006F141D">
        <w:rPr>
          <w:rFonts w:cs="Arial"/>
          <w:bCs/>
          <w:szCs w:val="22"/>
        </w:rPr>
        <w:t>Barragem Duas Pontes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972"/>
        <w:gridCol w:w="1795"/>
        <w:gridCol w:w="1417"/>
        <w:gridCol w:w="3051"/>
      </w:tblGrid>
      <w:tr w:rsidR="00F665CF" w:rsidRPr="00F61027" w:rsidTr="001A063B">
        <w:trPr>
          <w:trHeight w:val="397"/>
          <w:jc w:val="center"/>
        </w:trPr>
        <w:tc>
          <w:tcPr>
            <w:tcW w:w="1172"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Natureza</w:t>
            </w:r>
          </w:p>
        </w:tc>
        <w:tc>
          <w:tcPr>
            <w:tcW w:w="972"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Ordem</w:t>
            </w:r>
          </w:p>
        </w:tc>
        <w:tc>
          <w:tcPr>
            <w:tcW w:w="1795"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Abrangência</w:t>
            </w:r>
          </w:p>
        </w:tc>
        <w:tc>
          <w:tcPr>
            <w:tcW w:w="1417"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Duração</w:t>
            </w:r>
          </w:p>
        </w:tc>
        <w:tc>
          <w:tcPr>
            <w:tcW w:w="3051"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Probabilidade de Ocorrência</w:t>
            </w:r>
          </w:p>
        </w:tc>
      </w:tr>
      <w:tr w:rsidR="00F665CF" w:rsidRPr="00F61027" w:rsidTr="001A063B">
        <w:trPr>
          <w:jc w:val="center"/>
        </w:trPr>
        <w:tc>
          <w:tcPr>
            <w:tcW w:w="1172"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Positiva</w:t>
            </w:r>
          </w:p>
        </w:tc>
        <w:tc>
          <w:tcPr>
            <w:tcW w:w="972"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Direta</w:t>
            </w:r>
          </w:p>
        </w:tc>
        <w:tc>
          <w:tcPr>
            <w:tcW w:w="1795"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Local (ADA/AID)</w:t>
            </w:r>
          </w:p>
        </w:tc>
        <w:tc>
          <w:tcPr>
            <w:tcW w:w="1417"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Permanente</w:t>
            </w:r>
          </w:p>
        </w:tc>
        <w:tc>
          <w:tcPr>
            <w:tcW w:w="3051"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Certa</w:t>
            </w:r>
          </w:p>
        </w:tc>
      </w:tr>
    </w:tbl>
    <w:p w:rsidR="00F665CF" w:rsidRPr="00F61027" w:rsidRDefault="00F665CF" w:rsidP="007E754E">
      <w:pPr>
        <w:autoSpaceDE w:val="0"/>
        <w:autoSpaceDN w:val="0"/>
        <w:adjustRightInd w:val="0"/>
        <w:spacing w:line="240" w:lineRule="auto"/>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AD7599" w:rsidRPr="00F61027" w:rsidTr="001A063B">
        <w:trPr>
          <w:trHeight w:val="397"/>
          <w:jc w:val="center"/>
        </w:trPr>
        <w:tc>
          <w:tcPr>
            <w:tcW w:w="2329"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Época de Ocorrência</w:t>
            </w:r>
          </w:p>
        </w:tc>
        <w:tc>
          <w:tcPr>
            <w:tcW w:w="1796"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Reversibilidade</w:t>
            </w:r>
          </w:p>
        </w:tc>
        <w:tc>
          <w:tcPr>
            <w:tcW w:w="1328"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Magnitude</w:t>
            </w:r>
          </w:p>
        </w:tc>
        <w:tc>
          <w:tcPr>
            <w:tcW w:w="1461"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Importância</w:t>
            </w:r>
          </w:p>
        </w:tc>
        <w:tc>
          <w:tcPr>
            <w:tcW w:w="1539" w:type="dxa"/>
            <w:shd w:val="clear" w:color="auto" w:fill="D9D9D9"/>
            <w:vAlign w:val="center"/>
          </w:tcPr>
          <w:p w:rsidR="00F665CF" w:rsidRPr="00F61027" w:rsidRDefault="00F665CF" w:rsidP="001A063B">
            <w:pPr>
              <w:autoSpaceDE w:val="0"/>
              <w:autoSpaceDN w:val="0"/>
              <w:adjustRightInd w:val="0"/>
              <w:spacing w:before="120" w:after="120" w:line="240" w:lineRule="auto"/>
              <w:jc w:val="center"/>
              <w:rPr>
                <w:rFonts w:cs="Arial"/>
                <w:b/>
                <w:sz w:val="20"/>
              </w:rPr>
            </w:pPr>
            <w:r w:rsidRPr="00F61027">
              <w:rPr>
                <w:rFonts w:cs="Arial"/>
                <w:b/>
                <w:sz w:val="20"/>
              </w:rPr>
              <w:t>Mitigação</w:t>
            </w:r>
          </w:p>
        </w:tc>
      </w:tr>
      <w:tr w:rsidR="00AD7599" w:rsidRPr="00F61027" w:rsidTr="001A063B">
        <w:trPr>
          <w:jc w:val="center"/>
        </w:trPr>
        <w:tc>
          <w:tcPr>
            <w:tcW w:w="2329"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Pr>
                <w:rFonts w:cs="Arial"/>
                <w:sz w:val="20"/>
              </w:rPr>
              <w:t>Curto Prazo</w:t>
            </w:r>
          </w:p>
        </w:tc>
        <w:tc>
          <w:tcPr>
            <w:tcW w:w="1796"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Irreversível</w:t>
            </w:r>
          </w:p>
        </w:tc>
        <w:tc>
          <w:tcPr>
            <w:tcW w:w="1328"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Pr>
                <w:rFonts w:cs="Arial"/>
                <w:sz w:val="20"/>
              </w:rPr>
              <w:t>Grande</w:t>
            </w:r>
          </w:p>
        </w:tc>
        <w:tc>
          <w:tcPr>
            <w:tcW w:w="1461"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Pr>
                <w:rFonts w:cs="Arial"/>
                <w:sz w:val="20"/>
              </w:rPr>
              <w:t>Alta</w:t>
            </w:r>
          </w:p>
        </w:tc>
        <w:tc>
          <w:tcPr>
            <w:tcW w:w="1539" w:type="dxa"/>
            <w:shd w:val="clear" w:color="auto" w:fill="auto"/>
            <w:vAlign w:val="center"/>
          </w:tcPr>
          <w:p w:rsidR="00F665CF" w:rsidRPr="00F61027" w:rsidRDefault="00F665CF" w:rsidP="001A063B">
            <w:pPr>
              <w:autoSpaceDE w:val="0"/>
              <w:autoSpaceDN w:val="0"/>
              <w:adjustRightInd w:val="0"/>
              <w:spacing w:before="120" w:after="120" w:line="240" w:lineRule="auto"/>
              <w:jc w:val="center"/>
              <w:rPr>
                <w:rFonts w:cs="Arial"/>
                <w:sz w:val="20"/>
              </w:rPr>
            </w:pPr>
            <w:r w:rsidRPr="00F61027">
              <w:rPr>
                <w:rFonts w:cs="Arial"/>
                <w:sz w:val="20"/>
              </w:rPr>
              <w:t>Não Mitigável</w:t>
            </w:r>
          </w:p>
        </w:tc>
      </w:tr>
    </w:tbl>
    <w:p w:rsidR="00F665CF" w:rsidRPr="00B50999" w:rsidRDefault="00F665CF" w:rsidP="00B50999">
      <w:pPr>
        <w:pStyle w:val="Item-Trainho"/>
        <w:spacing w:before="240" w:after="240"/>
        <w:rPr>
          <w:b/>
        </w:rPr>
      </w:pPr>
      <w:r w:rsidRPr="00B50999">
        <w:rPr>
          <w:b/>
        </w:rPr>
        <w:t>Ações Ambientais Propostas:</w:t>
      </w:r>
    </w:p>
    <w:p w:rsidR="00F408DD" w:rsidRPr="00FB1A1A" w:rsidRDefault="00F665CF" w:rsidP="00F665CF">
      <w:pPr>
        <w:spacing w:before="120" w:after="120" w:line="240" w:lineRule="auto"/>
      </w:pPr>
      <w:r w:rsidRPr="00FB1A1A">
        <w:t xml:space="preserve">O impacto de perda da cobertura vegetal nativa não é mitigável, uma vez que para a implantação </w:t>
      </w:r>
      <w:r w:rsidR="007E754E">
        <w:t>das B</w:t>
      </w:r>
      <w:r w:rsidRPr="00FB1A1A">
        <w:t xml:space="preserve">arragens Pedreira e Duas Pontes deverá, necessariamente, haver supressão da cobertura vegetal que atualmente ocupa a ADA. Desta forma, são apresentadas ações, reunidas no Programa de Supressão de Vegetação, incluindo os subprogramas de Preparo e Acompanhamento da Supressão da Cobertura Vegetal e de Destinação da Biomassa, voltadas a garantir que as intervenções na cobertura vegetal não excedam ao estritamente necessário para a implantação do empreendimento e que seja dado o melhor destino a biomassa retirada, de modo a otimizar o seu aproveitamento e não causar novos impactos. Por outro lado, são propostas medidas destinadas à compensação deste impacto, reunidas no Programa de Revegetação e Enriquecimento </w:t>
      </w:r>
      <w:r w:rsidR="00F408DD">
        <w:t>Florestal</w:t>
      </w:r>
      <w:r w:rsidRPr="00FB1A1A">
        <w:t xml:space="preserve"> e Programa de Compensação Ambiental.</w:t>
      </w:r>
    </w:p>
    <w:p w:rsidR="00973BCF" w:rsidRPr="00555C1A" w:rsidRDefault="00CD6D82" w:rsidP="008D3A12">
      <w:pPr>
        <w:pStyle w:val="Ttulo3"/>
      </w:pPr>
      <w:bookmarkStart w:id="272" w:name="_Toc418758231"/>
      <w:bookmarkStart w:id="273" w:name="_Toc418758833"/>
      <w:bookmarkStart w:id="274" w:name="_Toc419813593"/>
      <w:r w:rsidRPr="00555C1A">
        <w:rPr>
          <w:rFonts w:cs="Arial"/>
          <w:szCs w:val="22"/>
        </w:rPr>
        <w:t>1.3.2.</w:t>
      </w:r>
      <w:r w:rsidR="008D0D70" w:rsidRPr="00555C1A">
        <w:t>2</w:t>
      </w:r>
      <w:r w:rsidR="00973BCF" w:rsidRPr="00555C1A">
        <w:t>. Perda de Hábitat para a Fauna Silvestre</w:t>
      </w:r>
      <w:bookmarkEnd w:id="272"/>
      <w:bookmarkEnd w:id="273"/>
      <w:bookmarkEnd w:id="274"/>
    </w:p>
    <w:p w:rsidR="007E754E" w:rsidRPr="007E754E" w:rsidRDefault="007E754E" w:rsidP="007E754E">
      <w:pPr>
        <w:spacing w:before="120" w:after="120" w:line="240" w:lineRule="auto"/>
        <w:rPr>
          <w:b/>
        </w:rPr>
      </w:pPr>
      <w:r w:rsidRPr="007E754E">
        <w:rPr>
          <w:b/>
        </w:rPr>
        <w:t>Fase: Implantação</w:t>
      </w:r>
    </w:p>
    <w:p w:rsidR="007E754E" w:rsidRPr="00301508" w:rsidRDefault="007E754E" w:rsidP="007E754E">
      <w:pPr>
        <w:spacing w:before="120" w:after="120" w:line="240" w:lineRule="auto"/>
      </w:pPr>
      <w:r w:rsidRPr="003B68E1">
        <w:t xml:space="preserve">Para a implantação da </w:t>
      </w:r>
      <w:r>
        <w:t>Barragem Pedreira</w:t>
      </w:r>
      <w:r w:rsidRPr="003B68E1">
        <w:t xml:space="preserve"> será </w:t>
      </w:r>
      <w:r w:rsidRPr="00301508">
        <w:t xml:space="preserve">necessária a supressão de um total de </w:t>
      </w:r>
      <w:r w:rsidR="002962A2" w:rsidRPr="00301508">
        <w:t xml:space="preserve">93,0 </w:t>
      </w:r>
      <w:r w:rsidRPr="00301508">
        <w:t xml:space="preserve">ha de cobertura vegetal nativa em estágio inicial de regeneração. Por outro lado, a implantação da Barragem Duas Pontes irá comprometer </w:t>
      </w:r>
      <w:r w:rsidR="002962A2" w:rsidRPr="00301508">
        <w:t xml:space="preserve">29,5 </w:t>
      </w:r>
      <w:r w:rsidRPr="00301508">
        <w:t xml:space="preserve">ha de formações em estágio inicial, </w:t>
      </w:r>
      <w:r w:rsidR="002962A2" w:rsidRPr="00301508">
        <w:t xml:space="preserve">58,4 </w:t>
      </w:r>
      <w:r w:rsidRPr="00301508">
        <w:t xml:space="preserve">ha de formações em estágio médio e 9,5 ha de formações em estágio avançados do processo de sucessão secundária. </w:t>
      </w:r>
    </w:p>
    <w:p w:rsidR="007E754E" w:rsidRPr="00301508" w:rsidRDefault="007E754E" w:rsidP="007E754E">
      <w:pPr>
        <w:spacing w:before="120" w:after="120" w:line="240" w:lineRule="auto"/>
      </w:pPr>
      <w:r w:rsidRPr="00301508">
        <w:t xml:space="preserve">Também serão </w:t>
      </w:r>
      <w:r w:rsidR="002962A2" w:rsidRPr="00301508">
        <w:t xml:space="preserve">afetados 15,5 ha </w:t>
      </w:r>
      <w:r w:rsidRPr="00301508">
        <w:t xml:space="preserve">de vegetação pioneira pela Barragem Pedreira; e pela Barragem Duas Pontes, outros </w:t>
      </w:r>
      <w:r w:rsidR="002962A2" w:rsidRPr="00301508">
        <w:t xml:space="preserve">22,9 ha </w:t>
      </w:r>
      <w:r w:rsidRPr="00301508">
        <w:t>de vegetação pioneira e 28,3 ha de campo úmido. Além dessas formações serão impactadas formações essencialmente antrópicas como áreas agrícolas, pastagens e reflorestamentos.</w:t>
      </w:r>
    </w:p>
    <w:p w:rsidR="007E754E" w:rsidRPr="00BB5E81" w:rsidRDefault="007E754E" w:rsidP="007E754E">
      <w:pPr>
        <w:spacing w:before="120" w:after="120" w:line="240" w:lineRule="auto"/>
      </w:pPr>
      <w:r w:rsidRPr="00BB5E81">
        <w:t>A despeito dos diferentes ambientes aqui tratados e dos diferentes estados de conservação em que os mesmos se encontram, a supressão de ambientes, naturais ou antrópicos tem, necessariamente, como consequência a perda de hábitat para a fauna. A perda de hábitat decorre da indisponibilização das condições ambientais necessárias à sobrevivência das espécies, como recursos alimentares, locais para reprodução, etc.</w:t>
      </w:r>
    </w:p>
    <w:p w:rsidR="007E754E" w:rsidRPr="00301508" w:rsidRDefault="007E754E" w:rsidP="007E754E">
      <w:pPr>
        <w:spacing w:before="120" w:after="120" w:line="240" w:lineRule="auto"/>
      </w:pPr>
      <w:r w:rsidRPr="00BB5E81">
        <w:t xml:space="preserve">Devido às características da fauna associada às diferentes formações que serão afetadas, infere-se que o impacto sobre as mesmas se manifeste de forma heterogênea. A fauna que apresenta menor sensibilidade a alterações em seus hábitats, comumente associadas a ambientes antrópicos, tem maior capacidade de se adaptar às novas condições, enquanto aquelas espécies mais </w:t>
      </w:r>
      <w:r w:rsidRPr="00301508">
        <w:t xml:space="preserve">sensíveis a alterações ambientais </w:t>
      </w:r>
      <w:r w:rsidR="002962A2" w:rsidRPr="00301508">
        <w:t>(consideradas de alta e média sensibilidade – ver Volume III-Diagnóstico do Meio Biótico) são afetadas de modo mais intenso</w:t>
      </w:r>
      <w:r w:rsidRPr="00301508">
        <w:t xml:space="preserve">. </w:t>
      </w:r>
    </w:p>
    <w:p w:rsidR="007E754E" w:rsidRPr="00BB5E81" w:rsidRDefault="007E754E" w:rsidP="00301508">
      <w:pPr>
        <w:spacing w:before="120" w:after="120" w:line="240" w:lineRule="auto"/>
      </w:pPr>
      <w:r>
        <w:t>O mesmo princípio de avaliação do impacto de perda de cobertura vegetal nativa é utilizado para a avaliação do impacto de perda de hábitat para a fauna silvestre. Ou seja, a despeito da predominância de ambientes antrópicos na ADA da Barragem Pedreira, a perda de formações, ainda que em estágio inicial do processo de sucessão secundária, deve ser considerado de média magnitude e alta importância, devido ao nível de comprometimento das paisagens da região, onde são escassos, mesmo os remanescentes nos estágios iniciais do processo de regeneração natural.</w:t>
      </w:r>
    </w:p>
    <w:p w:rsidR="00301508" w:rsidRPr="006F141D" w:rsidRDefault="008D3A12" w:rsidP="006F141D">
      <w:pPr>
        <w:pStyle w:val="Legenda"/>
        <w:spacing w:before="0" w:after="0" w:line="240" w:lineRule="auto"/>
        <w:jc w:val="center"/>
        <w:rPr>
          <w:rFonts w:cs="Arial"/>
          <w:b w:val="0"/>
          <w:bCs/>
          <w:i w:val="0"/>
          <w:szCs w:val="22"/>
        </w:rPr>
      </w:pPr>
      <w:bookmarkStart w:id="275" w:name="_Toc420316487"/>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44</w:t>
      </w:r>
      <w:r w:rsidR="00B80A05" w:rsidRPr="006F141D">
        <w:rPr>
          <w:i w:val="0"/>
        </w:rPr>
        <w:fldChar w:fldCharType="end"/>
      </w:r>
      <w:r w:rsidR="006F141D" w:rsidRPr="006F141D">
        <w:rPr>
          <w:i w:val="0"/>
        </w:rPr>
        <w:t>.</w:t>
      </w:r>
      <w:r w:rsidR="006F141D" w:rsidRPr="006F141D">
        <w:rPr>
          <w:b w:val="0"/>
          <w:i w:val="0"/>
        </w:rPr>
        <w:t xml:space="preserve"> -</w:t>
      </w:r>
      <w:r w:rsidR="00B11E51" w:rsidRPr="006F141D">
        <w:rPr>
          <w:rFonts w:cs="Arial"/>
          <w:b w:val="0"/>
          <w:bCs/>
          <w:i w:val="0"/>
          <w:szCs w:val="22"/>
        </w:rPr>
        <w:t xml:space="preserve"> </w:t>
      </w:r>
      <w:r w:rsidR="007E754E" w:rsidRPr="006F141D">
        <w:rPr>
          <w:rFonts w:cs="Arial"/>
          <w:b w:val="0"/>
          <w:bCs/>
          <w:i w:val="0"/>
          <w:szCs w:val="22"/>
        </w:rPr>
        <w:t xml:space="preserve">Caracterização do Impacto - </w:t>
      </w:r>
      <w:r w:rsidR="007E754E" w:rsidRPr="006F141D">
        <w:rPr>
          <w:b w:val="0"/>
          <w:i w:val="0"/>
        </w:rPr>
        <w:t>Perda de Hábitat para a Fauna Silvestre</w:t>
      </w:r>
      <w:bookmarkEnd w:id="275"/>
    </w:p>
    <w:p w:rsidR="007E754E" w:rsidRPr="00B50999" w:rsidRDefault="007E754E" w:rsidP="006F141D">
      <w:pPr>
        <w:autoSpaceDE w:val="0"/>
        <w:autoSpaceDN w:val="0"/>
        <w:adjustRightInd w:val="0"/>
        <w:spacing w:line="240" w:lineRule="auto"/>
        <w:jc w:val="center"/>
        <w:rPr>
          <w:rFonts w:cs="Arial"/>
          <w:bCs/>
          <w:szCs w:val="22"/>
        </w:rPr>
      </w:pPr>
      <w:r w:rsidRPr="00B50999">
        <w:rPr>
          <w:rFonts w:cs="Arial"/>
          <w:bCs/>
          <w:szCs w:val="22"/>
        </w:rPr>
        <w:t xml:space="preserve"> Barragem Pedreira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972"/>
        <w:gridCol w:w="1795"/>
        <w:gridCol w:w="1417"/>
        <w:gridCol w:w="3051"/>
      </w:tblGrid>
      <w:tr w:rsidR="007E754E" w:rsidRPr="00F61027" w:rsidTr="001A063B">
        <w:trPr>
          <w:trHeight w:val="397"/>
          <w:jc w:val="center"/>
        </w:trPr>
        <w:tc>
          <w:tcPr>
            <w:tcW w:w="1172"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Natureza</w:t>
            </w:r>
          </w:p>
        </w:tc>
        <w:tc>
          <w:tcPr>
            <w:tcW w:w="972"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Ordem</w:t>
            </w:r>
          </w:p>
        </w:tc>
        <w:tc>
          <w:tcPr>
            <w:tcW w:w="1795"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Abrangência</w:t>
            </w:r>
          </w:p>
        </w:tc>
        <w:tc>
          <w:tcPr>
            <w:tcW w:w="1417"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Duração</w:t>
            </w:r>
          </w:p>
        </w:tc>
        <w:tc>
          <w:tcPr>
            <w:tcW w:w="3051"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Probabilidade de Ocorrência</w:t>
            </w:r>
          </w:p>
        </w:tc>
      </w:tr>
      <w:tr w:rsidR="007E754E" w:rsidRPr="00F61027" w:rsidTr="001A063B">
        <w:trPr>
          <w:jc w:val="center"/>
        </w:trPr>
        <w:tc>
          <w:tcPr>
            <w:tcW w:w="1172"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Pr>
                <w:rFonts w:cs="Arial"/>
                <w:sz w:val="20"/>
              </w:rPr>
              <w:t>Negativa</w:t>
            </w:r>
          </w:p>
        </w:tc>
        <w:tc>
          <w:tcPr>
            <w:tcW w:w="972"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sidRPr="00F61027">
              <w:rPr>
                <w:rFonts w:cs="Arial"/>
                <w:sz w:val="20"/>
              </w:rPr>
              <w:t>Direta</w:t>
            </w:r>
          </w:p>
        </w:tc>
        <w:tc>
          <w:tcPr>
            <w:tcW w:w="1795"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sidRPr="00F61027">
              <w:rPr>
                <w:rFonts w:cs="Arial"/>
                <w:sz w:val="20"/>
              </w:rPr>
              <w:t>Local (ADA/AID)</w:t>
            </w:r>
          </w:p>
        </w:tc>
        <w:tc>
          <w:tcPr>
            <w:tcW w:w="1417"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sidRPr="00F61027">
              <w:rPr>
                <w:rFonts w:cs="Arial"/>
                <w:sz w:val="20"/>
              </w:rPr>
              <w:t>Permanente</w:t>
            </w:r>
          </w:p>
        </w:tc>
        <w:tc>
          <w:tcPr>
            <w:tcW w:w="3051"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sidRPr="00F61027">
              <w:rPr>
                <w:rFonts w:cs="Arial"/>
                <w:sz w:val="20"/>
              </w:rPr>
              <w:t>Certa</w:t>
            </w:r>
          </w:p>
        </w:tc>
      </w:tr>
    </w:tbl>
    <w:p w:rsidR="007E754E" w:rsidRPr="00F61027" w:rsidRDefault="007E754E" w:rsidP="007E754E">
      <w:pPr>
        <w:autoSpaceDE w:val="0"/>
        <w:autoSpaceDN w:val="0"/>
        <w:adjustRightInd w:val="0"/>
        <w:spacing w:line="240" w:lineRule="auto"/>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7E754E" w:rsidRPr="00F61027" w:rsidTr="001A063B">
        <w:trPr>
          <w:trHeight w:val="397"/>
          <w:jc w:val="center"/>
        </w:trPr>
        <w:tc>
          <w:tcPr>
            <w:tcW w:w="2329"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Época de Ocorrência</w:t>
            </w:r>
          </w:p>
        </w:tc>
        <w:tc>
          <w:tcPr>
            <w:tcW w:w="1796"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Reversibilidade</w:t>
            </w:r>
          </w:p>
        </w:tc>
        <w:tc>
          <w:tcPr>
            <w:tcW w:w="1328"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Magnitude</w:t>
            </w:r>
          </w:p>
        </w:tc>
        <w:tc>
          <w:tcPr>
            <w:tcW w:w="1461"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Importância</w:t>
            </w:r>
          </w:p>
        </w:tc>
        <w:tc>
          <w:tcPr>
            <w:tcW w:w="1539"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Mitigação</w:t>
            </w:r>
          </w:p>
        </w:tc>
      </w:tr>
      <w:tr w:rsidR="007E754E" w:rsidRPr="00F61027" w:rsidTr="001A063B">
        <w:trPr>
          <w:jc w:val="center"/>
        </w:trPr>
        <w:tc>
          <w:tcPr>
            <w:tcW w:w="2329"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Pr>
                <w:rFonts w:cs="Arial"/>
                <w:sz w:val="20"/>
              </w:rPr>
              <w:t>Curto</w:t>
            </w:r>
            <w:r w:rsidRPr="00F61027">
              <w:rPr>
                <w:rFonts w:cs="Arial"/>
                <w:sz w:val="20"/>
              </w:rPr>
              <w:t xml:space="preserve"> Prazo</w:t>
            </w:r>
          </w:p>
        </w:tc>
        <w:tc>
          <w:tcPr>
            <w:tcW w:w="1796"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sidRPr="00F61027">
              <w:rPr>
                <w:rFonts w:cs="Arial"/>
                <w:sz w:val="20"/>
              </w:rPr>
              <w:t>Irreversível</w:t>
            </w:r>
          </w:p>
        </w:tc>
        <w:tc>
          <w:tcPr>
            <w:tcW w:w="1328"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Pr>
                <w:rFonts w:cs="Arial"/>
                <w:sz w:val="20"/>
              </w:rPr>
              <w:t>Média</w:t>
            </w:r>
          </w:p>
        </w:tc>
        <w:tc>
          <w:tcPr>
            <w:tcW w:w="1461"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Pr>
                <w:rFonts w:cs="Arial"/>
                <w:sz w:val="20"/>
              </w:rPr>
              <w:t>Alta</w:t>
            </w:r>
          </w:p>
        </w:tc>
        <w:tc>
          <w:tcPr>
            <w:tcW w:w="1539"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sidRPr="00F61027">
              <w:rPr>
                <w:rFonts w:cs="Arial"/>
                <w:sz w:val="20"/>
              </w:rPr>
              <w:t>Não Mitigável</w:t>
            </w:r>
          </w:p>
        </w:tc>
      </w:tr>
    </w:tbl>
    <w:p w:rsidR="00885973" w:rsidRPr="00885973" w:rsidRDefault="00885973" w:rsidP="00301508">
      <w:pPr>
        <w:autoSpaceDE w:val="0"/>
        <w:autoSpaceDN w:val="0"/>
        <w:adjustRightInd w:val="0"/>
        <w:spacing w:line="240" w:lineRule="auto"/>
        <w:rPr>
          <w:rFonts w:cs="Arial"/>
          <w:bCs/>
          <w:szCs w:val="22"/>
        </w:rPr>
      </w:pPr>
    </w:p>
    <w:p w:rsidR="007E754E" w:rsidRDefault="007E754E" w:rsidP="007E754E">
      <w:pPr>
        <w:autoSpaceDE w:val="0"/>
        <w:autoSpaceDN w:val="0"/>
        <w:adjustRightInd w:val="0"/>
        <w:spacing w:before="240" w:after="120" w:line="240" w:lineRule="auto"/>
        <w:rPr>
          <w:rFonts w:cs="Arial"/>
          <w:bCs/>
          <w:szCs w:val="22"/>
        </w:rPr>
      </w:pPr>
      <w:r w:rsidRPr="00B701E7">
        <w:rPr>
          <w:rFonts w:cs="Arial"/>
          <w:bCs/>
          <w:szCs w:val="22"/>
        </w:rPr>
        <w:t xml:space="preserve">Considerando o melhor estado de conservação das formações a serem suprimidas para a implantação da </w:t>
      </w:r>
      <w:r>
        <w:rPr>
          <w:rFonts w:cs="Arial"/>
          <w:bCs/>
          <w:szCs w:val="22"/>
        </w:rPr>
        <w:t>Barragem Duas Pontes</w:t>
      </w:r>
      <w:r w:rsidRPr="00B701E7">
        <w:rPr>
          <w:rFonts w:cs="Arial"/>
          <w:bCs/>
          <w:szCs w:val="22"/>
        </w:rPr>
        <w:t xml:space="preserve">, que inclui remanescentes em estágio médio e avançado de regeneração, além daqueles que se encontram em estágio inicial, o impacto de perda de hábitat para a fauna silvestre deve ser considerado de grande magnitude e alta importância. Os demais parâmetros de avaliação deste impacto são apresentados </w:t>
      </w:r>
      <w:r w:rsidR="00EF55EF">
        <w:rPr>
          <w:rFonts w:cs="Arial"/>
          <w:bCs/>
          <w:szCs w:val="22"/>
        </w:rPr>
        <w:t xml:space="preserve">no Quadro 1.3.44., </w:t>
      </w:r>
      <w:r w:rsidRPr="00B701E7">
        <w:rPr>
          <w:rFonts w:cs="Arial"/>
          <w:bCs/>
          <w:szCs w:val="22"/>
        </w:rPr>
        <w:t>a seguir.</w:t>
      </w:r>
    </w:p>
    <w:p w:rsidR="00E155C0" w:rsidRDefault="00E155C0" w:rsidP="007E754E">
      <w:pPr>
        <w:autoSpaceDE w:val="0"/>
        <w:autoSpaceDN w:val="0"/>
        <w:adjustRightInd w:val="0"/>
        <w:spacing w:before="240" w:after="120" w:line="240" w:lineRule="auto"/>
        <w:rPr>
          <w:rFonts w:cs="Arial"/>
          <w:bCs/>
          <w:szCs w:val="22"/>
        </w:rPr>
      </w:pPr>
    </w:p>
    <w:p w:rsidR="007E754E" w:rsidRDefault="008D3A12" w:rsidP="00E155C0">
      <w:pPr>
        <w:pStyle w:val="Legenda"/>
        <w:spacing w:before="0" w:after="0" w:line="240" w:lineRule="auto"/>
        <w:jc w:val="center"/>
        <w:rPr>
          <w:rFonts w:cs="Arial"/>
          <w:b w:val="0"/>
          <w:bCs/>
          <w:i w:val="0"/>
          <w:szCs w:val="22"/>
        </w:rPr>
      </w:pPr>
      <w:bookmarkStart w:id="276" w:name="_Toc420316488"/>
      <w:r w:rsidRPr="006F141D">
        <w:rPr>
          <w:i w:val="0"/>
        </w:rPr>
        <w:t xml:space="preserve">Quadro </w:t>
      </w:r>
      <w:r w:rsidR="00B80A05" w:rsidRPr="006F141D">
        <w:rPr>
          <w:i w:val="0"/>
        </w:rPr>
        <w:fldChar w:fldCharType="begin"/>
      </w:r>
      <w:r w:rsidR="00402E81" w:rsidRPr="006F141D">
        <w:rPr>
          <w:i w:val="0"/>
        </w:rPr>
        <w:instrText xml:space="preserve"> STYLEREF 2 \s </w:instrText>
      </w:r>
      <w:r w:rsidR="00B80A05" w:rsidRPr="006F141D">
        <w:rPr>
          <w:i w:val="0"/>
        </w:rPr>
        <w:fldChar w:fldCharType="separate"/>
      </w:r>
      <w:r w:rsidR="00316060">
        <w:rPr>
          <w:i w:val="0"/>
          <w:noProof/>
        </w:rPr>
        <w:t>1.3</w:t>
      </w:r>
      <w:r w:rsidR="00B80A05" w:rsidRPr="006F141D">
        <w:rPr>
          <w:i w:val="0"/>
        </w:rPr>
        <w:fldChar w:fldCharType="end"/>
      </w:r>
      <w:r w:rsidR="00402E81" w:rsidRPr="006F141D">
        <w:rPr>
          <w:i w:val="0"/>
        </w:rPr>
        <w:t>.</w:t>
      </w:r>
      <w:r w:rsidR="00B80A05" w:rsidRPr="006F141D">
        <w:rPr>
          <w:i w:val="0"/>
        </w:rPr>
        <w:fldChar w:fldCharType="begin"/>
      </w:r>
      <w:r w:rsidR="00402E81" w:rsidRPr="006F141D">
        <w:rPr>
          <w:i w:val="0"/>
        </w:rPr>
        <w:instrText xml:space="preserve"> SEQ Quadro \* ARABIC \s 2 </w:instrText>
      </w:r>
      <w:r w:rsidR="00B80A05" w:rsidRPr="006F141D">
        <w:rPr>
          <w:i w:val="0"/>
        </w:rPr>
        <w:fldChar w:fldCharType="separate"/>
      </w:r>
      <w:r w:rsidR="00316060">
        <w:rPr>
          <w:i w:val="0"/>
          <w:noProof/>
        </w:rPr>
        <w:t>45</w:t>
      </w:r>
      <w:r w:rsidR="00B80A05" w:rsidRPr="006F141D">
        <w:rPr>
          <w:i w:val="0"/>
        </w:rPr>
        <w:fldChar w:fldCharType="end"/>
      </w:r>
      <w:r w:rsidR="006F141D" w:rsidRPr="006F141D">
        <w:rPr>
          <w:i w:val="0"/>
        </w:rPr>
        <w:t>.</w:t>
      </w:r>
      <w:r w:rsidR="006F141D" w:rsidRPr="006F141D">
        <w:rPr>
          <w:b w:val="0"/>
          <w:i w:val="0"/>
        </w:rPr>
        <w:t xml:space="preserve"> -</w:t>
      </w:r>
      <w:r w:rsidR="00B11E51" w:rsidRPr="006F141D">
        <w:rPr>
          <w:rFonts w:cs="Arial"/>
          <w:b w:val="0"/>
          <w:bCs/>
          <w:i w:val="0"/>
          <w:szCs w:val="22"/>
        </w:rPr>
        <w:t xml:space="preserve"> </w:t>
      </w:r>
      <w:r w:rsidR="007E754E" w:rsidRPr="006F141D">
        <w:rPr>
          <w:rFonts w:cs="Arial"/>
          <w:b w:val="0"/>
          <w:bCs/>
          <w:i w:val="0"/>
          <w:szCs w:val="22"/>
        </w:rPr>
        <w:t xml:space="preserve">Caracterização do Impacto - </w:t>
      </w:r>
      <w:r w:rsidR="007E754E" w:rsidRPr="006F141D">
        <w:rPr>
          <w:b w:val="0"/>
          <w:i w:val="0"/>
        </w:rPr>
        <w:t>Perda de Hábitat para a Fauna Silvestre</w:t>
      </w:r>
      <w:r w:rsidR="007E754E" w:rsidRPr="006F141D">
        <w:rPr>
          <w:rFonts w:cs="Arial"/>
          <w:b w:val="0"/>
          <w:bCs/>
          <w:i w:val="0"/>
          <w:szCs w:val="22"/>
        </w:rPr>
        <w:t xml:space="preserve"> - Barragem Duas Pontes</w:t>
      </w:r>
      <w:bookmarkEnd w:id="27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972"/>
        <w:gridCol w:w="1795"/>
        <w:gridCol w:w="1417"/>
        <w:gridCol w:w="3051"/>
      </w:tblGrid>
      <w:tr w:rsidR="007E754E" w:rsidRPr="00F61027" w:rsidTr="001A063B">
        <w:trPr>
          <w:trHeight w:val="397"/>
          <w:jc w:val="center"/>
        </w:trPr>
        <w:tc>
          <w:tcPr>
            <w:tcW w:w="1172"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Natureza</w:t>
            </w:r>
          </w:p>
        </w:tc>
        <w:tc>
          <w:tcPr>
            <w:tcW w:w="972"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Ordem</w:t>
            </w:r>
          </w:p>
        </w:tc>
        <w:tc>
          <w:tcPr>
            <w:tcW w:w="1795"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Abrangência</w:t>
            </w:r>
          </w:p>
        </w:tc>
        <w:tc>
          <w:tcPr>
            <w:tcW w:w="1417"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Duração</w:t>
            </w:r>
          </w:p>
        </w:tc>
        <w:tc>
          <w:tcPr>
            <w:tcW w:w="3051"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Probabilidade de Ocorrência</w:t>
            </w:r>
          </w:p>
        </w:tc>
      </w:tr>
      <w:tr w:rsidR="007E754E" w:rsidRPr="00F61027" w:rsidTr="001A063B">
        <w:trPr>
          <w:jc w:val="center"/>
        </w:trPr>
        <w:tc>
          <w:tcPr>
            <w:tcW w:w="1172"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Pr>
                <w:rFonts w:cs="Arial"/>
                <w:sz w:val="20"/>
              </w:rPr>
              <w:t>Negativa</w:t>
            </w:r>
          </w:p>
        </w:tc>
        <w:tc>
          <w:tcPr>
            <w:tcW w:w="972"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sidRPr="00F61027">
              <w:rPr>
                <w:rFonts w:cs="Arial"/>
                <w:sz w:val="20"/>
              </w:rPr>
              <w:t>Direta</w:t>
            </w:r>
          </w:p>
        </w:tc>
        <w:tc>
          <w:tcPr>
            <w:tcW w:w="1795"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sidRPr="00F61027">
              <w:rPr>
                <w:rFonts w:cs="Arial"/>
                <w:sz w:val="20"/>
              </w:rPr>
              <w:t>Local (ADA/AID)</w:t>
            </w:r>
          </w:p>
        </w:tc>
        <w:tc>
          <w:tcPr>
            <w:tcW w:w="1417"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sidRPr="00F61027">
              <w:rPr>
                <w:rFonts w:cs="Arial"/>
                <w:sz w:val="20"/>
              </w:rPr>
              <w:t>Permanente</w:t>
            </w:r>
          </w:p>
        </w:tc>
        <w:tc>
          <w:tcPr>
            <w:tcW w:w="3051"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sidRPr="00F61027">
              <w:rPr>
                <w:rFonts w:cs="Arial"/>
                <w:sz w:val="20"/>
              </w:rPr>
              <w:t>Certa</w:t>
            </w:r>
          </w:p>
        </w:tc>
      </w:tr>
    </w:tbl>
    <w:p w:rsidR="007E754E" w:rsidRPr="00F61027" w:rsidRDefault="007E754E" w:rsidP="007E754E">
      <w:pPr>
        <w:autoSpaceDE w:val="0"/>
        <w:autoSpaceDN w:val="0"/>
        <w:adjustRightInd w:val="0"/>
        <w:spacing w:line="240" w:lineRule="auto"/>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7E754E" w:rsidRPr="00F61027" w:rsidTr="001A063B">
        <w:trPr>
          <w:trHeight w:val="397"/>
          <w:jc w:val="center"/>
        </w:trPr>
        <w:tc>
          <w:tcPr>
            <w:tcW w:w="2329"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Época de Ocorrência</w:t>
            </w:r>
          </w:p>
        </w:tc>
        <w:tc>
          <w:tcPr>
            <w:tcW w:w="1796"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Reversibilidade</w:t>
            </w:r>
          </w:p>
        </w:tc>
        <w:tc>
          <w:tcPr>
            <w:tcW w:w="1328"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Magnitude</w:t>
            </w:r>
          </w:p>
        </w:tc>
        <w:tc>
          <w:tcPr>
            <w:tcW w:w="1461"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Importância</w:t>
            </w:r>
          </w:p>
        </w:tc>
        <w:tc>
          <w:tcPr>
            <w:tcW w:w="1539" w:type="dxa"/>
            <w:shd w:val="clear" w:color="auto" w:fill="D9D9D9"/>
            <w:vAlign w:val="center"/>
          </w:tcPr>
          <w:p w:rsidR="007E754E" w:rsidRPr="00F61027" w:rsidRDefault="007E754E" w:rsidP="001A063B">
            <w:pPr>
              <w:autoSpaceDE w:val="0"/>
              <w:autoSpaceDN w:val="0"/>
              <w:adjustRightInd w:val="0"/>
              <w:spacing w:before="120" w:after="120" w:line="240" w:lineRule="auto"/>
              <w:jc w:val="center"/>
              <w:rPr>
                <w:rFonts w:cs="Arial"/>
                <w:b/>
                <w:sz w:val="20"/>
              </w:rPr>
            </w:pPr>
            <w:r w:rsidRPr="00F61027">
              <w:rPr>
                <w:rFonts w:cs="Arial"/>
                <w:b/>
                <w:sz w:val="20"/>
              </w:rPr>
              <w:t>Mitigação</w:t>
            </w:r>
          </w:p>
        </w:tc>
      </w:tr>
      <w:tr w:rsidR="007E754E" w:rsidRPr="00F61027" w:rsidTr="001A063B">
        <w:trPr>
          <w:jc w:val="center"/>
        </w:trPr>
        <w:tc>
          <w:tcPr>
            <w:tcW w:w="2329"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Pr>
                <w:rFonts w:cs="Arial"/>
                <w:sz w:val="20"/>
              </w:rPr>
              <w:t>Curto Prazo</w:t>
            </w:r>
          </w:p>
        </w:tc>
        <w:tc>
          <w:tcPr>
            <w:tcW w:w="1796"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sidRPr="00F61027">
              <w:rPr>
                <w:rFonts w:cs="Arial"/>
                <w:sz w:val="20"/>
              </w:rPr>
              <w:t>Irreversível</w:t>
            </w:r>
          </w:p>
        </w:tc>
        <w:tc>
          <w:tcPr>
            <w:tcW w:w="1328"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Pr>
                <w:rFonts w:cs="Arial"/>
                <w:sz w:val="20"/>
              </w:rPr>
              <w:t>Grande</w:t>
            </w:r>
          </w:p>
        </w:tc>
        <w:tc>
          <w:tcPr>
            <w:tcW w:w="1461"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Pr>
                <w:rFonts w:cs="Arial"/>
                <w:sz w:val="20"/>
              </w:rPr>
              <w:t>Alta</w:t>
            </w:r>
          </w:p>
        </w:tc>
        <w:tc>
          <w:tcPr>
            <w:tcW w:w="1539" w:type="dxa"/>
            <w:shd w:val="clear" w:color="auto" w:fill="auto"/>
            <w:vAlign w:val="center"/>
          </w:tcPr>
          <w:p w:rsidR="007E754E" w:rsidRPr="00F61027" w:rsidRDefault="007E754E" w:rsidP="001A063B">
            <w:pPr>
              <w:autoSpaceDE w:val="0"/>
              <w:autoSpaceDN w:val="0"/>
              <w:adjustRightInd w:val="0"/>
              <w:spacing w:before="120" w:after="120" w:line="240" w:lineRule="auto"/>
              <w:jc w:val="center"/>
              <w:rPr>
                <w:rFonts w:cs="Arial"/>
                <w:sz w:val="20"/>
              </w:rPr>
            </w:pPr>
            <w:r w:rsidRPr="00F61027">
              <w:rPr>
                <w:rFonts w:cs="Arial"/>
                <w:sz w:val="20"/>
              </w:rPr>
              <w:t>Não Mitigável</w:t>
            </w:r>
          </w:p>
        </w:tc>
      </w:tr>
    </w:tbl>
    <w:p w:rsidR="007E754E" w:rsidRPr="00F61027" w:rsidRDefault="007E754E" w:rsidP="00885973">
      <w:pPr>
        <w:autoSpaceDE w:val="0"/>
        <w:autoSpaceDN w:val="0"/>
        <w:adjustRightInd w:val="0"/>
        <w:spacing w:line="240" w:lineRule="auto"/>
        <w:rPr>
          <w:rFonts w:cs="Arial"/>
          <w:szCs w:val="22"/>
        </w:rPr>
      </w:pPr>
    </w:p>
    <w:p w:rsidR="007E754E" w:rsidRPr="00B50999" w:rsidRDefault="007E754E" w:rsidP="00B50999">
      <w:pPr>
        <w:pStyle w:val="Item-Trainho"/>
        <w:rPr>
          <w:b/>
        </w:rPr>
      </w:pPr>
      <w:r w:rsidRPr="00B50999">
        <w:rPr>
          <w:b/>
        </w:rPr>
        <w:t>Ações Ambientais Propostas:</w:t>
      </w:r>
    </w:p>
    <w:p w:rsidR="00B00F03" w:rsidRDefault="007E754E" w:rsidP="007E754E">
      <w:pPr>
        <w:spacing w:before="120" w:after="120" w:line="240" w:lineRule="auto"/>
      </w:pPr>
      <w:r w:rsidRPr="00B701E7">
        <w:t xml:space="preserve">A perda de hábitat para a fauna é um impacto não mitigável, uma vez que a supressão de cobertura vegetal é condição </w:t>
      </w:r>
      <w:r w:rsidRPr="00B701E7">
        <w:rPr>
          <w:i/>
        </w:rPr>
        <w:t>sine qua non</w:t>
      </w:r>
      <w:r w:rsidRPr="00B701E7">
        <w:t xml:space="preserve"> para a implantação </w:t>
      </w:r>
      <w:r>
        <w:t>das B</w:t>
      </w:r>
      <w:r w:rsidRPr="00B701E7">
        <w:t>arragens Pedreira e Duas Pontes. Ressalta-se, entretanto, que o impacto de perda de hábitat para a fauna será objeto das medidas compensatórias descritas nos programas de Revegetação e Enriquecimento Florestal e, de forma indireta, de Compensação Ambiental. Cabe ainda destacar as ações reunidas no Programa de Supressão de Vegetação, mais especificamente no Subprograma de Preparo e Acompanhamento da Supressão da Cobertura Vegetal, voltadas a garantir que as intervenções na cobertura vegetal não excedam ao estritamente necessário para a implantação do empreendimento. Da mesma forma, ressalta-se o Programa de Monitoramento e Conservação da Fauna, que tem como objetivo principal avaliar os efeitos da implantação e operação do empreendimento.</w:t>
      </w:r>
    </w:p>
    <w:p w:rsidR="00E155C0" w:rsidRDefault="00E155C0" w:rsidP="007E754E">
      <w:pPr>
        <w:spacing w:before="120" w:after="120" w:line="240" w:lineRule="auto"/>
      </w:pPr>
      <w:r>
        <w:br w:type="page"/>
      </w:r>
    </w:p>
    <w:p w:rsidR="00973BCF" w:rsidRPr="00555C1A" w:rsidRDefault="00CD6D82" w:rsidP="008D3A12">
      <w:pPr>
        <w:pStyle w:val="Ttulo3"/>
      </w:pPr>
      <w:bookmarkStart w:id="277" w:name="_Toc418758232"/>
      <w:bookmarkStart w:id="278" w:name="_Toc418758834"/>
      <w:bookmarkStart w:id="279" w:name="_Toc419813594"/>
      <w:r w:rsidRPr="00555C1A">
        <w:rPr>
          <w:rFonts w:cs="Arial"/>
          <w:szCs w:val="22"/>
        </w:rPr>
        <w:t>1.3.2.</w:t>
      </w:r>
      <w:r w:rsidR="008D0D70" w:rsidRPr="00555C1A">
        <w:t>3</w:t>
      </w:r>
      <w:r w:rsidR="00973BCF" w:rsidRPr="00555C1A">
        <w:t>. Redução da Conectividade entre Remanescentes de Cobertura Vegetal Nativa</w:t>
      </w:r>
      <w:bookmarkEnd w:id="277"/>
      <w:bookmarkEnd w:id="278"/>
      <w:bookmarkEnd w:id="279"/>
    </w:p>
    <w:p w:rsidR="00885973" w:rsidRPr="00885973" w:rsidRDefault="00885973" w:rsidP="00885973">
      <w:pPr>
        <w:spacing w:before="120" w:after="120" w:line="240" w:lineRule="auto"/>
        <w:rPr>
          <w:b/>
        </w:rPr>
      </w:pPr>
      <w:r w:rsidRPr="00885973">
        <w:rPr>
          <w:b/>
        </w:rPr>
        <w:t>Fase: Implantação</w:t>
      </w:r>
    </w:p>
    <w:p w:rsidR="00885973" w:rsidRPr="0023399F" w:rsidRDefault="00885973" w:rsidP="00885973">
      <w:pPr>
        <w:spacing w:before="120" w:after="120" w:line="240" w:lineRule="auto"/>
      </w:pPr>
      <w:r w:rsidRPr="00B701E7">
        <w:t xml:space="preserve">Para a implantação da </w:t>
      </w:r>
      <w:r>
        <w:t>Barragem Pedreira</w:t>
      </w:r>
      <w:r w:rsidRPr="00B701E7">
        <w:t xml:space="preserve">, será necessária, conforme já apresentado, a supressão de </w:t>
      </w:r>
      <w:r w:rsidR="002962A2" w:rsidRPr="00301508">
        <w:rPr>
          <w:b/>
        </w:rPr>
        <w:t xml:space="preserve">93,0 </w:t>
      </w:r>
      <w:r w:rsidRPr="00301508">
        <w:t xml:space="preserve">ha de formações vegetais nativas, enquanto para a implantação da Barragem Duas Pontes este total será de aproximadamente </w:t>
      </w:r>
      <w:r w:rsidR="002962A2" w:rsidRPr="00301508">
        <w:rPr>
          <w:b/>
        </w:rPr>
        <w:t xml:space="preserve">93,4 </w:t>
      </w:r>
      <w:r w:rsidRPr="00301508">
        <w:t>ha. Parte</w:t>
      </w:r>
      <w:r w:rsidRPr="00B701E7">
        <w:t xml:space="preserve"> das intervenções induzirá a fragmentação de manchas de vegetação </w:t>
      </w:r>
      <w:r w:rsidRPr="0023399F">
        <w:t>atualmente contínuas, ou, ainda, o aumento do isolamento (redução da conectividade) entre manchas de vegetação que já se encontram isoladas.</w:t>
      </w:r>
    </w:p>
    <w:p w:rsidR="00885973" w:rsidRPr="0023399F" w:rsidRDefault="00885973" w:rsidP="00885973">
      <w:pPr>
        <w:spacing w:before="120" w:after="120" w:line="240" w:lineRule="auto"/>
      </w:pPr>
      <w:r w:rsidRPr="0023399F">
        <w:t>Outra consequência da supressão da cobertura vegetal nativa é a indução do efeito de borda sobre novas áreas. O efeito de borda é um processo inerente ao contato entre dois ambientes diferentes. Nessa zona de contato observam-se efeitos de influência mutua, ou seja, de um ambiente sobre o outro, formando uma zona de transição.</w:t>
      </w:r>
    </w:p>
    <w:p w:rsidR="00885973" w:rsidRPr="0023399F" w:rsidRDefault="00885973" w:rsidP="00885973">
      <w:pPr>
        <w:spacing w:before="120" w:after="120" w:line="240" w:lineRule="auto"/>
      </w:pPr>
      <w:r w:rsidRPr="0023399F">
        <w:t>Apesar de ser um processo natural o efeito de borda deve ser encarado como um problema quando a interação se dá entre ambientes naturais e antrópicos, ou seja, quando os remanescentes de formações naturais sofrem influências de ambientes produzidos pela intervenção humana. Como consequência desse processo, espécies pioneiras e secundárias iniciais, adaptadas às condições de borda, ou seja, de contato entre formações, tendem a ser favorecidas, em detrimento daquelas mais exigentes como</w:t>
      </w:r>
      <w:r>
        <w:t xml:space="preserve"> as secundárias tardias e climát</w:t>
      </w:r>
      <w:r w:rsidRPr="0023399F">
        <w:t>icas.</w:t>
      </w:r>
    </w:p>
    <w:p w:rsidR="00885973" w:rsidRPr="0023399F" w:rsidRDefault="00885973" w:rsidP="00885973">
      <w:pPr>
        <w:spacing w:before="120" w:after="120" w:line="240" w:lineRule="auto"/>
      </w:pPr>
      <w:r>
        <w:t>Com a implantação das B</w:t>
      </w:r>
      <w:r w:rsidRPr="0023399F">
        <w:t>arr</w:t>
      </w:r>
      <w:r>
        <w:t>agens Pedreira e Duas Pontes</w:t>
      </w:r>
      <w:r w:rsidRPr="0023399F">
        <w:t xml:space="preserve"> os remanescentes de vegetação nativa, parcialmente comprometidos, sofrerão as consequências deletérias do efeito de borda. Quando as características do entorno são alteradas, os remanescentes são submetidos a esse processo que os descaracterizam paulatinamente, de fora para dentro. Este efeito pode ter diferentes abrangências espaciais e ser de diferentes intensidades, dependendo do tipo de formação vegetal, da área e da forma do remanescente. </w:t>
      </w:r>
    </w:p>
    <w:p w:rsidR="00885973" w:rsidRDefault="00885973" w:rsidP="00885973">
      <w:pPr>
        <w:spacing w:before="120" w:after="120" w:line="240" w:lineRule="auto"/>
      </w:pPr>
      <w:r w:rsidRPr="00085367">
        <w:t xml:space="preserve">Considerando as características das intervenções necessárias à implantação da </w:t>
      </w:r>
      <w:r>
        <w:t xml:space="preserve">Barragem Pedreira a da distribuição </w:t>
      </w:r>
      <w:r w:rsidRPr="000960E7">
        <w:t>atual e</w:t>
      </w:r>
      <w:r>
        <w:t xml:space="preserve"> futura dos remanescentes de cob</w:t>
      </w:r>
      <w:r w:rsidRPr="000960E7">
        <w:t>ertura vegetal nativa, avaliou-se o impacto de redução da conectividade entre remanescentes de cobertura vegetal nativa como de média magnitude e importância.</w:t>
      </w:r>
    </w:p>
    <w:p w:rsidR="00EF55EF" w:rsidRPr="004773A5" w:rsidRDefault="00EF55EF" w:rsidP="00885973">
      <w:pPr>
        <w:spacing w:before="120" w:after="120" w:line="240" w:lineRule="auto"/>
      </w:pPr>
    </w:p>
    <w:p w:rsidR="00885973" w:rsidRPr="00EF55EF" w:rsidRDefault="008D3A12" w:rsidP="00EF55EF">
      <w:pPr>
        <w:pStyle w:val="Legenda"/>
        <w:spacing w:line="240" w:lineRule="auto"/>
        <w:jc w:val="center"/>
        <w:rPr>
          <w:rFonts w:cs="Arial"/>
          <w:b w:val="0"/>
          <w:bCs/>
          <w:i w:val="0"/>
          <w:szCs w:val="22"/>
        </w:rPr>
      </w:pPr>
      <w:bookmarkStart w:id="280" w:name="_Toc420316489"/>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46</w:t>
      </w:r>
      <w:r w:rsidR="00B80A05" w:rsidRPr="00EF55EF">
        <w:rPr>
          <w:i w:val="0"/>
        </w:rPr>
        <w:fldChar w:fldCharType="end"/>
      </w:r>
      <w:r w:rsidR="00EF55EF" w:rsidRPr="00EF55EF">
        <w:rPr>
          <w:i w:val="0"/>
        </w:rPr>
        <w:t>.</w:t>
      </w:r>
      <w:r w:rsidR="00EF55EF" w:rsidRPr="00EF55EF">
        <w:rPr>
          <w:b w:val="0"/>
          <w:i w:val="0"/>
        </w:rPr>
        <w:t xml:space="preserve"> - </w:t>
      </w:r>
      <w:r w:rsidR="00885973" w:rsidRPr="00EF55EF">
        <w:rPr>
          <w:rFonts w:cs="Arial"/>
          <w:b w:val="0"/>
          <w:bCs/>
          <w:i w:val="0"/>
          <w:szCs w:val="22"/>
        </w:rPr>
        <w:t>Caracterização do Impacto – Redução de Conectividade entre Remanescentes de Cobertura Vegetal Nativa – Barragem Pedreira</w:t>
      </w:r>
      <w:bookmarkEnd w:id="280"/>
      <w:r w:rsidR="00885973" w:rsidRPr="00EF55EF">
        <w:rPr>
          <w:rFonts w:cs="Arial"/>
          <w:b w:val="0"/>
          <w:bCs/>
          <w:i w:val="0"/>
          <w:szCs w:val="22"/>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972"/>
        <w:gridCol w:w="1795"/>
        <w:gridCol w:w="1417"/>
        <w:gridCol w:w="3051"/>
      </w:tblGrid>
      <w:tr w:rsidR="00885973" w:rsidRPr="00F61027" w:rsidTr="001A063B">
        <w:trPr>
          <w:trHeight w:val="397"/>
          <w:jc w:val="center"/>
        </w:trPr>
        <w:tc>
          <w:tcPr>
            <w:tcW w:w="1172"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Natureza</w:t>
            </w:r>
          </w:p>
        </w:tc>
        <w:tc>
          <w:tcPr>
            <w:tcW w:w="972"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Ordem</w:t>
            </w:r>
          </w:p>
        </w:tc>
        <w:tc>
          <w:tcPr>
            <w:tcW w:w="1795"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Abrangência</w:t>
            </w:r>
          </w:p>
        </w:tc>
        <w:tc>
          <w:tcPr>
            <w:tcW w:w="1417"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Duração</w:t>
            </w:r>
          </w:p>
        </w:tc>
        <w:tc>
          <w:tcPr>
            <w:tcW w:w="3051"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Probabilidade de Ocorrência</w:t>
            </w:r>
          </w:p>
        </w:tc>
      </w:tr>
      <w:tr w:rsidR="00885973" w:rsidRPr="00F61027" w:rsidTr="001A063B">
        <w:trPr>
          <w:jc w:val="center"/>
        </w:trPr>
        <w:tc>
          <w:tcPr>
            <w:tcW w:w="1172"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Negativa</w:t>
            </w:r>
          </w:p>
        </w:tc>
        <w:tc>
          <w:tcPr>
            <w:tcW w:w="972"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Indireta</w:t>
            </w:r>
          </w:p>
        </w:tc>
        <w:tc>
          <w:tcPr>
            <w:tcW w:w="1795"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Local (ADA/AID)</w:t>
            </w:r>
          </w:p>
        </w:tc>
        <w:tc>
          <w:tcPr>
            <w:tcW w:w="1417"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Permanente</w:t>
            </w:r>
          </w:p>
        </w:tc>
        <w:tc>
          <w:tcPr>
            <w:tcW w:w="3051"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Certa</w:t>
            </w:r>
          </w:p>
        </w:tc>
      </w:tr>
    </w:tbl>
    <w:p w:rsidR="00885973" w:rsidRPr="00F61027" w:rsidRDefault="00885973" w:rsidP="00885973">
      <w:pPr>
        <w:autoSpaceDE w:val="0"/>
        <w:autoSpaceDN w:val="0"/>
        <w:adjustRightInd w:val="0"/>
        <w:spacing w:line="240" w:lineRule="auto"/>
        <w:ind w:left="357"/>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885973" w:rsidRPr="00F61027" w:rsidTr="001A063B">
        <w:trPr>
          <w:trHeight w:val="397"/>
          <w:jc w:val="center"/>
        </w:trPr>
        <w:tc>
          <w:tcPr>
            <w:tcW w:w="2329"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Época de Ocorrência</w:t>
            </w:r>
          </w:p>
        </w:tc>
        <w:tc>
          <w:tcPr>
            <w:tcW w:w="1796"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Reversibilidade</w:t>
            </w:r>
          </w:p>
        </w:tc>
        <w:tc>
          <w:tcPr>
            <w:tcW w:w="1328"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Magnitude</w:t>
            </w:r>
          </w:p>
        </w:tc>
        <w:tc>
          <w:tcPr>
            <w:tcW w:w="1461"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Importância</w:t>
            </w:r>
          </w:p>
        </w:tc>
        <w:tc>
          <w:tcPr>
            <w:tcW w:w="1539"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Mitigação</w:t>
            </w:r>
          </w:p>
        </w:tc>
      </w:tr>
      <w:tr w:rsidR="00885973" w:rsidRPr="00F61027" w:rsidTr="001A063B">
        <w:trPr>
          <w:jc w:val="center"/>
        </w:trPr>
        <w:tc>
          <w:tcPr>
            <w:tcW w:w="2329"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Curto Prazo</w:t>
            </w:r>
          </w:p>
        </w:tc>
        <w:tc>
          <w:tcPr>
            <w:tcW w:w="1796"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Reversível</w:t>
            </w:r>
          </w:p>
        </w:tc>
        <w:tc>
          <w:tcPr>
            <w:tcW w:w="1328"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Média</w:t>
            </w:r>
          </w:p>
        </w:tc>
        <w:tc>
          <w:tcPr>
            <w:tcW w:w="1461"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Média</w:t>
            </w:r>
          </w:p>
        </w:tc>
        <w:tc>
          <w:tcPr>
            <w:tcW w:w="1539" w:type="dxa"/>
            <w:shd w:val="clear" w:color="auto" w:fill="auto"/>
            <w:vAlign w:val="center"/>
          </w:tcPr>
          <w:p w:rsidR="00885973" w:rsidRPr="00F61027" w:rsidRDefault="00885973" w:rsidP="00885973">
            <w:pPr>
              <w:autoSpaceDE w:val="0"/>
              <w:autoSpaceDN w:val="0"/>
              <w:adjustRightInd w:val="0"/>
              <w:spacing w:before="120" w:after="120" w:line="240" w:lineRule="auto"/>
              <w:jc w:val="center"/>
              <w:rPr>
                <w:rFonts w:cs="Arial"/>
                <w:sz w:val="20"/>
              </w:rPr>
            </w:pPr>
            <w:r>
              <w:rPr>
                <w:rFonts w:cs="Arial"/>
                <w:sz w:val="20"/>
              </w:rPr>
              <w:t xml:space="preserve">Não </w:t>
            </w:r>
            <w:r w:rsidRPr="00F61027">
              <w:rPr>
                <w:rFonts w:cs="Arial"/>
                <w:sz w:val="20"/>
              </w:rPr>
              <w:t>Mitigável</w:t>
            </w:r>
          </w:p>
        </w:tc>
      </w:tr>
    </w:tbl>
    <w:p w:rsidR="00B00F03" w:rsidRDefault="00B00F03">
      <w:pPr>
        <w:spacing w:line="240" w:lineRule="auto"/>
        <w:jc w:val="left"/>
        <w:rPr>
          <w:rFonts w:cs="Arial"/>
          <w:bCs/>
          <w:szCs w:val="22"/>
        </w:rPr>
      </w:pPr>
    </w:p>
    <w:p w:rsidR="00885973" w:rsidRDefault="00885973" w:rsidP="00885973">
      <w:pPr>
        <w:autoSpaceDE w:val="0"/>
        <w:autoSpaceDN w:val="0"/>
        <w:adjustRightInd w:val="0"/>
        <w:spacing w:before="120" w:after="120" w:line="240" w:lineRule="auto"/>
        <w:rPr>
          <w:rFonts w:cs="Arial"/>
          <w:bCs/>
          <w:szCs w:val="22"/>
        </w:rPr>
      </w:pPr>
      <w:r w:rsidRPr="000960E7">
        <w:rPr>
          <w:rFonts w:cs="Arial"/>
          <w:bCs/>
          <w:szCs w:val="22"/>
        </w:rPr>
        <w:t xml:space="preserve">No caso da </w:t>
      </w:r>
      <w:r>
        <w:rPr>
          <w:rFonts w:cs="Arial"/>
          <w:bCs/>
          <w:szCs w:val="22"/>
        </w:rPr>
        <w:t>Barragem Duas Pontes</w:t>
      </w:r>
      <w:r w:rsidRPr="000960E7">
        <w:rPr>
          <w:rFonts w:cs="Arial"/>
          <w:bCs/>
          <w:szCs w:val="22"/>
        </w:rPr>
        <w:t xml:space="preserve"> o impacto de redução de conectividade entre remanescentes de cobertura vegetal nativa, afetará ambientes em melhor estado de conservação e, portanto, mais sensíveis a esse processo de fragmentação. Assim, é considerado de média magnitude e alta importância.</w:t>
      </w:r>
    </w:p>
    <w:p w:rsidR="00E155C0" w:rsidRDefault="00E155C0" w:rsidP="00885973">
      <w:pPr>
        <w:autoSpaceDE w:val="0"/>
        <w:autoSpaceDN w:val="0"/>
        <w:adjustRightInd w:val="0"/>
        <w:spacing w:before="120" w:after="120" w:line="240" w:lineRule="auto"/>
        <w:rPr>
          <w:rFonts w:cs="Arial"/>
          <w:bCs/>
          <w:szCs w:val="22"/>
        </w:rPr>
      </w:pPr>
      <w:r>
        <w:rPr>
          <w:rFonts w:cs="Arial"/>
          <w:bCs/>
          <w:szCs w:val="22"/>
        </w:rPr>
        <w:br w:type="page"/>
      </w:r>
    </w:p>
    <w:p w:rsidR="00885973" w:rsidRPr="00EF55EF" w:rsidRDefault="008D3A12" w:rsidP="00E155C0">
      <w:pPr>
        <w:pStyle w:val="Legenda"/>
        <w:spacing w:line="240" w:lineRule="auto"/>
        <w:jc w:val="center"/>
        <w:rPr>
          <w:rFonts w:cs="Arial"/>
          <w:b w:val="0"/>
          <w:bCs/>
          <w:i w:val="0"/>
          <w:szCs w:val="22"/>
        </w:rPr>
      </w:pPr>
      <w:bookmarkStart w:id="281" w:name="_Toc420316490"/>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47</w:t>
      </w:r>
      <w:r w:rsidR="00B80A05" w:rsidRPr="00EF55EF">
        <w:rPr>
          <w:i w:val="0"/>
        </w:rPr>
        <w:fldChar w:fldCharType="end"/>
      </w:r>
      <w:r w:rsidR="00EF55EF" w:rsidRPr="00EF55EF">
        <w:rPr>
          <w:i w:val="0"/>
        </w:rPr>
        <w:t>.</w:t>
      </w:r>
      <w:r w:rsidR="00EF55EF" w:rsidRPr="00EF55EF">
        <w:rPr>
          <w:b w:val="0"/>
          <w:i w:val="0"/>
        </w:rPr>
        <w:t xml:space="preserve"> - </w:t>
      </w:r>
      <w:r w:rsidR="00885973" w:rsidRPr="00EF55EF">
        <w:rPr>
          <w:rFonts w:cs="Arial"/>
          <w:b w:val="0"/>
          <w:bCs/>
          <w:i w:val="0"/>
          <w:szCs w:val="22"/>
        </w:rPr>
        <w:t>Caracterização do Impacto - Redução de Conectividade entre Remanescentes de Cobertura Vegetal Nativa - Barragem Duas Pontes</w:t>
      </w:r>
      <w:bookmarkEnd w:id="28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972"/>
        <w:gridCol w:w="1795"/>
        <w:gridCol w:w="1417"/>
        <w:gridCol w:w="3051"/>
      </w:tblGrid>
      <w:tr w:rsidR="00885973" w:rsidRPr="00F61027" w:rsidTr="001A063B">
        <w:trPr>
          <w:trHeight w:val="397"/>
          <w:jc w:val="center"/>
        </w:trPr>
        <w:tc>
          <w:tcPr>
            <w:tcW w:w="1172"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Natureza</w:t>
            </w:r>
          </w:p>
        </w:tc>
        <w:tc>
          <w:tcPr>
            <w:tcW w:w="972"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Ordem</w:t>
            </w:r>
          </w:p>
        </w:tc>
        <w:tc>
          <w:tcPr>
            <w:tcW w:w="1795"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Abrangência</w:t>
            </w:r>
          </w:p>
        </w:tc>
        <w:tc>
          <w:tcPr>
            <w:tcW w:w="1417"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Duração</w:t>
            </w:r>
          </w:p>
        </w:tc>
        <w:tc>
          <w:tcPr>
            <w:tcW w:w="3051"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Probabilidade de Ocorrência</w:t>
            </w:r>
          </w:p>
        </w:tc>
      </w:tr>
      <w:tr w:rsidR="00885973" w:rsidRPr="00F61027" w:rsidTr="001A063B">
        <w:trPr>
          <w:jc w:val="center"/>
        </w:trPr>
        <w:tc>
          <w:tcPr>
            <w:tcW w:w="1172"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Negativa</w:t>
            </w:r>
          </w:p>
        </w:tc>
        <w:tc>
          <w:tcPr>
            <w:tcW w:w="972"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Indireta</w:t>
            </w:r>
          </w:p>
        </w:tc>
        <w:tc>
          <w:tcPr>
            <w:tcW w:w="1795"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Local (ADA/AID)</w:t>
            </w:r>
          </w:p>
        </w:tc>
        <w:tc>
          <w:tcPr>
            <w:tcW w:w="1417"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Permanente</w:t>
            </w:r>
          </w:p>
        </w:tc>
        <w:tc>
          <w:tcPr>
            <w:tcW w:w="3051"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Certa</w:t>
            </w:r>
          </w:p>
        </w:tc>
      </w:tr>
    </w:tbl>
    <w:p w:rsidR="00885973" w:rsidRPr="00F61027" w:rsidRDefault="00885973" w:rsidP="00885973">
      <w:pPr>
        <w:autoSpaceDE w:val="0"/>
        <w:autoSpaceDN w:val="0"/>
        <w:adjustRightInd w:val="0"/>
        <w:spacing w:line="240" w:lineRule="auto"/>
        <w:ind w:left="357"/>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885973" w:rsidRPr="00F61027" w:rsidTr="001A063B">
        <w:trPr>
          <w:trHeight w:val="397"/>
          <w:jc w:val="center"/>
        </w:trPr>
        <w:tc>
          <w:tcPr>
            <w:tcW w:w="2329"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Época de Ocorrência</w:t>
            </w:r>
          </w:p>
        </w:tc>
        <w:tc>
          <w:tcPr>
            <w:tcW w:w="1796"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Reversibilidade</w:t>
            </w:r>
          </w:p>
        </w:tc>
        <w:tc>
          <w:tcPr>
            <w:tcW w:w="1328"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Magnitude</w:t>
            </w:r>
          </w:p>
        </w:tc>
        <w:tc>
          <w:tcPr>
            <w:tcW w:w="1461"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Importância</w:t>
            </w:r>
          </w:p>
        </w:tc>
        <w:tc>
          <w:tcPr>
            <w:tcW w:w="1539"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Mitigação</w:t>
            </w:r>
          </w:p>
        </w:tc>
      </w:tr>
      <w:tr w:rsidR="00885973" w:rsidRPr="00F61027" w:rsidTr="001A063B">
        <w:trPr>
          <w:jc w:val="center"/>
        </w:trPr>
        <w:tc>
          <w:tcPr>
            <w:tcW w:w="2329"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Curto</w:t>
            </w:r>
            <w:r w:rsidRPr="00F61027">
              <w:rPr>
                <w:rFonts w:cs="Arial"/>
                <w:sz w:val="20"/>
              </w:rPr>
              <w:t xml:space="preserve"> Prazo</w:t>
            </w:r>
          </w:p>
        </w:tc>
        <w:tc>
          <w:tcPr>
            <w:tcW w:w="1796"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Reversível</w:t>
            </w:r>
          </w:p>
        </w:tc>
        <w:tc>
          <w:tcPr>
            <w:tcW w:w="1328"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Média</w:t>
            </w:r>
          </w:p>
        </w:tc>
        <w:tc>
          <w:tcPr>
            <w:tcW w:w="1461"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Alta</w:t>
            </w:r>
          </w:p>
        </w:tc>
        <w:tc>
          <w:tcPr>
            <w:tcW w:w="1539" w:type="dxa"/>
            <w:shd w:val="clear" w:color="auto" w:fill="auto"/>
            <w:vAlign w:val="center"/>
          </w:tcPr>
          <w:p w:rsidR="00885973" w:rsidRPr="00F61027" w:rsidRDefault="00885973" w:rsidP="00885973">
            <w:pPr>
              <w:autoSpaceDE w:val="0"/>
              <w:autoSpaceDN w:val="0"/>
              <w:adjustRightInd w:val="0"/>
              <w:spacing w:before="120" w:after="120" w:line="240" w:lineRule="auto"/>
              <w:jc w:val="center"/>
              <w:rPr>
                <w:rFonts w:cs="Arial"/>
                <w:sz w:val="20"/>
              </w:rPr>
            </w:pPr>
            <w:r>
              <w:rPr>
                <w:rFonts w:cs="Arial"/>
                <w:sz w:val="20"/>
              </w:rPr>
              <w:t xml:space="preserve">Não </w:t>
            </w:r>
            <w:r w:rsidRPr="00F61027">
              <w:rPr>
                <w:rFonts w:cs="Arial"/>
                <w:sz w:val="20"/>
              </w:rPr>
              <w:t>Mitigável</w:t>
            </w:r>
          </w:p>
        </w:tc>
      </w:tr>
    </w:tbl>
    <w:p w:rsidR="00885973" w:rsidRPr="00F61027" w:rsidRDefault="00885973" w:rsidP="00885973">
      <w:pPr>
        <w:autoSpaceDE w:val="0"/>
        <w:autoSpaceDN w:val="0"/>
        <w:adjustRightInd w:val="0"/>
        <w:spacing w:before="120" w:after="120" w:line="240" w:lineRule="auto"/>
        <w:ind w:left="360"/>
        <w:rPr>
          <w:rFonts w:cs="Arial"/>
          <w:szCs w:val="22"/>
        </w:rPr>
      </w:pPr>
    </w:p>
    <w:p w:rsidR="00885973" w:rsidRPr="00B50999" w:rsidRDefault="00885973" w:rsidP="00B50999">
      <w:pPr>
        <w:pStyle w:val="Item-Trainho"/>
        <w:rPr>
          <w:b/>
        </w:rPr>
      </w:pPr>
      <w:r w:rsidRPr="00B50999">
        <w:rPr>
          <w:b/>
        </w:rPr>
        <w:t>Ações Ambientais Propostas:</w:t>
      </w:r>
    </w:p>
    <w:p w:rsidR="00885973" w:rsidRPr="000960E7" w:rsidRDefault="00885973" w:rsidP="00885973">
      <w:pPr>
        <w:spacing w:before="120" w:after="120" w:line="240" w:lineRule="auto"/>
      </w:pPr>
      <w:r w:rsidRPr="000960E7">
        <w:t>Embora a fragmentação da cobertura vegetal ou a redução da conectividade entre manchas de vegetação não seja passível de mitigação, algumas ações podem ser implementadas de modo a reverter os efeitos deletérios deste impacto. Dentro deste contexto, as ações propostas, principalmente no Programa de Revegetação e Enriquecimento Florestal contribuirão para o incremento da conectividade entre os remanescentes, após o enchimento dos reservatórios. Ressalta-se, ainda, que são propostas medidas compensatórias no programa de Compensação Ambiental.</w:t>
      </w:r>
    </w:p>
    <w:p w:rsidR="00973BCF" w:rsidRPr="00B50999" w:rsidRDefault="00CD6D82" w:rsidP="008D3A12">
      <w:pPr>
        <w:pStyle w:val="Ttulo3"/>
      </w:pPr>
      <w:bookmarkStart w:id="282" w:name="_Toc418758233"/>
      <w:bookmarkStart w:id="283" w:name="_Toc418758835"/>
      <w:bookmarkStart w:id="284" w:name="_Toc419813595"/>
      <w:r w:rsidRPr="00B50999">
        <w:rPr>
          <w:rFonts w:cs="Arial"/>
          <w:szCs w:val="22"/>
        </w:rPr>
        <w:t>1.3.2.</w:t>
      </w:r>
      <w:r w:rsidR="008D0D70" w:rsidRPr="00B50999">
        <w:t>4</w:t>
      </w:r>
      <w:r w:rsidR="00973BCF" w:rsidRPr="00B50999">
        <w:t>. Aumento dos Efeitos da Fragmentação de Hábitats da Fauna</w:t>
      </w:r>
      <w:bookmarkEnd w:id="282"/>
      <w:bookmarkEnd w:id="283"/>
      <w:bookmarkEnd w:id="284"/>
    </w:p>
    <w:p w:rsidR="00885973" w:rsidRPr="00885973" w:rsidRDefault="00885973" w:rsidP="00885973">
      <w:pPr>
        <w:spacing w:before="120" w:after="120" w:line="240" w:lineRule="auto"/>
        <w:rPr>
          <w:b/>
        </w:rPr>
      </w:pPr>
      <w:r w:rsidRPr="00885973">
        <w:rPr>
          <w:b/>
        </w:rPr>
        <w:t>Fase: Implantação</w:t>
      </w:r>
    </w:p>
    <w:p w:rsidR="00885973" w:rsidRPr="0023399F" w:rsidRDefault="00885973" w:rsidP="00885973">
      <w:pPr>
        <w:spacing w:before="120" w:after="120" w:line="240" w:lineRule="auto"/>
      </w:pPr>
      <w:r w:rsidRPr="0023399F">
        <w:t xml:space="preserve">O isolamento de populações se dá, geralmente, em função da fragmentação dos ambientes aos quais as espécies animais estão associadas. Este processo decorre da criação ou do aumento de barreiras à dispersão desses animais, reduzindo, ou mesmo impedindo, o fluxo de indivíduos entre lados opostos da barreira. O efeito da fragmentação sobre uma comunidade animal pode ocorrer de diferentes modos e intensidades, sendo função das espécies que a compõem. Entre as espécies animais registradas para a área existe grande heterogeneidade quanto à vulnerabilidade às alterações ambientais, assim como ao poder de dispersão. </w:t>
      </w:r>
    </w:p>
    <w:p w:rsidR="00885973" w:rsidRPr="005F6F48" w:rsidRDefault="00885973" w:rsidP="00885973">
      <w:pPr>
        <w:spacing w:before="120" w:after="120" w:line="240" w:lineRule="auto"/>
      </w:pPr>
      <w:r w:rsidRPr="005F6F48">
        <w:t xml:space="preserve">Associadas aos ambientes em melhor estado de conservação encontrados na ADA e AID </w:t>
      </w:r>
      <w:r>
        <w:t>das Barragens</w:t>
      </w:r>
      <w:r w:rsidRPr="005F6F48">
        <w:t xml:space="preserve"> Pedreira e Duas Pontes, foram registradas, principalmente, espécies de maior resiliência e que apresentam grande capacidade de dispersão por ambientes abertos. Na ADA e AID da </w:t>
      </w:r>
      <w:r>
        <w:t>Barragem Duas Pontes</w:t>
      </w:r>
      <w:r w:rsidRPr="005F6F48">
        <w:t xml:space="preserve"> foi onde se registrou o maior número de espécies mais sensíveis a alterações ambientais, típicas do sub-bosque florestal, que apresentam baixa capacidade de dispersão por áreas abertas. Muitas das espécies associadas a essas formações são incapazes de cruzar ambientes que não sejam florestais, sendo mais vulneráveis aos efeitos de fragmentação de seus hábitats. Dadas as características das espécies que compõem a </w:t>
      </w:r>
      <w:r w:rsidR="008C15C3">
        <w:t>fauna das áreas de influência da Barragem</w:t>
      </w:r>
      <w:r w:rsidRPr="005F6F48">
        <w:t xml:space="preserve"> Duas Pontes, esta parece ser mais sensível ao processo de fragmentação do que aquela regi</w:t>
      </w:r>
      <w:r w:rsidR="008C15C3">
        <w:t>s</w:t>
      </w:r>
      <w:r w:rsidRPr="005F6F48">
        <w:t xml:space="preserve">trada para </w:t>
      </w:r>
      <w:r w:rsidR="008C15C3">
        <w:t xml:space="preserve">a Barragem </w:t>
      </w:r>
      <w:r w:rsidRPr="005F6F48">
        <w:t>Pedreira.</w:t>
      </w:r>
    </w:p>
    <w:p w:rsidR="00885973" w:rsidRPr="005F6F48" w:rsidRDefault="00885973" w:rsidP="00885973">
      <w:pPr>
        <w:spacing w:before="120" w:after="120" w:line="240" w:lineRule="auto"/>
      </w:pPr>
      <w:r w:rsidRPr="005F6F48">
        <w:t>Por outro lado, as espécies encontradas em ambientes em estágios pioneiro ou inicial de regeneração, e, principalmente, aquelas associadas a ambientes antrópicos, se caracterizam pela maior capacidade de dispersão, sendo pouco vulneráveis à fragmentação das manchas de vegetação às quais estão associadas.</w:t>
      </w:r>
    </w:p>
    <w:p w:rsidR="00885973" w:rsidRPr="005F6F48" w:rsidRDefault="00885973" w:rsidP="00885973">
      <w:pPr>
        <w:spacing w:before="120" w:after="120" w:line="240" w:lineRule="auto"/>
      </w:pPr>
      <w:r w:rsidRPr="005F6F48">
        <w:t xml:space="preserve">Para a implantação das </w:t>
      </w:r>
      <w:r>
        <w:t>Barragens</w:t>
      </w:r>
      <w:r w:rsidRPr="005F6F48">
        <w:t xml:space="preserve"> Pedreira e Duas Pontes porções de vegetação nativa serão suprimidas. Parte da cobertura vegetal afetada se dará em áreas onde a vegetação é contínua criando novos fragmentos de vegetação. Outras intervenções, embora não venham a criar novos fragmentos, reduzirão a conectividade entre eles, aumentando o isolamento entre fragmentos já existentes. </w:t>
      </w:r>
    </w:p>
    <w:p w:rsidR="00885973" w:rsidRDefault="00885973" w:rsidP="00885973">
      <w:pPr>
        <w:spacing w:before="120" w:after="120" w:line="240" w:lineRule="auto"/>
      </w:pPr>
      <w:r w:rsidRPr="001912D5">
        <w:t xml:space="preserve">O impacto do aumento dos efeitos da fragmentação de </w:t>
      </w:r>
      <w:r w:rsidR="006856BC" w:rsidRPr="001912D5">
        <w:t>hábitat</w:t>
      </w:r>
      <w:r w:rsidR="006856BC">
        <w:t>s</w:t>
      </w:r>
      <w:r w:rsidRPr="001912D5">
        <w:t xml:space="preserve"> de fauna foi considerado de pequena magnitude e baixa importância para a </w:t>
      </w:r>
      <w:r>
        <w:t>Barragem Pedreira</w:t>
      </w:r>
      <w:r w:rsidRPr="001912D5">
        <w:t>, pois afetará apenas ambientes em estágio inicial, cuja fauna associada apresenta como uma das características principais a maior capacidade de dispersão por ambientes abertos.</w:t>
      </w:r>
    </w:p>
    <w:p w:rsidR="00806394" w:rsidRDefault="00806394" w:rsidP="00885973">
      <w:pPr>
        <w:spacing w:before="120" w:after="120" w:line="240" w:lineRule="auto"/>
      </w:pPr>
    </w:p>
    <w:p w:rsidR="00885973" w:rsidRPr="00EF55EF" w:rsidRDefault="008D3A12" w:rsidP="00E155C0">
      <w:pPr>
        <w:pStyle w:val="Legenda"/>
        <w:spacing w:line="240" w:lineRule="auto"/>
        <w:jc w:val="center"/>
        <w:rPr>
          <w:rFonts w:cs="Arial"/>
          <w:b w:val="0"/>
          <w:bCs/>
          <w:i w:val="0"/>
          <w:szCs w:val="22"/>
        </w:rPr>
      </w:pPr>
      <w:bookmarkStart w:id="285" w:name="_Toc420316491"/>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48</w:t>
      </w:r>
      <w:r w:rsidR="00B80A05" w:rsidRPr="00EF55EF">
        <w:rPr>
          <w:i w:val="0"/>
        </w:rPr>
        <w:fldChar w:fldCharType="end"/>
      </w:r>
      <w:r w:rsidR="00EF55EF" w:rsidRPr="00EF55EF">
        <w:rPr>
          <w:i w:val="0"/>
        </w:rPr>
        <w:t>.</w:t>
      </w:r>
      <w:r w:rsidR="00EF55EF" w:rsidRPr="00EF55EF">
        <w:rPr>
          <w:b w:val="0"/>
          <w:i w:val="0"/>
        </w:rPr>
        <w:t xml:space="preserve"> - </w:t>
      </w:r>
      <w:r w:rsidR="00885973" w:rsidRPr="00EF55EF">
        <w:rPr>
          <w:rFonts w:cs="Arial"/>
          <w:b w:val="0"/>
          <w:bCs/>
          <w:i w:val="0"/>
          <w:szCs w:val="22"/>
        </w:rPr>
        <w:t xml:space="preserve">Caracterização do Impacto - </w:t>
      </w:r>
      <w:r w:rsidR="00885973" w:rsidRPr="00EF55EF">
        <w:rPr>
          <w:b w:val="0"/>
          <w:i w:val="0"/>
        </w:rPr>
        <w:t xml:space="preserve">Aumento dos Efeitos da Fragmentação de Hábitats de Fauna </w:t>
      </w:r>
      <w:r w:rsidR="00885973" w:rsidRPr="00EF55EF">
        <w:rPr>
          <w:rFonts w:cs="Arial"/>
          <w:b w:val="0"/>
          <w:bCs/>
          <w:i w:val="0"/>
          <w:szCs w:val="22"/>
        </w:rPr>
        <w:t>– Barragem Pedreira</w:t>
      </w:r>
      <w:bookmarkEnd w:id="285"/>
      <w:r w:rsidR="00885973" w:rsidRPr="00EF55EF">
        <w:rPr>
          <w:rFonts w:cs="Arial"/>
          <w:b w:val="0"/>
          <w:bCs/>
          <w:i w:val="0"/>
          <w:szCs w:val="22"/>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972"/>
        <w:gridCol w:w="1795"/>
        <w:gridCol w:w="1417"/>
        <w:gridCol w:w="3051"/>
      </w:tblGrid>
      <w:tr w:rsidR="00885973" w:rsidRPr="00F61027" w:rsidTr="001A063B">
        <w:trPr>
          <w:trHeight w:val="397"/>
          <w:jc w:val="center"/>
        </w:trPr>
        <w:tc>
          <w:tcPr>
            <w:tcW w:w="1172"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Natureza</w:t>
            </w:r>
          </w:p>
        </w:tc>
        <w:tc>
          <w:tcPr>
            <w:tcW w:w="972"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Ordem</w:t>
            </w:r>
          </w:p>
        </w:tc>
        <w:tc>
          <w:tcPr>
            <w:tcW w:w="1795"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Abrangência</w:t>
            </w:r>
          </w:p>
        </w:tc>
        <w:tc>
          <w:tcPr>
            <w:tcW w:w="1417"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Duração</w:t>
            </w:r>
          </w:p>
        </w:tc>
        <w:tc>
          <w:tcPr>
            <w:tcW w:w="3051"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Probabilidade de Ocorrência</w:t>
            </w:r>
          </w:p>
        </w:tc>
      </w:tr>
      <w:tr w:rsidR="00885973" w:rsidRPr="00F61027" w:rsidTr="001A063B">
        <w:trPr>
          <w:jc w:val="center"/>
        </w:trPr>
        <w:tc>
          <w:tcPr>
            <w:tcW w:w="1172"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Negativa</w:t>
            </w:r>
          </w:p>
        </w:tc>
        <w:tc>
          <w:tcPr>
            <w:tcW w:w="972"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Indireta</w:t>
            </w:r>
          </w:p>
        </w:tc>
        <w:tc>
          <w:tcPr>
            <w:tcW w:w="1795"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Local (ADA/AID)</w:t>
            </w:r>
          </w:p>
        </w:tc>
        <w:tc>
          <w:tcPr>
            <w:tcW w:w="1417"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Permanente</w:t>
            </w:r>
          </w:p>
        </w:tc>
        <w:tc>
          <w:tcPr>
            <w:tcW w:w="3051"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Certa</w:t>
            </w:r>
          </w:p>
        </w:tc>
      </w:tr>
    </w:tbl>
    <w:p w:rsidR="00885973" w:rsidRPr="00F61027" w:rsidRDefault="00885973" w:rsidP="006856BC">
      <w:pPr>
        <w:autoSpaceDE w:val="0"/>
        <w:autoSpaceDN w:val="0"/>
        <w:adjustRightInd w:val="0"/>
        <w:spacing w:line="240" w:lineRule="auto"/>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885973" w:rsidRPr="00F61027" w:rsidTr="001A063B">
        <w:trPr>
          <w:trHeight w:val="397"/>
          <w:jc w:val="center"/>
        </w:trPr>
        <w:tc>
          <w:tcPr>
            <w:tcW w:w="2329"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Época de Ocorrência</w:t>
            </w:r>
          </w:p>
        </w:tc>
        <w:tc>
          <w:tcPr>
            <w:tcW w:w="1796"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Reversibilidade</w:t>
            </w:r>
          </w:p>
        </w:tc>
        <w:tc>
          <w:tcPr>
            <w:tcW w:w="1328"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Magnitude</w:t>
            </w:r>
          </w:p>
        </w:tc>
        <w:tc>
          <w:tcPr>
            <w:tcW w:w="1461"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Importância</w:t>
            </w:r>
          </w:p>
        </w:tc>
        <w:tc>
          <w:tcPr>
            <w:tcW w:w="1539"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Mitigação</w:t>
            </w:r>
          </w:p>
        </w:tc>
      </w:tr>
      <w:tr w:rsidR="00885973" w:rsidRPr="00F61027" w:rsidTr="001A063B">
        <w:trPr>
          <w:jc w:val="center"/>
        </w:trPr>
        <w:tc>
          <w:tcPr>
            <w:tcW w:w="2329"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Curto</w:t>
            </w:r>
            <w:r w:rsidRPr="00F61027">
              <w:rPr>
                <w:rFonts w:cs="Arial"/>
                <w:sz w:val="20"/>
              </w:rPr>
              <w:t xml:space="preserve"> Prazo</w:t>
            </w:r>
          </w:p>
        </w:tc>
        <w:tc>
          <w:tcPr>
            <w:tcW w:w="1796"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R</w:t>
            </w:r>
            <w:r w:rsidRPr="00F61027">
              <w:rPr>
                <w:rFonts w:cs="Arial"/>
                <w:sz w:val="20"/>
              </w:rPr>
              <w:t>eversível</w:t>
            </w:r>
          </w:p>
        </w:tc>
        <w:tc>
          <w:tcPr>
            <w:tcW w:w="1328"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Pequena</w:t>
            </w:r>
          </w:p>
        </w:tc>
        <w:tc>
          <w:tcPr>
            <w:tcW w:w="1461"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Baixa</w:t>
            </w:r>
          </w:p>
        </w:tc>
        <w:tc>
          <w:tcPr>
            <w:tcW w:w="1539"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Não Mitigável</w:t>
            </w:r>
          </w:p>
        </w:tc>
      </w:tr>
    </w:tbl>
    <w:p w:rsidR="006856BC" w:rsidRDefault="006856BC" w:rsidP="006856BC">
      <w:pPr>
        <w:autoSpaceDE w:val="0"/>
        <w:autoSpaceDN w:val="0"/>
        <w:adjustRightInd w:val="0"/>
        <w:spacing w:line="240" w:lineRule="auto"/>
        <w:rPr>
          <w:rFonts w:cs="Arial"/>
          <w:bCs/>
          <w:szCs w:val="22"/>
        </w:rPr>
      </w:pPr>
    </w:p>
    <w:p w:rsidR="00885973" w:rsidRDefault="00885973" w:rsidP="00885973">
      <w:pPr>
        <w:autoSpaceDE w:val="0"/>
        <w:autoSpaceDN w:val="0"/>
        <w:adjustRightInd w:val="0"/>
        <w:spacing w:before="120" w:after="120" w:line="240" w:lineRule="auto"/>
      </w:pPr>
      <w:r>
        <w:rPr>
          <w:rFonts w:cs="Arial"/>
          <w:bCs/>
          <w:szCs w:val="22"/>
        </w:rPr>
        <w:t xml:space="preserve">No caso da Barragem Duas Pontes, o </w:t>
      </w:r>
      <w:r w:rsidRPr="004773A5">
        <w:rPr>
          <w:rFonts w:cs="Arial"/>
          <w:bCs/>
          <w:szCs w:val="22"/>
        </w:rPr>
        <w:t xml:space="preserve">impacto do </w:t>
      </w:r>
      <w:r w:rsidRPr="004773A5">
        <w:t xml:space="preserve">aumento dos efeitos da fragmentação de </w:t>
      </w:r>
      <w:r w:rsidR="006856BC" w:rsidRPr="004773A5">
        <w:t>hábitat</w:t>
      </w:r>
      <w:r w:rsidR="006856BC">
        <w:t>s</w:t>
      </w:r>
      <w:r w:rsidRPr="004773A5">
        <w:t xml:space="preserve"> de fauna, é considerado de média magnitude e importância, pois embora ocorra sobre uma paisagem já intensamente fragmentada, afetará comunidades associadas a ambientes em melhor estado de conservação, em estágios médio e avançado de sucessão secundária.</w:t>
      </w:r>
    </w:p>
    <w:p w:rsidR="008D3A12" w:rsidRDefault="008D3A12" w:rsidP="008D3A12">
      <w:pPr>
        <w:keepNext/>
        <w:autoSpaceDE w:val="0"/>
        <w:autoSpaceDN w:val="0"/>
        <w:adjustRightInd w:val="0"/>
        <w:spacing w:before="120" w:after="120" w:line="240" w:lineRule="auto"/>
        <w:jc w:val="center"/>
      </w:pPr>
    </w:p>
    <w:p w:rsidR="00885973" w:rsidRPr="00EF55EF" w:rsidRDefault="008D3A12" w:rsidP="00E155C0">
      <w:pPr>
        <w:pStyle w:val="Legenda"/>
        <w:spacing w:line="240" w:lineRule="auto"/>
        <w:jc w:val="center"/>
        <w:rPr>
          <w:rFonts w:cs="Arial"/>
          <w:b w:val="0"/>
          <w:bCs/>
          <w:i w:val="0"/>
          <w:szCs w:val="22"/>
        </w:rPr>
      </w:pPr>
      <w:bookmarkStart w:id="286" w:name="_Toc420316492"/>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49</w:t>
      </w:r>
      <w:r w:rsidR="00B80A05" w:rsidRPr="00EF55EF">
        <w:rPr>
          <w:i w:val="0"/>
        </w:rPr>
        <w:fldChar w:fldCharType="end"/>
      </w:r>
      <w:r w:rsidR="00EF55EF" w:rsidRPr="00EF55EF">
        <w:rPr>
          <w:i w:val="0"/>
        </w:rPr>
        <w:t>.</w:t>
      </w:r>
      <w:r w:rsidR="00EF55EF" w:rsidRPr="00EF55EF">
        <w:rPr>
          <w:b w:val="0"/>
          <w:i w:val="0"/>
        </w:rPr>
        <w:t xml:space="preserve"> - </w:t>
      </w:r>
      <w:r w:rsidR="00885973" w:rsidRPr="00EF55EF">
        <w:rPr>
          <w:rFonts w:cs="Arial"/>
          <w:b w:val="0"/>
          <w:bCs/>
          <w:i w:val="0"/>
          <w:szCs w:val="22"/>
        </w:rPr>
        <w:t xml:space="preserve">Caracterização do Impacto - </w:t>
      </w:r>
      <w:r w:rsidR="00885973" w:rsidRPr="00EF55EF">
        <w:rPr>
          <w:b w:val="0"/>
          <w:i w:val="0"/>
          <w:szCs w:val="22"/>
        </w:rPr>
        <w:t xml:space="preserve">Aumento dos Efeitos da Fragmentação de Hábitats de Fauna </w:t>
      </w:r>
      <w:r w:rsidR="00885973" w:rsidRPr="00EF55EF">
        <w:rPr>
          <w:rFonts w:cs="Arial"/>
          <w:b w:val="0"/>
          <w:bCs/>
          <w:i w:val="0"/>
          <w:szCs w:val="22"/>
        </w:rPr>
        <w:t>- Barragem Duas Pontes</w:t>
      </w:r>
      <w:bookmarkEnd w:id="28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972"/>
        <w:gridCol w:w="1795"/>
        <w:gridCol w:w="1417"/>
        <w:gridCol w:w="3051"/>
      </w:tblGrid>
      <w:tr w:rsidR="00885973" w:rsidRPr="00F61027" w:rsidTr="001A063B">
        <w:trPr>
          <w:trHeight w:val="397"/>
          <w:jc w:val="center"/>
        </w:trPr>
        <w:tc>
          <w:tcPr>
            <w:tcW w:w="1172"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Natureza</w:t>
            </w:r>
          </w:p>
        </w:tc>
        <w:tc>
          <w:tcPr>
            <w:tcW w:w="972"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Ordem</w:t>
            </w:r>
          </w:p>
        </w:tc>
        <w:tc>
          <w:tcPr>
            <w:tcW w:w="1795"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Abrangência</w:t>
            </w:r>
          </w:p>
        </w:tc>
        <w:tc>
          <w:tcPr>
            <w:tcW w:w="1417"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Duração</w:t>
            </w:r>
          </w:p>
        </w:tc>
        <w:tc>
          <w:tcPr>
            <w:tcW w:w="3051"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Probabilidade de Ocorrência</w:t>
            </w:r>
          </w:p>
        </w:tc>
      </w:tr>
      <w:tr w:rsidR="00885973" w:rsidRPr="00F61027" w:rsidTr="001A063B">
        <w:trPr>
          <w:jc w:val="center"/>
        </w:trPr>
        <w:tc>
          <w:tcPr>
            <w:tcW w:w="1172"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Negativa</w:t>
            </w:r>
          </w:p>
        </w:tc>
        <w:tc>
          <w:tcPr>
            <w:tcW w:w="972"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Indireta</w:t>
            </w:r>
          </w:p>
        </w:tc>
        <w:tc>
          <w:tcPr>
            <w:tcW w:w="1795"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Local (ADA/AID)</w:t>
            </w:r>
          </w:p>
        </w:tc>
        <w:tc>
          <w:tcPr>
            <w:tcW w:w="1417"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Permanente</w:t>
            </w:r>
          </w:p>
        </w:tc>
        <w:tc>
          <w:tcPr>
            <w:tcW w:w="3051"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Certa</w:t>
            </w:r>
          </w:p>
        </w:tc>
      </w:tr>
    </w:tbl>
    <w:p w:rsidR="00885973" w:rsidRPr="00F61027" w:rsidRDefault="00885973" w:rsidP="006856BC">
      <w:pPr>
        <w:autoSpaceDE w:val="0"/>
        <w:autoSpaceDN w:val="0"/>
        <w:adjustRightInd w:val="0"/>
        <w:spacing w:line="240" w:lineRule="auto"/>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885973" w:rsidRPr="00F61027" w:rsidTr="001A063B">
        <w:trPr>
          <w:trHeight w:val="397"/>
          <w:jc w:val="center"/>
        </w:trPr>
        <w:tc>
          <w:tcPr>
            <w:tcW w:w="2329"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Época de Ocorrência</w:t>
            </w:r>
          </w:p>
        </w:tc>
        <w:tc>
          <w:tcPr>
            <w:tcW w:w="1796"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Reversibilidade</w:t>
            </w:r>
          </w:p>
        </w:tc>
        <w:tc>
          <w:tcPr>
            <w:tcW w:w="1328"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Magnitude</w:t>
            </w:r>
          </w:p>
        </w:tc>
        <w:tc>
          <w:tcPr>
            <w:tcW w:w="1461"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Importância</w:t>
            </w:r>
          </w:p>
        </w:tc>
        <w:tc>
          <w:tcPr>
            <w:tcW w:w="1539" w:type="dxa"/>
            <w:shd w:val="clear" w:color="auto" w:fill="D9D9D9"/>
            <w:vAlign w:val="center"/>
          </w:tcPr>
          <w:p w:rsidR="00885973" w:rsidRPr="00F61027" w:rsidRDefault="00885973" w:rsidP="001A063B">
            <w:pPr>
              <w:autoSpaceDE w:val="0"/>
              <w:autoSpaceDN w:val="0"/>
              <w:adjustRightInd w:val="0"/>
              <w:spacing w:before="120" w:after="120" w:line="240" w:lineRule="auto"/>
              <w:jc w:val="center"/>
              <w:rPr>
                <w:rFonts w:cs="Arial"/>
                <w:b/>
                <w:sz w:val="20"/>
              </w:rPr>
            </w:pPr>
            <w:r w:rsidRPr="00F61027">
              <w:rPr>
                <w:rFonts w:cs="Arial"/>
                <w:b/>
                <w:sz w:val="20"/>
              </w:rPr>
              <w:t>Mitigação</w:t>
            </w:r>
          </w:p>
        </w:tc>
      </w:tr>
      <w:tr w:rsidR="00885973" w:rsidRPr="00F61027" w:rsidTr="001A063B">
        <w:trPr>
          <w:jc w:val="center"/>
        </w:trPr>
        <w:tc>
          <w:tcPr>
            <w:tcW w:w="2329"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Curto</w:t>
            </w:r>
            <w:r w:rsidRPr="00F61027">
              <w:rPr>
                <w:rFonts w:cs="Arial"/>
                <w:sz w:val="20"/>
              </w:rPr>
              <w:t xml:space="preserve"> Prazo</w:t>
            </w:r>
          </w:p>
        </w:tc>
        <w:tc>
          <w:tcPr>
            <w:tcW w:w="1796"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Irreversível</w:t>
            </w:r>
          </w:p>
        </w:tc>
        <w:tc>
          <w:tcPr>
            <w:tcW w:w="1328"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Média</w:t>
            </w:r>
          </w:p>
        </w:tc>
        <w:tc>
          <w:tcPr>
            <w:tcW w:w="1461"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Pr>
                <w:rFonts w:cs="Arial"/>
                <w:sz w:val="20"/>
              </w:rPr>
              <w:t>Média</w:t>
            </w:r>
          </w:p>
        </w:tc>
        <w:tc>
          <w:tcPr>
            <w:tcW w:w="1539" w:type="dxa"/>
            <w:shd w:val="clear" w:color="auto" w:fill="auto"/>
            <w:vAlign w:val="center"/>
          </w:tcPr>
          <w:p w:rsidR="00885973" w:rsidRPr="00F61027" w:rsidRDefault="00885973" w:rsidP="001A063B">
            <w:pPr>
              <w:autoSpaceDE w:val="0"/>
              <w:autoSpaceDN w:val="0"/>
              <w:adjustRightInd w:val="0"/>
              <w:spacing w:before="120" w:after="120" w:line="240" w:lineRule="auto"/>
              <w:jc w:val="center"/>
              <w:rPr>
                <w:rFonts w:cs="Arial"/>
                <w:sz w:val="20"/>
              </w:rPr>
            </w:pPr>
            <w:r w:rsidRPr="00F61027">
              <w:rPr>
                <w:rFonts w:cs="Arial"/>
                <w:sz w:val="20"/>
              </w:rPr>
              <w:t>Não Mitigável</w:t>
            </w:r>
          </w:p>
        </w:tc>
      </w:tr>
    </w:tbl>
    <w:p w:rsidR="00885973" w:rsidRPr="00F61027" w:rsidRDefault="00885973" w:rsidP="00885973">
      <w:pPr>
        <w:spacing w:before="120" w:after="120" w:line="240" w:lineRule="auto"/>
      </w:pPr>
    </w:p>
    <w:p w:rsidR="00885973" w:rsidRPr="004773A5" w:rsidRDefault="00885973" w:rsidP="00885973">
      <w:pPr>
        <w:spacing w:before="120" w:after="120" w:line="240" w:lineRule="auto"/>
        <w:rPr>
          <w:b/>
        </w:rPr>
      </w:pPr>
      <w:r w:rsidRPr="004773A5">
        <w:rPr>
          <w:b/>
        </w:rPr>
        <w:t>Ações Ambientais Propostas:</w:t>
      </w:r>
    </w:p>
    <w:p w:rsidR="00885973" w:rsidRDefault="00885973" w:rsidP="00885973">
      <w:pPr>
        <w:spacing w:before="120" w:after="120" w:line="240" w:lineRule="auto"/>
      </w:pPr>
      <w:r w:rsidRPr="004773A5">
        <w:t xml:space="preserve">O impacto de aumento dos efeitos da fragmentação de hábitats não é mitigável, uma vez que </w:t>
      </w:r>
      <w:r w:rsidR="00B00F03" w:rsidRPr="004773A5">
        <w:t xml:space="preserve">a implantação das </w:t>
      </w:r>
      <w:r w:rsidR="00B00F03">
        <w:t>Barragens</w:t>
      </w:r>
      <w:r w:rsidR="00B00F03" w:rsidRPr="004773A5">
        <w:t xml:space="preserve"> Pedreira e Duas Pontes isolar</w:t>
      </w:r>
      <w:r w:rsidR="00B00F03">
        <w:t>á</w:t>
      </w:r>
      <w:r w:rsidRPr="004773A5">
        <w:t xml:space="preserve"> áreas que se encontram atualmente em contato, ou aumentarão o isolamento entre áreas que já se encontram isoladas. Embora este impacto não seja passível de mitigação, são propostas nesse estudo ações voltadas à compensação, reunidas no programa de Revegetação e Enriquecimento Florestal e, indiretamente, no programa de Compensação Ambiental. Ainda é proposto o Programa de Monitoramento e Conservação da Fauna, que reúne ações voltadas ao acompanhamento dos efeitos da implantação do empreendimento sobre a comunidade animal presente na ADA/AID.</w:t>
      </w:r>
    </w:p>
    <w:p w:rsidR="00973BCF" w:rsidRPr="00B50999" w:rsidRDefault="00CD6D82" w:rsidP="008D3A12">
      <w:pPr>
        <w:pStyle w:val="Ttulo3"/>
      </w:pPr>
      <w:bookmarkStart w:id="287" w:name="_Toc418758234"/>
      <w:bookmarkStart w:id="288" w:name="_Toc418758836"/>
      <w:bookmarkStart w:id="289" w:name="_Toc419813596"/>
      <w:r w:rsidRPr="00B50999">
        <w:rPr>
          <w:rFonts w:cs="Arial"/>
          <w:szCs w:val="22"/>
        </w:rPr>
        <w:t>1.3.2.</w:t>
      </w:r>
      <w:r w:rsidR="008D0D70" w:rsidRPr="00B50999">
        <w:t>5</w:t>
      </w:r>
      <w:r w:rsidR="00973BCF" w:rsidRPr="00B50999">
        <w:t>. A</w:t>
      </w:r>
      <w:r w:rsidR="006856BC" w:rsidRPr="00B50999">
        <w:t>fugentamento da Fauna Silvestre</w:t>
      </w:r>
      <w:bookmarkEnd w:id="287"/>
      <w:bookmarkEnd w:id="288"/>
      <w:bookmarkEnd w:id="289"/>
    </w:p>
    <w:p w:rsidR="006856BC" w:rsidRDefault="006856BC" w:rsidP="000E3A50">
      <w:pPr>
        <w:spacing w:before="100" w:after="60" w:line="240" w:lineRule="auto"/>
        <w:rPr>
          <w:b/>
        </w:rPr>
      </w:pPr>
      <w:r w:rsidRPr="00F61027">
        <w:rPr>
          <w:b/>
        </w:rPr>
        <w:t>Fase: Implantação</w:t>
      </w:r>
    </w:p>
    <w:p w:rsidR="006856BC" w:rsidRPr="005F6F48" w:rsidRDefault="006856BC" w:rsidP="000E3A50">
      <w:pPr>
        <w:spacing w:before="100" w:after="100" w:line="240" w:lineRule="auto"/>
      </w:pPr>
      <w:r w:rsidRPr="005F6F48">
        <w:t>O afugentamento de fauna pode se dar por vários fatores, dentre eles destacamos, a perda de hábitat e a emissão de ruídos. Com a supressão de hábitat ou, ainda, a modificação dos mesmos, a fauna associada tende a se deslocar em busca de áreas com características necessárias à sua permanência. Da mesma forma, apesar de pouco conhecido, o aumento da emissão de ruído contribui nesse processo. A princípio, quanto mais próximo da fonte de ruído, mais intensos são os efeitos sobre a fauna, diminuindo à medida que a distância aumenta.</w:t>
      </w:r>
    </w:p>
    <w:p w:rsidR="006856BC" w:rsidRDefault="006856BC" w:rsidP="000E3A50">
      <w:pPr>
        <w:spacing w:before="100" w:after="100" w:line="240" w:lineRule="auto"/>
      </w:pPr>
      <w:r w:rsidRPr="005F6F48">
        <w:t xml:space="preserve">O deslocamento desses indivíduos para áreas vizinhas àquelas impactadas causa, invariavelmente, competição inter e/ou intraespecífica. Os indivíduos oriundos daquelas áreas alteradas passam a competir por recursos com aqueles residentes na “nova” área. Essas interações tendem a levar a uma nova situação de equilíbrio onde podem ocorrer perdas de indivíduos em razão dos recursos disponíveis serem limitados (Willis &amp; Oniki, 1988). Em alguns casos, durante o processo de reacomodação da comunidade, a competição estabelecida pode levar a níveis populacionais abaixo dos antes observados. Portanto, a implantação </w:t>
      </w:r>
      <w:r>
        <w:t>das Barragens Pedreira e Duas Pontes</w:t>
      </w:r>
      <w:r w:rsidRPr="005F6F48">
        <w:t xml:space="preserve"> terá efeitos negativos sobre a fauna de uma área mais extensa, do que aquela diretamente afetada pelo</w:t>
      </w:r>
      <w:r>
        <w:t>s</w:t>
      </w:r>
      <w:r w:rsidRPr="005F6F48">
        <w:t xml:space="preserve"> empreendimento</w:t>
      </w:r>
      <w:r>
        <w:t>s</w:t>
      </w:r>
      <w:r w:rsidRPr="005F6F48">
        <w:t>.</w:t>
      </w:r>
    </w:p>
    <w:p w:rsidR="006856BC" w:rsidRPr="006856BC" w:rsidRDefault="00C43B84" w:rsidP="00431A97">
      <w:pPr>
        <w:numPr>
          <w:ilvl w:val="0"/>
          <w:numId w:val="64"/>
        </w:numPr>
        <w:spacing w:before="240" w:after="240" w:line="240" w:lineRule="auto"/>
        <w:ind w:left="567" w:hanging="567"/>
        <w:rPr>
          <w:b/>
        </w:rPr>
      </w:pPr>
      <w:r>
        <w:rPr>
          <w:b/>
        </w:rPr>
        <w:t>Afugentamento da Fauna Silvestre d</w:t>
      </w:r>
      <w:r w:rsidR="006856BC" w:rsidRPr="006856BC">
        <w:rPr>
          <w:b/>
        </w:rPr>
        <w:t xml:space="preserve">evido à Supressão de Cobertura Vegetal </w:t>
      </w:r>
    </w:p>
    <w:p w:rsidR="006856BC" w:rsidRPr="00DD0BDB" w:rsidRDefault="006856BC" w:rsidP="000E3A50">
      <w:pPr>
        <w:spacing w:before="100" w:after="100" w:line="240" w:lineRule="auto"/>
        <w:rPr>
          <w:rFonts w:eastAsia="Calibri"/>
          <w:lang w:eastAsia="en-US"/>
        </w:rPr>
      </w:pPr>
      <w:r w:rsidRPr="00DD0BDB">
        <w:rPr>
          <w:rFonts w:eastAsia="Calibri"/>
          <w:lang w:eastAsia="en-US"/>
        </w:rPr>
        <w:t>Conforme já apresentado, para a implantação do empreendimento será necessária a supressão de cobertura vegetal que acarretará na perda de hábitat para a fauna. Em razão da indisponibilização de recursos, como alimento e locais para a reprodução, muitos indivíduos que atualmente têm seus territórios ou áreas de vida, parcial ou integralmente localizados nas áreas onde a cobertura vegetal será retirada, se deslocarão para áreas adjacentes onde possam encontrar os recursos necessários á sua manutenção.</w:t>
      </w:r>
    </w:p>
    <w:p w:rsidR="006856BC" w:rsidRPr="00DD0BDB" w:rsidRDefault="006856BC" w:rsidP="000E3A50">
      <w:pPr>
        <w:spacing w:before="100" w:after="100" w:line="240" w:lineRule="auto"/>
        <w:rPr>
          <w:rFonts w:eastAsia="Calibri"/>
          <w:lang w:eastAsia="en-US"/>
        </w:rPr>
      </w:pPr>
      <w:r w:rsidRPr="00DD0BDB">
        <w:rPr>
          <w:rFonts w:eastAsia="Calibri"/>
          <w:spacing w:val="-2"/>
          <w:lang w:eastAsia="en-US"/>
        </w:rPr>
        <w:t>Grande parte das ADAs da</w:t>
      </w:r>
      <w:r>
        <w:rPr>
          <w:rFonts w:eastAsia="Calibri"/>
          <w:spacing w:val="-2"/>
          <w:lang w:eastAsia="en-US"/>
        </w:rPr>
        <w:t>s</w:t>
      </w:r>
      <w:r w:rsidRPr="00DD0BDB">
        <w:rPr>
          <w:rFonts w:eastAsia="Calibri"/>
          <w:spacing w:val="-2"/>
          <w:lang w:eastAsia="en-US"/>
        </w:rPr>
        <w:t xml:space="preserve"> </w:t>
      </w:r>
      <w:r>
        <w:rPr>
          <w:rFonts w:eastAsia="Calibri"/>
          <w:spacing w:val="-2"/>
          <w:lang w:eastAsia="en-US"/>
        </w:rPr>
        <w:t>Barragens Pedreira</w:t>
      </w:r>
      <w:r w:rsidRPr="00DD0BDB">
        <w:rPr>
          <w:rFonts w:eastAsia="Calibri"/>
          <w:spacing w:val="-2"/>
          <w:lang w:eastAsia="en-US"/>
        </w:rPr>
        <w:t xml:space="preserve"> e Duas Pontes encontra-se coberta por formações de origem antrópica, ou sobre forte influência de atividades humanas, cuja fauna associada se adapta melhor aos ambientes criados pelo homem</w:t>
      </w:r>
      <w:r w:rsidRPr="00DD0BDB">
        <w:rPr>
          <w:rFonts w:eastAsia="Calibri"/>
          <w:lang w:eastAsia="en-US"/>
        </w:rPr>
        <w:t>.</w:t>
      </w:r>
    </w:p>
    <w:p w:rsidR="006856BC" w:rsidRDefault="006856BC" w:rsidP="000E3A50">
      <w:pPr>
        <w:spacing w:before="100" w:after="100" w:line="240" w:lineRule="auto"/>
        <w:rPr>
          <w:rFonts w:eastAsia="Calibri"/>
          <w:lang w:eastAsia="en-US"/>
        </w:rPr>
      </w:pPr>
      <w:r w:rsidRPr="00DD0BDB">
        <w:rPr>
          <w:rFonts w:eastAsia="Calibri"/>
          <w:lang w:eastAsia="en-US"/>
        </w:rPr>
        <w:t>Entretanto, será necessária a supressão de formações vegetais que se</w:t>
      </w:r>
      <w:r>
        <w:rPr>
          <w:rFonts w:eastAsia="Calibri"/>
          <w:lang w:eastAsia="en-US"/>
        </w:rPr>
        <w:t xml:space="preserve"> encontram e</w:t>
      </w:r>
      <w:r w:rsidR="007B1089">
        <w:rPr>
          <w:rFonts w:eastAsia="Calibri"/>
          <w:lang w:eastAsia="en-US"/>
        </w:rPr>
        <w:t>m</w:t>
      </w:r>
      <w:r>
        <w:rPr>
          <w:rFonts w:eastAsia="Calibri"/>
          <w:lang w:eastAsia="en-US"/>
        </w:rPr>
        <w:t xml:space="preserve"> estágio inicial (Barragens</w:t>
      </w:r>
      <w:r w:rsidRPr="00DD0BDB">
        <w:rPr>
          <w:rFonts w:eastAsia="Calibri"/>
          <w:lang w:eastAsia="en-US"/>
        </w:rPr>
        <w:t xml:space="preserve"> Pedreira e Duas Pontes) e médio</w:t>
      </w:r>
      <w:r>
        <w:rPr>
          <w:rFonts w:eastAsia="Calibri"/>
          <w:lang w:eastAsia="en-US"/>
        </w:rPr>
        <w:t>/avançado</w:t>
      </w:r>
      <w:r w:rsidRPr="00DD0BDB">
        <w:rPr>
          <w:rFonts w:eastAsia="Calibri"/>
          <w:lang w:eastAsia="en-US"/>
        </w:rPr>
        <w:t xml:space="preserve"> (</w:t>
      </w:r>
      <w:r>
        <w:rPr>
          <w:rFonts w:eastAsia="Calibri"/>
          <w:lang w:eastAsia="en-US"/>
        </w:rPr>
        <w:t>Barragem Duas Pontes</w:t>
      </w:r>
      <w:r w:rsidRPr="00DD0BDB">
        <w:rPr>
          <w:rFonts w:eastAsia="Calibri"/>
          <w:lang w:eastAsia="en-US"/>
        </w:rPr>
        <w:t xml:space="preserve">) de regeneração, onde é encontrada a maior parte das espécies mais sensíveis a alterações ambientais. Os indivíduos pertencentes a essas espécies mais sensíveis deverão se deslocar para ambientes bem conservados existentes no entorno da ADA do empreendimento, causando impacto sobre esses “novos” ambientes. </w:t>
      </w:r>
    </w:p>
    <w:p w:rsidR="006856BC" w:rsidRDefault="006856BC" w:rsidP="000E3A50">
      <w:pPr>
        <w:spacing w:before="100" w:after="100" w:line="240" w:lineRule="auto"/>
      </w:pPr>
      <w:r>
        <w:rPr>
          <w:rFonts w:eastAsia="Calibri"/>
          <w:lang w:eastAsia="en-US"/>
        </w:rPr>
        <w:t xml:space="preserve">O impacto de afugentamento de fauna devido à supressão de cobertura vegetal decorrente da implantação da Barragem Pedreira </w:t>
      </w:r>
      <w:r w:rsidRPr="004773A5">
        <w:t>é considerado de pequena magnitude e baixa importância</w:t>
      </w:r>
      <w:r>
        <w:t>. Tal fato deve-se</w:t>
      </w:r>
      <w:r>
        <w:rPr>
          <w:rFonts w:eastAsia="Calibri"/>
          <w:lang w:eastAsia="en-US"/>
        </w:rPr>
        <w:t xml:space="preserve"> às </w:t>
      </w:r>
      <w:r w:rsidRPr="004773A5">
        <w:t xml:space="preserve">características dos ambientes afetados pela implantação da </w:t>
      </w:r>
      <w:r>
        <w:t>Barragem Pedreira</w:t>
      </w:r>
      <w:r w:rsidRPr="004773A5">
        <w:t>, assim como daqueles existentes no entorno de sua ADA,</w:t>
      </w:r>
      <w:r>
        <w:t xml:space="preserve"> e da fauna associada a estes.</w:t>
      </w:r>
    </w:p>
    <w:p w:rsidR="00E155C0" w:rsidRDefault="00E155C0" w:rsidP="00EF55EF">
      <w:pPr>
        <w:pStyle w:val="Legenda"/>
        <w:spacing w:before="0" w:after="0" w:line="240" w:lineRule="auto"/>
        <w:jc w:val="center"/>
        <w:rPr>
          <w:i w:val="0"/>
        </w:rPr>
      </w:pPr>
    </w:p>
    <w:p w:rsidR="006856BC" w:rsidRDefault="008D3A12" w:rsidP="00EF55EF">
      <w:pPr>
        <w:pStyle w:val="Legenda"/>
        <w:spacing w:before="0" w:after="0" w:line="240" w:lineRule="auto"/>
        <w:jc w:val="center"/>
        <w:rPr>
          <w:rFonts w:cs="Arial"/>
          <w:b w:val="0"/>
          <w:bCs/>
          <w:i w:val="0"/>
          <w:szCs w:val="22"/>
        </w:rPr>
      </w:pPr>
      <w:bookmarkStart w:id="290" w:name="_Toc420316493"/>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50</w:t>
      </w:r>
      <w:r w:rsidR="00B80A05" w:rsidRPr="00EF55EF">
        <w:rPr>
          <w:i w:val="0"/>
        </w:rPr>
        <w:fldChar w:fldCharType="end"/>
      </w:r>
      <w:r w:rsidR="00EF55EF" w:rsidRPr="00EF55EF">
        <w:rPr>
          <w:i w:val="0"/>
        </w:rPr>
        <w:t>.</w:t>
      </w:r>
      <w:r w:rsidR="00EF55EF" w:rsidRPr="00EF55EF">
        <w:rPr>
          <w:b w:val="0"/>
          <w:i w:val="0"/>
        </w:rPr>
        <w:t xml:space="preserve"> - </w:t>
      </w:r>
      <w:r w:rsidR="006856BC" w:rsidRPr="00EF55EF">
        <w:rPr>
          <w:rFonts w:cs="Arial"/>
          <w:b w:val="0"/>
          <w:bCs/>
          <w:i w:val="0"/>
          <w:szCs w:val="22"/>
        </w:rPr>
        <w:t>Caracterização do Impacto – Afugentamento de Fauna Silvestre</w:t>
      </w:r>
      <w:r w:rsidR="00900B42" w:rsidRPr="00EF55EF">
        <w:rPr>
          <w:rFonts w:cs="Arial"/>
          <w:b w:val="0"/>
          <w:bCs/>
          <w:i w:val="0"/>
          <w:szCs w:val="22"/>
        </w:rPr>
        <w:t xml:space="preserve"> devido a </w:t>
      </w:r>
      <w:r w:rsidR="00C43B84" w:rsidRPr="00EF55EF">
        <w:rPr>
          <w:rFonts w:cs="Arial"/>
          <w:b w:val="0"/>
          <w:bCs/>
          <w:i w:val="0"/>
          <w:szCs w:val="22"/>
        </w:rPr>
        <w:t>S</w:t>
      </w:r>
      <w:r w:rsidR="00900B42" w:rsidRPr="00EF55EF">
        <w:rPr>
          <w:rFonts w:cs="Arial"/>
          <w:b w:val="0"/>
          <w:bCs/>
          <w:i w:val="0"/>
          <w:szCs w:val="22"/>
        </w:rPr>
        <w:t xml:space="preserve">upressão da </w:t>
      </w:r>
      <w:r w:rsidR="00C43B84" w:rsidRPr="00EF55EF">
        <w:rPr>
          <w:rFonts w:cs="Arial"/>
          <w:b w:val="0"/>
          <w:bCs/>
          <w:i w:val="0"/>
          <w:szCs w:val="22"/>
        </w:rPr>
        <w:t>C</w:t>
      </w:r>
      <w:r w:rsidR="00900B42" w:rsidRPr="00EF55EF">
        <w:rPr>
          <w:rFonts w:cs="Arial"/>
          <w:b w:val="0"/>
          <w:bCs/>
          <w:i w:val="0"/>
          <w:szCs w:val="22"/>
        </w:rPr>
        <w:t xml:space="preserve">obertura </w:t>
      </w:r>
      <w:r w:rsidR="00C43B84" w:rsidRPr="00EF55EF">
        <w:rPr>
          <w:rFonts w:cs="Arial"/>
          <w:b w:val="0"/>
          <w:bCs/>
          <w:i w:val="0"/>
          <w:szCs w:val="22"/>
        </w:rPr>
        <w:t>V</w:t>
      </w:r>
      <w:r w:rsidR="00900B42" w:rsidRPr="00EF55EF">
        <w:rPr>
          <w:rFonts w:cs="Arial"/>
          <w:b w:val="0"/>
          <w:bCs/>
          <w:i w:val="0"/>
          <w:szCs w:val="22"/>
        </w:rPr>
        <w:t>egetal</w:t>
      </w:r>
      <w:r w:rsidR="006856BC" w:rsidRPr="00EF55EF">
        <w:rPr>
          <w:rFonts w:cs="Arial"/>
          <w:b w:val="0"/>
          <w:bCs/>
          <w:i w:val="0"/>
          <w:szCs w:val="22"/>
        </w:rPr>
        <w:t xml:space="preserve"> – Barragem Pedreira</w:t>
      </w:r>
      <w:bookmarkEnd w:id="290"/>
      <w:r w:rsidR="006856BC" w:rsidRPr="00EF55EF">
        <w:rPr>
          <w:rFonts w:cs="Arial"/>
          <w:b w:val="0"/>
          <w:bCs/>
          <w:i w:val="0"/>
          <w:szCs w:val="22"/>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972"/>
        <w:gridCol w:w="1795"/>
        <w:gridCol w:w="1417"/>
        <w:gridCol w:w="3051"/>
      </w:tblGrid>
      <w:tr w:rsidR="006856BC" w:rsidRPr="00F61027" w:rsidTr="001A063B">
        <w:trPr>
          <w:trHeight w:val="397"/>
          <w:jc w:val="center"/>
        </w:trPr>
        <w:tc>
          <w:tcPr>
            <w:tcW w:w="1172"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Natureza</w:t>
            </w:r>
          </w:p>
        </w:tc>
        <w:tc>
          <w:tcPr>
            <w:tcW w:w="972"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Ordem</w:t>
            </w:r>
          </w:p>
        </w:tc>
        <w:tc>
          <w:tcPr>
            <w:tcW w:w="1795"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Abrangência</w:t>
            </w:r>
          </w:p>
        </w:tc>
        <w:tc>
          <w:tcPr>
            <w:tcW w:w="1417"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Duração</w:t>
            </w:r>
          </w:p>
        </w:tc>
        <w:tc>
          <w:tcPr>
            <w:tcW w:w="3051"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Probabilidade de Ocorrência</w:t>
            </w:r>
          </w:p>
        </w:tc>
      </w:tr>
      <w:tr w:rsidR="006856BC" w:rsidRPr="00F61027" w:rsidTr="001A063B">
        <w:trPr>
          <w:jc w:val="center"/>
        </w:trPr>
        <w:tc>
          <w:tcPr>
            <w:tcW w:w="1172"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Pr>
                <w:rFonts w:cs="Arial"/>
                <w:sz w:val="20"/>
              </w:rPr>
              <w:t>Negativa</w:t>
            </w:r>
          </w:p>
        </w:tc>
        <w:tc>
          <w:tcPr>
            <w:tcW w:w="972"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Direta</w:t>
            </w:r>
          </w:p>
        </w:tc>
        <w:tc>
          <w:tcPr>
            <w:tcW w:w="1795"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Local (ADA/AID)</w:t>
            </w:r>
          </w:p>
        </w:tc>
        <w:tc>
          <w:tcPr>
            <w:tcW w:w="1417"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Permanente</w:t>
            </w:r>
          </w:p>
        </w:tc>
        <w:tc>
          <w:tcPr>
            <w:tcW w:w="3051"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Certa</w:t>
            </w:r>
          </w:p>
        </w:tc>
      </w:tr>
    </w:tbl>
    <w:p w:rsidR="006856BC" w:rsidRPr="00F61027" w:rsidRDefault="006856BC" w:rsidP="00893623">
      <w:pPr>
        <w:autoSpaceDE w:val="0"/>
        <w:autoSpaceDN w:val="0"/>
        <w:adjustRightInd w:val="0"/>
        <w:spacing w:line="240" w:lineRule="auto"/>
        <w:ind w:left="357"/>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6856BC" w:rsidRPr="00F61027" w:rsidTr="000E3A50">
        <w:trPr>
          <w:trHeight w:val="321"/>
          <w:jc w:val="center"/>
        </w:trPr>
        <w:tc>
          <w:tcPr>
            <w:tcW w:w="2329"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Época de Ocorrência</w:t>
            </w:r>
          </w:p>
        </w:tc>
        <w:tc>
          <w:tcPr>
            <w:tcW w:w="1796"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Reversibilidade</w:t>
            </w:r>
          </w:p>
        </w:tc>
        <w:tc>
          <w:tcPr>
            <w:tcW w:w="1328"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Magnitude</w:t>
            </w:r>
          </w:p>
        </w:tc>
        <w:tc>
          <w:tcPr>
            <w:tcW w:w="1461"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Importância</w:t>
            </w:r>
          </w:p>
        </w:tc>
        <w:tc>
          <w:tcPr>
            <w:tcW w:w="1539"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Mitigação</w:t>
            </w:r>
          </w:p>
        </w:tc>
      </w:tr>
      <w:tr w:rsidR="006856BC" w:rsidRPr="00F61027" w:rsidTr="000E3A50">
        <w:trPr>
          <w:trHeight w:val="265"/>
          <w:jc w:val="center"/>
        </w:trPr>
        <w:tc>
          <w:tcPr>
            <w:tcW w:w="2329"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Pr>
                <w:rFonts w:cs="Arial"/>
                <w:sz w:val="20"/>
              </w:rPr>
              <w:t>Curto</w:t>
            </w:r>
            <w:r w:rsidRPr="00F61027">
              <w:rPr>
                <w:rFonts w:cs="Arial"/>
                <w:sz w:val="20"/>
              </w:rPr>
              <w:t xml:space="preserve"> Prazo</w:t>
            </w:r>
          </w:p>
        </w:tc>
        <w:tc>
          <w:tcPr>
            <w:tcW w:w="1796"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Irreversível</w:t>
            </w:r>
          </w:p>
        </w:tc>
        <w:tc>
          <w:tcPr>
            <w:tcW w:w="1328"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Pequena</w:t>
            </w:r>
          </w:p>
        </w:tc>
        <w:tc>
          <w:tcPr>
            <w:tcW w:w="1461"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Baixa</w:t>
            </w:r>
          </w:p>
        </w:tc>
        <w:tc>
          <w:tcPr>
            <w:tcW w:w="1539"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Não Mitigável</w:t>
            </w:r>
          </w:p>
        </w:tc>
      </w:tr>
    </w:tbl>
    <w:p w:rsidR="006856BC" w:rsidRPr="004773A5" w:rsidRDefault="006856BC" w:rsidP="00F024EC">
      <w:pPr>
        <w:autoSpaceDE w:val="0"/>
        <w:autoSpaceDN w:val="0"/>
        <w:adjustRightInd w:val="0"/>
        <w:spacing w:before="360" w:after="120" w:line="240" w:lineRule="auto"/>
        <w:rPr>
          <w:rFonts w:cs="Arial"/>
          <w:bCs/>
          <w:szCs w:val="22"/>
        </w:rPr>
      </w:pPr>
      <w:r>
        <w:rPr>
          <w:rFonts w:cs="Arial"/>
          <w:bCs/>
          <w:szCs w:val="22"/>
        </w:rPr>
        <w:t>No caso da Barragem Duas Pontes o impacto de afugentamento de fauna silvestre, devido à perda de cobertura vegetal, é considerado de pequena magnitude, porém de alta importância, já que também afetará uma comunidade associada a</w:t>
      </w:r>
      <w:r w:rsidR="00B11E51">
        <w:rPr>
          <w:rFonts w:cs="Arial"/>
          <w:bCs/>
          <w:szCs w:val="22"/>
        </w:rPr>
        <w:t>os</w:t>
      </w:r>
      <w:r>
        <w:rPr>
          <w:rFonts w:cs="Arial"/>
          <w:bCs/>
          <w:szCs w:val="22"/>
        </w:rPr>
        <w:t xml:space="preserve"> ambientes em melhor estado de conservação, que são raros na região.</w:t>
      </w:r>
    </w:p>
    <w:p w:rsidR="006856BC" w:rsidRPr="00EF55EF" w:rsidRDefault="008D3A12" w:rsidP="00EF55EF">
      <w:pPr>
        <w:pStyle w:val="Legenda"/>
        <w:spacing w:line="240" w:lineRule="auto"/>
        <w:jc w:val="center"/>
        <w:rPr>
          <w:rFonts w:cs="Arial"/>
          <w:b w:val="0"/>
          <w:bCs/>
          <w:i w:val="0"/>
          <w:szCs w:val="22"/>
        </w:rPr>
      </w:pPr>
      <w:bookmarkStart w:id="291" w:name="_Toc420316494"/>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51</w:t>
      </w:r>
      <w:r w:rsidR="00B80A05" w:rsidRPr="00EF55EF">
        <w:rPr>
          <w:i w:val="0"/>
        </w:rPr>
        <w:fldChar w:fldCharType="end"/>
      </w:r>
      <w:r w:rsidR="00EF55EF" w:rsidRPr="00EF55EF">
        <w:rPr>
          <w:i w:val="0"/>
        </w:rPr>
        <w:t>.</w:t>
      </w:r>
      <w:r w:rsidR="00EF55EF" w:rsidRPr="00EF55EF">
        <w:rPr>
          <w:b w:val="0"/>
          <w:i w:val="0"/>
        </w:rPr>
        <w:t xml:space="preserve"> - </w:t>
      </w:r>
      <w:r w:rsidR="006856BC" w:rsidRPr="00EF55EF">
        <w:rPr>
          <w:rFonts w:cs="Arial"/>
          <w:b w:val="0"/>
          <w:bCs/>
          <w:i w:val="0"/>
          <w:szCs w:val="22"/>
        </w:rPr>
        <w:t>Caracterização do Impacto - Afugentamento de Fauna Silvestre</w:t>
      </w:r>
      <w:r w:rsidR="00900B42" w:rsidRPr="00EF55EF">
        <w:rPr>
          <w:rFonts w:cs="Arial"/>
          <w:b w:val="0"/>
          <w:bCs/>
          <w:i w:val="0"/>
          <w:szCs w:val="22"/>
        </w:rPr>
        <w:t xml:space="preserve"> devido a </w:t>
      </w:r>
      <w:r w:rsidR="00C43B84" w:rsidRPr="00EF55EF">
        <w:rPr>
          <w:rFonts w:cs="Arial"/>
          <w:b w:val="0"/>
          <w:bCs/>
          <w:i w:val="0"/>
          <w:szCs w:val="22"/>
        </w:rPr>
        <w:t>S</w:t>
      </w:r>
      <w:r w:rsidR="00900B42" w:rsidRPr="00EF55EF">
        <w:rPr>
          <w:rFonts w:cs="Arial"/>
          <w:b w:val="0"/>
          <w:bCs/>
          <w:i w:val="0"/>
          <w:szCs w:val="22"/>
        </w:rPr>
        <w:t xml:space="preserve">upressão da </w:t>
      </w:r>
      <w:r w:rsidR="00C43B84" w:rsidRPr="00EF55EF">
        <w:rPr>
          <w:rFonts w:cs="Arial"/>
          <w:b w:val="0"/>
          <w:bCs/>
          <w:i w:val="0"/>
          <w:szCs w:val="22"/>
        </w:rPr>
        <w:t>C</w:t>
      </w:r>
      <w:r w:rsidR="00900B42" w:rsidRPr="00EF55EF">
        <w:rPr>
          <w:rFonts w:cs="Arial"/>
          <w:b w:val="0"/>
          <w:bCs/>
          <w:i w:val="0"/>
          <w:szCs w:val="22"/>
        </w:rPr>
        <w:t xml:space="preserve">obertura </w:t>
      </w:r>
      <w:r w:rsidR="00C43B84" w:rsidRPr="00EF55EF">
        <w:rPr>
          <w:rFonts w:cs="Arial"/>
          <w:b w:val="0"/>
          <w:bCs/>
          <w:i w:val="0"/>
          <w:szCs w:val="22"/>
        </w:rPr>
        <w:t>V</w:t>
      </w:r>
      <w:r w:rsidR="00900B42" w:rsidRPr="00EF55EF">
        <w:rPr>
          <w:rFonts w:cs="Arial"/>
          <w:b w:val="0"/>
          <w:bCs/>
          <w:i w:val="0"/>
          <w:szCs w:val="22"/>
        </w:rPr>
        <w:t>egetal</w:t>
      </w:r>
      <w:r w:rsidR="006856BC" w:rsidRPr="00EF55EF">
        <w:rPr>
          <w:rFonts w:cs="Arial"/>
          <w:b w:val="0"/>
          <w:bCs/>
          <w:i w:val="0"/>
          <w:szCs w:val="22"/>
        </w:rPr>
        <w:t xml:space="preserve"> - Barragem Duas Pontes</w:t>
      </w:r>
      <w:bookmarkEnd w:id="29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972"/>
        <w:gridCol w:w="1795"/>
        <w:gridCol w:w="1417"/>
        <w:gridCol w:w="3051"/>
      </w:tblGrid>
      <w:tr w:rsidR="00AD7599" w:rsidRPr="00F61027" w:rsidTr="001A063B">
        <w:trPr>
          <w:trHeight w:val="397"/>
          <w:jc w:val="center"/>
        </w:trPr>
        <w:tc>
          <w:tcPr>
            <w:tcW w:w="1172"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Natureza</w:t>
            </w:r>
          </w:p>
        </w:tc>
        <w:tc>
          <w:tcPr>
            <w:tcW w:w="972"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Ordem</w:t>
            </w:r>
          </w:p>
        </w:tc>
        <w:tc>
          <w:tcPr>
            <w:tcW w:w="1795"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Abrangência</w:t>
            </w:r>
          </w:p>
        </w:tc>
        <w:tc>
          <w:tcPr>
            <w:tcW w:w="1417"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Duração</w:t>
            </w:r>
          </w:p>
        </w:tc>
        <w:tc>
          <w:tcPr>
            <w:tcW w:w="3051"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Probabilidade de Ocorrência</w:t>
            </w:r>
          </w:p>
        </w:tc>
      </w:tr>
      <w:tr w:rsidR="00AD7599" w:rsidRPr="00F61027" w:rsidTr="001A063B">
        <w:trPr>
          <w:jc w:val="center"/>
        </w:trPr>
        <w:tc>
          <w:tcPr>
            <w:tcW w:w="1172"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Pr>
                <w:rFonts w:cs="Arial"/>
                <w:sz w:val="20"/>
              </w:rPr>
              <w:t>Negativa</w:t>
            </w:r>
          </w:p>
        </w:tc>
        <w:tc>
          <w:tcPr>
            <w:tcW w:w="972"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Direta</w:t>
            </w:r>
          </w:p>
        </w:tc>
        <w:tc>
          <w:tcPr>
            <w:tcW w:w="1795"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Local (ADA/AID)</w:t>
            </w:r>
          </w:p>
        </w:tc>
        <w:tc>
          <w:tcPr>
            <w:tcW w:w="1417"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Permanente</w:t>
            </w:r>
          </w:p>
        </w:tc>
        <w:tc>
          <w:tcPr>
            <w:tcW w:w="3051"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Certa</w:t>
            </w:r>
          </w:p>
        </w:tc>
      </w:tr>
    </w:tbl>
    <w:p w:rsidR="006856BC" w:rsidRPr="00F61027" w:rsidRDefault="006856BC" w:rsidP="00893623">
      <w:pPr>
        <w:autoSpaceDE w:val="0"/>
        <w:autoSpaceDN w:val="0"/>
        <w:adjustRightInd w:val="0"/>
        <w:spacing w:line="240" w:lineRule="auto"/>
        <w:ind w:left="357"/>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6856BC" w:rsidRPr="00F61027" w:rsidTr="001A063B">
        <w:trPr>
          <w:trHeight w:val="397"/>
          <w:jc w:val="center"/>
        </w:trPr>
        <w:tc>
          <w:tcPr>
            <w:tcW w:w="2329"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Época de Ocorrência</w:t>
            </w:r>
          </w:p>
        </w:tc>
        <w:tc>
          <w:tcPr>
            <w:tcW w:w="1796"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Reversibilidade</w:t>
            </w:r>
          </w:p>
        </w:tc>
        <w:tc>
          <w:tcPr>
            <w:tcW w:w="1328"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Magnitude</w:t>
            </w:r>
          </w:p>
        </w:tc>
        <w:tc>
          <w:tcPr>
            <w:tcW w:w="1461"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Importância</w:t>
            </w:r>
          </w:p>
        </w:tc>
        <w:tc>
          <w:tcPr>
            <w:tcW w:w="1539"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Mitigação</w:t>
            </w:r>
          </w:p>
        </w:tc>
      </w:tr>
      <w:tr w:rsidR="006856BC" w:rsidRPr="00F61027" w:rsidTr="001A063B">
        <w:trPr>
          <w:jc w:val="center"/>
        </w:trPr>
        <w:tc>
          <w:tcPr>
            <w:tcW w:w="2329"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Pr>
                <w:rFonts w:cs="Arial"/>
                <w:sz w:val="20"/>
              </w:rPr>
              <w:t>Curto</w:t>
            </w:r>
            <w:r w:rsidRPr="00F61027">
              <w:rPr>
                <w:rFonts w:cs="Arial"/>
                <w:sz w:val="20"/>
              </w:rPr>
              <w:t xml:space="preserve"> Prazo</w:t>
            </w:r>
          </w:p>
        </w:tc>
        <w:tc>
          <w:tcPr>
            <w:tcW w:w="1796"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Irreversível</w:t>
            </w:r>
          </w:p>
        </w:tc>
        <w:tc>
          <w:tcPr>
            <w:tcW w:w="1328"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Pequena</w:t>
            </w:r>
          </w:p>
        </w:tc>
        <w:tc>
          <w:tcPr>
            <w:tcW w:w="1461"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Pr>
                <w:rFonts w:cs="Arial"/>
                <w:sz w:val="20"/>
              </w:rPr>
              <w:t>Média</w:t>
            </w:r>
          </w:p>
        </w:tc>
        <w:tc>
          <w:tcPr>
            <w:tcW w:w="1539"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Não Mitigável</w:t>
            </w:r>
          </w:p>
        </w:tc>
      </w:tr>
    </w:tbl>
    <w:p w:rsidR="006856BC" w:rsidRDefault="006856BC" w:rsidP="007B1089">
      <w:pPr>
        <w:spacing w:line="240" w:lineRule="auto"/>
        <w:rPr>
          <w:i/>
        </w:rPr>
      </w:pPr>
    </w:p>
    <w:p w:rsidR="006856BC" w:rsidRPr="006856BC" w:rsidRDefault="00C43B84" w:rsidP="00431A97">
      <w:pPr>
        <w:numPr>
          <w:ilvl w:val="0"/>
          <w:numId w:val="64"/>
        </w:numPr>
        <w:tabs>
          <w:tab w:val="left" w:pos="426"/>
        </w:tabs>
        <w:spacing w:before="240" w:after="240" w:line="240" w:lineRule="auto"/>
        <w:ind w:left="0" w:firstLine="0"/>
        <w:rPr>
          <w:b/>
        </w:rPr>
      </w:pPr>
      <w:r>
        <w:rPr>
          <w:b/>
        </w:rPr>
        <w:t>Afugentamento de Fauna Silvestre d</w:t>
      </w:r>
      <w:r w:rsidR="006856BC" w:rsidRPr="006856BC">
        <w:rPr>
          <w:b/>
        </w:rPr>
        <w:t>evido ao aumento do ruído</w:t>
      </w:r>
    </w:p>
    <w:p w:rsidR="006856BC" w:rsidRPr="00DD0BDB" w:rsidRDefault="006856BC" w:rsidP="006856BC">
      <w:pPr>
        <w:spacing w:before="120" w:after="120" w:line="240" w:lineRule="auto"/>
      </w:pPr>
      <w:r w:rsidRPr="00DD0BDB">
        <w:t xml:space="preserve">Os efeitos do ruído em humanos tem sido objeto de extensivos estudos. Os conhecimentos acumulados através dessas pesquisas evidenciam os efeitos negativos no sono, na comunicação e nas atividades mentais (Brown, 2000). Por outro lado, os efeitos do ruído como uma fonte de perturbação para a fauna têm recebido pouca atenção (Radle, 1998), sendo raros os estudos relacionados ao tema (Brown, 2000). Embora existam poucos estudos avaliando os efeitos do aumento do ruído, provocado por atividades humanas, sobre a fauna, sabe-se que este pode resultar no </w:t>
      </w:r>
      <w:r w:rsidRPr="00DD0BDB">
        <w:rPr>
          <w:i/>
        </w:rPr>
        <w:t xml:space="preserve">stress </w:t>
      </w:r>
      <w:r w:rsidRPr="00DD0BDB">
        <w:t xml:space="preserve">e afugentamento de animais e, ainda, que as espécies respondem de forma distinta ao mesmo estímulo. </w:t>
      </w:r>
    </w:p>
    <w:p w:rsidR="006856BC" w:rsidRPr="00DD0BDB" w:rsidRDefault="006856BC" w:rsidP="006856BC">
      <w:pPr>
        <w:spacing w:before="120" w:after="120" w:line="240" w:lineRule="auto"/>
      </w:pPr>
      <w:r w:rsidRPr="00DD0BDB">
        <w:t>Os animais dependem de sinais acústicos para funções essenciais como acasalamento, detecção de predadores e de presas.  Sob o estímulo do aumento de ruído, muitas espécies tendem a se deslocar em busca de ambientes sob menor influência deste. O deslocamento de indivíduos para áreas adjacentes, por sua vez, aumenta a competição intra e interespecífica nessas áreas.</w:t>
      </w:r>
    </w:p>
    <w:p w:rsidR="006856BC" w:rsidRPr="00DD0BDB" w:rsidRDefault="006856BC" w:rsidP="006856BC">
      <w:pPr>
        <w:spacing w:before="120" w:after="120" w:line="240" w:lineRule="auto"/>
      </w:pPr>
      <w:r w:rsidRPr="00DD0BDB">
        <w:t xml:space="preserve">Durante a fase de implantação </w:t>
      </w:r>
      <w:r>
        <w:t>das Barragens</w:t>
      </w:r>
      <w:r w:rsidRPr="00DD0BDB">
        <w:t xml:space="preserve"> Pedreira e Duas Pontes ocorrerá um incremento do ruído em suas imediações, devido, principalmente, à: movimentação de máquinas e equipamentos; movimentação de pessoas; e construção de vias e estruturas.</w:t>
      </w:r>
    </w:p>
    <w:p w:rsidR="006856BC" w:rsidRPr="004773A5" w:rsidRDefault="006856BC" w:rsidP="006856BC">
      <w:pPr>
        <w:spacing w:before="120" w:after="120" w:line="240" w:lineRule="auto"/>
      </w:pPr>
      <w:r w:rsidRPr="00DD0BDB">
        <w:t xml:space="preserve">O afugentamento de fauna devido à emissão de ruído depende, principalmente, de duas variáveis: a importância do incremento e as características dos ambientes existentes na área de influência deste. Quanto maior a diferença do nível de ruído atual para o nível que será atingido, maior será o efeito sobre as populações animais associadas aos ambientes próximos às fontes de ruído. Por outro lado, quanto mais conservado se encontra os ambientes afetados mais sensíveis ao incremento de ruído são as espécies </w:t>
      </w:r>
      <w:r w:rsidRPr="004773A5">
        <w:t>de animais associadas.</w:t>
      </w:r>
    </w:p>
    <w:p w:rsidR="006856BC" w:rsidRDefault="006856BC" w:rsidP="006856BC">
      <w:pPr>
        <w:spacing w:before="120" w:after="120" w:line="240" w:lineRule="auto"/>
      </w:pPr>
      <w:r>
        <w:t>O impacto de afugentamento de fauna, decorrente do aumento do ruído durante as obras para a implantação ta</w:t>
      </w:r>
      <w:r w:rsidR="008C15C3">
        <w:t>nto da Barragem Pedreira como da barragem</w:t>
      </w:r>
      <w:r>
        <w:t xml:space="preserve"> Duas Pontes é considerado de pequena magnitude e baixa importância.</w:t>
      </w:r>
    </w:p>
    <w:p w:rsidR="006856BC" w:rsidRPr="00EF55EF" w:rsidRDefault="008D3A12" w:rsidP="00EF55EF">
      <w:pPr>
        <w:pStyle w:val="Legenda"/>
        <w:spacing w:line="240" w:lineRule="auto"/>
        <w:jc w:val="center"/>
        <w:rPr>
          <w:rFonts w:cs="Arial"/>
          <w:b w:val="0"/>
          <w:bCs/>
          <w:i w:val="0"/>
          <w:szCs w:val="22"/>
        </w:rPr>
      </w:pPr>
      <w:bookmarkStart w:id="292" w:name="_Toc420316495"/>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52</w:t>
      </w:r>
      <w:r w:rsidR="00B80A05" w:rsidRPr="00EF55EF">
        <w:rPr>
          <w:i w:val="0"/>
        </w:rPr>
        <w:fldChar w:fldCharType="end"/>
      </w:r>
      <w:r w:rsidR="00EF55EF" w:rsidRPr="00EF55EF">
        <w:rPr>
          <w:i w:val="0"/>
        </w:rPr>
        <w:t>.</w:t>
      </w:r>
      <w:r w:rsidR="00EF55EF" w:rsidRPr="00EF55EF">
        <w:rPr>
          <w:b w:val="0"/>
          <w:i w:val="0"/>
        </w:rPr>
        <w:t xml:space="preserve"> - </w:t>
      </w:r>
      <w:r w:rsidR="006856BC" w:rsidRPr="00EF55EF">
        <w:rPr>
          <w:rFonts w:cs="Arial"/>
          <w:b w:val="0"/>
          <w:bCs/>
          <w:i w:val="0"/>
          <w:szCs w:val="22"/>
        </w:rPr>
        <w:t>Caracterização do Impacto - Afugentamento de Fauna Silvestre</w:t>
      </w:r>
      <w:r w:rsidR="00900B42" w:rsidRPr="00EF55EF">
        <w:rPr>
          <w:rFonts w:cs="Arial"/>
          <w:b w:val="0"/>
          <w:bCs/>
          <w:i w:val="0"/>
          <w:szCs w:val="22"/>
        </w:rPr>
        <w:t xml:space="preserve"> devido ao </w:t>
      </w:r>
      <w:r w:rsidR="00C43B84" w:rsidRPr="00EF55EF">
        <w:rPr>
          <w:rFonts w:cs="Arial"/>
          <w:b w:val="0"/>
          <w:bCs/>
          <w:i w:val="0"/>
          <w:szCs w:val="22"/>
        </w:rPr>
        <w:t>A</w:t>
      </w:r>
      <w:r w:rsidR="00900B42" w:rsidRPr="00EF55EF">
        <w:rPr>
          <w:rFonts w:cs="Arial"/>
          <w:b w:val="0"/>
          <w:bCs/>
          <w:i w:val="0"/>
          <w:szCs w:val="22"/>
        </w:rPr>
        <w:t xml:space="preserve">umento de </w:t>
      </w:r>
      <w:r w:rsidR="00C43B84" w:rsidRPr="00EF55EF">
        <w:rPr>
          <w:rFonts w:cs="Arial"/>
          <w:b w:val="0"/>
          <w:bCs/>
          <w:i w:val="0"/>
          <w:szCs w:val="22"/>
        </w:rPr>
        <w:t>R</w:t>
      </w:r>
      <w:r w:rsidR="00900B42" w:rsidRPr="00EF55EF">
        <w:rPr>
          <w:rFonts w:cs="Arial"/>
          <w:b w:val="0"/>
          <w:bCs/>
          <w:i w:val="0"/>
          <w:szCs w:val="22"/>
        </w:rPr>
        <w:t>uído</w:t>
      </w:r>
      <w:r w:rsidR="006856BC" w:rsidRPr="00EF55EF">
        <w:rPr>
          <w:rFonts w:cs="Arial"/>
          <w:b w:val="0"/>
          <w:bCs/>
          <w:i w:val="0"/>
          <w:szCs w:val="22"/>
        </w:rPr>
        <w:t xml:space="preserve"> – Barrage</w:t>
      </w:r>
      <w:r w:rsidR="007B1089" w:rsidRPr="00EF55EF">
        <w:rPr>
          <w:rFonts w:cs="Arial"/>
          <w:b w:val="0"/>
          <w:bCs/>
          <w:i w:val="0"/>
          <w:szCs w:val="22"/>
        </w:rPr>
        <w:t>ns</w:t>
      </w:r>
      <w:r w:rsidR="006856BC" w:rsidRPr="00EF55EF">
        <w:rPr>
          <w:rFonts w:cs="Arial"/>
          <w:b w:val="0"/>
          <w:bCs/>
          <w:i w:val="0"/>
          <w:szCs w:val="22"/>
        </w:rPr>
        <w:t xml:space="preserve"> Pedreira </w:t>
      </w:r>
      <w:r w:rsidR="007B1089" w:rsidRPr="00EF55EF">
        <w:rPr>
          <w:rFonts w:cs="Arial"/>
          <w:b w:val="0"/>
          <w:bCs/>
          <w:i w:val="0"/>
          <w:szCs w:val="22"/>
        </w:rPr>
        <w:t>e Duas Pontes</w:t>
      </w:r>
      <w:bookmarkEnd w:id="29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972"/>
        <w:gridCol w:w="1795"/>
        <w:gridCol w:w="1417"/>
        <w:gridCol w:w="3051"/>
      </w:tblGrid>
      <w:tr w:rsidR="006856BC" w:rsidRPr="00F61027" w:rsidTr="001A063B">
        <w:trPr>
          <w:trHeight w:val="397"/>
          <w:jc w:val="center"/>
        </w:trPr>
        <w:tc>
          <w:tcPr>
            <w:tcW w:w="1172"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Natureza</w:t>
            </w:r>
          </w:p>
        </w:tc>
        <w:tc>
          <w:tcPr>
            <w:tcW w:w="972"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Ordem</w:t>
            </w:r>
          </w:p>
        </w:tc>
        <w:tc>
          <w:tcPr>
            <w:tcW w:w="1795"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Abrangência</w:t>
            </w:r>
          </w:p>
        </w:tc>
        <w:tc>
          <w:tcPr>
            <w:tcW w:w="1417"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Duração</w:t>
            </w:r>
          </w:p>
        </w:tc>
        <w:tc>
          <w:tcPr>
            <w:tcW w:w="3051"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Probabilidade de Ocorrência</w:t>
            </w:r>
          </w:p>
        </w:tc>
      </w:tr>
      <w:tr w:rsidR="006856BC" w:rsidRPr="00F61027" w:rsidTr="001A063B">
        <w:trPr>
          <w:jc w:val="center"/>
        </w:trPr>
        <w:tc>
          <w:tcPr>
            <w:tcW w:w="1172"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Pr>
                <w:rFonts w:cs="Arial"/>
                <w:sz w:val="20"/>
              </w:rPr>
              <w:t>Negativa</w:t>
            </w:r>
          </w:p>
        </w:tc>
        <w:tc>
          <w:tcPr>
            <w:tcW w:w="972"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Direta</w:t>
            </w:r>
          </w:p>
        </w:tc>
        <w:tc>
          <w:tcPr>
            <w:tcW w:w="1795"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Local (ADA/AID)</w:t>
            </w:r>
          </w:p>
        </w:tc>
        <w:tc>
          <w:tcPr>
            <w:tcW w:w="1417"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Permanente</w:t>
            </w:r>
          </w:p>
        </w:tc>
        <w:tc>
          <w:tcPr>
            <w:tcW w:w="3051"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Certa</w:t>
            </w:r>
          </w:p>
        </w:tc>
      </w:tr>
    </w:tbl>
    <w:p w:rsidR="006856BC" w:rsidRPr="00F61027" w:rsidRDefault="006856BC" w:rsidP="007B1089">
      <w:pPr>
        <w:autoSpaceDE w:val="0"/>
        <w:autoSpaceDN w:val="0"/>
        <w:adjustRightInd w:val="0"/>
        <w:spacing w:line="240" w:lineRule="auto"/>
        <w:ind w:left="357"/>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6856BC" w:rsidRPr="00F61027" w:rsidTr="001A063B">
        <w:trPr>
          <w:trHeight w:val="397"/>
          <w:jc w:val="center"/>
        </w:trPr>
        <w:tc>
          <w:tcPr>
            <w:tcW w:w="2329"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Época de Ocorrência</w:t>
            </w:r>
          </w:p>
        </w:tc>
        <w:tc>
          <w:tcPr>
            <w:tcW w:w="1796"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Reversibilidade</w:t>
            </w:r>
          </w:p>
        </w:tc>
        <w:tc>
          <w:tcPr>
            <w:tcW w:w="1328"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Magnitude</w:t>
            </w:r>
          </w:p>
        </w:tc>
        <w:tc>
          <w:tcPr>
            <w:tcW w:w="1461"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Importância</w:t>
            </w:r>
          </w:p>
        </w:tc>
        <w:tc>
          <w:tcPr>
            <w:tcW w:w="1539" w:type="dxa"/>
            <w:shd w:val="clear" w:color="auto" w:fill="D9D9D9"/>
            <w:vAlign w:val="center"/>
          </w:tcPr>
          <w:p w:rsidR="006856BC" w:rsidRPr="00F61027" w:rsidRDefault="006856BC" w:rsidP="001A063B">
            <w:pPr>
              <w:autoSpaceDE w:val="0"/>
              <w:autoSpaceDN w:val="0"/>
              <w:adjustRightInd w:val="0"/>
              <w:spacing w:before="120" w:after="120" w:line="240" w:lineRule="auto"/>
              <w:jc w:val="center"/>
              <w:rPr>
                <w:rFonts w:cs="Arial"/>
                <w:b/>
                <w:sz w:val="20"/>
              </w:rPr>
            </w:pPr>
            <w:r w:rsidRPr="00F61027">
              <w:rPr>
                <w:rFonts w:cs="Arial"/>
                <w:b/>
                <w:sz w:val="20"/>
              </w:rPr>
              <w:t>Mitigação</w:t>
            </w:r>
          </w:p>
        </w:tc>
      </w:tr>
      <w:tr w:rsidR="006856BC" w:rsidRPr="00F61027" w:rsidTr="001A063B">
        <w:trPr>
          <w:jc w:val="center"/>
        </w:trPr>
        <w:tc>
          <w:tcPr>
            <w:tcW w:w="2329"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Pr>
                <w:rFonts w:cs="Arial"/>
                <w:sz w:val="20"/>
              </w:rPr>
              <w:t>Curto</w:t>
            </w:r>
            <w:r w:rsidRPr="00F61027">
              <w:rPr>
                <w:rFonts w:cs="Arial"/>
                <w:sz w:val="20"/>
              </w:rPr>
              <w:t xml:space="preserve"> Prazo</w:t>
            </w:r>
          </w:p>
        </w:tc>
        <w:tc>
          <w:tcPr>
            <w:tcW w:w="1796"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Irreversível</w:t>
            </w:r>
          </w:p>
        </w:tc>
        <w:tc>
          <w:tcPr>
            <w:tcW w:w="1328"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Pequena</w:t>
            </w:r>
          </w:p>
        </w:tc>
        <w:tc>
          <w:tcPr>
            <w:tcW w:w="1461"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Baixa</w:t>
            </w:r>
          </w:p>
        </w:tc>
        <w:tc>
          <w:tcPr>
            <w:tcW w:w="1539" w:type="dxa"/>
            <w:shd w:val="clear" w:color="auto" w:fill="auto"/>
            <w:vAlign w:val="center"/>
          </w:tcPr>
          <w:p w:rsidR="006856BC" w:rsidRPr="00F61027" w:rsidRDefault="006856BC" w:rsidP="001A063B">
            <w:pPr>
              <w:autoSpaceDE w:val="0"/>
              <w:autoSpaceDN w:val="0"/>
              <w:adjustRightInd w:val="0"/>
              <w:spacing w:before="120" w:after="120" w:line="240" w:lineRule="auto"/>
              <w:jc w:val="center"/>
              <w:rPr>
                <w:rFonts w:cs="Arial"/>
                <w:sz w:val="20"/>
              </w:rPr>
            </w:pPr>
            <w:r w:rsidRPr="00F61027">
              <w:rPr>
                <w:rFonts w:cs="Arial"/>
                <w:sz w:val="20"/>
              </w:rPr>
              <w:t>Mitigável</w:t>
            </w:r>
          </w:p>
        </w:tc>
      </w:tr>
    </w:tbl>
    <w:p w:rsidR="006856BC" w:rsidRPr="00693DE4" w:rsidRDefault="006856BC" w:rsidP="007B1089">
      <w:pPr>
        <w:spacing w:line="240" w:lineRule="auto"/>
      </w:pPr>
    </w:p>
    <w:p w:rsidR="006856BC" w:rsidRPr="00693DE4" w:rsidRDefault="006856BC" w:rsidP="006856BC">
      <w:pPr>
        <w:spacing w:before="120" w:after="120" w:line="240" w:lineRule="auto"/>
        <w:rPr>
          <w:b/>
        </w:rPr>
      </w:pPr>
      <w:r w:rsidRPr="00693DE4">
        <w:rPr>
          <w:b/>
        </w:rPr>
        <w:t>Ações Ambientais Propostas:</w:t>
      </w:r>
    </w:p>
    <w:p w:rsidR="006856BC" w:rsidRDefault="006856BC" w:rsidP="006856BC">
      <w:pPr>
        <w:spacing w:before="120" w:after="120" w:line="240" w:lineRule="auto"/>
        <w:rPr>
          <w:spacing w:val="-2"/>
        </w:rPr>
      </w:pPr>
      <w:r w:rsidRPr="00693DE4">
        <w:rPr>
          <w:spacing w:val="-2"/>
        </w:rPr>
        <w:t xml:space="preserve">O impacto de afugentamento de fauna silvestre causado pela perda de hábitat não é mitigável. Entretanto, o afugentamento de fauna decorrente do incremento de ruído, durante a fase de implantação </w:t>
      </w:r>
      <w:r>
        <w:rPr>
          <w:spacing w:val="-2"/>
        </w:rPr>
        <w:t>das B</w:t>
      </w:r>
      <w:r w:rsidRPr="00693DE4">
        <w:rPr>
          <w:spacing w:val="-2"/>
        </w:rPr>
        <w:t>arragens Pedreira e Duas Pontes, pode ser mitigado. Medidas para a mitigação do impacto de afugentamento de fauna são previstas no Plano de Controle Ambiental de Obras, assim como no Programa de Educação Ambiental. Ainda, para o acompanhamento dos efeitos do impacto de afugentamento de fauna é proposto o Programa de Monitoramento e Conservação da Fauna.</w:t>
      </w:r>
    </w:p>
    <w:p w:rsidR="00973BCF" w:rsidRPr="002102F0" w:rsidRDefault="00CD6D82" w:rsidP="008D3A12">
      <w:pPr>
        <w:pStyle w:val="Ttulo3"/>
      </w:pPr>
      <w:bookmarkStart w:id="293" w:name="_Toc418758235"/>
      <w:bookmarkStart w:id="294" w:name="_Toc418758837"/>
      <w:bookmarkStart w:id="295" w:name="_Toc419813597"/>
      <w:r w:rsidRPr="002102F0">
        <w:t>1.3.2.</w:t>
      </w:r>
      <w:r w:rsidR="008D0D70" w:rsidRPr="002102F0">
        <w:t>6</w:t>
      </w:r>
      <w:r w:rsidR="00973BCF" w:rsidRPr="002102F0">
        <w:t>. Aumento de Atropelamento de Indiv</w:t>
      </w:r>
      <w:r w:rsidR="00973BCF" w:rsidRPr="002102F0">
        <w:rPr>
          <w:rFonts w:hint="eastAsia"/>
        </w:rPr>
        <w:t>í</w:t>
      </w:r>
      <w:r w:rsidR="00973BCF" w:rsidRPr="002102F0">
        <w:t>duos da Fauna Silvestre</w:t>
      </w:r>
      <w:bookmarkEnd w:id="293"/>
      <w:bookmarkEnd w:id="294"/>
      <w:bookmarkEnd w:id="295"/>
    </w:p>
    <w:p w:rsidR="00893623" w:rsidRPr="000B7B85" w:rsidRDefault="00893623" w:rsidP="00893623">
      <w:pPr>
        <w:spacing w:before="120" w:after="120" w:line="240" w:lineRule="auto"/>
        <w:rPr>
          <w:b/>
        </w:rPr>
      </w:pPr>
      <w:r w:rsidRPr="000B7B85">
        <w:rPr>
          <w:b/>
        </w:rPr>
        <w:t>Fase: Implantação</w:t>
      </w:r>
    </w:p>
    <w:p w:rsidR="00893623" w:rsidRPr="00DD0BDB" w:rsidRDefault="00893623" w:rsidP="00893623">
      <w:pPr>
        <w:spacing w:before="120" w:after="120" w:line="240" w:lineRule="auto"/>
      </w:pPr>
      <w:r w:rsidRPr="00DD0BDB">
        <w:t xml:space="preserve">Colisões com veículos são reconhecidas atualmente como um importante fator de mortalidade de vertebrados (Puglisi </w:t>
      </w:r>
      <w:r w:rsidRPr="00DD0BDB">
        <w:rPr>
          <w:i/>
        </w:rPr>
        <w:t>et al</w:t>
      </w:r>
      <w:r w:rsidRPr="00DD0BDB">
        <w:t xml:space="preserve">., 1974; Kuiken, 1988; Trombulak e Frissel, 2000). A maioria dos estudos que avaliaram a incidência de atropelamento em rodovias foi realizada na América do Norte, Europa e Austrália (Bennet, 1991; Forman e Alexander, 1998; Trombulak e Frissel, 2000). No Brasil são relativamente poucos os estudos publicados que abordaram esse tema (ex Cândido-Jr </w:t>
      </w:r>
      <w:r w:rsidRPr="00DD0BDB">
        <w:rPr>
          <w:i/>
        </w:rPr>
        <w:t>et al</w:t>
      </w:r>
      <w:r w:rsidRPr="00DD0BDB">
        <w:t xml:space="preserve">., 2002; Silva </w:t>
      </w:r>
      <w:r w:rsidRPr="00DD0BDB">
        <w:rPr>
          <w:i/>
        </w:rPr>
        <w:t>et al</w:t>
      </w:r>
      <w:r w:rsidRPr="00DD0BDB">
        <w:t xml:space="preserve">., 2007, Valladares-Padua </w:t>
      </w:r>
      <w:r w:rsidRPr="00DD0BDB">
        <w:rPr>
          <w:i/>
        </w:rPr>
        <w:t>et al</w:t>
      </w:r>
      <w:r w:rsidRPr="00DD0BDB">
        <w:t xml:space="preserve">., 1995, Rodrigues </w:t>
      </w:r>
      <w:r w:rsidRPr="00DD0BDB">
        <w:rPr>
          <w:i/>
        </w:rPr>
        <w:t>et al</w:t>
      </w:r>
      <w:r w:rsidRPr="00DD0BDB">
        <w:t xml:space="preserve">., 2002 e Pereira </w:t>
      </w:r>
      <w:r w:rsidRPr="00DD0BDB">
        <w:rPr>
          <w:i/>
        </w:rPr>
        <w:t>et al</w:t>
      </w:r>
      <w:r w:rsidRPr="00DD0BDB">
        <w:t xml:space="preserve">., 2006). </w:t>
      </w:r>
    </w:p>
    <w:p w:rsidR="00893623" w:rsidRPr="00DD0BDB" w:rsidRDefault="00893623" w:rsidP="00893623">
      <w:pPr>
        <w:spacing w:before="120" w:after="120" w:line="240" w:lineRule="auto"/>
      </w:pPr>
      <w:r w:rsidRPr="00DD0BDB">
        <w:t>O tráfego de veículos, ou o seu incremento, trás como consequência o aumento do risco de eventos de atropelamento de animais silvestres. A probabilidade de ocorrência de eventos desse tipo está relacionada, além das características intrínsecas às espécies, às seguintes variáveis: características dos ambientes adjacentes às vias, incremento de veículos e velocidade de deslocamento dos veículos. Quanto mais preservadas as formações vegetais existentes próximas às vias de acesso, maior o fluxo de animais entre manchas de vegetação e, portanto, maior a probabilidade de ocorrência de casos de atropelamento. Por outro lado, quanto maior o incremento de tráfego e maior a velocidade de deslocamento, maior será a probabilidade desse tipo de evento.</w:t>
      </w:r>
    </w:p>
    <w:p w:rsidR="00893623" w:rsidRPr="00E65104" w:rsidRDefault="00893623" w:rsidP="00893623">
      <w:pPr>
        <w:spacing w:before="120" w:after="120" w:line="240" w:lineRule="auto"/>
      </w:pPr>
      <w:r w:rsidRPr="00DD0BDB">
        <w:t xml:space="preserve">Embora seja necessária a ampliação de vias existentes onde o tráfego é reduzido, em </w:t>
      </w:r>
      <w:r w:rsidRPr="00E65104">
        <w:t>áreas vizinhas á remanescentes de vegetação nativa, as ações previstas no Programa de Control</w:t>
      </w:r>
      <w:r>
        <w:t xml:space="preserve">e </w:t>
      </w:r>
      <w:r w:rsidRPr="00E65104">
        <w:t xml:space="preserve">Ambiental das Obras, especificamente no Subprograma de Tráfego da Obra, reduzem de modo significativo a ocorrência de eventos de atropelamento de fauna. </w:t>
      </w:r>
    </w:p>
    <w:p w:rsidR="002102F0" w:rsidRDefault="00893623" w:rsidP="008D3A12">
      <w:pPr>
        <w:spacing w:before="120" w:after="120" w:line="240" w:lineRule="auto"/>
      </w:pPr>
      <w:r w:rsidRPr="00E65104">
        <w:t>O impacto do aumento do atropelamento de indiv</w:t>
      </w:r>
      <w:r>
        <w:t>íduos</w:t>
      </w:r>
      <w:r w:rsidRPr="00E65104">
        <w:t xml:space="preserve"> da fauna silvestre tanto para a </w:t>
      </w:r>
      <w:r>
        <w:t>Barragem Pedreira</w:t>
      </w:r>
      <w:r w:rsidRPr="00E65104">
        <w:t xml:space="preserve"> como para a de Duas Pontes é considerado de pequena magnitude, porém de </w:t>
      </w:r>
      <w:r>
        <w:t>média</w:t>
      </w:r>
      <w:r w:rsidRPr="00E65104">
        <w:t xml:space="preserve"> importância.</w:t>
      </w:r>
    </w:p>
    <w:p w:rsidR="00893623" w:rsidRPr="00EF55EF" w:rsidRDefault="008D3A12" w:rsidP="00EF55EF">
      <w:pPr>
        <w:pStyle w:val="Legenda"/>
        <w:spacing w:line="240" w:lineRule="auto"/>
        <w:jc w:val="center"/>
        <w:rPr>
          <w:rFonts w:cs="Arial"/>
          <w:b w:val="0"/>
          <w:bCs/>
          <w:i w:val="0"/>
          <w:szCs w:val="22"/>
        </w:rPr>
      </w:pPr>
      <w:bookmarkStart w:id="296" w:name="_Toc420316496"/>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53</w:t>
      </w:r>
      <w:r w:rsidR="00B80A05" w:rsidRPr="00EF55EF">
        <w:rPr>
          <w:i w:val="0"/>
        </w:rPr>
        <w:fldChar w:fldCharType="end"/>
      </w:r>
      <w:r w:rsidR="00EF55EF" w:rsidRPr="00EF55EF">
        <w:rPr>
          <w:i w:val="0"/>
        </w:rPr>
        <w:t>.</w:t>
      </w:r>
      <w:r w:rsidR="00EF55EF" w:rsidRPr="00EF55EF">
        <w:rPr>
          <w:b w:val="0"/>
          <w:i w:val="0"/>
        </w:rPr>
        <w:t xml:space="preserve"> - </w:t>
      </w:r>
      <w:r w:rsidR="00893623" w:rsidRPr="00EF55EF">
        <w:rPr>
          <w:rFonts w:cs="Arial"/>
          <w:b w:val="0"/>
          <w:bCs/>
          <w:i w:val="0"/>
          <w:szCs w:val="22"/>
        </w:rPr>
        <w:t>Caracterização do Impacto – Aumento do Atropelamento de Indivíduos da Fauna Silvestre – Barragem Pedreira e Duas Pontes</w:t>
      </w:r>
      <w:bookmarkEnd w:id="29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2"/>
        <w:gridCol w:w="972"/>
        <w:gridCol w:w="1795"/>
        <w:gridCol w:w="1417"/>
        <w:gridCol w:w="3051"/>
      </w:tblGrid>
      <w:tr w:rsidR="00893623" w:rsidRPr="00F61027" w:rsidTr="001A063B">
        <w:trPr>
          <w:trHeight w:val="397"/>
          <w:jc w:val="center"/>
        </w:trPr>
        <w:tc>
          <w:tcPr>
            <w:tcW w:w="1172" w:type="dxa"/>
            <w:shd w:val="clear" w:color="auto" w:fill="D9D9D9"/>
            <w:vAlign w:val="center"/>
          </w:tcPr>
          <w:p w:rsidR="00893623" w:rsidRPr="00F61027" w:rsidRDefault="00893623" w:rsidP="001A063B">
            <w:pPr>
              <w:autoSpaceDE w:val="0"/>
              <w:autoSpaceDN w:val="0"/>
              <w:adjustRightInd w:val="0"/>
              <w:spacing w:before="120" w:after="120" w:line="240" w:lineRule="auto"/>
              <w:jc w:val="center"/>
              <w:rPr>
                <w:rFonts w:cs="Arial"/>
                <w:b/>
                <w:sz w:val="20"/>
              </w:rPr>
            </w:pPr>
            <w:r w:rsidRPr="00F61027">
              <w:rPr>
                <w:rFonts w:cs="Arial"/>
                <w:b/>
                <w:sz w:val="20"/>
              </w:rPr>
              <w:t>Natureza</w:t>
            </w:r>
          </w:p>
        </w:tc>
        <w:tc>
          <w:tcPr>
            <w:tcW w:w="972" w:type="dxa"/>
            <w:shd w:val="clear" w:color="auto" w:fill="D9D9D9"/>
            <w:vAlign w:val="center"/>
          </w:tcPr>
          <w:p w:rsidR="00893623" w:rsidRPr="00F61027" w:rsidRDefault="00893623" w:rsidP="001A063B">
            <w:pPr>
              <w:autoSpaceDE w:val="0"/>
              <w:autoSpaceDN w:val="0"/>
              <w:adjustRightInd w:val="0"/>
              <w:spacing w:before="120" w:after="120" w:line="240" w:lineRule="auto"/>
              <w:jc w:val="center"/>
              <w:rPr>
                <w:rFonts w:cs="Arial"/>
                <w:b/>
                <w:sz w:val="20"/>
              </w:rPr>
            </w:pPr>
            <w:r w:rsidRPr="00F61027">
              <w:rPr>
                <w:rFonts w:cs="Arial"/>
                <w:b/>
                <w:sz w:val="20"/>
              </w:rPr>
              <w:t>Ordem</w:t>
            </w:r>
          </w:p>
        </w:tc>
        <w:tc>
          <w:tcPr>
            <w:tcW w:w="1795" w:type="dxa"/>
            <w:shd w:val="clear" w:color="auto" w:fill="D9D9D9"/>
            <w:vAlign w:val="center"/>
          </w:tcPr>
          <w:p w:rsidR="00893623" w:rsidRPr="00F61027" w:rsidRDefault="00893623" w:rsidP="001A063B">
            <w:pPr>
              <w:autoSpaceDE w:val="0"/>
              <w:autoSpaceDN w:val="0"/>
              <w:adjustRightInd w:val="0"/>
              <w:spacing w:before="120" w:after="120" w:line="240" w:lineRule="auto"/>
              <w:jc w:val="center"/>
              <w:rPr>
                <w:rFonts w:cs="Arial"/>
                <w:b/>
                <w:sz w:val="20"/>
              </w:rPr>
            </w:pPr>
            <w:r w:rsidRPr="00F61027">
              <w:rPr>
                <w:rFonts w:cs="Arial"/>
                <w:b/>
                <w:sz w:val="20"/>
              </w:rPr>
              <w:t>Abrangência</w:t>
            </w:r>
          </w:p>
        </w:tc>
        <w:tc>
          <w:tcPr>
            <w:tcW w:w="1417" w:type="dxa"/>
            <w:shd w:val="clear" w:color="auto" w:fill="D9D9D9"/>
            <w:vAlign w:val="center"/>
          </w:tcPr>
          <w:p w:rsidR="00893623" w:rsidRPr="00F61027" w:rsidRDefault="00893623" w:rsidP="001A063B">
            <w:pPr>
              <w:autoSpaceDE w:val="0"/>
              <w:autoSpaceDN w:val="0"/>
              <w:adjustRightInd w:val="0"/>
              <w:spacing w:before="120" w:after="120" w:line="240" w:lineRule="auto"/>
              <w:jc w:val="center"/>
              <w:rPr>
                <w:rFonts w:cs="Arial"/>
                <w:b/>
                <w:sz w:val="20"/>
              </w:rPr>
            </w:pPr>
            <w:r w:rsidRPr="00F61027">
              <w:rPr>
                <w:rFonts w:cs="Arial"/>
                <w:b/>
                <w:sz w:val="20"/>
              </w:rPr>
              <w:t>Duração</w:t>
            </w:r>
          </w:p>
        </w:tc>
        <w:tc>
          <w:tcPr>
            <w:tcW w:w="3051" w:type="dxa"/>
            <w:shd w:val="clear" w:color="auto" w:fill="D9D9D9"/>
            <w:vAlign w:val="center"/>
          </w:tcPr>
          <w:p w:rsidR="00893623" w:rsidRPr="00F61027" w:rsidRDefault="00893623" w:rsidP="001A063B">
            <w:pPr>
              <w:autoSpaceDE w:val="0"/>
              <w:autoSpaceDN w:val="0"/>
              <w:adjustRightInd w:val="0"/>
              <w:spacing w:before="120" w:after="120" w:line="240" w:lineRule="auto"/>
              <w:jc w:val="center"/>
              <w:rPr>
                <w:rFonts w:cs="Arial"/>
                <w:b/>
                <w:sz w:val="20"/>
              </w:rPr>
            </w:pPr>
            <w:r w:rsidRPr="00F61027">
              <w:rPr>
                <w:rFonts w:cs="Arial"/>
                <w:b/>
                <w:sz w:val="20"/>
              </w:rPr>
              <w:t>Probabilidade de Ocorrência</w:t>
            </w:r>
          </w:p>
        </w:tc>
      </w:tr>
      <w:tr w:rsidR="00893623" w:rsidRPr="00F61027" w:rsidTr="001A063B">
        <w:trPr>
          <w:jc w:val="center"/>
        </w:trPr>
        <w:tc>
          <w:tcPr>
            <w:tcW w:w="1172" w:type="dxa"/>
            <w:shd w:val="clear" w:color="auto" w:fill="auto"/>
            <w:vAlign w:val="center"/>
          </w:tcPr>
          <w:p w:rsidR="00893623" w:rsidRPr="00F61027" w:rsidRDefault="00893623" w:rsidP="001A063B">
            <w:pPr>
              <w:autoSpaceDE w:val="0"/>
              <w:autoSpaceDN w:val="0"/>
              <w:adjustRightInd w:val="0"/>
              <w:spacing w:before="120" w:after="120" w:line="240" w:lineRule="auto"/>
              <w:jc w:val="center"/>
              <w:rPr>
                <w:rFonts w:cs="Arial"/>
                <w:sz w:val="20"/>
              </w:rPr>
            </w:pPr>
            <w:r>
              <w:rPr>
                <w:rFonts w:cs="Arial"/>
                <w:sz w:val="20"/>
              </w:rPr>
              <w:t>Negativa</w:t>
            </w:r>
          </w:p>
        </w:tc>
        <w:tc>
          <w:tcPr>
            <w:tcW w:w="972" w:type="dxa"/>
            <w:shd w:val="clear" w:color="auto" w:fill="auto"/>
            <w:vAlign w:val="center"/>
          </w:tcPr>
          <w:p w:rsidR="00893623" w:rsidRPr="00F61027" w:rsidRDefault="00893623" w:rsidP="001A063B">
            <w:pPr>
              <w:autoSpaceDE w:val="0"/>
              <w:autoSpaceDN w:val="0"/>
              <w:adjustRightInd w:val="0"/>
              <w:spacing w:before="120" w:after="120" w:line="240" w:lineRule="auto"/>
              <w:jc w:val="center"/>
              <w:rPr>
                <w:rFonts w:cs="Arial"/>
                <w:sz w:val="20"/>
              </w:rPr>
            </w:pPr>
            <w:r w:rsidRPr="00F61027">
              <w:rPr>
                <w:rFonts w:cs="Arial"/>
                <w:sz w:val="20"/>
              </w:rPr>
              <w:t>Direta</w:t>
            </w:r>
          </w:p>
        </w:tc>
        <w:tc>
          <w:tcPr>
            <w:tcW w:w="1795" w:type="dxa"/>
            <w:shd w:val="clear" w:color="auto" w:fill="auto"/>
            <w:vAlign w:val="center"/>
          </w:tcPr>
          <w:p w:rsidR="00893623" w:rsidRPr="00F61027" w:rsidRDefault="00893623" w:rsidP="001A063B">
            <w:pPr>
              <w:autoSpaceDE w:val="0"/>
              <w:autoSpaceDN w:val="0"/>
              <w:adjustRightInd w:val="0"/>
              <w:spacing w:before="120" w:after="120" w:line="240" w:lineRule="auto"/>
              <w:jc w:val="center"/>
              <w:rPr>
                <w:rFonts w:cs="Arial"/>
                <w:sz w:val="20"/>
              </w:rPr>
            </w:pPr>
            <w:r w:rsidRPr="00F61027">
              <w:rPr>
                <w:rFonts w:cs="Arial"/>
                <w:sz w:val="20"/>
              </w:rPr>
              <w:t>Local (ADA/AID)</w:t>
            </w:r>
          </w:p>
        </w:tc>
        <w:tc>
          <w:tcPr>
            <w:tcW w:w="1417" w:type="dxa"/>
            <w:shd w:val="clear" w:color="auto" w:fill="auto"/>
            <w:vAlign w:val="center"/>
          </w:tcPr>
          <w:p w:rsidR="00893623" w:rsidRPr="00F61027" w:rsidRDefault="00893623" w:rsidP="001A063B">
            <w:pPr>
              <w:autoSpaceDE w:val="0"/>
              <w:autoSpaceDN w:val="0"/>
              <w:adjustRightInd w:val="0"/>
              <w:spacing w:before="120" w:after="120" w:line="240" w:lineRule="auto"/>
              <w:jc w:val="center"/>
              <w:rPr>
                <w:rFonts w:cs="Arial"/>
                <w:sz w:val="20"/>
              </w:rPr>
            </w:pPr>
            <w:r>
              <w:rPr>
                <w:rFonts w:cs="Arial"/>
                <w:sz w:val="20"/>
              </w:rPr>
              <w:t>Temporário</w:t>
            </w:r>
          </w:p>
        </w:tc>
        <w:tc>
          <w:tcPr>
            <w:tcW w:w="3051" w:type="dxa"/>
            <w:shd w:val="clear" w:color="auto" w:fill="auto"/>
            <w:vAlign w:val="center"/>
          </w:tcPr>
          <w:p w:rsidR="00893623" w:rsidRPr="00F61027" w:rsidRDefault="00893623" w:rsidP="001A063B">
            <w:pPr>
              <w:autoSpaceDE w:val="0"/>
              <w:autoSpaceDN w:val="0"/>
              <w:adjustRightInd w:val="0"/>
              <w:spacing w:before="120" w:after="120" w:line="240" w:lineRule="auto"/>
              <w:jc w:val="center"/>
              <w:rPr>
                <w:rFonts w:cs="Arial"/>
                <w:sz w:val="20"/>
              </w:rPr>
            </w:pPr>
            <w:r>
              <w:rPr>
                <w:rFonts w:cs="Arial"/>
                <w:sz w:val="20"/>
              </w:rPr>
              <w:t>Provável</w:t>
            </w:r>
          </w:p>
        </w:tc>
      </w:tr>
    </w:tbl>
    <w:p w:rsidR="00893623" w:rsidRPr="00F61027" w:rsidRDefault="00893623" w:rsidP="00893623">
      <w:pPr>
        <w:autoSpaceDE w:val="0"/>
        <w:autoSpaceDN w:val="0"/>
        <w:adjustRightInd w:val="0"/>
        <w:spacing w:line="240" w:lineRule="auto"/>
        <w:jc w:val="cente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796"/>
        <w:gridCol w:w="1328"/>
        <w:gridCol w:w="1461"/>
        <w:gridCol w:w="1539"/>
      </w:tblGrid>
      <w:tr w:rsidR="00893623" w:rsidRPr="00F61027" w:rsidTr="001A063B">
        <w:trPr>
          <w:trHeight w:val="397"/>
          <w:jc w:val="center"/>
        </w:trPr>
        <w:tc>
          <w:tcPr>
            <w:tcW w:w="2329" w:type="dxa"/>
            <w:shd w:val="clear" w:color="auto" w:fill="D9D9D9"/>
            <w:vAlign w:val="center"/>
          </w:tcPr>
          <w:p w:rsidR="00893623" w:rsidRPr="00F61027" w:rsidRDefault="00893623" w:rsidP="001A063B">
            <w:pPr>
              <w:autoSpaceDE w:val="0"/>
              <w:autoSpaceDN w:val="0"/>
              <w:adjustRightInd w:val="0"/>
              <w:spacing w:before="120" w:after="120" w:line="240" w:lineRule="auto"/>
              <w:jc w:val="center"/>
              <w:rPr>
                <w:rFonts w:cs="Arial"/>
                <w:b/>
                <w:sz w:val="20"/>
              </w:rPr>
            </w:pPr>
            <w:r w:rsidRPr="00F61027">
              <w:rPr>
                <w:rFonts w:cs="Arial"/>
                <w:b/>
                <w:sz w:val="20"/>
              </w:rPr>
              <w:t>Época de Ocorrência</w:t>
            </w:r>
          </w:p>
        </w:tc>
        <w:tc>
          <w:tcPr>
            <w:tcW w:w="1796" w:type="dxa"/>
            <w:shd w:val="clear" w:color="auto" w:fill="D9D9D9"/>
            <w:vAlign w:val="center"/>
          </w:tcPr>
          <w:p w:rsidR="00893623" w:rsidRPr="00F61027" w:rsidRDefault="00893623" w:rsidP="001A063B">
            <w:pPr>
              <w:autoSpaceDE w:val="0"/>
              <w:autoSpaceDN w:val="0"/>
              <w:adjustRightInd w:val="0"/>
              <w:spacing w:before="120" w:after="120" w:line="240" w:lineRule="auto"/>
              <w:jc w:val="center"/>
              <w:rPr>
                <w:rFonts w:cs="Arial"/>
                <w:b/>
                <w:sz w:val="20"/>
              </w:rPr>
            </w:pPr>
            <w:r w:rsidRPr="00F61027">
              <w:rPr>
                <w:rFonts w:cs="Arial"/>
                <w:b/>
                <w:sz w:val="20"/>
              </w:rPr>
              <w:t>Reversibilidade</w:t>
            </w:r>
          </w:p>
        </w:tc>
        <w:tc>
          <w:tcPr>
            <w:tcW w:w="1328" w:type="dxa"/>
            <w:shd w:val="clear" w:color="auto" w:fill="D9D9D9"/>
            <w:vAlign w:val="center"/>
          </w:tcPr>
          <w:p w:rsidR="00893623" w:rsidRPr="00F61027" w:rsidRDefault="00893623" w:rsidP="001A063B">
            <w:pPr>
              <w:autoSpaceDE w:val="0"/>
              <w:autoSpaceDN w:val="0"/>
              <w:adjustRightInd w:val="0"/>
              <w:spacing w:before="120" w:after="120" w:line="240" w:lineRule="auto"/>
              <w:jc w:val="center"/>
              <w:rPr>
                <w:rFonts w:cs="Arial"/>
                <w:b/>
                <w:sz w:val="20"/>
              </w:rPr>
            </w:pPr>
            <w:r w:rsidRPr="00F61027">
              <w:rPr>
                <w:rFonts w:cs="Arial"/>
                <w:b/>
                <w:sz w:val="20"/>
              </w:rPr>
              <w:t>Magnitude</w:t>
            </w:r>
          </w:p>
        </w:tc>
        <w:tc>
          <w:tcPr>
            <w:tcW w:w="1461" w:type="dxa"/>
            <w:shd w:val="clear" w:color="auto" w:fill="D9D9D9"/>
            <w:vAlign w:val="center"/>
          </w:tcPr>
          <w:p w:rsidR="00893623" w:rsidRPr="00F61027" w:rsidRDefault="00893623" w:rsidP="001A063B">
            <w:pPr>
              <w:autoSpaceDE w:val="0"/>
              <w:autoSpaceDN w:val="0"/>
              <w:adjustRightInd w:val="0"/>
              <w:spacing w:before="120" w:after="120" w:line="240" w:lineRule="auto"/>
              <w:jc w:val="center"/>
              <w:rPr>
                <w:rFonts w:cs="Arial"/>
                <w:b/>
                <w:sz w:val="20"/>
              </w:rPr>
            </w:pPr>
            <w:r w:rsidRPr="00F61027">
              <w:rPr>
                <w:rFonts w:cs="Arial"/>
                <w:b/>
                <w:sz w:val="20"/>
              </w:rPr>
              <w:t>Importância</w:t>
            </w:r>
          </w:p>
        </w:tc>
        <w:tc>
          <w:tcPr>
            <w:tcW w:w="1539" w:type="dxa"/>
            <w:shd w:val="clear" w:color="auto" w:fill="D9D9D9"/>
            <w:vAlign w:val="center"/>
          </w:tcPr>
          <w:p w:rsidR="00893623" w:rsidRPr="00F61027" w:rsidRDefault="00893623" w:rsidP="001A063B">
            <w:pPr>
              <w:autoSpaceDE w:val="0"/>
              <w:autoSpaceDN w:val="0"/>
              <w:adjustRightInd w:val="0"/>
              <w:spacing w:before="120" w:after="120" w:line="240" w:lineRule="auto"/>
              <w:jc w:val="center"/>
              <w:rPr>
                <w:rFonts w:cs="Arial"/>
                <w:b/>
                <w:sz w:val="20"/>
              </w:rPr>
            </w:pPr>
            <w:r w:rsidRPr="00F61027">
              <w:rPr>
                <w:rFonts w:cs="Arial"/>
                <w:b/>
                <w:sz w:val="20"/>
              </w:rPr>
              <w:t>Mitigação</w:t>
            </w:r>
          </w:p>
        </w:tc>
      </w:tr>
      <w:tr w:rsidR="00893623" w:rsidRPr="00F61027" w:rsidTr="001A063B">
        <w:trPr>
          <w:jc w:val="center"/>
        </w:trPr>
        <w:tc>
          <w:tcPr>
            <w:tcW w:w="2329" w:type="dxa"/>
            <w:shd w:val="clear" w:color="auto" w:fill="auto"/>
            <w:vAlign w:val="center"/>
          </w:tcPr>
          <w:p w:rsidR="00893623" w:rsidRPr="00F61027" w:rsidRDefault="00893623" w:rsidP="001A063B">
            <w:pPr>
              <w:autoSpaceDE w:val="0"/>
              <w:autoSpaceDN w:val="0"/>
              <w:adjustRightInd w:val="0"/>
              <w:spacing w:before="120" w:after="120" w:line="240" w:lineRule="auto"/>
              <w:jc w:val="center"/>
              <w:rPr>
                <w:rFonts w:cs="Arial"/>
                <w:sz w:val="20"/>
              </w:rPr>
            </w:pPr>
            <w:r>
              <w:rPr>
                <w:rFonts w:cs="Arial"/>
                <w:sz w:val="20"/>
              </w:rPr>
              <w:t>Curto</w:t>
            </w:r>
            <w:r w:rsidRPr="00F61027">
              <w:rPr>
                <w:rFonts w:cs="Arial"/>
                <w:sz w:val="20"/>
              </w:rPr>
              <w:t xml:space="preserve"> Prazo</w:t>
            </w:r>
          </w:p>
        </w:tc>
        <w:tc>
          <w:tcPr>
            <w:tcW w:w="1796" w:type="dxa"/>
            <w:shd w:val="clear" w:color="auto" w:fill="auto"/>
            <w:vAlign w:val="center"/>
          </w:tcPr>
          <w:p w:rsidR="00893623" w:rsidRPr="00F61027" w:rsidRDefault="00893623" w:rsidP="001A063B">
            <w:pPr>
              <w:autoSpaceDE w:val="0"/>
              <w:autoSpaceDN w:val="0"/>
              <w:adjustRightInd w:val="0"/>
              <w:spacing w:before="120" w:after="120" w:line="240" w:lineRule="auto"/>
              <w:jc w:val="center"/>
              <w:rPr>
                <w:rFonts w:cs="Arial"/>
                <w:sz w:val="20"/>
              </w:rPr>
            </w:pPr>
            <w:r w:rsidRPr="00F61027">
              <w:rPr>
                <w:rFonts w:cs="Arial"/>
                <w:sz w:val="20"/>
              </w:rPr>
              <w:t>Irreversível</w:t>
            </w:r>
          </w:p>
        </w:tc>
        <w:tc>
          <w:tcPr>
            <w:tcW w:w="1328" w:type="dxa"/>
            <w:shd w:val="clear" w:color="auto" w:fill="auto"/>
            <w:vAlign w:val="center"/>
          </w:tcPr>
          <w:p w:rsidR="00893623" w:rsidRPr="00F61027" w:rsidRDefault="00893623" w:rsidP="001A063B">
            <w:pPr>
              <w:autoSpaceDE w:val="0"/>
              <w:autoSpaceDN w:val="0"/>
              <w:adjustRightInd w:val="0"/>
              <w:spacing w:before="120" w:after="120" w:line="240" w:lineRule="auto"/>
              <w:jc w:val="center"/>
              <w:rPr>
                <w:rFonts w:cs="Arial"/>
                <w:sz w:val="20"/>
              </w:rPr>
            </w:pPr>
            <w:r w:rsidRPr="00F61027">
              <w:rPr>
                <w:rFonts w:cs="Arial"/>
                <w:sz w:val="20"/>
              </w:rPr>
              <w:t>Pequena</w:t>
            </w:r>
          </w:p>
        </w:tc>
        <w:tc>
          <w:tcPr>
            <w:tcW w:w="1461" w:type="dxa"/>
            <w:shd w:val="clear" w:color="auto" w:fill="auto"/>
            <w:vAlign w:val="center"/>
          </w:tcPr>
          <w:p w:rsidR="00893623" w:rsidRPr="00F61027" w:rsidRDefault="00893623" w:rsidP="001A063B">
            <w:pPr>
              <w:autoSpaceDE w:val="0"/>
              <w:autoSpaceDN w:val="0"/>
              <w:adjustRightInd w:val="0"/>
              <w:spacing w:before="120" w:after="120" w:line="240" w:lineRule="auto"/>
              <w:jc w:val="center"/>
              <w:rPr>
                <w:rFonts w:cs="Arial"/>
                <w:sz w:val="20"/>
              </w:rPr>
            </w:pPr>
            <w:r>
              <w:rPr>
                <w:rFonts w:cs="Arial"/>
                <w:sz w:val="20"/>
              </w:rPr>
              <w:t>Média</w:t>
            </w:r>
          </w:p>
        </w:tc>
        <w:tc>
          <w:tcPr>
            <w:tcW w:w="1539" w:type="dxa"/>
            <w:shd w:val="clear" w:color="auto" w:fill="auto"/>
            <w:vAlign w:val="center"/>
          </w:tcPr>
          <w:p w:rsidR="00893623" w:rsidRPr="00F61027" w:rsidRDefault="00893623" w:rsidP="001A063B">
            <w:pPr>
              <w:autoSpaceDE w:val="0"/>
              <w:autoSpaceDN w:val="0"/>
              <w:adjustRightInd w:val="0"/>
              <w:spacing w:before="120" w:after="120" w:line="240" w:lineRule="auto"/>
              <w:jc w:val="center"/>
              <w:rPr>
                <w:rFonts w:cs="Arial"/>
                <w:sz w:val="20"/>
              </w:rPr>
            </w:pPr>
            <w:r w:rsidRPr="00F61027">
              <w:rPr>
                <w:rFonts w:cs="Arial"/>
                <w:sz w:val="20"/>
              </w:rPr>
              <w:t>Mitigável</w:t>
            </w:r>
          </w:p>
        </w:tc>
      </w:tr>
    </w:tbl>
    <w:p w:rsidR="00893623" w:rsidRDefault="00893623" w:rsidP="00893623">
      <w:pPr>
        <w:spacing w:line="240" w:lineRule="auto"/>
      </w:pPr>
    </w:p>
    <w:p w:rsidR="00E155C0" w:rsidRDefault="00E155C0" w:rsidP="00893623">
      <w:pPr>
        <w:spacing w:line="240" w:lineRule="auto"/>
      </w:pPr>
      <w:r>
        <w:br w:type="page"/>
      </w:r>
    </w:p>
    <w:p w:rsidR="00893623" w:rsidRPr="005E4EA0" w:rsidRDefault="00893623" w:rsidP="00893623">
      <w:pPr>
        <w:spacing w:before="120" w:after="120" w:line="240" w:lineRule="auto"/>
        <w:rPr>
          <w:b/>
        </w:rPr>
      </w:pPr>
      <w:r w:rsidRPr="005E4EA0">
        <w:rPr>
          <w:b/>
        </w:rPr>
        <w:t>Ações Ambientais Propostas:</w:t>
      </w:r>
    </w:p>
    <w:p w:rsidR="00893623" w:rsidRPr="00893623" w:rsidRDefault="00893623" w:rsidP="00893623">
      <w:pPr>
        <w:spacing w:before="120" w:after="120" w:line="240" w:lineRule="auto"/>
      </w:pPr>
      <w:r w:rsidRPr="005E4EA0">
        <w:t>O impacto de aumento do risco de atropelamento de fauna é mitigável. As medidas voltadas à mitigação deste impacto são apresentadas no Subprograma de Tráfego da Obra, parte do Programa de Controle Ambiental das Obras, assim como no Programa de Educação Ambiental. Ainda é proposto o Programa de Monitoramento e Conservação da Fauna, que reúne ações voltadas ao monitoramento dos eventos de atropelamento de animais silvestres presentes na ADA/AID.</w:t>
      </w:r>
    </w:p>
    <w:p w:rsidR="008D0D70" w:rsidRPr="00B50999" w:rsidRDefault="008D0D70" w:rsidP="008D3A12">
      <w:pPr>
        <w:pStyle w:val="Ttulo3"/>
      </w:pPr>
      <w:bookmarkStart w:id="297" w:name="_Toc418758236"/>
      <w:bookmarkStart w:id="298" w:name="_Toc418758838"/>
      <w:bookmarkStart w:id="299" w:name="_Toc419813598"/>
      <w:r w:rsidRPr="00B50999">
        <w:t>1.3.2.</w:t>
      </w:r>
      <w:r w:rsidR="00022954" w:rsidRPr="00B50999">
        <w:t>7</w:t>
      </w:r>
      <w:r w:rsidRPr="00B50999">
        <w:t xml:space="preserve">. Interferência em </w:t>
      </w:r>
      <w:r w:rsidR="00022954" w:rsidRPr="00B50999">
        <w:t>Áreas Leg</w:t>
      </w:r>
      <w:r w:rsidR="00717CB3" w:rsidRPr="00B50999">
        <w:t>a</w:t>
      </w:r>
      <w:r w:rsidR="00022954" w:rsidRPr="00B50999">
        <w:t>lmente Protegidas</w:t>
      </w:r>
      <w:bookmarkEnd w:id="297"/>
      <w:bookmarkEnd w:id="298"/>
      <w:bookmarkEnd w:id="299"/>
    </w:p>
    <w:p w:rsidR="00022954" w:rsidRDefault="00022954" w:rsidP="008D0D70">
      <w:pPr>
        <w:tabs>
          <w:tab w:val="left" w:pos="1134"/>
        </w:tabs>
        <w:spacing w:before="120" w:after="120" w:line="240" w:lineRule="auto"/>
        <w:rPr>
          <w:rFonts w:cs="Arial"/>
          <w:szCs w:val="22"/>
        </w:rPr>
      </w:pPr>
      <w:r w:rsidRPr="009711CE">
        <w:rPr>
          <w:rFonts w:cs="Arial"/>
          <w:szCs w:val="22"/>
        </w:rPr>
        <w:t xml:space="preserve">A implantação dos empreendimentos afetará </w:t>
      </w:r>
      <w:r w:rsidR="00717CB3" w:rsidRPr="009711CE">
        <w:rPr>
          <w:rFonts w:cs="Arial"/>
          <w:szCs w:val="22"/>
        </w:rPr>
        <w:t>U</w:t>
      </w:r>
      <w:r w:rsidRPr="009711CE">
        <w:rPr>
          <w:rFonts w:cs="Arial"/>
          <w:szCs w:val="22"/>
        </w:rPr>
        <w:t xml:space="preserve">nidades de </w:t>
      </w:r>
      <w:r w:rsidR="00717CB3" w:rsidRPr="009711CE">
        <w:rPr>
          <w:rFonts w:cs="Arial"/>
          <w:szCs w:val="22"/>
        </w:rPr>
        <w:t>C</w:t>
      </w:r>
      <w:r w:rsidRPr="009711CE">
        <w:rPr>
          <w:rFonts w:cs="Arial"/>
          <w:szCs w:val="22"/>
        </w:rPr>
        <w:t xml:space="preserve">onservação e </w:t>
      </w:r>
      <w:r w:rsidR="00717CB3" w:rsidRPr="009711CE">
        <w:rPr>
          <w:rFonts w:cs="Arial"/>
          <w:szCs w:val="22"/>
        </w:rPr>
        <w:t>Á</w:t>
      </w:r>
      <w:r w:rsidRPr="009711CE">
        <w:rPr>
          <w:rFonts w:cs="Arial"/>
          <w:szCs w:val="22"/>
        </w:rPr>
        <w:t xml:space="preserve">reas de </w:t>
      </w:r>
      <w:r w:rsidR="00717CB3" w:rsidRPr="00F71F01">
        <w:rPr>
          <w:rFonts w:cs="Arial"/>
          <w:szCs w:val="22"/>
        </w:rPr>
        <w:t>P</w:t>
      </w:r>
      <w:r w:rsidRPr="00CE5A06">
        <w:rPr>
          <w:rFonts w:cs="Arial"/>
          <w:szCs w:val="22"/>
        </w:rPr>
        <w:t xml:space="preserve">reservação </w:t>
      </w:r>
      <w:r w:rsidR="00717CB3" w:rsidRPr="00CE5A06">
        <w:rPr>
          <w:rFonts w:cs="Arial"/>
          <w:szCs w:val="22"/>
        </w:rPr>
        <w:t>P</w:t>
      </w:r>
      <w:r w:rsidRPr="00AC4115">
        <w:rPr>
          <w:rFonts w:cs="Arial"/>
          <w:szCs w:val="22"/>
        </w:rPr>
        <w:t>ermanen</w:t>
      </w:r>
      <w:r w:rsidRPr="00CB130A">
        <w:rPr>
          <w:rFonts w:cs="Arial"/>
          <w:szCs w:val="22"/>
        </w:rPr>
        <w:t>tes (APP)</w:t>
      </w:r>
    </w:p>
    <w:p w:rsidR="00022954" w:rsidRPr="00F30BC7" w:rsidRDefault="00717CB3" w:rsidP="00431A97">
      <w:pPr>
        <w:numPr>
          <w:ilvl w:val="0"/>
          <w:numId w:val="63"/>
        </w:numPr>
        <w:tabs>
          <w:tab w:val="left" w:pos="1134"/>
        </w:tabs>
        <w:spacing w:before="120" w:after="120" w:line="240" w:lineRule="auto"/>
        <w:ind w:left="567" w:hanging="567"/>
        <w:rPr>
          <w:rFonts w:cs="Arial"/>
          <w:b/>
          <w:szCs w:val="22"/>
        </w:rPr>
      </w:pPr>
      <w:r>
        <w:rPr>
          <w:rFonts w:cs="Arial"/>
          <w:b/>
          <w:szCs w:val="22"/>
        </w:rPr>
        <w:t>Interferências em Áreas de Pro</w:t>
      </w:r>
      <w:r w:rsidR="009711CE">
        <w:rPr>
          <w:rFonts w:cs="Arial"/>
          <w:b/>
          <w:szCs w:val="22"/>
        </w:rPr>
        <w:t>teção</w:t>
      </w:r>
      <w:r>
        <w:rPr>
          <w:rFonts w:cs="Arial"/>
          <w:b/>
          <w:szCs w:val="22"/>
        </w:rPr>
        <w:t xml:space="preserve"> Ambiental (APA)</w:t>
      </w:r>
    </w:p>
    <w:p w:rsidR="00717CB3" w:rsidRPr="00717CB3" w:rsidRDefault="00717CB3" w:rsidP="008D0D70">
      <w:pPr>
        <w:pStyle w:val="Corpodetexto"/>
        <w:rPr>
          <w:b/>
        </w:rPr>
      </w:pPr>
      <w:r w:rsidRPr="00717CB3">
        <w:rPr>
          <w:b/>
        </w:rPr>
        <w:t>Fase: Implantação</w:t>
      </w:r>
    </w:p>
    <w:p w:rsidR="008D0D70" w:rsidRPr="00652269" w:rsidRDefault="008D0D70" w:rsidP="008D0D70">
      <w:pPr>
        <w:pStyle w:val="Corpodetexto"/>
      </w:pPr>
      <w:r w:rsidRPr="00652269">
        <w:t xml:space="preserve">A região da implantação das </w:t>
      </w:r>
      <w:r w:rsidR="00717CB3">
        <w:t>B</w:t>
      </w:r>
      <w:r w:rsidRPr="00652269">
        <w:t xml:space="preserve">arragens Pedreira e Duas Pontes estão inseridas </w:t>
      </w:r>
      <w:r>
        <w:t>na</w:t>
      </w:r>
      <w:r w:rsidRPr="00652269">
        <w:t xml:space="preserve">s unidades de conservação de uso sustentável APA Municipal de Campinas e APA Piracicaba/Juqueri-Mirim (Área II). Tanto os futuros reservatório quanto as regiões de influência das barragens (ADA e AID) irão interferir com as unidades de conservação por meio da perda e ocupação direta de território e através de efeitos secundários advindos das novas atividades, ações e usos; os quais podem ou não estar em concordância com a finalidade atribuída nos planos que regem e disciplinam a ocupação das APAs atingidas. </w:t>
      </w:r>
    </w:p>
    <w:p w:rsidR="008D0D70" w:rsidRPr="00652269" w:rsidRDefault="008D0D70" w:rsidP="008D0D70">
      <w:pPr>
        <w:pStyle w:val="Corpodetexto"/>
      </w:pPr>
      <w:r w:rsidRPr="00652269">
        <w:t>Apesar de se tratar de categoria de unidade de conservação que permite atividades e usos não tão restritivos, tais áreas protegidas possuem papel fundamental no ordenamento territorial da região bem como no planejamento ambiental dos municípios e da respectiva bacia hidrográfica.</w:t>
      </w:r>
    </w:p>
    <w:p w:rsidR="008D0D70" w:rsidRDefault="008D0D70" w:rsidP="008D0D70">
      <w:pPr>
        <w:pStyle w:val="Corpodetexto"/>
      </w:pPr>
      <w:r w:rsidRPr="00652269">
        <w:t xml:space="preserve">Os potenciais impactos </w:t>
      </w:r>
      <w:r w:rsidRPr="00F408DD">
        <w:t>decorrem da perda de área pela formação do reservatório, do</w:t>
      </w:r>
      <w:r w:rsidRPr="00652269">
        <w:t xml:space="preserve"> aumento na circulação de pessoas e veículos, na área do canteiro de obra e nas vias de acesso que cruzam e circundam a região das APAs, aumentando, dessa forma, a incidência de problemas ambientais (Incêndios</w:t>
      </w:r>
      <w:r w:rsidR="00176F1A">
        <w:t xml:space="preserve">, </w:t>
      </w:r>
      <w:r w:rsidRPr="00652269">
        <w:t>caça e pesca ilegais, atropelamentos</w:t>
      </w:r>
      <w:r w:rsidRPr="001640A7">
        <w:t xml:space="preserve">). </w:t>
      </w:r>
    </w:p>
    <w:p w:rsidR="008D0D70" w:rsidRPr="000F69FA" w:rsidRDefault="008D0D70" w:rsidP="000F69FA">
      <w:pPr>
        <w:pStyle w:val="Item-Trainho"/>
        <w:rPr>
          <w:b/>
        </w:rPr>
      </w:pPr>
      <w:r w:rsidRPr="000F69FA">
        <w:rPr>
          <w:b/>
        </w:rPr>
        <w:t>Barragem Pedreira</w:t>
      </w:r>
    </w:p>
    <w:p w:rsidR="0029158C" w:rsidRPr="00301508" w:rsidRDefault="0029158C" w:rsidP="0029158C">
      <w:pPr>
        <w:spacing w:before="120" w:after="120" w:line="240" w:lineRule="auto"/>
      </w:pPr>
      <w:r w:rsidRPr="00301508">
        <w:t>A implantação da Barragem Pedreira deve formar um reservatório com superfície da ordem de 2,0 km², o qual irá alagar aproximadamente 202 hectares de Unidades de Conservação de Uso Sustentável, classificadas como Áreas de Proteção Ambiental (APA). A APA Campinas terá 33 hectares alagados e a APA Piracicaba/Juqueri-Mirim (Área II) aproximadamente 97 hectares perdidos. Ressalta-se que a esse total é acrescido ainda uma área alagada de aproximadamente 72 ha que corresponde à área com sobreposição entre as duas APAs atingidas (Desenho</w:t>
      </w:r>
      <w:r w:rsidR="00B11E51">
        <w:t xml:space="preserve"> n</w:t>
      </w:r>
      <w:r w:rsidR="00B11E51" w:rsidRPr="00B11E51">
        <w:rPr>
          <w:u w:val="single"/>
          <w:vertAlign w:val="superscript"/>
        </w:rPr>
        <w:t>o</w:t>
      </w:r>
      <w:r w:rsidR="00B11E51">
        <w:t xml:space="preserve"> </w:t>
      </w:r>
      <w:r w:rsidRPr="00301508">
        <w:t>7188-43-GL-830-DE-00154</w:t>
      </w:r>
      <w:r w:rsidR="00CA31A6">
        <w:t xml:space="preserve"> - </w:t>
      </w:r>
      <w:r w:rsidR="00CA31A6" w:rsidRPr="00CA31A6">
        <w:t>Unidades de Conservação na Área Diretamente Afetada (ADA) - Barragem Pedreira</w:t>
      </w:r>
      <w:r w:rsidR="006E430C">
        <w:t xml:space="preserve"> </w:t>
      </w:r>
      <w:r w:rsidR="006E430C">
        <w:rPr>
          <w:szCs w:val="22"/>
        </w:rPr>
        <w:t>apresentado no Volume III, Tomo 2</w:t>
      </w:r>
      <w:r w:rsidRPr="00301508">
        <w:t xml:space="preserve">). </w:t>
      </w:r>
    </w:p>
    <w:p w:rsidR="0029158C" w:rsidRPr="00EF55EF" w:rsidRDefault="0029158C" w:rsidP="0029158C">
      <w:pPr>
        <w:spacing w:before="120" w:after="120" w:line="240" w:lineRule="auto"/>
      </w:pPr>
      <w:r w:rsidRPr="00301508">
        <w:t>Dessa forma, a Área de Proteção Ambiental de Campinas sofrerá interferência em 105 ha que representam a soma das áreas alagadas pelo futuro reservatório (33 ha) e pela área perdida com a sobreposição de limites (72 ha). Quando acrescida da faixa de APP do entorno do futuro reservatório d</w:t>
      </w:r>
      <w:r w:rsidR="008C15C3" w:rsidRPr="00301508">
        <w:t>a Barragem</w:t>
      </w:r>
      <w:r w:rsidRPr="00301508">
        <w:t xml:space="preserve"> Pedreira, a APA Campinas terá um total de 232 hectares afetados. </w:t>
      </w:r>
      <w:r w:rsidRPr="00EF55EF">
        <w:t xml:space="preserve">(Quadro </w:t>
      </w:r>
      <w:r w:rsidR="00301508" w:rsidRPr="00EF55EF">
        <w:t>1.3.</w:t>
      </w:r>
      <w:r w:rsidR="00B11E51" w:rsidRPr="00EF55EF">
        <w:t>53</w:t>
      </w:r>
      <w:r w:rsidRPr="00EF55EF">
        <w:t>).</w:t>
      </w:r>
    </w:p>
    <w:p w:rsidR="0029158C" w:rsidRDefault="0029158C" w:rsidP="0029158C">
      <w:pPr>
        <w:spacing w:before="120" w:after="120" w:line="240" w:lineRule="auto"/>
      </w:pPr>
      <w:r w:rsidRPr="00EF55EF">
        <w:t xml:space="preserve">Por sua vez a Área de Proteção Ambiental Piracicaba/Juqueri-Mirim (Área II) terá 169 hectares ocupados, referentes à soma das áreas ocupadas pelo </w:t>
      </w:r>
      <w:r w:rsidR="008C15C3" w:rsidRPr="00EF55EF">
        <w:t>reservatório da Barragem</w:t>
      </w:r>
      <w:r w:rsidRPr="00EF55EF">
        <w:t xml:space="preserve"> Pedreira (97 ha) e da área perdida com sobreposição de limites (72 ha). Quando acrescida da faixa de APP do e</w:t>
      </w:r>
      <w:r w:rsidR="008C15C3" w:rsidRPr="00EF55EF">
        <w:t>ntorno do futuro reservatório da Barragem</w:t>
      </w:r>
      <w:r w:rsidRPr="00EF55EF">
        <w:t xml:space="preserve"> Pedreira, a APA Piracicaba/Juqueri-Mirim (Área II) terá um total de 370 hectares afetados. (Quadro </w:t>
      </w:r>
      <w:r w:rsidR="00D130EB" w:rsidRPr="00EF55EF">
        <w:t>1.3.</w:t>
      </w:r>
      <w:r w:rsidR="00B11E51" w:rsidRPr="00EF55EF">
        <w:t>53</w:t>
      </w:r>
      <w:r w:rsidRPr="00EF55EF">
        <w:t>).</w:t>
      </w:r>
    </w:p>
    <w:p w:rsidR="00E155C0" w:rsidRDefault="00E155C0" w:rsidP="0029158C">
      <w:pPr>
        <w:spacing w:before="120" w:after="120" w:line="240" w:lineRule="auto"/>
      </w:pPr>
      <w:r>
        <w:br w:type="page"/>
      </w:r>
    </w:p>
    <w:p w:rsidR="0029158C" w:rsidRPr="00EF55EF" w:rsidRDefault="008D3A12" w:rsidP="00E155C0">
      <w:pPr>
        <w:pStyle w:val="Legenda"/>
        <w:spacing w:line="240" w:lineRule="auto"/>
        <w:jc w:val="center"/>
        <w:rPr>
          <w:rFonts w:cs="Arial"/>
          <w:b w:val="0"/>
          <w:i w:val="0"/>
        </w:rPr>
      </w:pPr>
      <w:bookmarkStart w:id="300" w:name="_Toc420316497"/>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54</w:t>
      </w:r>
      <w:r w:rsidR="00B80A05" w:rsidRPr="00EF55EF">
        <w:rPr>
          <w:i w:val="0"/>
        </w:rPr>
        <w:fldChar w:fldCharType="end"/>
      </w:r>
      <w:r w:rsidR="00EF55EF" w:rsidRPr="00EF55EF">
        <w:rPr>
          <w:i w:val="0"/>
        </w:rPr>
        <w:t>.</w:t>
      </w:r>
      <w:r w:rsidR="00EF55EF" w:rsidRPr="00EF55EF">
        <w:rPr>
          <w:b w:val="0"/>
          <w:i w:val="0"/>
        </w:rPr>
        <w:t xml:space="preserve"> -</w:t>
      </w:r>
      <w:r w:rsidR="0029158C" w:rsidRPr="00EF55EF">
        <w:rPr>
          <w:rFonts w:cs="Arial"/>
          <w:b w:val="0"/>
          <w:i w:val="0"/>
        </w:rPr>
        <w:t>Unidades de Conservação Atingidas pela Barragem Pedreira</w:t>
      </w:r>
      <w:bookmarkEnd w:id="300"/>
      <w:r w:rsidR="0029158C" w:rsidRPr="00EF55EF">
        <w:rPr>
          <w:rFonts w:cs="Arial"/>
          <w:b w:val="0"/>
          <w:i w:val="0"/>
        </w:rPr>
        <w:t xml:space="preserve"> </w:t>
      </w:r>
    </w:p>
    <w:tbl>
      <w:tblPr>
        <w:tblW w:w="5000" w:type="pct"/>
        <w:jc w:val="center"/>
        <w:tblCellMar>
          <w:left w:w="70" w:type="dxa"/>
          <w:right w:w="70" w:type="dxa"/>
        </w:tblCellMar>
        <w:tblLook w:val="04A0" w:firstRow="1" w:lastRow="0" w:firstColumn="1" w:lastColumn="0" w:noHBand="0" w:noVBand="1"/>
      </w:tblPr>
      <w:tblGrid>
        <w:gridCol w:w="3613"/>
        <w:gridCol w:w="1134"/>
        <w:gridCol w:w="1136"/>
        <w:gridCol w:w="1276"/>
        <w:gridCol w:w="1025"/>
        <w:gridCol w:w="1311"/>
      </w:tblGrid>
      <w:tr w:rsidR="0029158C" w:rsidRPr="008952D8" w:rsidTr="000F69FA">
        <w:trPr>
          <w:trHeight w:val="808"/>
          <w:jc w:val="center"/>
        </w:trPr>
        <w:tc>
          <w:tcPr>
            <w:tcW w:w="190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9158C" w:rsidRPr="008952D8" w:rsidRDefault="0029158C" w:rsidP="00617984">
            <w:pPr>
              <w:spacing w:line="240" w:lineRule="auto"/>
              <w:jc w:val="center"/>
              <w:rPr>
                <w:rFonts w:cs="Arial"/>
                <w:b/>
                <w:bCs/>
                <w:color w:val="000000"/>
                <w:sz w:val="20"/>
              </w:rPr>
            </w:pPr>
            <w:r w:rsidRPr="008952D8">
              <w:rPr>
                <w:rFonts w:cs="Arial"/>
                <w:b/>
                <w:bCs/>
                <w:color w:val="000000"/>
                <w:sz w:val="20"/>
              </w:rPr>
              <w:t>Unidade de Conservação</w:t>
            </w:r>
          </w:p>
        </w:tc>
        <w:tc>
          <w:tcPr>
            <w:tcW w:w="59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9158C" w:rsidRPr="008952D8" w:rsidRDefault="0029158C" w:rsidP="00617984">
            <w:pPr>
              <w:spacing w:line="240" w:lineRule="auto"/>
              <w:jc w:val="center"/>
              <w:rPr>
                <w:rFonts w:cs="Arial"/>
                <w:b/>
                <w:bCs/>
                <w:color w:val="000000"/>
                <w:sz w:val="20"/>
              </w:rPr>
            </w:pPr>
            <w:r w:rsidRPr="008952D8">
              <w:rPr>
                <w:rFonts w:cs="Arial"/>
                <w:b/>
                <w:bCs/>
                <w:color w:val="000000"/>
                <w:sz w:val="20"/>
              </w:rPr>
              <w:t>Área Total (ha)</w:t>
            </w:r>
          </w:p>
        </w:tc>
        <w:tc>
          <w:tcPr>
            <w:tcW w:w="598"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9158C" w:rsidRPr="008952D8" w:rsidRDefault="0029158C" w:rsidP="00617984">
            <w:pPr>
              <w:spacing w:line="240" w:lineRule="auto"/>
              <w:jc w:val="center"/>
              <w:rPr>
                <w:rFonts w:cs="Arial"/>
                <w:b/>
                <w:bCs/>
                <w:color w:val="000000"/>
                <w:sz w:val="20"/>
              </w:rPr>
            </w:pPr>
            <w:r w:rsidRPr="008952D8">
              <w:rPr>
                <w:rFonts w:cs="Arial"/>
                <w:b/>
                <w:bCs/>
                <w:color w:val="000000"/>
                <w:sz w:val="20"/>
              </w:rPr>
              <w:t>Área Alagada (ha)</w:t>
            </w:r>
          </w:p>
        </w:tc>
        <w:tc>
          <w:tcPr>
            <w:tcW w:w="672"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9158C" w:rsidRPr="008952D8" w:rsidRDefault="0029158C" w:rsidP="00617984">
            <w:pPr>
              <w:spacing w:line="240" w:lineRule="auto"/>
              <w:jc w:val="center"/>
              <w:rPr>
                <w:rFonts w:cs="Arial"/>
                <w:b/>
                <w:bCs/>
                <w:color w:val="000000"/>
                <w:sz w:val="20"/>
              </w:rPr>
            </w:pPr>
            <w:r w:rsidRPr="008952D8">
              <w:rPr>
                <w:rFonts w:cs="Arial"/>
                <w:b/>
                <w:bCs/>
                <w:color w:val="000000"/>
                <w:sz w:val="20"/>
              </w:rPr>
              <w:t>Ocupação pela ¹A</w:t>
            </w:r>
            <w:r>
              <w:rPr>
                <w:rFonts w:cs="Arial"/>
                <w:b/>
                <w:bCs/>
                <w:color w:val="000000"/>
                <w:sz w:val="20"/>
              </w:rPr>
              <w:t>DA</w:t>
            </w:r>
            <w:r w:rsidRPr="008952D8">
              <w:rPr>
                <w:rFonts w:cs="Arial"/>
                <w:b/>
                <w:bCs/>
                <w:color w:val="000000"/>
                <w:sz w:val="20"/>
              </w:rPr>
              <w:t xml:space="preserve"> (ha)</w:t>
            </w:r>
          </w:p>
        </w:tc>
        <w:tc>
          <w:tcPr>
            <w:tcW w:w="54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9158C" w:rsidRPr="008952D8" w:rsidRDefault="0029158C" w:rsidP="00617984">
            <w:pPr>
              <w:spacing w:line="240" w:lineRule="auto"/>
              <w:jc w:val="center"/>
              <w:rPr>
                <w:rFonts w:cs="Arial"/>
                <w:b/>
                <w:bCs/>
                <w:color w:val="000000"/>
                <w:sz w:val="20"/>
              </w:rPr>
            </w:pPr>
            <w:r w:rsidRPr="008952D8">
              <w:rPr>
                <w:rFonts w:cs="Arial"/>
                <w:b/>
                <w:bCs/>
                <w:color w:val="000000"/>
                <w:sz w:val="20"/>
              </w:rPr>
              <w:t>TOTAL</w:t>
            </w:r>
            <w:r>
              <w:rPr>
                <w:rFonts w:cs="Arial"/>
                <w:b/>
                <w:bCs/>
                <w:color w:val="000000"/>
                <w:sz w:val="20"/>
              </w:rPr>
              <w:t xml:space="preserve"> </w:t>
            </w:r>
          </w:p>
        </w:tc>
        <w:tc>
          <w:tcPr>
            <w:tcW w:w="690" w:type="pct"/>
            <w:tcBorders>
              <w:top w:val="single" w:sz="4" w:space="0" w:color="auto"/>
              <w:left w:val="nil"/>
              <w:bottom w:val="single" w:sz="4" w:space="0" w:color="auto"/>
              <w:right w:val="single" w:sz="4" w:space="0" w:color="auto"/>
            </w:tcBorders>
            <w:shd w:val="clear" w:color="auto" w:fill="D9D9D9" w:themeFill="background1" w:themeFillShade="D9"/>
          </w:tcPr>
          <w:p w:rsidR="0029158C" w:rsidRDefault="0029158C" w:rsidP="00617984">
            <w:pPr>
              <w:spacing w:before="40" w:line="240" w:lineRule="auto"/>
              <w:jc w:val="center"/>
              <w:rPr>
                <w:rFonts w:cs="Arial"/>
                <w:b/>
                <w:bCs/>
                <w:color w:val="000000"/>
                <w:sz w:val="20"/>
              </w:rPr>
            </w:pPr>
            <w:r w:rsidRPr="008952D8">
              <w:rPr>
                <w:rFonts w:cs="Arial"/>
                <w:b/>
                <w:bCs/>
                <w:color w:val="000000"/>
                <w:sz w:val="20"/>
              </w:rPr>
              <w:t>TOTAL</w:t>
            </w:r>
            <w:r>
              <w:rPr>
                <w:rFonts w:cs="Arial"/>
                <w:b/>
                <w:bCs/>
                <w:color w:val="000000"/>
                <w:sz w:val="20"/>
              </w:rPr>
              <w:t xml:space="preserve"> </w:t>
            </w:r>
          </w:p>
          <w:p w:rsidR="0029158C" w:rsidRPr="008952D8" w:rsidRDefault="0029158C" w:rsidP="00617984">
            <w:pPr>
              <w:spacing w:before="40" w:line="240" w:lineRule="auto"/>
              <w:jc w:val="center"/>
              <w:rPr>
                <w:rFonts w:cs="Arial"/>
                <w:b/>
                <w:bCs/>
                <w:color w:val="000000"/>
                <w:sz w:val="20"/>
              </w:rPr>
            </w:pPr>
            <w:r>
              <w:rPr>
                <w:rFonts w:cs="Arial"/>
                <w:b/>
                <w:bCs/>
                <w:color w:val="000000"/>
                <w:sz w:val="18"/>
                <w:szCs w:val="18"/>
              </w:rPr>
              <w:t>Com</w:t>
            </w:r>
            <w:r w:rsidRPr="00301939">
              <w:rPr>
                <w:rFonts w:cs="Arial"/>
                <w:b/>
                <w:bCs/>
                <w:color w:val="000000"/>
                <w:sz w:val="18"/>
                <w:szCs w:val="18"/>
              </w:rPr>
              <w:t xml:space="preserve"> </w:t>
            </w:r>
            <w:r w:rsidRPr="00301939">
              <w:rPr>
                <w:rFonts w:cs="Arial"/>
                <w:b/>
                <w:bCs/>
                <w:sz w:val="18"/>
                <w:szCs w:val="18"/>
              </w:rPr>
              <w:t>sobreposiçã</w:t>
            </w:r>
            <w:r>
              <w:rPr>
                <w:rFonts w:cs="Arial"/>
                <w:b/>
                <w:bCs/>
                <w:sz w:val="18"/>
                <w:szCs w:val="18"/>
              </w:rPr>
              <w:t>o</w:t>
            </w:r>
          </w:p>
        </w:tc>
      </w:tr>
      <w:tr w:rsidR="0029158C" w:rsidRPr="008952D8" w:rsidTr="00617984">
        <w:trPr>
          <w:trHeight w:val="376"/>
          <w:jc w:val="center"/>
        </w:trPr>
        <w:tc>
          <w:tcPr>
            <w:tcW w:w="1903" w:type="pct"/>
            <w:tcBorders>
              <w:top w:val="nil"/>
              <w:left w:val="single" w:sz="4" w:space="0" w:color="auto"/>
              <w:bottom w:val="single" w:sz="4" w:space="0" w:color="auto"/>
              <w:right w:val="single" w:sz="4" w:space="0" w:color="auto"/>
            </w:tcBorders>
            <w:shd w:val="clear" w:color="auto" w:fill="auto"/>
            <w:vAlign w:val="center"/>
            <w:hideMark/>
          </w:tcPr>
          <w:p w:rsidR="0029158C" w:rsidRPr="008952D8" w:rsidRDefault="0029158C" w:rsidP="00617984">
            <w:pPr>
              <w:spacing w:line="240" w:lineRule="auto"/>
              <w:jc w:val="left"/>
              <w:rPr>
                <w:rFonts w:cs="Arial"/>
                <w:b/>
                <w:bCs/>
                <w:color w:val="000000"/>
                <w:sz w:val="18"/>
              </w:rPr>
            </w:pPr>
            <w:r w:rsidRPr="008952D8">
              <w:rPr>
                <w:rFonts w:cs="Arial"/>
                <w:b/>
                <w:bCs/>
                <w:color w:val="000000"/>
                <w:sz w:val="18"/>
              </w:rPr>
              <w:t>APA Municipal de Campinas</w:t>
            </w:r>
          </w:p>
        </w:tc>
        <w:tc>
          <w:tcPr>
            <w:tcW w:w="597" w:type="pct"/>
            <w:tcBorders>
              <w:top w:val="nil"/>
              <w:left w:val="nil"/>
              <w:bottom w:val="single" w:sz="4" w:space="0" w:color="auto"/>
              <w:right w:val="single" w:sz="4" w:space="0" w:color="auto"/>
            </w:tcBorders>
            <w:shd w:val="clear" w:color="auto" w:fill="auto"/>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22.278*</w:t>
            </w:r>
          </w:p>
        </w:tc>
        <w:tc>
          <w:tcPr>
            <w:tcW w:w="598" w:type="pct"/>
            <w:tcBorders>
              <w:top w:val="nil"/>
              <w:left w:val="nil"/>
              <w:bottom w:val="single" w:sz="4" w:space="0" w:color="auto"/>
              <w:right w:val="single" w:sz="4" w:space="0" w:color="auto"/>
            </w:tcBorders>
            <w:shd w:val="clear" w:color="auto" w:fill="auto"/>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33</w:t>
            </w:r>
          </w:p>
        </w:tc>
        <w:tc>
          <w:tcPr>
            <w:tcW w:w="672" w:type="pct"/>
            <w:tcBorders>
              <w:top w:val="nil"/>
              <w:left w:val="nil"/>
              <w:bottom w:val="single" w:sz="4" w:space="0" w:color="auto"/>
              <w:right w:val="single" w:sz="4" w:space="0" w:color="auto"/>
            </w:tcBorders>
            <w:shd w:val="clear" w:color="auto" w:fill="auto"/>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53</w:t>
            </w:r>
          </w:p>
        </w:tc>
        <w:tc>
          <w:tcPr>
            <w:tcW w:w="540" w:type="pct"/>
            <w:tcBorders>
              <w:top w:val="nil"/>
              <w:left w:val="nil"/>
              <w:bottom w:val="single" w:sz="4" w:space="0" w:color="auto"/>
              <w:right w:val="single" w:sz="4" w:space="0" w:color="auto"/>
            </w:tcBorders>
            <w:shd w:val="clear" w:color="auto" w:fill="F2F2F2"/>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86</w:t>
            </w:r>
          </w:p>
        </w:tc>
        <w:tc>
          <w:tcPr>
            <w:tcW w:w="690" w:type="pct"/>
            <w:tcBorders>
              <w:top w:val="nil"/>
              <w:left w:val="nil"/>
              <w:bottom w:val="single" w:sz="4" w:space="0" w:color="auto"/>
              <w:right w:val="single" w:sz="4" w:space="0" w:color="auto"/>
            </w:tcBorders>
            <w:shd w:val="clear" w:color="auto" w:fill="auto"/>
            <w:vAlign w:val="center"/>
          </w:tcPr>
          <w:p w:rsidR="0029158C" w:rsidRPr="008952D8" w:rsidRDefault="0029158C" w:rsidP="00617984">
            <w:pPr>
              <w:spacing w:line="240" w:lineRule="auto"/>
              <w:jc w:val="center"/>
              <w:rPr>
                <w:rFonts w:cs="Arial"/>
                <w:color w:val="000000"/>
                <w:sz w:val="20"/>
              </w:rPr>
            </w:pPr>
            <w:r>
              <w:rPr>
                <w:rFonts w:cs="Arial"/>
                <w:color w:val="000000"/>
                <w:sz w:val="20"/>
              </w:rPr>
              <w:t>232</w:t>
            </w:r>
          </w:p>
        </w:tc>
      </w:tr>
      <w:tr w:rsidR="0029158C" w:rsidRPr="008952D8" w:rsidTr="00617984">
        <w:trPr>
          <w:trHeight w:val="411"/>
          <w:jc w:val="center"/>
        </w:trPr>
        <w:tc>
          <w:tcPr>
            <w:tcW w:w="1903" w:type="pct"/>
            <w:tcBorders>
              <w:top w:val="nil"/>
              <w:left w:val="single" w:sz="4" w:space="0" w:color="auto"/>
              <w:bottom w:val="single" w:sz="4" w:space="0" w:color="auto"/>
              <w:right w:val="single" w:sz="4" w:space="0" w:color="auto"/>
            </w:tcBorders>
            <w:shd w:val="clear" w:color="auto" w:fill="auto"/>
            <w:vAlign w:val="center"/>
            <w:hideMark/>
          </w:tcPr>
          <w:p w:rsidR="0029158C" w:rsidRPr="008952D8" w:rsidRDefault="0029158C" w:rsidP="00617984">
            <w:pPr>
              <w:spacing w:line="240" w:lineRule="auto"/>
              <w:jc w:val="left"/>
              <w:rPr>
                <w:rFonts w:cs="Arial"/>
                <w:b/>
                <w:bCs/>
                <w:color w:val="000000"/>
                <w:sz w:val="18"/>
              </w:rPr>
            </w:pPr>
            <w:r w:rsidRPr="008952D8">
              <w:rPr>
                <w:rFonts w:cs="Arial"/>
                <w:b/>
                <w:bCs/>
                <w:color w:val="000000"/>
                <w:sz w:val="18"/>
              </w:rPr>
              <w:t>Área com Sobreposição entre as APAs</w:t>
            </w:r>
          </w:p>
        </w:tc>
        <w:tc>
          <w:tcPr>
            <w:tcW w:w="597" w:type="pct"/>
            <w:tcBorders>
              <w:top w:val="nil"/>
              <w:left w:val="nil"/>
              <w:bottom w:val="single" w:sz="4" w:space="0" w:color="auto"/>
              <w:right w:val="single" w:sz="4" w:space="0" w:color="auto"/>
            </w:tcBorders>
            <w:shd w:val="clear" w:color="auto" w:fill="auto"/>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2.966</w:t>
            </w:r>
          </w:p>
        </w:tc>
        <w:tc>
          <w:tcPr>
            <w:tcW w:w="598" w:type="pct"/>
            <w:tcBorders>
              <w:top w:val="nil"/>
              <w:left w:val="nil"/>
              <w:bottom w:val="single" w:sz="4" w:space="0" w:color="auto"/>
              <w:right w:val="single" w:sz="4" w:space="0" w:color="auto"/>
            </w:tcBorders>
            <w:shd w:val="clear" w:color="auto" w:fill="auto"/>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72</w:t>
            </w:r>
          </w:p>
        </w:tc>
        <w:tc>
          <w:tcPr>
            <w:tcW w:w="672" w:type="pct"/>
            <w:tcBorders>
              <w:top w:val="nil"/>
              <w:left w:val="nil"/>
              <w:bottom w:val="single" w:sz="4" w:space="0" w:color="auto"/>
              <w:right w:val="single" w:sz="4" w:space="0" w:color="auto"/>
            </w:tcBorders>
            <w:shd w:val="clear" w:color="auto" w:fill="auto"/>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74</w:t>
            </w:r>
          </w:p>
        </w:tc>
        <w:tc>
          <w:tcPr>
            <w:tcW w:w="540" w:type="pct"/>
            <w:tcBorders>
              <w:top w:val="nil"/>
              <w:left w:val="nil"/>
              <w:bottom w:val="single" w:sz="4" w:space="0" w:color="auto"/>
              <w:right w:val="single" w:sz="4" w:space="0" w:color="auto"/>
            </w:tcBorders>
            <w:shd w:val="clear" w:color="auto" w:fill="F2F2F2"/>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146</w:t>
            </w:r>
          </w:p>
        </w:tc>
        <w:tc>
          <w:tcPr>
            <w:tcW w:w="690" w:type="pct"/>
            <w:tcBorders>
              <w:top w:val="nil"/>
              <w:left w:val="nil"/>
              <w:bottom w:val="single" w:sz="4" w:space="0" w:color="auto"/>
              <w:right w:val="single" w:sz="4" w:space="0" w:color="auto"/>
            </w:tcBorders>
            <w:shd w:val="clear" w:color="auto" w:fill="auto"/>
            <w:vAlign w:val="center"/>
          </w:tcPr>
          <w:p w:rsidR="0029158C" w:rsidRPr="008952D8" w:rsidRDefault="0029158C" w:rsidP="00617984">
            <w:pPr>
              <w:spacing w:line="240" w:lineRule="auto"/>
              <w:jc w:val="center"/>
              <w:rPr>
                <w:rFonts w:cs="Arial"/>
                <w:color w:val="000000"/>
                <w:sz w:val="20"/>
              </w:rPr>
            </w:pPr>
            <w:r>
              <w:rPr>
                <w:rFonts w:cs="Arial"/>
                <w:color w:val="000000"/>
                <w:sz w:val="20"/>
              </w:rPr>
              <w:t>-</w:t>
            </w:r>
          </w:p>
        </w:tc>
      </w:tr>
      <w:tr w:rsidR="0029158C" w:rsidRPr="008952D8" w:rsidTr="00617984">
        <w:trPr>
          <w:trHeight w:val="417"/>
          <w:jc w:val="center"/>
        </w:trPr>
        <w:tc>
          <w:tcPr>
            <w:tcW w:w="1903" w:type="pct"/>
            <w:tcBorders>
              <w:top w:val="nil"/>
              <w:left w:val="single" w:sz="4" w:space="0" w:color="auto"/>
              <w:bottom w:val="single" w:sz="4" w:space="0" w:color="auto"/>
              <w:right w:val="single" w:sz="4" w:space="0" w:color="auto"/>
            </w:tcBorders>
            <w:shd w:val="clear" w:color="auto" w:fill="auto"/>
            <w:vAlign w:val="center"/>
            <w:hideMark/>
          </w:tcPr>
          <w:p w:rsidR="0029158C" w:rsidRPr="008952D8" w:rsidRDefault="0029158C" w:rsidP="00617984">
            <w:pPr>
              <w:spacing w:line="240" w:lineRule="auto"/>
              <w:jc w:val="left"/>
              <w:rPr>
                <w:rFonts w:cs="Arial"/>
                <w:b/>
                <w:bCs/>
                <w:color w:val="000000"/>
                <w:sz w:val="18"/>
              </w:rPr>
            </w:pPr>
            <w:r w:rsidRPr="008952D8">
              <w:rPr>
                <w:rFonts w:cs="Arial"/>
                <w:b/>
                <w:bCs/>
                <w:color w:val="000000"/>
                <w:sz w:val="18"/>
              </w:rPr>
              <w:t>APA Piracicaba/Juqueri-Mirim (Área II)</w:t>
            </w:r>
          </w:p>
        </w:tc>
        <w:tc>
          <w:tcPr>
            <w:tcW w:w="597" w:type="pct"/>
            <w:tcBorders>
              <w:top w:val="nil"/>
              <w:left w:val="nil"/>
              <w:bottom w:val="single" w:sz="4" w:space="0" w:color="auto"/>
              <w:right w:val="single" w:sz="4" w:space="0" w:color="auto"/>
            </w:tcBorders>
            <w:shd w:val="clear" w:color="auto" w:fill="auto"/>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287.000**</w:t>
            </w:r>
          </w:p>
        </w:tc>
        <w:tc>
          <w:tcPr>
            <w:tcW w:w="598" w:type="pct"/>
            <w:tcBorders>
              <w:top w:val="nil"/>
              <w:left w:val="nil"/>
              <w:bottom w:val="single" w:sz="4" w:space="0" w:color="auto"/>
              <w:right w:val="single" w:sz="4" w:space="0" w:color="auto"/>
            </w:tcBorders>
            <w:shd w:val="clear" w:color="auto" w:fill="auto"/>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97</w:t>
            </w:r>
          </w:p>
        </w:tc>
        <w:tc>
          <w:tcPr>
            <w:tcW w:w="672" w:type="pct"/>
            <w:tcBorders>
              <w:top w:val="nil"/>
              <w:left w:val="nil"/>
              <w:bottom w:val="single" w:sz="4" w:space="0" w:color="auto"/>
              <w:right w:val="single" w:sz="4" w:space="0" w:color="auto"/>
            </w:tcBorders>
            <w:shd w:val="clear" w:color="auto" w:fill="auto"/>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127</w:t>
            </w:r>
          </w:p>
        </w:tc>
        <w:tc>
          <w:tcPr>
            <w:tcW w:w="540" w:type="pct"/>
            <w:tcBorders>
              <w:top w:val="nil"/>
              <w:left w:val="nil"/>
              <w:bottom w:val="single" w:sz="4" w:space="0" w:color="auto"/>
              <w:right w:val="single" w:sz="4" w:space="0" w:color="auto"/>
            </w:tcBorders>
            <w:shd w:val="clear" w:color="auto" w:fill="F2F2F2"/>
            <w:vAlign w:val="center"/>
            <w:hideMark/>
          </w:tcPr>
          <w:p w:rsidR="0029158C" w:rsidRPr="008952D8" w:rsidRDefault="0029158C" w:rsidP="00617984">
            <w:pPr>
              <w:spacing w:line="240" w:lineRule="auto"/>
              <w:jc w:val="center"/>
              <w:rPr>
                <w:rFonts w:cs="Arial"/>
                <w:sz w:val="20"/>
              </w:rPr>
            </w:pPr>
            <w:r w:rsidRPr="008952D8">
              <w:rPr>
                <w:rFonts w:cs="Arial"/>
                <w:sz w:val="20"/>
              </w:rPr>
              <w:t>224</w:t>
            </w:r>
          </w:p>
        </w:tc>
        <w:tc>
          <w:tcPr>
            <w:tcW w:w="690" w:type="pct"/>
            <w:tcBorders>
              <w:top w:val="nil"/>
              <w:left w:val="nil"/>
              <w:bottom w:val="single" w:sz="4" w:space="0" w:color="auto"/>
              <w:right w:val="single" w:sz="4" w:space="0" w:color="auto"/>
            </w:tcBorders>
            <w:shd w:val="clear" w:color="auto" w:fill="auto"/>
            <w:vAlign w:val="center"/>
          </w:tcPr>
          <w:p w:rsidR="0029158C" w:rsidRPr="008952D8" w:rsidRDefault="0029158C" w:rsidP="00617984">
            <w:pPr>
              <w:spacing w:line="240" w:lineRule="auto"/>
              <w:jc w:val="center"/>
              <w:rPr>
                <w:rFonts w:cs="Arial"/>
                <w:sz w:val="20"/>
              </w:rPr>
            </w:pPr>
            <w:r>
              <w:rPr>
                <w:rFonts w:cs="Arial"/>
                <w:sz w:val="20"/>
              </w:rPr>
              <w:t>370</w:t>
            </w:r>
          </w:p>
        </w:tc>
      </w:tr>
      <w:tr w:rsidR="0029158C" w:rsidRPr="008952D8" w:rsidTr="00617984">
        <w:trPr>
          <w:trHeight w:val="409"/>
          <w:jc w:val="center"/>
        </w:trPr>
        <w:tc>
          <w:tcPr>
            <w:tcW w:w="2500" w:type="pct"/>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TOTAL</w:t>
            </w:r>
          </w:p>
        </w:tc>
        <w:tc>
          <w:tcPr>
            <w:tcW w:w="598" w:type="pct"/>
            <w:tcBorders>
              <w:top w:val="nil"/>
              <w:left w:val="nil"/>
              <w:bottom w:val="single" w:sz="4" w:space="0" w:color="auto"/>
              <w:right w:val="single" w:sz="4" w:space="0" w:color="auto"/>
            </w:tcBorders>
            <w:shd w:val="clear" w:color="auto" w:fill="F2F2F2"/>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202</w:t>
            </w:r>
          </w:p>
        </w:tc>
        <w:tc>
          <w:tcPr>
            <w:tcW w:w="672" w:type="pct"/>
            <w:tcBorders>
              <w:top w:val="nil"/>
              <w:left w:val="nil"/>
              <w:bottom w:val="single" w:sz="4" w:space="0" w:color="auto"/>
              <w:right w:val="single" w:sz="4" w:space="0" w:color="auto"/>
            </w:tcBorders>
            <w:shd w:val="clear" w:color="auto" w:fill="F2F2F2"/>
            <w:vAlign w:val="center"/>
            <w:hideMark/>
          </w:tcPr>
          <w:p w:rsidR="0029158C" w:rsidRPr="008952D8" w:rsidRDefault="0029158C" w:rsidP="00617984">
            <w:pPr>
              <w:spacing w:line="240" w:lineRule="auto"/>
              <w:jc w:val="center"/>
              <w:rPr>
                <w:rFonts w:cs="Arial"/>
                <w:color w:val="000000"/>
                <w:sz w:val="20"/>
              </w:rPr>
            </w:pPr>
            <w:r w:rsidRPr="008952D8">
              <w:rPr>
                <w:rFonts w:cs="Arial"/>
                <w:color w:val="000000"/>
                <w:sz w:val="20"/>
              </w:rPr>
              <w:t>254</w:t>
            </w:r>
          </w:p>
        </w:tc>
        <w:tc>
          <w:tcPr>
            <w:tcW w:w="540" w:type="pct"/>
            <w:tcBorders>
              <w:top w:val="nil"/>
              <w:left w:val="nil"/>
              <w:bottom w:val="single" w:sz="4" w:space="0" w:color="auto"/>
              <w:right w:val="single" w:sz="4" w:space="0" w:color="auto"/>
            </w:tcBorders>
            <w:shd w:val="clear" w:color="auto" w:fill="F2F2F2"/>
            <w:vAlign w:val="center"/>
            <w:hideMark/>
          </w:tcPr>
          <w:p w:rsidR="0029158C" w:rsidRPr="008952D8" w:rsidRDefault="0029158C" w:rsidP="00617984">
            <w:pPr>
              <w:spacing w:line="240" w:lineRule="auto"/>
              <w:jc w:val="center"/>
              <w:rPr>
                <w:rFonts w:cs="Arial"/>
                <w:sz w:val="20"/>
              </w:rPr>
            </w:pPr>
            <w:r w:rsidRPr="008952D8">
              <w:rPr>
                <w:rFonts w:cs="Arial"/>
                <w:sz w:val="20"/>
              </w:rPr>
              <w:t>456</w:t>
            </w:r>
          </w:p>
        </w:tc>
        <w:tc>
          <w:tcPr>
            <w:tcW w:w="690" w:type="pct"/>
            <w:tcBorders>
              <w:top w:val="nil"/>
              <w:left w:val="nil"/>
              <w:bottom w:val="single" w:sz="4" w:space="0" w:color="auto"/>
              <w:right w:val="single" w:sz="4" w:space="0" w:color="auto"/>
            </w:tcBorders>
            <w:shd w:val="clear" w:color="auto" w:fill="F2F2F2"/>
            <w:vAlign w:val="center"/>
          </w:tcPr>
          <w:p w:rsidR="0029158C" w:rsidRPr="008952D8" w:rsidRDefault="00277166" w:rsidP="00617984">
            <w:pPr>
              <w:spacing w:line="240" w:lineRule="auto"/>
              <w:jc w:val="center"/>
              <w:rPr>
                <w:rFonts w:cs="Arial"/>
                <w:sz w:val="20"/>
              </w:rPr>
            </w:pPr>
            <w:r>
              <w:rPr>
                <w:rFonts w:cs="Arial"/>
                <w:sz w:val="20"/>
              </w:rPr>
              <w:t>-</w:t>
            </w:r>
          </w:p>
        </w:tc>
      </w:tr>
    </w:tbl>
    <w:p w:rsidR="0029158C" w:rsidRPr="000F69FA" w:rsidRDefault="0029158C" w:rsidP="0029158C">
      <w:pPr>
        <w:spacing w:line="240" w:lineRule="auto"/>
        <w:rPr>
          <w:b/>
          <w:bCs/>
          <w:sz w:val="20"/>
        </w:rPr>
      </w:pPr>
    </w:p>
    <w:p w:rsidR="0029158C" w:rsidRPr="000F69FA" w:rsidRDefault="0029158C" w:rsidP="000F69FA">
      <w:pPr>
        <w:tabs>
          <w:tab w:val="left" w:pos="567"/>
        </w:tabs>
        <w:spacing w:line="240" w:lineRule="auto"/>
        <w:rPr>
          <w:sz w:val="20"/>
        </w:rPr>
      </w:pPr>
      <w:r w:rsidRPr="000F69FA">
        <w:rPr>
          <w:b/>
          <w:bCs/>
          <w:sz w:val="20"/>
        </w:rPr>
        <w:t xml:space="preserve">* </w:t>
      </w:r>
      <w:r w:rsidR="000F69FA">
        <w:rPr>
          <w:b/>
          <w:bCs/>
          <w:sz w:val="20"/>
        </w:rPr>
        <w:tab/>
      </w:r>
      <w:r w:rsidRPr="000F69FA">
        <w:rPr>
          <w:bCs/>
          <w:sz w:val="20"/>
        </w:rPr>
        <w:t>Lei municipal nº 10.850 de 07 de junho de 2001</w:t>
      </w:r>
    </w:p>
    <w:p w:rsidR="0029158C" w:rsidRPr="000F69FA" w:rsidRDefault="0029158C" w:rsidP="000F69FA">
      <w:pPr>
        <w:tabs>
          <w:tab w:val="left" w:pos="567"/>
        </w:tabs>
        <w:spacing w:line="240" w:lineRule="auto"/>
        <w:rPr>
          <w:sz w:val="20"/>
        </w:rPr>
      </w:pPr>
      <w:r w:rsidRPr="000F69FA">
        <w:rPr>
          <w:sz w:val="20"/>
        </w:rPr>
        <w:t xml:space="preserve">** </w:t>
      </w:r>
      <w:r w:rsidR="000F69FA">
        <w:rPr>
          <w:sz w:val="20"/>
        </w:rPr>
        <w:tab/>
      </w:r>
      <w:r w:rsidRPr="000F69FA">
        <w:rPr>
          <w:sz w:val="20"/>
        </w:rPr>
        <w:t>Fundação Florestal</w:t>
      </w:r>
    </w:p>
    <w:p w:rsidR="0029158C" w:rsidRPr="000F69FA" w:rsidRDefault="0029158C" w:rsidP="000F69FA">
      <w:pPr>
        <w:tabs>
          <w:tab w:val="left" w:pos="567"/>
        </w:tabs>
        <w:spacing w:line="240" w:lineRule="auto"/>
        <w:ind w:left="567" w:hanging="567"/>
        <w:rPr>
          <w:sz w:val="20"/>
        </w:rPr>
      </w:pPr>
      <w:r w:rsidRPr="000F69FA">
        <w:rPr>
          <w:sz w:val="20"/>
        </w:rPr>
        <w:t xml:space="preserve">¹ ¹ </w:t>
      </w:r>
      <w:r w:rsidR="000F69FA">
        <w:rPr>
          <w:sz w:val="20"/>
        </w:rPr>
        <w:tab/>
      </w:r>
      <w:r w:rsidRPr="000F69FA">
        <w:rPr>
          <w:sz w:val="20"/>
        </w:rPr>
        <w:t>Faixa de proteção de 100 metros no entorno do reservatório mais o trecho de jusante necessário às obras</w:t>
      </w:r>
    </w:p>
    <w:p w:rsidR="00216894" w:rsidRPr="000F69FA" w:rsidRDefault="00216894" w:rsidP="000F69FA">
      <w:pPr>
        <w:tabs>
          <w:tab w:val="left" w:pos="567"/>
        </w:tabs>
        <w:spacing w:line="240" w:lineRule="auto"/>
        <w:rPr>
          <w:sz w:val="20"/>
        </w:rPr>
      </w:pPr>
    </w:p>
    <w:p w:rsidR="008D0D70" w:rsidRPr="00652269" w:rsidRDefault="00216894" w:rsidP="00617984">
      <w:pPr>
        <w:pStyle w:val="Corpodetexto"/>
        <w:rPr>
          <w:rFonts w:cs="Arial"/>
          <w:szCs w:val="22"/>
          <w:highlight w:val="yellow"/>
        </w:rPr>
      </w:pPr>
      <w:r w:rsidRPr="00652269">
        <w:t xml:space="preserve">A Interferência em </w:t>
      </w:r>
      <w:r>
        <w:t>Á</w:t>
      </w:r>
      <w:r w:rsidR="001133BB">
        <w:t>reas</w:t>
      </w:r>
      <w:r>
        <w:t xml:space="preserve"> de </w:t>
      </w:r>
      <w:r w:rsidR="00FE3351">
        <w:t>Proteção Ambiental (APA)</w:t>
      </w:r>
      <w:r w:rsidRPr="00652269">
        <w:t xml:space="preserve"> é considerad</w:t>
      </w:r>
      <w:r>
        <w:t>a</w:t>
      </w:r>
      <w:r w:rsidRPr="00652269">
        <w:t xml:space="preserve"> um impacto negativo de magnitude pequena e importância média.</w:t>
      </w:r>
    </w:p>
    <w:p w:rsidR="008D0D70" w:rsidRPr="000F69FA" w:rsidRDefault="008D0D70" w:rsidP="000F69FA">
      <w:pPr>
        <w:pStyle w:val="Item-Trainho"/>
        <w:rPr>
          <w:b/>
        </w:rPr>
      </w:pPr>
      <w:r w:rsidRPr="000F69FA">
        <w:rPr>
          <w:b/>
        </w:rPr>
        <w:t>Barragem Duas Pontes</w:t>
      </w:r>
    </w:p>
    <w:p w:rsidR="0029158C" w:rsidRDefault="0029158C" w:rsidP="0029158C">
      <w:pPr>
        <w:spacing w:before="120" w:after="120" w:line="240" w:lineRule="auto"/>
      </w:pPr>
      <w:r w:rsidRPr="00652269">
        <w:t>A Barragem Duas Pontes, por sua vez, irá formar um reservatório da ordem de 4,</w:t>
      </w:r>
      <w:r w:rsidR="00617984" w:rsidRPr="00652269">
        <w:t>8</w:t>
      </w:r>
      <w:r w:rsidR="00617984">
        <w:t>6</w:t>
      </w:r>
      <w:r w:rsidR="00617984" w:rsidRPr="00652269">
        <w:t xml:space="preserve"> </w:t>
      </w:r>
      <w:r w:rsidRPr="00652269">
        <w:t xml:space="preserve">km², o qual irá alagar </w:t>
      </w:r>
      <w:r>
        <w:t>aproximadamente</w:t>
      </w:r>
      <w:r w:rsidRPr="00652269">
        <w:t xml:space="preserve"> </w:t>
      </w:r>
      <w:r w:rsidR="00617984" w:rsidRPr="00652269">
        <w:t>4</w:t>
      </w:r>
      <w:r w:rsidR="00617984">
        <w:t xml:space="preserve">86 </w:t>
      </w:r>
      <w:r w:rsidRPr="00652269">
        <w:t xml:space="preserve">hectares da APA Piracicaba/Juqueri-Mirim (Área II), no município de </w:t>
      </w:r>
      <w:r w:rsidRPr="00EF55EF">
        <w:t xml:space="preserve">Amparo </w:t>
      </w:r>
      <w:r w:rsidRPr="00EF55EF">
        <w:rPr>
          <w:rFonts w:cs="Arial"/>
          <w:szCs w:val="22"/>
        </w:rPr>
        <w:t xml:space="preserve">(Desenho </w:t>
      </w:r>
      <w:r w:rsidR="00EF55EF" w:rsidRPr="00EF55EF">
        <w:rPr>
          <w:rFonts w:eastAsia="Batang"/>
          <w:lang w:eastAsia="en-US"/>
        </w:rPr>
        <w:t>n</w:t>
      </w:r>
      <w:r w:rsidR="00EF55EF" w:rsidRPr="00EF55EF">
        <w:rPr>
          <w:rFonts w:eastAsia="Batang"/>
          <w:u w:val="single"/>
          <w:vertAlign w:val="superscript"/>
          <w:lang w:eastAsia="en-US"/>
        </w:rPr>
        <w:t>o</w:t>
      </w:r>
      <w:r w:rsidR="00EF55EF" w:rsidRPr="00EF55EF">
        <w:rPr>
          <w:rFonts w:cs="Arial"/>
          <w:szCs w:val="22"/>
        </w:rPr>
        <w:t xml:space="preserve"> </w:t>
      </w:r>
      <w:r w:rsidRPr="00EF55EF">
        <w:rPr>
          <w:rFonts w:cs="Arial"/>
          <w:szCs w:val="22"/>
        </w:rPr>
        <w:t>7188-43-GL-830-DE-00155</w:t>
      </w:r>
      <w:r w:rsidR="00CA31A6">
        <w:rPr>
          <w:rFonts w:cs="Arial"/>
          <w:szCs w:val="22"/>
        </w:rPr>
        <w:t xml:space="preserve"> - </w:t>
      </w:r>
      <w:r w:rsidR="00CA31A6" w:rsidRPr="00CA31A6">
        <w:rPr>
          <w:rFonts w:cs="Arial"/>
          <w:szCs w:val="22"/>
        </w:rPr>
        <w:t>Unidades de Conservação na Área Diretamente Afetada (ADA) - Barragem Duas Pontes</w:t>
      </w:r>
      <w:r w:rsidR="006E430C" w:rsidRPr="006E430C">
        <w:rPr>
          <w:szCs w:val="22"/>
        </w:rPr>
        <w:t xml:space="preserve"> </w:t>
      </w:r>
      <w:r w:rsidR="006E430C">
        <w:rPr>
          <w:szCs w:val="22"/>
        </w:rPr>
        <w:t>apresentado no Volume III, Tomo 2</w:t>
      </w:r>
      <w:r w:rsidRPr="00EF55EF">
        <w:rPr>
          <w:rFonts w:cs="Arial"/>
          <w:szCs w:val="22"/>
        </w:rPr>
        <w:t>)</w:t>
      </w:r>
      <w:r w:rsidRPr="00EF55EF">
        <w:t>, Quando acrescidas a faixa de 100 m do entorno do futuro reservatório e a área de jusante que</w:t>
      </w:r>
      <w:r>
        <w:t xml:space="preserve"> abrange a barragem e as estruturas associadas, </w:t>
      </w:r>
      <w:r w:rsidRPr="00F77D03">
        <w:t xml:space="preserve">a interferência alcança aproximadamente </w:t>
      </w:r>
      <w:r w:rsidR="00617984" w:rsidRPr="00F77D03">
        <w:t>9</w:t>
      </w:r>
      <w:r w:rsidR="00617984">
        <w:t xml:space="preserve">08 </w:t>
      </w:r>
      <w:r w:rsidRPr="00EF55EF">
        <w:t xml:space="preserve">hectares (Quadro </w:t>
      </w:r>
      <w:r w:rsidR="001B7276" w:rsidRPr="00EF55EF">
        <w:t>1.3.</w:t>
      </w:r>
      <w:r w:rsidR="00B11E51" w:rsidRPr="00EF55EF">
        <w:t>54</w:t>
      </w:r>
      <w:r w:rsidRPr="00EF55EF">
        <w:t>).</w:t>
      </w:r>
      <w:r>
        <w:t xml:space="preserve"> </w:t>
      </w:r>
    </w:p>
    <w:p w:rsidR="0029158C" w:rsidRPr="00EF55EF" w:rsidRDefault="008D3A12" w:rsidP="00EF55EF">
      <w:pPr>
        <w:pStyle w:val="Legenda"/>
        <w:jc w:val="center"/>
        <w:rPr>
          <w:rFonts w:cs="Arial"/>
          <w:b w:val="0"/>
          <w:i w:val="0"/>
        </w:rPr>
      </w:pPr>
      <w:bookmarkStart w:id="301" w:name="_Toc420316498"/>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55</w:t>
      </w:r>
      <w:r w:rsidR="00B80A05" w:rsidRPr="00EF55EF">
        <w:rPr>
          <w:i w:val="0"/>
        </w:rPr>
        <w:fldChar w:fldCharType="end"/>
      </w:r>
      <w:r w:rsidR="00EF55EF" w:rsidRPr="00EF55EF">
        <w:rPr>
          <w:i w:val="0"/>
        </w:rPr>
        <w:t>.</w:t>
      </w:r>
      <w:r w:rsidR="00EF55EF" w:rsidRPr="00EF55EF">
        <w:rPr>
          <w:b w:val="0"/>
          <w:i w:val="0"/>
        </w:rPr>
        <w:t xml:space="preserve"> - </w:t>
      </w:r>
      <w:r w:rsidR="0029158C" w:rsidRPr="00EF55EF">
        <w:rPr>
          <w:rFonts w:cs="Arial"/>
          <w:b w:val="0"/>
          <w:i w:val="0"/>
        </w:rPr>
        <w:t>Unidades de Conservação Atingidas pelas Barragens Duas Pontes</w:t>
      </w:r>
      <w:bookmarkEnd w:id="301"/>
    </w:p>
    <w:tbl>
      <w:tblPr>
        <w:tblW w:w="5000" w:type="pct"/>
        <w:tblCellMar>
          <w:left w:w="70" w:type="dxa"/>
          <w:right w:w="70" w:type="dxa"/>
        </w:tblCellMar>
        <w:tblLook w:val="04A0" w:firstRow="1" w:lastRow="0" w:firstColumn="1" w:lastColumn="0" w:noHBand="0" w:noVBand="1"/>
      </w:tblPr>
      <w:tblGrid>
        <w:gridCol w:w="3899"/>
        <w:gridCol w:w="1308"/>
        <w:gridCol w:w="1620"/>
        <w:gridCol w:w="1620"/>
        <w:gridCol w:w="1048"/>
      </w:tblGrid>
      <w:tr w:rsidR="0029158C" w:rsidRPr="008952D8" w:rsidTr="008204B6">
        <w:trPr>
          <w:trHeight w:val="690"/>
        </w:trPr>
        <w:tc>
          <w:tcPr>
            <w:tcW w:w="205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9158C" w:rsidRPr="008952D8" w:rsidRDefault="0029158C" w:rsidP="008B5ABD">
            <w:pPr>
              <w:spacing w:line="240" w:lineRule="auto"/>
              <w:jc w:val="center"/>
              <w:rPr>
                <w:rFonts w:cs="Arial"/>
                <w:b/>
                <w:bCs/>
                <w:color w:val="000000"/>
                <w:sz w:val="20"/>
              </w:rPr>
            </w:pPr>
            <w:r w:rsidRPr="008952D8">
              <w:rPr>
                <w:rFonts w:cs="Arial"/>
                <w:b/>
                <w:bCs/>
                <w:color w:val="000000"/>
                <w:sz w:val="20"/>
              </w:rPr>
              <w:t>Unidade de Conservação</w:t>
            </w:r>
          </w:p>
        </w:tc>
        <w:tc>
          <w:tcPr>
            <w:tcW w:w="689"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9158C" w:rsidRPr="008952D8" w:rsidRDefault="0029158C" w:rsidP="008B5ABD">
            <w:pPr>
              <w:spacing w:line="240" w:lineRule="auto"/>
              <w:jc w:val="center"/>
              <w:rPr>
                <w:rFonts w:cs="Arial"/>
                <w:b/>
                <w:bCs/>
                <w:color w:val="000000"/>
                <w:sz w:val="20"/>
              </w:rPr>
            </w:pPr>
            <w:r w:rsidRPr="008952D8">
              <w:rPr>
                <w:rFonts w:cs="Arial"/>
                <w:b/>
                <w:bCs/>
                <w:color w:val="000000"/>
                <w:sz w:val="20"/>
              </w:rPr>
              <w:t>Área Total (ha)</w:t>
            </w:r>
          </w:p>
        </w:tc>
        <w:tc>
          <w:tcPr>
            <w:tcW w:w="853"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9158C" w:rsidRPr="008952D8" w:rsidRDefault="0029158C" w:rsidP="008B5ABD">
            <w:pPr>
              <w:spacing w:line="240" w:lineRule="auto"/>
              <w:jc w:val="center"/>
              <w:rPr>
                <w:rFonts w:cs="Arial"/>
                <w:b/>
                <w:bCs/>
                <w:color w:val="000000"/>
                <w:sz w:val="20"/>
              </w:rPr>
            </w:pPr>
            <w:r w:rsidRPr="008952D8">
              <w:rPr>
                <w:rFonts w:cs="Arial"/>
                <w:b/>
                <w:bCs/>
                <w:color w:val="000000"/>
                <w:sz w:val="20"/>
              </w:rPr>
              <w:t>Área Alagada (ha)</w:t>
            </w:r>
          </w:p>
        </w:tc>
        <w:tc>
          <w:tcPr>
            <w:tcW w:w="853"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9158C" w:rsidRPr="008952D8" w:rsidRDefault="0029158C" w:rsidP="008B5ABD">
            <w:pPr>
              <w:spacing w:line="240" w:lineRule="auto"/>
              <w:jc w:val="center"/>
              <w:rPr>
                <w:rFonts w:cs="Arial"/>
                <w:b/>
                <w:bCs/>
                <w:color w:val="000000"/>
                <w:sz w:val="20"/>
              </w:rPr>
            </w:pPr>
            <w:r w:rsidRPr="008952D8">
              <w:rPr>
                <w:rFonts w:cs="Arial"/>
                <w:b/>
                <w:bCs/>
                <w:color w:val="000000"/>
                <w:sz w:val="20"/>
              </w:rPr>
              <w:t>Ocupação pela ¹</w:t>
            </w:r>
            <w:r>
              <w:rPr>
                <w:rFonts w:cs="Arial"/>
                <w:b/>
                <w:bCs/>
                <w:color w:val="000000"/>
                <w:sz w:val="20"/>
              </w:rPr>
              <w:t>ADA</w:t>
            </w:r>
            <w:r w:rsidRPr="008952D8">
              <w:rPr>
                <w:rFonts w:cs="Arial"/>
                <w:b/>
                <w:bCs/>
                <w:color w:val="000000"/>
                <w:sz w:val="20"/>
              </w:rPr>
              <w:t xml:space="preserve"> (ha)</w:t>
            </w:r>
          </w:p>
        </w:tc>
        <w:tc>
          <w:tcPr>
            <w:tcW w:w="552"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9158C" w:rsidRPr="008952D8" w:rsidRDefault="0029158C" w:rsidP="008B5ABD">
            <w:pPr>
              <w:spacing w:line="240" w:lineRule="auto"/>
              <w:jc w:val="center"/>
              <w:rPr>
                <w:rFonts w:cs="Arial"/>
                <w:b/>
                <w:bCs/>
                <w:color w:val="000000"/>
                <w:sz w:val="20"/>
              </w:rPr>
            </w:pPr>
            <w:r w:rsidRPr="008952D8">
              <w:rPr>
                <w:rFonts w:cs="Arial"/>
                <w:b/>
                <w:bCs/>
                <w:color w:val="000000"/>
                <w:sz w:val="20"/>
              </w:rPr>
              <w:t>TOTAL</w:t>
            </w:r>
          </w:p>
        </w:tc>
      </w:tr>
      <w:tr w:rsidR="0029158C" w:rsidRPr="008952D8" w:rsidTr="00F408DD">
        <w:trPr>
          <w:trHeight w:val="681"/>
        </w:trPr>
        <w:tc>
          <w:tcPr>
            <w:tcW w:w="2053" w:type="pct"/>
            <w:tcBorders>
              <w:top w:val="nil"/>
              <w:left w:val="single" w:sz="4" w:space="0" w:color="auto"/>
              <w:bottom w:val="single" w:sz="4" w:space="0" w:color="auto"/>
              <w:right w:val="single" w:sz="4" w:space="0" w:color="auto"/>
            </w:tcBorders>
            <w:shd w:val="clear" w:color="auto" w:fill="auto"/>
            <w:vAlign w:val="center"/>
            <w:hideMark/>
          </w:tcPr>
          <w:p w:rsidR="0029158C" w:rsidRPr="008952D8" w:rsidRDefault="0029158C" w:rsidP="008B5ABD">
            <w:pPr>
              <w:spacing w:line="240" w:lineRule="auto"/>
              <w:rPr>
                <w:rFonts w:cs="Arial"/>
                <w:b/>
                <w:bCs/>
                <w:color w:val="000000"/>
                <w:sz w:val="20"/>
              </w:rPr>
            </w:pPr>
            <w:r w:rsidRPr="008952D8">
              <w:rPr>
                <w:rFonts w:cs="Arial"/>
                <w:b/>
                <w:bCs/>
                <w:color w:val="000000"/>
                <w:sz w:val="20"/>
              </w:rPr>
              <w:t>APA Piracicaba/Juqueri-Mirim (Área II)</w:t>
            </w:r>
          </w:p>
        </w:tc>
        <w:tc>
          <w:tcPr>
            <w:tcW w:w="689" w:type="pct"/>
            <w:tcBorders>
              <w:top w:val="nil"/>
              <w:left w:val="nil"/>
              <w:bottom w:val="single" w:sz="4" w:space="0" w:color="auto"/>
              <w:right w:val="single" w:sz="4" w:space="0" w:color="auto"/>
            </w:tcBorders>
            <w:shd w:val="clear" w:color="auto" w:fill="auto"/>
            <w:vAlign w:val="center"/>
            <w:hideMark/>
          </w:tcPr>
          <w:p w:rsidR="0029158C" w:rsidRPr="008952D8" w:rsidRDefault="0029158C" w:rsidP="008B5ABD">
            <w:pPr>
              <w:spacing w:line="240" w:lineRule="auto"/>
              <w:jc w:val="center"/>
              <w:rPr>
                <w:rFonts w:cs="Arial"/>
                <w:color w:val="000000"/>
                <w:sz w:val="20"/>
              </w:rPr>
            </w:pPr>
            <w:r w:rsidRPr="008952D8">
              <w:rPr>
                <w:rFonts w:cs="Arial"/>
                <w:color w:val="000000"/>
                <w:sz w:val="20"/>
              </w:rPr>
              <w:t>287.000**</w:t>
            </w:r>
          </w:p>
        </w:tc>
        <w:tc>
          <w:tcPr>
            <w:tcW w:w="853" w:type="pct"/>
            <w:tcBorders>
              <w:top w:val="nil"/>
              <w:left w:val="nil"/>
              <w:bottom w:val="single" w:sz="4" w:space="0" w:color="auto"/>
              <w:right w:val="single" w:sz="4" w:space="0" w:color="auto"/>
            </w:tcBorders>
            <w:shd w:val="clear" w:color="auto" w:fill="auto"/>
            <w:vAlign w:val="center"/>
            <w:hideMark/>
          </w:tcPr>
          <w:p w:rsidR="0029158C" w:rsidRPr="008952D8" w:rsidRDefault="00617984" w:rsidP="00617984">
            <w:pPr>
              <w:spacing w:line="240" w:lineRule="auto"/>
              <w:jc w:val="center"/>
              <w:rPr>
                <w:rFonts w:cs="Arial"/>
                <w:color w:val="000000"/>
                <w:sz w:val="20"/>
              </w:rPr>
            </w:pPr>
            <w:r w:rsidRPr="008952D8">
              <w:rPr>
                <w:rFonts w:cs="Arial"/>
                <w:color w:val="000000"/>
                <w:sz w:val="20"/>
              </w:rPr>
              <w:t>48</w:t>
            </w:r>
            <w:r>
              <w:rPr>
                <w:rFonts w:cs="Arial"/>
                <w:color w:val="000000"/>
                <w:sz w:val="20"/>
              </w:rPr>
              <w:t>6</w:t>
            </w:r>
          </w:p>
        </w:tc>
        <w:tc>
          <w:tcPr>
            <w:tcW w:w="853" w:type="pct"/>
            <w:tcBorders>
              <w:top w:val="nil"/>
              <w:left w:val="nil"/>
              <w:bottom w:val="single" w:sz="4" w:space="0" w:color="auto"/>
              <w:right w:val="single" w:sz="4" w:space="0" w:color="auto"/>
            </w:tcBorders>
            <w:shd w:val="clear" w:color="auto" w:fill="auto"/>
            <w:vAlign w:val="center"/>
            <w:hideMark/>
          </w:tcPr>
          <w:p w:rsidR="0029158C" w:rsidRPr="00F77D03" w:rsidRDefault="00617984" w:rsidP="008B5ABD">
            <w:pPr>
              <w:spacing w:line="240" w:lineRule="auto"/>
              <w:jc w:val="center"/>
              <w:rPr>
                <w:rFonts w:cs="Arial"/>
                <w:sz w:val="20"/>
              </w:rPr>
            </w:pPr>
            <w:r>
              <w:rPr>
                <w:rFonts w:cs="Arial"/>
                <w:sz w:val="20"/>
              </w:rPr>
              <w:t>422</w:t>
            </w:r>
          </w:p>
        </w:tc>
        <w:tc>
          <w:tcPr>
            <w:tcW w:w="552" w:type="pct"/>
            <w:tcBorders>
              <w:top w:val="nil"/>
              <w:left w:val="nil"/>
              <w:bottom w:val="single" w:sz="4" w:space="0" w:color="auto"/>
              <w:right w:val="single" w:sz="4" w:space="0" w:color="auto"/>
            </w:tcBorders>
            <w:shd w:val="clear" w:color="auto" w:fill="F2F2F2"/>
            <w:vAlign w:val="center"/>
            <w:hideMark/>
          </w:tcPr>
          <w:p w:rsidR="0029158C" w:rsidRPr="008952D8" w:rsidRDefault="00617984" w:rsidP="008B5ABD">
            <w:pPr>
              <w:spacing w:line="240" w:lineRule="auto"/>
              <w:jc w:val="center"/>
              <w:rPr>
                <w:rFonts w:cs="Arial"/>
                <w:sz w:val="20"/>
              </w:rPr>
            </w:pPr>
            <w:r>
              <w:rPr>
                <w:rFonts w:cs="Arial"/>
                <w:sz w:val="20"/>
              </w:rPr>
              <w:t>908</w:t>
            </w:r>
          </w:p>
        </w:tc>
      </w:tr>
    </w:tbl>
    <w:p w:rsidR="0029158C" w:rsidRPr="000F69FA" w:rsidRDefault="0029158C" w:rsidP="000F69FA">
      <w:pPr>
        <w:tabs>
          <w:tab w:val="left" w:pos="426"/>
        </w:tabs>
        <w:spacing w:line="240" w:lineRule="auto"/>
        <w:rPr>
          <w:sz w:val="20"/>
        </w:rPr>
      </w:pPr>
      <w:r w:rsidRPr="000F69FA">
        <w:rPr>
          <w:b/>
          <w:bCs/>
          <w:sz w:val="20"/>
        </w:rPr>
        <w:t>*</w:t>
      </w:r>
      <w:r w:rsidR="000F69FA">
        <w:rPr>
          <w:b/>
          <w:bCs/>
          <w:sz w:val="20"/>
        </w:rPr>
        <w:tab/>
      </w:r>
      <w:r w:rsidRPr="000F69FA">
        <w:rPr>
          <w:bCs/>
          <w:sz w:val="20"/>
        </w:rPr>
        <w:t>Lei municipal nº 10.850 de 07 de junho de 2001</w:t>
      </w:r>
    </w:p>
    <w:p w:rsidR="0029158C" w:rsidRPr="000F69FA" w:rsidRDefault="0029158C" w:rsidP="000F69FA">
      <w:pPr>
        <w:tabs>
          <w:tab w:val="left" w:pos="426"/>
        </w:tabs>
        <w:spacing w:line="240" w:lineRule="auto"/>
        <w:rPr>
          <w:sz w:val="20"/>
        </w:rPr>
      </w:pPr>
      <w:r w:rsidRPr="000F69FA">
        <w:rPr>
          <w:sz w:val="20"/>
        </w:rPr>
        <w:t>**</w:t>
      </w:r>
      <w:r w:rsidR="000F69FA">
        <w:rPr>
          <w:sz w:val="20"/>
        </w:rPr>
        <w:tab/>
      </w:r>
      <w:r w:rsidRPr="000F69FA">
        <w:rPr>
          <w:sz w:val="20"/>
        </w:rPr>
        <w:t>Fundação Florestal</w:t>
      </w:r>
    </w:p>
    <w:p w:rsidR="0029158C" w:rsidRPr="000F69FA" w:rsidRDefault="0029158C" w:rsidP="000F69FA">
      <w:pPr>
        <w:tabs>
          <w:tab w:val="left" w:pos="426"/>
        </w:tabs>
        <w:spacing w:line="240" w:lineRule="auto"/>
        <w:ind w:left="426" w:hanging="426"/>
        <w:rPr>
          <w:sz w:val="20"/>
        </w:rPr>
      </w:pPr>
      <w:r w:rsidRPr="000F69FA">
        <w:rPr>
          <w:sz w:val="20"/>
        </w:rPr>
        <w:t>¹</w:t>
      </w:r>
      <w:r w:rsidR="000F69FA">
        <w:rPr>
          <w:sz w:val="20"/>
        </w:rPr>
        <w:tab/>
      </w:r>
      <w:r w:rsidRPr="000F69FA">
        <w:rPr>
          <w:sz w:val="20"/>
        </w:rPr>
        <w:t>Faixa de proteção de 100 metros no entorno do reservatório</w:t>
      </w:r>
      <w:r w:rsidR="003B560B" w:rsidRPr="000F69FA">
        <w:rPr>
          <w:sz w:val="20"/>
        </w:rPr>
        <w:t xml:space="preserve"> (391 ha)</w:t>
      </w:r>
      <w:r w:rsidRPr="000F69FA">
        <w:rPr>
          <w:sz w:val="20"/>
        </w:rPr>
        <w:t xml:space="preserve"> mais o trecho de jusante necessário às obras</w:t>
      </w:r>
      <w:r w:rsidR="003B560B" w:rsidRPr="000F69FA">
        <w:rPr>
          <w:sz w:val="20"/>
        </w:rPr>
        <w:t xml:space="preserve"> (31 ha)</w:t>
      </w:r>
    </w:p>
    <w:p w:rsidR="00216894" w:rsidRPr="00652269" w:rsidRDefault="00216894" w:rsidP="00216894">
      <w:pPr>
        <w:pStyle w:val="Corpodetexto"/>
      </w:pPr>
      <w:r w:rsidRPr="00652269">
        <w:t xml:space="preserve">A Interferência em </w:t>
      </w:r>
      <w:r w:rsidR="001133BB">
        <w:t>Área</w:t>
      </w:r>
      <w:r>
        <w:t xml:space="preserve"> de </w:t>
      </w:r>
      <w:r w:rsidR="00FE3351">
        <w:t>Proteção Ambiental</w:t>
      </w:r>
      <w:r w:rsidR="001133BB">
        <w:t xml:space="preserve"> (APA)</w:t>
      </w:r>
      <w:r w:rsidRPr="00652269">
        <w:t xml:space="preserve"> é considerad</w:t>
      </w:r>
      <w:r>
        <w:t>a</w:t>
      </w:r>
      <w:r w:rsidRPr="00652269">
        <w:t xml:space="preserve"> um impacto negativo de magnitude pequena e importância média.</w:t>
      </w:r>
    </w:p>
    <w:p w:rsidR="008D0D70" w:rsidRPr="00EF55EF" w:rsidRDefault="008D3A12" w:rsidP="00EF55EF">
      <w:pPr>
        <w:pStyle w:val="Legenda"/>
        <w:spacing w:line="240" w:lineRule="auto"/>
        <w:jc w:val="center"/>
        <w:rPr>
          <w:rFonts w:cs="Arial"/>
          <w:b w:val="0"/>
          <w:bCs/>
          <w:i w:val="0"/>
          <w:szCs w:val="22"/>
        </w:rPr>
      </w:pPr>
      <w:bookmarkStart w:id="302" w:name="_Toc420316499"/>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56</w:t>
      </w:r>
      <w:r w:rsidR="00B80A05" w:rsidRPr="00EF55EF">
        <w:rPr>
          <w:i w:val="0"/>
        </w:rPr>
        <w:fldChar w:fldCharType="end"/>
      </w:r>
      <w:r w:rsidR="00EF55EF" w:rsidRPr="00EF55EF">
        <w:rPr>
          <w:i w:val="0"/>
        </w:rPr>
        <w:t>.</w:t>
      </w:r>
      <w:r w:rsidR="00EF55EF" w:rsidRPr="00EF55EF">
        <w:rPr>
          <w:b w:val="0"/>
          <w:i w:val="0"/>
        </w:rPr>
        <w:t xml:space="preserve"> -</w:t>
      </w:r>
      <w:r w:rsidR="00392B0D" w:rsidRPr="00EF55EF">
        <w:rPr>
          <w:rFonts w:cs="Arial"/>
          <w:b w:val="0"/>
          <w:bCs/>
          <w:i w:val="0"/>
          <w:szCs w:val="22"/>
        </w:rPr>
        <w:t xml:space="preserve"> </w:t>
      </w:r>
      <w:r w:rsidR="008D0D70" w:rsidRPr="00EF55EF">
        <w:rPr>
          <w:rFonts w:cs="Arial"/>
          <w:b w:val="0"/>
          <w:bCs/>
          <w:i w:val="0"/>
          <w:szCs w:val="22"/>
        </w:rPr>
        <w:t xml:space="preserve">Caracterização do Impacto – Interferências em Áreas </w:t>
      </w:r>
      <w:r w:rsidR="00022954" w:rsidRPr="00EF55EF">
        <w:rPr>
          <w:rFonts w:cs="Arial"/>
          <w:b w:val="0"/>
          <w:bCs/>
          <w:i w:val="0"/>
          <w:szCs w:val="22"/>
        </w:rPr>
        <w:t xml:space="preserve">de </w:t>
      </w:r>
      <w:r w:rsidR="00FE3351" w:rsidRPr="00EF55EF">
        <w:rPr>
          <w:rFonts w:cs="Arial"/>
          <w:b w:val="0"/>
          <w:bCs/>
          <w:i w:val="0"/>
          <w:szCs w:val="22"/>
        </w:rPr>
        <w:t>Proteção Ambiental (APA)</w:t>
      </w:r>
      <w:r w:rsidR="008D0D70" w:rsidRPr="00EF55EF">
        <w:rPr>
          <w:rFonts w:cs="Arial"/>
          <w:b w:val="0"/>
          <w:bCs/>
          <w:i w:val="0"/>
          <w:szCs w:val="22"/>
        </w:rPr>
        <w:t xml:space="preserve"> – Barrage</w:t>
      </w:r>
      <w:r w:rsidR="001133BB" w:rsidRPr="00EF55EF">
        <w:rPr>
          <w:rFonts w:cs="Arial"/>
          <w:b w:val="0"/>
          <w:bCs/>
          <w:i w:val="0"/>
          <w:szCs w:val="22"/>
        </w:rPr>
        <w:t>ns Pedreira e</w:t>
      </w:r>
      <w:r w:rsidR="008D0D70" w:rsidRPr="00EF55EF">
        <w:rPr>
          <w:rFonts w:cs="Arial"/>
          <w:b w:val="0"/>
          <w:bCs/>
          <w:i w:val="0"/>
          <w:szCs w:val="22"/>
        </w:rPr>
        <w:t xml:space="preserve"> Duas Pontes</w:t>
      </w:r>
      <w:bookmarkEnd w:id="302"/>
    </w:p>
    <w:tbl>
      <w:tblPr>
        <w:tblW w:w="0" w:type="auto"/>
        <w:jc w:val="center"/>
        <w:tblInd w:w="-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7"/>
        <w:gridCol w:w="972"/>
        <w:gridCol w:w="1795"/>
        <w:gridCol w:w="1417"/>
        <w:gridCol w:w="3051"/>
      </w:tblGrid>
      <w:tr w:rsidR="008D0D70" w:rsidRPr="00652269" w:rsidTr="008B5ABD">
        <w:trPr>
          <w:trHeight w:val="470"/>
          <w:jc w:val="center"/>
        </w:trPr>
        <w:tc>
          <w:tcPr>
            <w:tcW w:w="1457" w:type="dxa"/>
            <w:shd w:val="clear" w:color="auto" w:fill="D9D9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Natureza</w:t>
            </w:r>
          </w:p>
        </w:tc>
        <w:tc>
          <w:tcPr>
            <w:tcW w:w="972" w:type="dxa"/>
            <w:shd w:val="clear" w:color="auto" w:fill="D9D9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Ordem</w:t>
            </w:r>
          </w:p>
        </w:tc>
        <w:tc>
          <w:tcPr>
            <w:tcW w:w="1795" w:type="dxa"/>
            <w:shd w:val="clear" w:color="auto" w:fill="D9D9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Abrangência</w:t>
            </w:r>
          </w:p>
        </w:tc>
        <w:tc>
          <w:tcPr>
            <w:tcW w:w="1417" w:type="dxa"/>
            <w:shd w:val="clear" w:color="auto" w:fill="D9D9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Duração</w:t>
            </w:r>
          </w:p>
        </w:tc>
        <w:tc>
          <w:tcPr>
            <w:tcW w:w="3051" w:type="dxa"/>
            <w:shd w:val="clear" w:color="auto" w:fill="D9D9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Probabilidade de Ocorrência</w:t>
            </w:r>
          </w:p>
        </w:tc>
      </w:tr>
      <w:tr w:rsidR="008D0D70" w:rsidRPr="00652269" w:rsidTr="008B5ABD">
        <w:trPr>
          <w:trHeight w:val="434"/>
          <w:jc w:val="center"/>
        </w:trPr>
        <w:tc>
          <w:tcPr>
            <w:tcW w:w="1457"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Negativa</w:t>
            </w:r>
          </w:p>
        </w:tc>
        <w:tc>
          <w:tcPr>
            <w:tcW w:w="972"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Direta</w:t>
            </w:r>
          </w:p>
        </w:tc>
        <w:tc>
          <w:tcPr>
            <w:tcW w:w="1795"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Regional (AII)</w:t>
            </w:r>
          </w:p>
        </w:tc>
        <w:tc>
          <w:tcPr>
            <w:tcW w:w="1417"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Permanente</w:t>
            </w:r>
          </w:p>
        </w:tc>
        <w:tc>
          <w:tcPr>
            <w:tcW w:w="3051"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Certa</w:t>
            </w:r>
          </w:p>
        </w:tc>
      </w:tr>
    </w:tbl>
    <w:p w:rsidR="008D0D70" w:rsidRPr="00652269" w:rsidRDefault="008D0D70" w:rsidP="008D0D70">
      <w:pPr>
        <w:spacing w:line="240" w:lineRule="auto"/>
      </w:pPr>
    </w:p>
    <w:tbl>
      <w:tblPr>
        <w:tblW w:w="0" w:type="auto"/>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9"/>
        <w:gridCol w:w="1796"/>
        <w:gridCol w:w="1328"/>
        <w:gridCol w:w="1461"/>
        <w:gridCol w:w="1539"/>
      </w:tblGrid>
      <w:tr w:rsidR="008D0D70" w:rsidRPr="00652269" w:rsidTr="008B5ABD">
        <w:trPr>
          <w:trHeight w:val="587"/>
          <w:jc w:val="center"/>
        </w:trPr>
        <w:tc>
          <w:tcPr>
            <w:tcW w:w="2579" w:type="dxa"/>
            <w:shd w:val="clear" w:color="auto" w:fill="D9D9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Época de Ocorrência</w:t>
            </w:r>
          </w:p>
        </w:tc>
        <w:tc>
          <w:tcPr>
            <w:tcW w:w="1796" w:type="dxa"/>
            <w:shd w:val="clear" w:color="auto" w:fill="D9D9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Reversibilidade</w:t>
            </w:r>
          </w:p>
        </w:tc>
        <w:tc>
          <w:tcPr>
            <w:tcW w:w="1328" w:type="dxa"/>
            <w:shd w:val="clear" w:color="auto" w:fill="D9D9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Magnitude</w:t>
            </w:r>
          </w:p>
        </w:tc>
        <w:tc>
          <w:tcPr>
            <w:tcW w:w="1461" w:type="dxa"/>
            <w:shd w:val="clear" w:color="auto" w:fill="D9D9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Importância</w:t>
            </w:r>
          </w:p>
        </w:tc>
        <w:tc>
          <w:tcPr>
            <w:tcW w:w="1539" w:type="dxa"/>
            <w:shd w:val="clear" w:color="auto" w:fill="D9D9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Mitigação</w:t>
            </w:r>
          </w:p>
        </w:tc>
      </w:tr>
      <w:tr w:rsidR="008D0D70" w:rsidRPr="00652269" w:rsidTr="008B5ABD">
        <w:trPr>
          <w:trHeight w:val="412"/>
          <w:jc w:val="center"/>
        </w:trPr>
        <w:tc>
          <w:tcPr>
            <w:tcW w:w="2579"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Curto Prazo</w:t>
            </w:r>
          </w:p>
        </w:tc>
        <w:tc>
          <w:tcPr>
            <w:tcW w:w="1796"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Irreversível</w:t>
            </w:r>
          </w:p>
        </w:tc>
        <w:tc>
          <w:tcPr>
            <w:tcW w:w="1328"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Pequena</w:t>
            </w:r>
          </w:p>
        </w:tc>
        <w:tc>
          <w:tcPr>
            <w:tcW w:w="1461"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Média</w:t>
            </w:r>
          </w:p>
        </w:tc>
        <w:tc>
          <w:tcPr>
            <w:tcW w:w="1539"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Mitigável</w:t>
            </w:r>
          </w:p>
        </w:tc>
      </w:tr>
    </w:tbl>
    <w:p w:rsidR="008D0D70" w:rsidRPr="00652269" w:rsidRDefault="008D0D70" w:rsidP="008D0D70">
      <w:pPr>
        <w:widowControl w:val="0"/>
        <w:autoSpaceDE w:val="0"/>
        <w:autoSpaceDN w:val="0"/>
        <w:adjustRightInd w:val="0"/>
        <w:spacing w:before="120" w:after="120" w:line="240" w:lineRule="auto"/>
        <w:rPr>
          <w:rFonts w:eastAsia="Calibri" w:cs="Arial"/>
          <w:b/>
          <w:szCs w:val="22"/>
          <w:lang w:eastAsia="en-US"/>
        </w:rPr>
      </w:pPr>
    </w:p>
    <w:p w:rsidR="008D0D70" w:rsidRPr="00652269" w:rsidRDefault="008D0D70" w:rsidP="008D0D70">
      <w:pPr>
        <w:widowControl w:val="0"/>
        <w:autoSpaceDE w:val="0"/>
        <w:autoSpaceDN w:val="0"/>
        <w:adjustRightInd w:val="0"/>
        <w:spacing w:before="120" w:after="120" w:line="240" w:lineRule="auto"/>
        <w:rPr>
          <w:rFonts w:eastAsia="Calibri" w:cs="Arial"/>
          <w:szCs w:val="22"/>
          <w:lang w:eastAsia="en-US"/>
        </w:rPr>
      </w:pPr>
      <w:r w:rsidRPr="00652269">
        <w:rPr>
          <w:rFonts w:eastAsia="Calibri" w:cs="Arial"/>
          <w:b/>
          <w:szCs w:val="22"/>
          <w:lang w:eastAsia="en-US"/>
        </w:rPr>
        <w:t xml:space="preserve">Ações Ambientais Propostas: </w:t>
      </w:r>
    </w:p>
    <w:p w:rsidR="008D0D70" w:rsidRPr="00652269" w:rsidRDefault="008D0D70" w:rsidP="008D0D70">
      <w:pPr>
        <w:widowControl w:val="0"/>
        <w:autoSpaceDE w:val="0"/>
        <w:autoSpaceDN w:val="0"/>
        <w:adjustRightInd w:val="0"/>
        <w:spacing w:before="120" w:after="120" w:line="240" w:lineRule="auto"/>
        <w:rPr>
          <w:rFonts w:eastAsia="Calibri" w:cs="Arial"/>
          <w:szCs w:val="22"/>
          <w:lang w:eastAsia="en-US"/>
        </w:rPr>
      </w:pPr>
      <w:r w:rsidRPr="00652269">
        <w:rPr>
          <w:rFonts w:eastAsia="Calibri" w:cs="Arial"/>
          <w:szCs w:val="22"/>
          <w:lang w:eastAsia="en-US"/>
        </w:rPr>
        <w:t>Medidas mitigadoras a este impacto deverão constar do Programa de Recuperação de APP e de Compensação Ambiental de Supressão de Vegetação. O Programa de Educação Ambiental deverá também informar a população sobre a conformidade legal dos aspectos socioambientais do empreendimento e a relevância e características das unidades de conservação atingidas. Ressalta-se que todas as atividades, planos e programas decorrentes e propostos para as Barragens Pedreira e Duas Pontes devem estar em consonância com as diretrizes municipais de uso do solo e do zoneamento das APAs conforme plano de manejo, caso existente.</w:t>
      </w:r>
    </w:p>
    <w:p w:rsidR="008D0D70" w:rsidRPr="00AC42F4" w:rsidRDefault="008D0D70" w:rsidP="00431A97">
      <w:pPr>
        <w:numPr>
          <w:ilvl w:val="0"/>
          <w:numId w:val="63"/>
        </w:numPr>
        <w:spacing w:before="120" w:after="120" w:line="240" w:lineRule="auto"/>
        <w:ind w:left="567" w:hanging="567"/>
        <w:rPr>
          <w:rFonts w:cs="Arial"/>
          <w:b/>
          <w:szCs w:val="22"/>
        </w:rPr>
      </w:pPr>
      <w:r>
        <w:rPr>
          <w:rFonts w:cs="Arial"/>
          <w:b/>
          <w:szCs w:val="22"/>
        </w:rPr>
        <w:t xml:space="preserve"> </w:t>
      </w:r>
      <w:r w:rsidRPr="00AC42F4">
        <w:rPr>
          <w:rFonts w:cs="Arial"/>
          <w:b/>
          <w:szCs w:val="22"/>
        </w:rPr>
        <w:t>Interferência com Áreas de Preservação Permanente – APPs</w:t>
      </w:r>
    </w:p>
    <w:p w:rsidR="001133BB" w:rsidRPr="001133BB" w:rsidRDefault="001133BB" w:rsidP="00B1151E">
      <w:pPr>
        <w:spacing w:before="120" w:after="120" w:line="240" w:lineRule="auto"/>
        <w:rPr>
          <w:b/>
        </w:rPr>
      </w:pPr>
      <w:r w:rsidRPr="001133BB">
        <w:rPr>
          <w:b/>
        </w:rPr>
        <w:t>Fase: Implantação</w:t>
      </w:r>
    </w:p>
    <w:p w:rsidR="00B1151E" w:rsidRPr="00652269" w:rsidRDefault="00B1151E" w:rsidP="00B1151E">
      <w:pPr>
        <w:spacing w:before="120" w:after="120" w:line="240" w:lineRule="auto"/>
      </w:pPr>
      <w:r w:rsidRPr="00652269">
        <w:t>Na Área Diretamente Afetada (ADA) das barragens Pedreira e Duas Pontes foram delimitadas as APPs de faixas marginais de curso d’água natural, de entorno de reservatórios d’água artificiais e de áreas de entorno de nascentes e olhos d’água, conforme os critérios preconizados no Artigo 4o da Lei Federal n</w:t>
      </w:r>
      <w:r w:rsidRPr="00392B0D">
        <w:rPr>
          <w:u w:val="single"/>
          <w:vertAlign w:val="superscript"/>
        </w:rPr>
        <w:t>o</w:t>
      </w:r>
      <w:r w:rsidRPr="00652269">
        <w:t xml:space="preserve"> 12.651/2012.</w:t>
      </w:r>
    </w:p>
    <w:p w:rsidR="00B1151E" w:rsidRPr="00652269" w:rsidRDefault="00B1151E" w:rsidP="00B1151E">
      <w:pPr>
        <w:spacing w:before="120" w:after="120" w:line="240" w:lineRule="auto"/>
        <w:rPr>
          <w:rFonts w:cs="Arial"/>
        </w:rPr>
      </w:pPr>
      <w:r w:rsidRPr="00652269">
        <w:rPr>
          <w:rFonts w:cs="Arial"/>
        </w:rPr>
        <w:t xml:space="preserve">As Áreas de Preservação Permanente que sofrerão interferência dos futuros reservatórios das Barragens Pedreira e </w:t>
      </w:r>
      <w:r w:rsidRPr="00652269">
        <w:t>Duas Pontes</w:t>
      </w:r>
      <w:r w:rsidRPr="00652269">
        <w:rPr>
          <w:rFonts w:cs="Arial"/>
        </w:rPr>
        <w:t xml:space="preserve"> consistem nas faixas de preservação ao longo dos cursos d’água e nascentes, apresentando variações de 30m e 50m para os cursos d’água e 50m no caso das nascentes.</w:t>
      </w:r>
    </w:p>
    <w:p w:rsidR="00B1151E" w:rsidRDefault="00B1151E" w:rsidP="00B1151E">
      <w:pPr>
        <w:spacing w:before="120" w:after="120" w:line="240" w:lineRule="auto"/>
      </w:pPr>
      <w:r w:rsidRPr="00652269">
        <w:t xml:space="preserve">O mapeamento das APPs </w:t>
      </w:r>
      <w:r>
        <w:t>a serem alagadas</w:t>
      </w:r>
      <w:r w:rsidRPr="00652269">
        <w:t xml:space="preserve"> </w:t>
      </w:r>
      <w:r w:rsidRPr="008E118A">
        <w:t>(</w:t>
      </w:r>
      <w:r w:rsidRPr="008E118A">
        <w:rPr>
          <w:rFonts w:cs="Arial"/>
          <w:szCs w:val="22"/>
        </w:rPr>
        <w:t xml:space="preserve">Desenhos </w:t>
      </w:r>
      <w:r w:rsidR="00392B0D" w:rsidRPr="008E118A">
        <w:t>n</w:t>
      </w:r>
      <w:r w:rsidR="00392B0D" w:rsidRPr="008E118A">
        <w:rPr>
          <w:u w:val="single"/>
          <w:vertAlign w:val="superscript"/>
        </w:rPr>
        <w:t>o</w:t>
      </w:r>
      <w:r w:rsidR="008D3A12" w:rsidRPr="008E118A">
        <w:rPr>
          <w:u w:val="single"/>
          <w:vertAlign w:val="superscript"/>
        </w:rPr>
        <w:t>s</w:t>
      </w:r>
      <w:r w:rsidR="00392B0D" w:rsidRPr="008E118A">
        <w:rPr>
          <w:rFonts w:cs="Arial"/>
          <w:szCs w:val="22"/>
        </w:rPr>
        <w:t xml:space="preserve"> </w:t>
      </w:r>
      <w:r w:rsidRPr="008E118A">
        <w:rPr>
          <w:rFonts w:cs="Arial"/>
          <w:szCs w:val="22"/>
        </w:rPr>
        <w:t>7188-43-GL-830-DE-00287 e 7188-43-GL-830-DE-00288</w:t>
      </w:r>
      <w:r w:rsidR="006E430C">
        <w:rPr>
          <w:rFonts w:cs="Arial"/>
          <w:szCs w:val="22"/>
        </w:rPr>
        <w:t xml:space="preserve"> </w:t>
      </w:r>
      <w:r w:rsidR="006E430C">
        <w:rPr>
          <w:szCs w:val="22"/>
        </w:rPr>
        <w:t>apresentado no Volume III, Tomo 2</w:t>
      </w:r>
      <w:r w:rsidRPr="008E118A">
        <w:rPr>
          <w:rFonts w:cs="Arial"/>
          <w:szCs w:val="22"/>
        </w:rPr>
        <w:t xml:space="preserve">) </w:t>
      </w:r>
      <w:r w:rsidRPr="008E118A">
        <w:t>mostra que a</w:t>
      </w:r>
      <w:r w:rsidRPr="00652269">
        <w:t xml:space="preserve">pesar da importância dos remanescentes florestais existentes nas margens dos cursos d’água, os usos antrópicos, especialmente as áreas </w:t>
      </w:r>
      <w:r>
        <w:t>de pastagens</w:t>
      </w:r>
      <w:r w:rsidRPr="00652269">
        <w:t xml:space="preserve"> ocupam porções relevantes </w:t>
      </w:r>
      <w:r>
        <w:t xml:space="preserve">das </w:t>
      </w:r>
      <w:r w:rsidRPr="00652269">
        <w:t>APP</w:t>
      </w:r>
      <w:r>
        <w:t>s</w:t>
      </w:r>
      <w:r w:rsidRPr="00652269">
        <w:t xml:space="preserve">, revelando o atual estado de degradação desses ambientes na região do entorno dos reservatórios </w:t>
      </w:r>
      <w:r w:rsidR="008C15C3">
        <w:t xml:space="preserve">das Barragens </w:t>
      </w:r>
      <w:r w:rsidRPr="00652269">
        <w:t xml:space="preserve">Pedreira e Duas </w:t>
      </w:r>
      <w:r w:rsidRPr="00EF55EF">
        <w:t xml:space="preserve">Pontes (Quadro </w:t>
      </w:r>
      <w:r w:rsidR="00D130EB" w:rsidRPr="00EF55EF">
        <w:t>1.3.</w:t>
      </w:r>
      <w:r w:rsidR="00392B0D" w:rsidRPr="00EF55EF">
        <w:t>56</w:t>
      </w:r>
      <w:r w:rsidRPr="00EF55EF">
        <w:t>).</w:t>
      </w:r>
    </w:p>
    <w:p w:rsidR="003007B3" w:rsidRPr="00EF55EF" w:rsidRDefault="008D3A12" w:rsidP="00EF55EF">
      <w:pPr>
        <w:pStyle w:val="Legenda"/>
        <w:jc w:val="center"/>
        <w:rPr>
          <w:rFonts w:cs="Arial"/>
          <w:b w:val="0"/>
          <w:i w:val="0"/>
        </w:rPr>
      </w:pPr>
      <w:bookmarkStart w:id="303" w:name="_Toc420316500"/>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57</w:t>
      </w:r>
      <w:r w:rsidR="00B80A05" w:rsidRPr="00EF55EF">
        <w:rPr>
          <w:i w:val="0"/>
        </w:rPr>
        <w:fldChar w:fldCharType="end"/>
      </w:r>
      <w:r w:rsidR="00EF55EF" w:rsidRPr="00EF55EF">
        <w:rPr>
          <w:i w:val="0"/>
        </w:rPr>
        <w:t>.</w:t>
      </w:r>
      <w:r w:rsidR="00EF55EF" w:rsidRPr="00EF55EF">
        <w:rPr>
          <w:b w:val="0"/>
          <w:i w:val="0"/>
        </w:rPr>
        <w:t xml:space="preserve"> - </w:t>
      </w:r>
      <w:r w:rsidR="003007B3" w:rsidRPr="00EF55EF">
        <w:rPr>
          <w:rFonts w:cs="Arial"/>
          <w:b w:val="0"/>
          <w:i w:val="0"/>
        </w:rPr>
        <w:t>Caracterização dos principais usos nas APPs atuais a serem alagadas</w:t>
      </w:r>
      <w:bookmarkEnd w:id="303"/>
      <w:r w:rsidR="003007B3" w:rsidRPr="00EF55EF">
        <w:rPr>
          <w:rFonts w:cs="Arial"/>
          <w:b w:val="0"/>
          <w:i w:val="0"/>
        </w:rPr>
        <w:t xml:space="preserve"> </w:t>
      </w:r>
    </w:p>
    <w:tbl>
      <w:tblPr>
        <w:tblW w:w="9335" w:type="dxa"/>
        <w:tblInd w:w="55" w:type="dxa"/>
        <w:tblLayout w:type="fixed"/>
        <w:tblCellMar>
          <w:left w:w="70" w:type="dxa"/>
          <w:right w:w="70" w:type="dxa"/>
        </w:tblCellMar>
        <w:tblLook w:val="04A0" w:firstRow="1" w:lastRow="0" w:firstColumn="1" w:lastColumn="0" w:noHBand="0" w:noVBand="1"/>
      </w:tblPr>
      <w:tblGrid>
        <w:gridCol w:w="2283"/>
        <w:gridCol w:w="993"/>
        <w:gridCol w:w="1275"/>
        <w:gridCol w:w="1276"/>
        <w:gridCol w:w="1843"/>
        <w:gridCol w:w="1665"/>
      </w:tblGrid>
      <w:tr w:rsidR="003007B3" w:rsidRPr="00652269" w:rsidTr="00EF55EF">
        <w:trPr>
          <w:trHeight w:val="441"/>
        </w:trPr>
        <w:tc>
          <w:tcPr>
            <w:tcW w:w="2283"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3007B3" w:rsidRPr="00F408DD" w:rsidRDefault="003007B3" w:rsidP="008B5ABD">
            <w:pPr>
              <w:spacing w:line="240" w:lineRule="auto"/>
              <w:jc w:val="center"/>
              <w:rPr>
                <w:rFonts w:cs="Arial"/>
                <w:b/>
                <w:bCs/>
                <w:sz w:val="20"/>
              </w:rPr>
            </w:pPr>
            <w:r w:rsidRPr="00F408DD">
              <w:rPr>
                <w:rFonts w:cs="Arial"/>
                <w:b/>
                <w:bCs/>
                <w:sz w:val="20"/>
              </w:rPr>
              <w:t>Barragens</w:t>
            </w:r>
          </w:p>
        </w:tc>
        <w:tc>
          <w:tcPr>
            <w:tcW w:w="993"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3007B3" w:rsidRPr="00F408DD" w:rsidRDefault="003007B3" w:rsidP="008B5ABD">
            <w:pPr>
              <w:spacing w:line="240" w:lineRule="auto"/>
              <w:jc w:val="center"/>
              <w:rPr>
                <w:rFonts w:cs="Arial"/>
                <w:b/>
                <w:bCs/>
                <w:sz w:val="20"/>
              </w:rPr>
            </w:pPr>
            <w:r w:rsidRPr="00F408DD">
              <w:rPr>
                <w:rFonts w:cs="Arial"/>
                <w:b/>
                <w:bCs/>
                <w:sz w:val="20"/>
              </w:rPr>
              <w:t>APP Alagada (ha)</w:t>
            </w:r>
          </w:p>
        </w:tc>
        <w:tc>
          <w:tcPr>
            <w:tcW w:w="6059" w:type="dxa"/>
            <w:gridSpan w:val="4"/>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3007B3" w:rsidRPr="00F408DD" w:rsidRDefault="003007B3" w:rsidP="008B5ABD">
            <w:pPr>
              <w:spacing w:line="240" w:lineRule="auto"/>
              <w:jc w:val="center"/>
              <w:rPr>
                <w:rFonts w:cs="Arial"/>
                <w:b/>
                <w:sz w:val="20"/>
              </w:rPr>
            </w:pPr>
            <w:r w:rsidRPr="00F408DD">
              <w:rPr>
                <w:rFonts w:cs="Arial"/>
                <w:b/>
                <w:sz w:val="20"/>
              </w:rPr>
              <w:t>Classes de usos nas APPs perdidas (ha)</w:t>
            </w:r>
          </w:p>
        </w:tc>
      </w:tr>
      <w:tr w:rsidR="003007B3" w:rsidRPr="00652269" w:rsidTr="00EF55EF">
        <w:trPr>
          <w:trHeight w:val="703"/>
        </w:trPr>
        <w:tc>
          <w:tcPr>
            <w:tcW w:w="2283" w:type="dxa"/>
            <w:vMerge/>
            <w:tcBorders>
              <w:left w:val="single" w:sz="4" w:space="0" w:color="auto"/>
              <w:bottom w:val="single" w:sz="4" w:space="0" w:color="auto"/>
              <w:right w:val="single" w:sz="4" w:space="0" w:color="auto"/>
            </w:tcBorders>
            <w:shd w:val="clear" w:color="auto" w:fill="D9D9D9" w:themeFill="background1" w:themeFillShade="D9"/>
            <w:vAlign w:val="center"/>
            <w:hideMark/>
          </w:tcPr>
          <w:p w:rsidR="003007B3" w:rsidRPr="00F408DD" w:rsidRDefault="003007B3" w:rsidP="008B5ABD">
            <w:pPr>
              <w:spacing w:line="240" w:lineRule="auto"/>
              <w:jc w:val="center"/>
              <w:rPr>
                <w:rFonts w:cs="Arial"/>
                <w:b/>
                <w:bCs/>
                <w:sz w:val="20"/>
              </w:rPr>
            </w:pPr>
          </w:p>
        </w:tc>
        <w:tc>
          <w:tcPr>
            <w:tcW w:w="993" w:type="dxa"/>
            <w:vMerge/>
            <w:tcBorders>
              <w:left w:val="single" w:sz="4" w:space="0" w:color="auto"/>
              <w:bottom w:val="single" w:sz="4" w:space="0" w:color="auto"/>
              <w:right w:val="single" w:sz="4" w:space="0" w:color="auto"/>
            </w:tcBorders>
            <w:shd w:val="clear" w:color="auto" w:fill="D9D9D9" w:themeFill="background1" w:themeFillShade="D9"/>
            <w:vAlign w:val="center"/>
            <w:hideMark/>
          </w:tcPr>
          <w:p w:rsidR="003007B3" w:rsidRPr="00F408DD" w:rsidRDefault="003007B3" w:rsidP="008B5ABD">
            <w:pPr>
              <w:spacing w:line="240" w:lineRule="auto"/>
              <w:jc w:val="center"/>
              <w:rPr>
                <w:rFonts w:cs="Arial"/>
                <w:b/>
                <w:bCs/>
                <w:sz w:val="20"/>
              </w:rPr>
            </w:pPr>
          </w:p>
        </w:tc>
        <w:tc>
          <w:tcPr>
            <w:tcW w:w="1275" w:type="dxa"/>
            <w:tcBorders>
              <w:top w:val="nil"/>
              <w:left w:val="nil"/>
              <w:bottom w:val="single" w:sz="4" w:space="0" w:color="auto"/>
              <w:right w:val="single" w:sz="4" w:space="0" w:color="auto"/>
            </w:tcBorders>
            <w:shd w:val="clear" w:color="auto" w:fill="D9D9D9" w:themeFill="background1" w:themeFillShade="D9"/>
            <w:vAlign w:val="center"/>
            <w:hideMark/>
          </w:tcPr>
          <w:p w:rsidR="003007B3" w:rsidRPr="00F408DD" w:rsidRDefault="003007B3" w:rsidP="008B5ABD">
            <w:pPr>
              <w:spacing w:line="240" w:lineRule="auto"/>
              <w:jc w:val="center"/>
              <w:rPr>
                <w:rFonts w:cs="Arial"/>
                <w:b/>
                <w:bCs/>
                <w:sz w:val="20"/>
              </w:rPr>
            </w:pPr>
            <w:r w:rsidRPr="00F408DD">
              <w:rPr>
                <w:rFonts w:cs="Arial"/>
                <w:b/>
                <w:bCs/>
                <w:sz w:val="20"/>
              </w:rPr>
              <w:t>Floresta Estacional</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rsidR="003007B3" w:rsidRPr="00F408DD" w:rsidRDefault="003007B3" w:rsidP="008B5ABD">
            <w:pPr>
              <w:spacing w:line="240" w:lineRule="auto"/>
              <w:jc w:val="center"/>
              <w:rPr>
                <w:rFonts w:cs="Arial"/>
                <w:b/>
                <w:bCs/>
                <w:sz w:val="20"/>
              </w:rPr>
            </w:pPr>
            <w:r w:rsidRPr="00F408DD">
              <w:rPr>
                <w:rFonts w:cs="Arial"/>
                <w:b/>
                <w:bCs/>
                <w:sz w:val="20"/>
              </w:rPr>
              <w:t>Pastagens e Cultivos</w:t>
            </w:r>
          </w:p>
        </w:tc>
        <w:tc>
          <w:tcPr>
            <w:tcW w:w="1843" w:type="dxa"/>
            <w:tcBorders>
              <w:top w:val="nil"/>
              <w:left w:val="nil"/>
              <w:bottom w:val="single" w:sz="4" w:space="0" w:color="auto"/>
              <w:right w:val="single" w:sz="4" w:space="0" w:color="auto"/>
            </w:tcBorders>
            <w:shd w:val="clear" w:color="auto" w:fill="D9D9D9" w:themeFill="background1" w:themeFillShade="D9"/>
            <w:vAlign w:val="center"/>
            <w:hideMark/>
          </w:tcPr>
          <w:p w:rsidR="003007B3" w:rsidRPr="00F408DD" w:rsidRDefault="003007B3" w:rsidP="008B5ABD">
            <w:pPr>
              <w:spacing w:line="240" w:lineRule="auto"/>
              <w:jc w:val="center"/>
              <w:rPr>
                <w:rFonts w:cs="Arial"/>
                <w:b/>
                <w:bCs/>
                <w:sz w:val="20"/>
              </w:rPr>
            </w:pPr>
            <w:r w:rsidRPr="00F408DD">
              <w:rPr>
                <w:rFonts w:cs="Arial"/>
                <w:b/>
                <w:bCs/>
                <w:sz w:val="20"/>
              </w:rPr>
              <w:t>Reflorestamento</w:t>
            </w:r>
          </w:p>
        </w:tc>
        <w:tc>
          <w:tcPr>
            <w:tcW w:w="1665" w:type="dxa"/>
            <w:tcBorders>
              <w:top w:val="nil"/>
              <w:left w:val="nil"/>
              <w:bottom w:val="single" w:sz="4" w:space="0" w:color="auto"/>
              <w:right w:val="single" w:sz="4" w:space="0" w:color="auto"/>
            </w:tcBorders>
            <w:shd w:val="clear" w:color="auto" w:fill="D9D9D9" w:themeFill="background1" w:themeFillShade="D9"/>
            <w:vAlign w:val="center"/>
            <w:hideMark/>
          </w:tcPr>
          <w:p w:rsidR="003007B3" w:rsidRPr="00F408DD" w:rsidRDefault="003007B3" w:rsidP="008B5ABD">
            <w:pPr>
              <w:spacing w:line="240" w:lineRule="auto"/>
              <w:jc w:val="center"/>
              <w:rPr>
                <w:rFonts w:cs="Arial"/>
                <w:b/>
                <w:bCs/>
                <w:sz w:val="20"/>
              </w:rPr>
            </w:pPr>
            <w:r w:rsidRPr="00F408DD">
              <w:rPr>
                <w:rFonts w:cs="Arial"/>
                <w:b/>
                <w:bCs/>
                <w:sz w:val="20"/>
              </w:rPr>
              <w:t>Edificações e Áreas Antropizadas*</w:t>
            </w:r>
          </w:p>
        </w:tc>
      </w:tr>
      <w:tr w:rsidR="003007B3" w:rsidRPr="00652269" w:rsidTr="00F408DD">
        <w:trPr>
          <w:trHeight w:val="555"/>
        </w:trPr>
        <w:tc>
          <w:tcPr>
            <w:tcW w:w="2283" w:type="dxa"/>
            <w:tcBorders>
              <w:top w:val="nil"/>
              <w:left w:val="single" w:sz="4" w:space="0" w:color="auto"/>
              <w:bottom w:val="single" w:sz="4" w:space="0" w:color="auto"/>
              <w:right w:val="single" w:sz="4" w:space="0" w:color="auto"/>
            </w:tcBorders>
            <w:shd w:val="clear" w:color="auto" w:fill="auto"/>
            <w:vAlign w:val="center"/>
            <w:hideMark/>
          </w:tcPr>
          <w:p w:rsidR="003007B3" w:rsidRPr="00F408DD" w:rsidRDefault="003007B3" w:rsidP="00F408DD">
            <w:pPr>
              <w:spacing w:line="240" w:lineRule="auto"/>
              <w:jc w:val="left"/>
              <w:rPr>
                <w:rFonts w:cs="Arial"/>
                <w:b/>
                <w:bCs/>
                <w:sz w:val="20"/>
              </w:rPr>
            </w:pPr>
            <w:r w:rsidRPr="00F408DD">
              <w:rPr>
                <w:rFonts w:cs="Arial"/>
                <w:b/>
                <w:bCs/>
                <w:sz w:val="20"/>
              </w:rPr>
              <w:t>Reservatório Pedreira</w:t>
            </w:r>
          </w:p>
        </w:tc>
        <w:tc>
          <w:tcPr>
            <w:tcW w:w="993" w:type="dxa"/>
            <w:tcBorders>
              <w:top w:val="nil"/>
              <w:left w:val="nil"/>
              <w:bottom w:val="single" w:sz="4" w:space="0" w:color="auto"/>
              <w:right w:val="single" w:sz="4" w:space="0" w:color="auto"/>
            </w:tcBorders>
            <w:shd w:val="clear" w:color="auto" w:fill="auto"/>
            <w:vAlign w:val="center"/>
          </w:tcPr>
          <w:p w:rsidR="003007B3" w:rsidRPr="00F408DD" w:rsidRDefault="003007B3" w:rsidP="008B5ABD">
            <w:pPr>
              <w:spacing w:line="240" w:lineRule="auto"/>
              <w:jc w:val="center"/>
              <w:rPr>
                <w:rFonts w:cs="Arial"/>
                <w:sz w:val="20"/>
              </w:rPr>
            </w:pPr>
            <w:r w:rsidRPr="00F408DD">
              <w:rPr>
                <w:rFonts w:cs="Arial"/>
                <w:sz w:val="20"/>
              </w:rPr>
              <w:t>107</w:t>
            </w:r>
          </w:p>
        </w:tc>
        <w:tc>
          <w:tcPr>
            <w:tcW w:w="1275" w:type="dxa"/>
            <w:tcBorders>
              <w:top w:val="nil"/>
              <w:left w:val="nil"/>
              <w:bottom w:val="single" w:sz="4" w:space="0" w:color="auto"/>
              <w:right w:val="single" w:sz="4" w:space="0" w:color="auto"/>
            </w:tcBorders>
            <w:shd w:val="clear" w:color="auto" w:fill="auto"/>
            <w:vAlign w:val="center"/>
          </w:tcPr>
          <w:p w:rsidR="003007B3" w:rsidRPr="00F408DD" w:rsidRDefault="003007B3" w:rsidP="008B5ABD">
            <w:pPr>
              <w:spacing w:line="240" w:lineRule="auto"/>
              <w:jc w:val="center"/>
              <w:rPr>
                <w:rFonts w:cs="Arial"/>
                <w:sz w:val="20"/>
              </w:rPr>
            </w:pPr>
            <w:r w:rsidRPr="00F408DD">
              <w:rPr>
                <w:rFonts w:cs="Arial"/>
                <w:sz w:val="20"/>
              </w:rPr>
              <w:t>57</w:t>
            </w:r>
          </w:p>
        </w:tc>
        <w:tc>
          <w:tcPr>
            <w:tcW w:w="1276" w:type="dxa"/>
            <w:tcBorders>
              <w:top w:val="nil"/>
              <w:left w:val="nil"/>
              <w:bottom w:val="single" w:sz="4" w:space="0" w:color="auto"/>
              <w:right w:val="single" w:sz="4" w:space="0" w:color="auto"/>
            </w:tcBorders>
            <w:shd w:val="clear" w:color="auto" w:fill="auto"/>
            <w:vAlign w:val="center"/>
          </w:tcPr>
          <w:p w:rsidR="003007B3" w:rsidRPr="00F408DD" w:rsidRDefault="003007B3" w:rsidP="008B5ABD">
            <w:pPr>
              <w:spacing w:line="240" w:lineRule="auto"/>
              <w:jc w:val="center"/>
              <w:rPr>
                <w:rFonts w:cs="Arial"/>
                <w:sz w:val="20"/>
              </w:rPr>
            </w:pPr>
            <w:r w:rsidRPr="00F408DD">
              <w:rPr>
                <w:rFonts w:cs="Arial"/>
                <w:sz w:val="20"/>
              </w:rPr>
              <w:t>30</w:t>
            </w:r>
          </w:p>
        </w:tc>
        <w:tc>
          <w:tcPr>
            <w:tcW w:w="1843" w:type="dxa"/>
            <w:tcBorders>
              <w:top w:val="nil"/>
              <w:left w:val="nil"/>
              <w:bottom w:val="single" w:sz="4" w:space="0" w:color="auto"/>
              <w:right w:val="single" w:sz="4" w:space="0" w:color="auto"/>
            </w:tcBorders>
            <w:shd w:val="clear" w:color="auto" w:fill="auto"/>
            <w:vAlign w:val="center"/>
          </w:tcPr>
          <w:p w:rsidR="003007B3" w:rsidRPr="00F408DD" w:rsidRDefault="003007B3" w:rsidP="008B5ABD">
            <w:pPr>
              <w:spacing w:line="240" w:lineRule="auto"/>
              <w:jc w:val="center"/>
              <w:rPr>
                <w:rFonts w:cs="Arial"/>
                <w:sz w:val="20"/>
              </w:rPr>
            </w:pPr>
            <w:r w:rsidRPr="00F408DD">
              <w:rPr>
                <w:rFonts w:cs="Arial"/>
                <w:sz w:val="20"/>
              </w:rPr>
              <w:t>2,5</w:t>
            </w:r>
          </w:p>
        </w:tc>
        <w:tc>
          <w:tcPr>
            <w:tcW w:w="1665" w:type="dxa"/>
            <w:tcBorders>
              <w:top w:val="nil"/>
              <w:left w:val="nil"/>
              <w:bottom w:val="single" w:sz="4" w:space="0" w:color="auto"/>
              <w:right w:val="single" w:sz="4" w:space="0" w:color="auto"/>
            </w:tcBorders>
            <w:shd w:val="clear" w:color="auto" w:fill="auto"/>
            <w:vAlign w:val="center"/>
          </w:tcPr>
          <w:p w:rsidR="003007B3" w:rsidRPr="00F408DD" w:rsidRDefault="003007B3" w:rsidP="008B5ABD">
            <w:pPr>
              <w:spacing w:line="240" w:lineRule="auto"/>
              <w:jc w:val="center"/>
              <w:rPr>
                <w:rFonts w:cs="Arial"/>
                <w:sz w:val="20"/>
              </w:rPr>
            </w:pPr>
            <w:r w:rsidRPr="00F408DD">
              <w:rPr>
                <w:rFonts w:cs="Arial"/>
                <w:sz w:val="20"/>
              </w:rPr>
              <w:t>17</w:t>
            </w:r>
          </w:p>
        </w:tc>
      </w:tr>
      <w:tr w:rsidR="003007B3" w:rsidRPr="00652269" w:rsidTr="00F408DD">
        <w:trPr>
          <w:trHeight w:val="561"/>
        </w:trPr>
        <w:tc>
          <w:tcPr>
            <w:tcW w:w="2283" w:type="dxa"/>
            <w:tcBorders>
              <w:top w:val="nil"/>
              <w:left w:val="single" w:sz="4" w:space="0" w:color="auto"/>
              <w:bottom w:val="single" w:sz="4" w:space="0" w:color="auto"/>
              <w:right w:val="single" w:sz="4" w:space="0" w:color="auto"/>
            </w:tcBorders>
            <w:shd w:val="clear" w:color="auto" w:fill="auto"/>
            <w:vAlign w:val="center"/>
            <w:hideMark/>
          </w:tcPr>
          <w:p w:rsidR="003007B3" w:rsidRPr="00F408DD" w:rsidRDefault="003007B3" w:rsidP="00F408DD">
            <w:pPr>
              <w:spacing w:line="240" w:lineRule="auto"/>
              <w:jc w:val="left"/>
              <w:rPr>
                <w:rFonts w:cs="Arial"/>
                <w:b/>
                <w:bCs/>
                <w:sz w:val="20"/>
              </w:rPr>
            </w:pPr>
            <w:r w:rsidRPr="00F408DD">
              <w:rPr>
                <w:rFonts w:cs="Arial"/>
                <w:b/>
                <w:bCs/>
                <w:sz w:val="20"/>
              </w:rPr>
              <w:t>Reservatório Duas Pontes</w:t>
            </w:r>
          </w:p>
        </w:tc>
        <w:tc>
          <w:tcPr>
            <w:tcW w:w="993" w:type="dxa"/>
            <w:tcBorders>
              <w:top w:val="nil"/>
              <w:left w:val="nil"/>
              <w:bottom w:val="single" w:sz="4" w:space="0" w:color="auto"/>
              <w:right w:val="single" w:sz="4" w:space="0" w:color="auto"/>
            </w:tcBorders>
            <w:shd w:val="clear" w:color="auto" w:fill="auto"/>
            <w:vAlign w:val="center"/>
          </w:tcPr>
          <w:p w:rsidR="003007B3" w:rsidRPr="00F408DD" w:rsidRDefault="003007B3" w:rsidP="008B5ABD">
            <w:pPr>
              <w:spacing w:line="240" w:lineRule="auto"/>
              <w:jc w:val="center"/>
              <w:rPr>
                <w:rFonts w:cs="Arial"/>
                <w:sz w:val="20"/>
              </w:rPr>
            </w:pPr>
            <w:r w:rsidRPr="00F408DD">
              <w:rPr>
                <w:rFonts w:cs="Arial"/>
                <w:sz w:val="20"/>
              </w:rPr>
              <w:t>209</w:t>
            </w:r>
          </w:p>
        </w:tc>
        <w:tc>
          <w:tcPr>
            <w:tcW w:w="1275" w:type="dxa"/>
            <w:tcBorders>
              <w:top w:val="nil"/>
              <w:left w:val="nil"/>
              <w:bottom w:val="single" w:sz="4" w:space="0" w:color="auto"/>
              <w:right w:val="single" w:sz="4" w:space="0" w:color="auto"/>
            </w:tcBorders>
            <w:shd w:val="clear" w:color="auto" w:fill="auto"/>
            <w:vAlign w:val="center"/>
          </w:tcPr>
          <w:p w:rsidR="003007B3" w:rsidRPr="00F408DD" w:rsidRDefault="003007B3" w:rsidP="008B5ABD">
            <w:pPr>
              <w:spacing w:line="240" w:lineRule="auto"/>
              <w:jc w:val="center"/>
              <w:rPr>
                <w:rFonts w:cs="Arial"/>
                <w:sz w:val="20"/>
              </w:rPr>
            </w:pPr>
            <w:r w:rsidRPr="00F408DD">
              <w:rPr>
                <w:rFonts w:cs="Arial"/>
                <w:sz w:val="20"/>
              </w:rPr>
              <w:t>61</w:t>
            </w:r>
          </w:p>
        </w:tc>
        <w:tc>
          <w:tcPr>
            <w:tcW w:w="1276" w:type="dxa"/>
            <w:tcBorders>
              <w:top w:val="nil"/>
              <w:left w:val="nil"/>
              <w:bottom w:val="single" w:sz="4" w:space="0" w:color="auto"/>
              <w:right w:val="single" w:sz="4" w:space="0" w:color="auto"/>
            </w:tcBorders>
            <w:shd w:val="clear" w:color="auto" w:fill="auto"/>
            <w:vAlign w:val="center"/>
          </w:tcPr>
          <w:p w:rsidR="003007B3" w:rsidRPr="00F408DD" w:rsidRDefault="003007B3" w:rsidP="008B5ABD">
            <w:pPr>
              <w:spacing w:line="240" w:lineRule="auto"/>
              <w:jc w:val="center"/>
              <w:rPr>
                <w:rFonts w:cs="Arial"/>
                <w:sz w:val="20"/>
              </w:rPr>
            </w:pPr>
            <w:r w:rsidRPr="00F408DD">
              <w:rPr>
                <w:rFonts w:cs="Arial"/>
                <w:sz w:val="20"/>
              </w:rPr>
              <w:t>100</w:t>
            </w:r>
          </w:p>
        </w:tc>
        <w:tc>
          <w:tcPr>
            <w:tcW w:w="1843" w:type="dxa"/>
            <w:tcBorders>
              <w:top w:val="nil"/>
              <w:left w:val="nil"/>
              <w:bottom w:val="single" w:sz="4" w:space="0" w:color="auto"/>
              <w:right w:val="single" w:sz="4" w:space="0" w:color="auto"/>
            </w:tcBorders>
            <w:shd w:val="clear" w:color="auto" w:fill="auto"/>
            <w:vAlign w:val="center"/>
          </w:tcPr>
          <w:p w:rsidR="003007B3" w:rsidRPr="00F408DD" w:rsidRDefault="003007B3" w:rsidP="008B5ABD">
            <w:pPr>
              <w:spacing w:line="240" w:lineRule="auto"/>
              <w:jc w:val="center"/>
              <w:rPr>
                <w:rFonts w:cs="Arial"/>
                <w:sz w:val="20"/>
              </w:rPr>
            </w:pPr>
            <w:r w:rsidRPr="00F408DD">
              <w:rPr>
                <w:rFonts w:cs="Arial"/>
                <w:sz w:val="20"/>
              </w:rPr>
              <w:t>5</w:t>
            </w:r>
          </w:p>
        </w:tc>
        <w:tc>
          <w:tcPr>
            <w:tcW w:w="1665" w:type="dxa"/>
            <w:tcBorders>
              <w:top w:val="nil"/>
              <w:left w:val="nil"/>
              <w:bottom w:val="single" w:sz="4" w:space="0" w:color="auto"/>
              <w:right w:val="single" w:sz="4" w:space="0" w:color="auto"/>
            </w:tcBorders>
            <w:shd w:val="clear" w:color="auto" w:fill="auto"/>
            <w:vAlign w:val="center"/>
          </w:tcPr>
          <w:p w:rsidR="003007B3" w:rsidRPr="00F408DD" w:rsidRDefault="003007B3" w:rsidP="008B5ABD">
            <w:pPr>
              <w:spacing w:line="240" w:lineRule="auto"/>
              <w:jc w:val="center"/>
              <w:rPr>
                <w:rFonts w:cs="Arial"/>
                <w:sz w:val="20"/>
              </w:rPr>
            </w:pPr>
            <w:r w:rsidRPr="00F408DD">
              <w:rPr>
                <w:rFonts w:cs="Arial"/>
                <w:sz w:val="20"/>
              </w:rPr>
              <w:t>43</w:t>
            </w:r>
          </w:p>
        </w:tc>
      </w:tr>
    </w:tbl>
    <w:p w:rsidR="008D0D70" w:rsidRPr="00EF55EF" w:rsidRDefault="003007B3" w:rsidP="00EF55EF">
      <w:pPr>
        <w:spacing w:before="120" w:after="120" w:line="240" w:lineRule="auto"/>
        <w:ind w:left="397" w:hanging="397"/>
        <w:rPr>
          <w:rFonts w:cs="Arial"/>
          <w:sz w:val="20"/>
        </w:rPr>
      </w:pPr>
      <w:r w:rsidRPr="00EF55EF">
        <w:rPr>
          <w:rFonts w:cs="Arial"/>
          <w:sz w:val="20"/>
        </w:rPr>
        <w:t>*</w:t>
      </w:r>
      <w:r w:rsidR="00EF55EF">
        <w:rPr>
          <w:rFonts w:cs="Arial"/>
          <w:sz w:val="20"/>
        </w:rPr>
        <w:tab/>
      </w:r>
      <w:r w:rsidRPr="00EF55EF">
        <w:rPr>
          <w:rFonts w:cs="Arial"/>
          <w:sz w:val="20"/>
        </w:rPr>
        <w:t>Somatória das áreas ocupada</w:t>
      </w:r>
      <w:r w:rsidR="00051AF2" w:rsidRPr="00EF55EF">
        <w:rPr>
          <w:rFonts w:cs="Arial"/>
          <w:sz w:val="20"/>
        </w:rPr>
        <w:t>s por vegetação pioneira, campo</w:t>
      </w:r>
      <w:r w:rsidRPr="00EF55EF">
        <w:rPr>
          <w:rFonts w:cs="Arial"/>
          <w:sz w:val="20"/>
        </w:rPr>
        <w:t xml:space="preserve"> úmido antropizado, edificações rurais e industriais, estradas e acessos e PCHs.</w:t>
      </w:r>
    </w:p>
    <w:p w:rsidR="008D0D70" w:rsidRPr="000F69FA" w:rsidRDefault="008D0D70" w:rsidP="000F69FA">
      <w:pPr>
        <w:pStyle w:val="Item-Trainho"/>
        <w:rPr>
          <w:b/>
        </w:rPr>
      </w:pPr>
      <w:r w:rsidRPr="000F69FA">
        <w:rPr>
          <w:b/>
        </w:rPr>
        <w:t>Barragem Pedreira</w:t>
      </w:r>
    </w:p>
    <w:p w:rsidR="008D0D70" w:rsidRDefault="008D0D70" w:rsidP="008D0D70">
      <w:pPr>
        <w:spacing w:before="120" w:after="120" w:line="240" w:lineRule="auto"/>
      </w:pPr>
      <w:r w:rsidRPr="00652269">
        <w:t>O reservatório a ser formado pela Barragem Pedreira irá intervir em aproximadamente 107 ha de áreas que atualmente correspondem à APPs, o que corresponde a quase 55% do total de APPs identificadas na ADA (196 ha) deste barramento. Verifica-se também que a classe de usos do solo mais representativa na APP a sofrer intervenção é a denominada “Floresta Estacional” (54%).</w:t>
      </w:r>
    </w:p>
    <w:p w:rsidR="00216894" w:rsidRDefault="00216894" w:rsidP="00216894">
      <w:pPr>
        <w:spacing w:before="120" w:after="120" w:line="240" w:lineRule="auto"/>
      </w:pPr>
      <w:r w:rsidRPr="00652269">
        <w:t>A Interferência</w:t>
      </w:r>
      <w:r w:rsidR="001133BB">
        <w:t xml:space="preserve"> da Barragem Pedreira</w:t>
      </w:r>
      <w:r w:rsidRPr="00652269">
        <w:t xml:space="preserve"> em </w:t>
      </w:r>
      <w:r w:rsidR="001133BB">
        <w:t>Á</w:t>
      </w:r>
      <w:r w:rsidRPr="00652269">
        <w:t xml:space="preserve">reas de </w:t>
      </w:r>
      <w:r w:rsidR="001133BB">
        <w:t>P</w:t>
      </w:r>
      <w:r w:rsidRPr="00652269">
        <w:t xml:space="preserve">reservação </w:t>
      </w:r>
      <w:r w:rsidR="001133BB">
        <w:t>P</w:t>
      </w:r>
      <w:r w:rsidRPr="00652269">
        <w:t>ermanente</w:t>
      </w:r>
      <w:r w:rsidR="001133BB">
        <w:t xml:space="preserve"> (APP)</w:t>
      </w:r>
      <w:r w:rsidRPr="00652269">
        <w:t xml:space="preserve"> é considerada um impacto negativo de magnitude média e importância média</w:t>
      </w:r>
      <w:r w:rsidR="00E155C0">
        <w:t>.</w:t>
      </w:r>
    </w:p>
    <w:p w:rsidR="00E155C0" w:rsidRDefault="00E155C0" w:rsidP="00216894">
      <w:pPr>
        <w:spacing w:before="120" w:after="120" w:line="240" w:lineRule="auto"/>
      </w:pPr>
      <w:r>
        <w:br w:type="page"/>
      </w:r>
    </w:p>
    <w:p w:rsidR="008D0D70" w:rsidRPr="000F69FA" w:rsidRDefault="008D0D70" w:rsidP="000F69FA">
      <w:pPr>
        <w:pStyle w:val="Item-Trainho"/>
        <w:rPr>
          <w:b/>
        </w:rPr>
      </w:pPr>
      <w:r w:rsidRPr="000F69FA">
        <w:rPr>
          <w:b/>
        </w:rPr>
        <w:t>Barragem Duas Pontes</w:t>
      </w:r>
    </w:p>
    <w:p w:rsidR="008D0D70" w:rsidRDefault="008D0D70" w:rsidP="008D0D70">
      <w:pPr>
        <w:spacing w:before="120" w:after="120" w:line="240" w:lineRule="auto"/>
      </w:pPr>
      <w:r w:rsidRPr="00652269">
        <w:t xml:space="preserve">No caso da barragem Duas Pontes o diagnóstico levantou a intervenção em </w:t>
      </w:r>
      <w:r w:rsidR="003007B3">
        <w:t>209</w:t>
      </w:r>
      <w:r w:rsidRPr="00652269">
        <w:t xml:space="preserve"> ha de APPs, o que corresponde a 6</w:t>
      </w:r>
      <w:r w:rsidR="003007B3">
        <w:t>5</w:t>
      </w:r>
      <w:r w:rsidRPr="00652269">
        <w:t>% do total de APPs da ADA (3</w:t>
      </w:r>
      <w:r w:rsidR="003007B3">
        <w:t xml:space="preserve">21 </w:t>
      </w:r>
      <w:r w:rsidRPr="00652269">
        <w:t>ha) deste barramento. Neste caso verifica-se que a classe de usos do solo mais representativa na APP a sofrer intervenção é a denominada “Pastagem” (</w:t>
      </w:r>
      <w:r w:rsidR="003007B3">
        <w:t>44</w:t>
      </w:r>
      <w:r w:rsidRPr="00652269">
        <w:t>%).</w:t>
      </w:r>
    </w:p>
    <w:p w:rsidR="00216894" w:rsidRPr="00652269" w:rsidRDefault="00216894" w:rsidP="00806394">
      <w:pPr>
        <w:spacing w:before="120" w:line="240" w:lineRule="auto"/>
      </w:pPr>
      <w:r w:rsidRPr="00652269">
        <w:t>A Interferência</w:t>
      </w:r>
      <w:r w:rsidR="001133BB">
        <w:t xml:space="preserve"> da Barragem Duas Pontes</w:t>
      </w:r>
      <w:r w:rsidRPr="00652269">
        <w:t xml:space="preserve"> em </w:t>
      </w:r>
      <w:r w:rsidR="001133BB">
        <w:t>Á</w:t>
      </w:r>
      <w:r w:rsidRPr="00652269">
        <w:t xml:space="preserve">reas de </w:t>
      </w:r>
      <w:r w:rsidR="001133BB">
        <w:t>P</w:t>
      </w:r>
      <w:r w:rsidRPr="00652269">
        <w:t xml:space="preserve">reservação </w:t>
      </w:r>
      <w:r w:rsidR="001133BB">
        <w:t>P</w:t>
      </w:r>
      <w:r w:rsidRPr="00652269">
        <w:t>ermanente</w:t>
      </w:r>
      <w:r w:rsidR="002102F0">
        <w:t xml:space="preserve"> (APP)</w:t>
      </w:r>
      <w:r w:rsidRPr="00652269">
        <w:t xml:space="preserve"> é considerada um impacto negativo de magnitude média e importância média</w:t>
      </w:r>
      <w:r w:rsidR="00806394">
        <w:t>.</w:t>
      </w:r>
    </w:p>
    <w:p w:rsidR="008D0D70" w:rsidRPr="00EF55EF" w:rsidRDefault="008D3A12" w:rsidP="00EF55EF">
      <w:pPr>
        <w:pStyle w:val="Legenda"/>
        <w:spacing w:line="240" w:lineRule="auto"/>
        <w:jc w:val="center"/>
        <w:rPr>
          <w:rFonts w:cs="Arial"/>
          <w:b w:val="0"/>
          <w:bCs/>
          <w:i w:val="0"/>
          <w:szCs w:val="22"/>
        </w:rPr>
      </w:pPr>
      <w:bookmarkStart w:id="304" w:name="_Toc420316501"/>
      <w:r w:rsidRPr="00EF55EF">
        <w:rPr>
          <w:i w:val="0"/>
        </w:rPr>
        <w:t xml:space="preserve">Quadro </w:t>
      </w:r>
      <w:r w:rsidR="00B80A05" w:rsidRPr="00EF55EF">
        <w:rPr>
          <w:i w:val="0"/>
        </w:rPr>
        <w:fldChar w:fldCharType="begin"/>
      </w:r>
      <w:r w:rsidR="00402E81" w:rsidRPr="00EF55EF">
        <w:rPr>
          <w:i w:val="0"/>
        </w:rPr>
        <w:instrText xml:space="preserve"> STYLEREF 2 \s </w:instrText>
      </w:r>
      <w:r w:rsidR="00B80A05" w:rsidRPr="00EF55EF">
        <w:rPr>
          <w:i w:val="0"/>
        </w:rPr>
        <w:fldChar w:fldCharType="separate"/>
      </w:r>
      <w:r w:rsidR="00316060">
        <w:rPr>
          <w:i w:val="0"/>
          <w:noProof/>
        </w:rPr>
        <w:t>1.3</w:t>
      </w:r>
      <w:r w:rsidR="00B80A05" w:rsidRPr="00EF55EF">
        <w:rPr>
          <w:i w:val="0"/>
        </w:rPr>
        <w:fldChar w:fldCharType="end"/>
      </w:r>
      <w:r w:rsidR="00402E81" w:rsidRPr="00EF55EF">
        <w:rPr>
          <w:i w:val="0"/>
        </w:rPr>
        <w:t>.</w:t>
      </w:r>
      <w:r w:rsidR="00B80A05" w:rsidRPr="00EF55EF">
        <w:rPr>
          <w:i w:val="0"/>
        </w:rPr>
        <w:fldChar w:fldCharType="begin"/>
      </w:r>
      <w:r w:rsidR="00402E81" w:rsidRPr="00EF55EF">
        <w:rPr>
          <w:i w:val="0"/>
        </w:rPr>
        <w:instrText xml:space="preserve"> SEQ Quadro \* ARABIC \s 2 </w:instrText>
      </w:r>
      <w:r w:rsidR="00B80A05" w:rsidRPr="00EF55EF">
        <w:rPr>
          <w:i w:val="0"/>
        </w:rPr>
        <w:fldChar w:fldCharType="separate"/>
      </w:r>
      <w:r w:rsidR="00316060">
        <w:rPr>
          <w:i w:val="0"/>
          <w:noProof/>
        </w:rPr>
        <w:t>58</w:t>
      </w:r>
      <w:r w:rsidR="00B80A05" w:rsidRPr="00EF55EF">
        <w:rPr>
          <w:i w:val="0"/>
        </w:rPr>
        <w:fldChar w:fldCharType="end"/>
      </w:r>
      <w:r w:rsidR="00EF55EF" w:rsidRPr="00EF55EF">
        <w:rPr>
          <w:i w:val="0"/>
        </w:rPr>
        <w:t>.</w:t>
      </w:r>
      <w:r w:rsidR="00EF55EF" w:rsidRPr="00EF55EF">
        <w:rPr>
          <w:b w:val="0"/>
          <w:i w:val="0"/>
        </w:rPr>
        <w:t xml:space="preserve"> - </w:t>
      </w:r>
      <w:r w:rsidR="008D0D70" w:rsidRPr="00EF55EF">
        <w:rPr>
          <w:rFonts w:cs="Arial"/>
          <w:b w:val="0"/>
          <w:bCs/>
          <w:i w:val="0"/>
          <w:szCs w:val="22"/>
        </w:rPr>
        <w:t>Caracterização do Impacto – Interferências em Ár</w:t>
      </w:r>
      <w:r w:rsidR="001B7276" w:rsidRPr="00EF55EF">
        <w:rPr>
          <w:rFonts w:cs="Arial"/>
          <w:b w:val="0"/>
          <w:bCs/>
          <w:i w:val="0"/>
          <w:szCs w:val="22"/>
        </w:rPr>
        <w:t>eas de Preservação Permanente</w:t>
      </w:r>
      <w:r w:rsidR="00FE3351" w:rsidRPr="00EF55EF">
        <w:rPr>
          <w:rFonts w:cs="Arial"/>
          <w:b w:val="0"/>
          <w:bCs/>
          <w:i w:val="0"/>
          <w:szCs w:val="22"/>
        </w:rPr>
        <w:t xml:space="preserve"> (APP)</w:t>
      </w:r>
      <w:r w:rsidR="001B7276" w:rsidRPr="00EF55EF">
        <w:rPr>
          <w:rFonts w:cs="Arial"/>
          <w:b w:val="0"/>
          <w:bCs/>
          <w:i w:val="0"/>
          <w:szCs w:val="22"/>
        </w:rPr>
        <w:t xml:space="preserve"> </w:t>
      </w:r>
      <w:r w:rsidR="008D0D70" w:rsidRPr="00EF55EF">
        <w:rPr>
          <w:rFonts w:cs="Arial"/>
          <w:b w:val="0"/>
          <w:bCs/>
          <w:i w:val="0"/>
          <w:szCs w:val="22"/>
        </w:rPr>
        <w:t>Barrage</w:t>
      </w:r>
      <w:r w:rsidR="001133BB" w:rsidRPr="00EF55EF">
        <w:rPr>
          <w:rFonts w:cs="Arial"/>
          <w:b w:val="0"/>
          <w:bCs/>
          <w:i w:val="0"/>
          <w:szCs w:val="22"/>
        </w:rPr>
        <w:t>ns Pedreira e</w:t>
      </w:r>
      <w:r w:rsidR="008D0D70" w:rsidRPr="00EF55EF">
        <w:rPr>
          <w:rFonts w:cs="Arial"/>
          <w:b w:val="0"/>
          <w:bCs/>
          <w:i w:val="0"/>
          <w:szCs w:val="22"/>
        </w:rPr>
        <w:t xml:space="preserve"> Duas Pontes</w:t>
      </w:r>
      <w:bookmarkEnd w:id="304"/>
    </w:p>
    <w:tbl>
      <w:tblPr>
        <w:tblW w:w="0" w:type="auto"/>
        <w:jc w:val="center"/>
        <w:tblInd w:w="-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972"/>
        <w:gridCol w:w="1795"/>
        <w:gridCol w:w="1417"/>
        <w:gridCol w:w="3051"/>
      </w:tblGrid>
      <w:tr w:rsidR="008D0D70" w:rsidRPr="00652269" w:rsidTr="000F69FA">
        <w:trPr>
          <w:trHeight w:val="397"/>
          <w:jc w:val="center"/>
        </w:trPr>
        <w:tc>
          <w:tcPr>
            <w:tcW w:w="1670" w:type="dxa"/>
            <w:shd w:val="clear" w:color="auto" w:fill="D9D9D9" w:themeFill="background1" w:themeFillShade="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Natureza</w:t>
            </w:r>
          </w:p>
        </w:tc>
        <w:tc>
          <w:tcPr>
            <w:tcW w:w="972" w:type="dxa"/>
            <w:shd w:val="clear" w:color="auto" w:fill="D9D9D9" w:themeFill="background1" w:themeFillShade="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Ordem</w:t>
            </w:r>
          </w:p>
        </w:tc>
        <w:tc>
          <w:tcPr>
            <w:tcW w:w="1795" w:type="dxa"/>
            <w:shd w:val="clear" w:color="auto" w:fill="D9D9D9" w:themeFill="background1" w:themeFillShade="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Abrangência</w:t>
            </w:r>
          </w:p>
        </w:tc>
        <w:tc>
          <w:tcPr>
            <w:tcW w:w="1417" w:type="dxa"/>
            <w:shd w:val="clear" w:color="auto" w:fill="D9D9D9" w:themeFill="background1" w:themeFillShade="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Duração</w:t>
            </w:r>
          </w:p>
        </w:tc>
        <w:tc>
          <w:tcPr>
            <w:tcW w:w="3051" w:type="dxa"/>
            <w:shd w:val="clear" w:color="auto" w:fill="D9D9D9" w:themeFill="background1" w:themeFillShade="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Probabilidade de Ocorrência</w:t>
            </w:r>
          </w:p>
        </w:tc>
      </w:tr>
      <w:tr w:rsidR="008D0D70" w:rsidRPr="00652269" w:rsidTr="00F408DD">
        <w:trPr>
          <w:trHeight w:val="535"/>
          <w:jc w:val="center"/>
        </w:trPr>
        <w:tc>
          <w:tcPr>
            <w:tcW w:w="1670"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Negativa</w:t>
            </w:r>
          </w:p>
        </w:tc>
        <w:tc>
          <w:tcPr>
            <w:tcW w:w="972"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Direta</w:t>
            </w:r>
          </w:p>
        </w:tc>
        <w:tc>
          <w:tcPr>
            <w:tcW w:w="1795"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Local (ADA)</w:t>
            </w:r>
          </w:p>
        </w:tc>
        <w:tc>
          <w:tcPr>
            <w:tcW w:w="1417"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Permanente</w:t>
            </w:r>
          </w:p>
        </w:tc>
        <w:tc>
          <w:tcPr>
            <w:tcW w:w="3051"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Certa</w:t>
            </w:r>
          </w:p>
        </w:tc>
      </w:tr>
    </w:tbl>
    <w:p w:rsidR="008D0D70" w:rsidRPr="00652269" w:rsidRDefault="008D0D70" w:rsidP="008D0D70">
      <w:pPr>
        <w:spacing w:line="240" w:lineRule="auto"/>
      </w:pPr>
    </w:p>
    <w:tbl>
      <w:tblPr>
        <w:tblW w:w="0" w:type="auto"/>
        <w:jc w:val="center"/>
        <w:tblInd w:w="-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2"/>
        <w:gridCol w:w="1796"/>
        <w:gridCol w:w="1328"/>
        <w:gridCol w:w="1461"/>
        <w:gridCol w:w="1539"/>
      </w:tblGrid>
      <w:tr w:rsidR="008D0D70" w:rsidRPr="00652269" w:rsidTr="000F69FA">
        <w:trPr>
          <w:trHeight w:val="397"/>
          <w:jc w:val="center"/>
        </w:trPr>
        <w:tc>
          <w:tcPr>
            <w:tcW w:w="2792" w:type="dxa"/>
            <w:shd w:val="clear" w:color="auto" w:fill="D9D9D9" w:themeFill="background1" w:themeFillShade="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Época de Ocorrência</w:t>
            </w:r>
          </w:p>
        </w:tc>
        <w:tc>
          <w:tcPr>
            <w:tcW w:w="1796" w:type="dxa"/>
            <w:shd w:val="clear" w:color="auto" w:fill="D9D9D9" w:themeFill="background1" w:themeFillShade="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Reversibilidade</w:t>
            </w:r>
          </w:p>
        </w:tc>
        <w:tc>
          <w:tcPr>
            <w:tcW w:w="1328" w:type="dxa"/>
            <w:shd w:val="clear" w:color="auto" w:fill="D9D9D9" w:themeFill="background1" w:themeFillShade="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Magnitude</w:t>
            </w:r>
          </w:p>
        </w:tc>
        <w:tc>
          <w:tcPr>
            <w:tcW w:w="1461" w:type="dxa"/>
            <w:shd w:val="clear" w:color="auto" w:fill="D9D9D9" w:themeFill="background1" w:themeFillShade="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Importância</w:t>
            </w:r>
          </w:p>
        </w:tc>
        <w:tc>
          <w:tcPr>
            <w:tcW w:w="1539" w:type="dxa"/>
            <w:shd w:val="clear" w:color="auto" w:fill="D9D9D9" w:themeFill="background1" w:themeFillShade="D9"/>
            <w:vAlign w:val="center"/>
          </w:tcPr>
          <w:p w:rsidR="008D0D70" w:rsidRPr="00652269" w:rsidRDefault="008D0D70" w:rsidP="008B5ABD">
            <w:pPr>
              <w:autoSpaceDE w:val="0"/>
              <w:autoSpaceDN w:val="0"/>
              <w:adjustRightInd w:val="0"/>
              <w:spacing w:line="240" w:lineRule="auto"/>
              <w:jc w:val="center"/>
              <w:rPr>
                <w:rFonts w:cs="Arial"/>
                <w:b/>
                <w:sz w:val="20"/>
              </w:rPr>
            </w:pPr>
            <w:r w:rsidRPr="00652269">
              <w:rPr>
                <w:rFonts w:cs="Arial"/>
                <w:b/>
                <w:sz w:val="20"/>
              </w:rPr>
              <w:t>Mitigação</w:t>
            </w:r>
          </w:p>
        </w:tc>
      </w:tr>
      <w:tr w:rsidR="008D0D70" w:rsidRPr="00652269" w:rsidTr="008B5ABD">
        <w:trPr>
          <w:trHeight w:val="601"/>
          <w:jc w:val="center"/>
        </w:trPr>
        <w:tc>
          <w:tcPr>
            <w:tcW w:w="2792"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Curto Prazo</w:t>
            </w:r>
          </w:p>
        </w:tc>
        <w:tc>
          <w:tcPr>
            <w:tcW w:w="1796"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Irreversível</w:t>
            </w:r>
          </w:p>
        </w:tc>
        <w:tc>
          <w:tcPr>
            <w:tcW w:w="1328"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Média</w:t>
            </w:r>
          </w:p>
        </w:tc>
        <w:tc>
          <w:tcPr>
            <w:tcW w:w="1461"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Média</w:t>
            </w:r>
          </w:p>
        </w:tc>
        <w:tc>
          <w:tcPr>
            <w:tcW w:w="1539" w:type="dxa"/>
            <w:shd w:val="clear" w:color="auto" w:fill="auto"/>
            <w:vAlign w:val="center"/>
          </w:tcPr>
          <w:p w:rsidR="008D0D70" w:rsidRPr="00652269" w:rsidRDefault="008D0D70" w:rsidP="008B5ABD">
            <w:pPr>
              <w:autoSpaceDE w:val="0"/>
              <w:autoSpaceDN w:val="0"/>
              <w:adjustRightInd w:val="0"/>
              <w:spacing w:line="240" w:lineRule="auto"/>
              <w:jc w:val="center"/>
              <w:rPr>
                <w:rFonts w:cs="Arial"/>
                <w:sz w:val="20"/>
              </w:rPr>
            </w:pPr>
            <w:r w:rsidRPr="00652269">
              <w:rPr>
                <w:rFonts w:cs="Arial"/>
                <w:sz w:val="20"/>
              </w:rPr>
              <w:t>Não Mitigável</w:t>
            </w:r>
          </w:p>
        </w:tc>
      </w:tr>
    </w:tbl>
    <w:p w:rsidR="008D0D70" w:rsidRPr="00FA6606" w:rsidRDefault="008D0D70" w:rsidP="008D0D70">
      <w:pPr>
        <w:widowControl w:val="0"/>
        <w:autoSpaceDE w:val="0"/>
        <w:autoSpaceDN w:val="0"/>
        <w:adjustRightInd w:val="0"/>
        <w:spacing w:before="120" w:after="120" w:line="240" w:lineRule="auto"/>
        <w:rPr>
          <w:rFonts w:eastAsia="Calibri" w:cs="Arial"/>
          <w:szCs w:val="22"/>
          <w:lang w:eastAsia="en-US"/>
        </w:rPr>
      </w:pPr>
    </w:p>
    <w:p w:rsidR="008D0D70" w:rsidRPr="00652269" w:rsidRDefault="008D0D70" w:rsidP="008D0D70">
      <w:pPr>
        <w:widowControl w:val="0"/>
        <w:autoSpaceDE w:val="0"/>
        <w:autoSpaceDN w:val="0"/>
        <w:adjustRightInd w:val="0"/>
        <w:spacing w:before="120" w:after="120" w:line="240" w:lineRule="auto"/>
        <w:rPr>
          <w:rFonts w:eastAsia="Calibri" w:cs="Arial"/>
          <w:szCs w:val="22"/>
          <w:lang w:eastAsia="en-US"/>
        </w:rPr>
      </w:pPr>
      <w:r w:rsidRPr="00652269">
        <w:rPr>
          <w:rFonts w:eastAsia="Calibri" w:cs="Arial"/>
          <w:b/>
          <w:szCs w:val="22"/>
          <w:lang w:eastAsia="en-US"/>
        </w:rPr>
        <w:t xml:space="preserve">Ações Ambientais Propostas: </w:t>
      </w:r>
    </w:p>
    <w:p w:rsidR="008D0D70" w:rsidRPr="00652269" w:rsidRDefault="008D0D70" w:rsidP="008D0D70">
      <w:pPr>
        <w:spacing w:before="120" w:after="120" w:line="240" w:lineRule="auto"/>
      </w:pPr>
      <w:r w:rsidRPr="00652269">
        <w:t>A efetiva implantação e conservação das APPs geram uma série de benefícios e serviços ecológicos que se estendem do plano local para o regional por meio de interconexões dos diversos ambientes protegidos e dos remanescentes florestais e hábitats relevantes, formando uma teia complexa de suporte à biodiversidade e aos componentes físicos do agroecossistema, especialmente nos ambientes rurais sobre forte pressão antrópica.</w:t>
      </w:r>
    </w:p>
    <w:p w:rsidR="008D0D70" w:rsidRDefault="008D0D70" w:rsidP="008D0D70">
      <w:pPr>
        <w:widowControl w:val="0"/>
        <w:autoSpaceDE w:val="0"/>
        <w:autoSpaceDN w:val="0"/>
        <w:adjustRightInd w:val="0"/>
        <w:spacing w:before="120" w:after="120" w:line="240" w:lineRule="auto"/>
        <w:rPr>
          <w:rFonts w:eastAsia="Calibri" w:cs="Arial"/>
          <w:szCs w:val="22"/>
          <w:lang w:eastAsia="en-US"/>
        </w:rPr>
      </w:pPr>
      <w:r w:rsidRPr="00652269">
        <w:rPr>
          <w:rFonts w:eastAsia="Calibri" w:cs="Arial"/>
          <w:szCs w:val="22"/>
          <w:lang w:eastAsia="en-US"/>
        </w:rPr>
        <w:t>Medidas mitigadoras a este impacto deverão constar do Programa de Recuperação de APP e de Compensação Ambiental de Supressão de Vegetação. O Programa de Educação Ambiental deverá também informar a população sobre a conformidade legal dos aspectos socioambientais do empreendimento e a relevância da conservação dos remanescentes florestais. Deverão também ser seguidas as diretrizes legais que regem o Plano de Conservação e Uso do Entorno de Reservatórios (PACUERA) no que tange à faixa do entorno dos futuros reservatórios que deverão ter uso restrito e destinado à recomposição e/ou preservação dos remanescentes florestais, constituindo novas APPs.</w:t>
      </w:r>
    </w:p>
    <w:p w:rsidR="00973BCF" w:rsidRPr="00B50999" w:rsidRDefault="00CD6D82" w:rsidP="008D3A12">
      <w:pPr>
        <w:pStyle w:val="Ttulo3"/>
      </w:pPr>
      <w:bookmarkStart w:id="305" w:name="_Toc418758237"/>
      <w:bookmarkStart w:id="306" w:name="_Toc418758839"/>
      <w:bookmarkStart w:id="307" w:name="_Toc419813599"/>
      <w:r w:rsidRPr="00B50999">
        <w:rPr>
          <w:rFonts w:cs="Arial"/>
          <w:szCs w:val="22"/>
        </w:rPr>
        <w:t>1.3.2.</w:t>
      </w:r>
      <w:r w:rsidR="00973BCF" w:rsidRPr="00B50999">
        <w:t>8. Alter</w:t>
      </w:r>
      <w:r w:rsidR="00C40284" w:rsidRPr="00B50999">
        <w:t xml:space="preserve">ação nas Comunidades Aquáticas Planctônicas e </w:t>
      </w:r>
      <w:r w:rsidR="00973BCF" w:rsidRPr="00B50999">
        <w:t>Bentônicas</w:t>
      </w:r>
      <w:bookmarkEnd w:id="305"/>
      <w:bookmarkEnd w:id="306"/>
      <w:bookmarkEnd w:id="307"/>
    </w:p>
    <w:p w:rsidR="00C40284" w:rsidRDefault="0050755C" w:rsidP="009E1DAB">
      <w:pPr>
        <w:spacing w:before="120" w:after="120" w:line="240" w:lineRule="auto"/>
        <w:rPr>
          <w:b/>
        </w:rPr>
      </w:pPr>
      <w:r>
        <w:rPr>
          <w:b/>
        </w:rPr>
        <w:t xml:space="preserve">a) </w:t>
      </w:r>
      <w:r w:rsidR="00627FA2">
        <w:rPr>
          <w:b/>
        </w:rPr>
        <w:t>Fase Implantação</w:t>
      </w:r>
    </w:p>
    <w:p w:rsidR="00627FA2" w:rsidRPr="00627FA2" w:rsidRDefault="00627FA2" w:rsidP="00627FA2">
      <w:pPr>
        <w:tabs>
          <w:tab w:val="left" w:pos="567"/>
        </w:tabs>
        <w:spacing w:before="120" w:after="120" w:line="240" w:lineRule="auto"/>
        <w:rPr>
          <w:rFonts w:cs="Arial"/>
          <w:szCs w:val="22"/>
        </w:rPr>
      </w:pPr>
      <w:r w:rsidRPr="00627FA2">
        <w:rPr>
          <w:rFonts w:cs="Arial"/>
          <w:szCs w:val="22"/>
        </w:rPr>
        <w:t>Os aspectos ambientais que envolvem a implantação das Barragens Pedreira e Duas Pontes e que apresentam potencial para interferir nas comunidades planctônicas (fitoplâncton e zooplâncton) e bentônicas estão relacionados às alterações na qualidade da água e dos sedimentos, causadas principalmente pelo aporte de cargas difusas e pontuais, bem como pela formação do reservatório, conforme detalhado a seguir.</w:t>
      </w:r>
    </w:p>
    <w:p w:rsidR="00844A91" w:rsidRDefault="00E47F9E" w:rsidP="00627FA2">
      <w:pPr>
        <w:tabs>
          <w:tab w:val="left" w:pos="567"/>
        </w:tabs>
        <w:spacing w:before="120" w:after="120" w:line="240" w:lineRule="auto"/>
        <w:rPr>
          <w:rFonts w:cs="Arial"/>
          <w:szCs w:val="22"/>
        </w:rPr>
      </w:pPr>
      <w:r w:rsidRPr="00E47F9E">
        <w:rPr>
          <w:rFonts w:cs="Arial"/>
          <w:szCs w:val="22"/>
        </w:rPr>
        <w:t>As atividades inerentes à implantação das barragens mencionadas requerem a movimentação de grande volume de solos, cujos sedimentos resultantes poderão ser carreados por escoamento superficial para os rios Jaguari e Camanducaia, principais corpos hídricos receptores da ADA, e em alguns tributários, com destaque para o ribeirão do Pantaleão, braço formador do reservatório Duas Pontes, e para o córrego Entre-Montes, contribuinte da margem direita do rio Jaguari</w:t>
      </w:r>
      <w:r>
        <w:rPr>
          <w:rFonts w:cs="Arial"/>
          <w:szCs w:val="22"/>
        </w:rPr>
        <w:t>.</w:t>
      </w:r>
    </w:p>
    <w:p w:rsidR="00627FA2" w:rsidRPr="00627FA2" w:rsidRDefault="00627FA2" w:rsidP="00627FA2">
      <w:pPr>
        <w:tabs>
          <w:tab w:val="left" w:pos="567"/>
        </w:tabs>
        <w:spacing w:before="120" w:after="120" w:line="240" w:lineRule="auto"/>
        <w:rPr>
          <w:rFonts w:cs="Arial"/>
          <w:szCs w:val="22"/>
        </w:rPr>
      </w:pPr>
      <w:r w:rsidRPr="00627FA2">
        <w:rPr>
          <w:rFonts w:cs="Arial"/>
          <w:szCs w:val="22"/>
        </w:rPr>
        <w:t xml:space="preserve">O aumento do conteúdo de sólidos no ambiente aquático irá causar uma elevação da turbidez na coluna d’água, com concomitante redução da zona eufótica, o que poderá afetar os processos fotossintéticos do fitoplâncton, refletindo sobre a comunidade zooplanctônica e aos demais elos da cadeia alimentar aquática. </w:t>
      </w:r>
    </w:p>
    <w:p w:rsidR="00627FA2" w:rsidRPr="00627FA2" w:rsidRDefault="00627FA2" w:rsidP="00627FA2">
      <w:pPr>
        <w:tabs>
          <w:tab w:val="left" w:pos="567"/>
        </w:tabs>
        <w:spacing w:before="120" w:after="120" w:line="240" w:lineRule="auto"/>
        <w:rPr>
          <w:rFonts w:eastAsia="Calibri"/>
          <w:szCs w:val="22"/>
          <w:lang w:eastAsia="en-US"/>
        </w:rPr>
      </w:pPr>
      <w:r w:rsidRPr="00627FA2">
        <w:rPr>
          <w:rFonts w:cs="Arial"/>
          <w:szCs w:val="22"/>
        </w:rPr>
        <w:t xml:space="preserve">Conforme citado, </w:t>
      </w:r>
      <w:r w:rsidRPr="00627FA2">
        <w:rPr>
          <w:rFonts w:eastAsia="Calibri"/>
          <w:szCs w:val="22"/>
          <w:lang w:eastAsia="en-US"/>
        </w:rPr>
        <w:t xml:space="preserve">levando-se em conta as características construtivas de cada empreendimento, o aporte de cargas difusas tenderá a ocorrer com maior intensidade no rio Camanducaia, pois a implantação da Barragem Duas Pontes </w:t>
      </w:r>
      <w:r w:rsidR="00E47F9E">
        <w:rPr>
          <w:rFonts w:eastAsia="Calibri"/>
          <w:szCs w:val="22"/>
          <w:lang w:eastAsia="en-US"/>
        </w:rPr>
        <w:t>representa</w:t>
      </w:r>
      <w:r w:rsidRPr="00627FA2">
        <w:rPr>
          <w:rFonts w:eastAsia="Calibri"/>
          <w:szCs w:val="22"/>
          <w:lang w:eastAsia="en-US"/>
        </w:rPr>
        <w:t xml:space="preserve"> uma obra de maior porte quando comparada à Barragem Pedreira. </w:t>
      </w:r>
    </w:p>
    <w:p w:rsidR="00627FA2" w:rsidRPr="00627FA2" w:rsidRDefault="00627FA2" w:rsidP="00627FA2">
      <w:pPr>
        <w:tabs>
          <w:tab w:val="left" w:pos="567"/>
        </w:tabs>
        <w:spacing w:before="120" w:after="120" w:line="240" w:lineRule="auto"/>
        <w:rPr>
          <w:rFonts w:cs="Arial"/>
          <w:szCs w:val="22"/>
        </w:rPr>
      </w:pPr>
      <w:r w:rsidRPr="00627FA2">
        <w:rPr>
          <w:rFonts w:cs="Arial"/>
          <w:szCs w:val="22"/>
        </w:rPr>
        <w:t>A intervenção direta nas margens e nos leitos dos rios Jaguari e Camanducaia pelas escavações e pela implantação de infraestrutura</w:t>
      </w:r>
      <w:r w:rsidR="00E47F9E">
        <w:rPr>
          <w:rFonts w:cs="Arial"/>
          <w:szCs w:val="22"/>
        </w:rPr>
        <w:t>, bem como</w:t>
      </w:r>
      <w:r w:rsidRPr="00627FA2">
        <w:rPr>
          <w:rFonts w:cs="Arial"/>
          <w:szCs w:val="22"/>
        </w:rPr>
        <w:t xml:space="preserve"> possível acúmulo de sedimentos e de detritos em zonas marginais remansadas tenderão a alterar a disponibilidade de recursos alimentares e as condições do substrato para a colonização da fauna bentônica.</w:t>
      </w:r>
    </w:p>
    <w:p w:rsidR="00627FA2" w:rsidRPr="00627FA2" w:rsidRDefault="00E47F9E" w:rsidP="00627FA2">
      <w:pPr>
        <w:tabs>
          <w:tab w:val="left" w:pos="567"/>
        </w:tabs>
        <w:spacing w:before="120" w:after="120" w:line="240" w:lineRule="auto"/>
        <w:rPr>
          <w:rFonts w:cs="Arial"/>
          <w:szCs w:val="22"/>
        </w:rPr>
      </w:pPr>
      <w:r w:rsidRPr="00E47F9E">
        <w:rPr>
          <w:rFonts w:cs="Arial"/>
          <w:szCs w:val="22"/>
        </w:rPr>
        <w:t>A eventual introdução no meio aquático de resíduos sólidos, de efluentes domésticos e de compostos oleosos gerados nos canteiros de obras e nos serviços de apoio poderá levar à contaminação das águas e dos sedimentos por substâncias que oferecem riscos à biota aquática. Em grandes quantidades, os óleos e graxas acumulados na superfície dos corpos hídricos, tendem a dificultar as trocas gasosas entre a água e o ar</w:t>
      </w:r>
      <w:r w:rsidR="004F6F92">
        <w:rPr>
          <w:rFonts w:cs="Arial"/>
          <w:szCs w:val="22"/>
        </w:rPr>
        <w:t>,</w:t>
      </w:r>
      <w:r w:rsidRPr="00E47F9E">
        <w:rPr>
          <w:rFonts w:cs="Arial"/>
          <w:szCs w:val="22"/>
        </w:rPr>
        <w:t xml:space="preserve"> especialmente a de oxigênio, podendo assim </w:t>
      </w:r>
      <w:r w:rsidR="004F6F92">
        <w:rPr>
          <w:rFonts w:cs="Arial"/>
          <w:szCs w:val="22"/>
        </w:rPr>
        <w:t xml:space="preserve">afetar </w:t>
      </w:r>
      <w:r w:rsidRPr="00E47F9E">
        <w:rPr>
          <w:rFonts w:cs="Arial"/>
          <w:szCs w:val="22"/>
        </w:rPr>
        <w:t>a fauna aquática aeróbia.</w:t>
      </w:r>
      <w:r w:rsidR="00627FA2" w:rsidRPr="00627FA2">
        <w:rPr>
          <w:rFonts w:cs="Arial"/>
          <w:szCs w:val="22"/>
        </w:rPr>
        <w:t xml:space="preserve"> </w:t>
      </w:r>
    </w:p>
    <w:p w:rsidR="00627FA2" w:rsidRPr="00627FA2" w:rsidRDefault="00627FA2" w:rsidP="00627FA2">
      <w:pPr>
        <w:tabs>
          <w:tab w:val="left" w:pos="567"/>
        </w:tabs>
        <w:spacing w:before="120" w:after="120" w:line="240" w:lineRule="auto"/>
        <w:rPr>
          <w:rFonts w:eastAsia="Calibri"/>
          <w:szCs w:val="22"/>
          <w:lang w:eastAsia="en-US"/>
        </w:rPr>
      </w:pPr>
      <w:r w:rsidRPr="00627FA2">
        <w:rPr>
          <w:rFonts w:eastAsia="Calibri"/>
          <w:szCs w:val="22"/>
          <w:lang w:eastAsia="en-US"/>
        </w:rPr>
        <w:t>Considerando que, na etapa do diagnóstico ambiental, já foram registradas interferências nas comunidades aquáticas planctônicas e bentônicas, no rio Camanducaia, atribuídas principalmente ao aporte de efluentes domésticos da zona urbana de Amparo, essas interferências serão potencializadas na etapa de implantação da Barragem Duas Pontes.</w:t>
      </w:r>
    </w:p>
    <w:p w:rsidR="00627FA2" w:rsidRPr="00627FA2" w:rsidRDefault="00627FA2" w:rsidP="00627FA2">
      <w:pPr>
        <w:tabs>
          <w:tab w:val="left" w:pos="567"/>
        </w:tabs>
        <w:spacing w:before="120" w:after="120" w:line="240" w:lineRule="auto"/>
        <w:rPr>
          <w:rFonts w:cs="Arial"/>
          <w:szCs w:val="22"/>
        </w:rPr>
      </w:pPr>
      <w:r w:rsidRPr="00627FA2">
        <w:rPr>
          <w:rFonts w:cs="Arial"/>
          <w:szCs w:val="22"/>
        </w:rPr>
        <w:t>Caso não sejam tomados os cuidados adequados na etapa de implantação dos empreendimentos, as comunidades planctônicas e bentônicas que atualmente colonizam os cursos d’água na AID e ADA, sobretudo os rios Jaguari e Camanducaia, deverão ser impactadas, sendo esperada uma menor diversidade e densidade de organismos.</w:t>
      </w:r>
    </w:p>
    <w:p w:rsidR="00627FA2" w:rsidRPr="00627FA2" w:rsidRDefault="00E47F9E" w:rsidP="00627FA2">
      <w:pPr>
        <w:tabs>
          <w:tab w:val="left" w:pos="567"/>
        </w:tabs>
        <w:spacing w:before="120" w:after="120" w:line="240" w:lineRule="auto"/>
        <w:rPr>
          <w:rFonts w:cs="Arial"/>
          <w:szCs w:val="22"/>
        </w:rPr>
      </w:pPr>
      <w:r w:rsidRPr="00E47F9E">
        <w:rPr>
          <w:rFonts w:cs="Arial"/>
          <w:szCs w:val="22"/>
        </w:rPr>
        <w:t>Na etapa de enchimento dos reservatórios projetados, espera-se um aumento na concentração de compostos orgânicos e de nutrientes minerais, sobretudo no corpo central e nos contribuintes da Barragem Duas Pontes, o que resultará em interferências na composição das comunidades planctônicas e bentônicas. A alteração na hidrodinâmica do escoamento de lótico para lêntico criará também condições seletivas para o estabelecimento de alguns grupos taxonômicos mais sensíveis</w:t>
      </w:r>
      <w:r>
        <w:rPr>
          <w:rFonts w:cs="Arial"/>
          <w:szCs w:val="22"/>
        </w:rPr>
        <w:t>.</w:t>
      </w:r>
    </w:p>
    <w:p w:rsidR="00627FA2" w:rsidRPr="00627FA2" w:rsidRDefault="00627FA2" w:rsidP="00627FA2">
      <w:pPr>
        <w:tabs>
          <w:tab w:val="left" w:pos="567"/>
        </w:tabs>
        <w:spacing w:before="120" w:after="120" w:line="240" w:lineRule="auto"/>
        <w:rPr>
          <w:rFonts w:cs="Arial"/>
          <w:szCs w:val="22"/>
        </w:rPr>
      </w:pPr>
      <w:r w:rsidRPr="00627FA2">
        <w:rPr>
          <w:rFonts w:cs="Arial"/>
          <w:szCs w:val="22"/>
        </w:rPr>
        <w:t xml:space="preserve">Na sequência, são alistadas as principais interferências previstas na etapa de enchimento para as comunidades aquáticas (planctônicas e bentônicas). </w:t>
      </w:r>
    </w:p>
    <w:p w:rsidR="00627FA2" w:rsidRPr="000F69FA" w:rsidRDefault="00627FA2" w:rsidP="000F69FA">
      <w:pPr>
        <w:pStyle w:val="Item-Trainho"/>
        <w:rPr>
          <w:b/>
        </w:rPr>
      </w:pPr>
      <w:r w:rsidRPr="000F69FA">
        <w:rPr>
          <w:b/>
        </w:rPr>
        <w:t>Fitoplâncton</w:t>
      </w:r>
    </w:p>
    <w:p w:rsidR="00627FA2" w:rsidRPr="00627FA2" w:rsidRDefault="00627FA2" w:rsidP="00627FA2">
      <w:pPr>
        <w:tabs>
          <w:tab w:val="left" w:pos="567"/>
        </w:tabs>
        <w:spacing w:before="120" w:after="120" w:line="240" w:lineRule="auto"/>
        <w:rPr>
          <w:rFonts w:cs="Arial"/>
          <w:szCs w:val="22"/>
        </w:rPr>
      </w:pPr>
      <w:r w:rsidRPr="00627FA2">
        <w:rPr>
          <w:rFonts w:cs="Arial"/>
          <w:szCs w:val="22"/>
        </w:rPr>
        <w:t xml:space="preserve">Segundo os resultados obtidos no diagnóstico </w:t>
      </w:r>
      <w:r w:rsidRPr="00B53AA8">
        <w:rPr>
          <w:rFonts w:cs="Arial"/>
          <w:szCs w:val="22"/>
        </w:rPr>
        <w:t>ambiental (</w:t>
      </w:r>
      <w:r w:rsidR="00B53AA8" w:rsidRPr="00B53AA8">
        <w:rPr>
          <w:rFonts w:cs="Arial"/>
          <w:szCs w:val="22"/>
        </w:rPr>
        <w:t>Volume III, Tomo 1 Parte 2 – Capítulo 6)</w:t>
      </w:r>
      <w:r w:rsidRPr="00B53AA8">
        <w:rPr>
          <w:rFonts w:cs="Arial"/>
          <w:szCs w:val="22"/>
        </w:rPr>
        <w:t xml:space="preserve">, </w:t>
      </w:r>
      <w:r w:rsidR="00B53AA8" w:rsidRPr="00B53AA8">
        <w:rPr>
          <w:rFonts w:cs="Arial"/>
          <w:szCs w:val="22"/>
        </w:rPr>
        <w:t>o rio Jaguari configura um ambiente tipicamente lótico, com vários trechos de corredeiras. A produtividade primária é reduzida e a oferta de nutrientes é essencialmente alóctone, dada principalmente pela mata ciliar relativamente preservada. Essa vegetação marginal mantém as águas em parte sombreadas e fornece materiais orgânicos na forma de folhagens que são rapidamente transportadas pela correnteza, fatores que condicionam uma baixa densidade de organismos planctônicos.</w:t>
      </w:r>
    </w:p>
    <w:p w:rsidR="00B53AA8" w:rsidRDefault="00B53AA8" w:rsidP="00627FA2">
      <w:pPr>
        <w:tabs>
          <w:tab w:val="left" w:pos="567"/>
        </w:tabs>
        <w:spacing w:before="120" w:after="120" w:line="240" w:lineRule="auto"/>
        <w:rPr>
          <w:rFonts w:cs="Arial"/>
          <w:szCs w:val="22"/>
        </w:rPr>
      </w:pPr>
      <w:r w:rsidRPr="00B53AA8">
        <w:rPr>
          <w:rFonts w:cs="Arial"/>
          <w:szCs w:val="22"/>
        </w:rPr>
        <w:t>Em contraste, o rio Camanducaia apresenta uma maior disponibilidade de nutrientes, resultando, relativamente, em maior densidade de algas e de cianobactérias, com predomínio numérico de exemplares fitoplanctônicos típicos de ambientes com maior conteúdo de sais minerais e de matéria orgânica, como as classes Chlorophyceae e Euglenophyceae</w:t>
      </w:r>
      <w:r>
        <w:rPr>
          <w:rFonts w:cs="Arial"/>
          <w:szCs w:val="22"/>
        </w:rPr>
        <w:t>.</w:t>
      </w:r>
    </w:p>
    <w:p w:rsidR="00627FA2" w:rsidRPr="00627FA2" w:rsidRDefault="00627FA2" w:rsidP="00627FA2">
      <w:pPr>
        <w:tabs>
          <w:tab w:val="left" w:pos="567"/>
        </w:tabs>
        <w:spacing w:before="120" w:after="120" w:line="240" w:lineRule="auto"/>
        <w:rPr>
          <w:rFonts w:cs="Arial"/>
          <w:szCs w:val="22"/>
        </w:rPr>
      </w:pPr>
      <w:r w:rsidRPr="00627FA2">
        <w:rPr>
          <w:rFonts w:cs="Arial"/>
          <w:szCs w:val="22"/>
        </w:rPr>
        <w:t xml:space="preserve">Durante o enchimento dos reservatórios Pedreira e Duas Pontes, a incorporação da fitomassa inundada irá impor modificações na composição da flora aquática, passando a prevalecer espécies de fitoplâncton adaptadas à menor velocidade de correnteza e ao acúmulo de nutrientes. </w:t>
      </w:r>
    </w:p>
    <w:p w:rsidR="00B53AA8" w:rsidRPr="00B53AA8" w:rsidRDefault="00B53AA8" w:rsidP="00B53AA8">
      <w:pPr>
        <w:tabs>
          <w:tab w:val="left" w:pos="0"/>
        </w:tabs>
        <w:spacing w:before="120" w:after="120" w:line="240" w:lineRule="auto"/>
        <w:rPr>
          <w:rFonts w:cs="Arial"/>
          <w:szCs w:val="22"/>
        </w:rPr>
      </w:pPr>
      <w:r w:rsidRPr="00B53AA8">
        <w:rPr>
          <w:rFonts w:cs="Arial"/>
          <w:szCs w:val="22"/>
        </w:rPr>
        <w:t>Nessa fase, provavelmente ocorrerá uma redução geral na riqueza do fitoplâncton nos rios Jaguari e Camanducaia, sendo esperado o surgimento de algas da classe Chrysophyceae, organismos oportunistas, favorecidos quando há folhagens e restos vegetais em decomposição. Provavelmente, ocorrerá uma redução da diversidade de espécies de zignemafíceas, algas típicas de sistemas oligotróficos encontradas principalmente no reservatório da Barragem Pedreira.</w:t>
      </w:r>
    </w:p>
    <w:p w:rsidR="00627FA2" w:rsidRPr="00627FA2" w:rsidRDefault="00B53AA8" w:rsidP="00B53AA8">
      <w:pPr>
        <w:tabs>
          <w:tab w:val="left" w:pos="0"/>
        </w:tabs>
        <w:spacing w:before="120" w:after="120" w:line="240" w:lineRule="auto"/>
        <w:rPr>
          <w:szCs w:val="22"/>
        </w:rPr>
      </w:pPr>
      <w:r w:rsidRPr="00B53AA8">
        <w:rPr>
          <w:rFonts w:cs="Arial"/>
          <w:szCs w:val="22"/>
        </w:rPr>
        <w:t>Durante o enchimento, as simulações apontam que as principais alterações na qualidade da água deste reservatório serão registradas nos contribuintes do rio Jaguari, nos córregos do Caracol (Seg-13) e sem denominação (Seg-06), devendo se refletir com maior intensidade nas comunidades aquáticas</w:t>
      </w:r>
      <w:r w:rsidR="00627FA2" w:rsidRPr="00627FA2">
        <w:rPr>
          <w:szCs w:val="22"/>
        </w:rPr>
        <w:t xml:space="preserve">. </w:t>
      </w:r>
    </w:p>
    <w:p w:rsidR="00B53AA8" w:rsidRPr="00B53AA8" w:rsidRDefault="00B53AA8" w:rsidP="00B53AA8">
      <w:pPr>
        <w:tabs>
          <w:tab w:val="left" w:pos="0"/>
        </w:tabs>
        <w:spacing w:before="120" w:after="120" w:line="240" w:lineRule="auto"/>
        <w:rPr>
          <w:szCs w:val="22"/>
        </w:rPr>
      </w:pPr>
      <w:r w:rsidRPr="00B53AA8">
        <w:rPr>
          <w:szCs w:val="22"/>
        </w:rPr>
        <w:t xml:space="preserve">No reservatório da Barragem Duas Pontes, após a remoção da fitomassa, são previstas elevadas concentrações de fósforo, amônia e DBO, e queda nos níveis de oxigênio dissolvido. </w:t>
      </w:r>
    </w:p>
    <w:p w:rsidR="00B53AA8" w:rsidRDefault="00B53AA8" w:rsidP="00627FA2">
      <w:pPr>
        <w:tabs>
          <w:tab w:val="left" w:pos="567"/>
        </w:tabs>
        <w:spacing w:before="120" w:after="120" w:line="240" w:lineRule="auto"/>
        <w:rPr>
          <w:rFonts w:eastAsia="Calibri"/>
          <w:szCs w:val="22"/>
        </w:rPr>
      </w:pPr>
      <w:r w:rsidRPr="00B53AA8">
        <w:rPr>
          <w:rFonts w:eastAsia="Calibri"/>
          <w:szCs w:val="22"/>
        </w:rPr>
        <w:t xml:space="preserve">O maior conteúdo de nutrientes deverá favorecer o crescimento de euglenofíceas, algas oportunistas, que colonizam ambientes enriquecidos com compostos orgânicos pois assumem geralmente um comportamento heterotrófico (HONORATO DA SILVA, 2003). Também é esperado um incremento na densidade de cianobactérias, pois estes organismos possuem eficientes estratégias de sobrevivência, em virtude de suas características ecológicas e fisiológicas (PAERL, 1988), conforme </w:t>
      </w:r>
      <w:r>
        <w:rPr>
          <w:rFonts w:eastAsia="Calibri"/>
          <w:szCs w:val="22"/>
        </w:rPr>
        <w:t>em item subsequente (</w:t>
      </w:r>
      <w:r w:rsidRPr="00B53AA8">
        <w:rPr>
          <w:rFonts w:eastAsia="Calibri"/>
          <w:szCs w:val="22"/>
        </w:rPr>
        <w:t>Floração de Cianobactérias Potencialmente Tóxicas</w:t>
      </w:r>
      <w:r>
        <w:rPr>
          <w:rFonts w:eastAsia="Calibri"/>
          <w:szCs w:val="22"/>
        </w:rPr>
        <w:t>).</w:t>
      </w:r>
    </w:p>
    <w:p w:rsidR="00627FA2" w:rsidRPr="00627FA2" w:rsidRDefault="00B53AA8" w:rsidP="00627FA2">
      <w:pPr>
        <w:tabs>
          <w:tab w:val="left" w:pos="567"/>
        </w:tabs>
        <w:spacing w:before="120" w:after="120" w:line="240" w:lineRule="auto"/>
        <w:rPr>
          <w:rFonts w:cs="Arial"/>
          <w:szCs w:val="22"/>
        </w:rPr>
      </w:pPr>
      <w:r w:rsidRPr="00B53AA8">
        <w:rPr>
          <w:rFonts w:cs="Arial"/>
          <w:szCs w:val="22"/>
        </w:rPr>
        <w:t>O aumento na densidade do fitoplâncton deverá ser mais expressivo no reservatório da Barragem Duas Pontes, considerando que o rio Camanducaia é receptor de elevada carga de esgotos domésticos gerados da zona urbana de Amparo, entre outras fontes poluidoras, o que favorece o desenvolvimento desses organismos. De acordo com Branco (1986), o crescimento excessivo do fitoplâncton causam diversos problemas em mananciais de abastecimento, podendo lib</w:t>
      </w:r>
      <w:r>
        <w:rPr>
          <w:rFonts w:cs="Arial"/>
          <w:szCs w:val="22"/>
        </w:rPr>
        <w:t>erar também subprodutos tóxicos.</w:t>
      </w:r>
    </w:p>
    <w:p w:rsidR="00627FA2" w:rsidRPr="000F69FA" w:rsidRDefault="00627FA2" w:rsidP="00E155C0">
      <w:pPr>
        <w:pStyle w:val="Item-Trainho"/>
        <w:spacing w:before="240" w:after="240"/>
        <w:rPr>
          <w:b/>
        </w:rPr>
      </w:pPr>
      <w:r w:rsidRPr="000F69FA">
        <w:rPr>
          <w:b/>
        </w:rPr>
        <w:t>Zooplâncton</w:t>
      </w:r>
    </w:p>
    <w:p w:rsidR="00627FA2" w:rsidRPr="00627FA2" w:rsidRDefault="00627FA2" w:rsidP="00627FA2">
      <w:pPr>
        <w:tabs>
          <w:tab w:val="left" w:pos="567"/>
        </w:tabs>
        <w:spacing w:before="120" w:after="120" w:line="240" w:lineRule="auto"/>
        <w:rPr>
          <w:rFonts w:cs="Arial"/>
          <w:szCs w:val="22"/>
        </w:rPr>
      </w:pPr>
      <w:r w:rsidRPr="00627FA2">
        <w:rPr>
          <w:rFonts w:cs="Arial"/>
          <w:szCs w:val="22"/>
        </w:rPr>
        <w:t>Os levantamentos realizados na etapa de diagnóstico ambiental apontam que a comunidade zooplanctônica identificada nos rios Jaguari e Camanducaia e nos tributários amostrados é composta preponderantemente por rotíferos (filo Rotifera). A densidade desses organismos manteve-se baixa densidade no rio Jaguari, com tendência de aumento no rio Camanducaia</w:t>
      </w:r>
      <w:r w:rsidR="00B53AA8">
        <w:rPr>
          <w:rFonts w:cs="Arial"/>
          <w:szCs w:val="22"/>
        </w:rPr>
        <w:t>.</w:t>
      </w:r>
    </w:p>
    <w:p w:rsidR="00627FA2" w:rsidRPr="00627FA2" w:rsidRDefault="00627FA2" w:rsidP="00627FA2">
      <w:pPr>
        <w:tabs>
          <w:tab w:val="left" w:pos="567"/>
        </w:tabs>
        <w:spacing w:before="120" w:after="120" w:line="240" w:lineRule="auto"/>
        <w:rPr>
          <w:rFonts w:cs="Arial"/>
          <w:szCs w:val="22"/>
        </w:rPr>
      </w:pPr>
      <w:r w:rsidRPr="00627FA2">
        <w:rPr>
          <w:rFonts w:cs="Arial"/>
          <w:szCs w:val="22"/>
        </w:rPr>
        <w:t>As alterações previstas na riqueza de espécies e na densidade de organismos zooplanctônicos serão mais nítidas durante a fase de enchimento dos reservatórios em estudo. Nesse período, haverá maior disponibilidade de matéria orgânica em decomposição pela fitomassa submersa, podendo desencadear o desenvolvimento de protozoários, como as tecamebas, que se alimentam de bactérias, algas microscópicas e detritos diversos presentes no meio aquático.</w:t>
      </w:r>
    </w:p>
    <w:p w:rsidR="00627FA2" w:rsidRPr="00627FA2" w:rsidRDefault="00B53AA8" w:rsidP="00627FA2">
      <w:pPr>
        <w:tabs>
          <w:tab w:val="left" w:pos="567"/>
        </w:tabs>
        <w:spacing w:before="120" w:after="120" w:line="240" w:lineRule="auto"/>
        <w:rPr>
          <w:rFonts w:cs="Arial"/>
          <w:szCs w:val="22"/>
        </w:rPr>
      </w:pPr>
      <w:r w:rsidRPr="00B53AA8">
        <w:rPr>
          <w:rFonts w:cs="Arial"/>
          <w:szCs w:val="22"/>
        </w:rPr>
        <w:t>Em ambos os reservatórios, tenderá a ocorrer um aumento na densidade de rotíferos, pois esses seres se adaptam rapidamente às alterações do regime hídrico, além de apresentarem excelente mecanismo de filtração de partículas e detritos orgânicos em suspensão no meio aquático</w:t>
      </w:r>
      <w:r w:rsidR="00627FA2" w:rsidRPr="00627FA2">
        <w:rPr>
          <w:rFonts w:cs="Arial"/>
          <w:szCs w:val="22"/>
        </w:rPr>
        <w:t>.</w:t>
      </w:r>
    </w:p>
    <w:p w:rsidR="00627FA2" w:rsidRDefault="00B53AA8" w:rsidP="00627FA2">
      <w:pPr>
        <w:tabs>
          <w:tab w:val="left" w:pos="567"/>
        </w:tabs>
        <w:spacing w:before="120" w:after="120" w:line="240" w:lineRule="auto"/>
        <w:rPr>
          <w:rFonts w:cs="Arial"/>
          <w:szCs w:val="22"/>
        </w:rPr>
      </w:pPr>
      <w:r w:rsidRPr="00B53AA8">
        <w:rPr>
          <w:rFonts w:cs="Arial"/>
          <w:szCs w:val="22"/>
        </w:rPr>
        <w:t>Contudo, é esperada uma redução geral na riqueza e na diversidade de organismos zooplanctônicos, principalmente no reservatório da Barragem Duas Pontes, sobretudo se forem mantidas as elevadas concentrações de amônia que podem ser tóxicas à biota aquática</w:t>
      </w:r>
      <w:r w:rsidR="00627FA2" w:rsidRPr="00627FA2">
        <w:rPr>
          <w:rFonts w:cs="Arial"/>
          <w:szCs w:val="22"/>
        </w:rPr>
        <w:t xml:space="preserve">. </w:t>
      </w:r>
    </w:p>
    <w:p w:rsidR="00E155C0" w:rsidRDefault="00E155C0" w:rsidP="00627FA2">
      <w:pPr>
        <w:tabs>
          <w:tab w:val="left" w:pos="567"/>
        </w:tabs>
        <w:spacing w:before="120" w:after="120" w:line="240" w:lineRule="auto"/>
        <w:rPr>
          <w:rFonts w:cs="Arial"/>
          <w:szCs w:val="22"/>
        </w:rPr>
      </w:pPr>
      <w:r>
        <w:rPr>
          <w:rFonts w:cs="Arial"/>
          <w:szCs w:val="22"/>
        </w:rPr>
        <w:br w:type="page"/>
      </w:r>
    </w:p>
    <w:p w:rsidR="00627FA2" w:rsidRPr="000F69FA" w:rsidRDefault="00627FA2" w:rsidP="000F69FA">
      <w:pPr>
        <w:pStyle w:val="Item-Trainho"/>
        <w:rPr>
          <w:b/>
        </w:rPr>
      </w:pPr>
      <w:r w:rsidRPr="000F69FA">
        <w:rPr>
          <w:b/>
        </w:rPr>
        <w:t>Invertebrados Bentônicos</w:t>
      </w:r>
    </w:p>
    <w:p w:rsidR="005C3302" w:rsidRPr="005C3302" w:rsidRDefault="005C3302" w:rsidP="005C3302">
      <w:pPr>
        <w:tabs>
          <w:tab w:val="left" w:pos="567"/>
        </w:tabs>
        <w:spacing w:before="120" w:after="120" w:line="240" w:lineRule="auto"/>
        <w:rPr>
          <w:rFonts w:cs="Arial"/>
          <w:szCs w:val="22"/>
        </w:rPr>
      </w:pPr>
      <w:r w:rsidRPr="005C3302">
        <w:rPr>
          <w:rFonts w:cs="Arial"/>
          <w:szCs w:val="22"/>
        </w:rPr>
        <w:t>Na etapa de diagnóstico ambiental, a fauna bentônica identificada nos rio Jaguari e Camanducaia, e principais tributários, foi composta predominantemente por larvas de insetos pertencentes às ordens Diptera, Coleoptera, Odonada, Hemiptera, além de Ephemeroptera e Trichoptera que são organismos sensíveis à poluição.</w:t>
      </w:r>
    </w:p>
    <w:p w:rsidR="00627FA2" w:rsidRPr="00627FA2" w:rsidRDefault="005C3302" w:rsidP="005C3302">
      <w:pPr>
        <w:tabs>
          <w:tab w:val="left" w:pos="567"/>
        </w:tabs>
        <w:spacing w:before="120" w:after="120" w:line="240" w:lineRule="auto"/>
        <w:rPr>
          <w:rFonts w:cs="Arial"/>
          <w:szCs w:val="22"/>
        </w:rPr>
      </w:pPr>
      <w:r w:rsidRPr="005C3302">
        <w:rPr>
          <w:rFonts w:cs="Arial"/>
          <w:szCs w:val="22"/>
        </w:rPr>
        <w:t>A partir do enchimento dos reservatórios, o aumento da profundidade do sistema aquático e a deposição de sólidos nos sedimentos tenderão a alterar a composição da fauna bentônica, devido à uniformização do fundo pelo preenchimento das reentrâncias e também pela perda de nichos disponíveis.</w:t>
      </w:r>
    </w:p>
    <w:p w:rsidR="00627FA2" w:rsidRPr="00627FA2" w:rsidRDefault="00627FA2" w:rsidP="00627FA2">
      <w:pPr>
        <w:tabs>
          <w:tab w:val="left" w:pos="567"/>
        </w:tabs>
        <w:spacing w:before="120" w:after="120" w:line="240" w:lineRule="auto"/>
        <w:rPr>
          <w:rFonts w:cs="Arial"/>
          <w:szCs w:val="22"/>
        </w:rPr>
      </w:pPr>
      <w:r w:rsidRPr="00627FA2">
        <w:rPr>
          <w:rFonts w:cs="Arial"/>
          <w:szCs w:val="22"/>
        </w:rPr>
        <w:t xml:space="preserve">Conforme citado, essa etapa inicial de enchimento representa a </w:t>
      </w:r>
      <w:r w:rsidR="005C3302">
        <w:rPr>
          <w:rFonts w:cs="Arial"/>
          <w:szCs w:val="22"/>
        </w:rPr>
        <w:t>condição</w:t>
      </w:r>
      <w:r w:rsidRPr="00627FA2">
        <w:rPr>
          <w:rFonts w:cs="Arial"/>
          <w:szCs w:val="22"/>
        </w:rPr>
        <w:t xml:space="preserve"> mais crítica aos padrões de qualidade da água e dos sedimentos, devido à decomposição biológica da biomassa inundada, o que deverá acarretar déficits de oxigênio dissolvido (OD). </w:t>
      </w:r>
    </w:p>
    <w:p w:rsidR="00627FA2" w:rsidRPr="00627FA2" w:rsidRDefault="005C3302" w:rsidP="00627FA2">
      <w:pPr>
        <w:tabs>
          <w:tab w:val="left" w:pos="567"/>
        </w:tabs>
        <w:spacing w:before="120" w:after="120" w:line="240" w:lineRule="auto"/>
        <w:rPr>
          <w:rFonts w:cs="Arial"/>
          <w:szCs w:val="22"/>
        </w:rPr>
      </w:pPr>
      <w:r w:rsidRPr="005C3302">
        <w:rPr>
          <w:rFonts w:cs="Arial"/>
          <w:szCs w:val="22"/>
        </w:rPr>
        <w:t>De acordo com as simu</w:t>
      </w:r>
      <w:r>
        <w:rPr>
          <w:rFonts w:cs="Arial"/>
          <w:szCs w:val="22"/>
        </w:rPr>
        <w:t>lações matemáticas</w:t>
      </w:r>
      <w:r w:rsidRPr="005C3302">
        <w:rPr>
          <w:rFonts w:cs="Arial"/>
          <w:szCs w:val="22"/>
        </w:rPr>
        <w:t>, no corpo central do reservatório da Barragem Pedreira, são esperadas concentrações de oxigênio dissolvido superiores a 4,0 mg/L, com redução nos braços contribuintes, sobretudo nos  córregos do Caracol (Seg-13) e sem denominação (Seg-06), tributários da margem esquerda do rio Jaguari, próximos à barragem</w:t>
      </w:r>
      <w:r w:rsidR="00627FA2" w:rsidRPr="00627FA2">
        <w:t>.</w:t>
      </w:r>
    </w:p>
    <w:p w:rsidR="00627FA2" w:rsidRPr="00627FA2" w:rsidRDefault="005C3302" w:rsidP="00627FA2">
      <w:pPr>
        <w:tabs>
          <w:tab w:val="left" w:pos="567"/>
        </w:tabs>
        <w:spacing w:before="120" w:after="120" w:line="240" w:lineRule="auto"/>
        <w:rPr>
          <w:rFonts w:cs="Arial"/>
          <w:szCs w:val="22"/>
        </w:rPr>
      </w:pPr>
      <w:r w:rsidRPr="005C3302">
        <w:rPr>
          <w:rFonts w:cs="Arial"/>
          <w:szCs w:val="22"/>
        </w:rPr>
        <w:t>No reservatório da Barragem Duas Pontes, estão previstos índices reduzidos de oxigênio dissolvido na maioria dos compartimentos do reservatório, incluindo os braços laterais. Essa condição irá favorecer o predomínio de indivíduos adaptados a substratos enriquecidos com matéria orgânica e com baixas concentrações de oxigênio dissolvido como Oligochaeta, Nematoda e Chironomidae.  Concomitantemente, deverá ocorrer uma menor diversidade de espécies sensíveis às perturbações ambientais, como Ephemeroptera</w:t>
      </w:r>
      <w:r>
        <w:rPr>
          <w:rFonts w:cs="Arial"/>
          <w:szCs w:val="22"/>
        </w:rPr>
        <w:t>.</w:t>
      </w:r>
    </w:p>
    <w:p w:rsidR="00627FA2" w:rsidRPr="00627FA2" w:rsidRDefault="00627FA2" w:rsidP="00627FA2">
      <w:pPr>
        <w:tabs>
          <w:tab w:val="left" w:pos="567"/>
        </w:tabs>
        <w:spacing w:before="120" w:after="120" w:line="240" w:lineRule="auto"/>
        <w:rPr>
          <w:rFonts w:cs="Arial"/>
          <w:szCs w:val="22"/>
        </w:rPr>
      </w:pPr>
      <w:r w:rsidRPr="00627FA2">
        <w:rPr>
          <w:rFonts w:cs="Arial"/>
          <w:szCs w:val="22"/>
        </w:rPr>
        <w:t>A alteração das comunidades aquáticas planctônicas e bentônicas é um impacto negativo, de ocorrência provável, localizado às áreas inundada. Trata-se de um impacto de ocorrência no curto prazo, de caráter irreversível e permanente, persistindo durante toda a vida útil do empreendimento.</w:t>
      </w:r>
    </w:p>
    <w:p w:rsidR="00627FA2" w:rsidRPr="00627FA2" w:rsidRDefault="00627FA2" w:rsidP="00627FA2">
      <w:pPr>
        <w:spacing w:before="120" w:after="120" w:line="240" w:lineRule="auto"/>
      </w:pPr>
      <w:r w:rsidRPr="00627FA2">
        <w:t xml:space="preserve">O impacto foi classificado como de média magnitude para a Barragem Pedreira e de grande magnitude para a Barragem Duas Pontes, levando-se em conta os resultados previstos </w:t>
      </w:r>
      <w:r w:rsidR="005C3302">
        <w:t>para a</w:t>
      </w:r>
      <w:r w:rsidRPr="00627FA2">
        <w:t xml:space="preserve"> qualidade da água, na etapa de enchimento, por meio da modelagem </w:t>
      </w:r>
      <w:r w:rsidRPr="00F803E4">
        <w:t>matemática (</w:t>
      </w:r>
      <w:r w:rsidR="00F803E4" w:rsidRPr="00F803E4">
        <w:t xml:space="preserve">Volume II Tomo 1 (Parte 1) </w:t>
      </w:r>
      <w:r w:rsidRPr="00F803E4">
        <w:t xml:space="preserve">item </w:t>
      </w:r>
      <w:r w:rsidR="00F803E4" w:rsidRPr="00F803E4">
        <w:t>4.9</w:t>
      </w:r>
      <w:r w:rsidRPr="00F803E4">
        <w:t>).</w:t>
      </w:r>
    </w:p>
    <w:p w:rsidR="00627FA2" w:rsidRPr="00C37DA1" w:rsidRDefault="008D3A12" w:rsidP="00C37DA1">
      <w:pPr>
        <w:pStyle w:val="Legenda"/>
        <w:spacing w:line="240" w:lineRule="auto"/>
        <w:jc w:val="center"/>
        <w:rPr>
          <w:rStyle w:val="CorpodeTexto0"/>
          <w:b w:val="0"/>
          <w:i w:val="0"/>
        </w:rPr>
      </w:pPr>
      <w:bookmarkStart w:id="308" w:name="_Toc420316502"/>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59</w:t>
      </w:r>
      <w:r w:rsidR="00B80A05" w:rsidRPr="00C37DA1">
        <w:rPr>
          <w:i w:val="0"/>
        </w:rPr>
        <w:fldChar w:fldCharType="end"/>
      </w:r>
      <w:r w:rsidR="00C37DA1" w:rsidRPr="00C37DA1">
        <w:rPr>
          <w:i w:val="0"/>
        </w:rPr>
        <w:t>.</w:t>
      </w:r>
      <w:r w:rsidR="00C37DA1" w:rsidRPr="00C37DA1">
        <w:rPr>
          <w:b w:val="0"/>
          <w:i w:val="0"/>
        </w:rPr>
        <w:t xml:space="preserve"> - </w:t>
      </w:r>
      <w:r w:rsidR="00627FA2" w:rsidRPr="00C37DA1">
        <w:rPr>
          <w:rStyle w:val="CorpodeTexto0"/>
          <w:b w:val="0"/>
          <w:i w:val="0"/>
        </w:rPr>
        <w:t>Caracterização do Impacto - Alteração nas Comunidades Aquáticas</w:t>
      </w:r>
      <w:r w:rsidR="009711CE" w:rsidRPr="00C37DA1">
        <w:rPr>
          <w:rStyle w:val="CorpodeTexto0"/>
          <w:b w:val="0"/>
          <w:i w:val="0"/>
        </w:rPr>
        <w:t xml:space="preserve"> </w:t>
      </w:r>
      <w:r w:rsidR="00627FA2" w:rsidRPr="00C37DA1">
        <w:rPr>
          <w:rStyle w:val="CorpodeTexto0"/>
          <w:b w:val="0"/>
          <w:i w:val="0"/>
        </w:rPr>
        <w:t>Planctônicas e Bentônicas</w:t>
      </w:r>
      <w:r w:rsidR="0050755C" w:rsidRPr="00C37DA1">
        <w:rPr>
          <w:rStyle w:val="CorpodeTexto0"/>
          <w:b w:val="0"/>
          <w:i w:val="0"/>
        </w:rPr>
        <w:t xml:space="preserve"> na Fase de Implantação</w:t>
      </w:r>
      <w:r w:rsidR="00627FA2" w:rsidRPr="00C37DA1">
        <w:rPr>
          <w:rStyle w:val="CorpodeTexto0"/>
          <w:b w:val="0"/>
          <w:i w:val="0"/>
        </w:rPr>
        <w:t xml:space="preserve"> - Barragem Pedreira</w:t>
      </w:r>
      <w:bookmarkEnd w:id="30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70"/>
        <w:gridCol w:w="3547"/>
      </w:tblGrid>
      <w:tr w:rsidR="00627FA2" w:rsidRPr="00627FA2" w:rsidTr="00627FA2">
        <w:trPr>
          <w:trHeight w:val="518"/>
          <w:jc w:val="center"/>
        </w:trPr>
        <w:tc>
          <w:tcPr>
            <w:tcW w:w="645"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Natureza</w:t>
            </w:r>
          </w:p>
        </w:tc>
        <w:tc>
          <w:tcPr>
            <w:tcW w:w="591"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Ordem</w:t>
            </w:r>
          </w:p>
        </w:tc>
        <w:tc>
          <w:tcPr>
            <w:tcW w:w="1091"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Abrangência</w:t>
            </w:r>
          </w:p>
        </w:tc>
        <w:tc>
          <w:tcPr>
            <w:tcW w:w="820"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Duração</w:t>
            </w:r>
          </w:p>
        </w:tc>
        <w:tc>
          <w:tcPr>
            <w:tcW w:w="1854"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Probabilidade de Ocorrência</w:t>
            </w:r>
          </w:p>
        </w:tc>
      </w:tr>
      <w:tr w:rsidR="00627FA2" w:rsidRPr="00627FA2" w:rsidTr="00627FA2">
        <w:trPr>
          <w:trHeight w:val="273"/>
          <w:jc w:val="center"/>
        </w:trPr>
        <w:tc>
          <w:tcPr>
            <w:tcW w:w="645"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Negativa</w:t>
            </w:r>
          </w:p>
        </w:tc>
        <w:tc>
          <w:tcPr>
            <w:tcW w:w="591"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Direta</w:t>
            </w:r>
          </w:p>
        </w:tc>
        <w:tc>
          <w:tcPr>
            <w:tcW w:w="1091"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Local (AID/ADA)</w:t>
            </w:r>
          </w:p>
        </w:tc>
        <w:tc>
          <w:tcPr>
            <w:tcW w:w="820"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Permanente</w:t>
            </w:r>
          </w:p>
        </w:tc>
        <w:tc>
          <w:tcPr>
            <w:tcW w:w="1854"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Provável</w:t>
            </w:r>
          </w:p>
        </w:tc>
      </w:tr>
    </w:tbl>
    <w:p w:rsidR="00627FA2" w:rsidRPr="00627FA2" w:rsidRDefault="00627FA2" w:rsidP="003B560B">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3"/>
      </w:tblGrid>
      <w:tr w:rsidR="00627FA2" w:rsidRPr="00627FA2" w:rsidTr="00627FA2">
        <w:trPr>
          <w:trHeight w:val="397"/>
          <w:jc w:val="center"/>
        </w:trPr>
        <w:tc>
          <w:tcPr>
            <w:tcW w:w="1342"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Época de Ocorrência</w:t>
            </w:r>
          </w:p>
        </w:tc>
        <w:tc>
          <w:tcPr>
            <w:tcW w:w="977"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Reversibilidade</w:t>
            </w:r>
          </w:p>
        </w:tc>
        <w:tc>
          <w:tcPr>
            <w:tcW w:w="721"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Magnitude</w:t>
            </w:r>
          </w:p>
        </w:tc>
        <w:tc>
          <w:tcPr>
            <w:tcW w:w="778"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Importância</w:t>
            </w:r>
          </w:p>
        </w:tc>
        <w:tc>
          <w:tcPr>
            <w:tcW w:w="1182"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Mitigação</w:t>
            </w:r>
          </w:p>
        </w:tc>
      </w:tr>
      <w:tr w:rsidR="00627FA2" w:rsidRPr="00627FA2" w:rsidTr="00627FA2">
        <w:trPr>
          <w:trHeight w:val="344"/>
          <w:jc w:val="center"/>
        </w:trPr>
        <w:tc>
          <w:tcPr>
            <w:tcW w:w="1342"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Curto Prazo</w:t>
            </w:r>
          </w:p>
        </w:tc>
        <w:tc>
          <w:tcPr>
            <w:tcW w:w="977"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Irreversível</w:t>
            </w:r>
          </w:p>
        </w:tc>
        <w:tc>
          <w:tcPr>
            <w:tcW w:w="721"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Média</w:t>
            </w:r>
          </w:p>
        </w:tc>
        <w:tc>
          <w:tcPr>
            <w:tcW w:w="778"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Alta</w:t>
            </w:r>
          </w:p>
        </w:tc>
        <w:tc>
          <w:tcPr>
            <w:tcW w:w="1182"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Mitigável</w:t>
            </w:r>
          </w:p>
        </w:tc>
      </w:tr>
    </w:tbl>
    <w:p w:rsidR="00E155C0" w:rsidRDefault="00E155C0" w:rsidP="00E155C0">
      <w:pPr>
        <w:pStyle w:val="CorpodetextoBodyTextCharCharCharCharCharCharCharCharBodyTextCharBodyTextCharCharCharCharCharCharCharCharCharCharCharCharCharCharChar"/>
        <w:spacing w:after="0"/>
        <w:jc w:val="left"/>
        <w:rPr>
          <w:rStyle w:val="CorpodeTexto0"/>
          <w:b/>
        </w:rPr>
      </w:pPr>
      <w:r>
        <w:rPr>
          <w:rStyle w:val="CorpodeTexto0"/>
          <w:b/>
        </w:rPr>
        <w:br w:type="page"/>
      </w:r>
    </w:p>
    <w:p w:rsidR="00392B0D" w:rsidRDefault="00392B0D" w:rsidP="00E155C0">
      <w:pPr>
        <w:pStyle w:val="CorpodetextoBodyTextCharCharCharCharCharCharCharCharBodyTextCharBodyTextCharCharCharCharCharCharCharCharCharCharCharCharCharCharChar"/>
        <w:spacing w:after="0"/>
        <w:jc w:val="left"/>
        <w:rPr>
          <w:rStyle w:val="CorpodeTexto0"/>
          <w:b/>
        </w:rPr>
      </w:pPr>
    </w:p>
    <w:p w:rsidR="00627FA2" w:rsidRPr="00C37DA1" w:rsidRDefault="008D3A12" w:rsidP="00C37DA1">
      <w:pPr>
        <w:pStyle w:val="Legenda"/>
        <w:spacing w:line="240" w:lineRule="auto"/>
        <w:jc w:val="center"/>
        <w:rPr>
          <w:rStyle w:val="CorpodeTexto0"/>
          <w:b w:val="0"/>
          <w:i w:val="0"/>
        </w:rPr>
      </w:pPr>
      <w:bookmarkStart w:id="309" w:name="_Toc420316503"/>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60</w:t>
      </w:r>
      <w:r w:rsidR="00B80A05" w:rsidRPr="00C37DA1">
        <w:rPr>
          <w:i w:val="0"/>
        </w:rPr>
        <w:fldChar w:fldCharType="end"/>
      </w:r>
      <w:r w:rsidR="00C37DA1" w:rsidRPr="00C37DA1">
        <w:rPr>
          <w:i w:val="0"/>
        </w:rPr>
        <w:t>.</w:t>
      </w:r>
      <w:r w:rsidR="00C37DA1" w:rsidRPr="00C37DA1">
        <w:rPr>
          <w:b w:val="0"/>
          <w:i w:val="0"/>
        </w:rPr>
        <w:t xml:space="preserve"> - </w:t>
      </w:r>
      <w:r w:rsidR="00627FA2" w:rsidRPr="00C37DA1">
        <w:rPr>
          <w:rStyle w:val="CorpodeTexto0"/>
          <w:b w:val="0"/>
          <w:i w:val="0"/>
        </w:rPr>
        <w:t>Caracterização do Impacto - Alteração nas Comunidades Aquáticas Planctônicas e Bentônicas</w:t>
      </w:r>
      <w:r w:rsidR="002102F0" w:rsidRPr="00C37DA1">
        <w:rPr>
          <w:rStyle w:val="CorpodeTexto0"/>
          <w:b w:val="0"/>
          <w:i w:val="0"/>
        </w:rPr>
        <w:t xml:space="preserve"> na Fase de Implantação</w:t>
      </w:r>
      <w:r w:rsidR="00627FA2" w:rsidRPr="00C37DA1">
        <w:rPr>
          <w:rStyle w:val="CorpodeTexto0"/>
          <w:b w:val="0"/>
          <w:i w:val="0"/>
        </w:rPr>
        <w:t xml:space="preserve"> - Barragem Duas Pontes</w:t>
      </w:r>
      <w:bookmarkEnd w:id="30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70"/>
        <w:gridCol w:w="3547"/>
      </w:tblGrid>
      <w:tr w:rsidR="00627FA2" w:rsidRPr="00627FA2" w:rsidTr="00627FA2">
        <w:trPr>
          <w:trHeight w:val="518"/>
          <w:jc w:val="center"/>
        </w:trPr>
        <w:tc>
          <w:tcPr>
            <w:tcW w:w="645"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Natureza</w:t>
            </w:r>
          </w:p>
        </w:tc>
        <w:tc>
          <w:tcPr>
            <w:tcW w:w="591"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Ordem</w:t>
            </w:r>
          </w:p>
        </w:tc>
        <w:tc>
          <w:tcPr>
            <w:tcW w:w="1091"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Abrangência</w:t>
            </w:r>
          </w:p>
        </w:tc>
        <w:tc>
          <w:tcPr>
            <w:tcW w:w="820"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Duração</w:t>
            </w:r>
          </w:p>
        </w:tc>
        <w:tc>
          <w:tcPr>
            <w:tcW w:w="1853"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Probabilidade de Ocorrência</w:t>
            </w:r>
          </w:p>
        </w:tc>
      </w:tr>
      <w:tr w:rsidR="00627FA2" w:rsidRPr="00627FA2" w:rsidTr="00627FA2">
        <w:trPr>
          <w:trHeight w:val="273"/>
          <w:jc w:val="center"/>
        </w:trPr>
        <w:tc>
          <w:tcPr>
            <w:tcW w:w="645"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Negativa</w:t>
            </w:r>
          </w:p>
        </w:tc>
        <w:tc>
          <w:tcPr>
            <w:tcW w:w="591"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Direta</w:t>
            </w:r>
          </w:p>
        </w:tc>
        <w:tc>
          <w:tcPr>
            <w:tcW w:w="1091"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Local (AID/ADA)</w:t>
            </w:r>
          </w:p>
        </w:tc>
        <w:tc>
          <w:tcPr>
            <w:tcW w:w="820"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Permanente</w:t>
            </w:r>
          </w:p>
        </w:tc>
        <w:tc>
          <w:tcPr>
            <w:tcW w:w="1853"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Provável</w:t>
            </w:r>
          </w:p>
        </w:tc>
      </w:tr>
    </w:tbl>
    <w:p w:rsidR="00627FA2" w:rsidRPr="00627FA2" w:rsidRDefault="00627FA2" w:rsidP="003B560B">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3"/>
      </w:tblGrid>
      <w:tr w:rsidR="00627FA2" w:rsidRPr="00627FA2" w:rsidTr="00627FA2">
        <w:trPr>
          <w:trHeight w:val="397"/>
          <w:jc w:val="center"/>
        </w:trPr>
        <w:tc>
          <w:tcPr>
            <w:tcW w:w="1342"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Época de Ocorrência</w:t>
            </w:r>
          </w:p>
        </w:tc>
        <w:tc>
          <w:tcPr>
            <w:tcW w:w="977"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Reversibilidade</w:t>
            </w:r>
          </w:p>
        </w:tc>
        <w:tc>
          <w:tcPr>
            <w:tcW w:w="721"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Magnitude</w:t>
            </w:r>
          </w:p>
        </w:tc>
        <w:tc>
          <w:tcPr>
            <w:tcW w:w="778"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Importância</w:t>
            </w:r>
          </w:p>
        </w:tc>
        <w:tc>
          <w:tcPr>
            <w:tcW w:w="1182"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Mitigação</w:t>
            </w:r>
          </w:p>
        </w:tc>
      </w:tr>
      <w:tr w:rsidR="00627FA2" w:rsidRPr="00627FA2" w:rsidTr="00627FA2">
        <w:trPr>
          <w:trHeight w:val="344"/>
          <w:jc w:val="center"/>
        </w:trPr>
        <w:tc>
          <w:tcPr>
            <w:tcW w:w="1342"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Curto Prazo</w:t>
            </w:r>
          </w:p>
        </w:tc>
        <w:tc>
          <w:tcPr>
            <w:tcW w:w="977"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Irreversível</w:t>
            </w:r>
          </w:p>
        </w:tc>
        <w:tc>
          <w:tcPr>
            <w:tcW w:w="721"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 xml:space="preserve">Grande </w:t>
            </w:r>
          </w:p>
        </w:tc>
        <w:tc>
          <w:tcPr>
            <w:tcW w:w="778"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Alta</w:t>
            </w:r>
          </w:p>
        </w:tc>
        <w:tc>
          <w:tcPr>
            <w:tcW w:w="1182" w:type="pct"/>
            <w:tcBorders>
              <w:top w:val="single" w:sz="4" w:space="0" w:color="auto"/>
              <w:left w:val="single" w:sz="4" w:space="0" w:color="auto"/>
              <w:bottom w:val="single" w:sz="4" w:space="0" w:color="auto"/>
              <w:right w:val="single" w:sz="4" w:space="0" w:color="auto"/>
            </w:tcBorders>
            <w:vAlign w:val="center"/>
            <w:hideMark/>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Mitigável</w:t>
            </w:r>
          </w:p>
        </w:tc>
      </w:tr>
    </w:tbl>
    <w:p w:rsidR="00627FA2" w:rsidRPr="00627FA2" w:rsidRDefault="00627FA2" w:rsidP="00627FA2">
      <w:pPr>
        <w:autoSpaceDE w:val="0"/>
        <w:autoSpaceDN w:val="0"/>
        <w:adjustRightInd w:val="0"/>
        <w:spacing w:before="120" w:after="120" w:line="240" w:lineRule="auto"/>
        <w:rPr>
          <w:rFonts w:cs="Arial"/>
          <w:b/>
          <w:szCs w:val="22"/>
        </w:rPr>
      </w:pPr>
    </w:p>
    <w:p w:rsidR="00627FA2" w:rsidRPr="00627FA2" w:rsidRDefault="00627FA2" w:rsidP="00627FA2">
      <w:pPr>
        <w:autoSpaceDE w:val="0"/>
        <w:autoSpaceDN w:val="0"/>
        <w:adjustRightInd w:val="0"/>
        <w:spacing w:before="120" w:after="120" w:line="240" w:lineRule="auto"/>
        <w:rPr>
          <w:rFonts w:cs="Arial"/>
          <w:b/>
          <w:szCs w:val="22"/>
        </w:rPr>
      </w:pPr>
      <w:r w:rsidRPr="00627FA2">
        <w:rPr>
          <w:rFonts w:cs="Arial"/>
          <w:b/>
          <w:szCs w:val="22"/>
        </w:rPr>
        <w:t>Ações Ambientais Propostas:</w:t>
      </w:r>
    </w:p>
    <w:p w:rsidR="00627FA2" w:rsidRPr="00627FA2" w:rsidRDefault="005C3302" w:rsidP="00627FA2">
      <w:pPr>
        <w:tabs>
          <w:tab w:val="left" w:pos="567"/>
        </w:tabs>
        <w:spacing w:before="120" w:after="120" w:line="240" w:lineRule="auto"/>
        <w:rPr>
          <w:rFonts w:cs="Arial"/>
          <w:szCs w:val="22"/>
        </w:rPr>
      </w:pPr>
      <w:r w:rsidRPr="005C3302">
        <w:rPr>
          <w:rFonts w:cs="Arial"/>
          <w:szCs w:val="22"/>
        </w:rPr>
        <w:t>São válidas as mesmas medidas mitigadoras indicadas no impacto de alteração da qualidade das águas superficiais e dos sedimentos para evitar o fluxo de sólidos durante as obras civis, tais como: implantação e manutenção das estruturas de contenção de sólidos, de sistemas de drenagens provisórios e permanentes; estabilização dos taludes e a revegetação das áreas com solos expostos e segregação dos resíduos e dos efluentes em conformidade com as legislações e normas ambientais vigentes</w:t>
      </w:r>
      <w:r w:rsidR="00627FA2" w:rsidRPr="00627FA2">
        <w:rPr>
          <w:rFonts w:cs="Arial"/>
          <w:szCs w:val="22"/>
        </w:rPr>
        <w:t>.</w:t>
      </w:r>
    </w:p>
    <w:p w:rsidR="005C3302" w:rsidRPr="005C3302" w:rsidRDefault="005C3302" w:rsidP="005C3302">
      <w:pPr>
        <w:tabs>
          <w:tab w:val="left" w:pos="567"/>
        </w:tabs>
        <w:spacing w:before="120" w:after="120" w:line="240" w:lineRule="auto"/>
        <w:rPr>
          <w:rFonts w:cs="Arial"/>
          <w:szCs w:val="22"/>
        </w:rPr>
      </w:pPr>
      <w:r w:rsidRPr="005C3302">
        <w:rPr>
          <w:rFonts w:cs="Arial"/>
          <w:szCs w:val="22"/>
        </w:rPr>
        <w:t>Para minimizar o impacto, será realizada, previamente à etapa do enchimento, a remoção da vegetação nas áreas a serem inundadas dos reservatórios. As ações de reflorestamento e recomposição de mata ciliar e de medidas conservacionistas do solo sejam estendidas, sempre que possível, aos principais formadores e tributários contribuintes dos futuros reservatórios.</w:t>
      </w:r>
    </w:p>
    <w:p w:rsidR="005C3302" w:rsidRPr="005C3302" w:rsidRDefault="005C3302" w:rsidP="005C3302">
      <w:pPr>
        <w:tabs>
          <w:tab w:val="left" w:pos="567"/>
        </w:tabs>
        <w:spacing w:before="120" w:after="120" w:line="240" w:lineRule="auto"/>
        <w:rPr>
          <w:rFonts w:cs="Arial"/>
          <w:szCs w:val="22"/>
        </w:rPr>
      </w:pPr>
      <w:r w:rsidRPr="005C3302">
        <w:rPr>
          <w:rFonts w:cs="Arial"/>
          <w:szCs w:val="22"/>
        </w:rPr>
        <w:t xml:space="preserve">Em caráter complementar, deverão ser tomadas medidas para ampliação dos sistemas de coleta e tratamento de esgotos domésticos, incluindo a adoção de tratamento terciário para remoção de nutrientes minerais. Esse mecanismo, associado ao controle das fontes poluidoras de origem industrial e de atividades agropecuárias, reveste-se de grande importância para minimizar a introdução do fósforo no ambiente aquático, considerado o principal nutriente indutor do desenvolvimento do fitoplâncton. </w:t>
      </w:r>
    </w:p>
    <w:p w:rsidR="00627FA2" w:rsidRPr="00627FA2" w:rsidRDefault="005C3302" w:rsidP="00627FA2">
      <w:pPr>
        <w:tabs>
          <w:tab w:val="left" w:pos="567"/>
        </w:tabs>
        <w:spacing w:before="120" w:after="120" w:line="240" w:lineRule="auto"/>
        <w:rPr>
          <w:rFonts w:cs="Arial"/>
          <w:szCs w:val="22"/>
        </w:rPr>
      </w:pPr>
      <w:r w:rsidRPr="005C3302">
        <w:rPr>
          <w:rFonts w:cs="Arial"/>
          <w:szCs w:val="22"/>
        </w:rPr>
        <w:t>Para acompanhar a dinâmica das comunidades aquáticas, principalmente no que se refere à proliferação de algas e de cianobactérias, será adotado o Programa de Monitoramento da Biota Aquática em conjunto com o Programa de Qualidade das Águas Superficiais e dos Sedimentos, durante todas as fases dos empreendimentos Barragens Pedreira e Duas Pontes. Será implantado ainda Programa de Revegetação e Enriquecimento Florestal e o Subprograma Programa de Reflorestamento da APP do Futuro Reservatório, visando à conservação dos am</w:t>
      </w:r>
      <w:r>
        <w:rPr>
          <w:rFonts w:cs="Arial"/>
          <w:szCs w:val="22"/>
        </w:rPr>
        <w:t xml:space="preserve">bientes aquáticos e terrestre. </w:t>
      </w:r>
    </w:p>
    <w:p w:rsidR="00627FA2" w:rsidRPr="000F69FA" w:rsidRDefault="0050755C" w:rsidP="000F69FA">
      <w:pPr>
        <w:pStyle w:val="Item-Trainho"/>
        <w:numPr>
          <w:ilvl w:val="0"/>
          <w:numId w:val="0"/>
        </w:numPr>
        <w:rPr>
          <w:b/>
        </w:rPr>
      </w:pPr>
      <w:r w:rsidRPr="000F69FA">
        <w:rPr>
          <w:b/>
        </w:rPr>
        <w:t xml:space="preserve">b) </w:t>
      </w:r>
      <w:r w:rsidR="00627FA2" w:rsidRPr="000F69FA">
        <w:rPr>
          <w:b/>
        </w:rPr>
        <w:t>Fase: Operação</w:t>
      </w:r>
    </w:p>
    <w:p w:rsidR="005C3302" w:rsidRPr="005C3302" w:rsidRDefault="005C3302" w:rsidP="005C3302">
      <w:pPr>
        <w:tabs>
          <w:tab w:val="left" w:pos="567"/>
        </w:tabs>
        <w:spacing w:before="120" w:after="120" w:line="240" w:lineRule="auto"/>
        <w:rPr>
          <w:rFonts w:cs="Arial"/>
          <w:szCs w:val="22"/>
        </w:rPr>
      </w:pPr>
      <w:r w:rsidRPr="005C3302">
        <w:rPr>
          <w:rFonts w:cs="Arial"/>
          <w:szCs w:val="22"/>
        </w:rPr>
        <w:t xml:space="preserve">Na fase de operação dos reservatórios Pedreira e Duas Pontes, a transformação do ambiente lótico para lêntico, associado à estabilização da biomassa inundada, à redução da turbidez do meio aquático e à maior disponibilidade de nutrientes são fatores que contribuem com o aumento da densidade do fitoplâncton. </w:t>
      </w:r>
    </w:p>
    <w:p w:rsidR="005C3302" w:rsidRPr="005C3302" w:rsidRDefault="005C3302" w:rsidP="005C3302">
      <w:pPr>
        <w:tabs>
          <w:tab w:val="left" w:pos="567"/>
        </w:tabs>
        <w:spacing w:before="120" w:after="120" w:line="240" w:lineRule="auto"/>
        <w:rPr>
          <w:rFonts w:cs="Arial"/>
          <w:szCs w:val="22"/>
        </w:rPr>
      </w:pPr>
      <w:r w:rsidRPr="005C3302">
        <w:rPr>
          <w:rFonts w:cs="Arial"/>
          <w:szCs w:val="22"/>
        </w:rPr>
        <w:t xml:space="preserve">De modo geral, as mudanças esperadas no ecossistema aquático possivelmente serão mais relevantes no reservatório da Barragem Duas Pontes, em função deste apresentar, em comparação ao reservatório da Barragem Pedreira, maior área inundada, maior tempo de residência do reservatório e maior potencial de cargas poluidoras. Vale destacar que a maior extensão da área inundada implica também maior área de exposição dos organismos autótrofos à luz solar, aumentando o potencial de assimilação dos nutrientes disponíveis no ambiente aquático para o fitoplâncton, com reflexos aos demais elos da cadeia alimentar aquática. </w:t>
      </w:r>
    </w:p>
    <w:p w:rsidR="004F2320" w:rsidRPr="004F2320" w:rsidRDefault="004F2320" w:rsidP="004F2320">
      <w:pPr>
        <w:tabs>
          <w:tab w:val="left" w:pos="567"/>
        </w:tabs>
        <w:spacing w:before="120" w:after="120" w:line="240" w:lineRule="auto"/>
        <w:rPr>
          <w:rFonts w:cs="Arial"/>
          <w:szCs w:val="22"/>
        </w:rPr>
      </w:pPr>
      <w:r w:rsidRPr="004F2320">
        <w:rPr>
          <w:rFonts w:cs="Arial"/>
          <w:szCs w:val="22"/>
        </w:rPr>
        <w:t>Na Barragem Duas Pontes, os resultados da modelagem</w:t>
      </w:r>
      <w:r>
        <w:rPr>
          <w:rFonts w:cs="Arial"/>
          <w:szCs w:val="22"/>
        </w:rPr>
        <w:t xml:space="preserve"> matemática</w:t>
      </w:r>
      <w:r w:rsidRPr="004F2320">
        <w:rPr>
          <w:rFonts w:cs="Arial"/>
          <w:szCs w:val="22"/>
        </w:rPr>
        <w:t xml:space="preserve"> apontam concentrações acentuadas de nutrientes, em especial no corpo central do reservatório, que tenderá a manter um elevado nível de trofia (Supereutrófico), condicionando o aumento da produtividade primária. Em contraste, no reservatório da Barragem Pedreira, as simulações apontam um ambiente predominantemente Mesotrófico. </w:t>
      </w:r>
    </w:p>
    <w:p w:rsidR="004F2320" w:rsidRDefault="004F2320" w:rsidP="004F2320">
      <w:pPr>
        <w:tabs>
          <w:tab w:val="left" w:pos="567"/>
        </w:tabs>
        <w:spacing w:before="120" w:after="120" w:line="240" w:lineRule="auto"/>
        <w:rPr>
          <w:rFonts w:cs="Arial"/>
          <w:szCs w:val="22"/>
        </w:rPr>
      </w:pPr>
      <w:r w:rsidRPr="004F2320">
        <w:rPr>
          <w:rFonts w:cs="Arial"/>
          <w:szCs w:val="22"/>
        </w:rPr>
        <w:t>Durante a operação dos reservatórios, a estabilização das condições físico-químicas e a disponibilidade de fósforo no sistema hídrico propiciam o predomínio numérico das classes Chlorophyceae (algas verdes), Euglenophyceae, e, principalmente, de Cyanobacteria (cianobactérias). Concomitantemente, deverá ocorrer uma menor participação de diatomáceas (Bacillariophyceae), que tenderão a sofrer decantação, tendendo a colonizar a vegetação aquática marginal e os sedimentos das zonas mais rasas dos reservatórios Pedreira e Duas Pontes.</w:t>
      </w:r>
    </w:p>
    <w:p w:rsidR="004F2320" w:rsidRDefault="004F2320" w:rsidP="004F2320">
      <w:pPr>
        <w:tabs>
          <w:tab w:val="left" w:pos="567"/>
        </w:tabs>
        <w:spacing w:before="120" w:after="120" w:line="240" w:lineRule="auto"/>
        <w:rPr>
          <w:rFonts w:cs="Arial"/>
          <w:szCs w:val="22"/>
        </w:rPr>
      </w:pPr>
      <w:r w:rsidRPr="004F2320">
        <w:rPr>
          <w:rFonts w:cs="Arial"/>
          <w:szCs w:val="22"/>
        </w:rPr>
        <w:t xml:space="preserve">Cabe salientar que, em mananciais de abastecimento público, alguns dos gêneros do fitoplâncton registrados nos rios Camanducaia e Jaguari, no </w:t>
      </w:r>
      <w:r>
        <w:rPr>
          <w:rFonts w:cs="Arial"/>
          <w:szCs w:val="22"/>
        </w:rPr>
        <w:t>âmbito do diagnóstico ambiental</w:t>
      </w:r>
      <w:r w:rsidRPr="004F2320">
        <w:rPr>
          <w:rFonts w:cs="Arial"/>
          <w:szCs w:val="22"/>
        </w:rPr>
        <w:t xml:space="preserve">, podem causar sabor e odor nas águas, quando se desenvolvem em grandes quantidades, tais como </w:t>
      </w:r>
      <w:r w:rsidRPr="004F2320">
        <w:rPr>
          <w:rFonts w:cs="Arial"/>
          <w:i/>
          <w:szCs w:val="22"/>
        </w:rPr>
        <w:t xml:space="preserve">Cyclotella, Fragilaria </w:t>
      </w:r>
      <w:r w:rsidRPr="004F2320">
        <w:rPr>
          <w:rFonts w:cs="Arial"/>
          <w:szCs w:val="22"/>
        </w:rPr>
        <w:t>e</w:t>
      </w:r>
      <w:r w:rsidRPr="004F2320">
        <w:rPr>
          <w:rFonts w:cs="Arial"/>
          <w:i/>
          <w:szCs w:val="22"/>
        </w:rPr>
        <w:t xml:space="preserve"> Cryptomonas</w:t>
      </w:r>
      <w:r w:rsidRPr="004F2320">
        <w:rPr>
          <w:rFonts w:cs="Arial"/>
          <w:szCs w:val="22"/>
        </w:rPr>
        <w:t xml:space="preserve">, dentre outras (BRANCO, 1986). O crescimento excessivo do fitoplâncton, em episódios típicos de floração, causa em geral alterações de cor e de turbidez nas águas de abastecimento, interferindo também nas etapas de coagulação e de filtração dos sistemas de tratamento. </w:t>
      </w:r>
    </w:p>
    <w:p w:rsidR="004F2320" w:rsidRPr="004F2320" w:rsidRDefault="004F2320" w:rsidP="004F2320">
      <w:pPr>
        <w:tabs>
          <w:tab w:val="left" w:pos="567"/>
        </w:tabs>
        <w:spacing w:before="120" w:after="120" w:line="240" w:lineRule="auto"/>
        <w:rPr>
          <w:rFonts w:cs="Arial"/>
          <w:szCs w:val="22"/>
        </w:rPr>
      </w:pPr>
      <w:r w:rsidRPr="004F2320">
        <w:rPr>
          <w:rFonts w:cs="Arial"/>
          <w:szCs w:val="22"/>
        </w:rPr>
        <w:t>Contudo, a principal interferência nos mananciais de abastecimento refere-se ao grupo das cianobactérias, conforme detalhado na descrição do impacto subsequente.</w:t>
      </w:r>
    </w:p>
    <w:p w:rsidR="00627FA2" w:rsidRPr="00627FA2" w:rsidRDefault="004F2320" w:rsidP="00627FA2">
      <w:pPr>
        <w:tabs>
          <w:tab w:val="left" w:pos="567"/>
        </w:tabs>
        <w:spacing w:before="120" w:after="120" w:line="240" w:lineRule="auto"/>
        <w:rPr>
          <w:rFonts w:cs="Arial"/>
          <w:szCs w:val="22"/>
        </w:rPr>
      </w:pPr>
      <w:r w:rsidRPr="004F2320">
        <w:rPr>
          <w:rFonts w:cs="Arial"/>
          <w:szCs w:val="22"/>
        </w:rPr>
        <w:t xml:space="preserve">A maior oferta de alimentos e a estabilidade da coluna d’água dos futuros reservatórios propiciarão o aumento na densidade de espécies tipicamente zooplanctônicas, como rotíferos e copépodos (MATSUMURA-TUNDISI </w:t>
      </w:r>
      <w:r w:rsidRPr="004F2320">
        <w:rPr>
          <w:rFonts w:cs="Arial"/>
          <w:i/>
          <w:szCs w:val="22"/>
        </w:rPr>
        <w:t>et al.,</w:t>
      </w:r>
      <w:r w:rsidRPr="004F2320">
        <w:rPr>
          <w:rFonts w:cs="Arial"/>
          <w:szCs w:val="22"/>
        </w:rPr>
        <w:t xml:space="preserve"> 2000). </w:t>
      </w:r>
      <w:r w:rsidR="00627FA2" w:rsidRPr="00627FA2">
        <w:rPr>
          <w:rFonts w:cs="Arial"/>
          <w:szCs w:val="22"/>
        </w:rPr>
        <w:t xml:space="preserve">. </w:t>
      </w:r>
    </w:p>
    <w:p w:rsidR="00627FA2" w:rsidRPr="00627FA2" w:rsidRDefault="00627FA2" w:rsidP="00627FA2">
      <w:pPr>
        <w:tabs>
          <w:tab w:val="left" w:pos="567"/>
        </w:tabs>
        <w:spacing w:before="120" w:after="120" w:line="240" w:lineRule="auto"/>
        <w:rPr>
          <w:rFonts w:cs="Arial"/>
          <w:szCs w:val="22"/>
        </w:rPr>
      </w:pPr>
      <w:r w:rsidRPr="00627FA2">
        <w:rPr>
          <w:rFonts w:cs="Arial"/>
          <w:szCs w:val="22"/>
        </w:rPr>
        <w:t xml:space="preserve">A comunidade zooplanctônica atua como elo entre o nível dos produtores (fitoplâncton) e os níveis tróficos superiores, desempenhando um papel na transferência de energia e decomposição de matéria orgânica ou através de interações como herbivoria e predação (BOZELLI &amp; HUSZAR, 2003). Por ser a base alimentar do ictioplâncton, a alteração na riqueza e na abundância do zooplâncton poderá também ter um efeito sobre a fauna íctica e nos demais </w:t>
      </w:r>
      <w:r w:rsidR="004F2320">
        <w:rPr>
          <w:rFonts w:cs="Arial"/>
          <w:szCs w:val="22"/>
        </w:rPr>
        <w:t>componentes</w:t>
      </w:r>
      <w:r w:rsidRPr="00627FA2">
        <w:rPr>
          <w:rFonts w:cs="Arial"/>
          <w:szCs w:val="22"/>
        </w:rPr>
        <w:t xml:space="preserve"> da cadeia alimentar aquática.</w:t>
      </w:r>
    </w:p>
    <w:p w:rsidR="00627FA2" w:rsidRPr="00627FA2" w:rsidRDefault="004F2320" w:rsidP="00627FA2">
      <w:pPr>
        <w:tabs>
          <w:tab w:val="left" w:pos="567"/>
        </w:tabs>
        <w:spacing w:before="120" w:after="120" w:line="240" w:lineRule="auto"/>
        <w:rPr>
          <w:rFonts w:cs="Arial"/>
          <w:szCs w:val="22"/>
        </w:rPr>
      </w:pPr>
      <w:r w:rsidRPr="004F2320">
        <w:rPr>
          <w:rFonts w:cs="Arial"/>
          <w:szCs w:val="22"/>
        </w:rPr>
        <w:t>Na etapa de operação dos empreendimentos, provavelmente será encontrada uma maior densidade de organismos bentônicos em relação à condição atual verificada nos rios Jaguari e Camanducaia, prevalecendo os grupos mais resistentes a déficits de oxigênio dissolvido,</w:t>
      </w:r>
      <w:r w:rsidRPr="004F2320" w:rsidDel="0028365C">
        <w:rPr>
          <w:rFonts w:cs="Arial"/>
          <w:szCs w:val="22"/>
        </w:rPr>
        <w:t xml:space="preserve"> </w:t>
      </w:r>
      <w:r w:rsidRPr="004F2320">
        <w:rPr>
          <w:rFonts w:cs="Arial"/>
          <w:szCs w:val="22"/>
        </w:rPr>
        <w:t>tais como os vermes Oligochaeta e Nematoda.</w:t>
      </w:r>
    </w:p>
    <w:p w:rsidR="004F2320" w:rsidRPr="004F2320" w:rsidRDefault="004F2320" w:rsidP="004F2320">
      <w:pPr>
        <w:tabs>
          <w:tab w:val="left" w:pos="567"/>
        </w:tabs>
        <w:spacing w:before="120" w:after="120" w:line="240" w:lineRule="auto"/>
        <w:rPr>
          <w:rFonts w:cs="Arial"/>
          <w:szCs w:val="22"/>
        </w:rPr>
      </w:pPr>
      <w:r w:rsidRPr="004F2320">
        <w:rPr>
          <w:rFonts w:cs="Arial"/>
          <w:szCs w:val="22"/>
        </w:rPr>
        <w:t>A alteração das comunidades aquáticas planctônicas e bentônicas é um impacto negativo, de ocorrência provável e localizado na AID e ADA. Trata-se de um impacto de ocorrência no curto prazo, de caráter irreversível e permanente, persistindo durante toda a vida útil do empreendimento.</w:t>
      </w:r>
    </w:p>
    <w:p w:rsidR="004F2320" w:rsidRDefault="004F2320" w:rsidP="004F2320">
      <w:pPr>
        <w:tabs>
          <w:tab w:val="left" w:pos="567"/>
        </w:tabs>
        <w:spacing w:before="120" w:after="120" w:line="240" w:lineRule="auto"/>
        <w:rPr>
          <w:rFonts w:cs="Arial"/>
          <w:szCs w:val="22"/>
        </w:rPr>
      </w:pPr>
      <w:r w:rsidRPr="004F2320">
        <w:rPr>
          <w:rFonts w:cs="Arial"/>
          <w:szCs w:val="22"/>
        </w:rPr>
        <w:t>O impacto foi classificado como de média magnitude para a Barragem Pedreira e de grande magnitude para a Barragem Duas Pontes, levando-se em conta os resultados previstos para a qualidade da água, na etapa de operação, que se refletiram na biota aquática, principalmente em relação ao desenvolvimento do fitoplâncton.</w:t>
      </w:r>
    </w:p>
    <w:p w:rsidR="004F2320" w:rsidRDefault="004F2320" w:rsidP="004F2320">
      <w:pPr>
        <w:tabs>
          <w:tab w:val="left" w:pos="567"/>
        </w:tabs>
        <w:spacing w:before="120" w:after="120" w:line="240" w:lineRule="auto"/>
        <w:rPr>
          <w:rFonts w:cs="Arial"/>
          <w:szCs w:val="22"/>
        </w:rPr>
      </w:pPr>
    </w:p>
    <w:p w:rsidR="004F2320" w:rsidRDefault="004F2320" w:rsidP="004F2320">
      <w:pPr>
        <w:tabs>
          <w:tab w:val="left" w:pos="567"/>
        </w:tabs>
        <w:spacing w:before="120" w:after="120" w:line="240" w:lineRule="auto"/>
        <w:rPr>
          <w:rFonts w:cs="Arial"/>
          <w:szCs w:val="22"/>
        </w:rPr>
      </w:pPr>
    </w:p>
    <w:p w:rsidR="004F2320" w:rsidRPr="004F2320" w:rsidRDefault="004F2320" w:rsidP="004F2320">
      <w:pPr>
        <w:tabs>
          <w:tab w:val="left" w:pos="567"/>
        </w:tabs>
        <w:spacing w:before="120" w:after="120" w:line="240" w:lineRule="auto"/>
        <w:rPr>
          <w:rFonts w:cs="Arial"/>
          <w:szCs w:val="22"/>
        </w:rPr>
      </w:pPr>
    </w:p>
    <w:p w:rsidR="00627FA2" w:rsidRPr="00C37DA1" w:rsidRDefault="008D3A12" w:rsidP="00C37DA1">
      <w:pPr>
        <w:pStyle w:val="Legenda"/>
        <w:spacing w:before="0" w:after="0" w:line="240" w:lineRule="auto"/>
        <w:jc w:val="center"/>
        <w:rPr>
          <w:b w:val="0"/>
          <w:bCs/>
          <w:i w:val="0"/>
          <w:spacing w:val="-2"/>
        </w:rPr>
      </w:pPr>
      <w:bookmarkStart w:id="310" w:name="_Toc420316504"/>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61</w:t>
      </w:r>
      <w:r w:rsidR="00B80A05" w:rsidRPr="00C37DA1">
        <w:rPr>
          <w:i w:val="0"/>
        </w:rPr>
        <w:fldChar w:fldCharType="end"/>
      </w:r>
      <w:r w:rsidR="00C37DA1" w:rsidRPr="00C37DA1">
        <w:rPr>
          <w:i w:val="0"/>
        </w:rPr>
        <w:t>.</w:t>
      </w:r>
      <w:r w:rsidR="00C37DA1" w:rsidRPr="00C37DA1">
        <w:rPr>
          <w:b w:val="0"/>
          <w:i w:val="0"/>
        </w:rPr>
        <w:t xml:space="preserve"> - </w:t>
      </w:r>
      <w:r w:rsidR="00627FA2" w:rsidRPr="00C37DA1">
        <w:rPr>
          <w:rFonts w:cs="Arial"/>
          <w:b w:val="0"/>
          <w:bCs/>
          <w:i w:val="0"/>
          <w:spacing w:val="-2"/>
          <w:szCs w:val="22"/>
        </w:rPr>
        <w:t xml:space="preserve">Caracterização do Impacto - </w:t>
      </w:r>
      <w:r w:rsidR="00627FA2" w:rsidRPr="00C37DA1">
        <w:rPr>
          <w:b w:val="0"/>
          <w:bCs/>
          <w:i w:val="0"/>
          <w:spacing w:val="-2"/>
        </w:rPr>
        <w:t>Alteração nas Comunidades Aquáticas Planctônicas e Bentônicas</w:t>
      </w:r>
      <w:r w:rsidR="0050755C" w:rsidRPr="00C37DA1">
        <w:rPr>
          <w:b w:val="0"/>
          <w:bCs/>
          <w:i w:val="0"/>
          <w:spacing w:val="-2"/>
        </w:rPr>
        <w:t xml:space="preserve"> na Fase de Operação</w:t>
      </w:r>
      <w:r w:rsidR="00627FA2" w:rsidRPr="00C37DA1">
        <w:rPr>
          <w:b w:val="0"/>
          <w:bCs/>
          <w:i w:val="0"/>
          <w:spacing w:val="-2"/>
        </w:rPr>
        <w:t xml:space="preserve"> - </w:t>
      </w:r>
      <w:r w:rsidR="00627FA2" w:rsidRPr="00C37DA1">
        <w:rPr>
          <w:rFonts w:cs="Arial"/>
          <w:b w:val="0"/>
          <w:bCs/>
          <w:i w:val="0"/>
          <w:spacing w:val="-2"/>
          <w:szCs w:val="22"/>
        </w:rPr>
        <w:t>Barragem Pedreira</w:t>
      </w:r>
      <w:bookmarkEnd w:id="31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70"/>
        <w:gridCol w:w="3547"/>
      </w:tblGrid>
      <w:tr w:rsidR="00627FA2" w:rsidRPr="00627FA2" w:rsidTr="00627FA2">
        <w:trPr>
          <w:trHeight w:val="518"/>
          <w:jc w:val="center"/>
        </w:trPr>
        <w:tc>
          <w:tcPr>
            <w:tcW w:w="645"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Natureza</w:t>
            </w:r>
          </w:p>
        </w:tc>
        <w:tc>
          <w:tcPr>
            <w:tcW w:w="5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Ordem</w:t>
            </w:r>
          </w:p>
        </w:tc>
        <w:tc>
          <w:tcPr>
            <w:tcW w:w="10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Abrangência</w:t>
            </w:r>
          </w:p>
        </w:tc>
        <w:tc>
          <w:tcPr>
            <w:tcW w:w="820"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Duração</w:t>
            </w:r>
          </w:p>
        </w:tc>
        <w:tc>
          <w:tcPr>
            <w:tcW w:w="1854"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Probabilidade de Ocorrência</w:t>
            </w:r>
          </w:p>
        </w:tc>
      </w:tr>
      <w:tr w:rsidR="00627FA2" w:rsidRPr="00627FA2" w:rsidTr="00627FA2">
        <w:trPr>
          <w:trHeight w:val="273"/>
          <w:jc w:val="center"/>
        </w:trPr>
        <w:tc>
          <w:tcPr>
            <w:tcW w:w="645"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Negativa</w:t>
            </w:r>
          </w:p>
        </w:tc>
        <w:tc>
          <w:tcPr>
            <w:tcW w:w="5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Direta</w:t>
            </w:r>
          </w:p>
        </w:tc>
        <w:tc>
          <w:tcPr>
            <w:tcW w:w="10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Local (AID/ADA)</w:t>
            </w:r>
          </w:p>
        </w:tc>
        <w:tc>
          <w:tcPr>
            <w:tcW w:w="820"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Permanente</w:t>
            </w:r>
          </w:p>
        </w:tc>
        <w:tc>
          <w:tcPr>
            <w:tcW w:w="1854"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Provável</w:t>
            </w:r>
          </w:p>
        </w:tc>
      </w:tr>
    </w:tbl>
    <w:p w:rsidR="00627FA2" w:rsidRPr="00627FA2" w:rsidRDefault="00627FA2" w:rsidP="00F803E4">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3"/>
      </w:tblGrid>
      <w:tr w:rsidR="00627FA2" w:rsidRPr="00627FA2" w:rsidTr="00627FA2">
        <w:trPr>
          <w:trHeight w:val="397"/>
          <w:jc w:val="center"/>
        </w:trPr>
        <w:tc>
          <w:tcPr>
            <w:tcW w:w="134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Época de Ocorrência</w:t>
            </w:r>
          </w:p>
        </w:tc>
        <w:tc>
          <w:tcPr>
            <w:tcW w:w="977"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Reversibilidade</w:t>
            </w:r>
          </w:p>
        </w:tc>
        <w:tc>
          <w:tcPr>
            <w:tcW w:w="72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Magnitude</w:t>
            </w:r>
          </w:p>
        </w:tc>
        <w:tc>
          <w:tcPr>
            <w:tcW w:w="778"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Importância</w:t>
            </w:r>
          </w:p>
        </w:tc>
        <w:tc>
          <w:tcPr>
            <w:tcW w:w="118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Mitigação</w:t>
            </w:r>
          </w:p>
        </w:tc>
      </w:tr>
      <w:tr w:rsidR="00627FA2" w:rsidRPr="00627FA2" w:rsidTr="00627FA2">
        <w:trPr>
          <w:trHeight w:val="344"/>
          <w:jc w:val="center"/>
        </w:trPr>
        <w:tc>
          <w:tcPr>
            <w:tcW w:w="134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Curto Prazo</w:t>
            </w:r>
          </w:p>
        </w:tc>
        <w:tc>
          <w:tcPr>
            <w:tcW w:w="977"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Irreversível</w:t>
            </w:r>
          </w:p>
        </w:tc>
        <w:tc>
          <w:tcPr>
            <w:tcW w:w="72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Média</w:t>
            </w:r>
          </w:p>
        </w:tc>
        <w:tc>
          <w:tcPr>
            <w:tcW w:w="778"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Alta</w:t>
            </w:r>
          </w:p>
        </w:tc>
        <w:tc>
          <w:tcPr>
            <w:tcW w:w="118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Mitigável</w:t>
            </w:r>
          </w:p>
        </w:tc>
      </w:tr>
    </w:tbl>
    <w:p w:rsidR="00392B0D" w:rsidRDefault="00392B0D" w:rsidP="00C37DA1">
      <w:pPr>
        <w:pStyle w:val="CorpodetextoBodyTextCharCharCharCharCharCharCharCharBodyTextCharBodyTextCharCharCharCharCharCharCharCharCharCharCharCharCharCharChar"/>
        <w:spacing w:before="0" w:after="0"/>
        <w:jc w:val="left"/>
        <w:rPr>
          <w:rFonts w:cs="Arial"/>
          <w:b/>
          <w:bCs/>
          <w:szCs w:val="22"/>
        </w:rPr>
      </w:pPr>
    </w:p>
    <w:p w:rsidR="00627FA2" w:rsidRPr="00C37DA1" w:rsidRDefault="008D3A12" w:rsidP="00C37DA1">
      <w:pPr>
        <w:pStyle w:val="Legenda"/>
        <w:spacing w:line="240" w:lineRule="auto"/>
        <w:jc w:val="center"/>
        <w:rPr>
          <w:rFonts w:cs="Arial"/>
          <w:b w:val="0"/>
          <w:bCs/>
          <w:i w:val="0"/>
          <w:szCs w:val="22"/>
        </w:rPr>
      </w:pPr>
      <w:bookmarkStart w:id="311" w:name="_Toc420316505"/>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62</w:t>
      </w:r>
      <w:r w:rsidR="00B80A05" w:rsidRPr="00C37DA1">
        <w:rPr>
          <w:i w:val="0"/>
        </w:rPr>
        <w:fldChar w:fldCharType="end"/>
      </w:r>
      <w:r w:rsidR="00C37DA1" w:rsidRPr="00C37DA1">
        <w:rPr>
          <w:i w:val="0"/>
        </w:rPr>
        <w:t>.</w:t>
      </w:r>
      <w:r w:rsidR="00C37DA1" w:rsidRPr="00C37DA1">
        <w:rPr>
          <w:b w:val="0"/>
          <w:i w:val="0"/>
        </w:rPr>
        <w:t xml:space="preserve"> - </w:t>
      </w:r>
      <w:r w:rsidR="00627FA2" w:rsidRPr="00C37DA1">
        <w:rPr>
          <w:rFonts w:cs="Arial"/>
          <w:b w:val="0"/>
          <w:bCs/>
          <w:i w:val="0"/>
          <w:szCs w:val="22"/>
        </w:rPr>
        <w:t xml:space="preserve">Caracterização do Impacto - </w:t>
      </w:r>
      <w:r w:rsidR="00627FA2" w:rsidRPr="00C37DA1">
        <w:rPr>
          <w:b w:val="0"/>
          <w:bCs/>
          <w:i w:val="0"/>
        </w:rPr>
        <w:t>Alteração nas Comunidades Aquáticas Planctônicas e Bentônicas</w:t>
      </w:r>
      <w:r w:rsidR="00441F18" w:rsidRPr="00C37DA1">
        <w:rPr>
          <w:b w:val="0"/>
          <w:bCs/>
          <w:i w:val="0"/>
        </w:rPr>
        <w:t xml:space="preserve"> na Fase de Operação</w:t>
      </w:r>
      <w:r w:rsidR="00627FA2" w:rsidRPr="00C37DA1">
        <w:rPr>
          <w:b w:val="0"/>
          <w:bCs/>
          <w:i w:val="0"/>
        </w:rPr>
        <w:t xml:space="preserve"> - </w:t>
      </w:r>
      <w:r w:rsidR="00627FA2" w:rsidRPr="00C37DA1">
        <w:rPr>
          <w:rFonts w:cs="Arial"/>
          <w:b w:val="0"/>
          <w:bCs/>
          <w:i w:val="0"/>
          <w:szCs w:val="22"/>
        </w:rPr>
        <w:t>Barragem Duas Pontes</w:t>
      </w:r>
      <w:bookmarkEnd w:id="31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70"/>
        <w:gridCol w:w="3547"/>
      </w:tblGrid>
      <w:tr w:rsidR="00627FA2" w:rsidRPr="00627FA2" w:rsidTr="00627FA2">
        <w:trPr>
          <w:trHeight w:val="518"/>
          <w:jc w:val="center"/>
        </w:trPr>
        <w:tc>
          <w:tcPr>
            <w:tcW w:w="645"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Natureza</w:t>
            </w:r>
          </w:p>
        </w:tc>
        <w:tc>
          <w:tcPr>
            <w:tcW w:w="5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Ordem</w:t>
            </w:r>
          </w:p>
        </w:tc>
        <w:tc>
          <w:tcPr>
            <w:tcW w:w="109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Abrangência</w:t>
            </w:r>
          </w:p>
        </w:tc>
        <w:tc>
          <w:tcPr>
            <w:tcW w:w="820"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Duração</w:t>
            </w:r>
          </w:p>
        </w:tc>
        <w:tc>
          <w:tcPr>
            <w:tcW w:w="1854"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Probabilidade de Ocorrência</w:t>
            </w:r>
          </w:p>
        </w:tc>
      </w:tr>
      <w:tr w:rsidR="00627FA2" w:rsidRPr="00627FA2" w:rsidTr="00627FA2">
        <w:trPr>
          <w:trHeight w:val="273"/>
          <w:jc w:val="center"/>
        </w:trPr>
        <w:tc>
          <w:tcPr>
            <w:tcW w:w="645"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Negativa</w:t>
            </w:r>
          </w:p>
        </w:tc>
        <w:tc>
          <w:tcPr>
            <w:tcW w:w="5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Direta</w:t>
            </w:r>
          </w:p>
        </w:tc>
        <w:tc>
          <w:tcPr>
            <w:tcW w:w="109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Local (AID/ADA)</w:t>
            </w:r>
          </w:p>
        </w:tc>
        <w:tc>
          <w:tcPr>
            <w:tcW w:w="820"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Permanente</w:t>
            </w:r>
          </w:p>
        </w:tc>
        <w:tc>
          <w:tcPr>
            <w:tcW w:w="1854"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Provável</w:t>
            </w:r>
          </w:p>
        </w:tc>
      </w:tr>
    </w:tbl>
    <w:p w:rsidR="00627FA2" w:rsidRPr="00627FA2" w:rsidRDefault="00627FA2" w:rsidP="00F803E4">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3"/>
      </w:tblGrid>
      <w:tr w:rsidR="00627FA2" w:rsidRPr="00627FA2" w:rsidTr="00627FA2">
        <w:trPr>
          <w:trHeight w:val="397"/>
          <w:jc w:val="center"/>
        </w:trPr>
        <w:tc>
          <w:tcPr>
            <w:tcW w:w="134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Época de Ocorrência</w:t>
            </w:r>
          </w:p>
        </w:tc>
        <w:tc>
          <w:tcPr>
            <w:tcW w:w="977"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Reversibilidade</w:t>
            </w:r>
          </w:p>
        </w:tc>
        <w:tc>
          <w:tcPr>
            <w:tcW w:w="721"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Magnitude</w:t>
            </w:r>
          </w:p>
        </w:tc>
        <w:tc>
          <w:tcPr>
            <w:tcW w:w="778"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Importância</w:t>
            </w:r>
          </w:p>
        </w:tc>
        <w:tc>
          <w:tcPr>
            <w:tcW w:w="1182" w:type="pct"/>
            <w:shd w:val="clear" w:color="auto" w:fill="D9D9D9"/>
            <w:vAlign w:val="center"/>
          </w:tcPr>
          <w:p w:rsidR="00627FA2" w:rsidRPr="00627FA2" w:rsidRDefault="00627FA2" w:rsidP="00627FA2">
            <w:pPr>
              <w:autoSpaceDE w:val="0"/>
              <w:autoSpaceDN w:val="0"/>
              <w:adjustRightInd w:val="0"/>
              <w:spacing w:before="120" w:after="120" w:line="240" w:lineRule="auto"/>
              <w:jc w:val="center"/>
              <w:rPr>
                <w:rFonts w:cs="Arial"/>
                <w:b/>
                <w:sz w:val="20"/>
              </w:rPr>
            </w:pPr>
            <w:r w:rsidRPr="00627FA2">
              <w:rPr>
                <w:rFonts w:cs="Arial"/>
                <w:b/>
                <w:sz w:val="20"/>
              </w:rPr>
              <w:t>Mitigação</w:t>
            </w:r>
          </w:p>
        </w:tc>
      </w:tr>
      <w:tr w:rsidR="00627FA2" w:rsidRPr="00627FA2" w:rsidTr="00627FA2">
        <w:trPr>
          <w:trHeight w:val="344"/>
          <w:jc w:val="center"/>
        </w:trPr>
        <w:tc>
          <w:tcPr>
            <w:tcW w:w="134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Curto Prazo</w:t>
            </w:r>
          </w:p>
        </w:tc>
        <w:tc>
          <w:tcPr>
            <w:tcW w:w="977"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Irreversível</w:t>
            </w:r>
          </w:p>
        </w:tc>
        <w:tc>
          <w:tcPr>
            <w:tcW w:w="721"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 xml:space="preserve">Grande </w:t>
            </w:r>
          </w:p>
        </w:tc>
        <w:tc>
          <w:tcPr>
            <w:tcW w:w="778"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Alta</w:t>
            </w:r>
          </w:p>
        </w:tc>
        <w:tc>
          <w:tcPr>
            <w:tcW w:w="1182" w:type="pct"/>
            <w:shd w:val="clear" w:color="auto" w:fill="auto"/>
            <w:vAlign w:val="center"/>
          </w:tcPr>
          <w:p w:rsidR="00627FA2" w:rsidRPr="00627FA2" w:rsidRDefault="00627FA2" w:rsidP="00627FA2">
            <w:pPr>
              <w:autoSpaceDE w:val="0"/>
              <w:autoSpaceDN w:val="0"/>
              <w:adjustRightInd w:val="0"/>
              <w:spacing w:before="120" w:after="120" w:line="240" w:lineRule="auto"/>
              <w:jc w:val="center"/>
              <w:rPr>
                <w:rFonts w:cs="Arial"/>
                <w:sz w:val="20"/>
              </w:rPr>
            </w:pPr>
            <w:r w:rsidRPr="00627FA2">
              <w:rPr>
                <w:rFonts w:cs="Arial"/>
                <w:sz w:val="20"/>
              </w:rPr>
              <w:t>Mitigável</w:t>
            </w:r>
          </w:p>
        </w:tc>
      </w:tr>
    </w:tbl>
    <w:p w:rsidR="004F2320" w:rsidRDefault="004F2320" w:rsidP="00627FA2">
      <w:pPr>
        <w:autoSpaceDE w:val="0"/>
        <w:autoSpaceDN w:val="0"/>
        <w:adjustRightInd w:val="0"/>
        <w:spacing w:before="120" w:after="120" w:line="240" w:lineRule="auto"/>
        <w:rPr>
          <w:rFonts w:cs="Arial"/>
          <w:b/>
          <w:szCs w:val="22"/>
        </w:rPr>
      </w:pPr>
    </w:p>
    <w:p w:rsidR="00627FA2" w:rsidRPr="00627FA2" w:rsidRDefault="00627FA2" w:rsidP="00627FA2">
      <w:pPr>
        <w:autoSpaceDE w:val="0"/>
        <w:autoSpaceDN w:val="0"/>
        <w:adjustRightInd w:val="0"/>
        <w:spacing w:before="120" w:after="120" w:line="240" w:lineRule="auto"/>
        <w:rPr>
          <w:rFonts w:cs="Arial"/>
          <w:b/>
          <w:szCs w:val="22"/>
        </w:rPr>
      </w:pPr>
      <w:r w:rsidRPr="00627FA2">
        <w:rPr>
          <w:rFonts w:cs="Arial"/>
          <w:b/>
          <w:szCs w:val="22"/>
        </w:rPr>
        <w:t>Ações Ambientais Propostas:</w:t>
      </w:r>
    </w:p>
    <w:p w:rsidR="004F2320" w:rsidRPr="004F2320" w:rsidRDefault="004F2320" w:rsidP="004F2320">
      <w:pPr>
        <w:tabs>
          <w:tab w:val="left" w:pos="567"/>
        </w:tabs>
        <w:spacing w:before="120" w:after="120" w:line="240" w:lineRule="auto"/>
        <w:rPr>
          <w:rFonts w:cs="Arial"/>
          <w:szCs w:val="22"/>
        </w:rPr>
      </w:pPr>
      <w:r w:rsidRPr="004F2320">
        <w:rPr>
          <w:rFonts w:cs="Arial"/>
          <w:szCs w:val="22"/>
        </w:rPr>
        <w:t xml:space="preserve">São válidas as mesmas recomendações indicada na etapa de enchimento, as quais visam assegurar que a qualidade dos mananciais se mantenha em conformidade com os padrões especificados pelas legislações vigentes (Portaria 2.914/11 e Resolução </w:t>
      </w:r>
      <w:r w:rsidR="00504078">
        <w:rPr>
          <w:rFonts w:cs="Arial"/>
          <w:szCs w:val="22"/>
        </w:rPr>
        <w:t>CONAMA</w:t>
      </w:r>
      <w:r w:rsidRPr="004F2320">
        <w:rPr>
          <w:rFonts w:cs="Arial"/>
          <w:szCs w:val="22"/>
        </w:rPr>
        <w:t xml:space="preserve"> 357/05).</w:t>
      </w:r>
    </w:p>
    <w:p w:rsidR="00627FA2" w:rsidRDefault="004F2320" w:rsidP="004F2320">
      <w:pPr>
        <w:tabs>
          <w:tab w:val="left" w:pos="567"/>
        </w:tabs>
        <w:spacing w:before="120" w:after="120" w:line="240" w:lineRule="auto"/>
        <w:rPr>
          <w:rFonts w:cs="Arial"/>
          <w:szCs w:val="22"/>
        </w:rPr>
      </w:pPr>
      <w:r w:rsidRPr="004F2320">
        <w:rPr>
          <w:rFonts w:cs="Arial"/>
          <w:szCs w:val="22"/>
        </w:rPr>
        <w:t>Será adotado o Programa de Qualidade das Águas Superficiais e dos Sedimentos e o Programa de Monitoramento da Biota Aquática que permitirão acompanhar as alterações causadas no ambiente durante a operação das Barragens Pedreira e Duas Pontes</w:t>
      </w:r>
      <w:r w:rsidR="00627FA2" w:rsidRPr="00627FA2">
        <w:rPr>
          <w:rFonts w:cs="Arial"/>
          <w:szCs w:val="22"/>
        </w:rPr>
        <w:t>.</w:t>
      </w:r>
    </w:p>
    <w:p w:rsidR="00C40284" w:rsidRPr="00B50999" w:rsidRDefault="00C40284" w:rsidP="008D3A12">
      <w:pPr>
        <w:pStyle w:val="Ttulo3"/>
      </w:pPr>
      <w:bookmarkStart w:id="312" w:name="_Toc418758238"/>
      <w:bookmarkStart w:id="313" w:name="_Toc418758840"/>
      <w:bookmarkStart w:id="314" w:name="_Toc419813600"/>
      <w:r w:rsidRPr="00B50999">
        <w:t>1.3.2.9. Floração de Cianobacterias Potencialmente Tóxicas</w:t>
      </w:r>
      <w:bookmarkEnd w:id="312"/>
      <w:bookmarkEnd w:id="313"/>
      <w:bookmarkEnd w:id="314"/>
      <w:r w:rsidRPr="00B50999">
        <w:t xml:space="preserve"> </w:t>
      </w:r>
    </w:p>
    <w:p w:rsidR="009C3543" w:rsidRDefault="009C3543" w:rsidP="009C3543">
      <w:pPr>
        <w:spacing w:before="120" w:after="120" w:line="240" w:lineRule="auto"/>
        <w:rPr>
          <w:szCs w:val="24"/>
        </w:rPr>
      </w:pPr>
      <w:r w:rsidRPr="009C3543">
        <w:rPr>
          <w:szCs w:val="24"/>
        </w:rPr>
        <w:t>O impacto de floração de cianobactérias potencialmente tóxicas está previsto na fas</w:t>
      </w:r>
      <w:r w:rsidR="004F2320">
        <w:rPr>
          <w:szCs w:val="24"/>
        </w:rPr>
        <w:t>e de operação do empreendimento, podendo ocorrer também na etapa do enchimento.</w:t>
      </w:r>
    </w:p>
    <w:p w:rsidR="009C3543" w:rsidRPr="009C3543" w:rsidRDefault="009C3543" w:rsidP="009C3543">
      <w:pPr>
        <w:spacing w:before="120" w:after="120" w:line="240" w:lineRule="auto"/>
        <w:rPr>
          <w:b/>
          <w:szCs w:val="24"/>
        </w:rPr>
      </w:pPr>
      <w:r w:rsidRPr="009C3543">
        <w:rPr>
          <w:b/>
          <w:szCs w:val="24"/>
        </w:rPr>
        <w:t>Fase: Operação</w:t>
      </w:r>
    </w:p>
    <w:p w:rsidR="009C3543" w:rsidRPr="009C3543" w:rsidRDefault="009C3543" w:rsidP="009C3543">
      <w:pPr>
        <w:spacing w:before="120" w:after="120" w:line="240" w:lineRule="auto"/>
        <w:rPr>
          <w:szCs w:val="24"/>
        </w:rPr>
      </w:pPr>
      <w:r w:rsidRPr="009C3543">
        <w:rPr>
          <w:szCs w:val="24"/>
        </w:rPr>
        <w:t>A ocorrência de florações de cianobactérias é comumente associada à conjunção de quatro fatores principais: concentrações elevadas de fósforo, temperatura da água acima de 20ºC, estabilidade da coluna d’água e populações pré-existentes. Em geral, as condições que favorecem o crescimento populacional desses organismos são bastante propícias nas regiões tropicais.</w:t>
      </w:r>
    </w:p>
    <w:p w:rsidR="009C3543" w:rsidRPr="009C3543" w:rsidRDefault="009C3543" w:rsidP="009C3543">
      <w:pPr>
        <w:spacing w:before="120" w:after="120" w:line="240" w:lineRule="auto"/>
        <w:rPr>
          <w:szCs w:val="24"/>
        </w:rPr>
      </w:pPr>
      <w:r w:rsidRPr="009C3543">
        <w:rPr>
          <w:szCs w:val="24"/>
        </w:rPr>
        <w:t>Segundo Paerl (1988), as cianobactérias são organismos que possuem eficientes estratégias de sobrevivência, em virtude de suas características ecológicas e fisiológicas. Dentre os fatores-chave para seu sucesso reprodutivo e desenvolvimento, destaca-se a estabilidade da coluna da água pela presença de vacúolos gasosos (aerótopos)  em várias espécies, que permitem que as células regulem sua flutuação em resposta à disponibilidade de luz e nutrientes (KLEMER &amp; KONOPKA, 1989). Além de tolerarem elevadas temperaturas e mesmo radiação ultravioleta, as cianobactérias podem utilizar tanto nitrato como amônio, ou gás nitrogênio, para seu desenvolvimento (WHITTON, 1992).</w:t>
      </w:r>
      <w:r w:rsidR="004F2320">
        <w:rPr>
          <w:szCs w:val="24"/>
        </w:rPr>
        <w:t xml:space="preserve"> </w:t>
      </w:r>
      <w:r w:rsidR="004F2320" w:rsidRPr="004F2320">
        <w:rPr>
          <w:szCs w:val="24"/>
        </w:rPr>
        <w:t>Algumas espécies apresentam heterocistos, estruturas que permitem fixar o nitrogênio diretamente do ar atmosférico, assim, o fósforo é o principal fator limitante ao seu desenvolvimento.</w:t>
      </w:r>
    </w:p>
    <w:p w:rsidR="009C3543" w:rsidRPr="009C3543" w:rsidRDefault="009C3543" w:rsidP="009C3543">
      <w:pPr>
        <w:spacing w:before="120" w:after="120" w:line="240" w:lineRule="auto"/>
        <w:rPr>
          <w:rFonts w:cs="Arial"/>
          <w:szCs w:val="22"/>
        </w:rPr>
      </w:pPr>
      <w:r w:rsidRPr="009C3543">
        <w:rPr>
          <w:rFonts w:cs="Arial"/>
          <w:szCs w:val="22"/>
        </w:rPr>
        <w:t>De acordo com os resultados de simulações de modelagem matemática da qualidade da água realizadas para a Barragem Pedreira nos setores representativos dos compartimentos centrais do reservatório, as águas deverão se enquadrar predominantemente em estado Mesotrófico. Mesma condição deverá ser observada para os compartimentos dos braços laterais do reservatório, onde a circulação da água se processa de forma mais lenta. Nessas circunstâncias, haverá maior probabilidade da ocorrência de episódios de floração de cianobactérias.</w:t>
      </w:r>
    </w:p>
    <w:p w:rsidR="004F2320" w:rsidRPr="004F2320" w:rsidRDefault="004F2320" w:rsidP="004F2320">
      <w:pPr>
        <w:spacing w:before="120" w:after="120" w:line="240" w:lineRule="auto"/>
        <w:rPr>
          <w:rFonts w:cs="Arial"/>
          <w:szCs w:val="22"/>
        </w:rPr>
      </w:pPr>
      <w:r w:rsidRPr="004F2320">
        <w:rPr>
          <w:rFonts w:cs="Arial"/>
          <w:szCs w:val="22"/>
        </w:rPr>
        <w:t>No reservatório da Barragem Duas Pontes, os teores de fósforo total deverão permanecer elevados no corpo principal do reservatório, caracterizando um ambiente Supereutrófico, com ligeira melhoria nos braços tributários para níveis Mesotrófico e Eutrófico. Nesse sentido, o elevado nível de trofia previsto no reservatório da Barragem Duas Pontes, aliado à maior estabilidade da coluna d’água, favorecerá a floração de cianobactérias.</w:t>
      </w:r>
    </w:p>
    <w:p w:rsidR="009C3543" w:rsidRDefault="004F2320" w:rsidP="009C3543">
      <w:pPr>
        <w:spacing w:before="120" w:after="120" w:line="240" w:lineRule="auto"/>
        <w:rPr>
          <w:rFonts w:cs="Arial"/>
          <w:szCs w:val="22"/>
        </w:rPr>
      </w:pPr>
      <w:r w:rsidRPr="004F2320">
        <w:rPr>
          <w:rFonts w:cs="Arial"/>
          <w:szCs w:val="22"/>
        </w:rPr>
        <w:t>Esse fenômeno merece atenção, pois várias espécies desse grupo produzem e liberam para o meio aquático toxinas (cianotoxinas) que causam gosto e odor, alterando as características organolépticas das águas para abastecimento público, além de oferecer riscos à saúde pública (YUNES, 2002).</w:t>
      </w:r>
    </w:p>
    <w:p w:rsidR="004F2320" w:rsidRDefault="004F2320" w:rsidP="009C3543">
      <w:pPr>
        <w:spacing w:before="120" w:after="120" w:line="240" w:lineRule="auto"/>
        <w:rPr>
          <w:rFonts w:cs="Arial"/>
          <w:szCs w:val="22"/>
        </w:rPr>
      </w:pPr>
      <w:r w:rsidRPr="004F2320">
        <w:rPr>
          <w:rFonts w:cs="Arial"/>
          <w:szCs w:val="22"/>
        </w:rPr>
        <w:t>De acordo com a Fundação Nacional de Saúde - FNS (2003), a principal via de intoxicação é pelo consumo oral da água sem tratamento adequado para remoção dessas toxinas. As cianotoxinas podem também bioacumular em peixes, que se tornam veículos frequentes para outros animais que deles se alimentam, tais como aves aquáticas e mamíferos (BRANCO, 1986; CARMO et. al, 2002).</w:t>
      </w:r>
    </w:p>
    <w:p w:rsidR="004F2320" w:rsidRPr="004F2320" w:rsidRDefault="004F2320" w:rsidP="004F2320">
      <w:pPr>
        <w:spacing w:before="120" w:after="120" w:line="240" w:lineRule="auto"/>
        <w:rPr>
          <w:rFonts w:cs="Arial"/>
          <w:szCs w:val="22"/>
        </w:rPr>
      </w:pPr>
      <w:r w:rsidRPr="004F2320">
        <w:rPr>
          <w:rFonts w:cs="Arial"/>
          <w:szCs w:val="22"/>
        </w:rPr>
        <w:t xml:space="preserve">A Resolução </w:t>
      </w:r>
      <w:r w:rsidR="00504078">
        <w:rPr>
          <w:rFonts w:cs="Arial"/>
          <w:szCs w:val="22"/>
        </w:rPr>
        <w:t>CONAMA</w:t>
      </w:r>
      <w:r w:rsidRPr="004F2320">
        <w:rPr>
          <w:rFonts w:cs="Arial"/>
          <w:szCs w:val="22"/>
        </w:rPr>
        <w:t xml:space="preserve"> 357/05 estabelece para águas superficiais o máximo de 50.000 cél./mL para águas classe 2, como é o caso dos rios em estudo. Essas densidades visam assegurar as condições necessárias para os usos estabelecidos nesta resolução. </w:t>
      </w:r>
    </w:p>
    <w:p w:rsidR="004F2320" w:rsidRPr="004F2320" w:rsidRDefault="004F2320" w:rsidP="004F2320">
      <w:pPr>
        <w:spacing w:before="120" w:after="120" w:line="240" w:lineRule="auto"/>
        <w:rPr>
          <w:rFonts w:cs="Arial"/>
          <w:szCs w:val="22"/>
        </w:rPr>
      </w:pPr>
      <w:r w:rsidRPr="004F2320">
        <w:rPr>
          <w:rFonts w:cs="Arial"/>
          <w:szCs w:val="22"/>
        </w:rPr>
        <w:t>Em mananciais de abastecimento público, a Portaria do Ministério da Saúde - MS nº 2.914/2011 determina que a frequência da amostragem das cianobactérias deverá ser mensal, nos pontos de captação, quando a densidade de células for inferior a 10.000 cél./mL e semanal quando ultrapassar 10.000 cél./mL. Quando a densidade de células de cianobactérias exceder 20.000 cél./mL, deverá ser realizada a análise de cianotoxinas, segundo preconizado no artigo 40 da Portaria nº 2.914/2011.</w:t>
      </w:r>
    </w:p>
    <w:p w:rsidR="004F2320" w:rsidRPr="004F2320" w:rsidRDefault="004F2320" w:rsidP="004F2320">
      <w:pPr>
        <w:spacing w:before="120" w:after="120" w:line="240" w:lineRule="auto"/>
        <w:rPr>
          <w:rFonts w:cs="Arial"/>
          <w:szCs w:val="22"/>
        </w:rPr>
      </w:pPr>
      <w:r w:rsidRPr="004F2320">
        <w:rPr>
          <w:rFonts w:cs="Arial"/>
          <w:szCs w:val="22"/>
        </w:rPr>
        <w:t>Verificou-se na etapa de diagnóstico ambiental (</w:t>
      </w:r>
      <w:r>
        <w:rPr>
          <w:rFonts w:cs="Arial"/>
          <w:szCs w:val="22"/>
        </w:rPr>
        <w:t>Volume III, Tomo 1 Parte 2)</w:t>
      </w:r>
      <w:r w:rsidRPr="004F2320">
        <w:rPr>
          <w:rFonts w:cs="Arial"/>
          <w:szCs w:val="22"/>
        </w:rPr>
        <w:t xml:space="preserve"> das Barragens Pedreira e Duas Pontes um baixo patamar de células de cianobactérias nos contribuintes dos futuros reservatórios, em ambos os períodos avaliados, principalmente no rio Jaguari. Em todos os cursos d’água amostrados, a densidade de células de cianobactérias manteve-se compatível com o padrão da Resolução </w:t>
      </w:r>
      <w:r w:rsidR="00504078">
        <w:rPr>
          <w:rFonts w:cs="Arial"/>
          <w:szCs w:val="22"/>
        </w:rPr>
        <w:t>CONAMA</w:t>
      </w:r>
      <w:r w:rsidRPr="004F2320">
        <w:rPr>
          <w:rFonts w:cs="Arial"/>
          <w:szCs w:val="22"/>
        </w:rPr>
        <w:t xml:space="preserve"> 357/05 e inferior a 10.000 cél./mL, conforme indica a Portaria do Ministério da Saúde - MS nº 2.914/2011</w:t>
      </w:r>
      <w:r>
        <w:rPr>
          <w:rFonts w:cs="Arial"/>
          <w:szCs w:val="22"/>
        </w:rPr>
        <w:t xml:space="preserve"> </w:t>
      </w:r>
      <w:r w:rsidRPr="004F2320">
        <w:rPr>
          <w:rFonts w:cs="Arial"/>
          <w:szCs w:val="22"/>
        </w:rPr>
        <w:t>(para mananciais de abastecimento).</w:t>
      </w:r>
    </w:p>
    <w:p w:rsidR="004F2320" w:rsidRDefault="004F2320" w:rsidP="009C3543">
      <w:pPr>
        <w:spacing w:before="120" w:after="120" w:line="240" w:lineRule="auto"/>
        <w:rPr>
          <w:rFonts w:cs="Arial"/>
          <w:szCs w:val="22"/>
        </w:rPr>
      </w:pPr>
      <w:r w:rsidRPr="004F2320">
        <w:rPr>
          <w:rFonts w:cs="Arial"/>
          <w:szCs w:val="22"/>
        </w:rPr>
        <w:t>Ressalta-se que o fato de se diagnosticar espécies de cianobactérias em determinado curso d’água não implica necessariamente que haja produção de compostos prejudiciais à saúde de pessoas e de animais no ambiente aquático. A liberação de compostos potencialmente tóxicos está relacionada à floração destes organismos no ambiente, definida quando a concentração total de uma espécie for igual ou superior a 20.000 cél./mL (SANT’ANNA, 2006).</w:t>
      </w:r>
    </w:p>
    <w:p w:rsidR="009C3543" w:rsidRPr="009C3543" w:rsidRDefault="009C3543" w:rsidP="009C3543">
      <w:pPr>
        <w:spacing w:before="120" w:after="120" w:line="240" w:lineRule="auto"/>
        <w:rPr>
          <w:rFonts w:cs="Arial"/>
          <w:szCs w:val="22"/>
        </w:rPr>
      </w:pPr>
      <w:r w:rsidRPr="009C3543">
        <w:rPr>
          <w:rFonts w:cs="Arial"/>
          <w:szCs w:val="22"/>
        </w:rPr>
        <w:t>A floração de ciano</w:t>
      </w:r>
      <w:r w:rsidR="004F2320">
        <w:rPr>
          <w:rFonts w:cs="Arial"/>
          <w:szCs w:val="22"/>
        </w:rPr>
        <w:t>bactérias</w:t>
      </w:r>
      <w:r w:rsidRPr="009C3543">
        <w:rPr>
          <w:rFonts w:cs="Arial"/>
          <w:szCs w:val="22"/>
        </w:rPr>
        <w:t xml:space="preserve"> é um impacto negativo, localizado na ADA podendo </w:t>
      </w:r>
      <w:r w:rsidR="00B764AA">
        <w:rPr>
          <w:rFonts w:cs="Arial"/>
          <w:szCs w:val="22"/>
        </w:rPr>
        <w:t xml:space="preserve">se </w:t>
      </w:r>
      <w:r w:rsidRPr="009C3543">
        <w:rPr>
          <w:rFonts w:cs="Arial"/>
          <w:szCs w:val="22"/>
        </w:rPr>
        <w:t>est</w:t>
      </w:r>
      <w:r w:rsidR="00B764AA">
        <w:rPr>
          <w:rFonts w:cs="Arial"/>
          <w:szCs w:val="22"/>
        </w:rPr>
        <w:t xml:space="preserve">ender </w:t>
      </w:r>
      <w:r w:rsidRPr="009C3543">
        <w:rPr>
          <w:rFonts w:cs="Arial"/>
          <w:szCs w:val="22"/>
        </w:rPr>
        <w:t xml:space="preserve">a jusante, na AID, de ordem direta, pois o impacto resulta da formação do reservatório. </w:t>
      </w:r>
      <w:r w:rsidR="00B764AA" w:rsidRPr="00B764AA">
        <w:rPr>
          <w:rFonts w:cs="Arial"/>
          <w:szCs w:val="22"/>
        </w:rPr>
        <w:t>Considera-se a ocorrência deste impacto provável, visto que foram registradas cianobactérias nos cursos d’água avaliados na área de influência dos empreendimentos. Trata-se de um impacto reversível, de alta importância pelo efeito potencial tóxico que as cianobactérias podem causar, em caso de ocorrência de floração.</w:t>
      </w:r>
      <w:r w:rsidRPr="009C3543">
        <w:rPr>
          <w:rFonts w:cs="Arial"/>
          <w:szCs w:val="22"/>
        </w:rPr>
        <w:t xml:space="preserve"> </w:t>
      </w:r>
    </w:p>
    <w:p w:rsidR="00806394" w:rsidRPr="00B764AA" w:rsidRDefault="00B764AA" w:rsidP="009C3543">
      <w:pPr>
        <w:spacing w:before="120" w:after="120" w:line="240" w:lineRule="auto"/>
        <w:rPr>
          <w:rFonts w:cs="Arial"/>
          <w:szCs w:val="22"/>
        </w:rPr>
      </w:pPr>
      <w:r w:rsidRPr="00B764AA">
        <w:rPr>
          <w:rFonts w:cs="Arial"/>
          <w:szCs w:val="22"/>
        </w:rPr>
        <w:t>Para a Barragem Pedreira, o impacto em análise foi avaliado como de média magnitude, considerando o menor tempo de residência das águas e o menor conteúdo de nutrientes, que são fatores que condicionam o desenvolvimento de cianobactérias. Contudo, para a Barragem Duas Pontes, esse impacto foi avaliado como de grande magnitude, tendo em vista as características do reservatório e as fontes potenciais de poluição das águas.</w:t>
      </w:r>
    </w:p>
    <w:p w:rsidR="009C3543" w:rsidRPr="00B764AA" w:rsidRDefault="008D3A12" w:rsidP="00C37DA1">
      <w:pPr>
        <w:pStyle w:val="Legenda"/>
        <w:spacing w:before="0" w:after="0" w:line="240" w:lineRule="auto"/>
        <w:jc w:val="center"/>
        <w:rPr>
          <w:rFonts w:eastAsia="Calibri" w:cs="Arial"/>
          <w:b w:val="0"/>
          <w:i w:val="0"/>
        </w:rPr>
      </w:pPr>
      <w:bookmarkStart w:id="315" w:name="_Toc420316506"/>
      <w:r w:rsidRPr="00B764AA">
        <w:rPr>
          <w:i w:val="0"/>
        </w:rPr>
        <w:t xml:space="preserve">Quadro </w:t>
      </w:r>
      <w:r w:rsidR="00B80A05" w:rsidRPr="00B764AA">
        <w:rPr>
          <w:i w:val="0"/>
        </w:rPr>
        <w:fldChar w:fldCharType="begin"/>
      </w:r>
      <w:r w:rsidR="00402E81" w:rsidRPr="00B764AA">
        <w:rPr>
          <w:i w:val="0"/>
        </w:rPr>
        <w:instrText xml:space="preserve"> STYLEREF 2 \s </w:instrText>
      </w:r>
      <w:r w:rsidR="00B80A05" w:rsidRPr="00B764AA">
        <w:rPr>
          <w:i w:val="0"/>
        </w:rPr>
        <w:fldChar w:fldCharType="separate"/>
      </w:r>
      <w:r w:rsidR="00316060">
        <w:rPr>
          <w:i w:val="0"/>
          <w:noProof/>
        </w:rPr>
        <w:t>1.3</w:t>
      </w:r>
      <w:r w:rsidR="00B80A05" w:rsidRPr="00B764AA">
        <w:rPr>
          <w:i w:val="0"/>
        </w:rPr>
        <w:fldChar w:fldCharType="end"/>
      </w:r>
      <w:r w:rsidR="00402E81" w:rsidRPr="00B764AA">
        <w:rPr>
          <w:i w:val="0"/>
        </w:rPr>
        <w:t>.</w:t>
      </w:r>
      <w:r w:rsidR="00B80A05" w:rsidRPr="00B764AA">
        <w:rPr>
          <w:i w:val="0"/>
        </w:rPr>
        <w:fldChar w:fldCharType="begin"/>
      </w:r>
      <w:r w:rsidR="00402E81" w:rsidRPr="00B764AA">
        <w:rPr>
          <w:i w:val="0"/>
        </w:rPr>
        <w:instrText xml:space="preserve"> SEQ Quadro \* ARABIC \s 2 </w:instrText>
      </w:r>
      <w:r w:rsidR="00B80A05" w:rsidRPr="00B764AA">
        <w:rPr>
          <w:i w:val="0"/>
        </w:rPr>
        <w:fldChar w:fldCharType="separate"/>
      </w:r>
      <w:r w:rsidR="00316060">
        <w:rPr>
          <w:i w:val="0"/>
          <w:noProof/>
        </w:rPr>
        <w:t>63</w:t>
      </w:r>
      <w:r w:rsidR="00B80A05" w:rsidRPr="00B764AA">
        <w:rPr>
          <w:i w:val="0"/>
        </w:rPr>
        <w:fldChar w:fldCharType="end"/>
      </w:r>
      <w:r w:rsidR="00C37DA1" w:rsidRPr="00B764AA">
        <w:rPr>
          <w:i w:val="0"/>
        </w:rPr>
        <w:t>.</w:t>
      </w:r>
      <w:r w:rsidR="00C37DA1" w:rsidRPr="00B764AA">
        <w:rPr>
          <w:b w:val="0"/>
          <w:i w:val="0"/>
        </w:rPr>
        <w:t xml:space="preserve"> - </w:t>
      </w:r>
      <w:r w:rsidR="009C3543" w:rsidRPr="00B764AA">
        <w:rPr>
          <w:rFonts w:eastAsia="Calibri" w:cs="Arial"/>
          <w:b w:val="0"/>
          <w:i w:val="0"/>
        </w:rPr>
        <w:t>Caracterização do Impacto - Floração de Cianobactérias Potencialmente Tóxicas - Barragem Pedreira</w:t>
      </w:r>
      <w:bookmarkEnd w:id="31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70"/>
        <w:gridCol w:w="3547"/>
      </w:tblGrid>
      <w:tr w:rsidR="009C3543" w:rsidRPr="00B764AA" w:rsidTr="008435E5">
        <w:trPr>
          <w:trHeight w:val="518"/>
          <w:jc w:val="center"/>
        </w:trPr>
        <w:tc>
          <w:tcPr>
            <w:tcW w:w="645"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bCs/>
                <w:szCs w:val="22"/>
              </w:rPr>
              <w:t xml:space="preserve"> </w:t>
            </w:r>
            <w:r w:rsidRPr="00B764AA">
              <w:rPr>
                <w:rFonts w:cs="Arial"/>
                <w:b/>
                <w:sz w:val="20"/>
              </w:rPr>
              <w:t>Natureza</w:t>
            </w:r>
          </w:p>
        </w:tc>
        <w:tc>
          <w:tcPr>
            <w:tcW w:w="591"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Ordem</w:t>
            </w:r>
          </w:p>
        </w:tc>
        <w:tc>
          <w:tcPr>
            <w:tcW w:w="1091"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Abrangência</w:t>
            </w:r>
          </w:p>
        </w:tc>
        <w:tc>
          <w:tcPr>
            <w:tcW w:w="820"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Duração</w:t>
            </w:r>
          </w:p>
        </w:tc>
        <w:tc>
          <w:tcPr>
            <w:tcW w:w="1853"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Probabilidade de Ocorrência</w:t>
            </w:r>
          </w:p>
        </w:tc>
      </w:tr>
      <w:tr w:rsidR="009C3543" w:rsidRPr="00B764AA" w:rsidTr="008435E5">
        <w:trPr>
          <w:trHeight w:val="273"/>
          <w:jc w:val="center"/>
        </w:trPr>
        <w:tc>
          <w:tcPr>
            <w:tcW w:w="645"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Negativa</w:t>
            </w:r>
          </w:p>
        </w:tc>
        <w:tc>
          <w:tcPr>
            <w:tcW w:w="591"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Direta</w:t>
            </w:r>
          </w:p>
        </w:tc>
        <w:tc>
          <w:tcPr>
            <w:tcW w:w="1091"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Local (AID/ADA)</w:t>
            </w:r>
          </w:p>
        </w:tc>
        <w:tc>
          <w:tcPr>
            <w:tcW w:w="820"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Temporário</w:t>
            </w:r>
          </w:p>
        </w:tc>
        <w:tc>
          <w:tcPr>
            <w:tcW w:w="1853"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Provável</w:t>
            </w:r>
          </w:p>
        </w:tc>
      </w:tr>
    </w:tbl>
    <w:p w:rsidR="009C3543" w:rsidRPr="00B764AA" w:rsidRDefault="009C3543" w:rsidP="003759EC">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3"/>
      </w:tblGrid>
      <w:tr w:rsidR="009C3543" w:rsidRPr="00B764AA" w:rsidTr="008435E5">
        <w:trPr>
          <w:trHeight w:val="397"/>
          <w:jc w:val="center"/>
        </w:trPr>
        <w:tc>
          <w:tcPr>
            <w:tcW w:w="1342"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Época de Ocorrência</w:t>
            </w:r>
          </w:p>
        </w:tc>
        <w:tc>
          <w:tcPr>
            <w:tcW w:w="977"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Reversibilidade</w:t>
            </w:r>
          </w:p>
        </w:tc>
        <w:tc>
          <w:tcPr>
            <w:tcW w:w="721"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Magnitude</w:t>
            </w:r>
          </w:p>
        </w:tc>
        <w:tc>
          <w:tcPr>
            <w:tcW w:w="778"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Importância</w:t>
            </w:r>
          </w:p>
        </w:tc>
        <w:tc>
          <w:tcPr>
            <w:tcW w:w="1182"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Mitigação</w:t>
            </w:r>
          </w:p>
        </w:tc>
      </w:tr>
      <w:tr w:rsidR="009C3543" w:rsidRPr="00B764AA" w:rsidTr="008435E5">
        <w:trPr>
          <w:trHeight w:val="344"/>
          <w:jc w:val="center"/>
        </w:trPr>
        <w:tc>
          <w:tcPr>
            <w:tcW w:w="1342"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Médio e Longo Prazo</w:t>
            </w:r>
          </w:p>
        </w:tc>
        <w:tc>
          <w:tcPr>
            <w:tcW w:w="977" w:type="pct"/>
            <w:shd w:val="clear" w:color="auto" w:fill="auto"/>
            <w:vAlign w:val="center"/>
          </w:tcPr>
          <w:p w:rsidR="009C3543" w:rsidRPr="00B764AA" w:rsidRDefault="00441F18" w:rsidP="00441F18">
            <w:pPr>
              <w:autoSpaceDE w:val="0"/>
              <w:autoSpaceDN w:val="0"/>
              <w:adjustRightInd w:val="0"/>
              <w:spacing w:before="120" w:after="120" w:line="240" w:lineRule="auto"/>
              <w:jc w:val="center"/>
              <w:rPr>
                <w:rFonts w:cs="Arial"/>
                <w:sz w:val="20"/>
              </w:rPr>
            </w:pPr>
            <w:r w:rsidRPr="00B764AA">
              <w:rPr>
                <w:rFonts w:cs="Arial"/>
                <w:sz w:val="20"/>
              </w:rPr>
              <w:t>Reversível</w:t>
            </w:r>
          </w:p>
        </w:tc>
        <w:tc>
          <w:tcPr>
            <w:tcW w:w="721" w:type="pct"/>
            <w:shd w:val="clear" w:color="auto" w:fill="auto"/>
            <w:vAlign w:val="center"/>
          </w:tcPr>
          <w:p w:rsidR="009C3543" w:rsidRPr="00B764AA" w:rsidRDefault="00B764AA" w:rsidP="009C3543">
            <w:pPr>
              <w:autoSpaceDE w:val="0"/>
              <w:autoSpaceDN w:val="0"/>
              <w:adjustRightInd w:val="0"/>
              <w:spacing w:before="120" w:after="120" w:line="240" w:lineRule="auto"/>
              <w:jc w:val="center"/>
              <w:rPr>
                <w:rFonts w:cs="Arial"/>
                <w:sz w:val="20"/>
              </w:rPr>
            </w:pPr>
            <w:r w:rsidRPr="00B764AA">
              <w:rPr>
                <w:rFonts w:cs="Arial"/>
                <w:sz w:val="20"/>
              </w:rPr>
              <w:t>Média</w:t>
            </w:r>
          </w:p>
        </w:tc>
        <w:tc>
          <w:tcPr>
            <w:tcW w:w="778"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Alta</w:t>
            </w:r>
          </w:p>
        </w:tc>
        <w:tc>
          <w:tcPr>
            <w:tcW w:w="1182"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Mitigável</w:t>
            </w:r>
          </w:p>
        </w:tc>
      </w:tr>
    </w:tbl>
    <w:p w:rsidR="00E155C0" w:rsidRPr="00B764AA" w:rsidRDefault="00E155C0" w:rsidP="00C37DA1">
      <w:pPr>
        <w:pStyle w:val="Legenda"/>
        <w:spacing w:line="240" w:lineRule="auto"/>
        <w:jc w:val="center"/>
        <w:rPr>
          <w:i w:val="0"/>
        </w:rPr>
      </w:pPr>
    </w:p>
    <w:p w:rsidR="009C3543" w:rsidRPr="00B764AA" w:rsidRDefault="008D3A12" w:rsidP="00C37DA1">
      <w:pPr>
        <w:pStyle w:val="Legenda"/>
        <w:spacing w:line="240" w:lineRule="auto"/>
        <w:jc w:val="center"/>
        <w:rPr>
          <w:rFonts w:eastAsia="Calibri" w:cs="Arial"/>
          <w:b w:val="0"/>
          <w:i w:val="0"/>
        </w:rPr>
      </w:pPr>
      <w:bookmarkStart w:id="316" w:name="_Toc420316507"/>
      <w:r w:rsidRPr="00B764AA">
        <w:rPr>
          <w:i w:val="0"/>
        </w:rPr>
        <w:t xml:space="preserve">Quadro </w:t>
      </w:r>
      <w:r w:rsidR="00B80A05" w:rsidRPr="00B764AA">
        <w:rPr>
          <w:i w:val="0"/>
        </w:rPr>
        <w:fldChar w:fldCharType="begin"/>
      </w:r>
      <w:r w:rsidR="00402E81" w:rsidRPr="00B764AA">
        <w:rPr>
          <w:i w:val="0"/>
        </w:rPr>
        <w:instrText xml:space="preserve"> STYLEREF 2 \s </w:instrText>
      </w:r>
      <w:r w:rsidR="00B80A05" w:rsidRPr="00B764AA">
        <w:rPr>
          <w:i w:val="0"/>
        </w:rPr>
        <w:fldChar w:fldCharType="separate"/>
      </w:r>
      <w:r w:rsidR="00316060">
        <w:rPr>
          <w:i w:val="0"/>
          <w:noProof/>
        </w:rPr>
        <w:t>1.3</w:t>
      </w:r>
      <w:r w:rsidR="00B80A05" w:rsidRPr="00B764AA">
        <w:rPr>
          <w:i w:val="0"/>
        </w:rPr>
        <w:fldChar w:fldCharType="end"/>
      </w:r>
      <w:r w:rsidR="00402E81" w:rsidRPr="00B764AA">
        <w:rPr>
          <w:i w:val="0"/>
        </w:rPr>
        <w:t>.</w:t>
      </w:r>
      <w:r w:rsidR="00B80A05" w:rsidRPr="00B764AA">
        <w:rPr>
          <w:i w:val="0"/>
        </w:rPr>
        <w:fldChar w:fldCharType="begin"/>
      </w:r>
      <w:r w:rsidR="00402E81" w:rsidRPr="00B764AA">
        <w:rPr>
          <w:i w:val="0"/>
        </w:rPr>
        <w:instrText xml:space="preserve"> SEQ Quadro \* ARABIC \s 2 </w:instrText>
      </w:r>
      <w:r w:rsidR="00B80A05" w:rsidRPr="00B764AA">
        <w:rPr>
          <w:i w:val="0"/>
        </w:rPr>
        <w:fldChar w:fldCharType="separate"/>
      </w:r>
      <w:r w:rsidR="00316060">
        <w:rPr>
          <w:i w:val="0"/>
          <w:noProof/>
        </w:rPr>
        <w:t>64</w:t>
      </w:r>
      <w:r w:rsidR="00B80A05" w:rsidRPr="00B764AA">
        <w:rPr>
          <w:i w:val="0"/>
        </w:rPr>
        <w:fldChar w:fldCharType="end"/>
      </w:r>
      <w:r w:rsidR="00C37DA1" w:rsidRPr="00B764AA">
        <w:rPr>
          <w:i w:val="0"/>
        </w:rPr>
        <w:t>.</w:t>
      </w:r>
      <w:r w:rsidR="00C37DA1" w:rsidRPr="00B764AA">
        <w:rPr>
          <w:b w:val="0"/>
          <w:i w:val="0"/>
        </w:rPr>
        <w:t xml:space="preserve"> - </w:t>
      </w:r>
      <w:r w:rsidR="009C3543" w:rsidRPr="00B764AA">
        <w:rPr>
          <w:rFonts w:eastAsia="Calibri" w:cs="Arial"/>
          <w:b w:val="0"/>
          <w:i w:val="0"/>
        </w:rPr>
        <w:t>Caracterização do Impacto - Floração de Cianobactérias Potencialmente Tóxicas - Barragem Duas Pontes</w:t>
      </w:r>
      <w:bookmarkEnd w:id="31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70"/>
        <w:gridCol w:w="3547"/>
      </w:tblGrid>
      <w:tr w:rsidR="009C3543" w:rsidRPr="00B764AA" w:rsidTr="008435E5">
        <w:trPr>
          <w:trHeight w:val="518"/>
          <w:jc w:val="center"/>
        </w:trPr>
        <w:tc>
          <w:tcPr>
            <w:tcW w:w="645"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Natureza</w:t>
            </w:r>
          </w:p>
        </w:tc>
        <w:tc>
          <w:tcPr>
            <w:tcW w:w="591"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Ordem</w:t>
            </w:r>
          </w:p>
        </w:tc>
        <w:tc>
          <w:tcPr>
            <w:tcW w:w="1091"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Abrangência</w:t>
            </w:r>
          </w:p>
        </w:tc>
        <w:tc>
          <w:tcPr>
            <w:tcW w:w="820"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Duração</w:t>
            </w:r>
          </w:p>
        </w:tc>
        <w:tc>
          <w:tcPr>
            <w:tcW w:w="1853"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Probabilidade de Ocorrência</w:t>
            </w:r>
          </w:p>
        </w:tc>
      </w:tr>
      <w:tr w:rsidR="009C3543" w:rsidRPr="00B764AA" w:rsidTr="008435E5">
        <w:trPr>
          <w:trHeight w:val="273"/>
          <w:jc w:val="center"/>
        </w:trPr>
        <w:tc>
          <w:tcPr>
            <w:tcW w:w="645"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Negativa</w:t>
            </w:r>
          </w:p>
        </w:tc>
        <w:tc>
          <w:tcPr>
            <w:tcW w:w="591"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Direta</w:t>
            </w:r>
          </w:p>
        </w:tc>
        <w:tc>
          <w:tcPr>
            <w:tcW w:w="1091"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Local (AID/ADA)</w:t>
            </w:r>
          </w:p>
        </w:tc>
        <w:tc>
          <w:tcPr>
            <w:tcW w:w="820"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Temporário</w:t>
            </w:r>
          </w:p>
        </w:tc>
        <w:tc>
          <w:tcPr>
            <w:tcW w:w="1853"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Provável</w:t>
            </w:r>
          </w:p>
        </w:tc>
      </w:tr>
    </w:tbl>
    <w:p w:rsidR="009C3543" w:rsidRPr="00B764AA" w:rsidRDefault="009C3543" w:rsidP="003759EC">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3"/>
      </w:tblGrid>
      <w:tr w:rsidR="009C3543" w:rsidRPr="00B764AA" w:rsidTr="008435E5">
        <w:trPr>
          <w:trHeight w:val="397"/>
          <w:jc w:val="center"/>
        </w:trPr>
        <w:tc>
          <w:tcPr>
            <w:tcW w:w="1342"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Época de Ocorrência</w:t>
            </w:r>
          </w:p>
        </w:tc>
        <w:tc>
          <w:tcPr>
            <w:tcW w:w="977"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Reversibilidade</w:t>
            </w:r>
          </w:p>
        </w:tc>
        <w:tc>
          <w:tcPr>
            <w:tcW w:w="721"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Magnitude</w:t>
            </w:r>
          </w:p>
        </w:tc>
        <w:tc>
          <w:tcPr>
            <w:tcW w:w="778"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Importância</w:t>
            </w:r>
          </w:p>
        </w:tc>
        <w:tc>
          <w:tcPr>
            <w:tcW w:w="1182" w:type="pct"/>
            <w:shd w:val="clear" w:color="auto" w:fill="D9D9D9"/>
            <w:vAlign w:val="center"/>
          </w:tcPr>
          <w:p w:rsidR="009C3543" w:rsidRPr="00B764AA" w:rsidRDefault="009C3543" w:rsidP="009C3543">
            <w:pPr>
              <w:autoSpaceDE w:val="0"/>
              <w:autoSpaceDN w:val="0"/>
              <w:adjustRightInd w:val="0"/>
              <w:spacing w:before="120" w:after="120" w:line="240" w:lineRule="auto"/>
              <w:jc w:val="center"/>
              <w:rPr>
                <w:rFonts w:cs="Arial"/>
                <w:b/>
                <w:sz w:val="20"/>
              </w:rPr>
            </w:pPr>
            <w:r w:rsidRPr="00B764AA">
              <w:rPr>
                <w:rFonts w:cs="Arial"/>
                <w:b/>
                <w:sz w:val="20"/>
              </w:rPr>
              <w:t>Mitigação</w:t>
            </w:r>
          </w:p>
        </w:tc>
      </w:tr>
      <w:tr w:rsidR="009C3543" w:rsidRPr="009C3543" w:rsidTr="008435E5">
        <w:trPr>
          <w:trHeight w:val="344"/>
          <w:jc w:val="center"/>
        </w:trPr>
        <w:tc>
          <w:tcPr>
            <w:tcW w:w="1342"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Médio e Longo Prazo</w:t>
            </w:r>
          </w:p>
        </w:tc>
        <w:tc>
          <w:tcPr>
            <w:tcW w:w="977" w:type="pct"/>
            <w:shd w:val="clear" w:color="auto" w:fill="auto"/>
            <w:vAlign w:val="center"/>
          </w:tcPr>
          <w:p w:rsidR="009C3543" w:rsidRPr="00B764AA" w:rsidRDefault="00441F18" w:rsidP="00441F18">
            <w:pPr>
              <w:autoSpaceDE w:val="0"/>
              <w:autoSpaceDN w:val="0"/>
              <w:adjustRightInd w:val="0"/>
              <w:spacing w:before="120" w:after="120" w:line="240" w:lineRule="auto"/>
              <w:jc w:val="center"/>
              <w:rPr>
                <w:rFonts w:cs="Arial"/>
                <w:sz w:val="20"/>
              </w:rPr>
            </w:pPr>
            <w:r w:rsidRPr="00B764AA">
              <w:rPr>
                <w:rFonts w:cs="Arial"/>
                <w:sz w:val="20"/>
              </w:rPr>
              <w:t>Reversível</w:t>
            </w:r>
          </w:p>
        </w:tc>
        <w:tc>
          <w:tcPr>
            <w:tcW w:w="721"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Grande</w:t>
            </w:r>
          </w:p>
        </w:tc>
        <w:tc>
          <w:tcPr>
            <w:tcW w:w="778" w:type="pct"/>
            <w:shd w:val="clear" w:color="auto" w:fill="auto"/>
            <w:vAlign w:val="center"/>
          </w:tcPr>
          <w:p w:rsidR="009C3543" w:rsidRPr="00B764AA" w:rsidRDefault="009C3543" w:rsidP="009C3543">
            <w:pPr>
              <w:autoSpaceDE w:val="0"/>
              <w:autoSpaceDN w:val="0"/>
              <w:adjustRightInd w:val="0"/>
              <w:spacing w:before="120" w:after="120" w:line="240" w:lineRule="auto"/>
              <w:jc w:val="center"/>
              <w:rPr>
                <w:rFonts w:cs="Arial"/>
                <w:sz w:val="20"/>
              </w:rPr>
            </w:pPr>
            <w:r w:rsidRPr="00B764AA">
              <w:rPr>
                <w:rFonts w:cs="Arial"/>
                <w:sz w:val="20"/>
              </w:rPr>
              <w:t>Alta</w:t>
            </w:r>
          </w:p>
        </w:tc>
        <w:tc>
          <w:tcPr>
            <w:tcW w:w="1182" w:type="pct"/>
            <w:shd w:val="clear" w:color="auto" w:fill="auto"/>
            <w:vAlign w:val="center"/>
          </w:tcPr>
          <w:p w:rsidR="009C3543" w:rsidRPr="009C3543" w:rsidRDefault="009C3543" w:rsidP="009C3543">
            <w:pPr>
              <w:autoSpaceDE w:val="0"/>
              <w:autoSpaceDN w:val="0"/>
              <w:adjustRightInd w:val="0"/>
              <w:spacing w:before="120" w:after="120" w:line="240" w:lineRule="auto"/>
              <w:jc w:val="center"/>
              <w:rPr>
                <w:rFonts w:cs="Arial"/>
                <w:sz w:val="20"/>
              </w:rPr>
            </w:pPr>
            <w:r w:rsidRPr="00B764AA">
              <w:rPr>
                <w:rFonts w:cs="Arial"/>
                <w:sz w:val="20"/>
              </w:rPr>
              <w:t>Mitigável</w:t>
            </w:r>
          </w:p>
        </w:tc>
      </w:tr>
    </w:tbl>
    <w:p w:rsidR="00E155C0" w:rsidRDefault="00E155C0" w:rsidP="009C3543">
      <w:pPr>
        <w:autoSpaceDE w:val="0"/>
        <w:autoSpaceDN w:val="0"/>
        <w:adjustRightInd w:val="0"/>
        <w:spacing w:after="240" w:line="240" w:lineRule="auto"/>
        <w:rPr>
          <w:rFonts w:cs="Arial"/>
          <w:b/>
          <w:szCs w:val="22"/>
        </w:rPr>
      </w:pPr>
      <w:r>
        <w:rPr>
          <w:rFonts w:cs="Arial"/>
          <w:b/>
          <w:szCs w:val="22"/>
        </w:rPr>
        <w:br w:type="page"/>
      </w:r>
    </w:p>
    <w:p w:rsidR="009C3543" w:rsidRPr="009C3543" w:rsidRDefault="009C3543" w:rsidP="009C3543">
      <w:pPr>
        <w:autoSpaceDE w:val="0"/>
        <w:autoSpaceDN w:val="0"/>
        <w:adjustRightInd w:val="0"/>
        <w:spacing w:after="240" w:line="240" w:lineRule="auto"/>
        <w:rPr>
          <w:rFonts w:cs="Arial"/>
          <w:b/>
          <w:szCs w:val="22"/>
        </w:rPr>
      </w:pPr>
      <w:r w:rsidRPr="009C3543">
        <w:rPr>
          <w:rFonts w:cs="Arial"/>
          <w:b/>
          <w:szCs w:val="22"/>
        </w:rPr>
        <w:t>Ações Ambientais Propostas:</w:t>
      </w:r>
    </w:p>
    <w:p w:rsidR="009C3543" w:rsidRPr="009C3543" w:rsidRDefault="00B764AA" w:rsidP="009C3543">
      <w:pPr>
        <w:spacing w:after="240" w:line="240" w:lineRule="auto"/>
        <w:rPr>
          <w:rFonts w:cs="Arial"/>
          <w:szCs w:val="22"/>
        </w:rPr>
      </w:pPr>
      <w:r w:rsidRPr="00B764AA">
        <w:rPr>
          <w:rFonts w:eastAsia="Calibri" w:cs="Arial"/>
        </w:rPr>
        <w:t>Está prevista a implantação do Programa de Monitoramento da Biota Aquática, em conjunto com o Programa de Qualidade das Águas Superficiais e dos Sedimentos, durante todas as fases dos empreendimentos Barragens Pedreira e Duas Pontes, o qual incluirá o monitoramento das cianobactérias, indicando-se, com base nos resultados obtidos, medidas preventivas e corretivas para evitar a floração de cianobactérias nos futuros reservatórios.</w:t>
      </w:r>
    </w:p>
    <w:p w:rsidR="00973BCF" w:rsidRPr="0056421B" w:rsidRDefault="00CD6D82" w:rsidP="008D3A12">
      <w:pPr>
        <w:pStyle w:val="Ttulo3"/>
      </w:pPr>
      <w:bookmarkStart w:id="317" w:name="_Toc418758239"/>
      <w:bookmarkStart w:id="318" w:name="_Toc418758841"/>
      <w:bookmarkStart w:id="319" w:name="_Toc419813601"/>
      <w:r w:rsidRPr="0056421B">
        <w:t>1.3.2.</w:t>
      </w:r>
      <w:r w:rsidR="00C40284" w:rsidRPr="0056421B">
        <w:t>10</w:t>
      </w:r>
      <w:r w:rsidR="00973BCF" w:rsidRPr="0056421B">
        <w:t>. Altera</w:t>
      </w:r>
      <w:r w:rsidR="00973BCF" w:rsidRPr="0056421B">
        <w:rPr>
          <w:rFonts w:hint="eastAsia"/>
        </w:rPr>
        <w:t>çã</w:t>
      </w:r>
      <w:r w:rsidR="00973BCF" w:rsidRPr="0056421B">
        <w:t>o de H</w:t>
      </w:r>
      <w:r w:rsidR="00973BCF" w:rsidRPr="0056421B">
        <w:rPr>
          <w:rFonts w:hint="eastAsia"/>
        </w:rPr>
        <w:t>á</w:t>
      </w:r>
      <w:r w:rsidR="00973BCF" w:rsidRPr="0056421B">
        <w:t xml:space="preserve">bitats </w:t>
      </w:r>
      <w:r w:rsidR="00C40284" w:rsidRPr="0056421B">
        <w:t>e P</w:t>
      </w:r>
      <w:r w:rsidR="00973BCF" w:rsidRPr="0056421B">
        <w:t>rolifera</w:t>
      </w:r>
      <w:r w:rsidR="00973BCF" w:rsidRPr="0056421B">
        <w:rPr>
          <w:rFonts w:hint="eastAsia"/>
        </w:rPr>
        <w:t>çã</w:t>
      </w:r>
      <w:r w:rsidR="00973BCF" w:rsidRPr="0056421B">
        <w:t>o das Macr</w:t>
      </w:r>
      <w:r w:rsidR="00973BCF" w:rsidRPr="0056421B">
        <w:rPr>
          <w:rFonts w:hint="eastAsia"/>
        </w:rPr>
        <w:t>ó</w:t>
      </w:r>
      <w:r w:rsidR="00973BCF" w:rsidRPr="0056421B">
        <w:t>fitas Aqu</w:t>
      </w:r>
      <w:r w:rsidR="00973BCF" w:rsidRPr="0056421B">
        <w:rPr>
          <w:rFonts w:hint="eastAsia"/>
        </w:rPr>
        <w:t>á</w:t>
      </w:r>
      <w:r w:rsidR="00973BCF" w:rsidRPr="0056421B">
        <w:t>ticas</w:t>
      </w:r>
      <w:bookmarkEnd w:id="317"/>
      <w:bookmarkEnd w:id="318"/>
      <w:bookmarkEnd w:id="319"/>
    </w:p>
    <w:p w:rsidR="00FA6606" w:rsidRPr="009C3543" w:rsidRDefault="009C3543" w:rsidP="009E1DAB">
      <w:pPr>
        <w:spacing w:before="120" w:after="120" w:line="240" w:lineRule="auto"/>
        <w:rPr>
          <w:b/>
        </w:rPr>
      </w:pPr>
      <w:r w:rsidRPr="009C3543">
        <w:rPr>
          <w:b/>
        </w:rPr>
        <w:t xml:space="preserve">a) Fase: </w:t>
      </w:r>
      <w:r>
        <w:rPr>
          <w:b/>
        </w:rPr>
        <w:t>Implantação</w:t>
      </w:r>
    </w:p>
    <w:p w:rsidR="00B764AA" w:rsidRPr="00B764AA" w:rsidRDefault="00B764AA" w:rsidP="00B764AA">
      <w:pPr>
        <w:spacing w:before="120" w:after="120" w:line="240" w:lineRule="auto"/>
        <w:rPr>
          <w:rFonts w:eastAsia="Calibri" w:cs="Arial"/>
        </w:rPr>
      </w:pPr>
      <w:r w:rsidRPr="00B764AA">
        <w:rPr>
          <w:rFonts w:eastAsia="Calibri" w:cs="Arial"/>
        </w:rPr>
        <w:t>Conforme citado, a implantação dos reservatórios das Barragens Pedreira e Duas Pontes, na etapa de enchimento, irá interferir na hidrodinâmica nos rios Jaguari e Camanducaia e nos braços tributários na ADA, que passarão de uma condição lótica para lêntica.</w:t>
      </w:r>
    </w:p>
    <w:p w:rsidR="009C3543" w:rsidRDefault="009C3543" w:rsidP="009C3543">
      <w:pPr>
        <w:spacing w:before="120" w:after="120" w:line="240" w:lineRule="auto"/>
        <w:rPr>
          <w:rFonts w:cs="Arial"/>
        </w:rPr>
      </w:pPr>
      <w:r>
        <w:rPr>
          <w:rFonts w:eastAsia="Calibri" w:cs="Arial"/>
        </w:rPr>
        <w:t xml:space="preserve">Durante o enchimento, uma das principais consequências da inundação da área a ser ocupada pelos futuros reservatórios Pedreira e Duas Pontes diz respeito à perda de espécies e à redução das populações de macrófitas aquáticas de hábito restrito, principalmente da vegetação enraizada no </w:t>
      </w:r>
      <w:r>
        <w:rPr>
          <w:rFonts w:cs="Arial"/>
        </w:rPr>
        <w:t>substrato, que compreende inúmeras tipologias, tais como submersas fixas, flutuantes fixas, emergentes e anfíbias.</w:t>
      </w:r>
    </w:p>
    <w:p w:rsidR="009C3543" w:rsidRDefault="009C3543" w:rsidP="009C3543">
      <w:pPr>
        <w:spacing w:before="120" w:after="120" w:line="240" w:lineRule="auto"/>
        <w:rPr>
          <w:rFonts w:cs="Arial"/>
        </w:rPr>
      </w:pPr>
      <w:r>
        <w:rPr>
          <w:rFonts w:cs="Arial"/>
        </w:rPr>
        <w:t>As espécies enraizadas têm seu desenvolvimento em geral restrito às zonas litorâneas. A presença destes vegetais depende de fatores hidrodinâmicos, da composição e disponibilidade de nutrientes nos sedimentos, do grau de turbidez das águas e da ação de herbívoros (</w:t>
      </w:r>
      <w:r>
        <w:rPr>
          <w:rFonts w:eastAsia="Calibri" w:cs="Arial"/>
        </w:rPr>
        <w:t>CUNHA-SANTINO &amp; BIANCHINI JR</w:t>
      </w:r>
      <w:r>
        <w:rPr>
          <w:rFonts w:cs="Arial"/>
        </w:rPr>
        <w:t>., 2011).</w:t>
      </w:r>
    </w:p>
    <w:p w:rsidR="009C3543" w:rsidRDefault="009C3543" w:rsidP="009C3543">
      <w:pPr>
        <w:spacing w:before="120" w:after="120" w:line="240" w:lineRule="auto"/>
        <w:rPr>
          <w:rFonts w:cs="Arial"/>
        </w:rPr>
      </w:pPr>
      <w:r>
        <w:rPr>
          <w:rFonts w:cs="Arial"/>
        </w:rPr>
        <w:t xml:space="preserve">Entre as espécies de hábito restrito registradas na AID e ADA das Barragens Pedreira e Duas Pontes pode ser citada </w:t>
      </w:r>
      <w:r>
        <w:rPr>
          <w:rFonts w:cs="Arial"/>
          <w:i/>
        </w:rPr>
        <w:t>Heteranthera reniformis,</w:t>
      </w:r>
      <w:r>
        <w:rPr>
          <w:rFonts w:cs="Arial"/>
          <w:i/>
          <w:iCs/>
          <w:color w:val="000000"/>
          <w:shd w:val="clear" w:color="auto" w:fill="FFFFFF"/>
        </w:rPr>
        <w:t xml:space="preserve"> </w:t>
      </w:r>
      <w:r>
        <w:rPr>
          <w:rFonts w:cs="Arial"/>
        </w:rPr>
        <w:t>planta flutuante fixa</w:t>
      </w:r>
      <w:r>
        <w:t> </w:t>
      </w:r>
      <w:r>
        <w:rPr>
          <w:rFonts w:cs="Arial"/>
        </w:rPr>
        <w:t xml:space="preserve"> que se desenvolve em áreas rasas. Esse exemplar foi inventariado na fase de diagnóstico ambiental no ponto P04 da Barragem Pedreira e nos pontos P01, P02 e P04 da Barragem Duas Pontes.</w:t>
      </w:r>
    </w:p>
    <w:p w:rsidR="009C3543" w:rsidRDefault="009C3543" w:rsidP="009C3543">
      <w:pPr>
        <w:spacing w:before="120" w:after="120" w:line="240" w:lineRule="auto"/>
        <w:rPr>
          <w:rFonts w:cs="Arial"/>
        </w:rPr>
      </w:pPr>
      <w:r>
        <w:rPr>
          <w:rFonts w:cs="Arial"/>
        </w:rPr>
        <w:t xml:space="preserve">Nos rios Jaguari e Camanducaia, foi observada também a espécie </w:t>
      </w:r>
      <w:r>
        <w:rPr>
          <w:rFonts w:cs="Arial"/>
          <w:i/>
        </w:rPr>
        <w:t>Myriophyllum aquaticum</w:t>
      </w:r>
      <w:r>
        <w:rPr>
          <w:rFonts w:cs="Arial"/>
        </w:rPr>
        <w:t xml:space="preserve"> (pinheirinho d’água), única espécie submersa fixa nas áreas amostradas em agosto e dezembro de 2014, </w:t>
      </w:r>
      <w:r>
        <w:rPr>
          <w:rStyle w:val="apple-converted-space"/>
          <w:rFonts w:eastAsia="Batang" w:cs="Arial"/>
          <w:color w:val="000000"/>
          <w:shd w:val="clear" w:color="auto" w:fill="FFFFFF"/>
        </w:rPr>
        <w:t>cujo desenvolvimento</w:t>
      </w:r>
      <w:r>
        <w:rPr>
          <w:rFonts w:cs="Arial"/>
        </w:rPr>
        <w:t xml:space="preserve"> depende da penetração da luz na coluna d’água para realização de fotossíntese. </w:t>
      </w:r>
    </w:p>
    <w:p w:rsidR="009C3543" w:rsidRDefault="009C3543" w:rsidP="009C3543">
      <w:pPr>
        <w:spacing w:before="120" w:after="120" w:line="240" w:lineRule="auto"/>
        <w:rPr>
          <w:rFonts w:cs="Arial"/>
        </w:rPr>
      </w:pPr>
      <w:r>
        <w:rPr>
          <w:rFonts w:eastAsia="Calibri" w:cs="Arial"/>
        </w:rPr>
        <w:t xml:space="preserve">Em função de sua natureza ecológica diferenciada, as plantas anfíbias e emergentes que colonizam </w:t>
      </w:r>
      <w:r>
        <w:rPr>
          <w:rFonts w:cs="Arial"/>
        </w:rPr>
        <w:t>zonas litorâneas</w:t>
      </w:r>
      <w:r>
        <w:rPr>
          <w:rFonts w:eastAsia="Calibri" w:cs="Arial"/>
        </w:rPr>
        <w:t xml:space="preserve"> como espécies das famílias Cyperaceae, Onagraceae e Poaceae, </w:t>
      </w:r>
      <w:r>
        <w:rPr>
          <w:rFonts w:cs="Arial"/>
        </w:rPr>
        <w:t xml:space="preserve">também terão ocorrência limitada pela submersão desses locais. Essas espécies terão seu habitat parcialmente suprimido com a formação dos reservatórios das Barragens Pedreira e Duas Pontes, principalmente devido ao aumento da profundidade e à </w:t>
      </w:r>
      <w:r w:rsidRPr="00375C33">
        <w:rPr>
          <w:rFonts w:cs="Arial"/>
        </w:rPr>
        <w:t>limitação da zona eufótica na coluna d’água</w:t>
      </w:r>
      <w:r>
        <w:rPr>
          <w:rFonts w:cs="Arial"/>
        </w:rPr>
        <w:t xml:space="preserve">. </w:t>
      </w:r>
    </w:p>
    <w:p w:rsidR="00B764AA" w:rsidRPr="00B764AA" w:rsidRDefault="00B764AA" w:rsidP="00B764AA">
      <w:pPr>
        <w:spacing w:before="120" w:after="120" w:line="240" w:lineRule="auto"/>
        <w:rPr>
          <w:rFonts w:cs="Arial"/>
        </w:rPr>
      </w:pPr>
      <w:r w:rsidRPr="00B764AA">
        <w:rPr>
          <w:rFonts w:cs="Arial"/>
        </w:rPr>
        <w:t xml:space="preserve">Na fase de enchimento, é esperada uma elevação no teor de compostos orgânicos e de nutrientes nas águas, principalmente no reservatório da Barragem Duas Pontes, podendo beneficiar algumas espécies de macrófitas aquáticas, tais como as flutuantes livres, que tenderão a aumentar o tamanho de suas populações ou a colonizar novos ambientes mediante dispersão. </w:t>
      </w:r>
    </w:p>
    <w:p w:rsidR="00B764AA" w:rsidRDefault="00B764AA" w:rsidP="009C3543">
      <w:pPr>
        <w:spacing w:before="120" w:after="120" w:line="240" w:lineRule="auto"/>
        <w:rPr>
          <w:rFonts w:cs="Arial"/>
        </w:rPr>
      </w:pPr>
      <w:r w:rsidRPr="00B764AA">
        <w:rPr>
          <w:rFonts w:cs="Arial"/>
        </w:rPr>
        <w:t xml:space="preserve">Entre as principais alterações previstas pelo crescimento de macrófitas aquáticas flutuantes, destacam-se: o aumento da demanda bioquímica de oxigênio (DBO) em consequência da morte e da decomposição dessas plantas com concomitante queda nos níveis de oxigênio dissolvido disponível para a biota aquática aeróbia; a interferência na produção primária fitoplanctônica e nos demais níveis tróficos, devido à redução na passagem de luz através da coluna d’água, fator que tende a promover também uma diminuição na temperatura da água. </w:t>
      </w:r>
    </w:p>
    <w:p w:rsidR="00B764AA" w:rsidRPr="00B764AA" w:rsidRDefault="00B764AA" w:rsidP="00B764AA">
      <w:pPr>
        <w:spacing w:before="120" w:after="120" w:line="240" w:lineRule="auto"/>
        <w:rPr>
          <w:rFonts w:cs="Arial"/>
        </w:rPr>
      </w:pPr>
      <w:r w:rsidRPr="00B764AA">
        <w:rPr>
          <w:rFonts w:cs="Arial"/>
        </w:rPr>
        <w:t>A alteração de hábitats e proliferação das macrófitas aquáticas é um impacto negativo, localizado na área inundada, podendo se estender a AID, de ordem direta, pois o impacto resulta da formação dos reservatórios. Considera-se a ocorrência deste impacto provável, visto que foram registradas macrófitas aquáticas nos rios Jaguari, Camanducaia e afluentes, reversível e de média importância e de média magnitude para ambos os empreendimentos.</w:t>
      </w:r>
    </w:p>
    <w:p w:rsidR="009C3543" w:rsidRPr="00C37DA1" w:rsidRDefault="008E79F2" w:rsidP="00C37DA1">
      <w:pPr>
        <w:pStyle w:val="Legenda"/>
        <w:spacing w:line="240" w:lineRule="auto"/>
        <w:jc w:val="center"/>
        <w:rPr>
          <w:rFonts w:cs="Arial"/>
          <w:b w:val="0"/>
          <w:i w:val="0"/>
          <w:szCs w:val="22"/>
        </w:rPr>
      </w:pPr>
      <w:bookmarkStart w:id="320" w:name="_Toc420316508"/>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65</w:t>
      </w:r>
      <w:r w:rsidR="00B80A05" w:rsidRPr="00C37DA1">
        <w:rPr>
          <w:i w:val="0"/>
        </w:rPr>
        <w:fldChar w:fldCharType="end"/>
      </w:r>
      <w:r w:rsidR="00C37DA1" w:rsidRPr="00C37DA1">
        <w:rPr>
          <w:b w:val="0"/>
          <w:i w:val="0"/>
        </w:rPr>
        <w:t xml:space="preserve">. - </w:t>
      </w:r>
      <w:r w:rsidR="009C3543" w:rsidRPr="00C37DA1">
        <w:rPr>
          <w:rFonts w:cs="Arial"/>
          <w:b w:val="0"/>
          <w:i w:val="0"/>
          <w:szCs w:val="22"/>
        </w:rPr>
        <w:t>Caracterização do Impacto - Alteração de Hábitats e Proliferação das Macrófitas Aquáticas</w:t>
      </w:r>
      <w:r w:rsidR="00441F18" w:rsidRPr="00C37DA1">
        <w:rPr>
          <w:rFonts w:cs="Arial"/>
          <w:b w:val="0"/>
          <w:i w:val="0"/>
          <w:szCs w:val="22"/>
        </w:rPr>
        <w:t xml:space="preserve"> na Fase de Implantação</w:t>
      </w:r>
      <w:r w:rsidR="009C3543" w:rsidRPr="00C37DA1">
        <w:rPr>
          <w:rFonts w:cs="Arial"/>
          <w:b w:val="0"/>
          <w:i w:val="0"/>
          <w:szCs w:val="22"/>
        </w:rPr>
        <w:t xml:space="preserve"> - Barrage</w:t>
      </w:r>
      <w:r w:rsidR="00441F18" w:rsidRPr="00C37DA1">
        <w:rPr>
          <w:rFonts w:cs="Arial"/>
          <w:b w:val="0"/>
          <w:i w:val="0"/>
          <w:szCs w:val="22"/>
        </w:rPr>
        <w:t>ns</w:t>
      </w:r>
      <w:r w:rsidR="009C3543" w:rsidRPr="00C37DA1">
        <w:rPr>
          <w:rFonts w:cs="Arial"/>
          <w:b w:val="0"/>
          <w:i w:val="0"/>
          <w:szCs w:val="22"/>
        </w:rPr>
        <w:t xml:space="preserve"> Pedreira</w:t>
      </w:r>
      <w:r w:rsidR="00441F18" w:rsidRPr="00C37DA1">
        <w:rPr>
          <w:rFonts w:cs="Arial"/>
          <w:b w:val="0"/>
          <w:i w:val="0"/>
          <w:szCs w:val="22"/>
        </w:rPr>
        <w:t xml:space="preserve"> e Duas Pontes</w:t>
      </w:r>
      <w:bookmarkEnd w:id="32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70"/>
        <w:gridCol w:w="3547"/>
      </w:tblGrid>
      <w:tr w:rsidR="009C3543" w:rsidRPr="006F74B6" w:rsidTr="008435E5">
        <w:trPr>
          <w:trHeight w:val="518"/>
          <w:jc w:val="center"/>
        </w:trPr>
        <w:tc>
          <w:tcPr>
            <w:tcW w:w="645"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bCs/>
                <w:szCs w:val="22"/>
              </w:rPr>
              <w:t xml:space="preserve"> </w:t>
            </w:r>
            <w:r w:rsidRPr="006F74B6">
              <w:rPr>
                <w:rFonts w:cs="Arial"/>
                <w:b/>
                <w:sz w:val="20"/>
              </w:rPr>
              <w:t>Natureza</w:t>
            </w:r>
          </w:p>
        </w:tc>
        <w:tc>
          <w:tcPr>
            <w:tcW w:w="591"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Ordem</w:t>
            </w:r>
          </w:p>
        </w:tc>
        <w:tc>
          <w:tcPr>
            <w:tcW w:w="1091"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Abrangência</w:t>
            </w:r>
          </w:p>
        </w:tc>
        <w:tc>
          <w:tcPr>
            <w:tcW w:w="820"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Duração</w:t>
            </w:r>
          </w:p>
        </w:tc>
        <w:tc>
          <w:tcPr>
            <w:tcW w:w="1853"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Probabilidade de Ocorrência</w:t>
            </w:r>
          </w:p>
        </w:tc>
      </w:tr>
      <w:tr w:rsidR="009C3543" w:rsidRPr="006F74B6" w:rsidTr="008435E5">
        <w:trPr>
          <w:trHeight w:val="273"/>
          <w:jc w:val="center"/>
        </w:trPr>
        <w:tc>
          <w:tcPr>
            <w:tcW w:w="645"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sidRPr="006F74B6">
              <w:rPr>
                <w:rFonts w:cs="Arial"/>
                <w:sz w:val="20"/>
              </w:rPr>
              <w:t>Negativa</w:t>
            </w:r>
          </w:p>
        </w:tc>
        <w:tc>
          <w:tcPr>
            <w:tcW w:w="591"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Pr>
                <w:rFonts w:cs="Arial"/>
                <w:sz w:val="20"/>
              </w:rPr>
              <w:t>Di</w:t>
            </w:r>
            <w:r w:rsidRPr="006F74B6">
              <w:rPr>
                <w:rFonts w:cs="Arial"/>
                <w:sz w:val="20"/>
              </w:rPr>
              <w:t>reta</w:t>
            </w:r>
          </w:p>
        </w:tc>
        <w:tc>
          <w:tcPr>
            <w:tcW w:w="1091"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Pr>
                <w:rFonts w:cs="Arial"/>
                <w:sz w:val="20"/>
              </w:rPr>
              <w:t>Local (AID/ADA)</w:t>
            </w:r>
          </w:p>
        </w:tc>
        <w:tc>
          <w:tcPr>
            <w:tcW w:w="820"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sidRPr="006F74B6">
              <w:rPr>
                <w:rFonts w:cs="Arial"/>
                <w:sz w:val="20"/>
              </w:rPr>
              <w:t>Temporário</w:t>
            </w:r>
          </w:p>
        </w:tc>
        <w:tc>
          <w:tcPr>
            <w:tcW w:w="1853"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sidRPr="006F74B6">
              <w:rPr>
                <w:rFonts w:cs="Arial"/>
                <w:sz w:val="20"/>
              </w:rPr>
              <w:t>Provável</w:t>
            </w:r>
          </w:p>
        </w:tc>
      </w:tr>
    </w:tbl>
    <w:p w:rsidR="009C3543" w:rsidRPr="006F74B6" w:rsidRDefault="009C3543" w:rsidP="001B3482">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3"/>
      </w:tblGrid>
      <w:tr w:rsidR="009C3543" w:rsidRPr="006F74B6" w:rsidTr="008435E5">
        <w:trPr>
          <w:trHeight w:val="397"/>
          <w:jc w:val="center"/>
        </w:trPr>
        <w:tc>
          <w:tcPr>
            <w:tcW w:w="1342"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Época de Ocorrência</w:t>
            </w:r>
          </w:p>
        </w:tc>
        <w:tc>
          <w:tcPr>
            <w:tcW w:w="977"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Reversibilidade</w:t>
            </w:r>
          </w:p>
        </w:tc>
        <w:tc>
          <w:tcPr>
            <w:tcW w:w="721"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Magnitude</w:t>
            </w:r>
          </w:p>
        </w:tc>
        <w:tc>
          <w:tcPr>
            <w:tcW w:w="778"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Importância</w:t>
            </w:r>
          </w:p>
        </w:tc>
        <w:tc>
          <w:tcPr>
            <w:tcW w:w="1182"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Mitigação</w:t>
            </w:r>
          </w:p>
        </w:tc>
      </w:tr>
      <w:tr w:rsidR="009C3543" w:rsidRPr="006F74B6" w:rsidTr="008435E5">
        <w:trPr>
          <w:trHeight w:val="344"/>
          <w:jc w:val="center"/>
        </w:trPr>
        <w:tc>
          <w:tcPr>
            <w:tcW w:w="1342"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Pr>
                <w:rFonts w:cs="Arial"/>
                <w:sz w:val="20"/>
              </w:rPr>
              <w:t>Médio e Longo</w:t>
            </w:r>
            <w:r w:rsidRPr="006F74B6">
              <w:rPr>
                <w:rFonts w:cs="Arial"/>
                <w:sz w:val="20"/>
              </w:rPr>
              <w:t xml:space="preserve"> Prazo</w:t>
            </w:r>
          </w:p>
        </w:tc>
        <w:tc>
          <w:tcPr>
            <w:tcW w:w="977" w:type="pct"/>
            <w:shd w:val="clear" w:color="auto" w:fill="auto"/>
            <w:vAlign w:val="center"/>
          </w:tcPr>
          <w:p w:rsidR="009C3543" w:rsidRPr="006F74B6" w:rsidRDefault="00441F18" w:rsidP="008435E5">
            <w:pPr>
              <w:autoSpaceDE w:val="0"/>
              <w:autoSpaceDN w:val="0"/>
              <w:adjustRightInd w:val="0"/>
              <w:spacing w:before="120" w:after="120" w:line="240" w:lineRule="auto"/>
              <w:jc w:val="center"/>
              <w:rPr>
                <w:rFonts w:cs="Arial"/>
                <w:sz w:val="20"/>
              </w:rPr>
            </w:pPr>
            <w:r>
              <w:rPr>
                <w:rFonts w:cs="Arial"/>
                <w:sz w:val="20"/>
              </w:rPr>
              <w:t>Reversível</w:t>
            </w:r>
          </w:p>
        </w:tc>
        <w:tc>
          <w:tcPr>
            <w:tcW w:w="721"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Pr>
                <w:rFonts w:cs="Arial"/>
                <w:sz w:val="20"/>
              </w:rPr>
              <w:t>Média</w:t>
            </w:r>
          </w:p>
        </w:tc>
        <w:tc>
          <w:tcPr>
            <w:tcW w:w="778"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Pr>
                <w:rFonts w:cs="Arial"/>
                <w:sz w:val="20"/>
              </w:rPr>
              <w:t>Média</w:t>
            </w:r>
          </w:p>
        </w:tc>
        <w:tc>
          <w:tcPr>
            <w:tcW w:w="1182"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sidRPr="006F74B6">
              <w:rPr>
                <w:rFonts w:cs="Arial"/>
                <w:sz w:val="20"/>
              </w:rPr>
              <w:t>Mitigável</w:t>
            </w:r>
          </w:p>
        </w:tc>
      </w:tr>
    </w:tbl>
    <w:p w:rsidR="009C3543" w:rsidRDefault="009C3543" w:rsidP="009C3543">
      <w:pPr>
        <w:spacing w:before="120" w:after="120" w:line="240" w:lineRule="auto"/>
        <w:rPr>
          <w:b/>
        </w:rPr>
      </w:pPr>
    </w:p>
    <w:p w:rsidR="009C3543" w:rsidRDefault="009C3543" w:rsidP="009C3543">
      <w:pPr>
        <w:spacing w:before="120" w:after="120" w:line="240" w:lineRule="auto"/>
        <w:rPr>
          <w:rFonts w:cs="Arial"/>
          <w:b/>
          <w:szCs w:val="22"/>
        </w:rPr>
      </w:pPr>
      <w:r>
        <w:rPr>
          <w:rFonts w:cs="Arial"/>
          <w:b/>
          <w:szCs w:val="22"/>
        </w:rPr>
        <w:t xml:space="preserve">Medidas Mitigadoras Propostas: </w:t>
      </w:r>
    </w:p>
    <w:p w:rsidR="009C3543" w:rsidRDefault="00B764AA" w:rsidP="009C3543">
      <w:pPr>
        <w:spacing w:before="120" w:after="120" w:line="240" w:lineRule="auto"/>
        <w:rPr>
          <w:rFonts w:eastAsia="Calibri" w:cs="Arial"/>
        </w:rPr>
      </w:pPr>
      <w:r w:rsidRPr="00B764AA">
        <w:rPr>
          <w:rFonts w:cs="Arial"/>
        </w:rPr>
        <w:t>Para minimizar o impacto, serão adotadas medidas de desmatamento e limpeza do reservatório.  Será implementado o Programa de Monitoramento da Biota Aquática , visando o acompanhamento dessa comunidade, indicando medidas preventivas e corretivas para evitar a proliferação de macrófitas aquáticas nos futuros reservatórios</w:t>
      </w:r>
      <w:r w:rsidR="009C3543" w:rsidRPr="00080AA5">
        <w:rPr>
          <w:rFonts w:eastAsia="Calibri" w:cs="Arial"/>
        </w:rPr>
        <w:t>.</w:t>
      </w:r>
    </w:p>
    <w:p w:rsidR="00C9459C" w:rsidRPr="00C9459C" w:rsidRDefault="004E7360" w:rsidP="009C3543">
      <w:pPr>
        <w:spacing w:before="120" w:after="120" w:line="240" w:lineRule="auto"/>
        <w:rPr>
          <w:rFonts w:eastAsia="Calibri" w:cs="Arial"/>
          <w:b/>
        </w:rPr>
      </w:pPr>
      <w:r>
        <w:rPr>
          <w:rFonts w:eastAsia="Calibri" w:cs="Arial"/>
          <w:b/>
        </w:rPr>
        <w:t>b</w:t>
      </w:r>
      <w:r w:rsidR="00C9459C" w:rsidRPr="00C9459C">
        <w:rPr>
          <w:rFonts w:eastAsia="Calibri" w:cs="Arial"/>
          <w:b/>
        </w:rPr>
        <w:t>) Fase de Operação</w:t>
      </w:r>
    </w:p>
    <w:p w:rsidR="009C3543" w:rsidRPr="00375C33" w:rsidRDefault="009C3543" w:rsidP="009C3543">
      <w:pPr>
        <w:spacing w:before="120" w:after="120" w:line="240" w:lineRule="auto"/>
        <w:rPr>
          <w:rFonts w:eastAsia="Calibri" w:cs="Arial"/>
        </w:rPr>
      </w:pPr>
      <w:r>
        <w:rPr>
          <w:rFonts w:eastAsia="Calibri" w:cs="Arial"/>
        </w:rPr>
        <w:t xml:space="preserve">Conforme citado, a </w:t>
      </w:r>
      <w:r w:rsidRPr="00375C33">
        <w:rPr>
          <w:rFonts w:eastAsia="Calibri" w:cs="Arial"/>
        </w:rPr>
        <w:t xml:space="preserve">implantação </w:t>
      </w:r>
      <w:r>
        <w:rPr>
          <w:rFonts w:eastAsia="Calibri" w:cs="Arial"/>
        </w:rPr>
        <w:t>dos reservatórios</w:t>
      </w:r>
      <w:r w:rsidRPr="00375C33">
        <w:rPr>
          <w:rFonts w:eastAsia="Calibri" w:cs="Arial"/>
        </w:rPr>
        <w:t xml:space="preserve"> transforma as condições originais do sistema lótico, promovendo alterações no tempo de residência da água, nos padrões de sedimentação, na circulação das massas de água, na ciclagem de nutrientes e na estrutura das comunidades aquáticas (AGOSTINHO &amp; GOMES, 1997). Muitas espécies de macrófitas aquáticas são beneficiadas por estas modificações ambientais, aumentando o tamanho de suas populações ou passando a colonizar novos ambientes mediante dispersão. </w:t>
      </w:r>
    </w:p>
    <w:p w:rsidR="00B764AA" w:rsidRDefault="00B764AA" w:rsidP="009C3543">
      <w:pPr>
        <w:spacing w:before="120" w:after="120" w:line="240" w:lineRule="auto"/>
        <w:rPr>
          <w:rFonts w:eastAsia="Calibri" w:cs="Arial"/>
        </w:rPr>
      </w:pPr>
      <w:r w:rsidRPr="00B764AA">
        <w:rPr>
          <w:rFonts w:eastAsia="Calibri" w:cs="Arial"/>
        </w:rPr>
        <w:t xml:space="preserve">Quando em grande quantidade, os bancos de macrófitas flutuantes afetam os usos múltiplos potenciais dos reservatórios e causar ainda problemas na operação dos sistemas geradores de energia das usinas hidrelétricas, pela necessidade de remoção periódica de biomassa vegetal acumulada nas grades de proteção das tomadas d’água (CUNHA-SANTINO &amp; BIANCHINI JR., 2011). </w:t>
      </w:r>
    </w:p>
    <w:p w:rsidR="009C3543" w:rsidRPr="00375C33" w:rsidRDefault="009C3543" w:rsidP="009C3543">
      <w:pPr>
        <w:spacing w:before="120" w:after="120" w:line="240" w:lineRule="auto"/>
        <w:rPr>
          <w:rFonts w:cs="Arial"/>
        </w:rPr>
      </w:pPr>
      <w:r>
        <w:rPr>
          <w:rFonts w:eastAsia="Calibri" w:cs="Arial"/>
        </w:rPr>
        <w:t xml:space="preserve">Dentre as famílias botânicas registradas, na área de influência das Barragens Pedreira e Duas Pontes, é provável que os representantes das Poaceae, Polygonaceae, Onagraceae e Cyperaceae tenham maior capacidade de colonização nas margens e, principalmente, nos braços tributários, </w:t>
      </w:r>
      <w:r>
        <w:rPr>
          <w:rFonts w:cs="Arial"/>
        </w:rPr>
        <w:t>tais como o córrego da Boa Vista</w:t>
      </w:r>
      <w:r w:rsidRPr="00375C33">
        <w:rPr>
          <w:rFonts w:cs="Arial"/>
        </w:rPr>
        <w:t xml:space="preserve">. Esses ambientes tendem a apresentar menor profundidade e maior tempo de residência </w:t>
      </w:r>
      <w:r w:rsidR="00B764AA">
        <w:rPr>
          <w:rFonts w:cs="Arial"/>
        </w:rPr>
        <w:t>em relação ao corpo principal dos reservatórios</w:t>
      </w:r>
      <w:r w:rsidRPr="00375C33">
        <w:rPr>
          <w:rFonts w:cs="Arial"/>
        </w:rPr>
        <w:t>, estando também mais sujeitos à sedimentação, à eutrofização e aos processos erosivos do entorno.</w:t>
      </w:r>
    </w:p>
    <w:p w:rsidR="009C3543" w:rsidRDefault="00B764AA" w:rsidP="009C3543">
      <w:pPr>
        <w:spacing w:before="120" w:after="120" w:line="240" w:lineRule="auto"/>
        <w:rPr>
          <w:rFonts w:eastAsia="Calibri" w:cs="Arial"/>
        </w:rPr>
      </w:pPr>
      <w:r w:rsidRPr="00B764AA">
        <w:rPr>
          <w:rFonts w:eastAsia="Calibri" w:cs="Arial"/>
        </w:rPr>
        <w:t>Em relação às enraizadas emergentes, as espécies</w:t>
      </w:r>
      <w:r w:rsidRPr="00B764AA">
        <w:rPr>
          <w:rFonts w:eastAsia="Calibri" w:cs="Arial"/>
          <w:i/>
        </w:rPr>
        <w:t xml:space="preserve"> Urochloa </w:t>
      </w:r>
      <w:r w:rsidRPr="00B764AA">
        <w:rPr>
          <w:rFonts w:eastAsia="Calibri" w:cs="Arial"/>
        </w:rPr>
        <w:t xml:space="preserve">sp. (Poaceae) e </w:t>
      </w:r>
      <w:r w:rsidRPr="00B764AA">
        <w:rPr>
          <w:rFonts w:eastAsia="Calibri" w:cs="Arial"/>
          <w:i/>
        </w:rPr>
        <w:t xml:space="preserve">Polygonum punctatum </w:t>
      </w:r>
      <w:r w:rsidRPr="00B764AA">
        <w:rPr>
          <w:rFonts w:eastAsia="Calibri" w:cs="Arial"/>
        </w:rPr>
        <w:t>(Polygonaceae) merecem maior atenção no reservatório Duas Pontes, pois foram encontrados apresentaram maior frequência de ocorrência. Esses vegetais, dotados de estolões resistentes, podem formar bancos extensos, desenvolvendo-se inicialmente nas margens, e compor, posteriormente, ilhas flutuantes que se deslocam para os demais segmentos do reservatório</w:t>
      </w:r>
      <w:r w:rsidR="009C3543">
        <w:rPr>
          <w:rFonts w:eastAsia="Calibri" w:cs="Arial"/>
        </w:rPr>
        <w:t xml:space="preserve">. </w:t>
      </w:r>
    </w:p>
    <w:p w:rsidR="00B764AA" w:rsidRPr="00B764AA" w:rsidRDefault="00B764AA" w:rsidP="00B764AA">
      <w:pPr>
        <w:pStyle w:val="corpotexto"/>
      </w:pPr>
      <w:r w:rsidRPr="00B764AA">
        <w:t xml:space="preserve">Os táxons </w:t>
      </w:r>
      <w:r w:rsidRPr="00B764AA">
        <w:rPr>
          <w:i/>
        </w:rPr>
        <w:t>Urochloa</w:t>
      </w:r>
      <w:r w:rsidRPr="00B764AA">
        <w:t xml:space="preserve"> sp., </w:t>
      </w:r>
      <w:r w:rsidRPr="00B764AA">
        <w:rPr>
          <w:i/>
        </w:rPr>
        <w:t>Brachiaria subquadripara</w:t>
      </w:r>
      <w:r w:rsidRPr="00B764AA">
        <w:t xml:space="preserve"> (tanner grass) ou </w:t>
      </w:r>
      <w:r w:rsidRPr="00B764AA">
        <w:rPr>
          <w:i/>
        </w:rPr>
        <w:t>Brachiaria mutica</w:t>
      </w:r>
      <w:r w:rsidRPr="00B764AA">
        <w:t xml:space="preserve"> (capim angola) geralmente se destacam nos levantamentos de macrófitas aquáticas realizados em reservatórios do estado de São Paulo pela elevada frequência e/ou densidade (MOURA </w:t>
      </w:r>
      <w:r w:rsidRPr="00B764AA">
        <w:rPr>
          <w:i/>
        </w:rPr>
        <w:t xml:space="preserve">et al. </w:t>
      </w:r>
      <w:r w:rsidRPr="00B764AA">
        <w:t xml:space="preserve">2009; ANDRADE, 2014). </w:t>
      </w:r>
    </w:p>
    <w:p w:rsidR="00B764AA" w:rsidRPr="00B764AA" w:rsidRDefault="00B764AA" w:rsidP="00B764AA">
      <w:pPr>
        <w:spacing w:before="120" w:after="120" w:line="240" w:lineRule="auto"/>
        <w:rPr>
          <w:rFonts w:eastAsia="Calibri" w:cs="Arial"/>
        </w:rPr>
      </w:pPr>
      <w:r w:rsidRPr="00B764AA">
        <w:rPr>
          <w:rFonts w:eastAsia="Calibri" w:cs="Arial"/>
        </w:rPr>
        <w:t xml:space="preserve">Sob o aspecto de saúde pública, as macrófitas constituem habitat para larvas de mosquitos e moluscos que podem ser vetores de doenças epidêmicas como a dengue. Nesse sentido, a proliferação desse vegetal pode aumentar a probabilidade de transmissão de </w:t>
      </w:r>
      <w:r w:rsidRPr="00263BFE">
        <w:rPr>
          <w:rFonts w:eastAsia="Calibri" w:cs="Arial"/>
        </w:rPr>
        <w:t>doenças</w:t>
      </w:r>
      <w:r w:rsidRPr="00B764AA">
        <w:rPr>
          <w:rFonts w:eastAsia="Calibri" w:cs="Arial"/>
        </w:rPr>
        <w:t xml:space="preserve"> no entorno do futuro reservatório.</w:t>
      </w:r>
    </w:p>
    <w:p w:rsidR="00B764AA" w:rsidRPr="00B764AA" w:rsidRDefault="00B764AA" w:rsidP="00B764AA">
      <w:pPr>
        <w:spacing w:before="120" w:after="120" w:line="240" w:lineRule="auto"/>
        <w:rPr>
          <w:rFonts w:eastAsia="Calibri" w:cs="Arial"/>
        </w:rPr>
      </w:pPr>
      <w:r w:rsidRPr="00B764AA">
        <w:rPr>
          <w:rFonts w:eastAsia="Calibri" w:cs="Arial"/>
        </w:rPr>
        <w:t>A alteração de hábitats e a proliferação das macrófitas aquáticas é um impacto negativo, localizado na AID e ADA, de ordem direta, pois o impacto resulta da formação dos reservatórios. Considera-se a ocorrência deste impacto provável, visto que foram registradas macrófitas aquáticas nos rios Jag</w:t>
      </w:r>
      <w:r w:rsidR="00263BFE">
        <w:rPr>
          <w:rFonts w:eastAsia="Calibri" w:cs="Arial"/>
        </w:rPr>
        <w:t xml:space="preserve">uari, Camanducaia e afluentes, </w:t>
      </w:r>
      <w:r w:rsidRPr="00B764AA">
        <w:rPr>
          <w:rFonts w:eastAsia="Calibri" w:cs="Arial"/>
        </w:rPr>
        <w:t>reversível e de média importância e magnitude para ambos os empreendimentos.</w:t>
      </w:r>
    </w:p>
    <w:p w:rsidR="009C3543" w:rsidRDefault="009C3543" w:rsidP="009C3543">
      <w:pPr>
        <w:spacing w:before="120" w:after="120" w:line="240" w:lineRule="auto"/>
        <w:rPr>
          <w:rFonts w:cs="Arial"/>
          <w:szCs w:val="22"/>
        </w:rPr>
      </w:pPr>
      <w:r>
        <w:rPr>
          <w:rFonts w:cs="Arial"/>
          <w:szCs w:val="22"/>
        </w:rPr>
        <w:t>.</w:t>
      </w:r>
    </w:p>
    <w:p w:rsidR="009C3543" w:rsidRPr="00C37DA1" w:rsidRDefault="008E79F2" w:rsidP="00C37DA1">
      <w:pPr>
        <w:pStyle w:val="Legenda"/>
        <w:spacing w:line="240" w:lineRule="auto"/>
        <w:jc w:val="center"/>
        <w:rPr>
          <w:rFonts w:eastAsia="Calibri" w:cs="Arial"/>
          <w:b w:val="0"/>
          <w:i w:val="0"/>
          <w:szCs w:val="22"/>
          <w:lang w:eastAsia="en-US"/>
        </w:rPr>
      </w:pPr>
      <w:bookmarkStart w:id="321" w:name="_Toc420316509"/>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66</w:t>
      </w:r>
      <w:r w:rsidR="00B80A05" w:rsidRPr="00C37DA1">
        <w:rPr>
          <w:i w:val="0"/>
        </w:rPr>
        <w:fldChar w:fldCharType="end"/>
      </w:r>
      <w:r w:rsidR="00C37DA1" w:rsidRPr="00C37DA1">
        <w:rPr>
          <w:i w:val="0"/>
        </w:rPr>
        <w:t>.</w:t>
      </w:r>
      <w:r w:rsidR="00C37DA1" w:rsidRPr="00C37DA1">
        <w:rPr>
          <w:b w:val="0"/>
          <w:i w:val="0"/>
        </w:rPr>
        <w:t xml:space="preserve"> - </w:t>
      </w:r>
      <w:r w:rsidR="009C3543" w:rsidRPr="00C37DA1">
        <w:rPr>
          <w:rFonts w:eastAsia="Calibri" w:cs="Arial"/>
          <w:b w:val="0"/>
          <w:i w:val="0"/>
          <w:szCs w:val="22"/>
          <w:lang w:eastAsia="en-US"/>
        </w:rPr>
        <w:t>Caracterização do Impacto - Alteração de Hábitats e Proliferação das Macrófitas Aquáticas</w:t>
      </w:r>
      <w:r w:rsidR="004E7360" w:rsidRPr="00C37DA1">
        <w:rPr>
          <w:rFonts w:eastAsia="Calibri" w:cs="Arial"/>
          <w:b w:val="0"/>
          <w:i w:val="0"/>
          <w:szCs w:val="22"/>
          <w:lang w:eastAsia="en-US"/>
        </w:rPr>
        <w:t xml:space="preserve"> na Fase de Operação</w:t>
      </w:r>
      <w:r w:rsidR="009C3543" w:rsidRPr="00C37DA1">
        <w:rPr>
          <w:rFonts w:eastAsia="Calibri" w:cs="Arial"/>
          <w:b w:val="0"/>
          <w:i w:val="0"/>
          <w:szCs w:val="22"/>
          <w:lang w:eastAsia="en-US"/>
        </w:rPr>
        <w:t xml:space="preserve"> - Barrage</w:t>
      </w:r>
      <w:r w:rsidR="004E7360" w:rsidRPr="00C37DA1">
        <w:rPr>
          <w:rFonts w:eastAsia="Calibri" w:cs="Arial"/>
          <w:b w:val="0"/>
          <w:i w:val="0"/>
          <w:szCs w:val="22"/>
          <w:lang w:eastAsia="en-US"/>
        </w:rPr>
        <w:t>ns</w:t>
      </w:r>
      <w:r w:rsidR="009C3543" w:rsidRPr="00C37DA1">
        <w:rPr>
          <w:rFonts w:eastAsia="Calibri" w:cs="Arial"/>
          <w:b w:val="0"/>
          <w:i w:val="0"/>
          <w:szCs w:val="22"/>
          <w:lang w:eastAsia="en-US"/>
        </w:rPr>
        <w:t xml:space="preserve"> Pedreira</w:t>
      </w:r>
      <w:r w:rsidR="004E7360" w:rsidRPr="00C37DA1">
        <w:rPr>
          <w:rFonts w:eastAsia="Calibri" w:cs="Arial"/>
          <w:b w:val="0"/>
          <w:i w:val="0"/>
          <w:szCs w:val="22"/>
          <w:lang w:eastAsia="en-US"/>
        </w:rPr>
        <w:t xml:space="preserve"> e Duas Pontes</w:t>
      </w:r>
      <w:bookmarkEnd w:id="32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131"/>
        <w:gridCol w:w="2088"/>
        <w:gridCol w:w="1570"/>
        <w:gridCol w:w="3547"/>
      </w:tblGrid>
      <w:tr w:rsidR="009C3543" w:rsidRPr="006F74B6" w:rsidTr="008435E5">
        <w:trPr>
          <w:trHeight w:val="518"/>
          <w:jc w:val="center"/>
        </w:trPr>
        <w:tc>
          <w:tcPr>
            <w:tcW w:w="645"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Natureza</w:t>
            </w:r>
          </w:p>
        </w:tc>
        <w:tc>
          <w:tcPr>
            <w:tcW w:w="591"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Ordem</w:t>
            </w:r>
          </w:p>
        </w:tc>
        <w:tc>
          <w:tcPr>
            <w:tcW w:w="1091"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Abrangência</w:t>
            </w:r>
          </w:p>
        </w:tc>
        <w:tc>
          <w:tcPr>
            <w:tcW w:w="820"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Duração</w:t>
            </w:r>
          </w:p>
        </w:tc>
        <w:tc>
          <w:tcPr>
            <w:tcW w:w="1853"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Probabilidade de Ocorrência</w:t>
            </w:r>
          </w:p>
        </w:tc>
      </w:tr>
      <w:tr w:rsidR="009C3543" w:rsidRPr="006F74B6" w:rsidTr="008435E5">
        <w:trPr>
          <w:trHeight w:val="273"/>
          <w:jc w:val="center"/>
        </w:trPr>
        <w:tc>
          <w:tcPr>
            <w:tcW w:w="645"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sidRPr="006F74B6">
              <w:rPr>
                <w:rFonts w:cs="Arial"/>
                <w:sz w:val="20"/>
              </w:rPr>
              <w:t>Negativa</w:t>
            </w:r>
          </w:p>
        </w:tc>
        <w:tc>
          <w:tcPr>
            <w:tcW w:w="591"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Pr>
                <w:rFonts w:cs="Arial"/>
                <w:sz w:val="20"/>
              </w:rPr>
              <w:t>Di</w:t>
            </w:r>
            <w:r w:rsidRPr="006F74B6">
              <w:rPr>
                <w:rFonts w:cs="Arial"/>
                <w:sz w:val="20"/>
              </w:rPr>
              <w:t>reta</w:t>
            </w:r>
          </w:p>
        </w:tc>
        <w:tc>
          <w:tcPr>
            <w:tcW w:w="1091"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Pr>
                <w:rFonts w:cs="Arial"/>
                <w:sz w:val="20"/>
              </w:rPr>
              <w:t>Local (AID/ADA)</w:t>
            </w:r>
          </w:p>
        </w:tc>
        <w:tc>
          <w:tcPr>
            <w:tcW w:w="820"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Pr>
                <w:sz w:val="20"/>
              </w:rPr>
              <w:t>Cíclica</w:t>
            </w:r>
          </w:p>
        </w:tc>
        <w:tc>
          <w:tcPr>
            <w:tcW w:w="1853"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sidRPr="006F74B6">
              <w:rPr>
                <w:rFonts w:cs="Arial"/>
                <w:sz w:val="20"/>
              </w:rPr>
              <w:t>Provável</w:t>
            </w:r>
          </w:p>
        </w:tc>
      </w:tr>
    </w:tbl>
    <w:p w:rsidR="009C3543" w:rsidRPr="006F74B6" w:rsidRDefault="009C3543" w:rsidP="00C9459C">
      <w:pPr>
        <w:autoSpaceDE w:val="0"/>
        <w:autoSpaceDN w:val="0"/>
        <w:adjustRightInd w:val="0"/>
        <w:spacing w:line="240" w:lineRule="auto"/>
        <w:jc w:val="center"/>
        <w:rPr>
          <w:rFonts w:cs="Arial"/>
          <w:sz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9"/>
        <w:gridCol w:w="1870"/>
        <w:gridCol w:w="1380"/>
        <w:gridCol w:w="1489"/>
        <w:gridCol w:w="2263"/>
      </w:tblGrid>
      <w:tr w:rsidR="009C3543" w:rsidRPr="006F74B6" w:rsidTr="008435E5">
        <w:trPr>
          <w:trHeight w:val="397"/>
          <w:jc w:val="center"/>
        </w:trPr>
        <w:tc>
          <w:tcPr>
            <w:tcW w:w="1342"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Época de Ocorrência</w:t>
            </w:r>
          </w:p>
        </w:tc>
        <w:tc>
          <w:tcPr>
            <w:tcW w:w="977"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Reversibilidade</w:t>
            </w:r>
          </w:p>
        </w:tc>
        <w:tc>
          <w:tcPr>
            <w:tcW w:w="721"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Magnitude</w:t>
            </w:r>
          </w:p>
        </w:tc>
        <w:tc>
          <w:tcPr>
            <w:tcW w:w="778"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Importância</w:t>
            </w:r>
          </w:p>
        </w:tc>
        <w:tc>
          <w:tcPr>
            <w:tcW w:w="1182" w:type="pct"/>
            <w:shd w:val="clear" w:color="auto" w:fill="D9D9D9"/>
            <w:vAlign w:val="center"/>
          </w:tcPr>
          <w:p w:rsidR="009C3543" w:rsidRPr="006F74B6" w:rsidRDefault="009C3543" w:rsidP="008435E5">
            <w:pPr>
              <w:autoSpaceDE w:val="0"/>
              <w:autoSpaceDN w:val="0"/>
              <w:adjustRightInd w:val="0"/>
              <w:spacing w:before="120" w:after="120" w:line="240" w:lineRule="auto"/>
              <w:jc w:val="center"/>
              <w:rPr>
                <w:rFonts w:cs="Arial"/>
                <w:b/>
                <w:sz w:val="20"/>
              </w:rPr>
            </w:pPr>
            <w:r w:rsidRPr="006F74B6">
              <w:rPr>
                <w:rFonts w:cs="Arial"/>
                <w:b/>
                <w:sz w:val="20"/>
              </w:rPr>
              <w:t>Mitigação</w:t>
            </w:r>
          </w:p>
        </w:tc>
      </w:tr>
      <w:tr w:rsidR="009C3543" w:rsidRPr="006F74B6" w:rsidTr="008435E5">
        <w:trPr>
          <w:trHeight w:val="344"/>
          <w:jc w:val="center"/>
        </w:trPr>
        <w:tc>
          <w:tcPr>
            <w:tcW w:w="1342"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Pr>
                <w:rFonts w:cs="Arial"/>
                <w:sz w:val="20"/>
              </w:rPr>
              <w:t>Médio e Longo</w:t>
            </w:r>
            <w:r w:rsidRPr="006F74B6">
              <w:rPr>
                <w:rFonts w:cs="Arial"/>
                <w:sz w:val="20"/>
              </w:rPr>
              <w:t xml:space="preserve"> Prazo</w:t>
            </w:r>
          </w:p>
        </w:tc>
        <w:tc>
          <w:tcPr>
            <w:tcW w:w="977" w:type="pct"/>
            <w:shd w:val="clear" w:color="auto" w:fill="auto"/>
            <w:vAlign w:val="center"/>
          </w:tcPr>
          <w:p w:rsidR="009C3543" w:rsidRPr="006F74B6" w:rsidRDefault="004E7360" w:rsidP="008435E5">
            <w:pPr>
              <w:autoSpaceDE w:val="0"/>
              <w:autoSpaceDN w:val="0"/>
              <w:adjustRightInd w:val="0"/>
              <w:spacing w:before="120" w:after="120" w:line="240" w:lineRule="auto"/>
              <w:jc w:val="center"/>
              <w:rPr>
                <w:rFonts w:cs="Arial"/>
                <w:sz w:val="20"/>
              </w:rPr>
            </w:pPr>
            <w:r>
              <w:rPr>
                <w:rFonts w:cs="Arial"/>
                <w:sz w:val="20"/>
              </w:rPr>
              <w:t>Reversível</w:t>
            </w:r>
          </w:p>
        </w:tc>
        <w:tc>
          <w:tcPr>
            <w:tcW w:w="721"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Pr>
                <w:rFonts w:cs="Arial"/>
                <w:sz w:val="20"/>
              </w:rPr>
              <w:t>Média</w:t>
            </w:r>
          </w:p>
        </w:tc>
        <w:tc>
          <w:tcPr>
            <w:tcW w:w="778"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Pr>
                <w:rFonts w:cs="Arial"/>
                <w:sz w:val="20"/>
              </w:rPr>
              <w:t>Média</w:t>
            </w:r>
          </w:p>
        </w:tc>
        <w:tc>
          <w:tcPr>
            <w:tcW w:w="1182" w:type="pct"/>
            <w:shd w:val="clear" w:color="auto" w:fill="auto"/>
            <w:vAlign w:val="center"/>
          </w:tcPr>
          <w:p w:rsidR="009C3543" w:rsidRPr="006F74B6" w:rsidRDefault="009C3543" w:rsidP="008435E5">
            <w:pPr>
              <w:autoSpaceDE w:val="0"/>
              <w:autoSpaceDN w:val="0"/>
              <w:adjustRightInd w:val="0"/>
              <w:spacing w:before="120" w:after="120" w:line="240" w:lineRule="auto"/>
              <w:jc w:val="center"/>
              <w:rPr>
                <w:rFonts w:cs="Arial"/>
                <w:sz w:val="20"/>
              </w:rPr>
            </w:pPr>
            <w:r w:rsidRPr="006F74B6">
              <w:rPr>
                <w:rFonts w:cs="Arial"/>
                <w:sz w:val="20"/>
              </w:rPr>
              <w:t>Mitigável</w:t>
            </w:r>
          </w:p>
        </w:tc>
      </w:tr>
    </w:tbl>
    <w:p w:rsidR="009C3543" w:rsidRDefault="009C3543" w:rsidP="009C3543">
      <w:pPr>
        <w:spacing w:before="120" w:after="120" w:line="240" w:lineRule="auto"/>
        <w:rPr>
          <w:rFonts w:cs="Arial"/>
          <w:b/>
          <w:szCs w:val="22"/>
        </w:rPr>
      </w:pPr>
      <w:r>
        <w:rPr>
          <w:rFonts w:cs="Arial"/>
          <w:b/>
          <w:szCs w:val="22"/>
        </w:rPr>
        <w:t xml:space="preserve">Medidas Mitigadoras Propostas: </w:t>
      </w:r>
    </w:p>
    <w:p w:rsidR="009C3543" w:rsidRDefault="00263BFE" w:rsidP="009C3543">
      <w:pPr>
        <w:spacing w:before="120" w:after="120" w:line="240" w:lineRule="auto"/>
        <w:rPr>
          <w:rFonts w:eastAsia="Calibri" w:cs="Arial"/>
        </w:rPr>
      </w:pPr>
      <w:r w:rsidRPr="00263BFE">
        <w:rPr>
          <w:rFonts w:eastAsia="Calibri" w:cs="Arial"/>
        </w:rPr>
        <w:t>Como medida mitigadora será adotado o Programa de Monitoramento da Biota Aquática, em conjunto com o Programa de Monitoramento da Qualidade das Águas Superficiais e dos Sedimentos, o que permitirá acompanhar as eventuais alterações nesta comunidade e indicar medidas preventivas e corretivas, visando evitar a proliferação de macrófitas aquáticas nos futuros reservatórios.</w:t>
      </w:r>
    </w:p>
    <w:p w:rsidR="00FA40C2" w:rsidRPr="00B50999" w:rsidRDefault="00CD6D82" w:rsidP="008E79F2">
      <w:pPr>
        <w:pStyle w:val="Ttulo3"/>
      </w:pPr>
      <w:bookmarkStart w:id="322" w:name="_Toc418758240"/>
      <w:bookmarkStart w:id="323" w:name="_Toc418758842"/>
      <w:bookmarkStart w:id="324" w:name="_Toc419813602"/>
      <w:r w:rsidRPr="00B50999">
        <w:t>1.3.2.1</w:t>
      </w:r>
      <w:r w:rsidR="00C40284" w:rsidRPr="00B50999">
        <w:t>1</w:t>
      </w:r>
      <w:r w:rsidR="00FA40C2" w:rsidRPr="00B50999">
        <w:t xml:space="preserve">. </w:t>
      </w:r>
      <w:r w:rsidR="00FA40C2" w:rsidRPr="00B50999">
        <w:rPr>
          <w:rFonts w:eastAsia="Calibri"/>
          <w:lang w:eastAsia="en-US"/>
        </w:rPr>
        <w:t xml:space="preserve">Aumento </w:t>
      </w:r>
      <w:r w:rsidR="00102AE8" w:rsidRPr="00B50999">
        <w:rPr>
          <w:rFonts w:eastAsia="Calibri"/>
          <w:lang w:eastAsia="en-US"/>
        </w:rPr>
        <w:t xml:space="preserve">do Potencial de Proliferação de </w:t>
      </w:r>
      <w:r w:rsidR="00C40284" w:rsidRPr="00B50999">
        <w:rPr>
          <w:rFonts w:eastAsia="Calibri"/>
          <w:lang w:eastAsia="en-US"/>
        </w:rPr>
        <w:t>Vetores de Doenças de Veiculação Hídrica</w:t>
      </w:r>
      <w:bookmarkEnd w:id="322"/>
      <w:bookmarkEnd w:id="323"/>
      <w:bookmarkEnd w:id="324"/>
    </w:p>
    <w:p w:rsidR="00FA40C2" w:rsidRDefault="00FA40C2" w:rsidP="009E1DAB">
      <w:pPr>
        <w:spacing w:before="120" w:after="120" w:line="240" w:lineRule="auto"/>
        <w:rPr>
          <w:b/>
        </w:rPr>
      </w:pPr>
      <w:r>
        <w:rPr>
          <w:b/>
        </w:rPr>
        <w:t>Fase de Implantação</w:t>
      </w:r>
    </w:p>
    <w:p w:rsidR="00FA40C2" w:rsidRPr="00A25955" w:rsidRDefault="00FA40C2" w:rsidP="00A25955">
      <w:pPr>
        <w:spacing w:before="120" w:after="120" w:line="240" w:lineRule="auto"/>
      </w:pPr>
      <w:r w:rsidRPr="00A25955">
        <w:t>As atividades relacionadas à fase de implantação das barragens Pedreira e Duas Pontes, causarão impactos ambientais de caráter secundário, que por sua vez formarão um processo de sinergia interna aos empreendimentos. As barragens serão construídas em ambientes com características antrópicas, onde muitas populações de invertebrados estão aptas a ocuparem áreas recém impactas. Portanto, presume-se que diversas espécies potenciais vetoras de patógenos para seres humanos passem a proliferar nas áreas impactadas pela implantação e operação de acessos, canteiros de obra e instalações provisórias, abertura e exploração de áreas de empréstimo e bota-fora, desvio dos rios, desmatamento e limpeza da área dos reservatórios e enchimento dos reservatórios.</w:t>
      </w:r>
    </w:p>
    <w:p w:rsidR="00FA40C2" w:rsidRPr="00A25955" w:rsidRDefault="00FA40C2" w:rsidP="00A25955">
      <w:pPr>
        <w:spacing w:before="120" w:after="120" w:line="240" w:lineRule="auto"/>
      </w:pPr>
      <w:r w:rsidRPr="00A25955">
        <w:t>As construções das barragens e demais estruturas físicas associadas englobam a implantação do canteiro de obras, a instalação de alojamentos, refeitórios, oficinas, escritório e outras estruturas que possibilitam a permanência dos operários por longo período de tempo. A instalação destas áreas construtivas próximas às margens de rios e de áreas de mata remanescente determinarão diferentes graus de exposição dos trabalhadores a invertebrados vetores de agentes etiológicos e animais peçonhentos existentes na região.</w:t>
      </w:r>
    </w:p>
    <w:p w:rsidR="00FA40C2" w:rsidRPr="00A25955" w:rsidRDefault="00FA40C2" w:rsidP="00A25955">
      <w:pPr>
        <w:spacing w:before="120" w:after="120" w:line="240" w:lineRule="auto"/>
      </w:pPr>
      <w:r w:rsidRPr="00A25955">
        <w:t>Com relação à fauna de flebotomíneos, poderão ocorrer altas densidades destes insetos na busca de abrigo em ambientes florestais próximos às áreas dos canteiros e de construção das obras civis. Neste caso, o grupo de risco para contrair leishmaniose tegumentar americana será os trabalhadores envolvidos na construção das barragens, especialmente se houver trabalho em período noturno. Nas áreas urbanas o maior risco será para leishmaniose visceral, pois em Campinas – SP existe registro de cães infectados em áreas infestadas pelo “mosquito palha” Lutzomyia (Lutzomyia) longipalpis (Lutz &amp; Neiva, 1912), principal vetor da doença.</w:t>
      </w:r>
    </w:p>
    <w:p w:rsidR="00FA40C2" w:rsidRPr="00A25955" w:rsidRDefault="00FA40C2" w:rsidP="00A25955">
      <w:pPr>
        <w:spacing w:before="120" w:after="120" w:line="240" w:lineRule="auto"/>
      </w:pPr>
      <w:r w:rsidRPr="00A25955">
        <w:t>Nos canteiros de obras poderão ocorrer diversos tipos de criadouros, desde grandes coleções hídricas no solo até recipientes artificiais deixados a céu aberto e que poderão armazenar água da chuva. A manutenção de acessos e áreas construtivas contribuirão para a formação de outras formas de criadouros, tais como, áreas represadas, escavações, poças no solo, vala de drenagem e outros.</w:t>
      </w:r>
    </w:p>
    <w:p w:rsidR="00FA40C2" w:rsidRPr="00A25955" w:rsidRDefault="00FA40C2" w:rsidP="00A25955">
      <w:pPr>
        <w:spacing w:before="120" w:after="120" w:line="240" w:lineRule="auto"/>
      </w:pPr>
      <w:r w:rsidRPr="00A25955">
        <w:t>Geralmente, esses criadouros caracterizam-se por água rasas, expostas à luz solar e de correnteza moderada a nula. A natureza da água varia de límpida a turva, e por vezes com vegetação emergente. Esses tipos de criadouros albergam formas imaturas de mosquitos dos gêneros Anopheles e Culex (Culex e Melanoconion), estas conhecidas como “cabeça de prego”. Algumas espécies de Anopheles são aptas a ocupar áreas impactadas, onde se constituem em importantes vetores de protozoários causadores da malária. As pessoas que irão trabalhar nas obras de construção das barragens, oriundas de regiões endêmicas da malária, aumentarão o risco de introdução da doença nestas áreas indenes.</w:t>
      </w:r>
    </w:p>
    <w:p w:rsidR="00FA40C2" w:rsidRPr="00A25955" w:rsidRDefault="00FA40C2" w:rsidP="00A25955">
      <w:pPr>
        <w:spacing w:before="120" w:after="120" w:line="240" w:lineRule="auto"/>
      </w:pPr>
      <w:r w:rsidRPr="00A25955">
        <w:t>Mosquitos exóticos como, St. (Stg.) aegypti, St. albopicta e Culex (Culex) quinquefasciatus Say, 1823 infestam as áreas urbanas e rurais dos municípios de Pedreira, Campinas e Amparo. Portanto, caso ocorra o armazenamento de sucatas, pneus e recipientes artificiais a céu aberto, a infestação dos canteiros de obras por essas espécies será possível. Neste caso, o fluxo de trabalhadores envolvidos na construção das barragens e as altas densidades destes mosquitos nos períodos chuvosos poderão acarretar no risco de ocorrência de dengue, além da possibilidade de extrapolação do ciclo silvestre da febre amarela para áreas antropizadas. A permanência destes profissionais nas cidades das áreas de influência dos empreendimentos, infestadas por St. (Stg.) aegypti, aumentará o risco da dengue na população local. Isto reforça a necessidade de monitoramento destas espécies de mosquito, principalmente durante a etapa de construção da barragem.</w:t>
      </w:r>
    </w:p>
    <w:p w:rsidR="00FA40C2" w:rsidRPr="00A25955" w:rsidRDefault="00FA40C2" w:rsidP="00A25955">
      <w:pPr>
        <w:spacing w:before="120" w:after="120" w:line="240" w:lineRule="auto"/>
      </w:pPr>
      <w:r w:rsidRPr="00A25955">
        <w:t>Nos canteiros de obras existirá a possiblidade da ocorrência de infestações por moscas, carrapatos e animais peçonhentos, além de triatomíneos (bicho barbeiro), atraídos pela luz. Outros insetos hematófagos que poderão se constituir em sérios problemas de incômodo são os mosquito pólvora, borrachudo e mutuca.</w:t>
      </w:r>
    </w:p>
    <w:p w:rsidR="00FA40C2" w:rsidRPr="00A25955" w:rsidRDefault="00FA40C2" w:rsidP="00A25955">
      <w:pPr>
        <w:spacing w:before="120" w:after="120" w:line="240" w:lineRule="auto"/>
      </w:pPr>
      <w:r w:rsidRPr="00A25955">
        <w:t>Os mosquitos pólvora são comumente encontrados no interior de matas úmidas e brejos. Os borrachudos são pequenos insetos hematófagos que tem o hábito de picar animais e pessoas durante o dia, principalmente nos períodos mais quentes e úmidos. Enquanto que, as mutucas podem ser encontradas sugando sangue principalmente de animais em pastagens e áreas desmatadas.</w:t>
      </w:r>
    </w:p>
    <w:p w:rsidR="00FA40C2" w:rsidRPr="00A25955" w:rsidRDefault="00FA40C2" w:rsidP="00A25955">
      <w:pPr>
        <w:spacing w:before="120" w:after="120" w:line="240" w:lineRule="auto"/>
      </w:pPr>
      <w:r w:rsidRPr="00A25955">
        <w:t>Outra possibilidade será a formação de potenciais criadouros nas áreas secas dos leitos dos rios e nas praças de construção das barragens. Este impacto poderá apresentar maior expressividade na Barragem Pedreira, porque o rio Jaguari encontra-se encravado entre morros com topos angulosos e vertentes com perfis retilíneos, muitas vezes abruptos. Os trechos de leito rochoso propiciam corredeiras, inclusive no local previsto para o eixo da futura barragem. A exposição de áreas rochosas poderá propiciar a formação de poças no período de maior índice pluviométrico da região, causando a proliferação atípica do mosquitos Georgecragius (Horsfallius) fluviatilis (Lutz, 1904. In: Bourroul, 1904) e diversas espécies de Culex (Culex) e Anopheles (Nyssorhynchus), que utilizam estes microhabitats como criadouro para suas formas imaturas.</w:t>
      </w:r>
    </w:p>
    <w:p w:rsidR="00FA40C2" w:rsidRPr="00A25955" w:rsidRDefault="00FA40C2" w:rsidP="00A25955">
      <w:pPr>
        <w:spacing w:before="120" w:after="120" w:line="240" w:lineRule="auto"/>
      </w:pPr>
      <w:r w:rsidRPr="00A25955">
        <w:t>Durante os desmatamentos, operários estarão expostos ao risco de infecção por agentes infecciosos transmitidos por mosquitos, entre eles, os arbovírus Saint Louis, Ilhéus, Rocio, Caraparu, Tacaiuma, Turlock e diversas encefalites. Além de doenças como, leishmanioses, transmitidos por flebotomíneos, e febre maculosa, transmitida por carrapatos.</w:t>
      </w:r>
    </w:p>
    <w:p w:rsidR="00FA40C2" w:rsidRPr="00A25955" w:rsidRDefault="00FA40C2" w:rsidP="00A25955">
      <w:pPr>
        <w:spacing w:before="120" w:after="120" w:line="240" w:lineRule="auto"/>
      </w:pPr>
      <w:r w:rsidRPr="00A25955">
        <w:t>As atividades que envolvem a supressão e remoção da vegetação, em áreas a serem inundadas pela formação dos reservatórios, afetarão ecossistemas em estado de equilíbrio. Nestes ambientes naturais, insetos hematófagos e hospedeiros silvestres participam do ciclo de vida de grande número de agentes infecciosos que são patogênicos a seres humanos.</w:t>
      </w:r>
    </w:p>
    <w:p w:rsidR="00FA40C2" w:rsidRPr="00A25955" w:rsidRDefault="00FA40C2" w:rsidP="00A25955">
      <w:pPr>
        <w:spacing w:before="120" w:after="120" w:line="240" w:lineRule="auto"/>
      </w:pPr>
      <w:r w:rsidRPr="00A25955">
        <w:t>Os efeitos do desmatamento e enchimento dos reservatórios não estarão limitados apenas nas áreas em si, podendo se estender para as comunidades próximas. Muitas espécies de insetos hematófagos poderão se dispersar em busca de novos locais de abrigo e de fontes alimentares. Nas localidades próximas das áreas de desmatamento poderá ocorrer invasão de ambientes domiciliares por insetos desalojados de seu ambiente natural, por exemplo, triatomíneos infectados por Trypanosoma cruzi, protozoário causador da doença de Chagas, bem como, a ocorrência de casos humanos de leishmaniose tegumentar americana.</w:t>
      </w:r>
    </w:p>
    <w:p w:rsidR="00FA40C2" w:rsidRPr="00A25955" w:rsidRDefault="00FA40C2" w:rsidP="00A25955">
      <w:pPr>
        <w:spacing w:before="120" w:after="120" w:line="240" w:lineRule="auto"/>
      </w:pPr>
      <w:r w:rsidRPr="00A25955">
        <w:t>As coleções hídricas existentes nas áreas a serem inundadas serão incorporadas pela formação dos reservatórios, e passarão a fazer parte de um novo ecossistema aquático. Neste momento, haverá uma drástica redução na população de espécies de mosquitos que proliferavam nestes ambientes, devido à ação predatória de peixes e outros animais larvófagos.</w:t>
      </w:r>
    </w:p>
    <w:p w:rsidR="00FA40C2" w:rsidRPr="00A25955" w:rsidRDefault="00FA40C2" w:rsidP="00A25955">
      <w:pPr>
        <w:spacing w:before="120" w:after="120" w:line="240" w:lineRule="auto"/>
      </w:pPr>
      <w:r w:rsidRPr="00A25955">
        <w:t>Com o enchimento dos reservatórios haverá uma redução na população de borrachudo, devido à inundação de corredeiras que representam os locais de desenvolvimento das larvas desse inseto. Este efeito será mais perceptível no entorno da Barragem Pedreira, onde se concentra o maior número de afloramento rochoso e de corredeiras.</w:t>
      </w:r>
    </w:p>
    <w:p w:rsidR="00FA40C2" w:rsidRPr="00A25955" w:rsidRDefault="00FA40C2" w:rsidP="00A25955">
      <w:pPr>
        <w:spacing w:before="120" w:after="120" w:line="240" w:lineRule="auto"/>
      </w:pPr>
      <w:r w:rsidRPr="00A25955">
        <w:t xml:space="preserve">Segue abaixo a caracterização do impacto de aumento da proliferação de invertebrados de interesse médico-sanitário nas AID/ADA, para as barragens Pedreira e Duas Pontes, conforme estabelecido pela Resolução </w:t>
      </w:r>
      <w:r w:rsidR="00504078">
        <w:t>CONAMA</w:t>
      </w:r>
      <w:r w:rsidRPr="00A25955">
        <w:t xml:space="preserve"> </w:t>
      </w:r>
      <w:r w:rsidR="00C37DA1">
        <w:rPr>
          <w:rFonts w:eastAsia="Batang"/>
          <w:lang w:eastAsia="en-US"/>
        </w:rPr>
        <w:t>n</w:t>
      </w:r>
      <w:r w:rsidR="00C37DA1" w:rsidRPr="00F94909">
        <w:rPr>
          <w:rFonts w:eastAsia="Batang"/>
          <w:u w:val="single"/>
          <w:vertAlign w:val="superscript"/>
          <w:lang w:eastAsia="en-US"/>
        </w:rPr>
        <w:t>o</w:t>
      </w:r>
      <w:r w:rsidR="00C37DA1" w:rsidRPr="00A25955">
        <w:t xml:space="preserve"> </w:t>
      </w:r>
      <w:r w:rsidRPr="00A25955">
        <w:t>001, de 23 de janeiro de1986:</w:t>
      </w:r>
    </w:p>
    <w:p w:rsidR="00FA40C2" w:rsidRPr="00C37DA1" w:rsidRDefault="00B44C8E" w:rsidP="00C37DA1">
      <w:pPr>
        <w:pStyle w:val="Legenda"/>
        <w:spacing w:line="240" w:lineRule="auto"/>
        <w:jc w:val="center"/>
        <w:rPr>
          <w:rFonts w:eastAsia="Calibri" w:cs="Arial"/>
          <w:b w:val="0"/>
          <w:i w:val="0"/>
          <w:szCs w:val="22"/>
          <w:lang w:eastAsia="en-US"/>
        </w:rPr>
      </w:pPr>
      <w:bookmarkStart w:id="325" w:name="_Toc420316510"/>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67</w:t>
      </w:r>
      <w:r w:rsidR="00B80A05" w:rsidRPr="00C37DA1">
        <w:rPr>
          <w:i w:val="0"/>
        </w:rPr>
        <w:fldChar w:fldCharType="end"/>
      </w:r>
      <w:r w:rsidR="00C37DA1" w:rsidRPr="00C37DA1">
        <w:rPr>
          <w:i w:val="0"/>
        </w:rPr>
        <w:t>.</w:t>
      </w:r>
      <w:r w:rsidR="00C37DA1" w:rsidRPr="00C37DA1">
        <w:rPr>
          <w:b w:val="0"/>
          <w:i w:val="0"/>
        </w:rPr>
        <w:t xml:space="preserve"> - </w:t>
      </w:r>
      <w:r w:rsidR="00FA40C2" w:rsidRPr="00C37DA1">
        <w:rPr>
          <w:rFonts w:eastAsia="Calibri" w:cs="Arial"/>
          <w:b w:val="0"/>
          <w:i w:val="0"/>
          <w:szCs w:val="22"/>
          <w:lang w:eastAsia="en-US"/>
        </w:rPr>
        <w:t xml:space="preserve">Caracterização do Impacto - </w:t>
      </w:r>
      <w:r w:rsidR="00661090" w:rsidRPr="00C37DA1">
        <w:rPr>
          <w:rFonts w:eastAsia="Calibri" w:cs="Arial"/>
          <w:b w:val="0"/>
          <w:i w:val="0"/>
          <w:szCs w:val="22"/>
          <w:lang w:eastAsia="en-US"/>
        </w:rPr>
        <w:t xml:space="preserve">Aumento do Potencial de Proliferação de Vetores de Doenças de Veiculação Hídrica - </w:t>
      </w:r>
      <w:r w:rsidR="002A1FB9" w:rsidRPr="00C37DA1">
        <w:rPr>
          <w:rFonts w:cs="Arial"/>
          <w:b w:val="0"/>
          <w:i w:val="0"/>
        </w:rPr>
        <w:t>Barrage</w:t>
      </w:r>
      <w:r w:rsidR="005E3672" w:rsidRPr="00C37DA1">
        <w:rPr>
          <w:rFonts w:cs="Arial"/>
          <w:b w:val="0"/>
          <w:i w:val="0"/>
        </w:rPr>
        <w:t>ns</w:t>
      </w:r>
      <w:r w:rsidR="002A1FB9" w:rsidRPr="00C37DA1">
        <w:rPr>
          <w:rFonts w:cs="Arial"/>
          <w:b w:val="0"/>
          <w:i w:val="0"/>
        </w:rPr>
        <w:t xml:space="preserve"> Pedreira e Duas Pontes</w:t>
      </w:r>
      <w:bookmarkEnd w:id="32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8"/>
        <w:gridCol w:w="1259"/>
        <w:gridCol w:w="1843"/>
        <w:gridCol w:w="1701"/>
        <w:gridCol w:w="3224"/>
      </w:tblGrid>
      <w:tr w:rsidR="00FA40C2" w:rsidRPr="00FA40C2" w:rsidTr="001930B4">
        <w:trPr>
          <w:trHeight w:val="409"/>
          <w:jc w:val="center"/>
        </w:trPr>
        <w:tc>
          <w:tcPr>
            <w:tcW w:w="1258" w:type="dxa"/>
            <w:shd w:val="clear" w:color="auto" w:fill="D9D9D9"/>
            <w:vAlign w:val="center"/>
          </w:tcPr>
          <w:p w:rsidR="00FA40C2" w:rsidRPr="00B00CA7" w:rsidRDefault="00FA40C2" w:rsidP="00FC2FC5">
            <w:pPr>
              <w:spacing w:before="60" w:after="20" w:line="240" w:lineRule="auto"/>
              <w:jc w:val="center"/>
              <w:rPr>
                <w:rFonts w:eastAsia="Calibri" w:cs="Arial"/>
                <w:b/>
                <w:szCs w:val="22"/>
                <w:lang w:eastAsia="en-US"/>
              </w:rPr>
            </w:pPr>
            <w:r w:rsidRPr="00B00CA7">
              <w:rPr>
                <w:rFonts w:eastAsia="Calibri" w:cs="Arial"/>
                <w:b/>
                <w:szCs w:val="22"/>
                <w:lang w:eastAsia="en-US"/>
              </w:rPr>
              <w:t>Natureza</w:t>
            </w:r>
          </w:p>
        </w:tc>
        <w:tc>
          <w:tcPr>
            <w:tcW w:w="1259" w:type="dxa"/>
            <w:shd w:val="clear" w:color="auto" w:fill="D9D9D9"/>
            <w:vAlign w:val="center"/>
          </w:tcPr>
          <w:p w:rsidR="00FA40C2" w:rsidRPr="00B00CA7" w:rsidRDefault="00FA40C2" w:rsidP="00FC2FC5">
            <w:pPr>
              <w:spacing w:before="60" w:after="20" w:line="240" w:lineRule="auto"/>
              <w:jc w:val="center"/>
              <w:rPr>
                <w:rFonts w:eastAsia="Calibri" w:cs="Arial"/>
                <w:b/>
                <w:szCs w:val="22"/>
                <w:lang w:eastAsia="en-US"/>
              </w:rPr>
            </w:pPr>
            <w:r w:rsidRPr="00B00CA7">
              <w:rPr>
                <w:rFonts w:eastAsia="Calibri" w:cs="Arial"/>
                <w:b/>
                <w:szCs w:val="22"/>
                <w:lang w:eastAsia="en-US"/>
              </w:rPr>
              <w:t>Ordem</w:t>
            </w:r>
          </w:p>
        </w:tc>
        <w:tc>
          <w:tcPr>
            <w:tcW w:w="1843" w:type="dxa"/>
            <w:shd w:val="clear" w:color="auto" w:fill="D9D9D9"/>
            <w:vAlign w:val="center"/>
          </w:tcPr>
          <w:p w:rsidR="00FA40C2" w:rsidRPr="00B00CA7" w:rsidRDefault="00FA40C2" w:rsidP="00FC2FC5">
            <w:pPr>
              <w:spacing w:before="60" w:after="20" w:line="240" w:lineRule="auto"/>
              <w:jc w:val="center"/>
              <w:rPr>
                <w:rFonts w:eastAsia="Calibri" w:cs="Arial"/>
                <w:b/>
                <w:szCs w:val="22"/>
                <w:lang w:eastAsia="en-US"/>
              </w:rPr>
            </w:pPr>
            <w:r w:rsidRPr="00B00CA7">
              <w:rPr>
                <w:rFonts w:eastAsia="Calibri" w:cs="Arial"/>
                <w:b/>
                <w:szCs w:val="22"/>
                <w:lang w:eastAsia="en-US"/>
              </w:rPr>
              <w:t>Abrangência</w:t>
            </w:r>
          </w:p>
        </w:tc>
        <w:tc>
          <w:tcPr>
            <w:tcW w:w="1701" w:type="dxa"/>
            <w:shd w:val="clear" w:color="auto" w:fill="D9D9D9"/>
            <w:vAlign w:val="center"/>
          </w:tcPr>
          <w:p w:rsidR="00FA40C2" w:rsidRPr="00B00CA7" w:rsidRDefault="00FA40C2" w:rsidP="00FC2FC5">
            <w:pPr>
              <w:spacing w:before="60" w:after="20" w:line="240" w:lineRule="auto"/>
              <w:jc w:val="center"/>
              <w:rPr>
                <w:rFonts w:eastAsia="Calibri" w:cs="Arial"/>
                <w:b/>
                <w:szCs w:val="22"/>
                <w:lang w:eastAsia="en-US"/>
              </w:rPr>
            </w:pPr>
            <w:r w:rsidRPr="00B00CA7">
              <w:rPr>
                <w:rFonts w:eastAsia="Calibri" w:cs="Arial"/>
                <w:b/>
                <w:szCs w:val="22"/>
                <w:lang w:eastAsia="en-US"/>
              </w:rPr>
              <w:t>Duração</w:t>
            </w:r>
          </w:p>
        </w:tc>
        <w:tc>
          <w:tcPr>
            <w:tcW w:w="3224" w:type="dxa"/>
            <w:shd w:val="clear" w:color="auto" w:fill="D9D9D9"/>
            <w:vAlign w:val="center"/>
          </w:tcPr>
          <w:p w:rsidR="00FA40C2" w:rsidRPr="00B00CA7" w:rsidRDefault="00FA40C2" w:rsidP="00FC2FC5">
            <w:pPr>
              <w:spacing w:before="60" w:after="20" w:line="240" w:lineRule="auto"/>
              <w:jc w:val="center"/>
              <w:rPr>
                <w:rFonts w:eastAsia="Calibri" w:cs="Arial"/>
                <w:b/>
                <w:szCs w:val="22"/>
                <w:lang w:eastAsia="en-US"/>
              </w:rPr>
            </w:pPr>
            <w:r w:rsidRPr="00B00CA7">
              <w:rPr>
                <w:rFonts w:eastAsia="Calibri" w:cs="Arial"/>
                <w:b/>
                <w:szCs w:val="22"/>
                <w:lang w:eastAsia="en-US"/>
              </w:rPr>
              <w:t>Probabilidade de Ocorrência</w:t>
            </w:r>
          </w:p>
        </w:tc>
      </w:tr>
      <w:tr w:rsidR="00FA40C2" w:rsidRPr="00FA40C2" w:rsidTr="001930B4">
        <w:trPr>
          <w:trHeight w:val="421"/>
          <w:jc w:val="center"/>
        </w:trPr>
        <w:tc>
          <w:tcPr>
            <w:tcW w:w="1258" w:type="dxa"/>
            <w:shd w:val="clear" w:color="auto" w:fill="auto"/>
            <w:vAlign w:val="center"/>
          </w:tcPr>
          <w:p w:rsidR="00FA40C2" w:rsidRPr="00FA40C2" w:rsidRDefault="00FA40C2" w:rsidP="00FC2FC5">
            <w:pPr>
              <w:spacing w:before="60" w:after="20" w:line="240" w:lineRule="auto"/>
              <w:jc w:val="center"/>
              <w:rPr>
                <w:rFonts w:eastAsia="Calibri" w:cs="Arial"/>
                <w:szCs w:val="22"/>
                <w:lang w:eastAsia="en-US"/>
              </w:rPr>
            </w:pPr>
            <w:r w:rsidRPr="00FA40C2">
              <w:rPr>
                <w:rFonts w:eastAsia="Calibri" w:cs="Arial"/>
                <w:szCs w:val="22"/>
                <w:lang w:eastAsia="en-US"/>
              </w:rPr>
              <w:t>Negativo</w:t>
            </w:r>
          </w:p>
        </w:tc>
        <w:tc>
          <w:tcPr>
            <w:tcW w:w="1259" w:type="dxa"/>
            <w:shd w:val="clear" w:color="auto" w:fill="auto"/>
            <w:vAlign w:val="center"/>
          </w:tcPr>
          <w:p w:rsidR="00FA40C2" w:rsidRPr="00FA40C2" w:rsidRDefault="00FA40C2" w:rsidP="00FC2FC5">
            <w:pPr>
              <w:spacing w:before="60" w:after="20" w:line="240" w:lineRule="auto"/>
              <w:jc w:val="center"/>
              <w:rPr>
                <w:rFonts w:eastAsia="Calibri" w:cs="Arial"/>
                <w:szCs w:val="22"/>
                <w:lang w:eastAsia="en-US"/>
              </w:rPr>
            </w:pPr>
            <w:r w:rsidRPr="00FA40C2">
              <w:rPr>
                <w:rFonts w:eastAsia="Calibri" w:cs="Arial"/>
                <w:szCs w:val="22"/>
                <w:lang w:eastAsia="en-US"/>
              </w:rPr>
              <w:t>Direto</w:t>
            </w:r>
          </w:p>
        </w:tc>
        <w:tc>
          <w:tcPr>
            <w:tcW w:w="1843" w:type="dxa"/>
            <w:shd w:val="clear" w:color="auto" w:fill="auto"/>
            <w:vAlign w:val="center"/>
          </w:tcPr>
          <w:p w:rsidR="00FA40C2" w:rsidRPr="00FA40C2" w:rsidRDefault="00FA40C2" w:rsidP="00FC2FC5">
            <w:pPr>
              <w:spacing w:before="60" w:after="20" w:line="240" w:lineRule="auto"/>
              <w:jc w:val="center"/>
              <w:rPr>
                <w:rFonts w:eastAsia="Calibri" w:cs="Arial"/>
                <w:szCs w:val="22"/>
                <w:lang w:eastAsia="en-US"/>
              </w:rPr>
            </w:pPr>
            <w:r w:rsidRPr="00FA40C2">
              <w:rPr>
                <w:rFonts w:eastAsia="Calibri" w:cs="Arial"/>
                <w:szCs w:val="22"/>
                <w:lang w:eastAsia="en-US"/>
              </w:rPr>
              <w:t>Local (ADA/AID)</w:t>
            </w:r>
          </w:p>
        </w:tc>
        <w:tc>
          <w:tcPr>
            <w:tcW w:w="1701" w:type="dxa"/>
            <w:shd w:val="clear" w:color="auto" w:fill="auto"/>
            <w:vAlign w:val="center"/>
          </w:tcPr>
          <w:p w:rsidR="00FA40C2" w:rsidRPr="00FA40C2" w:rsidRDefault="00FA40C2" w:rsidP="00FC2FC5">
            <w:pPr>
              <w:spacing w:before="60" w:after="20" w:line="240" w:lineRule="auto"/>
              <w:jc w:val="center"/>
              <w:rPr>
                <w:rFonts w:eastAsia="Calibri" w:cs="Arial"/>
                <w:szCs w:val="22"/>
                <w:lang w:eastAsia="en-US"/>
              </w:rPr>
            </w:pPr>
            <w:r w:rsidRPr="00FA40C2">
              <w:rPr>
                <w:rFonts w:eastAsia="Calibri" w:cs="Arial"/>
                <w:szCs w:val="22"/>
                <w:lang w:eastAsia="en-US"/>
              </w:rPr>
              <w:t>Temporário</w:t>
            </w:r>
          </w:p>
        </w:tc>
        <w:tc>
          <w:tcPr>
            <w:tcW w:w="3224" w:type="dxa"/>
            <w:shd w:val="clear" w:color="auto" w:fill="auto"/>
            <w:vAlign w:val="center"/>
          </w:tcPr>
          <w:p w:rsidR="00FA40C2" w:rsidRPr="00FA40C2" w:rsidRDefault="00FA40C2" w:rsidP="00FC2FC5">
            <w:pPr>
              <w:spacing w:before="60" w:after="20" w:line="240" w:lineRule="auto"/>
              <w:jc w:val="center"/>
              <w:rPr>
                <w:rFonts w:eastAsia="Calibri" w:cs="Arial"/>
                <w:szCs w:val="22"/>
                <w:lang w:eastAsia="en-US"/>
              </w:rPr>
            </w:pPr>
            <w:r w:rsidRPr="00FA40C2">
              <w:rPr>
                <w:rFonts w:eastAsia="Calibri" w:cs="Arial"/>
                <w:szCs w:val="22"/>
                <w:lang w:eastAsia="en-US"/>
              </w:rPr>
              <w:t>Provável</w:t>
            </w:r>
          </w:p>
        </w:tc>
      </w:tr>
    </w:tbl>
    <w:p w:rsidR="00FA40C2" w:rsidRPr="00FA40C2" w:rsidRDefault="00FA40C2" w:rsidP="00F803E4">
      <w:pPr>
        <w:spacing w:line="240" w:lineRule="auto"/>
        <w:ind w:right="-284"/>
        <w:jc w:val="center"/>
        <w:rPr>
          <w:rFonts w:eastAsia="Calibri" w:cs="Arial"/>
          <w:szCs w:val="22"/>
          <w:lang w:eastAsia="en-US"/>
        </w:rPr>
      </w:pPr>
    </w:p>
    <w:tbl>
      <w:tblPr>
        <w:tblW w:w="0" w:type="auto"/>
        <w:jc w:val="center"/>
        <w:tblInd w:w="-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00"/>
        <w:gridCol w:w="1843"/>
        <w:gridCol w:w="1701"/>
        <w:gridCol w:w="1603"/>
        <w:gridCol w:w="1603"/>
      </w:tblGrid>
      <w:tr w:rsidR="00FA40C2" w:rsidRPr="00FA40C2" w:rsidTr="001930B4">
        <w:trPr>
          <w:trHeight w:val="547"/>
          <w:jc w:val="center"/>
        </w:trPr>
        <w:tc>
          <w:tcPr>
            <w:tcW w:w="2500" w:type="dxa"/>
            <w:shd w:val="clear" w:color="auto" w:fill="D9D9D9"/>
            <w:vAlign w:val="center"/>
          </w:tcPr>
          <w:p w:rsidR="00FA40C2" w:rsidRPr="00B00CA7" w:rsidRDefault="00FA40C2" w:rsidP="00FC2FC5">
            <w:pPr>
              <w:spacing w:before="60" w:after="20" w:line="240" w:lineRule="auto"/>
              <w:jc w:val="center"/>
              <w:rPr>
                <w:rFonts w:eastAsia="Calibri" w:cs="Arial"/>
                <w:b/>
                <w:szCs w:val="22"/>
                <w:lang w:eastAsia="en-US"/>
              </w:rPr>
            </w:pPr>
            <w:r w:rsidRPr="00B00CA7">
              <w:rPr>
                <w:rFonts w:eastAsia="Calibri" w:cs="Arial"/>
                <w:b/>
                <w:szCs w:val="22"/>
                <w:lang w:eastAsia="en-US"/>
              </w:rPr>
              <w:t>Época de Ocorrência</w:t>
            </w:r>
          </w:p>
        </w:tc>
        <w:tc>
          <w:tcPr>
            <w:tcW w:w="1843" w:type="dxa"/>
            <w:shd w:val="clear" w:color="auto" w:fill="D9D9D9"/>
            <w:vAlign w:val="center"/>
          </w:tcPr>
          <w:p w:rsidR="00FA40C2" w:rsidRPr="00B00CA7" w:rsidRDefault="00FA40C2" w:rsidP="00FC2FC5">
            <w:pPr>
              <w:spacing w:before="60" w:after="20" w:line="240" w:lineRule="auto"/>
              <w:jc w:val="center"/>
              <w:rPr>
                <w:rFonts w:eastAsia="Calibri" w:cs="Arial"/>
                <w:b/>
                <w:szCs w:val="22"/>
                <w:lang w:eastAsia="en-US"/>
              </w:rPr>
            </w:pPr>
            <w:r w:rsidRPr="00B00CA7">
              <w:rPr>
                <w:rFonts w:eastAsia="Calibri" w:cs="Arial"/>
                <w:b/>
                <w:szCs w:val="22"/>
                <w:lang w:eastAsia="en-US"/>
              </w:rPr>
              <w:t>Reversibilidade</w:t>
            </w:r>
          </w:p>
        </w:tc>
        <w:tc>
          <w:tcPr>
            <w:tcW w:w="1701" w:type="dxa"/>
            <w:shd w:val="clear" w:color="auto" w:fill="D9D9D9"/>
            <w:vAlign w:val="center"/>
          </w:tcPr>
          <w:p w:rsidR="00FA40C2" w:rsidRPr="00B00CA7" w:rsidRDefault="00FA40C2" w:rsidP="00FC2FC5">
            <w:pPr>
              <w:spacing w:before="60" w:after="20" w:line="240" w:lineRule="auto"/>
              <w:jc w:val="center"/>
              <w:rPr>
                <w:rFonts w:eastAsia="Calibri" w:cs="Arial"/>
                <w:b/>
                <w:szCs w:val="22"/>
                <w:lang w:eastAsia="en-US"/>
              </w:rPr>
            </w:pPr>
            <w:r w:rsidRPr="00B00CA7">
              <w:rPr>
                <w:rFonts w:eastAsia="Calibri" w:cs="Arial"/>
                <w:b/>
                <w:szCs w:val="22"/>
                <w:lang w:eastAsia="en-US"/>
              </w:rPr>
              <w:t>Magnitude</w:t>
            </w:r>
          </w:p>
        </w:tc>
        <w:tc>
          <w:tcPr>
            <w:tcW w:w="1603" w:type="dxa"/>
            <w:shd w:val="clear" w:color="auto" w:fill="D9D9D9"/>
            <w:vAlign w:val="center"/>
          </w:tcPr>
          <w:p w:rsidR="00FA40C2" w:rsidRPr="00B00CA7" w:rsidRDefault="00FA40C2" w:rsidP="00FC2FC5">
            <w:pPr>
              <w:spacing w:before="60" w:after="20" w:line="240" w:lineRule="auto"/>
              <w:jc w:val="center"/>
              <w:rPr>
                <w:rFonts w:eastAsia="Calibri" w:cs="Arial"/>
                <w:b/>
                <w:szCs w:val="22"/>
                <w:lang w:eastAsia="en-US"/>
              </w:rPr>
            </w:pPr>
            <w:r w:rsidRPr="00B00CA7">
              <w:rPr>
                <w:rFonts w:eastAsia="Calibri" w:cs="Arial"/>
                <w:b/>
                <w:szCs w:val="22"/>
                <w:lang w:eastAsia="en-US"/>
              </w:rPr>
              <w:t>Importância</w:t>
            </w:r>
          </w:p>
        </w:tc>
        <w:tc>
          <w:tcPr>
            <w:tcW w:w="1603" w:type="dxa"/>
            <w:shd w:val="clear" w:color="auto" w:fill="D9D9D9"/>
            <w:vAlign w:val="center"/>
          </w:tcPr>
          <w:p w:rsidR="00FA40C2" w:rsidRPr="00B00CA7" w:rsidRDefault="00FA40C2" w:rsidP="00FC2FC5">
            <w:pPr>
              <w:spacing w:before="60" w:after="20" w:line="240" w:lineRule="auto"/>
              <w:jc w:val="center"/>
              <w:rPr>
                <w:rFonts w:eastAsia="Calibri" w:cs="Arial"/>
                <w:b/>
                <w:szCs w:val="22"/>
                <w:lang w:eastAsia="en-US"/>
              </w:rPr>
            </w:pPr>
            <w:r w:rsidRPr="00B00CA7">
              <w:rPr>
                <w:rFonts w:eastAsia="Calibri" w:cs="Arial"/>
                <w:b/>
                <w:szCs w:val="22"/>
                <w:lang w:eastAsia="en-US"/>
              </w:rPr>
              <w:t>Mitigação</w:t>
            </w:r>
          </w:p>
        </w:tc>
      </w:tr>
      <w:tr w:rsidR="00FA40C2" w:rsidRPr="00FA40C2" w:rsidTr="001930B4">
        <w:trPr>
          <w:trHeight w:val="453"/>
          <w:jc w:val="center"/>
        </w:trPr>
        <w:tc>
          <w:tcPr>
            <w:tcW w:w="2500" w:type="dxa"/>
            <w:shd w:val="clear" w:color="auto" w:fill="auto"/>
            <w:vAlign w:val="center"/>
          </w:tcPr>
          <w:p w:rsidR="00FA40C2" w:rsidRPr="00FA40C2" w:rsidRDefault="00FA40C2" w:rsidP="00FC2FC5">
            <w:pPr>
              <w:spacing w:before="60" w:after="20" w:line="240" w:lineRule="auto"/>
              <w:jc w:val="center"/>
              <w:rPr>
                <w:rFonts w:eastAsia="Calibri" w:cs="Arial"/>
                <w:szCs w:val="22"/>
                <w:lang w:eastAsia="en-US"/>
              </w:rPr>
            </w:pPr>
            <w:r w:rsidRPr="00FA40C2">
              <w:rPr>
                <w:rFonts w:eastAsia="Calibri" w:cs="Arial"/>
                <w:szCs w:val="22"/>
                <w:lang w:eastAsia="en-US"/>
              </w:rPr>
              <w:t>Curto Prazo</w:t>
            </w:r>
          </w:p>
        </w:tc>
        <w:tc>
          <w:tcPr>
            <w:tcW w:w="1843" w:type="dxa"/>
            <w:shd w:val="clear" w:color="auto" w:fill="auto"/>
            <w:vAlign w:val="center"/>
          </w:tcPr>
          <w:p w:rsidR="00FA40C2" w:rsidRPr="00FA40C2" w:rsidRDefault="00FA40C2" w:rsidP="00FC2FC5">
            <w:pPr>
              <w:spacing w:before="60" w:after="20" w:line="240" w:lineRule="auto"/>
              <w:jc w:val="center"/>
              <w:rPr>
                <w:rFonts w:eastAsia="Calibri" w:cs="Arial"/>
                <w:szCs w:val="22"/>
                <w:lang w:eastAsia="en-US"/>
              </w:rPr>
            </w:pPr>
            <w:r w:rsidRPr="00FA40C2">
              <w:rPr>
                <w:rFonts w:eastAsia="Calibri" w:cs="Arial"/>
                <w:szCs w:val="22"/>
                <w:lang w:eastAsia="en-US"/>
              </w:rPr>
              <w:t>Reversível</w:t>
            </w:r>
          </w:p>
        </w:tc>
        <w:tc>
          <w:tcPr>
            <w:tcW w:w="1701" w:type="dxa"/>
            <w:shd w:val="clear" w:color="auto" w:fill="auto"/>
            <w:vAlign w:val="center"/>
          </w:tcPr>
          <w:p w:rsidR="00FA40C2" w:rsidRPr="00FA40C2" w:rsidRDefault="00FA40C2" w:rsidP="00FC2FC5">
            <w:pPr>
              <w:spacing w:before="60" w:after="20" w:line="240" w:lineRule="auto"/>
              <w:jc w:val="center"/>
              <w:rPr>
                <w:rFonts w:eastAsia="Calibri" w:cs="Arial"/>
                <w:szCs w:val="22"/>
                <w:lang w:eastAsia="en-US"/>
              </w:rPr>
            </w:pPr>
            <w:r w:rsidRPr="00FA40C2">
              <w:rPr>
                <w:rFonts w:eastAsia="Calibri" w:cs="Arial"/>
                <w:szCs w:val="22"/>
                <w:lang w:eastAsia="en-US"/>
              </w:rPr>
              <w:t>Média</w:t>
            </w:r>
          </w:p>
        </w:tc>
        <w:tc>
          <w:tcPr>
            <w:tcW w:w="1603" w:type="dxa"/>
            <w:shd w:val="clear" w:color="auto" w:fill="auto"/>
            <w:vAlign w:val="center"/>
          </w:tcPr>
          <w:p w:rsidR="00FA40C2" w:rsidRPr="00FA40C2" w:rsidRDefault="00FA40C2" w:rsidP="00FC2FC5">
            <w:pPr>
              <w:spacing w:before="60" w:after="20" w:line="240" w:lineRule="auto"/>
              <w:jc w:val="center"/>
              <w:rPr>
                <w:rFonts w:eastAsia="Calibri" w:cs="Arial"/>
                <w:szCs w:val="22"/>
                <w:lang w:eastAsia="en-US"/>
              </w:rPr>
            </w:pPr>
            <w:r w:rsidRPr="00FA40C2">
              <w:rPr>
                <w:rFonts w:eastAsia="Calibri" w:cs="Arial"/>
                <w:szCs w:val="22"/>
                <w:lang w:eastAsia="en-US"/>
              </w:rPr>
              <w:t>Média</w:t>
            </w:r>
          </w:p>
        </w:tc>
        <w:tc>
          <w:tcPr>
            <w:tcW w:w="1603" w:type="dxa"/>
            <w:shd w:val="clear" w:color="auto" w:fill="auto"/>
            <w:vAlign w:val="center"/>
          </w:tcPr>
          <w:p w:rsidR="00FA40C2" w:rsidRPr="00FA40C2" w:rsidRDefault="00FA40C2" w:rsidP="00FC2FC5">
            <w:pPr>
              <w:spacing w:before="60" w:after="20" w:line="240" w:lineRule="auto"/>
              <w:jc w:val="center"/>
              <w:rPr>
                <w:rFonts w:eastAsia="Calibri" w:cs="Arial"/>
                <w:szCs w:val="22"/>
                <w:lang w:eastAsia="en-US"/>
              </w:rPr>
            </w:pPr>
            <w:r w:rsidRPr="00FA40C2">
              <w:rPr>
                <w:rFonts w:eastAsia="Calibri" w:cs="Arial"/>
                <w:szCs w:val="22"/>
                <w:lang w:eastAsia="en-US"/>
              </w:rPr>
              <w:t>Mitigável</w:t>
            </w:r>
          </w:p>
        </w:tc>
      </w:tr>
    </w:tbl>
    <w:p w:rsidR="001762CF" w:rsidRDefault="001762CF" w:rsidP="00A25955">
      <w:pPr>
        <w:spacing w:before="120" w:after="120" w:line="240" w:lineRule="auto"/>
      </w:pPr>
      <w:r w:rsidRPr="00A25955">
        <w:t>No final da etapa de implantação dos empreendimentos a restauração do equilíbrio ambiental ocorrerá com a recuperação ambiental de áreas degradadas, após o término das obras e o enchimento dos reservatórios.</w:t>
      </w:r>
    </w:p>
    <w:p w:rsidR="001762CF" w:rsidRPr="005C123C" w:rsidRDefault="001762CF" w:rsidP="00A25955">
      <w:pPr>
        <w:spacing w:before="120" w:after="120" w:line="240" w:lineRule="auto"/>
        <w:rPr>
          <w:b/>
        </w:rPr>
      </w:pPr>
      <w:r w:rsidRPr="005C123C">
        <w:rPr>
          <w:b/>
        </w:rPr>
        <w:t>Ações Ambientais Propostas</w:t>
      </w:r>
    </w:p>
    <w:p w:rsidR="001762CF" w:rsidRPr="00A25955" w:rsidRDefault="001762CF" w:rsidP="00A25955">
      <w:pPr>
        <w:spacing w:before="120" w:after="120" w:line="240" w:lineRule="auto"/>
      </w:pPr>
      <w:r w:rsidRPr="00A25955">
        <w:t>Preventivas/Corretivas: Durante toda a etapa de implantação dos empreendimentos deverá ser realizado o monitoramento da entomofauna (mosquitos e flebotomíneos) e malacofauna (principalmente moluscos da família Planorbidae), nas Áreas Diretamente Afetadas compreendendo canteiro de obras, áreas construtivas e associadas, margens dos rios Jaguari e Camanducaia (jusante e montante).</w:t>
      </w:r>
    </w:p>
    <w:p w:rsidR="001762CF" w:rsidRPr="00A25955" w:rsidRDefault="001762CF" w:rsidP="00A25955">
      <w:pPr>
        <w:spacing w:before="120" w:after="120" w:line="240" w:lineRule="auto"/>
      </w:pPr>
      <w:r w:rsidRPr="00A25955">
        <w:t>O empreendedor deverá realizar parcerias com as Secretarias Municipais de Saúde de Pedreira e Amparo, para estabelecer a rotina de inspeção de criadouros para St. (Stg.) aegypti e St. albopicta no canteiro de obras, com o objetivo de contribuir para o controle da dengue na região.</w:t>
      </w:r>
    </w:p>
    <w:p w:rsidR="001762CF" w:rsidRPr="00A25955" w:rsidRDefault="001762CF" w:rsidP="00A25955">
      <w:pPr>
        <w:spacing w:before="120" w:after="120" w:line="240" w:lineRule="auto"/>
      </w:pPr>
      <w:r w:rsidRPr="00A25955">
        <w:t>Contratação de empresa especializada na prestação de serviço de controle de vetores e pragas urbanas, para desenvolver ações periódicas preventivas e corretivas, visando impedir a reprodução de pragas nos canteiros e áreas civis.</w:t>
      </w:r>
    </w:p>
    <w:p w:rsidR="001762CF" w:rsidRPr="00A25955" w:rsidRDefault="001762CF" w:rsidP="00A25955">
      <w:pPr>
        <w:spacing w:before="120" w:after="120" w:line="240" w:lineRule="auto"/>
      </w:pPr>
      <w:r w:rsidRPr="00A25955">
        <w:t>Distribuição de material informativo para os profissionais da engenharia e meio ambiente, chefes de serviço, operários e prestadores de serviços relacionados às obras, sobre as doenças cujos agentes infecciosos são transmitidos por vetores e os acidentes por animais peçonhentos, cuidados que devem ser tomados durante as atividades profissionais e as referências dos centros de saúde locais.</w:t>
      </w:r>
    </w:p>
    <w:p w:rsidR="001762CF" w:rsidRDefault="001762CF" w:rsidP="00A25955">
      <w:pPr>
        <w:spacing w:before="120" w:after="120" w:line="240" w:lineRule="auto"/>
      </w:pPr>
      <w:r w:rsidRPr="00A25955">
        <w:t>Exigência do uso de Equipamentos de Proteção Individual (EPI) pelos profissionais envolvidos na construção das barragens e nas ações de desmatamento, tais como, bota de cano longo ou bota com perneira (que protejam até o joelho), uso de repelentes à base de DEET (dietiltoluamida) e utilização de roupas que protejam contra picadas de insetos como, camisas de mangas compridas, calças e sapatos fechados, quando em locais próximos à mata e brejos.</w:t>
      </w:r>
    </w:p>
    <w:p w:rsidR="00FA40C2" w:rsidRPr="00B50999" w:rsidRDefault="001762CF" w:rsidP="00B44C8E">
      <w:pPr>
        <w:pStyle w:val="Ttulo3"/>
      </w:pPr>
      <w:bookmarkStart w:id="326" w:name="_Toc418758241"/>
      <w:bookmarkStart w:id="327" w:name="_Toc418758843"/>
      <w:bookmarkStart w:id="328" w:name="_Toc419813603"/>
      <w:r w:rsidRPr="00B50999">
        <w:rPr>
          <w:szCs w:val="22"/>
        </w:rPr>
        <w:t>1.3.2.1</w:t>
      </w:r>
      <w:r w:rsidR="008C5DE8" w:rsidRPr="00B50999">
        <w:rPr>
          <w:szCs w:val="22"/>
        </w:rPr>
        <w:t>2</w:t>
      </w:r>
      <w:r w:rsidRPr="00B50999">
        <w:t xml:space="preserve">. </w:t>
      </w:r>
      <w:r w:rsidR="009B0CE4" w:rsidRPr="00B50999">
        <w:t>Alteração na Composição da Fauna de Invertebrados de Interesse Médico-S</w:t>
      </w:r>
      <w:r w:rsidRPr="00B50999">
        <w:t>anitário</w:t>
      </w:r>
      <w:bookmarkEnd w:id="326"/>
      <w:bookmarkEnd w:id="327"/>
      <w:bookmarkEnd w:id="328"/>
    </w:p>
    <w:p w:rsidR="001762CF" w:rsidRPr="001762CF" w:rsidRDefault="001762CF" w:rsidP="001762CF">
      <w:pPr>
        <w:tabs>
          <w:tab w:val="right" w:pos="8505"/>
        </w:tabs>
        <w:autoSpaceDE w:val="0"/>
        <w:autoSpaceDN w:val="0"/>
        <w:adjustRightInd w:val="0"/>
        <w:spacing w:before="120" w:after="240" w:line="240" w:lineRule="auto"/>
        <w:ind w:right="-285"/>
        <w:contextualSpacing/>
        <w:rPr>
          <w:rFonts w:eastAsia="Calibri" w:cs="Arial"/>
          <w:b/>
          <w:szCs w:val="22"/>
          <w:lang w:eastAsia="en-US"/>
        </w:rPr>
      </w:pPr>
      <w:r w:rsidRPr="001762CF">
        <w:rPr>
          <w:rFonts w:eastAsia="Calibri" w:cs="Arial"/>
          <w:b/>
          <w:szCs w:val="22"/>
          <w:lang w:eastAsia="en-US"/>
        </w:rPr>
        <w:t>Fase</w:t>
      </w:r>
      <w:r w:rsidR="005171B6">
        <w:rPr>
          <w:rFonts w:eastAsia="Calibri" w:cs="Arial"/>
          <w:b/>
          <w:szCs w:val="22"/>
          <w:lang w:eastAsia="en-US"/>
        </w:rPr>
        <w:t>:</w:t>
      </w:r>
      <w:r w:rsidRPr="001762CF">
        <w:rPr>
          <w:rFonts w:eastAsia="Calibri" w:cs="Arial"/>
          <w:b/>
          <w:szCs w:val="22"/>
          <w:lang w:eastAsia="en-US"/>
        </w:rPr>
        <w:t xml:space="preserve"> Operação</w:t>
      </w:r>
    </w:p>
    <w:p w:rsidR="001762CF" w:rsidRPr="00A25955" w:rsidRDefault="001762CF" w:rsidP="00A25955">
      <w:pPr>
        <w:spacing w:before="120" w:after="120" w:line="240" w:lineRule="auto"/>
      </w:pPr>
      <w:r w:rsidRPr="00A25955">
        <w:t>Na etapa de operação dos empreendimentos os impactos ambientais ganharão maior magnitude, por apresentarem características permanentes. A formação dos reservatórios causará a elevação da superfície freática e a inundação de áreas mais baixas, propiciando a estabilização de novos ecossistemas terrestres e aquáticos.</w:t>
      </w:r>
    </w:p>
    <w:p w:rsidR="001762CF" w:rsidRPr="00A25955" w:rsidRDefault="001762CF" w:rsidP="00A25955">
      <w:pPr>
        <w:spacing w:before="120" w:after="120" w:line="240" w:lineRule="auto"/>
      </w:pPr>
      <w:r w:rsidRPr="00A25955">
        <w:t>A fragmentação de ambientes silvestres poderá levar à redução do porte de alguns remanescentes vegetais com o consequente aumento das áreas de borda, onde espécies de invertebrados com maior tendência antrópica costumam frequentar. A alteração do nível do lençol freático influenciará diretamente na umidade do solo florestal, porém isto ainda não é estudado na análise de impacto ambiental. Esses fatores constituem-se de importância por influenciar na composição da fauna local e no predomínio de espécies vetoras, em detrimentos de outras sucumbidas pelas alterações ambientais impostas pela implantação dos empreendimentos.</w:t>
      </w:r>
    </w:p>
    <w:p w:rsidR="001762CF" w:rsidRPr="00A25955" w:rsidRDefault="001762CF" w:rsidP="00A25955">
      <w:pPr>
        <w:spacing w:before="120" w:after="120" w:line="240" w:lineRule="auto"/>
      </w:pPr>
      <w:r w:rsidRPr="00A25955">
        <w:t>Após a formação dos reservatórios um novo ecossistema será criado, passando de um sistema lótico (água corrente) para lêntico (água com pequena vazão). Essa mudança drástica no ambiente favorecerá a proliferação de espécies aptas a ocuparem áreas impactadas, que geralmente estão relacionadas à transmissão de patógenos para seres humanos.</w:t>
      </w:r>
    </w:p>
    <w:p w:rsidR="001762CF" w:rsidRPr="00A25955" w:rsidRDefault="001762CF" w:rsidP="00A25955">
      <w:pPr>
        <w:spacing w:before="120" w:after="120" w:line="240" w:lineRule="auto"/>
      </w:pPr>
      <w:r w:rsidRPr="00A25955">
        <w:t>No início da operação comercial das duas barragens será possível que os processos relacionados à eutrofização, fenômeno causado pelo excesso de compostos químicos ricos em fósforo ou nitrogênio que provocam um aumento excessivo de algas, permita a proliferação de algumas espécies de Culex, que se proliferam em água pouco oxigenada, e da tribo Mansoniini, cujas formas imaturas retiram todo o oxigênio que necessitam dos parênquimas aeríferos de plantas flutuantes (Eichornia, Pistia, Salvinia, Typha e gramíneas).</w:t>
      </w:r>
    </w:p>
    <w:p w:rsidR="001762CF" w:rsidRPr="00A25955" w:rsidRDefault="001762CF" w:rsidP="00A25955">
      <w:pPr>
        <w:spacing w:before="120" w:after="120" w:line="240" w:lineRule="auto"/>
      </w:pPr>
      <w:r w:rsidRPr="00A25955">
        <w:t>Posteriormente a este fenômeno, outras espécies de mosquitos poderão se estabelecer nos reservatórios constituídos pelas margens de águas rasas com presença de vegetação aquática, locais propícios para oviposição e proliferação de diversas espécies de mosquitos. Os locais de proliferação nos reservatórios ocorrerão em gradientes de ecossistemas aquáticos, que podem ser assim classificados: zona marginal bentônica (litoral); zona de remanso (área de represamento dos tributários); e zona interior dos reservatórios.</w:t>
      </w:r>
    </w:p>
    <w:p w:rsidR="001762CF" w:rsidRPr="00A25955" w:rsidRDefault="001762CF" w:rsidP="00A25955">
      <w:pPr>
        <w:spacing w:before="120" w:after="120" w:line="240" w:lineRule="auto"/>
      </w:pPr>
      <w:r w:rsidRPr="00A25955">
        <w:t>A zona marginal bentônica é formada a partir das bordas dos reservatórios, em um ambiente aquático de águas rasas e perenes, com profundidade média chega até 50 cm, gramíneas junto às margens e vegetação aquática constituída, principalmente, por plantas emergentes e macrófitas submersas. Nesta zona litoral ocorrerá a grande maioria da oviposição de fêmeas de mosquitos (Anopheles, Coquellettidia, Mansonia e Culex do subgênero Melanoconion).</w:t>
      </w:r>
    </w:p>
    <w:p w:rsidR="001762CF" w:rsidRPr="00A25955" w:rsidRDefault="001762CF" w:rsidP="00A25955">
      <w:pPr>
        <w:spacing w:before="120" w:after="120" w:line="240" w:lineRule="auto"/>
      </w:pPr>
      <w:r w:rsidRPr="00A25955">
        <w:t>Zona de remanso representa a região com declividade baixa, representada pelos locais onde desaguavam os tributários, invadidos pela formação dos reservatórios. Nestes ambientes a vegetação é formada principalmente, por macrófitas aquáticas flutuantes e pela mata afogada. O emaranhado de macrófitas, troncos e outros materiais constituirão importante nicho ecológico para o desenvolvimento de formas imaturas de anofelíneos, inclusive Anopheles (Nyssorhynchus) darlingi Root, 1926, considerado o principal vetor de Plasmodium spp. causadores de malária em seres humanos.</w:t>
      </w:r>
    </w:p>
    <w:p w:rsidR="001762CF" w:rsidRPr="00A25955" w:rsidRDefault="001762CF" w:rsidP="00A25955">
      <w:pPr>
        <w:spacing w:before="120" w:after="120" w:line="240" w:lineRule="auto"/>
      </w:pPr>
      <w:r w:rsidRPr="00A25955">
        <w:t>Porém, as atividades agropastoris e o despejo de esgoto sanitário e de efluentes nos reservatórios, poderão aumentar a quantidade de nitrogênio e fósforo na água, inibindo o desenvolvimento de formas imaturas de anofelíneos. Da mesma forma que nas áreas de remanso, onde a velocidade é inferior a seis metros por segundo impedirá as perdas de biomassa com potencial reprodutivo do fito e do zooplâncton.</w:t>
      </w:r>
    </w:p>
    <w:p w:rsidR="001762CF" w:rsidRPr="00A25955" w:rsidRDefault="001762CF" w:rsidP="00A25955">
      <w:pPr>
        <w:spacing w:before="120" w:after="120" w:line="240" w:lineRule="auto"/>
      </w:pPr>
      <w:r w:rsidRPr="00A25955">
        <w:t>Zona interior dos reservatórios constitui-se a área aberta e mais profunda dos reservatórios, onde poderão ocorrer as ilhotas de plantas aquáticas. As raízes deste tipo de planta poderão formar extensos tapetes, um meio bastante eficiente de dispersão de molusco da família Planorbidae, hospedeiro intermediário do verme Schistosoma mansoni, causador da esquistossomose (barriga d’água).</w:t>
      </w:r>
    </w:p>
    <w:p w:rsidR="001762CF" w:rsidRPr="00A25955" w:rsidRDefault="001762CF" w:rsidP="00A25955">
      <w:pPr>
        <w:spacing w:before="120" w:after="120" w:line="240" w:lineRule="auto"/>
      </w:pPr>
      <w:r w:rsidRPr="00A25955">
        <w:t>Os projetos de repovoamento da ictiofauna, geralmente associados à construção de barragens, poderão levar à dispersão passiva de caramujos, observada em outras circunstâncias com Biomphalaria straminea (Dunker, 1848) e Biomphalaria tenagophila (d'Orbigny, 1835) (TELES &amp; VAZ, 1987; TELES, 1989). Também, poderá ocorrer o risco de introdução de outras espécies de importância médica, como por exemplo, o Biomphalaria glabrata (Say, 1818).</w:t>
      </w:r>
    </w:p>
    <w:p w:rsidR="001762CF" w:rsidRDefault="001762CF" w:rsidP="00A25955">
      <w:pPr>
        <w:spacing w:before="120" w:after="120" w:line="240" w:lineRule="auto"/>
      </w:pPr>
      <w:r w:rsidRPr="00A25955">
        <w:t>Além dos impactos ambientais restritos à ÁDA de cada um dos reservatórios, existe a possibilidade da ocorrência de impactos cumulativos em uma faixa maior no entorno à jusante do barramento, delimitada por afluentes ou remanso de outros reservatórios, como por exemplo, a Pequena Central Hidrelétrica (PCH) Jaguari, que está situada a 2,0 km rio acima e apresenta características similar</w:t>
      </w:r>
      <w:r w:rsidR="008C15C3">
        <w:t xml:space="preserve">es as do futuro reservatório da Barragem </w:t>
      </w:r>
      <w:r w:rsidRPr="00A25955">
        <w:t xml:space="preserve">Pedreira. Segue abaixo a caracterização do impacto de aumento da proliferação de invertebrados de interesse médico-sanitário na ÀII, considerando o município de Amparo para a </w:t>
      </w:r>
      <w:r w:rsidR="005E3672" w:rsidRPr="00A25955">
        <w:t>Barragem</w:t>
      </w:r>
      <w:r w:rsidRPr="00A25955">
        <w:t xml:space="preserve"> Pedreira e os municípios de Pedrei</w:t>
      </w:r>
      <w:r w:rsidR="005E3672" w:rsidRPr="00A25955">
        <w:t>ra e Campinas para a Barragem</w:t>
      </w:r>
      <w:r w:rsidRPr="00A25955">
        <w:t xml:space="preserve"> Duas Pontes, conforme estabelecido pela Resolução </w:t>
      </w:r>
      <w:r w:rsidR="00504078">
        <w:t>CONAMA</w:t>
      </w:r>
      <w:r w:rsidR="00B44C8E">
        <w:t xml:space="preserve"> n</w:t>
      </w:r>
      <w:r w:rsidR="00B44C8E" w:rsidRPr="00B44C8E">
        <w:rPr>
          <w:u w:val="single"/>
          <w:vertAlign w:val="superscript"/>
        </w:rPr>
        <w:t>o</w:t>
      </w:r>
      <w:r w:rsidRPr="00A25955">
        <w:t xml:space="preserve"> 001, de 23 de janeiro de1986:</w:t>
      </w:r>
    </w:p>
    <w:p w:rsidR="002A1FB9" w:rsidRPr="00C37DA1" w:rsidRDefault="00B44C8E" w:rsidP="00C37DA1">
      <w:pPr>
        <w:pStyle w:val="Legenda"/>
        <w:spacing w:line="240" w:lineRule="auto"/>
        <w:jc w:val="center"/>
        <w:rPr>
          <w:b w:val="0"/>
          <w:i w:val="0"/>
        </w:rPr>
      </w:pPr>
      <w:bookmarkStart w:id="329" w:name="_Toc420316511"/>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68</w:t>
      </w:r>
      <w:r w:rsidR="00B80A05" w:rsidRPr="00C37DA1">
        <w:rPr>
          <w:i w:val="0"/>
        </w:rPr>
        <w:fldChar w:fldCharType="end"/>
      </w:r>
      <w:r w:rsidR="00C37DA1" w:rsidRPr="00C37DA1">
        <w:rPr>
          <w:i w:val="0"/>
        </w:rPr>
        <w:t>.</w:t>
      </w:r>
      <w:r w:rsidR="00C37DA1" w:rsidRPr="00C37DA1">
        <w:rPr>
          <w:b w:val="0"/>
          <w:i w:val="0"/>
        </w:rPr>
        <w:t xml:space="preserve"> - </w:t>
      </w:r>
      <w:r w:rsidR="001762CF" w:rsidRPr="00C37DA1">
        <w:rPr>
          <w:rFonts w:eastAsia="Calibri" w:cs="Arial"/>
          <w:b w:val="0"/>
          <w:i w:val="0"/>
          <w:szCs w:val="22"/>
          <w:lang w:eastAsia="en-US"/>
        </w:rPr>
        <w:t xml:space="preserve">Caracterização do Impacto - </w:t>
      </w:r>
      <w:r w:rsidR="002A1FB9" w:rsidRPr="00C37DA1">
        <w:rPr>
          <w:rFonts w:cs="Arial"/>
          <w:b w:val="0"/>
          <w:i w:val="0"/>
        </w:rPr>
        <w:t>Alteração na Composição da Fauna de Invertebrados de Interesse Médico-Sanitário</w:t>
      </w:r>
      <w:r w:rsidR="0086474A" w:rsidRPr="00C37DA1">
        <w:rPr>
          <w:rFonts w:cs="Arial"/>
          <w:b w:val="0"/>
          <w:i w:val="0"/>
        </w:rPr>
        <w:t xml:space="preserve"> </w:t>
      </w:r>
      <w:r w:rsidR="0086474A" w:rsidRPr="00C37DA1">
        <w:rPr>
          <w:rFonts w:cs="Arial"/>
          <w:b w:val="0"/>
          <w:bCs/>
          <w:i w:val="0"/>
          <w:szCs w:val="22"/>
        </w:rPr>
        <w:t>– Barragem Pedreira e Duas Pontes</w:t>
      </w:r>
      <w:bookmarkEnd w:id="32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1276"/>
        <w:gridCol w:w="1984"/>
        <w:gridCol w:w="1418"/>
        <w:gridCol w:w="3260"/>
      </w:tblGrid>
      <w:tr w:rsidR="001762CF" w:rsidRPr="00B00CA7" w:rsidTr="001930B4">
        <w:tc>
          <w:tcPr>
            <w:tcW w:w="1276" w:type="dxa"/>
            <w:shd w:val="clear" w:color="auto" w:fill="D9D9D9"/>
            <w:vAlign w:val="center"/>
          </w:tcPr>
          <w:p w:rsidR="001762CF" w:rsidRPr="00B00CA7" w:rsidRDefault="001762CF" w:rsidP="00A35CF3">
            <w:pPr>
              <w:spacing w:before="60" w:after="60" w:line="240" w:lineRule="auto"/>
              <w:jc w:val="center"/>
              <w:rPr>
                <w:rFonts w:eastAsia="Calibri" w:cs="Arial"/>
                <w:b/>
                <w:szCs w:val="22"/>
                <w:lang w:eastAsia="en-US"/>
              </w:rPr>
            </w:pPr>
            <w:r w:rsidRPr="00B00CA7">
              <w:rPr>
                <w:rFonts w:eastAsia="Calibri" w:cs="Arial"/>
                <w:b/>
                <w:szCs w:val="22"/>
                <w:lang w:eastAsia="en-US"/>
              </w:rPr>
              <w:t>Natureza</w:t>
            </w:r>
          </w:p>
        </w:tc>
        <w:tc>
          <w:tcPr>
            <w:tcW w:w="1276" w:type="dxa"/>
            <w:shd w:val="clear" w:color="auto" w:fill="D9D9D9"/>
            <w:vAlign w:val="center"/>
          </w:tcPr>
          <w:p w:rsidR="001762CF" w:rsidRPr="00B00CA7" w:rsidRDefault="001762CF" w:rsidP="00A35CF3">
            <w:pPr>
              <w:spacing w:before="60" w:after="60" w:line="240" w:lineRule="auto"/>
              <w:jc w:val="center"/>
              <w:rPr>
                <w:rFonts w:eastAsia="Calibri" w:cs="Arial"/>
                <w:b/>
                <w:szCs w:val="22"/>
                <w:lang w:eastAsia="en-US"/>
              </w:rPr>
            </w:pPr>
            <w:r w:rsidRPr="00B00CA7">
              <w:rPr>
                <w:rFonts w:eastAsia="Calibri" w:cs="Arial"/>
                <w:b/>
                <w:szCs w:val="22"/>
                <w:lang w:eastAsia="en-US"/>
              </w:rPr>
              <w:t>Ordem</w:t>
            </w:r>
          </w:p>
        </w:tc>
        <w:tc>
          <w:tcPr>
            <w:tcW w:w="1984" w:type="dxa"/>
            <w:shd w:val="clear" w:color="auto" w:fill="D9D9D9"/>
            <w:vAlign w:val="center"/>
          </w:tcPr>
          <w:p w:rsidR="001762CF" w:rsidRPr="00B00CA7" w:rsidRDefault="001762CF" w:rsidP="00A35CF3">
            <w:pPr>
              <w:spacing w:before="60" w:after="60" w:line="240" w:lineRule="auto"/>
              <w:jc w:val="center"/>
              <w:rPr>
                <w:rFonts w:eastAsia="Calibri" w:cs="Arial"/>
                <w:b/>
                <w:szCs w:val="22"/>
                <w:lang w:eastAsia="en-US"/>
              </w:rPr>
            </w:pPr>
            <w:r w:rsidRPr="00B00CA7">
              <w:rPr>
                <w:rFonts w:eastAsia="Calibri" w:cs="Arial"/>
                <w:b/>
                <w:szCs w:val="22"/>
                <w:lang w:eastAsia="en-US"/>
              </w:rPr>
              <w:t>Abrangência</w:t>
            </w:r>
          </w:p>
        </w:tc>
        <w:tc>
          <w:tcPr>
            <w:tcW w:w="1418" w:type="dxa"/>
            <w:shd w:val="clear" w:color="auto" w:fill="D9D9D9"/>
            <w:vAlign w:val="center"/>
          </w:tcPr>
          <w:p w:rsidR="001762CF" w:rsidRPr="00B00CA7" w:rsidRDefault="001762CF" w:rsidP="00A35CF3">
            <w:pPr>
              <w:spacing w:before="60" w:after="60" w:line="240" w:lineRule="auto"/>
              <w:jc w:val="center"/>
              <w:rPr>
                <w:rFonts w:eastAsia="Calibri" w:cs="Arial"/>
                <w:b/>
                <w:szCs w:val="22"/>
                <w:lang w:eastAsia="en-US"/>
              </w:rPr>
            </w:pPr>
            <w:r w:rsidRPr="00B00CA7">
              <w:rPr>
                <w:rFonts w:eastAsia="Calibri" w:cs="Arial"/>
                <w:b/>
                <w:szCs w:val="22"/>
                <w:lang w:eastAsia="en-US"/>
              </w:rPr>
              <w:t>Duração</w:t>
            </w:r>
          </w:p>
        </w:tc>
        <w:tc>
          <w:tcPr>
            <w:tcW w:w="3260" w:type="dxa"/>
            <w:shd w:val="clear" w:color="auto" w:fill="D9D9D9"/>
            <w:vAlign w:val="center"/>
          </w:tcPr>
          <w:p w:rsidR="001762CF" w:rsidRPr="00B00CA7" w:rsidRDefault="001762CF" w:rsidP="00A35CF3">
            <w:pPr>
              <w:spacing w:before="60" w:after="60" w:line="240" w:lineRule="auto"/>
              <w:jc w:val="center"/>
              <w:rPr>
                <w:rFonts w:eastAsia="Calibri" w:cs="Arial"/>
                <w:b/>
                <w:szCs w:val="22"/>
                <w:lang w:eastAsia="en-US"/>
              </w:rPr>
            </w:pPr>
            <w:r w:rsidRPr="00B00CA7">
              <w:rPr>
                <w:rFonts w:eastAsia="Calibri" w:cs="Arial"/>
                <w:b/>
                <w:szCs w:val="22"/>
                <w:lang w:eastAsia="en-US"/>
              </w:rPr>
              <w:t>Probabilidade de Ocorrência</w:t>
            </w:r>
          </w:p>
        </w:tc>
      </w:tr>
      <w:tr w:rsidR="001762CF" w:rsidRPr="001762CF" w:rsidTr="001930B4">
        <w:trPr>
          <w:trHeight w:val="534"/>
        </w:trPr>
        <w:tc>
          <w:tcPr>
            <w:tcW w:w="1276" w:type="dxa"/>
            <w:shd w:val="clear" w:color="auto" w:fill="auto"/>
            <w:vAlign w:val="center"/>
          </w:tcPr>
          <w:p w:rsidR="001762CF" w:rsidRPr="001762CF" w:rsidRDefault="001762CF" w:rsidP="00B00CA7">
            <w:pPr>
              <w:spacing w:before="60" w:after="60" w:line="240" w:lineRule="auto"/>
              <w:jc w:val="center"/>
              <w:rPr>
                <w:rFonts w:eastAsia="Calibri" w:cs="Arial"/>
                <w:szCs w:val="22"/>
                <w:lang w:eastAsia="en-US"/>
              </w:rPr>
            </w:pPr>
            <w:r w:rsidRPr="001762CF">
              <w:rPr>
                <w:rFonts w:eastAsia="Calibri" w:cs="Arial"/>
                <w:szCs w:val="22"/>
                <w:lang w:eastAsia="en-US"/>
              </w:rPr>
              <w:t>Negativo</w:t>
            </w:r>
          </w:p>
        </w:tc>
        <w:tc>
          <w:tcPr>
            <w:tcW w:w="1276" w:type="dxa"/>
            <w:shd w:val="clear" w:color="auto" w:fill="auto"/>
            <w:vAlign w:val="center"/>
          </w:tcPr>
          <w:p w:rsidR="001762CF" w:rsidRPr="001762CF" w:rsidRDefault="001762CF" w:rsidP="00B00CA7">
            <w:pPr>
              <w:spacing w:before="60" w:after="60" w:line="240" w:lineRule="auto"/>
              <w:jc w:val="center"/>
              <w:rPr>
                <w:rFonts w:eastAsia="Calibri" w:cs="Arial"/>
                <w:szCs w:val="22"/>
                <w:lang w:eastAsia="en-US"/>
              </w:rPr>
            </w:pPr>
            <w:r w:rsidRPr="001762CF">
              <w:rPr>
                <w:rFonts w:eastAsia="Calibri" w:cs="Arial"/>
                <w:szCs w:val="22"/>
                <w:lang w:eastAsia="en-US"/>
              </w:rPr>
              <w:t>Direto</w:t>
            </w:r>
          </w:p>
        </w:tc>
        <w:tc>
          <w:tcPr>
            <w:tcW w:w="1984" w:type="dxa"/>
            <w:shd w:val="clear" w:color="auto" w:fill="auto"/>
            <w:vAlign w:val="center"/>
          </w:tcPr>
          <w:p w:rsidR="001762CF" w:rsidRPr="001762CF" w:rsidRDefault="001762CF" w:rsidP="00B00CA7">
            <w:pPr>
              <w:spacing w:before="60" w:after="60" w:line="240" w:lineRule="auto"/>
              <w:jc w:val="center"/>
              <w:rPr>
                <w:rFonts w:eastAsia="Calibri" w:cs="Arial"/>
                <w:szCs w:val="22"/>
                <w:lang w:eastAsia="en-US"/>
              </w:rPr>
            </w:pPr>
            <w:r w:rsidRPr="001762CF">
              <w:rPr>
                <w:rFonts w:eastAsia="Calibri" w:cs="Arial"/>
                <w:szCs w:val="22"/>
                <w:lang w:eastAsia="en-US"/>
              </w:rPr>
              <w:t>Regional (AII)</w:t>
            </w:r>
          </w:p>
        </w:tc>
        <w:tc>
          <w:tcPr>
            <w:tcW w:w="1418" w:type="dxa"/>
            <w:shd w:val="clear" w:color="auto" w:fill="auto"/>
            <w:vAlign w:val="center"/>
          </w:tcPr>
          <w:p w:rsidR="001762CF" w:rsidRPr="001762CF" w:rsidRDefault="001762CF" w:rsidP="00B00CA7">
            <w:pPr>
              <w:spacing w:before="60" w:after="60" w:line="240" w:lineRule="auto"/>
              <w:jc w:val="center"/>
              <w:rPr>
                <w:rFonts w:eastAsia="Calibri" w:cs="Arial"/>
                <w:szCs w:val="22"/>
                <w:lang w:eastAsia="en-US"/>
              </w:rPr>
            </w:pPr>
            <w:r w:rsidRPr="001762CF">
              <w:rPr>
                <w:rFonts w:eastAsia="Calibri" w:cs="Arial"/>
                <w:szCs w:val="22"/>
                <w:lang w:eastAsia="en-US"/>
              </w:rPr>
              <w:t>Permanente</w:t>
            </w:r>
          </w:p>
        </w:tc>
        <w:tc>
          <w:tcPr>
            <w:tcW w:w="3260" w:type="dxa"/>
            <w:shd w:val="clear" w:color="auto" w:fill="auto"/>
            <w:vAlign w:val="center"/>
          </w:tcPr>
          <w:p w:rsidR="001762CF" w:rsidRPr="001762CF" w:rsidRDefault="001762CF" w:rsidP="00B00CA7">
            <w:pPr>
              <w:spacing w:before="60" w:after="60" w:line="240" w:lineRule="auto"/>
              <w:jc w:val="center"/>
              <w:rPr>
                <w:rFonts w:eastAsia="Calibri" w:cs="Arial"/>
                <w:szCs w:val="22"/>
                <w:lang w:eastAsia="en-US"/>
              </w:rPr>
            </w:pPr>
            <w:r w:rsidRPr="001762CF">
              <w:rPr>
                <w:rFonts w:eastAsia="Calibri" w:cs="Arial"/>
                <w:szCs w:val="22"/>
                <w:lang w:eastAsia="en-US"/>
              </w:rPr>
              <w:t>Certa</w:t>
            </w:r>
          </w:p>
        </w:tc>
      </w:tr>
    </w:tbl>
    <w:p w:rsidR="001762CF" w:rsidRPr="001762CF" w:rsidRDefault="001762CF" w:rsidP="001762CF">
      <w:pPr>
        <w:spacing w:line="240" w:lineRule="auto"/>
        <w:ind w:right="-284"/>
        <w:rPr>
          <w:rFonts w:eastAsia="Calibri" w:cs="Arial"/>
          <w:szCs w:val="22"/>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984"/>
        <w:gridCol w:w="1418"/>
        <w:gridCol w:w="1559"/>
        <w:gridCol w:w="1701"/>
      </w:tblGrid>
      <w:tr w:rsidR="001762CF" w:rsidRPr="00B00CA7" w:rsidTr="001930B4">
        <w:tc>
          <w:tcPr>
            <w:tcW w:w="2552" w:type="dxa"/>
            <w:shd w:val="clear" w:color="auto" w:fill="D9D9D9"/>
            <w:vAlign w:val="center"/>
          </w:tcPr>
          <w:p w:rsidR="001762CF" w:rsidRPr="00B00CA7" w:rsidRDefault="001762CF" w:rsidP="00B00CA7">
            <w:pPr>
              <w:spacing w:before="60" w:after="60" w:line="240" w:lineRule="auto"/>
              <w:jc w:val="center"/>
              <w:rPr>
                <w:rFonts w:eastAsia="Calibri" w:cs="Arial"/>
                <w:b/>
                <w:szCs w:val="22"/>
                <w:lang w:eastAsia="en-US"/>
              </w:rPr>
            </w:pPr>
            <w:r w:rsidRPr="00B00CA7">
              <w:rPr>
                <w:rFonts w:eastAsia="Calibri" w:cs="Arial"/>
                <w:b/>
                <w:szCs w:val="22"/>
                <w:lang w:eastAsia="en-US"/>
              </w:rPr>
              <w:t>Época de Ocorrência</w:t>
            </w:r>
          </w:p>
        </w:tc>
        <w:tc>
          <w:tcPr>
            <w:tcW w:w="1984" w:type="dxa"/>
            <w:shd w:val="clear" w:color="auto" w:fill="D9D9D9"/>
            <w:vAlign w:val="center"/>
          </w:tcPr>
          <w:p w:rsidR="001762CF" w:rsidRPr="00B00CA7" w:rsidRDefault="001762CF" w:rsidP="00B00CA7">
            <w:pPr>
              <w:spacing w:before="60" w:after="60" w:line="240" w:lineRule="auto"/>
              <w:jc w:val="center"/>
              <w:rPr>
                <w:rFonts w:eastAsia="Calibri" w:cs="Arial"/>
                <w:b/>
                <w:szCs w:val="22"/>
                <w:lang w:eastAsia="en-US"/>
              </w:rPr>
            </w:pPr>
            <w:r w:rsidRPr="00B00CA7">
              <w:rPr>
                <w:rFonts w:eastAsia="Calibri" w:cs="Arial"/>
                <w:b/>
                <w:szCs w:val="22"/>
                <w:lang w:eastAsia="en-US"/>
              </w:rPr>
              <w:t>Reversibilidade</w:t>
            </w:r>
          </w:p>
        </w:tc>
        <w:tc>
          <w:tcPr>
            <w:tcW w:w="1418" w:type="dxa"/>
            <w:shd w:val="clear" w:color="auto" w:fill="D9D9D9"/>
            <w:vAlign w:val="center"/>
          </w:tcPr>
          <w:p w:rsidR="001762CF" w:rsidRPr="00B00CA7" w:rsidRDefault="001762CF" w:rsidP="00B00CA7">
            <w:pPr>
              <w:spacing w:before="60" w:after="60" w:line="240" w:lineRule="auto"/>
              <w:jc w:val="center"/>
              <w:rPr>
                <w:rFonts w:eastAsia="Calibri" w:cs="Arial"/>
                <w:b/>
                <w:szCs w:val="22"/>
                <w:lang w:eastAsia="en-US"/>
              </w:rPr>
            </w:pPr>
            <w:r w:rsidRPr="00B00CA7">
              <w:rPr>
                <w:rFonts w:eastAsia="Calibri" w:cs="Arial"/>
                <w:b/>
                <w:szCs w:val="22"/>
                <w:lang w:eastAsia="en-US"/>
              </w:rPr>
              <w:t>Magnitude</w:t>
            </w:r>
          </w:p>
        </w:tc>
        <w:tc>
          <w:tcPr>
            <w:tcW w:w="1559" w:type="dxa"/>
            <w:shd w:val="clear" w:color="auto" w:fill="D9D9D9"/>
            <w:vAlign w:val="center"/>
          </w:tcPr>
          <w:p w:rsidR="001762CF" w:rsidRPr="00B00CA7" w:rsidRDefault="001762CF" w:rsidP="00B00CA7">
            <w:pPr>
              <w:spacing w:before="60" w:after="60" w:line="240" w:lineRule="auto"/>
              <w:jc w:val="center"/>
              <w:rPr>
                <w:rFonts w:eastAsia="Calibri" w:cs="Arial"/>
                <w:b/>
                <w:szCs w:val="22"/>
                <w:lang w:eastAsia="en-US"/>
              </w:rPr>
            </w:pPr>
            <w:r w:rsidRPr="00B00CA7">
              <w:rPr>
                <w:rFonts w:eastAsia="Calibri" w:cs="Arial"/>
                <w:b/>
                <w:szCs w:val="22"/>
                <w:lang w:eastAsia="en-US"/>
              </w:rPr>
              <w:t>Importância</w:t>
            </w:r>
          </w:p>
        </w:tc>
        <w:tc>
          <w:tcPr>
            <w:tcW w:w="1701" w:type="dxa"/>
            <w:shd w:val="clear" w:color="auto" w:fill="D9D9D9"/>
            <w:vAlign w:val="center"/>
          </w:tcPr>
          <w:p w:rsidR="001762CF" w:rsidRPr="00B00CA7" w:rsidRDefault="001762CF" w:rsidP="00B00CA7">
            <w:pPr>
              <w:spacing w:before="60" w:after="60" w:line="240" w:lineRule="auto"/>
              <w:jc w:val="center"/>
              <w:rPr>
                <w:rFonts w:eastAsia="Calibri" w:cs="Arial"/>
                <w:b/>
                <w:szCs w:val="22"/>
                <w:lang w:eastAsia="en-US"/>
              </w:rPr>
            </w:pPr>
            <w:r w:rsidRPr="00B00CA7">
              <w:rPr>
                <w:rFonts w:eastAsia="Calibri" w:cs="Arial"/>
                <w:b/>
                <w:szCs w:val="22"/>
                <w:lang w:eastAsia="en-US"/>
              </w:rPr>
              <w:t>Mitigação</w:t>
            </w:r>
          </w:p>
        </w:tc>
      </w:tr>
      <w:tr w:rsidR="001762CF" w:rsidRPr="001762CF" w:rsidTr="001930B4">
        <w:trPr>
          <w:trHeight w:val="555"/>
        </w:trPr>
        <w:tc>
          <w:tcPr>
            <w:tcW w:w="2552" w:type="dxa"/>
            <w:shd w:val="clear" w:color="auto" w:fill="auto"/>
            <w:vAlign w:val="center"/>
          </w:tcPr>
          <w:p w:rsidR="001762CF" w:rsidRPr="001762CF" w:rsidRDefault="001762CF" w:rsidP="001930B4">
            <w:pPr>
              <w:spacing w:before="60" w:after="60" w:line="240" w:lineRule="auto"/>
              <w:jc w:val="center"/>
              <w:rPr>
                <w:rFonts w:eastAsia="Calibri" w:cs="Arial"/>
                <w:szCs w:val="22"/>
                <w:lang w:eastAsia="en-US"/>
              </w:rPr>
            </w:pPr>
            <w:r w:rsidRPr="001762CF">
              <w:rPr>
                <w:rFonts w:eastAsia="Calibri" w:cs="Arial"/>
                <w:szCs w:val="22"/>
                <w:lang w:eastAsia="en-US"/>
              </w:rPr>
              <w:t>Médio e Longo Prazo</w:t>
            </w:r>
          </w:p>
        </w:tc>
        <w:tc>
          <w:tcPr>
            <w:tcW w:w="1984" w:type="dxa"/>
            <w:shd w:val="clear" w:color="auto" w:fill="auto"/>
            <w:vAlign w:val="center"/>
          </w:tcPr>
          <w:p w:rsidR="001762CF" w:rsidRPr="001762CF" w:rsidRDefault="001762CF" w:rsidP="00B00CA7">
            <w:pPr>
              <w:spacing w:before="60" w:after="60" w:line="240" w:lineRule="auto"/>
              <w:jc w:val="center"/>
              <w:rPr>
                <w:rFonts w:eastAsia="Calibri" w:cs="Arial"/>
                <w:szCs w:val="22"/>
                <w:lang w:eastAsia="en-US"/>
              </w:rPr>
            </w:pPr>
            <w:r w:rsidRPr="001762CF">
              <w:rPr>
                <w:rFonts w:eastAsia="Calibri" w:cs="Arial"/>
                <w:szCs w:val="22"/>
                <w:lang w:eastAsia="en-US"/>
              </w:rPr>
              <w:t>Irreversível</w:t>
            </w:r>
          </w:p>
        </w:tc>
        <w:tc>
          <w:tcPr>
            <w:tcW w:w="1418" w:type="dxa"/>
            <w:shd w:val="clear" w:color="auto" w:fill="auto"/>
            <w:vAlign w:val="center"/>
          </w:tcPr>
          <w:p w:rsidR="001762CF" w:rsidRPr="001762CF" w:rsidRDefault="001762CF" w:rsidP="00B00CA7">
            <w:pPr>
              <w:spacing w:before="60" w:after="60" w:line="240" w:lineRule="auto"/>
              <w:jc w:val="center"/>
              <w:rPr>
                <w:rFonts w:eastAsia="Calibri" w:cs="Arial"/>
                <w:szCs w:val="22"/>
                <w:lang w:eastAsia="en-US"/>
              </w:rPr>
            </w:pPr>
            <w:r w:rsidRPr="001762CF">
              <w:rPr>
                <w:rFonts w:eastAsia="Calibri" w:cs="Arial"/>
                <w:szCs w:val="22"/>
                <w:lang w:eastAsia="en-US"/>
              </w:rPr>
              <w:t>Grande</w:t>
            </w:r>
          </w:p>
        </w:tc>
        <w:tc>
          <w:tcPr>
            <w:tcW w:w="1559" w:type="dxa"/>
            <w:shd w:val="clear" w:color="auto" w:fill="auto"/>
            <w:vAlign w:val="center"/>
          </w:tcPr>
          <w:p w:rsidR="001762CF" w:rsidRPr="001762CF" w:rsidRDefault="001762CF" w:rsidP="00B00CA7">
            <w:pPr>
              <w:spacing w:before="60" w:after="60" w:line="240" w:lineRule="auto"/>
              <w:jc w:val="center"/>
              <w:rPr>
                <w:rFonts w:eastAsia="Calibri" w:cs="Arial"/>
                <w:szCs w:val="22"/>
                <w:lang w:eastAsia="en-US"/>
              </w:rPr>
            </w:pPr>
            <w:r w:rsidRPr="001762CF">
              <w:rPr>
                <w:rFonts w:eastAsia="Calibri" w:cs="Arial"/>
                <w:szCs w:val="22"/>
                <w:lang w:eastAsia="en-US"/>
              </w:rPr>
              <w:t>Alta</w:t>
            </w:r>
          </w:p>
        </w:tc>
        <w:tc>
          <w:tcPr>
            <w:tcW w:w="1701" w:type="dxa"/>
            <w:shd w:val="clear" w:color="auto" w:fill="auto"/>
            <w:vAlign w:val="center"/>
          </w:tcPr>
          <w:p w:rsidR="001762CF" w:rsidRPr="001762CF" w:rsidRDefault="001762CF" w:rsidP="00B00CA7">
            <w:pPr>
              <w:spacing w:before="60" w:after="60" w:line="240" w:lineRule="auto"/>
              <w:jc w:val="center"/>
              <w:rPr>
                <w:rFonts w:eastAsia="Calibri" w:cs="Arial"/>
                <w:szCs w:val="22"/>
                <w:lang w:eastAsia="en-US"/>
              </w:rPr>
            </w:pPr>
            <w:r w:rsidRPr="001762CF">
              <w:rPr>
                <w:rFonts w:eastAsia="Calibri" w:cs="Arial"/>
                <w:szCs w:val="22"/>
                <w:lang w:eastAsia="en-US"/>
              </w:rPr>
              <w:t>Mitigável</w:t>
            </w:r>
          </w:p>
        </w:tc>
      </w:tr>
    </w:tbl>
    <w:p w:rsidR="00E155C0" w:rsidRDefault="00E155C0" w:rsidP="001762CF">
      <w:pPr>
        <w:tabs>
          <w:tab w:val="left" w:pos="5670"/>
          <w:tab w:val="left" w:pos="7088"/>
        </w:tabs>
        <w:spacing w:before="120" w:after="120" w:line="240" w:lineRule="auto"/>
        <w:ind w:right="-284"/>
        <w:contextualSpacing/>
        <w:rPr>
          <w:rFonts w:eastAsia="Calibri" w:cs="Arial"/>
          <w:b/>
          <w:szCs w:val="22"/>
          <w:lang w:eastAsia="en-US"/>
        </w:rPr>
      </w:pPr>
      <w:r>
        <w:rPr>
          <w:rFonts w:eastAsia="Calibri" w:cs="Arial"/>
          <w:b/>
          <w:szCs w:val="22"/>
          <w:lang w:eastAsia="en-US"/>
        </w:rPr>
        <w:br w:type="page"/>
      </w:r>
    </w:p>
    <w:p w:rsidR="001762CF" w:rsidRPr="001762CF" w:rsidRDefault="001762CF" w:rsidP="001762CF">
      <w:pPr>
        <w:tabs>
          <w:tab w:val="left" w:pos="5670"/>
          <w:tab w:val="left" w:pos="7088"/>
        </w:tabs>
        <w:spacing w:before="120" w:after="120" w:line="240" w:lineRule="auto"/>
        <w:ind w:right="-284"/>
        <w:contextualSpacing/>
        <w:rPr>
          <w:rFonts w:eastAsia="Calibri" w:cs="Arial"/>
          <w:b/>
          <w:szCs w:val="22"/>
          <w:lang w:eastAsia="en-US"/>
        </w:rPr>
      </w:pPr>
      <w:r w:rsidRPr="001762CF">
        <w:rPr>
          <w:rFonts w:eastAsia="Calibri" w:cs="Arial"/>
          <w:b/>
          <w:szCs w:val="22"/>
          <w:lang w:eastAsia="en-US"/>
        </w:rPr>
        <w:t>Ações Ambientais Propostas</w:t>
      </w:r>
    </w:p>
    <w:p w:rsidR="001762CF" w:rsidRPr="001930B4" w:rsidRDefault="001762CF" w:rsidP="001930B4">
      <w:pPr>
        <w:spacing w:before="120" w:after="120" w:line="240" w:lineRule="auto"/>
        <w:rPr>
          <w:rFonts w:cs="Arial"/>
          <w:szCs w:val="22"/>
        </w:rPr>
      </w:pPr>
      <w:r w:rsidRPr="001930B4">
        <w:rPr>
          <w:rFonts w:cs="Arial"/>
          <w:szCs w:val="22"/>
        </w:rPr>
        <w:t>Preventivas/Corretivas: Nas faixas dos entornos dos reservatórios deverão ser realizados os monitoramentos da entomofauna (mosquitos e flebotomíneos) e malacofauna (principalmente moluscos da família Planorbidae), durante um tempo mínimo de três anos após o enchimento dos reservatórios.</w:t>
      </w:r>
    </w:p>
    <w:p w:rsidR="001762CF" w:rsidRPr="001930B4" w:rsidRDefault="001762CF" w:rsidP="001930B4">
      <w:pPr>
        <w:spacing w:before="120" w:after="120" w:line="240" w:lineRule="auto"/>
        <w:rPr>
          <w:rFonts w:cs="Arial"/>
          <w:szCs w:val="22"/>
        </w:rPr>
      </w:pPr>
      <w:r w:rsidRPr="001930B4">
        <w:rPr>
          <w:rFonts w:cs="Arial"/>
          <w:szCs w:val="22"/>
        </w:rPr>
        <w:t xml:space="preserve">Ações Educativas: Distribuição de material informativo para a população próxima aos empreendimentos, com alerta para os possíveis riscos à saúde, conforme avaliação dos programas de monitoramento da entomofauna e malacofauna. </w:t>
      </w:r>
    </w:p>
    <w:p w:rsidR="0086474A" w:rsidRDefault="001762CF" w:rsidP="009E1DAB">
      <w:pPr>
        <w:spacing w:before="120" w:after="120" w:line="240" w:lineRule="auto"/>
        <w:rPr>
          <w:rFonts w:cs="Arial"/>
          <w:szCs w:val="22"/>
        </w:rPr>
      </w:pPr>
      <w:r w:rsidRPr="001930B4">
        <w:rPr>
          <w:rFonts w:cs="Arial"/>
          <w:szCs w:val="22"/>
        </w:rPr>
        <w:t>Participação das atividades de controle vetorial, quando a população dos três municípios diretamente atingidos estiver sob risco iminente de surto, devido à infestação de vetores relacionados aos reservatórios.</w:t>
      </w:r>
    </w:p>
    <w:p w:rsidR="00973BCF" w:rsidRPr="002C0D71" w:rsidRDefault="00CD6D82" w:rsidP="002C0D71">
      <w:pPr>
        <w:pStyle w:val="Ttulo3"/>
      </w:pPr>
      <w:bookmarkStart w:id="330" w:name="_Toc418758242"/>
      <w:bookmarkStart w:id="331" w:name="_Toc418758844"/>
      <w:bookmarkStart w:id="332" w:name="_Toc419813604"/>
      <w:r w:rsidRPr="002C0D71">
        <w:rPr>
          <w:rFonts w:cs="Arial"/>
          <w:szCs w:val="22"/>
        </w:rPr>
        <w:t>1.3.2.1</w:t>
      </w:r>
      <w:r w:rsidR="008C5DE8" w:rsidRPr="002C0D71">
        <w:t>3</w:t>
      </w:r>
      <w:r w:rsidR="00973BCF" w:rsidRPr="002C0D71">
        <w:t>. Perda e Alteração de Habitats da Ictiofauna</w:t>
      </w:r>
      <w:bookmarkEnd w:id="330"/>
      <w:bookmarkEnd w:id="331"/>
      <w:bookmarkEnd w:id="332"/>
    </w:p>
    <w:p w:rsidR="00F711E8" w:rsidRPr="00F711E8" w:rsidRDefault="00F711E8" w:rsidP="00F711E8">
      <w:pPr>
        <w:tabs>
          <w:tab w:val="left" w:pos="426"/>
        </w:tabs>
        <w:spacing w:before="120" w:after="120" w:line="240" w:lineRule="auto"/>
        <w:rPr>
          <w:rFonts w:cs="Arial"/>
          <w:b/>
          <w:szCs w:val="22"/>
        </w:rPr>
      </w:pPr>
      <w:r w:rsidRPr="00F711E8">
        <w:rPr>
          <w:rFonts w:cs="Arial"/>
          <w:b/>
          <w:szCs w:val="22"/>
        </w:rPr>
        <w:t>Fase</w:t>
      </w:r>
      <w:r w:rsidR="00867CCE">
        <w:rPr>
          <w:rFonts w:cs="Arial"/>
          <w:b/>
          <w:szCs w:val="22"/>
        </w:rPr>
        <w:t>:</w:t>
      </w:r>
      <w:r w:rsidRPr="00F711E8">
        <w:rPr>
          <w:rFonts w:cs="Arial"/>
          <w:b/>
          <w:szCs w:val="22"/>
        </w:rPr>
        <w:t xml:space="preserve"> Implantação</w:t>
      </w:r>
    </w:p>
    <w:p w:rsidR="00F711E8" w:rsidRPr="00F711E8" w:rsidRDefault="00F711E8" w:rsidP="00F711E8">
      <w:pPr>
        <w:spacing w:before="120" w:after="120" w:line="240" w:lineRule="auto"/>
        <w:rPr>
          <w:rFonts w:cs="Arial"/>
          <w:szCs w:val="22"/>
        </w:rPr>
      </w:pPr>
      <w:r w:rsidRPr="00F711E8">
        <w:rPr>
          <w:rFonts w:cs="Arial"/>
          <w:szCs w:val="22"/>
        </w:rPr>
        <w:t>Conforme citado no diagnóstico ambiental, as bacias dos rios Camanducaia e Jaguari são constituintes da bacia do rio Piracicaba, que integra parte da região do Médio rio Tietê, onde</w:t>
      </w:r>
      <w:r w:rsidR="008C15C3">
        <w:rPr>
          <w:rFonts w:cs="Arial"/>
          <w:szCs w:val="22"/>
        </w:rPr>
        <w:t xml:space="preserve"> está prevista a implantação das barragens</w:t>
      </w:r>
      <w:r w:rsidRPr="00F711E8">
        <w:rPr>
          <w:rFonts w:cs="Arial"/>
          <w:szCs w:val="22"/>
        </w:rPr>
        <w:t xml:space="preserve"> Duas Pontes e Pedreira. Esta região hidrográfica está inserida numa porção da bacia do Alto rio Paraná, que é marcada pela construção de inúmeros empreendimentos hidrelétricos (represamentos</w:t>
      </w:r>
      <w:r w:rsidR="00867CCE">
        <w:rPr>
          <w:rFonts w:cs="Arial"/>
          <w:szCs w:val="22"/>
        </w:rPr>
        <w:t xml:space="preserve"> para produção de energia elétrica</w:t>
      </w:r>
      <w:r w:rsidRPr="00F711E8">
        <w:rPr>
          <w:rFonts w:cs="Arial"/>
          <w:szCs w:val="22"/>
        </w:rPr>
        <w:t xml:space="preserve">), sendo que apenas um pequeno trecho remanescente do rio Paraná, entre a foz do rio Paranapanema, em São Paulo, até a cidade de Guaíra, no Paraná, permanece com as características originais da bacia (AGOSTINHO et al. 1997). </w:t>
      </w:r>
    </w:p>
    <w:p w:rsidR="00F711E8" w:rsidRPr="00F711E8" w:rsidRDefault="00F711E8" w:rsidP="00F711E8">
      <w:pPr>
        <w:spacing w:before="120" w:after="120" w:line="240" w:lineRule="auto"/>
        <w:rPr>
          <w:rFonts w:cs="Arial"/>
          <w:szCs w:val="22"/>
        </w:rPr>
      </w:pPr>
      <w:r w:rsidRPr="00F711E8">
        <w:rPr>
          <w:rFonts w:cs="Arial"/>
          <w:szCs w:val="22"/>
        </w:rPr>
        <w:t>Essa dinâmica tem determinado a ocorrência de um processo progressivo de perdas/alterações nos hábitats da ictiofauna, com severos impactos neste componente da biota aquática, condição que será intensificada pela implantação dos dois reservatórios previstos para serem construídos na bacia do rio Jaguari (da qual o rio Camanducaia é um afluente) e que deverão ocasionar uma redução adicional dos hábitats naturais, pela perda e alterações na região represada (reservatórios).</w:t>
      </w:r>
    </w:p>
    <w:p w:rsidR="00F711E8" w:rsidRPr="00F711E8" w:rsidRDefault="00F711E8" w:rsidP="00F711E8">
      <w:pPr>
        <w:spacing w:before="120" w:after="120" w:line="240" w:lineRule="auto"/>
        <w:rPr>
          <w:rFonts w:cs="Arial"/>
          <w:szCs w:val="22"/>
        </w:rPr>
      </w:pPr>
      <w:r w:rsidRPr="00F711E8">
        <w:rPr>
          <w:rFonts w:cs="Arial"/>
          <w:szCs w:val="22"/>
        </w:rPr>
        <w:t xml:space="preserve">O hábitat corresponde ao espaço físico e às condições abióticas nas quais uma dada espécie pode viver temporária ou permanentemente. Algumas espécies podem utilizar apenas um tipo de hábitat durante toda a vida. Em alguns casos esse hábitat pode estar amplamente distribuído na bacia, em outros, ter ocorrência mais restrita. </w:t>
      </w:r>
    </w:p>
    <w:p w:rsidR="00F711E8" w:rsidRPr="00F711E8" w:rsidRDefault="00F711E8" w:rsidP="00F711E8">
      <w:pPr>
        <w:spacing w:before="120" w:after="120" w:line="240" w:lineRule="auto"/>
        <w:rPr>
          <w:rFonts w:cs="Arial"/>
          <w:szCs w:val="22"/>
        </w:rPr>
      </w:pPr>
      <w:r w:rsidRPr="00F711E8">
        <w:rPr>
          <w:rFonts w:cs="Arial"/>
          <w:szCs w:val="22"/>
        </w:rPr>
        <w:t xml:space="preserve">Entretanto outras espécies requerem mais que um tipo de hábitat para completar seu ciclo de vida e que podem, eventualmente, estar separados entre si por dezenas ou até centenas de quilômetros e apresentarem condições ambientais peculiares, como é o caso de ecossistemas aquáticos que constituem um rio. </w:t>
      </w:r>
    </w:p>
    <w:p w:rsidR="00F711E8" w:rsidRPr="00F711E8" w:rsidRDefault="00F711E8" w:rsidP="00F711E8">
      <w:pPr>
        <w:spacing w:before="120" w:after="120" w:line="240" w:lineRule="auto"/>
        <w:rPr>
          <w:rFonts w:cs="Arial"/>
          <w:szCs w:val="22"/>
        </w:rPr>
      </w:pPr>
      <w:r w:rsidRPr="00F711E8">
        <w:rPr>
          <w:rFonts w:cs="Arial"/>
          <w:szCs w:val="22"/>
        </w:rPr>
        <w:t>Nesse último caso destacam-se as espécies de peixes migradoras de longa distância, as mais afetadas pelas alterações ou reduções nos hábitats impostas por represamentos, uma vez que as áreas de reprodução, crescimento e desenvolvimento de ovos, larvas e juvenis, e de alimentação dos adultos, muitas vezes estão muito distantes umas das outras.</w:t>
      </w:r>
    </w:p>
    <w:p w:rsidR="00F711E8" w:rsidRPr="00F711E8" w:rsidRDefault="00F711E8" w:rsidP="00F711E8">
      <w:pPr>
        <w:spacing w:before="120" w:after="120" w:line="240" w:lineRule="auto"/>
        <w:rPr>
          <w:rFonts w:cs="Arial"/>
          <w:szCs w:val="22"/>
        </w:rPr>
      </w:pPr>
      <w:r w:rsidRPr="00F711E8">
        <w:rPr>
          <w:rFonts w:cs="Arial"/>
          <w:szCs w:val="22"/>
        </w:rPr>
        <w:t xml:space="preserve">No segmento dos trechos que deverão ser afetados pela construção das </w:t>
      </w:r>
      <w:r w:rsidR="008C15C3">
        <w:rPr>
          <w:rFonts w:cs="Arial"/>
          <w:szCs w:val="22"/>
        </w:rPr>
        <w:t>Barragens</w:t>
      </w:r>
      <w:r w:rsidRPr="00F711E8">
        <w:rPr>
          <w:rFonts w:cs="Arial"/>
          <w:szCs w:val="22"/>
        </w:rPr>
        <w:t xml:space="preserve"> Duas Pontes e Pedreira, é esperado que os atuais hábitats existentes sejam substituídos por novos hábitats artificiais, com características bastante distintas das atuais, principalmente dos hábitats lóticos e semi-lóticos (abundantes nas AIDs e ADAs dos futuros empreendimentos) e que deverão ser transformados em hábitats lênticos.</w:t>
      </w:r>
    </w:p>
    <w:p w:rsidR="00F711E8" w:rsidRPr="00F711E8" w:rsidRDefault="00F711E8" w:rsidP="00F711E8">
      <w:pPr>
        <w:spacing w:before="120" w:after="120" w:line="240" w:lineRule="auto"/>
        <w:rPr>
          <w:rFonts w:cs="Arial"/>
          <w:szCs w:val="22"/>
        </w:rPr>
      </w:pPr>
      <w:r w:rsidRPr="00F711E8">
        <w:rPr>
          <w:rFonts w:cs="Arial"/>
          <w:szCs w:val="22"/>
        </w:rPr>
        <w:t xml:space="preserve">Os efeitos dos reservatórios sobre os hábitats situados a montante e jusante não devem ser tão relevantes, sendo esperado, entretanto, </w:t>
      </w:r>
      <w:r w:rsidRPr="00F711E8">
        <w:rPr>
          <w:szCs w:val="22"/>
        </w:rPr>
        <w:t>efeitos de perda dos hábitats nas áreas afetadas e no deslocamento natural da ictiofauna nativa, sobretudo das espécies migradoras de longa distância e também nas migrações de dispersão das demais espécies.</w:t>
      </w:r>
    </w:p>
    <w:p w:rsidR="00F711E8" w:rsidRPr="00F711E8" w:rsidRDefault="00F711E8" w:rsidP="00F711E8">
      <w:pPr>
        <w:spacing w:before="120" w:after="120" w:line="240" w:lineRule="auto"/>
        <w:rPr>
          <w:rFonts w:cs="Arial"/>
          <w:szCs w:val="22"/>
        </w:rPr>
      </w:pPr>
      <w:r w:rsidRPr="00F711E8">
        <w:rPr>
          <w:rFonts w:cs="Arial"/>
          <w:szCs w:val="22"/>
        </w:rPr>
        <w:t>Com a perda destas áreas estima-se que não deverá ocorrer a diminuição de importantes áreas de crescimento e desenvolvimento de ovos, larvas e formas jovens de peixes, tais como peixes residentes, migradores de curtas e longas distâncias, uma vez que não existem áreas de várzeas nas AIDs e ADAs, assim como nas áreas situadas imediatamente a montante e jusante dos locais escolhidos para a construção dos futuros barramentos. Durante os estudos diagnósticos, assim como das áreas de reprodução, crescimento e desenvolvimento de ovos e larvas de peixes, verificou-se que os bancos de macrófitas são muito importantes para estas fases do ciclo de vida da ictiofauna, e que estes não deverão ser muito impactados após a implantação dos reservatórios; ao contrário, espera-se que bancos de macrófitas se desenvolvam após a construção dos barramentos nas áreas dos reservatórios, o que pode ser um aspecto positivo para parte da ictiofauna no sentido de incrementar estas importantes áreas para reprodução, crescimento e desenvolvimento de ovos, larvas e formas jovens.</w:t>
      </w:r>
    </w:p>
    <w:p w:rsidR="00A25955" w:rsidRDefault="00F711E8" w:rsidP="00F711E8">
      <w:pPr>
        <w:spacing w:before="120" w:after="120" w:line="240" w:lineRule="auto"/>
        <w:rPr>
          <w:rFonts w:cs="Arial"/>
          <w:szCs w:val="22"/>
        </w:rPr>
      </w:pPr>
      <w:r w:rsidRPr="00F711E8">
        <w:rPr>
          <w:rFonts w:cs="Arial"/>
          <w:szCs w:val="22"/>
        </w:rPr>
        <w:t>Diante do exposto infere-se que a redução na disponibilidade e perda de hábitats será de abrangência local, sendo um impacto negativo, de incidência direta, com temporalidade no curto prazo e manifestação contínua, duração permanente e ocorrência certa, sendo a espacialização difusa, irreversível e de média importância e magnitude.</w:t>
      </w:r>
    </w:p>
    <w:p w:rsidR="00392B0D" w:rsidRPr="00C37DA1" w:rsidRDefault="00B44C8E" w:rsidP="00C37DA1">
      <w:pPr>
        <w:pStyle w:val="Legenda"/>
        <w:spacing w:before="0" w:after="0" w:line="240" w:lineRule="auto"/>
        <w:jc w:val="center"/>
        <w:rPr>
          <w:b w:val="0"/>
          <w:i w:val="0"/>
        </w:rPr>
      </w:pPr>
      <w:bookmarkStart w:id="333" w:name="_Toc420316512"/>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69</w:t>
      </w:r>
      <w:r w:rsidR="00B80A05" w:rsidRPr="00C37DA1">
        <w:rPr>
          <w:i w:val="0"/>
        </w:rPr>
        <w:fldChar w:fldCharType="end"/>
      </w:r>
      <w:r w:rsidR="00C37DA1" w:rsidRPr="00C37DA1">
        <w:rPr>
          <w:i w:val="0"/>
        </w:rPr>
        <w:t>.</w:t>
      </w:r>
      <w:r w:rsidR="00C37DA1" w:rsidRPr="00C37DA1">
        <w:rPr>
          <w:b w:val="0"/>
          <w:i w:val="0"/>
        </w:rPr>
        <w:t xml:space="preserve"> - </w:t>
      </w:r>
      <w:r w:rsidR="00F711E8" w:rsidRPr="00C37DA1">
        <w:rPr>
          <w:b w:val="0"/>
          <w:i w:val="0"/>
        </w:rPr>
        <w:t>Caracterização do Impacto – Perda e Alteração de Habitats da Ictiofauna</w:t>
      </w:r>
      <w:bookmarkEnd w:id="333"/>
    </w:p>
    <w:p w:rsidR="00F711E8" w:rsidRPr="00C37DA1" w:rsidRDefault="0086474A" w:rsidP="00C37DA1">
      <w:pPr>
        <w:pStyle w:val="Corpodetexto"/>
        <w:spacing w:before="0" w:after="0"/>
        <w:jc w:val="center"/>
        <w:rPr>
          <w:rFonts w:cs="Arial"/>
          <w:bCs/>
          <w:szCs w:val="22"/>
        </w:rPr>
      </w:pPr>
      <w:r w:rsidRPr="00C37DA1">
        <w:rPr>
          <w:rFonts w:cs="Arial"/>
          <w:bCs/>
          <w:szCs w:val="22"/>
        </w:rPr>
        <w:t>Barrage</w:t>
      </w:r>
      <w:r w:rsidR="004E7360" w:rsidRPr="00C37DA1">
        <w:rPr>
          <w:rFonts w:cs="Arial"/>
          <w:bCs/>
          <w:szCs w:val="22"/>
        </w:rPr>
        <w:t>ns</w:t>
      </w:r>
      <w:r w:rsidRPr="00C37DA1">
        <w:rPr>
          <w:rFonts w:cs="Arial"/>
          <w:bCs/>
          <w:szCs w:val="22"/>
        </w:rPr>
        <w:t xml:space="preserve"> Pedreira e Duas Pontes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5"/>
        <w:gridCol w:w="1205"/>
        <w:gridCol w:w="1843"/>
        <w:gridCol w:w="1843"/>
        <w:gridCol w:w="3118"/>
      </w:tblGrid>
      <w:tr w:rsidR="00F711E8" w:rsidRPr="00F711E8" w:rsidTr="008204B6">
        <w:trPr>
          <w:trHeight w:hRule="exact" w:val="567"/>
        </w:trPr>
        <w:tc>
          <w:tcPr>
            <w:tcW w:w="1205"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Natureza</w:t>
            </w:r>
          </w:p>
        </w:tc>
        <w:tc>
          <w:tcPr>
            <w:tcW w:w="1205"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Ordem</w:t>
            </w:r>
          </w:p>
        </w:tc>
        <w:tc>
          <w:tcPr>
            <w:tcW w:w="1843"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Abrangência</w:t>
            </w:r>
          </w:p>
        </w:tc>
        <w:tc>
          <w:tcPr>
            <w:tcW w:w="1843"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Duração</w:t>
            </w:r>
          </w:p>
        </w:tc>
        <w:tc>
          <w:tcPr>
            <w:tcW w:w="3118"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Probabilidade de Ocorrência</w:t>
            </w:r>
          </w:p>
        </w:tc>
      </w:tr>
      <w:tr w:rsidR="00F711E8" w:rsidRPr="00F711E8" w:rsidTr="001930B4">
        <w:trPr>
          <w:trHeight w:hRule="exact" w:val="397"/>
        </w:trPr>
        <w:tc>
          <w:tcPr>
            <w:tcW w:w="1205" w:type="dxa"/>
            <w:shd w:val="clear" w:color="auto" w:fill="auto"/>
            <w:vAlign w:val="center"/>
          </w:tcPr>
          <w:p w:rsidR="00F711E8" w:rsidRPr="00F711E8" w:rsidRDefault="00F711E8" w:rsidP="00A25955">
            <w:pPr>
              <w:spacing w:line="240" w:lineRule="auto"/>
              <w:jc w:val="center"/>
              <w:rPr>
                <w:sz w:val="20"/>
              </w:rPr>
            </w:pPr>
            <w:r w:rsidRPr="00F711E8">
              <w:rPr>
                <w:sz w:val="20"/>
              </w:rPr>
              <w:t>Negativa</w:t>
            </w:r>
          </w:p>
        </w:tc>
        <w:tc>
          <w:tcPr>
            <w:tcW w:w="1205" w:type="dxa"/>
            <w:shd w:val="clear" w:color="auto" w:fill="auto"/>
            <w:vAlign w:val="center"/>
          </w:tcPr>
          <w:p w:rsidR="00F711E8" w:rsidRPr="00F711E8" w:rsidRDefault="00F711E8" w:rsidP="00A25955">
            <w:pPr>
              <w:spacing w:line="240" w:lineRule="auto"/>
              <w:jc w:val="center"/>
              <w:rPr>
                <w:sz w:val="20"/>
              </w:rPr>
            </w:pPr>
            <w:r w:rsidRPr="00F711E8">
              <w:rPr>
                <w:sz w:val="20"/>
              </w:rPr>
              <w:t>Direta</w:t>
            </w:r>
          </w:p>
        </w:tc>
        <w:tc>
          <w:tcPr>
            <w:tcW w:w="1843" w:type="dxa"/>
            <w:shd w:val="clear" w:color="auto" w:fill="auto"/>
            <w:vAlign w:val="center"/>
          </w:tcPr>
          <w:p w:rsidR="00F711E8" w:rsidRPr="00F711E8" w:rsidRDefault="00F711E8" w:rsidP="00A25955">
            <w:pPr>
              <w:spacing w:line="240" w:lineRule="auto"/>
              <w:jc w:val="center"/>
              <w:rPr>
                <w:sz w:val="20"/>
              </w:rPr>
            </w:pPr>
            <w:r w:rsidRPr="00F711E8">
              <w:rPr>
                <w:sz w:val="20"/>
              </w:rPr>
              <w:t>Local</w:t>
            </w:r>
          </w:p>
        </w:tc>
        <w:tc>
          <w:tcPr>
            <w:tcW w:w="1843" w:type="dxa"/>
            <w:shd w:val="clear" w:color="auto" w:fill="auto"/>
            <w:vAlign w:val="center"/>
          </w:tcPr>
          <w:p w:rsidR="00F711E8" w:rsidRPr="00F711E8" w:rsidRDefault="00F711E8" w:rsidP="00A25955">
            <w:pPr>
              <w:spacing w:line="240" w:lineRule="auto"/>
              <w:jc w:val="center"/>
              <w:rPr>
                <w:sz w:val="20"/>
              </w:rPr>
            </w:pPr>
            <w:r w:rsidRPr="00F711E8">
              <w:rPr>
                <w:sz w:val="20"/>
              </w:rPr>
              <w:t>Permanente</w:t>
            </w:r>
          </w:p>
        </w:tc>
        <w:tc>
          <w:tcPr>
            <w:tcW w:w="3118" w:type="dxa"/>
            <w:shd w:val="clear" w:color="auto" w:fill="auto"/>
            <w:vAlign w:val="center"/>
          </w:tcPr>
          <w:p w:rsidR="00F711E8" w:rsidRPr="00F711E8" w:rsidRDefault="00F711E8" w:rsidP="00A25955">
            <w:pPr>
              <w:spacing w:line="240" w:lineRule="auto"/>
              <w:jc w:val="center"/>
              <w:rPr>
                <w:sz w:val="20"/>
              </w:rPr>
            </w:pPr>
            <w:r w:rsidRPr="00F711E8">
              <w:rPr>
                <w:sz w:val="20"/>
              </w:rPr>
              <w:t>Certa</w:t>
            </w:r>
          </w:p>
        </w:tc>
      </w:tr>
    </w:tbl>
    <w:p w:rsidR="00F711E8" w:rsidRPr="00F711E8" w:rsidRDefault="00F711E8" w:rsidP="00A25955">
      <w:pPr>
        <w:spacing w:line="240" w:lineRule="auto"/>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1843"/>
        <w:gridCol w:w="1843"/>
        <w:gridCol w:w="1559"/>
        <w:gridCol w:w="1559"/>
      </w:tblGrid>
      <w:tr w:rsidR="00F711E8" w:rsidRPr="00F711E8" w:rsidTr="008204B6">
        <w:trPr>
          <w:trHeight w:hRule="exact" w:val="567"/>
        </w:trPr>
        <w:tc>
          <w:tcPr>
            <w:tcW w:w="2410"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Época de Ocorrência</w:t>
            </w:r>
          </w:p>
        </w:tc>
        <w:tc>
          <w:tcPr>
            <w:tcW w:w="1843"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Reversibilidade</w:t>
            </w:r>
          </w:p>
        </w:tc>
        <w:tc>
          <w:tcPr>
            <w:tcW w:w="1843"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Magnitude</w:t>
            </w:r>
          </w:p>
        </w:tc>
        <w:tc>
          <w:tcPr>
            <w:tcW w:w="1559"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Importância</w:t>
            </w:r>
          </w:p>
        </w:tc>
        <w:tc>
          <w:tcPr>
            <w:tcW w:w="1559"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Mitigação</w:t>
            </w:r>
          </w:p>
        </w:tc>
      </w:tr>
      <w:tr w:rsidR="00F711E8" w:rsidRPr="00F711E8" w:rsidTr="001930B4">
        <w:trPr>
          <w:trHeight w:hRule="exact" w:val="397"/>
        </w:trPr>
        <w:tc>
          <w:tcPr>
            <w:tcW w:w="2410" w:type="dxa"/>
            <w:shd w:val="clear" w:color="auto" w:fill="auto"/>
            <w:vAlign w:val="center"/>
          </w:tcPr>
          <w:p w:rsidR="00F711E8" w:rsidRPr="00F711E8" w:rsidRDefault="00F711E8" w:rsidP="00A25955">
            <w:pPr>
              <w:spacing w:line="240" w:lineRule="auto"/>
              <w:jc w:val="center"/>
              <w:rPr>
                <w:sz w:val="20"/>
              </w:rPr>
            </w:pPr>
            <w:r w:rsidRPr="00F711E8">
              <w:rPr>
                <w:sz w:val="20"/>
              </w:rPr>
              <w:t>Curto Prazo</w:t>
            </w:r>
          </w:p>
        </w:tc>
        <w:tc>
          <w:tcPr>
            <w:tcW w:w="1843" w:type="dxa"/>
            <w:shd w:val="clear" w:color="auto" w:fill="auto"/>
            <w:vAlign w:val="center"/>
          </w:tcPr>
          <w:p w:rsidR="00F711E8" w:rsidRPr="00F711E8" w:rsidRDefault="00F711E8" w:rsidP="00A25955">
            <w:pPr>
              <w:spacing w:line="240" w:lineRule="auto"/>
              <w:jc w:val="center"/>
              <w:rPr>
                <w:sz w:val="20"/>
              </w:rPr>
            </w:pPr>
            <w:r w:rsidRPr="00F711E8">
              <w:rPr>
                <w:sz w:val="20"/>
              </w:rPr>
              <w:t>Irreversível</w:t>
            </w:r>
          </w:p>
        </w:tc>
        <w:tc>
          <w:tcPr>
            <w:tcW w:w="1843" w:type="dxa"/>
            <w:shd w:val="clear" w:color="auto" w:fill="auto"/>
            <w:vAlign w:val="center"/>
          </w:tcPr>
          <w:p w:rsidR="00F711E8" w:rsidRPr="00F711E8" w:rsidRDefault="00F711E8" w:rsidP="00A25955">
            <w:pPr>
              <w:spacing w:line="240" w:lineRule="auto"/>
              <w:jc w:val="center"/>
              <w:rPr>
                <w:sz w:val="20"/>
              </w:rPr>
            </w:pPr>
            <w:r w:rsidRPr="00F711E8">
              <w:rPr>
                <w:sz w:val="20"/>
              </w:rPr>
              <w:t>Média</w:t>
            </w:r>
          </w:p>
        </w:tc>
        <w:tc>
          <w:tcPr>
            <w:tcW w:w="1559" w:type="dxa"/>
            <w:shd w:val="clear" w:color="auto" w:fill="auto"/>
            <w:vAlign w:val="center"/>
          </w:tcPr>
          <w:p w:rsidR="00F711E8" w:rsidRPr="00F711E8" w:rsidRDefault="00F711E8" w:rsidP="00A25955">
            <w:pPr>
              <w:spacing w:line="240" w:lineRule="auto"/>
              <w:jc w:val="center"/>
              <w:rPr>
                <w:sz w:val="20"/>
              </w:rPr>
            </w:pPr>
            <w:r w:rsidRPr="00F711E8">
              <w:rPr>
                <w:sz w:val="20"/>
              </w:rPr>
              <w:t>Média</w:t>
            </w:r>
          </w:p>
        </w:tc>
        <w:tc>
          <w:tcPr>
            <w:tcW w:w="1559" w:type="dxa"/>
            <w:shd w:val="clear" w:color="auto" w:fill="auto"/>
            <w:vAlign w:val="center"/>
          </w:tcPr>
          <w:p w:rsidR="00F711E8" w:rsidRPr="00F711E8" w:rsidRDefault="00F711E8" w:rsidP="00A25955">
            <w:pPr>
              <w:spacing w:line="240" w:lineRule="auto"/>
              <w:jc w:val="center"/>
              <w:rPr>
                <w:sz w:val="20"/>
              </w:rPr>
            </w:pPr>
            <w:r w:rsidRPr="00F711E8">
              <w:rPr>
                <w:sz w:val="20"/>
              </w:rPr>
              <w:t>Não Mitigável</w:t>
            </w:r>
          </w:p>
        </w:tc>
      </w:tr>
    </w:tbl>
    <w:p w:rsidR="00F711E8" w:rsidRDefault="00F711E8" w:rsidP="0086474A">
      <w:pPr>
        <w:tabs>
          <w:tab w:val="left" w:pos="709"/>
        </w:tabs>
        <w:spacing w:before="360" w:after="120" w:line="240" w:lineRule="auto"/>
        <w:rPr>
          <w:rFonts w:eastAsia="Calibri" w:cs="Arial"/>
          <w:szCs w:val="22"/>
        </w:rPr>
      </w:pPr>
      <w:r w:rsidRPr="007C5C21">
        <w:rPr>
          <w:rFonts w:cs="Arial"/>
          <w:b/>
        </w:rPr>
        <w:t>Ações Ambientais Propostas</w:t>
      </w:r>
      <w:r w:rsidRPr="00F711E8">
        <w:rPr>
          <w:rFonts w:eastAsia="Calibri" w:cs="Arial"/>
          <w:szCs w:val="22"/>
        </w:rPr>
        <w:t xml:space="preserve"> </w:t>
      </w:r>
    </w:p>
    <w:p w:rsidR="00F711E8" w:rsidRPr="00F711E8" w:rsidRDefault="00F711E8" w:rsidP="00F711E8">
      <w:pPr>
        <w:tabs>
          <w:tab w:val="left" w:pos="709"/>
        </w:tabs>
        <w:spacing w:before="120" w:after="120" w:line="240" w:lineRule="auto"/>
        <w:rPr>
          <w:rFonts w:eastAsia="Calibri" w:cs="Arial"/>
          <w:szCs w:val="22"/>
        </w:rPr>
      </w:pPr>
      <w:r w:rsidRPr="00F711E8">
        <w:rPr>
          <w:rFonts w:eastAsia="Calibri" w:cs="Arial"/>
          <w:szCs w:val="22"/>
        </w:rPr>
        <w:t>As forças físicas, químicas e biológicas que levam à reestruturação das assembleias de peixes em reservatórios, com incremento de algumas populações e reduções de outras, são complexas e de difícil contenção. Dessa maneira é esperado que ocorram impactos relacionados à perda e alterações de hábitats, especialmente na área dos reservatórios, afetando parte da ictiofauna, em especial das espécies reófilas.</w:t>
      </w:r>
    </w:p>
    <w:p w:rsidR="00F711E8" w:rsidRPr="00F711E8" w:rsidRDefault="00F711E8" w:rsidP="00F711E8">
      <w:pPr>
        <w:tabs>
          <w:tab w:val="left" w:pos="709"/>
        </w:tabs>
        <w:spacing w:before="120" w:after="120" w:line="240" w:lineRule="auto"/>
        <w:rPr>
          <w:rFonts w:eastAsia="Calibri" w:cs="Arial"/>
          <w:szCs w:val="22"/>
        </w:rPr>
      </w:pPr>
      <w:r w:rsidRPr="00F711E8">
        <w:rPr>
          <w:rFonts w:eastAsia="Calibri" w:cs="Arial"/>
          <w:szCs w:val="22"/>
        </w:rPr>
        <w:t>Diante desta situação, a adoção de um Programa de Monitoramento da Ictiofauna, deverá indicar os impactos sobre a ictiofauna nativa; sabe-se que algumas espécies registradas na AID/ADA costumam se adaptar às novas condições criadas a partir da implantação dos reservatórios e outras não. O programa de monitoramento vai permitir acompanhar a dinâmica das populações das principais espécies levantadas e propor medidas mais efetivas para minimizar os impactos, sobretudo sobre as espécies mais afetadas após a construção dos barramentos.</w:t>
      </w:r>
    </w:p>
    <w:p w:rsidR="00F711E8" w:rsidRDefault="00F711E8" w:rsidP="00F711E8">
      <w:pPr>
        <w:tabs>
          <w:tab w:val="left" w:pos="709"/>
        </w:tabs>
        <w:spacing w:before="120" w:after="120" w:line="240" w:lineRule="auto"/>
        <w:rPr>
          <w:rFonts w:eastAsia="Calibri" w:cs="Arial"/>
          <w:szCs w:val="22"/>
        </w:rPr>
      </w:pPr>
      <w:r w:rsidRPr="00F711E8">
        <w:rPr>
          <w:rFonts w:eastAsia="Calibri" w:cs="Arial"/>
          <w:szCs w:val="22"/>
        </w:rPr>
        <w:t>Desta forma este programa vai indicar os impactos que ocorrerão com as comunidades ictíicas afetadas pelos empreendimentos, permitindo o entendimento de sua origem e o embasamento de medidas e intervenções que possam, eventualmente, atenuá-los.</w:t>
      </w:r>
    </w:p>
    <w:p w:rsidR="00973BCF" w:rsidRPr="005171B6" w:rsidRDefault="00CD6D82" w:rsidP="00B44C8E">
      <w:pPr>
        <w:pStyle w:val="Ttulo3"/>
      </w:pPr>
      <w:bookmarkStart w:id="334" w:name="_Toc418758243"/>
      <w:bookmarkStart w:id="335" w:name="_Toc418758845"/>
      <w:bookmarkStart w:id="336" w:name="_Toc419813605"/>
      <w:r w:rsidRPr="005171B6">
        <w:t>1.3.2.1</w:t>
      </w:r>
      <w:r w:rsidR="008C5DE8" w:rsidRPr="005171B6">
        <w:t>4</w:t>
      </w:r>
      <w:r w:rsidR="00973BCF" w:rsidRPr="005171B6">
        <w:t>. Mudan</w:t>
      </w:r>
      <w:r w:rsidR="00973BCF" w:rsidRPr="005171B6">
        <w:rPr>
          <w:rFonts w:hint="eastAsia"/>
        </w:rPr>
        <w:t>ç</w:t>
      </w:r>
      <w:r w:rsidR="00973BCF" w:rsidRPr="005171B6">
        <w:t>as na Composi</w:t>
      </w:r>
      <w:r w:rsidR="00973BCF" w:rsidRPr="005171B6">
        <w:rPr>
          <w:rFonts w:hint="eastAsia"/>
        </w:rPr>
        <w:t>çã</w:t>
      </w:r>
      <w:r w:rsidR="00973BCF" w:rsidRPr="005171B6">
        <w:t>o e Estrutura da Comunidade Ict</w:t>
      </w:r>
      <w:r w:rsidR="00973BCF" w:rsidRPr="005171B6">
        <w:rPr>
          <w:rFonts w:hint="eastAsia"/>
        </w:rPr>
        <w:t>í</w:t>
      </w:r>
      <w:r w:rsidR="00973BCF" w:rsidRPr="005171B6">
        <w:t>ica</w:t>
      </w:r>
      <w:bookmarkEnd w:id="334"/>
      <w:bookmarkEnd w:id="335"/>
      <w:bookmarkEnd w:id="336"/>
    </w:p>
    <w:p w:rsidR="00F711E8" w:rsidRPr="00F711E8" w:rsidRDefault="00867CCE" w:rsidP="00867CCE">
      <w:pPr>
        <w:spacing w:before="120" w:after="120" w:line="240" w:lineRule="auto"/>
        <w:rPr>
          <w:b/>
        </w:rPr>
      </w:pPr>
      <w:r>
        <w:rPr>
          <w:b/>
        </w:rPr>
        <w:t xml:space="preserve">a) </w:t>
      </w:r>
      <w:r w:rsidR="00926F95">
        <w:rPr>
          <w:b/>
        </w:rPr>
        <w:t>Processos Associados às Alterações na Q</w:t>
      </w:r>
      <w:r w:rsidR="00F711E8" w:rsidRPr="00F711E8">
        <w:rPr>
          <w:b/>
        </w:rPr>
        <w:t>ualidade</w:t>
      </w:r>
      <w:r w:rsidR="00926F95">
        <w:rPr>
          <w:b/>
        </w:rPr>
        <w:t xml:space="preserve"> de Á</w:t>
      </w:r>
      <w:r w:rsidR="00F711E8" w:rsidRPr="00F711E8">
        <w:rPr>
          <w:b/>
        </w:rPr>
        <w:t>gua</w:t>
      </w:r>
      <w:r w:rsidR="00D96403">
        <w:rPr>
          <w:b/>
        </w:rPr>
        <w:t xml:space="preserve"> sobre a Ictiofauna</w:t>
      </w:r>
    </w:p>
    <w:p w:rsidR="00867CCE" w:rsidRPr="00867CCE" w:rsidRDefault="00867CCE" w:rsidP="00F711E8">
      <w:pPr>
        <w:spacing w:before="120" w:after="120" w:line="240" w:lineRule="auto"/>
        <w:rPr>
          <w:b/>
        </w:rPr>
      </w:pPr>
      <w:r w:rsidRPr="00867CCE">
        <w:rPr>
          <w:b/>
        </w:rPr>
        <w:t>Fases: Implantação e Operação</w:t>
      </w:r>
    </w:p>
    <w:p w:rsidR="00F711E8" w:rsidRPr="00F711E8" w:rsidRDefault="00F711E8" w:rsidP="00F711E8">
      <w:pPr>
        <w:spacing w:before="120" w:after="120" w:line="240" w:lineRule="auto"/>
      </w:pPr>
      <w:r w:rsidRPr="00F711E8">
        <w:t xml:space="preserve">A implantação de barragens causam alterações e transformações nos habitats nativos (perdas e alterações de ecossistemas) e na dinâmica da água com reflexos nos processos de transporte e sedimentação, proporcionando acúmulo de nutrientes, alterações na transparência da água, no substrato e na profundidade, eventos modificadores de hábitats inerentes a qualquer represamento, tendo sido revisado por Agostinho </w:t>
      </w:r>
      <w:r w:rsidRPr="00F711E8">
        <w:rPr>
          <w:i/>
        </w:rPr>
        <w:t>et al</w:t>
      </w:r>
      <w:r w:rsidRPr="00F711E8">
        <w:t>. (2007).</w:t>
      </w:r>
    </w:p>
    <w:p w:rsidR="00F711E8" w:rsidRPr="00F711E8" w:rsidRDefault="00F711E8" w:rsidP="00F711E8">
      <w:pPr>
        <w:spacing w:before="120" w:after="120" w:line="240" w:lineRule="auto"/>
      </w:pPr>
      <w:r w:rsidRPr="00F711E8">
        <w:t xml:space="preserve">Essas alterações levarão à formação de outros hábitats, alguns distintos dos pré-existentes nas bacias dos rios Camanducaia e Jaguari, enquanto outros continuarão com atributos similares àqueles pré-existentes. </w:t>
      </w:r>
    </w:p>
    <w:p w:rsidR="00F711E8" w:rsidRPr="00F711E8" w:rsidRDefault="00F711E8" w:rsidP="00F711E8">
      <w:pPr>
        <w:spacing w:before="120" w:after="120" w:line="240" w:lineRule="auto"/>
      </w:pPr>
      <w:r w:rsidRPr="00F711E8">
        <w:t xml:space="preserve">O desaparecimento de alguns hábitats e a disponibilização de outros, aliados às restrições na mobilidade dos peixes, principalmente dos migradores de longas distâncias, promovem mudanças sensíveis na composição e na estrutura da ictiofauna, especialmente no que se refere à riqueza e equitabilidade. </w:t>
      </w:r>
    </w:p>
    <w:p w:rsidR="00F711E8" w:rsidRPr="00F711E8" w:rsidRDefault="00F711E8" w:rsidP="00F711E8">
      <w:pPr>
        <w:spacing w:before="120" w:after="120" w:line="240" w:lineRule="auto"/>
      </w:pPr>
      <w:r w:rsidRPr="00F711E8">
        <w:t xml:space="preserve">Espécies generalistas com maior valência ecológica, ou seja, com maior tolerância à variação de fatores ambientais e ecológicos, tendem a se adaptar mais facilmente aos ambientes lênticos e se sobressair sobre as que preferem os hábitats lóticos e semi-lóticos. Desta forma serão bem sucedidas as espécies que estão aptas a desenvolver mecanismos adaptativos diferentes daqueles que tinham nos sistemas semi-lóticos e lóticos, ou seja, que possuam pré-adaptações às novas condições criadas ou tenham mais facilidade em adaptar sua estratégia de vida, assegurando sua alimentação e reprodução, ou seja, seu ciclo de vida, aos novos ecossistemas artificiais gerados. </w:t>
      </w:r>
    </w:p>
    <w:p w:rsidR="00F711E8" w:rsidRPr="00F711E8" w:rsidRDefault="00F711E8" w:rsidP="00F711E8">
      <w:pPr>
        <w:spacing w:before="120" w:after="120" w:line="240" w:lineRule="auto"/>
      </w:pPr>
      <w:r w:rsidRPr="00F711E8">
        <w:t>As espécies com maior potencial para ocupar a área represada são aquelas de pequeno e médio porte, com baixa longevidade, sem necessidade de realizar migrações de longa distância, desova múltipla, elevada relação gonadossomática, ovos de tamanho reduzido e desenvolvimento rápido e também daquelas que realizam o cuidado parental, consideradas em seu conjunto como oportunistas. Entre essas se destacam o lambari-do-rabo-vermelho (</w:t>
      </w:r>
      <w:r w:rsidRPr="00F711E8">
        <w:rPr>
          <w:i/>
        </w:rPr>
        <w:t>A. bockmanni</w:t>
      </w:r>
      <w:r w:rsidRPr="00F711E8">
        <w:t>), a traíra (</w:t>
      </w:r>
      <w:r w:rsidRPr="00F711E8">
        <w:rPr>
          <w:i/>
        </w:rPr>
        <w:t>Hoplias malabaricus</w:t>
      </w:r>
      <w:r w:rsidRPr="00F711E8">
        <w:t>), o bagre jundiá (</w:t>
      </w:r>
      <w:r w:rsidRPr="00F711E8">
        <w:rPr>
          <w:i/>
        </w:rPr>
        <w:t>Rhamdia quelen</w:t>
      </w:r>
      <w:r w:rsidRPr="00F711E8">
        <w:t>), o cará (</w:t>
      </w:r>
      <w:r w:rsidRPr="00F711E8">
        <w:rPr>
          <w:i/>
        </w:rPr>
        <w:t>Geophagus brasiliensis</w:t>
      </w:r>
      <w:r w:rsidRPr="00F711E8">
        <w:t>), o jacundá (</w:t>
      </w:r>
      <w:r w:rsidRPr="00F711E8">
        <w:rPr>
          <w:i/>
        </w:rPr>
        <w:t>Crenicichla britskii</w:t>
      </w:r>
      <w:r w:rsidRPr="00F711E8">
        <w:t xml:space="preserve">) e os guarus (espécies do gênero </w:t>
      </w:r>
      <w:r w:rsidRPr="00F711E8">
        <w:rPr>
          <w:i/>
        </w:rPr>
        <w:t>Phalloceros</w:t>
      </w:r>
      <w:r w:rsidRPr="00F711E8">
        <w:t>), entre outras.</w:t>
      </w:r>
    </w:p>
    <w:p w:rsidR="00F711E8" w:rsidRPr="00F711E8" w:rsidRDefault="00F711E8" w:rsidP="00F711E8">
      <w:pPr>
        <w:spacing w:before="120" w:after="120" w:line="240" w:lineRule="auto"/>
        <w:rPr>
          <w:rFonts w:cs="Arial"/>
          <w:szCs w:val="22"/>
        </w:rPr>
      </w:pPr>
      <w:r w:rsidRPr="00F711E8">
        <w:rPr>
          <w:rFonts w:cs="Arial"/>
          <w:bCs/>
          <w:szCs w:val="22"/>
        </w:rPr>
        <w:t xml:space="preserve">A fase de instalação dos empreendimentos causarão alterações indiretas na comunidade ictíica, principalmente devido ao escoamento de águas superficiais sobre os solos expostos, causando alterações da qualidade da água e também o assoreamento. </w:t>
      </w:r>
      <w:r w:rsidRPr="00F711E8">
        <w:t>O</w:t>
      </w:r>
      <w:r w:rsidRPr="00F711E8">
        <w:rPr>
          <w:rFonts w:cs="Arial"/>
          <w:szCs w:val="22"/>
        </w:rPr>
        <w:t>correrão impactos originados pela</w:t>
      </w:r>
      <w:r w:rsidRPr="00F711E8">
        <w:t xml:space="preserve"> instalação e operação de acessos, canteiros de obras, a construção das barragens, das ensecadeiras, dos vertedouros e escadas para peixes, </w:t>
      </w:r>
      <w:r w:rsidRPr="00F711E8">
        <w:rPr>
          <w:rFonts w:cs="Arial"/>
          <w:szCs w:val="22"/>
        </w:rPr>
        <w:t>a realização de aterros, além de</w:t>
      </w:r>
      <w:r w:rsidRPr="00F711E8">
        <w:t xml:space="preserve"> </w:t>
      </w:r>
      <w:r w:rsidRPr="00F711E8">
        <w:rPr>
          <w:rFonts w:cs="Arial"/>
          <w:szCs w:val="22"/>
        </w:rPr>
        <w:t xml:space="preserve">mudanças na vazão e alterações no fluxo da água. </w:t>
      </w:r>
      <w:r w:rsidRPr="00F711E8">
        <w:rPr>
          <w:rFonts w:cs="Arial"/>
          <w:bCs/>
          <w:szCs w:val="22"/>
        </w:rPr>
        <w:t>O tráfego de veículos pesados, tais como caminhões e tratores, nos solos expostos e estradas não pavimentadas, colabora para a intensificação destes processos erosivos, de lixiviação, assoreamento e alterações da qualidade da água principalmente durante o período chuvoso, impactando a ictiofauna, em especial as espécies nativas e mais exigentes do ponto de vista da qualidade ambiental (sobretudo com relação aos hábitats e à qualidade da água). Estes processos também causam severos impactos sobre o ictioplâncton, uma vez que os sedimentos e materiais coloidais provenientes do solo em maior quantidade, adsorvem a este componente impedindo a realização das trocas gasosas, provocando a sua asfixia.</w:t>
      </w:r>
    </w:p>
    <w:p w:rsidR="00F711E8" w:rsidRPr="00F711E8" w:rsidRDefault="00F711E8" w:rsidP="00F711E8">
      <w:pPr>
        <w:spacing w:before="120" w:after="120" w:line="240" w:lineRule="auto"/>
        <w:rPr>
          <w:rFonts w:cs="Arial"/>
          <w:bCs/>
          <w:szCs w:val="22"/>
        </w:rPr>
      </w:pPr>
      <w:r w:rsidRPr="00F711E8">
        <w:t xml:space="preserve">No canteiro de obras também ocorrerá a geração de resíduos sólidos, entre os quais os derivados das centrais de britagem e de concreto, dentre outros. </w:t>
      </w:r>
      <w:r w:rsidRPr="00F711E8">
        <w:rPr>
          <w:rFonts w:cs="Arial"/>
          <w:bCs/>
          <w:szCs w:val="22"/>
        </w:rPr>
        <w:t>Materiais utilizados na construção civil, assim como descartes, em especial entulho e restos de cal e cimento, além de outros produtos químicos, também causam alterações na qualidade da água (especialmente nos fatores relacionados ao pH, dureza e alcalinidade), comprometendo ainda mais a ictiofauna nativa, incluindo o ictioplâncton.</w:t>
      </w:r>
    </w:p>
    <w:p w:rsidR="00F711E8" w:rsidRPr="00F711E8" w:rsidRDefault="00F711E8" w:rsidP="00F711E8">
      <w:pPr>
        <w:tabs>
          <w:tab w:val="left" w:pos="709"/>
        </w:tabs>
        <w:spacing w:before="120" w:after="120" w:line="240" w:lineRule="auto"/>
        <w:rPr>
          <w:rFonts w:cs="Arial"/>
          <w:szCs w:val="22"/>
        </w:rPr>
      </w:pPr>
      <w:r w:rsidRPr="00F711E8">
        <w:rPr>
          <w:rFonts w:cs="Arial"/>
          <w:szCs w:val="22"/>
        </w:rPr>
        <w:t>Os sedimentos gerados por estas fontes podem ser carreados pelo escoamento superficial, para a AID e ADA nos rios Camanducaia e Jaguari, alterando seus padrões de qualidade, sobretudo em relação à concentração de sólidos em suspensão e dissolvidos, podendo elevar os níveis de cor e de turbidez e promover interferências na estrutura da biota aquática.</w:t>
      </w:r>
    </w:p>
    <w:p w:rsidR="00F711E8" w:rsidRPr="00F711E8" w:rsidRDefault="00F711E8" w:rsidP="00F711E8">
      <w:pPr>
        <w:spacing w:before="120" w:after="120" w:line="240" w:lineRule="auto"/>
        <w:rPr>
          <w:rFonts w:cs="Arial"/>
          <w:szCs w:val="22"/>
        </w:rPr>
      </w:pPr>
      <w:r w:rsidRPr="00F711E8">
        <w:rPr>
          <w:rFonts w:cs="Arial"/>
          <w:szCs w:val="22"/>
        </w:rPr>
        <w:t xml:space="preserve">Conforme o explanado, pode-se dizer que as mudanças na composição e estrutura da ictiofauna </w:t>
      </w:r>
      <w:r w:rsidRPr="00F711E8">
        <w:t>decorrentes de processos associados às alterações na qualidade de água</w:t>
      </w:r>
      <w:r w:rsidRPr="00F711E8">
        <w:rPr>
          <w:rFonts w:cs="Arial"/>
          <w:szCs w:val="22"/>
        </w:rPr>
        <w:t xml:space="preserve"> será de abrangência local, sendo um impacto negativo, de incidência direta, com temporalidade imediata, manifestação descontinuada</w:t>
      </w:r>
      <w:r w:rsidR="000E5772">
        <w:rPr>
          <w:rFonts w:cs="Arial"/>
          <w:szCs w:val="22"/>
        </w:rPr>
        <w:t xml:space="preserve"> (temporária)</w:t>
      </w:r>
      <w:r w:rsidRPr="00F711E8">
        <w:rPr>
          <w:rFonts w:cs="Arial"/>
          <w:szCs w:val="22"/>
        </w:rPr>
        <w:t>, ocorrência certa</w:t>
      </w:r>
      <w:r w:rsidR="000E5772">
        <w:rPr>
          <w:rFonts w:cs="Arial"/>
          <w:szCs w:val="22"/>
        </w:rPr>
        <w:t xml:space="preserve"> de curto a médio prazo</w:t>
      </w:r>
      <w:r w:rsidRPr="00F711E8">
        <w:rPr>
          <w:rFonts w:cs="Arial"/>
          <w:szCs w:val="22"/>
        </w:rPr>
        <w:t>, sendo a espacialização local, reversível e de alta importância</w:t>
      </w:r>
      <w:r w:rsidR="000E5772">
        <w:rPr>
          <w:rFonts w:cs="Arial"/>
          <w:szCs w:val="22"/>
        </w:rPr>
        <w:t xml:space="preserve"> e grande magnitude</w:t>
      </w:r>
      <w:r w:rsidRPr="00F711E8">
        <w:rPr>
          <w:rFonts w:cs="Arial"/>
          <w:szCs w:val="22"/>
        </w:rPr>
        <w:t>.</w:t>
      </w:r>
    </w:p>
    <w:p w:rsidR="00BD074C" w:rsidRPr="00C37DA1" w:rsidRDefault="00B44C8E" w:rsidP="00C37DA1">
      <w:pPr>
        <w:pStyle w:val="Legenda"/>
        <w:spacing w:line="240" w:lineRule="auto"/>
        <w:jc w:val="center"/>
        <w:rPr>
          <w:b w:val="0"/>
          <w:i w:val="0"/>
        </w:rPr>
      </w:pPr>
      <w:bookmarkStart w:id="337" w:name="_Toc420316513"/>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70</w:t>
      </w:r>
      <w:r w:rsidR="00B80A05" w:rsidRPr="00C37DA1">
        <w:rPr>
          <w:i w:val="0"/>
        </w:rPr>
        <w:fldChar w:fldCharType="end"/>
      </w:r>
      <w:r w:rsidR="00C37DA1" w:rsidRPr="00C37DA1">
        <w:rPr>
          <w:i w:val="0"/>
        </w:rPr>
        <w:t>.</w:t>
      </w:r>
      <w:r w:rsidR="00C37DA1" w:rsidRPr="00C37DA1">
        <w:rPr>
          <w:b w:val="0"/>
          <w:i w:val="0"/>
        </w:rPr>
        <w:t xml:space="preserve"> - </w:t>
      </w:r>
      <w:r w:rsidR="00BD074C" w:rsidRPr="00C37DA1">
        <w:rPr>
          <w:b w:val="0"/>
          <w:i w:val="0"/>
        </w:rPr>
        <w:t xml:space="preserve">Caracterização do Impacto – Processos associados às </w:t>
      </w:r>
      <w:r w:rsidR="003B5D66" w:rsidRPr="00C37DA1">
        <w:rPr>
          <w:b w:val="0"/>
          <w:i w:val="0"/>
        </w:rPr>
        <w:t>A</w:t>
      </w:r>
      <w:r w:rsidR="00BD074C" w:rsidRPr="00C37DA1">
        <w:rPr>
          <w:b w:val="0"/>
          <w:i w:val="0"/>
        </w:rPr>
        <w:t xml:space="preserve">lterações na </w:t>
      </w:r>
      <w:r w:rsidR="003B5D66" w:rsidRPr="00C37DA1">
        <w:rPr>
          <w:b w:val="0"/>
          <w:i w:val="0"/>
        </w:rPr>
        <w:t>Q</w:t>
      </w:r>
      <w:r w:rsidR="00BD074C" w:rsidRPr="00C37DA1">
        <w:rPr>
          <w:b w:val="0"/>
          <w:i w:val="0"/>
        </w:rPr>
        <w:t xml:space="preserve">ualidade da </w:t>
      </w:r>
      <w:r w:rsidR="003B5D66" w:rsidRPr="00C37DA1">
        <w:rPr>
          <w:b w:val="0"/>
          <w:i w:val="0"/>
        </w:rPr>
        <w:t>Á</w:t>
      </w:r>
      <w:r w:rsidR="00BD074C" w:rsidRPr="00C37DA1">
        <w:rPr>
          <w:b w:val="0"/>
          <w:i w:val="0"/>
        </w:rPr>
        <w:t>gua</w:t>
      </w:r>
      <w:r w:rsidR="00D96403" w:rsidRPr="00C37DA1">
        <w:rPr>
          <w:b w:val="0"/>
          <w:i w:val="0"/>
        </w:rPr>
        <w:t xml:space="preserve"> sobre a Ictiofauna</w:t>
      </w:r>
      <w:r w:rsidR="0086474A" w:rsidRPr="00C37DA1">
        <w:rPr>
          <w:b w:val="0"/>
          <w:i w:val="0"/>
        </w:rPr>
        <w:t xml:space="preserve">  </w:t>
      </w:r>
      <w:r w:rsidR="0086474A" w:rsidRPr="00C37DA1">
        <w:rPr>
          <w:rFonts w:cs="Arial"/>
          <w:b w:val="0"/>
          <w:bCs/>
          <w:i w:val="0"/>
          <w:szCs w:val="22"/>
        </w:rPr>
        <w:t>– Barrage</w:t>
      </w:r>
      <w:r w:rsidR="003B5D66" w:rsidRPr="00C37DA1">
        <w:rPr>
          <w:rFonts w:cs="Arial"/>
          <w:b w:val="0"/>
          <w:bCs/>
          <w:i w:val="0"/>
          <w:szCs w:val="22"/>
        </w:rPr>
        <w:t>ns</w:t>
      </w:r>
      <w:r w:rsidR="0086474A" w:rsidRPr="00C37DA1">
        <w:rPr>
          <w:rFonts w:cs="Arial"/>
          <w:b w:val="0"/>
          <w:bCs/>
          <w:i w:val="0"/>
          <w:szCs w:val="22"/>
        </w:rPr>
        <w:t xml:space="preserve"> Pedreira e Duas Pontes</w:t>
      </w:r>
      <w:bookmarkEnd w:id="337"/>
    </w:p>
    <w:tbl>
      <w:tblPr>
        <w:tblW w:w="0" w:type="auto"/>
        <w:jc w:val="center"/>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5"/>
        <w:gridCol w:w="1206"/>
        <w:gridCol w:w="1771"/>
        <w:gridCol w:w="1631"/>
        <w:gridCol w:w="2975"/>
      </w:tblGrid>
      <w:tr w:rsidR="00F711E8" w:rsidRPr="00F711E8" w:rsidTr="008204B6">
        <w:trPr>
          <w:trHeight w:hRule="exact" w:val="567"/>
          <w:jc w:val="center"/>
        </w:trPr>
        <w:tc>
          <w:tcPr>
            <w:tcW w:w="1205"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Natureza</w:t>
            </w:r>
          </w:p>
        </w:tc>
        <w:tc>
          <w:tcPr>
            <w:tcW w:w="1206"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Ordem</w:t>
            </w:r>
          </w:p>
        </w:tc>
        <w:tc>
          <w:tcPr>
            <w:tcW w:w="1771"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Abrangência</w:t>
            </w:r>
          </w:p>
        </w:tc>
        <w:tc>
          <w:tcPr>
            <w:tcW w:w="1631"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Duração</w:t>
            </w:r>
          </w:p>
        </w:tc>
        <w:tc>
          <w:tcPr>
            <w:tcW w:w="2975"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Probabilidade de Ocorrência</w:t>
            </w:r>
          </w:p>
        </w:tc>
      </w:tr>
      <w:tr w:rsidR="00F711E8" w:rsidRPr="00F711E8" w:rsidTr="001930B4">
        <w:trPr>
          <w:trHeight w:hRule="exact" w:val="397"/>
          <w:jc w:val="center"/>
        </w:trPr>
        <w:tc>
          <w:tcPr>
            <w:tcW w:w="1205" w:type="dxa"/>
            <w:shd w:val="clear" w:color="auto" w:fill="auto"/>
            <w:vAlign w:val="center"/>
          </w:tcPr>
          <w:p w:rsidR="00F711E8" w:rsidRPr="00F711E8" w:rsidRDefault="00F711E8" w:rsidP="00A25955">
            <w:pPr>
              <w:spacing w:line="240" w:lineRule="auto"/>
              <w:jc w:val="center"/>
              <w:rPr>
                <w:sz w:val="20"/>
              </w:rPr>
            </w:pPr>
            <w:r w:rsidRPr="00F711E8">
              <w:rPr>
                <w:sz w:val="20"/>
              </w:rPr>
              <w:t>Negativa</w:t>
            </w:r>
          </w:p>
        </w:tc>
        <w:tc>
          <w:tcPr>
            <w:tcW w:w="1206" w:type="dxa"/>
            <w:shd w:val="clear" w:color="auto" w:fill="auto"/>
            <w:vAlign w:val="center"/>
          </w:tcPr>
          <w:p w:rsidR="00F711E8" w:rsidRPr="00F711E8" w:rsidRDefault="00F711E8" w:rsidP="00A25955">
            <w:pPr>
              <w:spacing w:line="240" w:lineRule="auto"/>
              <w:jc w:val="center"/>
              <w:rPr>
                <w:sz w:val="20"/>
              </w:rPr>
            </w:pPr>
            <w:r w:rsidRPr="00F711E8">
              <w:rPr>
                <w:sz w:val="20"/>
              </w:rPr>
              <w:t>Direta</w:t>
            </w:r>
          </w:p>
        </w:tc>
        <w:tc>
          <w:tcPr>
            <w:tcW w:w="1771" w:type="dxa"/>
            <w:shd w:val="clear" w:color="auto" w:fill="auto"/>
            <w:vAlign w:val="center"/>
          </w:tcPr>
          <w:p w:rsidR="00F711E8" w:rsidRPr="00F711E8" w:rsidRDefault="00F711E8" w:rsidP="00A25955">
            <w:pPr>
              <w:spacing w:line="240" w:lineRule="auto"/>
              <w:jc w:val="center"/>
              <w:rPr>
                <w:sz w:val="20"/>
              </w:rPr>
            </w:pPr>
            <w:r w:rsidRPr="00F711E8">
              <w:rPr>
                <w:sz w:val="20"/>
              </w:rPr>
              <w:t>Local</w:t>
            </w:r>
          </w:p>
        </w:tc>
        <w:tc>
          <w:tcPr>
            <w:tcW w:w="1631" w:type="dxa"/>
            <w:shd w:val="clear" w:color="auto" w:fill="auto"/>
            <w:vAlign w:val="center"/>
          </w:tcPr>
          <w:p w:rsidR="00F711E8" w:rsidRPr="00F711E8" w:rsidRDefault="003B5D66" w:rsidP="00A25955">
            <w:pPr>
              <w:spacing w:line="240" w:lineRule="auto"/>
              <w:jc w:val="center"/>
              <w:rPr>
                <w:sz w:val="20"/>
              </w:rPr>
            </w:pPr>
            <w:r>
              <w:rPr>
                <w:sz w:val="20"/>
              </w:rPr>
              <w:t>Temporária</w:t>
            </w:r>
          </w:p>
        </w:tc>
        <w:tc>
          <w:tcPr>
            <w:tcW w:w="2975" w:type="dxa"/>
            <w:shd w:val="clear" w:color="auto" w:fill="auto"/>
            <w:vAlign w:val="center"/>
          </w:tcPr>
          <w:p w:rsidR="00F711E8" w:rsidRPr="00F711E8" w:rsidRDefault="00F711E8" w:rsidP="00A25955">
            <w:pPr>
              <w:spacing w:line="240" w:lineRule="auto"/>
              <w:jc w:val="center"/>
              <w:rPr>
                <w:sz w:val="20"/>
              </w:rPr>
            </w:pPr>
            <w:r w:rsidRPr="00F711E8">
              <w:rPr>
                <w:sz w:val="20"/>
              </w:rPr>
              <w:t>Certa</w:t>
            </w:r>
          </w:p>
        </w:tc>
      </w:tr>
    </w:tbl>
    <w:p w:rsidR="00F711E8" w:rsidRPr="00F711E8" w:rsidRDefault="00F711E8" w:rsidP="00A25955">
      <w:pPr>
        <w:spacing w:line="240" w:lineRule="auto"/>
      </w:pPr>
    </w:p>
    <w:tbl>
      <w:tblPr>
        <w:tblW w:w="0" w:type="auto"/>
        <w:jc w:val="center"/>
        <w:tblInd w:w="-2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6"/>
        <w:gridCol w:w="1771"/>
        <w:gridCol w:w="1631"/>
        <w:gridCol w:w="1505"/>
        <w:gridCol w:w="1505"/>
      </w:tblGrid>
      <w:tr w:rsidR="00F711E8" w:rsidRPr="00F711E8" w:rsidTr="008204B6">
        <w:trPr>
          <w:trHeight w:hRule="exact" w:val="567"/>
          <w:jc w:val="center"/>
        </w:trPr>
        <w:tc>
          <w:tcPr>
            <w:tcW w:w="2446"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Época de Ocorrência</w:t>
            </w:r>
          </w:p>
        </w:tc>
        <w:tc>
          <w:tcPr>
            <w:tcW w:w="1771"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Reversibilidade</w:t>
            </w:r>
          </w:p>
        </w:tc>
        <w:tc>
          <w:tcPr>
            <w:tcW w:w="1631"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Magnitude</w:t>
            </w:r>
          </w:p>
        </w:tc>
        <w:tc>
          <w:tcPr>
            <w:tcW w:w="1505"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Importância</w:t>
            </w:r>
          </w:p>
        </w:tc>
        <w:tc>
          <w:tcPr>
            <w:tcW w:w="1505" w:type="dxa"/>
            <w:shd w:val="clear" w:color="auto" w:fill="D9D9D9" w:themeFill="background1" w:themeFillShade="D9"/>
            <w:vAlign w:val="center"/>
          </w:tcPr>
          <w:p w:rsidR="00F711E8" w:rsidRPr="00F711E8" w:rsidRDefault="00F711E8" w:rsidP="00A25955">
            <w:pPr>
              <w:spacing w:line="240" w:lineRule="auto"/>
              <w:jc w:val="center"/>
              <w:rPr>
                <w:b/>
                <w:sz w:val="20"/>
              </w:rPr>
            </w:pPr>
            <w:r w:rsidRPr="00F711E8">
              <w:rPr>
                <w:b/>
                <w:sz w:val="20"/>
              </w:rPr>
              <w:t>Mitigação</w:t>
            </w:r>
          </w:p>
        </w:tc>
      </w:tr>
      <w:tr w:rsidR="00F711E8" w:rsidRPr="00F711E8" w:rsidTr="001930B4">
        <w:trPr>
          <w:trHeight w:hRule="exact" w:val="578"/>
          <w:jc w:val="center"/>
        </w:trPr>
        <w:tc>
          <w:tcPr>
            <w:tcW w:w="2446" w:type="dxa"/>
            <w:shd w:val="clear" w:color="auto" w:fill="auto"/>
            <w:vAlign w:val="center"/>
          </w:tcPr>
          <w:p w:rsidR="00F711E8" w:rsidRPr="00F711E8" w:rsidRDefault="00F711E8" w:rsidP="00A25955">
            <w:pPr>
              <w:spacing w:line="240" w:lineRule="auto"/>
              <w:jc w:val="center"/>
              <w:rPr>
                <w:sz w:val="20"/>
              </w:rPr>
            </w:pPr>
            <w:r w:rsidRPr="00F711E8">
              <w:rPr>
                <w:sz w:val="20"/>
              </w:rPr>
              <w:t>Curto e Médio Prazo</w:t>
            </w:r>
          </w:p>
        </w:tc>
        <w:tc>
          <w:tcPr>
            <w:tcW w:w="1771" w:type="dxa"/>
            <w:shd w:val="clear" w:color="auto" w:fill="auto"/>
            <w:vAlign w:val="center"/>
          </w:tcPr>
          <w:p w:rsidR="00F711E8" w:rsidRPr="00F711E8" w:rsidRDefault="00F711E8" w:rsidP="00A25955">
            <w:pPr>
              <w:spacing w:line="240" w:lineRule="auto"/>
              <w:jc w:val="center"/>
              <w:rPr>
                <w:sz w:val="20"/>
              </w:rPr>
            </w:pPr>
            <w:r w:rsidRPr="00F711E8">
              <w:rPr>
                <w:sz w:val="20"/>
              </w:rPr>
              <w:t>Reversível</w:t>
            </w:r>
          </w:p>
        </w:tc>
        <w:tc>
          <w:tcPr>
            <w:tcW w:w="1631" w:type="dxa"/>
            <w:shd w:val="clear" w:color="auto" w:fill="auto"/>
            <w:vAlign w:val="center"/>
          </w:tcPr>
          <w:p w:rsidR="00F711E8" w:rsidRPr="00F711E8" w:rsidRDefault="000E5772" w:rsidP="00A25955">
            <w:pPr>
              <w:spacing w:line="240" w:lineRule="auto"/>
              <w:jc w:val="center"/>
              <w:rPr>
                <w:sz w:val="20"/>
              </w:rPr>
            </w:pPr>
            <w:r>
              <w:rPr>
                <w:sz w:val="20"/>
              </w:rPr>
              <w:t>Grande</w:t>
            </w:r>
          </w:p>
        </w:tc>
        <w:tc>
          <w:tcPr>
            <w:tcW w:w="1505" w:type="dxa"/>
            <w:shd w:val="clear" w:color="auto" w:fill="auto"/>
            <w:vAlign w:val="center"/>
          </w:tcPr>
          <w:p w:rsidR="00F711E8" w:rsidRPr="00F711E8" w:rsidRDefault="00F711E8" w:rsidP="00A25955">
            <w:pPr>
              <w:spacing w:line="240" w:lineRule="auto"/>
              <w:jc w:val="center"/>
              <w:rPr>
                <w:sz w:val="20"/>
              </w:rPr>
            </w:pPr>
            <w:r w:rsidRPr="00F711E8">
              <w:rPr>
                <w:sz w:val="20"/>
              </w:rPr>
              <w:t>Alta</w:t>
            </w:r>
          </w:p>
        </w:tc>
        <w:tc>
          <w:tcPr>
            <w:tcW w:w="1505" w:type="dxa"/>
            <w:shd w:val="clear" w:color="auto" w:fill="auto"/>
            <w:vAlign w:val="center"/>
          </w:tcPr>
          <w:p w:rsidR="00F711E8" w:rsidRPr="00F711E8" w:rsidRDefault="00F711E8" w:rsidP="00A25955">
            <w:pPr>
              <w:spacing w:line="240" w:lineRule="auto"/>
              <w:jc w:val="center"/>
              <w:rPr>
                <w:sz w:val="20"/>
              </w:rPr>
            </w:pPr>
            <w:r w:rsidRPr="00F711E8">
              <w:rPr>
                <w:sz w:val="20"/>
              </w:rPr>
              <w:t xml:space="preserve"> Mitigável</w:t>
            </w:r>
          </w:p>
        </w:tc>
      </w:tr>
    </w:tbl>
    <w:p w:rsidR="00F711E8" w:rsidRPr="00F711E8" w:rsidRDefault="00BD074C" w:rsidP="00BD074C">
      <w:pPr>
        <w:spacing w:before="360" w:after="120" w:line="240" w:lineRule="auto"/>
        <w:rPr>
          <w:b/>
        </w:rPr>
      </w:pPr>
      <w:r>
        <w:rPr>
          <w:b/>
        </w:rPr>
        <w:t>Medidas Ambientais Propostas</w:t>
      </w:r>
    </w:p>
    <w:p w:rsidR="00F711E8" w:rsidRPr="00F711E8" w:rsidRDefault="00F711E8" w:rsidP="00F711E8">
      <w:pPr>
        <w:tabs>
          <w:tab w:val="left" w:pos="709"/>
        </w:tabs>
        <w:spacing w:before="120" w:after="120" w:line="240" w:lineRule="auto"/>
        <w:rPr>
          <w:rFonts w:eastAsia="Calibri" w:cs="Arial"/>
          <w:szCs w:val="22"/>
        </w:rPr>
      </w:pPr>
      <w:r w:rsidRPr="00F711E8">
        <w:rPr>
          <w:rFonts w:eastAsia="Calibri" w:cs="Arial"/>
          <w:szCs w:val="22"/>
        </w:rPr>
        <w:t xml:space="preserve">A execução de um Programa de </w:t>
      </w:r>
      <w:r w:rsidR="00F205C0">
        <w:rPr>
          <w:rFonts w:eastAsia="Calibri" w:cs="Arial"/>
          <w:szCs w:val="22"/>
        </w:rPr>
        <w:t>Conservação</w:t>
      </w:r>
      <w:r w:rsidRPr="00F711E8">
        <w:rPr>
          <w:rFonts w:eastAsia="Calibri" w:cs="Arial"/>
          <w:szCs w:val="22"/>
        </w:rPr>
        <w:t xml:space="preserve"> da Ictiofauna vai permitir o acompanhamento da ictiofauna durante a fase de implantação e propiciará a melhor dimensão deste impacto sobre o componente nativo em ambos os empreendimentos, permitindo o subsidio a medidas e intervenções que os atenuem. </w:t>
      </w:r>
    </w:p>
    <w:p w:rsidR="00F711E8" w:rsidRPr="00F711E8" w:rsidRDefault="00F711E8" w:rsidP="00F711E8">
      <w:pPr>
        <w:spacing w:before="120" w:after="120" w:line="240" w:lineRule="auto"/>
        <w:rPr>
          <w:rFonts w:cs="Arial"/>
          <w:szCs w:val="22"/>
        </w:rPr>
      </w:pPr>
      <w:r w:rsidRPr="00F711E8">
        <w:t xml:space="preserve">Medidas adotadas em diversos programas ambientais apresentados nos estudos permitirão mitigar os efeitos dos impactos sobre as Mudanças na Composição e Estrutura da Comunidade Ictíica provocadas pelos processos associados às alterações na qualidade de água decorrentes da implantação dos empreendimentos. </w:t>
      </w:r>
      <w:r w:rsidRPr="00F711E8">
        <w:rPr>
          <w:rFonts w:cs="Arial"/>
          <w:szCs w:val="22"/>
        </w:rPr>
        <w:t>Estes efeitos devem ser atenuados/minimizados através da implantação do Programa de Controle Ambiental da Obra (Controle de Erosão e Assoreamento, Controle de Tráfego da Obra e Controle de Poluição dos Canteiros).</w:t>
      </w:r>
    </w:p>
    <w:p w:rsidR="00926F95" w:rsidRDefault="00F711E8" w:rsidP="00F711E8">
      <w:pPr>
        <w:spacing w:before="120" w:after="120" w:line="240" w:lineRule="auto"/>
        <w:rPr>
          <w:rFonts w:cs="Arial"/>
          <w:szCs w:val="22"/>
        </w:rPr>
      </w:pPr>
      <w:r w:rsidRPr="00F711E8">
        <w:rPr>
          <w:rFonts w:cs="Arial"/>
          <w:szCs w:val="22"/>
        </w:rPr>
        <w:t>Recomenda-se também que as estradas no entorno das ADAs sejam pavimentadas com piso drenante (tipo bloquete ou paralelepípedo) e que as águas de escoamento superficial sejam conduzidas ao leito dos rios afetados por meio de canaletas em alvenaria intercaladas com caixas de decantação (que deverão ser constantemente limpas, preferencialmente antes e depois do período de chuvas), a fim de reduzir os processos de assoreamento e alterações da qualidade da água pela lixiviação dos solos superficiais expostos.</w:t>
      </w:r>
    </w:p>
    <w:p w:rsidR="00622417" w:rsidRDefault="00622417" w:rsidP="00B44C8E">
      <w:pPr>
        <w:spacing w:before="240" w:after="240" w:line="240" w:lineRule="auto"/>
        <w:rPr>
          <w:b/>
        </w:rPr>
      </w:pPr>
      <w:r>
        <w:rPr>
          <w:b/>
        </w:rPr>
        <w:t xml:space="preserve">b) </w:t>
      </w:r>
      <w:r w:rsidR="00926F95">
        <w:rPr>
          <w:b/>
        </w:rPr>
        <w:t xml:space="preserve">Processos Associados à </w:t>
      </w:r>
      <w:r w:rsidR="00F711E8" w:rsidRPr="00BD074C">
        <w:rPr>
          <w:b/>
        </w:rPr>
        <w:t>Supressão da Vegetação sobre a Ictiofauna</w:t>
      </w:r>
    </w:p>
    <w:p w:rsidR="00622417" w:rsidRPr="00622417" w:rsidRDefault="00622417" w:rsidP="00622417">
      <w:pPr>
        <w:spacing w:before="120" w:after="120" w:line="240" w:lineRule="auto"/>
        <w:rPr>
          <w:b/>
        </w:rPr>
      </w:pPr>
      <w:r w:rsidRPr="00622417">
        <w:rPr>
          <w:b/>
        </w:rPr>
        <w:t>Fase: Implantação</w:t>
      </w:r>
    </w:p>
    <w:p w:rsidR="00F711E8" w:rsidRPr="00926F95" w:rsidRDefault="00F711E8" w:rsidP="00F711E8">
      <w:pPr>
        <w:spacing w:before="120" w:after="120" w:line="240" w:lineRule="auto"/>
        <w:rPr>
          <w:rFonts w:cs="Arial"/>
          <w:szCs w:val="22"/>
        </w:rPr>
      </w:pPr>
      <w:r w:rsidRPr="00926F95">
        <w:t>A retirada das matas</w:t>
      </w:r>
      <w:r w:rsidRPr="00926F95">
        <w:rPr>
          <w:rFonts w:cs="Arial"/>
          <w:szCs w:val="22"/>
        </w:rPr>
        <w:t xml:space="preserve"> para a execução das obras civis também afetará a ictiofauna como um todo. Um dos efeitos mais negativos é aquele causado pela interrupção das cadeias alimentares que se originam nestes ecossistemas (alimentos de origem alóctone tais como fauna de artrópodes e outros invertebrados e de alimentos vegetais tais como frutos, flores, sementes, além de raízes e folhas e também dos detritos). </w:t>
      </w:r>
    </w:p>
    <w:p w:rsidR="00F711E8" w:rsidRPr="00926F95" w:rsidRDefault="00F711E8" w:rsidP="00F711E8">
      <w:pPr>
        <w:spacing w:before="120" w:after="120" w:line="240" w:lineRule="auto"/>
        <w:rPr>
          <w:rFonts w:cs="Arial"/>
          <w:szCs w:val="22"/>
        </w:rPr>
      </w:pPr>
      <w:r w:rsidRPr="00926F95">
        <w:rPr>
          <w:rFonts w:cs="Arial"/>
          <w:szCs w:val="22"/>
        </w:rPr>
        <w:t>Outro efeito negativo originado pela supressão da vegetação é o relacionado à perda de hábitats e abrigos para os peixes providos pela vegetação posicionada mais próxima da água, tais como troncos, galhos, raízes e o folhiço. Estes ambientes são importantes para parte da ictiofauna se abrigar, usar como esconderijo, áreas de reprodução de espécies não migradoras (p. ex. os ciclídeos) e áreas utilizadas como alimentação tanto por espécies herbívoras que se alimentam do perifíton e perizôo que se desenvolvem sobre substratos duros, assim como espécies predadoras carnívoras que utilizam as estruturas marginais para realizar emboscadas e apanhar presas.</w:t>
      </w:r>
    </w:p>
    <w:p w:rsidR="00F711E8" w:rsidRPr="00926F95" w:rsidRDefault="00F711E8" w:rsidP="00F711E8">
      <w:pPr>
        <w:spacing w:before="120" w:after="120" w:line="240" w:lineRule="auto"/>
      </w:pPr>
      <w:r w:rsidRPr="00926F95">
        <w:t>Essa dinâmica implicará em interferências na composição e estrutura da comunidade ictíica, incluindo o ictioplâncton, que na região foi detectado nas áreas marginais em áreas com macrófitas, muitas vezes ancoradas na estrutura vegetal caída nas margens junto às rochas.</w:t>
      </w:r>
    </w:p>
    <w:p w:rsidR="00F711E8" w:rsidRPr="00926F95" w:rsidRDefault="00F711E8" w:rsidP="00F711E8">
      <w:pPr>
        <w:spacing w:before="120" w:after="120" w:line="240" w:lineRule="auto"/>
      </w:pPr>
      <w:r w:rsidRPr="00926F95">
        <w:rPr>
          <w:rFonts w:cs="Arial"/>
          <w:szCs w:val="22"/>
        </w:rPr>
        <w:t xml:space="preserve">De acordo com estas observações, pode-se dizer que as mudanças na composição e estrutura da ictiofauna </w:t>
      </w:r>
      <w:r w:rsidRPr="00926F95">
        <w:t xml:space="preserve">decorrentes da supressão da vegetação (em especial das áreas de APPs como as matas ciliares), poderão desencadear processos associados às alterações na qualidade de água pela erosão dos solos expostos e pela perda de habitats marginais importantes, além da interrupção de importantes cadeias alimentares de origem alóctone. </w:t>
      </w:r>
    </w:p>
    <w:p w:rsidR="00F711E8" w:rsidRDefault="00F711E8" w:rsidP="00F711E8">
      <w:pPr>
        <w:spacing w:before="120" w:after="120" w:line="240" w:lineRule="auto"/>
        <w:rPr>
          <w:rFonts w:cs="Arial"/>
          <w:szCs w:val="22"/>
        </w:rPr>
      </w:pPr>
      <w:r w:rsidRPr="00926F95">
        <w:t xml:space="preserve">Desta forma este impacto é considerado de </w:t>
      </w:r>
      <w:r w:rsidRPr="00926F95">
        <w:rPr>
          <w:rFonts w:cs="Arial"/>
          <w:szCs w:val="22"/>
        </w:rPr>
        <w:t>abrangência local, sendo um impacto negativo, de incidência direta, com temporalidade imediata, manifestação continua</w:t>
      </w:r>
      <w:r w:rsidR="000E5772">
        <w:rPr>
          <w:rFonts w:cs="Arial"/>
          <w:szCs w:val="22"/>
        </w:rPr>
        <w:t xml:space="preserve"> </w:t>
      </w:r>
      <w:r w:rsidR="00622417">
        <w:rPr>
          <w:rFonts w:cs="Arial"/>
          <w:szCs w:val="22"/>
        </w:rPr>
        <w:t>(permanente)</w:t>
      </w:r>
      <w:r w:rsidRPr="00926F95">
        <w:rPr>
          <w:rFonts w:cs="Arial"/>
          <w:szCs w:val="22"/>
        </w:rPr>
        <w:t>, ocorrência certa</w:t>
      </w:r>
      <w:r w:rsidR="000E5772">
        <w:rPr>
          <w:rFonts w:cs="Arial"/>
          <w:szCs w:val="22"/>
        </w:rPr>
        <w:t xml:space="preserve"> no curto e médio prazo</w:t>
      </w:r>
      <w:r w:rsidRPr="00926F95">
        <w:rPr>
          <w:rFonts w:cs="Arial"/>
          <w:szCs w:val="22"/>
        </w:rPr>
        <w:t>, sendo a espacialização local, reversível e de alta importância</w:t>
      </w:r>
      <w:r w:rsidR="000E5772">
        <w:rPr>
          <w:rFonts w:cs="Arial"/>
          <w:szCs w:val="22"/>
        </w:rPr>
        <w:t xml:space="preserve"> e grande magnitude</w:t>
      </w:r>
      <w:r w:rsidRPr="00926F95">
        <w:rPr>
          <w:rFonts w:cs="Arial"/>
          <w:szCs w:val="22"/>
        </w:rPr>
        <w:t>.</w:t>
      </w:r>
    </w:p>
    <w:p w:rsidR="00BD074C" w:rsidRPr="00C37DA1" w:rsidRDefault="00B44C8E" w:rsidP="00C37DA1">
      <w:pPr>
        <w:pStyle w:val="Legenda"/>
        <w:spacing w:line="240" w:lineRule="auto"/>
        <w:jc w:val="center"/>
        <w:rPr>
          <w:b w:val="0"/>
          <w:i w:val="0"/>
        </w:rPr>
      </w:pPr>
      <w:bookmarkStart w:id="338" w:name="_Toc420316514"/>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71</w:t>
      </w:r>
      <w:r w:rsidR="00B80A05" w:rsidRPr="00C37DA1">
        <w:rPr>
          <w:i w:val="0"/>
        </w:rPr>
        <w:fldChar w:fldCharType="end"/>
      </w:r>
      <w:r w:rsidR="00C37DA1" w:rsidRPr="00C37DA1">
        <w:rPr>
          <w:i w:val="0"/>
        </w:rPr>
        <w:t>.</w:t>
      </w:r>
      <w:r w:rsidR="00C37DA1" w:rsidRPr="00C37DA1">
        <w:rPr>
          <w:b w:val="0"/>
          <w:i w:val="0"/>
        </w:rPr>
        <w:t xml:space="preserve"> - </w:t>
      </w:r>
      <w:r w:rsidR="00BD074C" w:rsidRPr="00C37DA1">
        <w:rPr>
          <w:b w:val="0"/>
          <w:i w:val="0"/>
        </w:rPr>
        <w:t xml:space="preserve">Caracterização do Impacto </w:t>
      </w:r>
      <w:r w:rsidR="00926F95" w:rsidRPr="00C37DA1">
        <w:rPr>
          <w:b w:val="0"/>
          <w:i w:val="0"/>
        </w:rPr>
        <w:t>–</w:t>
      </w:r>
      <w:r w:rsidR="00BD074C" w:rsidRPr="00C37DA1">
        <w:rPr>
          <w:b w:val="0"/>
          <w:i w:val="0"/>
        </w:rPr>
        <w:t xml:space="preserve"> </w:t>
      </w:r>
      <w:r w:rsidR="00926F95" w:rsidRPr="00C37DA1">
        <w:rPr>
          <w:b w:val="0"/>
          <w:i w:val="0"/>
        </w:rPr>
        <w:t xml:space="preserve">Processos Associados à </w:t>
      </w:r>
      <w:r w:rsidR="00BD074C" w:rsidRPr="00C37DA1">
        <w:rPr>
          <w:b w:val="0"/>
          <w:i w:val="0"/>
        </w:rPr>
        <w:t>Supressão da Vegetação sobre a Ictiofauna</w:t>
      </w:r>
      <w:r w:rsidR="001B7276" w:rsidRPr="00C37DA1">
        <w:rPr>
          <w:b w:val="0"/>
          <w:i w:val="0"/>
        </w:rPr>
        <w:t xml:space="preserve"> </w:t>
      </w:r>
      <w:r w:rsidR="001B7276" w:rsidRPr="00C37DA1">
        <w:rPr>
          <w:rFonts w:cs="Arial"/>
          <w:b w:val="0"/>
          <w:bCs/>
          <w:i w:val="0"/>
          <w:szCs w:val="22"/>
        </w:rPr>
        <w:t>– Barragens</w:t>
      </w:r>
      <w:r w:rsidR="0086474A" w:rsidRPr="00C37DA1">
        <w:rPr>
          <w:rFonts w:cs="Arial"/>
          <w:b w:val="0"/>
          <w:bCs/>
          <w:i w:val="0"/>
          <w:szCs w:val="22"/>
        </w:rPr>
        <w:t xml:space="preserve"> Pedreira e Duas Pontes</w:t>
      </w:r>
      <w:bookmarkEnd w:id="338"/>
    </w:p>
    <w:tbl>
      <w:tblPr>
        <w:tblW w:w="0" w:type="auto"/>
        <w:jc w:val="center"/>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6"/>
        <w:gridCol w:w="1326"/>
        <w:gridCol w:w="1748"/>
        <w:gridCol w:w="1560"/>
        <w:gridCol w:w="3029"/>
      </w:tblGrid>
      <w:tr w:rsidR="00F711E8" w:rsidRPr="00926F95" w:rsidTr="008204B6">
        <w:trPr>
          <w:trHeight w:hRule="exact" w:val="567"/>
          <w:jc w:val="center"/>
        </w:trPr>
        <w:tc>
          <w:tcPr>
            <w:tcW w:w="1326" w:type="dxa"/>
            <w:shd w:val="clear" w:color="auto" w:fill="D9D9D9" w:themeFill="background1" w:themeFillShade="D9"/>
            <w:vAlign w:val="center"/>
          </w:tcPr>
          <w:p w:rsidR="00F711E8" w:rsidRPr="00926F95" w:rsidRDefault="00F711E8" w:rsidP="00F711E8">
            <w:pPr>
              <w:spacing w:line="240" w:lineRule="auto"/>
              <w:jc w:val="center"/>
              <w:rPr>
                <w:b/>
                <w:sz w:val="20"/>
              </w:rPr>
            </w:pPr>
            <w:r w:rsidRPr="00926F95">
              <w:rPr>
                <w:b/>
                <w:sz w:val="20"/>
              </w:rPr>
              <w:t>Natureza</w:t>
            </w:r>
          </w:p>
        </w:tc>
        <w:tc>
          <w:tcPr>
            <w:tcW w:w="1326" w:type="dxa"/>
            <w:shd w:val="clear" w:color="auto" w:fill="D9D9D9" w:themeFill="background1" w:themeFillShade="D9"/>
            <w:vAlign w:val="center"/>
          </w:tcPr>
          <w:p w:rsidR="00F711E8" w:rsidRPr="00926F95" w:rsidRDefault="00F711E8" w:rsidP="00F711E8">
            <w:pPr>
              <w:spacing w:line="240" w:lineRule="auto"/>
              <w:jc w:val="center"/>
              <w:rPr>
                <w:b/>
                <w:sz w:val="20"/>
              </w:rPr>
            </w:pPr>
            <w:r w:rsidRPr="00926F95">
              <w:rPr>
                <w:b/>
                <w:sz w:val="20"/>
              </w:rPr>
              <w:t>Ordem</w:t>
            </w:r>
          </w:p>
        </w:tc>
        <w:tc>
          <w:tcPr>
            <w:tcW w:w="1748" w:type="dxa"/>
            <w:shd w:val="clear" w:color="auto" w:fill="D9D9D9" w:themeFill="background1" w:themeFillShade="D9"/>
            <w:vAlign w:val="center"/>
          </w:tcPr>
          <w:p w:rsidR="00F711E8" w:rsidRPr="00926F95" w:rsidRDefault="00F711E8" w:rsidP="00F711E8">
            <w:pPr>
              <w:spacing w:line="240" w:lineRule="auto"/>
              <w:jc w:val="center"/>
              <w:rPr>
                <w:b/>
                <w:sz w:val="20"/>
              </w:rPr>
            </w:pPr>
            <w:r w:rsidRPr="00926F95">
              <w:rPr>
                <w:b/>
                <w:sz w:val="20"/>
              </w:rPr>
              <w:t>Abrangência</w:t>
            </w:r>
          </w:p>
        </w:tc>
        <w:tc>
          <w:tcPr>
            <w:tcW w:w="1560" w:type="dxa"/>
            <w:shd w:val="clear" w:color="auto" w:fill="D9D9D9" w:themeFill="background1" w:themeFillShade="D9"/>
            <w:vAlign w:val="center"/>
          </w:tcPr>
          <w:p w:rsidR="00F711E8" w:rsidRPr="00926F95" w:rsidRDefault="00F711E8" w:rsidP="00F711E8">
            <w:pPr>
              <w:spacing w:line="240" w:lineRule="auto"/>
              <w:jc w:val="center"/>
              <w:rPr>
                <w:b/>
                <w:sz w:val="20"/>
              </w:rPr>
            </w:pPr>
            <w:r w:rsidRPr="00926F95">
              <w:rPr>
                <w:b/>
                <w:sz w:val="20"/>
              </w:rPr>
              <w:t>Duração</w:t>
            </w:r>
          </w:p>
        </w:tc>
        <w:tc>
          <w:tcPr>
            <w:tcW w:w="3029" w:type="dxa"/>
            <w:shd w:val="clear" w:color="auto" w:fill="D9D9D9" w:themeFill="background1" w:themeFillShade="D9"/>
            <w:vAlign w:val="center"/>
          </w:tcPr>
          <w:p w:rsidR="00F711E8" w:rsidRPr="00926F95" w:rsidRDefault="00F711E8" w:rsidP="00F711E8">
            <w:pPr>
              <w:spacing w:line="240" w:lineRule="auto"/>
              <w:jc w:val="center"/>
              <w:rPr>
                <w:b/>
                <w:sz w:val="20"/>
              </w:rPr>
            </w:pPr>
            <w:r w:rsidRPr="00926F95">
              <w:rPr>
                <w:b/>
                <w:sz w:val="20"/>
              </w:rPr>
              <w:t>Probabilidade de Ocorrência</w:t>
            </w:r>
          </w:p>
        </w:tc>
      </w:tr>
      <w:tr w:rsidR="00F711E8" w:rsidRPr="00926F95" w:rsidTr="003A422E">
        <w:trPr>
          <w:trHeight w:hRule="exact" w:val="515"/>
          <w:jc w:val="center"/>
        </w:trPr>
        <w:tc>
          <w:tcPr>
            <w:tcW w:w="1326" w:type="dxa"/>
            <w:shd w:val="clear" w:color="auto" w:fill="auto"/>
            <w:vAlign w:val="center"/>
          </w:tcPr>
          <w:p w:rsidR="00F711E8" w:rsidRPr="00926F95" w:rsidRDefault="00F711E8" w:rsidP="00F711E8">
            <w:pPr>
              <w:spacing w:line="240" w:lineRule="auto"/>
              <w:jc w:val="center"/>
              <w:rPr>
                <w:sz w:val="20"/>
              </w:rPr>
            </w:pPr>
            <w:r w:rsidRPr="00926F95">
              <w:rPr>
                <w:sz w:val="20"/>
              </w:rPr>
              <w:t>Negativa</w:t>
            </w:r>
          </w:p>
        </w:tc>
        <w:tc>
          <w:tcPr>
            <w:tcW w:w="1326" w:type="dxa"/>
            <w:shd w:val="clear" w:color="auto" w:fill="auto"/>
            <w:vAlign w:val="center"/>
          </w:tcPr>
          <w:p w:rsidR="00F711E8" w:rsidRPr="00926F95" w:rsidRDefault="00F711E8" w:rsidP="00F711E8">
            <w:pPr>
              <w:spacing w:line="240" w:lineRule="auto"/>
              <w:jc w:val="center"/>
              <w:rPr>
                <w:sz w:val="20"/>
              </w:rPr>
            </w:pPr>
            <w:r w:rsidRPr="00926F95">
              <w:rPr>
                <w:sz w:val="20"/>
              </w:rPr>
              <w:t>Direta</w:t>
            </w:r>
          </w:p>
        </w:tc>
        <w:tc>
          <w:tcPr>
            <w:tcW w:w="1748" w:type="dxa"/>
            <w:shd w:val="clear" w:color="auto" w:fill="auto"/>
            <w:vAlign w:val="center"/>
          </w:tcPr>
          <w:p w:rsidR="00F711E8" w:rsidRPr="00926F95" w:rsidRDefault="00F711E8" w:rsidP="00F711E8">
            <w:pPr>
              <w:spacing w:line="240" w:lineRule="auto"/>
              <w:jc w:val="center"/>
              <w:rPr>
                <w:sz w:val="20"/>
              </w:rPr>
            </w:pPr>
            <w:r w:rsidRPr="00926F95">
              <w:rPr>
                <w:sz w:val="20"/>
              </w:rPr>
              <w:t>Local</w:t>
            </w:r>
          </w:p>
        </w:tc>
        <w:tc>
          <w:tcPr>
            <w:tcW w:w="1560" w:type="dxa"/>
            <w:shd w:val="clear" w:color="auto" w:fill="auto"/>
            <w:vAlign w:val="center"/>
          </w:tcPr>
          <w:p w:rsidR="00F711E8" w:rsidRPr="00926F95" w:rsidRDefault="00622417" w:rsidP="00F711E8">
            <w:pPr>
              <w:spacing w:line="240" w:lineRule="auto"/>
              <w:jc w:val="center"/>
              <w:rPr>
                <w:sz w:val="20"/>
              </w:rPr>
            </w:pPr>
            <w:r>
              <w:rPr>
                <w:sz w:val="20"/>
              </w:rPr>
              <w:t>Permanente</w:t>
            </w:r>
          </w:p>
        </w:tc>
        <w:tc>
          <w:tcPr>
            <w:tcW w:w="3029" w:type="dxa"/>
            <w:shd w:val="clear" w:color="auto" w:fill="auto"/>
            <w:vAlign w:val="center"/>
          </w:tcPr>
          <w:p w:rsidR="00F711E8" w:rsidRPr="00926F95" w:rsidRDefault="00F711E8" w:rsidP="00F711E8">
            <w:pPr>
              <w:spacing w:line="240" w:lineRule="auto"/>
              <w:jc w:val="center"/>
              <w:rPr>
                <w:sz w:val="20"/>
              </w:rPr>
            </w:pPr>
            <w:r w:rsidRPr="00926F95">
              <w:rPr>
                <w:sz w:val="20"/>
              </w:rPr>
              <w:t>Certa</w:t>
            </w:r>
          </w:p>
        </w:tc>
      </w:tr>
    </w:tbl>
    <w:p w:rsidR="00F711E8" w:rsidRPr="00926F95" w:rsidRDefault="00F711E8" w:rsidP="00C9459C">
      <w:pPr>
        <w:spacing w:line="240" w:lineRule="auto"/>
        <w:jc w:val="center"/>
      </w:pPr>
    </w:p>
    <w:tbl>
      <w:tblPr>
        <w:tblW w:w="0" w:type="auto"/>
        <w:jc w:val="center"/>
        <w:tblInd w:w="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41"/>
        <w:gridCol w:w="1754"/>
        <w:gridCol w:w="1560"/>
        <w:gridCol w:w="1505"/>
        <w:gridCol w:w="1506"/>
      </w:tblGrid>
      <w:tr w:rsidR="00F711E8" w:rsidRPr="00926F95" w:rsidTr="008204B6">
        <w:trPr>
          <w:trHeight w:hRule="exact" w:val="567"/>
          <w:jc w:val="center"/>
        </w:trPr>
        <w:tc>
          <w:tcPr>
            <w:tcW w:w="2641" w:type="dxa"/>
            <w:shd w:val="clear" w:color="auto" w:fill="D9D9D9" w:themeFill="background1" w:themeFillShade="D9"/>
            <w:vAlign w:val="center"/>
          </w:tcPr>
          <w:p w:rsidR="00F711E8" w:rsidRPr="00926F95" w:rsidRDefault="00F711E8" w:rsidP="00F711E8">
            <w:pPr>
              <w:spacing w:line="240" w:lineRule="auto"/>
              <w:jc w:val="center"/>
              <w:rPr>
                <w:b/>
                <w:sz w:val="20"/>
              </w:rPr>
            </w:pPr>
            <w:r w:rsidRPr="00926F95">
              <w:rPr>
                <w:b/>
                <w:sz w:val="20"/>
              </w:rPr>
              <w:t>Época de Ocorrência</w:t>
            </w:r>
          </w:p>
        </w:tc>
        <w:tc>
          <w:tcPr>
            <w:tcW w:w="1754" w:type="dxa"/>
            <w:shd w:val="clear" w:color="auto" w:fill="D9D9D9" w:themeFill="background1" w:themeFillShade="D9"/>
            <w:vAlign w:val="center"/>
          </w:tcPr>
          <w:p w:rsidR="00F711E8" w:rsidRPr="00926F95" w:rsidRDefault="00F711E8" w:rsidP="00F711E8">
            <w:pPr>
              <w:spacing w:line="240" w:lineRule="auto"/>
              <w:jc w:val="center"/>
              <w:rPr>
                <w:b/>
                <w:sz w:val="20"/>
              </w:rPr>
            </w:pPr>
            <w:r w:rsidRPr="00926F95">
              <w:rPr>
                <w:b/>
                <w:sz w:val="20"/>
              </w:rPr>
              <w:t>Reversibilidade</w:t>
            </w:r>
          </w:p>
        </w:tc>
        <w:tc>
          <w:tcPr>
            <w:tcW w:w="1560" w:type="dxa"/>
            <w:shd w:val="clear" w:color="auto" w:fill="D9D9D9" w:themeFill="background1" w:themeFillShade="D9"/>
            <w:vAlign w:val="center"/>
          </w:tcPr>
          <w:p w:rsidR="00F711E8" w:rsidRPr="00926F95" w:rsidRDefault="00F711E8" w:rsidP="00F711E8">
            <w:pPr>
              <w:spacing w:line="240" w:lineRule="auto"/>
              <w:jc w:val="center"/>
              <w:rPr>
                <w:b/>
                <w:sz w:val="20"/>
              </w:rPr>
            </w:pPr>
            <w:r w:rsidRPr="00926F95">
              <w:rPr>
                <w:b/>
                <w:sz w:val="20"/>
              </w:rPr>
              <w:t>Magnitude</w:t>
            </w:r>
          </w:p>
        </w:tc>
        <w:tc>
          <w:tcPr>
            <w:tcW w:w="1505" w:type="dxa"/>
            <w:shd w:val="clear" w:color="auto" w:fill="D9D9D9" w:themeFill="background1" w:themeFillShade="D9"/>
            <w:vAlign w:val="center"/>
          </w:tcPr>
          <w:p w:rsidR="00F711E8" w:rsidRPr="00926F95" w:rsidRDefault="00F711E8" w:rsidP="00F711E8">
            <w:pPr>
              <w:spacing w:line="240" w:lineRule="auto"/>
              <w:jc w:val="center"/>
              <w:rPr>
                <w:b/>
                <w:sz w:val="20"/>
              </w:rPr>
            </w:pPr>
            <w:r w:rsidRPr="00926F95">
              <w:rPr>
                <w:b/>
                <w:sz w:val="20"/>
              </w:rPr>
              <w:t>Importância</w:t>
            </w:r>
          </w:p>
        </w:tc>
        <w:tc>
          <w:tcPr>
            <w:tcW w:w="1506" w:type="dxa"/>
            <w:shd w:val="clear" w:color="auto" w:fill="D9D9D9" w:themeFill="background1" w:themeFillShade="D9"/>
            <w:vAlign w:val="center"/>
          </w:tcPr>
          <w:p w:rsidR="00F711E8" w:rsidRPr="00926F95" w:rsidRDefault="00F711E8" w:rsidP="00F711E8">
            <w:pPr>
              <w:spacing w:line="240" w:lineRule="auto"/>
              <w:jc w:val="center"/>
              <w:rPr>
                <w:b/>
                <w:sz w:val="20"/>
              </w:rPr>
            </w:pPr>
            <w:r w:rsidRPr="00926F95">
              <w:rPr>
                <w:b/>
                <w:sz w:val="20"/>
              </w:rPr>
              <w:t>Mitigação</w:t>
            </w:r>
          </w:p>
        </w:tc>
      </w:tr>
      <w:tr w:rsidR="00F711E8" w:rsidRPr="00926F95" w:rsidTr="003A422E">
        <w:trPr>
          <w:trHeight w:hRule="exact" w:val="463"/>
          <w:jc w:val="center"/>
        </w:trPr>
        <w:tc>
          <w:tcPr>
            <w:tcW w:w="2641" w:type="dxa"/>
            <w:shd w:val="clear" w:color="auto" w:fill="auto"/>
            <w:vAlign w:val="center"/>
          </w:tcPr>
          <w:p w:rsidR="00F711E8" w:rsidRPr="00926F95" w:rsidRDefault="000E5772" w:rsidP="00F711E8">
            <w:pPr>
              <w:spacing w:line="240" w:lineRule="auto"/>
              <w:jc w:val="center"/>
              <w:rPr>
                <w:sz w:val="20"/>
              </w:rPr>
            </w:pPr>
            <w:r>
              <w:rPr>
                <w:sz w:val="20"/>
              </w:rPr>
              <w:t xml:space="preserve">Curto e </w:t>
            </w:r>
            <w:r w:rsidR="00F711E8" w:rsidRPr="00926F95">
              <w:rPr>
                <w:sz w:val="20"/>
              </w:rPr>
              <w:t>Médio Prazo</w:t>
            </w:r>
          </w:p>
        </w:tc>
        <w:tc>
          <w:tcPr>
            <w:tcW w:w="1754" w:type="dxa"/>
            <w:shd w:val="clear" w:color="auto" w:fill="auto"/>
            <w:vAlign w:val="center"/>
          </w:tcPr>
          <w:p w:rsidR="00F711E8" w:rsidRPr="00926F95" w:rsidRDefault="00F711E8" w:rsidP="00F711E8">
            <w:pPr>
              <w:spacing w:line="240" w:lineRule="auto"/>
              <w:jc w:val="center"/>
              <w:rPr>
                <w:sz w:val="20"/>
              </w:rPr>
            </w:pPr>
            <w:r w:rsidRPr="00926F95">
              <w:rPr>
                <w:sz w:val="20"/>
              </w:rPr>
              <w:t>Reversível</w:t>
            </w:r>
          </w:p>
        </w:tc>
        <w:tc>
          <w:tcPr>
            <w:tcW w:w="1560" w:type="dxa"/>
            <w:shd w:val="clear" w:color="auto" w:fill="auto"/>
            <w:vAlign w:val="center"/>
          </w:tcPr>
          <w:p w:rsidR="00F711E8" w:rsidRPr="00926F95" w:rsidRDefault="000E5772" w:rsidP="00F711E8">
            <w:pPr>
              <w:spacing w:line="240" w:lineRule="auto"/>
              <w:jc w:val="center"/>
              <w:rPr>
                <w:sz w:val="20"/>
              </w:rPr>
            </w:pPr>
            <w:r>
              <w:rPr>
                <w:sz w:val="20"/>
              </w:rPr>
              <w:t>Grande</w:t>
            </w:r>
          </w:p>
        </w:tc>
        <w:tc>
          <w:tcPr>
            <w:tcW w:w="1505" w:type="dxa"/>
            <w:shd w:val="clear" w:color="auto" w:fill="auto"/>
            <w:vAlign w:val="center"/>
          </w:tcPr>
          <w:p w:rsidR="00F711E8" w:rsidRPr="00926F95" w:rsidRDefault="00F711E8" w:rsidP="00F711E8">
            <w:pPr>
              <w:spacing w:line="240" w:lineRule="auto"/>
              <w:jc w:val="center"/>
              <w:rPr>
                <w:sz w:val="20"/>
              </w:rPr>
            </w:pPr>
            <w:r w:rsidRPr="00926F95">
              <w:rPr>
                <w:sz w:val="20"/>
              </w:rPr>
              <w:t>Alta</w:t>
            </w:r>
          </w:p>
        </w:tc>
        <w:tc>
          <w:tcPr>
            <w:tcW w:w="1506" w:type="dxa"/>
            <w:shd w:val="clear" w:color="auto" w:fill="auto"/>
            <w:vAlign w:val="center"/>
          </w:tcPr>
          <w:p w:rsidR="00F711E8" w:rsidRPr="00926F95" w:rsidRDefault="00F711E8" w:rsidP="00F711E8">
            <w:pPr>
              <w:spacing w:line="240" w:lineRule="auto"/>
              <w:jc w:val="center"/>
              <w:rPr>
                <w:sz w:val="20"/>
              </w:rPr>
            </w:pPr>
            <w:r w:rsidRPr="00926F95">
              <w:rPr>
                <w:sz w:val="20"/>
              </w:rPr>
              <w:t>Mitigável</w:t>
            </w:r>
          </w:p>
        </w:tc>
      </w:tr>
    </w:tbl>
    <w:p w:rsidR="00F711E8" w:rsidRPr="00926F95" w:rsidRDefault="00BD074C" w:rsidP="003C4386">
      <w:pPr>
        <w:spacing w:before="240" w:after="120" w:line="240" w:lineRule="auto"/>
        <w:rPr>
          <w:b/>
        </w:rPr>
      </w:pPr>
      <w:r w:rsidRPr="00926F95">
        <w:rPr>
          <w:b/>
        </w:rPr>
        <w:t>Ações Ambientais Propostas</w:t>
      </w:r>
    </w:p>
    <w:p w:rsidR="00F711E8" w:rsidRDefault="00F711E8" w:rsidP="00F711E8">
      <w:pPr>
        <w:spacing w:before="120" w:after="120" w:line="240" w:lineRule="auto"/>
        <w:rPr>
          <w:rFonts w:cs="Arial"/>
          <w:szCs w:val="22"/>
        </w:rPr>
      </w:pPr>
      <w:r w:rsidRPr="00926F95">
        <w:t xml:space="preserve">Medidas adotadas em um programa ambiental apresentado nos estudos permitirão mitigar os efeitos dos impactos sobre as Mudanças na Composição e Estrutura da Comunidade Ictíica provocadas pelas interferências decorrentes da supressão da vegetação na área de implantação dos empreendimentos como o </w:t>
      </w:r>
      <w:r w:rsidRPr="00926F95">
        <w:rPr>
          <w:rFonts w:cs="Arial"/>
          <w:szCs w:val="22"/>
        </w:rPr>
        <w:t>Programa de Reflorestamento da Área de Preservação Permanente no Entorno dos Reservatórios.</w:t>
      </w:r>
    </w:p>
    <w:p w:rsidR="00926F95" w:rsidRPr="005171B6" w:rsidRDefault="00977D4A" w:rsidP="002C0D71">
      <w:pPr>
        <w:pStyle w:val="Ttulo3"/>
      </w:pPr>
      <w:bookmarkStart w:id="339" w:name="_Toc418758244"/>
      <w:bookmarkStart w:id="340" w:name="_Toc418758846"/>
      <w:bookmarkStart w:id="341" w:name="_Toc419813606"/>
      <w:r w:rsidRPr="005171B6">
        <w:t>1.3.2.1</w:t>
      </w:r>
      <w:r w:rsidR="008C5DE8" w:rsidRPr="005171B6">
        <w:t>5</w:t>
      </w:r>
      <w:r w:rsidRPr="005171B6">
        <w:t xml:space="preserve">. </w:t>
      </w:r>
      <w:r w:rsidR="00926F95" w:rsidRPr="005171B6">
        <w:t>Impacto na Ictiofauna pela Implanta</w:t>
      </w:r>
      <w:r w:rsidR="00926F95" w:rsidRPr="005171B6">
        <w:rPr>
          <w:rFonts w:hint="eastAsia"/>
        </w:rPr>
        <w:t>çã</w:t>
      </w:r>
      <w:r w:rsidR="00926F95" w:rsidRPr="005171B6">
        <w:t>o das Ensecadeiras</w:t>
      </w:r>
      <w:bookmarkEnd w:id="339"/>
      <w:bookmarkEnd w:id="340"/>
      <w:bookmarkEnd w:id="341"/>
    </w:p>
    <w:p w:rsidR="000E5772" w:rsidRPr="000E5772" w:rsidRDefault="000E5772" w:rsidP="00926F95">
      <w:pPr>
        <w:spacing w:before="120" w:after="120" w:line="240" w:lineRule="auto"/>
        <w:rPr>
          <w:b/>
        </w:rPr>
      </w:pPr>
      <w:r w:rsidRPr="000E5772">
        <w:rPr>
          <w:b/>
        </w:rPr>
        <w:t>Fase: Implantação</w:t>
      </w:r>
    </w:p>
    <w:p w:rsidR="00926F95" w:rsidRPr="00926F95" w:rsidRDefault="00926F95" w:rsidP="00926F95">
      <w:pPr>
        <w:spacing w:before="120" w:after="120" w:line="240" w:lineRule="auto"/>
      </w:pPr>
      <w:r w:rsidRPr="00926F95">
        <w:t xml:space="preserve">Dentre os diversos impactos que ocorrerão na fase de implantação dos represamentos, pode-se destacar aquele decorrente das atividades de instalação e esgotamento da água das ensecadeiras. </w:t>
      </w:r>
    </w:p>
    <w:p w:rsidR="00926F95" w:rsidRPr="00926F95" w:rsidRDefault="00926F95" w:rsidP="00926F95">
      <w:pPr>
        <w:spacing w:before="120" w:after="120" w:line="240" w:lineRule="auto"/>
      </w:pPr>
      <w:r w:rsidRPr="00926F95">
        <w:t xml:space="preserve">Os impactos associados ao uso destas estruturas estão relacionados à movimentação de terra e incremento na turbidez que, se for intensa, pode ter efeito negativo sobre os peixes pelo eventual colapso de suas brânquias, com reflexos negativos também sobre ovos larvas e estágios juvenis da fauna ictíica, além das formas adultas. </w:t>
      </w:r>
    </w:p>
    <w:p w:rsidR="00926F95" w:rsidRPr="00926F95" w:rsidRDefault="00926F95" w:rsidP="00926F95">
      <w:pPr>
        <w:spacing w:before="120" w:after="120" w:line="240" w:lineRule="auto"/>
      </w:pPr>
      <w:r w:rsidRPr="00926F95">
        <w:t>Outro impacto associado às ensecadeiras está relacionado à constrição na largura dos rios que pode aumentar demais a velocidade de água, com efeito adverso ao deslocamento de peixes que apresentam diferentes capacidades natatórias, pelo menos de parte das espécies, para os trechos situados a montante.</w:t>
      </w:r>
    </w:p>
    <w:p w:rsidR="00926F95" w:rsidRPr="00926F95" w:rsidRDefault="00926F95" w:rsidP="00926F95">
      <w:pPr>
        <w:spacing w:before="120" w:after="120" w:line="240" w:lineRule="auto"/>
      </w:pPr>
      <w:r w:rsidRPr="00926F95">
        <w:t xml:space="preserve">Entretanto, um dos efeitos mais adversos das ensecadeiras deve-se à retenção de peixes para o interior destas estruturas durante sua implantação, levando ao confinamento desses animais, às vezes em densidades muito altas, com consequente morte por asfixia já que o consumo de oxigênio se torna excessivo e insuficiente para os peixes retidos. </w:t>
      </w:r>
    </w:p>
    <w:p w:rsidR="00926F95" w:rsidRPr="00926F95" w:rsidRDefault="00926F95" w:rsidP="00926F95">
      <w:pPr>
        <w:spacing w:before="120" w:after="120" w:line="240" w:lineRule="auto"/>
        <w:rPr>
          <w:rFonts w:cs="Arial"/>
          <w:szCs w:val="22"/>
        </w:rPr>
      </w:pPr>
      <w:r w:rsidRPr="00926F95">
        <w:rPr>
          <w:rFonts w:cs="Arial"/>
          <w:szCs w:val="22"/>
        </w:rPr>
        <w:t>Assim, diante do exposto, conclui-se que o impacto sobre parte da ictiofauna será de abrangência local, sendo um impacto negativo, de incidência direta, com temporalidade imediata e manifestação descontínua</w:t>
      </w:r>
      <w:r w:rsidR="000E5772">
        <w:rPr>
          <w:rFonts w:cs="Arial"/>
          <w:szCs w:val="22"/>
        </w:rPr>
        <w:t xml:space="preserve"> (temporária)</w:t>
      </w:r>
      <w:r w:rsidRPr="00926F95">
        <w:rPr>
          <w:rFonts w:cs="Arial"/>
          <w:szCs w:val="22"/>
        </w:rPr>
        <w:t>, ocorrência certa</w:t>
      </w:r>
      <w:r w:rsidR="000E5772">
        <w:rPr>
          <w:rFonts w:cs="Arial"/>
          <w:szCs w:val="22"/>
        </w:rPr>
        <w:t xml:space="preserve"> a curto prazo</w:t>
      </w:r>
      <w:r w:rsidRPr="00926F95">
        <w:rPr>
          <w:rFonts w:cs="Arial"/>
          <w:szCs w:val="22"/>
        </w:rPr>
        <w:t>, sendo a espacialização difusa, reversível e de média importância</w:t>
      </w:r>
      <w:r w:rsidR="000E5772">
        <w:rPr>
          <w:rFonts w:cs="Arial"/>
          <w:szCs w:val="22"/>
        </w:rPr>
        <w:t xml:space="preserve"> e grande magnitude</w:t>
      </w:r>
      <w:r w:rsidRPr="00926F95">
        <w:rPr>
          <w:rFonts w:cs="Arial"/>
          <w:szCs w:val="22"/>
        </w:rPr>
        <w:t>.</w:t>
      </w:r>
    </w:p>
    <w:p w:rsidR="00926F95" w:rsidRPr="00C37DA1" w:rsidRDefault="00B44C8E" w:rsidP="00C37DA1">
      <w:pPr>
        <w:pStyle w:val="Legenda"/>
        <w:spacing w:line="240" w:lineRule="auto"/>
        <w:jc w:val="center"/>
        <w:rPr>
          <w:b w:val="0"/>
          <w:i w:val="0"/>
        </w:rPr>
      </w:pPr>
      <w:bookmarkStart w:id="342" w:name="_Toc420316515"/>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72</w:t>
      </w:r>
      <w:r w:rsidR="00B80A05" w:rsidRPr="00C37DA1">
        <w:rPr>
          <w:i w:val="0"/>
        </w:rPr>
        <w:fldChar w:fldCharType="end"/>
      </w:r>
      <w:r w:rsidR="00C37DA1" w:rsidRPr="00C37DA1">
        <w:rPr>
          <w:i w:val="0"/>
        </w:rPr>
        <w:t>.</w:t>
      </w:r>
      <w:r w:rsidR="00C37DA1" w:rsidRPr="00C37DA1">
        <w:rPr>
          <w:b w:val="0"/>
          <w:i w:val="0"/>
        </w:rPr>
        <w:t xml:space="preserve"> - </w:t>
      </w:r>
      <w:r w:rsidR="00926F95" w:rsidRPr="00C37DA1">
        <w:rPr>
          <w:b w:val="0"/>
          <w:i w:val="0"/>
        </w:rPr>
        <w:t xml:space="preserve">Caracterização do Impacto – </w:t>
      </w:r>
      <w:r w:rsidR="00926F95" w:rsidRPr="00C37DA1">
        <w:rPr>
          <w:rFonts w:cs="Arial"/>
          <w:b w:val="0"/>
          <w:i w:val="0"/>
          <w:szCs w:val="22"/>
        </w:rPr>
        <w:t>Impacto na Ictiofauna pela Implantação das Ensecadeiras</w:t>
      </w:r>
      <w:r w:rsidR="0086474A" w:rsidRPr="00C37DA1">
        <w:rPr>
          <w:rFonts w:cs="Arial"/>
          <w:b w:val="0"/>
          <w:i w:val="0"/>
          <w:szCs w:val="22"/>
        </w:rPr>
        <w:t xml:space="preserve"> </w:t>
      </w:r>
      <w:r w:rsidR="0086474A" w:rsidRPr="00C37DA1">
        <w:rPr>
          <w:rFonts w:cs="Arial"/>
          <w:b w:val="0"/>
          <w:bCs/>
          <w:i w:val="0"/>
          <w:szCs w:val="22"/>
        </w:rPr>
        <w:t>– Barragem Pedreira e Duas Pontes</w:t>
      </w:r>
      <w:bookmarkEnd w:id="342"/>
    </w:p>
    <w:tbl>
      <w:tblPr>
        <w:tblW w:w="0" w:type="auto"/>
        <w:jc w:val="center"/>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5"/>
        <w:gridCol w:w="1206"/>
        <w:gridCol w:w="1842"/>
        <w:gridCol w:w="1560"/>
        <w:gridCol w:w="2975"/>
      </w:tblGrid>
      <w:tr w:rsidR="00926F95" w:rsidRPr="00926F95" w:rsidTr="008204B6">
        <w:trPr>
          <w:trHeight w:hRule="exact" w:val="567"/>
          <w:jc w:val="center"/>
        </w:trPr>
        <w:tc>
          <w:tcPr>
            <w:tcW w:w="1205" w:type="dxa"/>
            <w:shd w:val="clear" w:color="auto" w:fill="D9D9D9" w:themeFill="background1" w:themeFillShade="D9"/>
            <w:vAlign w:val="center"/>
          </w:tcPr>
          <w:p w:rsidR="00926F95" w:rsidRPr="00926F95" w:rsidRDefault="00926F95" w:rsidP="003A422E">
            <w:pPr>
              <w:spacing w:line="240" w:lineRule="auto"/>
              <w:jc w:val="center"/>
              <w:rPr>
                <w:b/>
                <w:sz w:val="20"/>
              </w:rPr>
            </w:pPr>
            <w:r w:rsidRPr="00926F95">
              <w:rPr>
                <w:b/>
                <w:sz w:val="20"/>
              </w:rPr>
              <w:t>Natureza</w:t>
            </w:r>
          </w:p>
        </w:tc>
        <w:tc>
          <w:tcPr>
            <w:tcW w:w="1206" w:type="dxa"/>
            <w:shd w:val="clear" w:color="auto" w:fill="D9D9D9" w:themeFill="background1" w:themeFillShade="D9"/>
            <w:vAlign w:val="center"/>
          </w:tcPr>
          <w:p w:rsidR="00926F95" w:rsidRPr="00926F95" w:rsidRDefault="00926F95" w:rsidP="003A422E">
            <w:pPr>
              <w:spacing w:line="240" w:lineRule="auto"/>
              <w:jc w:val="center"/>
              <w:rPr>
                <w:b/>
                <w:sz w:val="20"/>
              </w:rPr>
            </w:pPr>
            <w:r w:rsidRPr="00926F95">
              <w:rPr>
                <w:b/>
                <w:sz w:val="20"/>
              </w:rPr>
              <w:t>Ordem</w:t>
            </w:r>
          </w:p>
        </w:tc>
        <w:tc>
          <w:tcPr>
            <w:tcW w:w="1842" w:type="dxa"/>
            <w:shd w:val="clear" w:color="auto" w:fill="D9D9D9" w:themeFill="background1" w:themeFillShade="D9"/>
            <w:vAlign w:val="center"/>
          </w:tcPr>
          <w:p w:rsidR="00926F95" w:rsidRPr="00926F95" w:rsidRDefault="00926F95" w:rsidP="003A422E">
            <w:pPr>
              <w:spacing w:line="240" w:lineRule="auto"/>
              <w:jc w:val="center"/>
              <w:rPr>
                <w:b/>
                <w:sz w:val="20"/>
              </w:rPr>
            </w:pPr>
            <w:r w:rsidRPr="00926F95">
              <w:rPr>
                <w:b/>
                <w:sz w:val="20"/>
              </w:rPr>
              <w:t>Abrangência</w:t>
            </w:r>
          </w:p>
        </w:tc>
        <w:tc>
          <w:tcPr>
            <w:tcW w:w="1560" w:type="dxa"/>
            <w:shd w:val="clear" w:color="auto" w:fill="D9D9D9" w:themeFill="background1" w:themeFillShade="D9"/>
            <w:vAlign w:val="center"/>
          </w:tcPr>
          <w:p w:rsidR="00926F95" w:rsidRPr="00926F95" w:rsidRDefault="00926F95" w:rsidP="003A422E">
            <w:pPr>
              <w:spacing w:line="240" w:lineRule="auto"/>
              <w:jc w:val="center"/>
              <w:rPr>
                <w:b/>
                <w:sz w:val="20"/>
              </w:rPr>
            </w:pPr>
            <w:r w:rsidRPr="00926F95">
              <w:rPr>
                <w:b/>
                <w:sz w:val="20"/>
              </w:rPr>
              <w:t>Duração</w:t>
            </w:r>
          </w:p>
        </w:tc>
        <w:tc>
          <w:tcPr>
            <w:tcW w:w="2975" w:type="dxa"/>
            <w:shd w:val="clear" w:color="auto" w:fill="D9D9D9" w:themeFill="background1" w:themeFillShade="D9"/>
            <w:vAlign w:val="center"/>
          </w:tcPr>
          <w:p w:rsidR="00926F95" w:rsidRPr="00926F95" w:rsidRDefault="00926F95" w:rsidP="003A422E">
            <w:pPr>
              <w:spacing w:line="240" w:lineRule="auto"/>
              <w:jc w:val="center"/>
              <w:rPr>
                <w:b/>
                <w:sz w:val="20"/>
              </w:rPr>
            </w:pPr>
            <w:r w:rsidRPr="00926F95">
              <w:rPr>
                <w:b/>
                <w:sz w:val="20"/>
              </w:rPr>
              <w:t>Probabilidade de Ocorrência</w:t>
            </w:r>
          </w:p>
        </w:tc>
      </w:tr>
      <w:tr w:rsidR="00926F95" w:rsidRPr="00926F95" w:rsidTr="003A422E">
        <w:trPr>
          <w:trHeight w:hRule="exact" w:val="482"/>
          <w:jc w:val="center"/>
        </w:trPr>
        <w:tc>
          <w:tcPr>
            <w:tcW w:w="1205" w:type="dxa"/>
            <w:shd w:val="clear" w:color="auto" w:fill="auto"/>
            <w:vAlign w:val="center"/>
          </w:tcPr>
          <w:p w:rsidR="00926F95" w:rsidRPr="00926F95" w:rsidRDefault="00926F95" w:rsidP="003A422E">
            <w:pPr>
              <w:spacing w:line="240" w:lineRule="auto"/>
              <w:jc w:val="center"/>
              <w:rPr>
                <w:sz w:val="20"/>
              </w:rPr>
            </w:pPr>
            <w:r w:rsidRPr="00926F95">
              <w:rPr>
                <w:sz w:val="20"/>
              </w:rPr>
              <w:t>Negativa</w:t>
            </w:r>
          </w:p>
        </w:tc>
        <w:tc>
          <w:tcPr>
            <w:tcW w:w="1206" w:type="dxa"/>
            <w:shd w:val="clear" w:color="auto" w:fill="auto"/>
            <w:vAlign w:val="center"/>
          </w:tcPr>
          <w:p w:rsidR="00926F95" w:rsidRPr="00926F95" w:rsidRDefault="00926F95" w:rsidP="003A422E">
            <w:pPr>
              <w:spacing w:line="240" w:lineRule="auto"/>
              <w:jc w:val="center"/>
              <w:rPr>
                <w:sz w:val="20"/>
              </w:rPr>
            </w:pPr>
            <w:r w:rsidRPr="00926F95">
              <w:rPr>
                <w:sz w:val="20"/>
              </w:rPr>
              <w:t>Direta</w:t>
            </w:r>
          </w:p>
        </w:tc>
        <w:tc>
          <w:tcPr>
            <w:tcW w:w="1842" w:type="dxa"/>
            <w:shd w:val="clear" w:color="auto" w:fill="auto"/>
            <w:vAlign w:val="center"/>
          </w:tcPr>
          <w:p w:rsidR="00926F95" w:rsidRPr="00926F95" w:rsidRDefault="00926F95" w:rsidP="003A422E">
            <w:pPr>
              <w:spacing w:line="240" w:lineRule="auto"/>
              <w:jc w:val="center"/>
              <w:rPr>
                <w:sz w:val="20"/>
              </w:rPr>
            </w:pPr>
            <w:r w:rsidRPr="00926F95">
              <w:rPr>
                <w:sz w:val="20"/>
              </w:rPr>
              <w:t>Local</w:t>
            </w:r>
          </w:p>
        </w:tc>
        <w:tc>
          <w:tcPr>
            <w:tcW w:w="1560" w:type="dxa"/>
            <w:shd w:val="clear" w:color="auto" w:fill="auto"/>
            <w:vAlign w:val="center"/>
          </w:tcPr>
          <w:p w:rsidR="00926F95" w:rsidRPr="00926F95" w:rsidRDefault="000E5772" w:rsidP="003A422E">
            <w:pPr>
              <w:spacing w:line="240" w:lineRule="auto"/>
              <w:jc w:val="center"/>
              <w:rPr>
                <w:sz w:val="20"/>
              </w:rPr>
            </w:pPr>
            <w:r>
              <w:rPr>
                <w:sz w:val="20"/>
              </w:rPr>
              <w:t>Temporária</w:t>
            </w:r>
          </w:p>
        </w:tc>
        <w:tc>
          <w:tcPr>
            <w:tcW w:w="2975" w:type="dxa"/>
            <w:shd w:val="clear" w:color="auto" w:fill="auto"/>
            <w:vAlign w:val="center"/>
          </w:tcPr>
          <w:p w:rsidR="00926F95" w:rsidRPr="00926F95" w:rsidRDefault="00926F95" w:rsidP="003A422E">
            <w:pPr>
              <w:spacing w:line="240" w:lineRule="auto"/>
              <w:jc w:val="center"/>
              <w:rPr>
                <w:sz w:val="20"/>
              </w:rPr>
            </w:pPr>
            <w:r w:rsidRPr="00926F95">
              <w:rPr>
                <w:sz w:val="20"/>
              </w:rPr>
              <w:t>Certa</w:t>
            </w:r>
          </w:p>
        </w:tc>
      </w:tr>
    </w:tbl>
    <w:p w:rsidR="00926F95" w:rsidRPr="00926F95" w:rsidRDefault="00926F95" w:rsidP="003A422E">
      <w:pPr>
        <w:spacing w:line="240" w:lineRule="auto"/>
      </w:pPr>
    </w:p>
    <w:tbl>
      <w:tblPr>
        <w:tblW w:w="0" w:type="auto"/>
        <w:jc w:val="center"/>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6"/>
        <w:gridCol w:w="1842"/>
        <w:gridCol w:w="1560"/>
        <w:gridCol w:w="1480"/>
        <w:gridCol w:w="1480"/>
      </w:tblGrid>
      <w:tr w:rsidR="00926F95" w:rsidRPr="00926F95" w:rsidTr="008204B6">
        <w:trPr>
          <w:trHeight w:hRule="exact" w:val="567"/>
          <w:jc w:val="center"/>
        </w:trPr>
        <w:tc>
          <w:tcPr>
            <w:tcW w:w="2396" w:type="dxa"/>
            <w:shd w:val="clear" w:color="auto" w:fill="D9D9D9" w:themeFill="background1" w:themeFillShade="D9"/>
            <w:vAlign w:val="center"/>
          </w:tcPr>
          <w:p w:rsidR="00926F95" w:rsidRPr="00926F95" w:rsidRDefault="00926F95" w:rsidP="003A422E">
            <w:pPr>
              <w:spacing w:line="240" w:lineRule="auto"/>
              <w:jc w:val="center"/>
              <w:rPr>
                <w:b/>
                <w:sz w:val="20"/>
              </w:rPr>
            </w:pPr>
            <w:r w:rsidRPr="00926F95">
              <w:rPr>
                <w:b/>
                <w:sz w:val="20"/>
              </w:rPr>
              <w:t>Época de Ocorrência</w:t>
            </w:r>
          </w:p>
        </w:tc>
        <w:tc>
          <w:tcPr>
            <w:tcW w:w="1842" w:type="dxa"/>
            <w:shd w:val="clear" w:color="auto" w:fill="D9D9D9" w:themeFill="background1" w:themeFillShade="D9"/>
            <w:vAlign w:val="center"/>
          </w:tcPr>
          <w:p w:rsidR="00926F95" w:rsidRPr="00926F95" w:rsidRDefault="00926F95" w:rsidP="003A422E">
            <w:pPr>
              <w:spacing w:line="240" w:lineRule="auto"/>
              <w:jc w:val="center"/>
              <w:rPr>
                <w:b/>
                <w:sz w:val="20"/>
              </w:rPr>
            </w:pPr>
            <w:r w:rsidRPr="00926F95">
              <w:rPr>
                <w:b/>
                <w:sz w:val="20"/>
              </w:rPr>
              <w:t>Reversibilidade</w:t>
            </w:r>
          </w:p>
        </w:tc>
        <w:tc>
          <w:tcPr>
            <w:tcW w:w="1560" w:type="dxa"/>
            <w:shd w:val="clear" w:color="auto" w:fill="D9D9D9" w:themeFill="background1" w:themeFillShade="D9"/>
            <w:vAlign w:val="center"/>
          </w:tcPr>
          <w:p w:rsidR="00926F95" w:rsidRPr="00926F95" w:rsidRDefault="00926F95" w:rsidP="003A422E">
            <w:pPr>
              <w:spacing w:line="240" w:lineRule="auto"/>
              <w:jc w:val="center"/>
              <w:rPr>
                <w:b/>
                <w:sz w:val="20"/>
              </w:rPr>
            </w:pPr>
            <w:r w:rsidRPr="00926F95">
              <w:rPr>
                <w:b/>
                <w:sz w:val="20"/>
              </w:rPr>
              <w:t>Magnitude</w:t>
            </w:r>
          </w:p>
        </w:tc>
        <w:tc>
          <w:tcPr>
            <w:tcW w:w="1480" w:type="dxa"/>
            <w:shd w:val="clear" w:color="auto" w:fill="D9D9D9" w:themeFill="background1" w:themeFillShade="D9"/>
            <w:vAlign w:val="center"/>
          </w:tcPr>
          <w:p w:rsidR="00926F95" w:rsidRPr="00926F95" w:rsidRDefault="00926F95" w:rsidP="003A422E">
            <w:pPr>
              <w:spacing w:line="240" w:lineRule="auto"/>
              <w:jc w:val="center"/>
              <w:rPr>
                <w:b/>
                <w:sz w:val="20"/>
              </w:rPr>
            </w:pPr>
            <w:r w:rsidRPr="00926F95">
              <w:rPr>
                <w:b/>
                <w:sz w:val="20"/>
              </w:rPr>
              <w:t>Importância</w:t>
            </w:r>
          </w:p>
        </w:tc>
        <w:tc>
          <w:tcPr>
            <w:tcW w:w="1480" w:type="dxa"/>
            <w:shd w:val="clear" w:color="auto" w:fill="D9D9D9" w:themeFill="background1" w:themeFillShade="D9"/>
            <w:vAlign w:val="center"/>
          </w:tcPr>
          <w:p w:rsidR="00926F95" w:rsidRPr="00926F95" w:rsidRDefault="00926F95" w:rsidP="003A422E">
            <w:pPr>
              <w:spacing w:line="240" w:lineRule="auto"/>
              <w:jc w:val="center"/>
              <w:rPr>
                <w:b/>
                <w:sz w:val="20"/>
              </w:rPr>
            </w:pPr>
            <w:r w:rsidRPr="00926F95">
              <w:rPr>
                <w:b/>
                <w:sz w:val="20"/>
              </w:rPr>
              <w:t>Mitigação</w:t>
            </w:r>
          </w:p>
        </w:tc>
      </w:tr>
      <w:tr w:rsidR="00926F95" w:rsidRPr="00926F95" w:rsidTr="003A422E">
        <w:trPr>
          <w:trHeight w:hRule="exact" w:val="541"/>
          <w:jc w:val="center"/>
        </w:trPr>
        <w:tc>
          <w:tcPr>
            <w:tcW w:w="2396" w:type="dxa"/>
            <w:shd w:val="clear" w:color="auto" w:fill="auto"/>
            <w:vAlign w:val="center"/>
          </w:tcPr>
          <w:p w:rsidR="00926F95" w:rsidRPr="00926F95" w:rsidRDefault="00926F95" w:rsidP="003A422E">
            <w:pPr>
              <w:spacing w:line="240" w:lineRule="auto"/>
              <w:jc w:val="center"/>
              <w:rPr>
                <w:sz w:val="20"/>
              </w:rPr>
            </w:pPr>
            <w:r w:rsidRPr="00926F95">
              <w:rPr>
                <w:sz w:val="20"/>
              </w:rPr>
              <w:t>Curto Prazo</w:t>
            </w:r>
          </w:p>
        </w:tc>
        <w:tc>
          <w:tcPr>
            <w:tcW w:w="1842" w:type="dxa"/>
            <w:shd w:val="clear" w:color="auto" w:fill="auto"/>
            <w:vAlign w:val="center"/>
          </w:tcPr>
          <w:p w:rsidR="00926F95" w:rsidRPr="00926F95" w:rsidRDefault="00926F95" w:rsidP="003A422E">
            <w:pPr>
              <w:spacing w:line="240" w:lineRule="auto"/>
              <w:jc w:val="center"/>
              <w:rPr>
                <w:sz w:val="20"/>
              </w:rPr>
            </w:pPr>
            <w:r w:rsidRPr="00926F95">
              <w:rPr>
                <w:sz w:val="20"/>
              </w:rPr>
              <w:t>Reversível</w:t>
            </w:r>
          </w:p>
        </w:tc>
        <w:tc>
          <w:tcPr>
            <w:tcW w:w="1560" w:type="dxa"/>
            <w:shd w:val="clear" w:color="auto" w:fill="auto"/>
            <w:vAlign w:val="center"/>
          </w:tcPr>
          <w:p w:rsidR="00926F95" w:rsidRPr="00926F95" w:rsidRDefault="000E5772" w:rsidP="003A422E">
            <w:pPr>
              <w:spacing w:line="240" w:lineRule="auto"/>
              <w:jc w:val="center"/>
              <w:rPr>
                <w:sz w:val="20"/>
              </w:rPr>
            </w:pPr>
            <w:r>
              <w:rPr>
                <w:sz w:val="20"/>
              </w:rPr>
              <w:t>Grande</w:t>
            </w:r>
          </w:p>
        </w:tc>
        <w:tc>
          <w:tcPr>
            <w:tcW w:w="1480" w:type="dxa"/>
            <w:shd w:val="clear" w:color="auto" w:fill="auto"/>
            <w:vAlign w:val="center"/>
          </w:tcPr>
          <w:p w:rsidR="00926F95" w:rsidRPr="00926F95" w:rsidRDefault="00926F95" w:rsidP="003A422E">
            <w:pPr>
              <w:spacing w:line="240" w:lineRule="auto"/>
              <w:jc w:val="center"/>
              <w:rPr>
                <w:sz w:val="20"/>
              </w:rPr>
            </w:pPr>
            <w:r w:rsidRPr="00926F95">
              <w:rPr>
                <w:sz w:val="20"/>
              </w:rPr>
              <w:t>Média</w:t>
            </w:r>
          </w:p>
        </w:tc>
        <w:tc>
          <w:tcPr>
            <w:tcW w:w="1480" w:type="dxa"/>
            <w:shd w:val="clear" w:color="auto" w:fill="auto"/>
            <w:vAlign w:val="center"/>
          </w:tcPr>
          <w:p w:rsidR="00926F95" w:rsidRPr="00926F95" w:rsidRDefault="00926F95" w:rsidP="003A422E">
            <w:pPr>
              <w:spacing w:line="240" w:lineRule="auto"/>
              <w:jc w:val="center"/>
              <w:rPr>
                <w:sz w:val="20"/>
              </w:rPr>
            </w:pPr>
            <w:r w:rsidRPr="00926F95">
              <w:rPr>
                <w:sz w:val="20"/>
              </w:rPr>
              <w:t xml:space="preserve"> Mitigável</w:t>
            </w:r>
          </w:p>
        </w:tc>
      </w:tr>
    </w:tbl>
    <w:p w:rsidR="0042690C" w:rsidRPr="00926F95" w:rsidRDefault="0042690C" w:rsidP="0042690C">
      <w:pPr>
        <w:spacing w:before="360" w:after="120" w:line="240" w:lineRule="auto"/>
        <w:rPr>
          <w:b/>
        </w:rPr>
      </w:pPr>
      <w:r w:rsidRPr="00926F95">
        <w:rPr>
          <w:b/>
        </w:rPr>
        <w:t>Ações Ambientais Propostas</w:t>
      </w:r>
    </w:p>
    <w:p w:rsidR="00926F95" w:rsidRPr="00926F95" w:rsidRDefault="00926F95" w:rsidP="00926F95">
      <w:pPr>
        <w:spacing w:before="120" w:after="120" w:line="240" w:lineRule="auto"/>
        <w:rPr>
          <w:rFonts w:cs="Arial"/>
          <w:szCs w:val="22"/>
        </w:rPr>
      </w:pPr>
      <w:r w:rsidRPr="00926F95">
        <w:t>Para diminuir e amenizar os efeitos d</w:t>
      </w:r>
      <w:r w:rsidR="0042690C">
        <w:t>o impacto</w:t>
      </w:r>
      <w:r w:rsidRPr="00926F95">
        <w:t xml:space="preserve"> que poderá ocorrer com parte da ictiofauna nativa durante a fase de desvio do rio pelo uso das ensecadeiras, será a implantação de um Subrograma de Salvamento de Peixes Retidos nas áreas das ensecadeiras. </w:t>
      </w:r>
    </w:p>
    <w:p w:rsidR="00926F95" w:rsidRPr="00926F95" w:rsidRDefault="00926F95" w:rsidP="00926F95">
      <w:pPr>
        <w:spacing w:before="120" w:after="120" w:line="240" w:lineRule="auto"/>
      </w:pPr>
      <w:r w:rsidRPr="00926F95">
        <w:t>As populações que deverão ser mais afetadas negativamente com os represamentos, e também nas áreas das ensecadeiras, serão as reófilas, sobretudo as migradoras de longas distâncias. As migradoras demandam amplas áreas livres para o deslocamento entre os hábitats de desova, desenvolvimento inicial, crescimento e áreas de alimentação. Apesar do impacto inicial é importante ressaltar que este é um processo de curta duração até o resgate dos peixes que ficaram aprisionados e o esvaziamento da área interna das ensecadeiras.</w:t>
      </w:r>
    </w:p>
    <w:p w:rsidR="00926F95" w:rsidRDefault="00926F95" w:rsidP="00926F95">
      <w:pPr>
        <w:spacing w:before="120" w:after="120" w:line="240" w:lineRule="auto"/>
        <w:rPr>
          <w:rFonts w:cs="Arial"/>
          <w:szCs w:val="22"/>
        </w:rPr>
      </w:pPr>
      <w:r w:rsidRPr="00926F95">
        <w:t xml:space="preserve">Dados obtidos no diagnóstico ambiental do rio Jaguari demonstraram que do </w:t>
      </w:r>
      <w:r w:rsidRPr="00926F95">
        <w:rPr>
          <w:rFonts w:cs="Arial"/>
          <w:szCs w:val="22"/>
        </w:rPr>
        <w:t xml:space="preserve">conjunto de espécies de ictiofauna inventariadas na bacia (31 espécies), 16% são migradoras de longa distância (L. </w:t>
      </w:r>
      <w:r w:rsidRPr="00926F95">
        <w:rPr>
          <w:rFonts w:cs="Arial"/>
          <w:i/>
          <w:szCs w:val="22"/>
        </w:rPr>
        <w:t>amblyrhynchus</w:t>
      </w:r>
      <w:r w:rsidRPr="00926F95">
        <w:rPr>
          <w:rFonts w:cs="Arial"/>
          <w:szCs w:val="22"/>
        </w:rPr>
        <w:t xml:space="preserve">; L. </w:t>
      </w:r>
      <w:r w:rsidRPr="00926F95">
        <w:rPr>
          <w:rFonts w:cs="Arial"/>
          <w:i/>
          <w:szCs w:val="22"/>
        </w:rPr>
        <w:t>octofasciatus</w:t>
      </w:r>
      <w:r w:rsidRPr="00926F95">
        <w:rPr>
          <w:rFonts w:cs="Arial"/>
          <w:szCs w:val="22"/>
        </w:rPr>
        <w:t xml:space="preserve">; S. </w:t>
      </w:r>
      <w:r w:rsidRPr="00926F95">
        <w:rPr>
          <w:rFonts w:cs="Arial"/>
          <w:i/>
          <w:szCs w:val="22"/>
        </w:rPr>
        <w:t>nasutus</w:t>
      </w:r>
      <w:r w:rsidRPr="00926F95">
        <w:rPr>
          <w:rFonts w:cs="Arial"/>
          <w:szCs w:val="22"/>
        </w:rPr>
        <w:t xml:space="preserve">; P. </w:t>
      </w:r>
      <w:r w:rsidRPr="00926F95">
        <w:rPr>
          <w:rFonts w:cs="Arial"/>
          <w:i/>
          <w:szCs w:val="22"/>
        </w:rPr>
        <w:t>heraldoi</w:t>
      </w:r>
      <w:r w:rsidRPr="00926F95">
        <w:rPr>
          <w:rFonts w:cs="Arial"/>
          <w:szCs w:val="22"/>
        </w:rPr>
        <w:t xml:space="preserve"> e P. </w:t>
      </w:r>
      <w:r w:rsidRPr="00926F95">
        <w:rPr>
          <w:rFonts w:cs="Arial"/>
          <w:i/>
          <w:szCs w:val="22"/>
        </w:rPr>
        <w:t>microstoma</w:t>
      </w:r>
      <w:r w:rsidRPr="00926F95">
        <w:rPr>
          <w:rFonts w:cs="Arial"/>
          <w:szCs w:val="22"/>
        </w:rPr>
        <w:t>), compreendendo peixes que realizam deslocamentos significativos na época reprodutiva. Essas espécies geralmente abrangem peixes de médio e grande porte (</w:t>
      </w:r>
      <w:r w:rsidRPr="00926F95">
        <w:rPr>
          <w:rFonts w:cs="Arial"/>
          <w:i/>
          <w:szCs w:val="22"/>
        </w:rPr>
        <w:t>Sensu</w:t>
      </w:r>
      <w:r w:rsidRPr="00926F95">
        <w:rPr>
          <w:rFonts w:cs="Arial"/>
          <w:szCs w:val="22"/>
        </w:rPr>
        <w:t xml:space="preserve"> Shibatta &amp; Cheida, 2003) presentes na bacia.</w:t>
      </w:r>
    </w:p>
    <w:p w:rsidR="00973BCF" w:rsidRPr="005171B6" w:rsidRDefault="00CD6D82" w:rsidP="00B44C8E">
      <w:pPr>
        <w:pStyle w:val="Ttulo3"/>
      </w:pPr>
      <w:bookmarkStart w:id="343" w:name="_Toc418758245"/>
      <w:bookmarkStart w:id="344" w:name="_Toc418758847"/>
      <w:bookmarkStart w:id="345" w:name="_Toc419813607"/>
      <w:r w:rsidRPr="005171B6">
        <w:t>1.3.2.</w:t>
      </w:r>
      <w:r w:rsidR="00977D4A" w:rsidRPr="005171B6">
        <w:t>1</w:t>
      </w:r>
      <w:r w:rsidR="008C5DE8" w:rsidRPr="005171B6">
        <w:t>6</w:t>
      </w:r>
      <w:r w:rsidR="00973BCF" w:rsidRPr="005171B6">
        <w:t>. Interrup</w:t>
      </w:r>
      <w:r w:rsidR="00973BCF" w:rsidRPr="005171B6">
        <w:rPr>
          <w:rFonts w:hint="eastAsia"/>
        </w:rPr>
        <w:t>çã</w:t>
      </w:r>
      <w:r w:rsidR="00973BCF" w:rsidRPr="005171B6">
        <w:t>o do Fluxo Migrat</w:t>
      </w:r>
      <w:r w:rsidR="00973BCF" w:rsidRPr="005171B6">
        <w:rPr>
          <w:rFonts w:hint="eastAsia"/>
        </w:rPr>
        <w:t>ó</w:t>
      </w:r>
      <w:r w:rsidR="00973BCF" w:rsidRPr="005171B6">
        <w:t>rio das Esp</w:t>
      </w:r>
      <w:r w:rsidR="00973BCF" w:rsidRPr="005171B6">
        <w:rPr>
          <w:rFonts w:hint="eastAsia"/>
        </w:rPr>
        <w:t>é</w:t>
      </w:r>
      <w:r w:rsidR="00973BCF" w:rsidRPr="005171B6">
        <w:t>cies Migradoras de Longas Dist</w:t>
      </w:r>
      <w:r w:rsidR="00973BCF" w:rsidRPr="005171B6">
        <w:rPr>
          <w:rFonts w:hint="eastAsia"/>
        </w:rPr>
        <w:t>â</w:t>
      </w:r>
      <w:r w:rsidR="00973BCF" w:rsidRPr="005171B6">
        <w:t>ncias</w:t>
      </w:r>
      <w:bookmarkEnd w:id="343"/>
      <w:bookmarkEnd w:id="344"/>
      <w:bookmarkEnd w:id="345"/>
    </w:p>
    <w:p w:rsidR="0042690C" w:rsidRPr="005171B6" w:rsidRDefault="0042690C" w:rsidP="00B50999">
      <w:pPr>
        <w:pStyle w:val="Ttulo3"/>
        <w:rPr>
          <w:rStyle w:val="CorpodeTexto0"/>
        </w:rPr>
      </w:pPr>
      <w:bookmarkStart w:id="346" w:name="_Toc418590209"/>
      <w:bookmarkStart w:id="347" w:name="_Toc418590675"/>
      <w:bookmarkStart w:id="348" w:name="_Toc418595735"/>
      <w:bookmarkStart w:id="349" w:name="_Toc418758246"/>
      <w:bookmarkStart w:id="350" w:name="_Toc418758848"/>
      <w:bookmarkStart w:id="351" w:name="_Toc419813075"/>
      <w:bookmarkStart w:id="352" w:name="_Toc419813608"/>
      <w:r w:rsidRPr="005171B6">
        <w:rPr>
          <w:rStyle w:val="CorpodeTexto0"/>
        </w:rPr>
        <w:t>Fase</w:t>
      </w:r>
      <w:r w:rsidR="00A13A2D" w:rsidRPr="005171B6">
        <w:rPr>
          <w:rStyle w:val="CorpodeTexto0"/>
        </w:rPr>
        <w:t>s: Implanta</w:t>
      </w:r>
      <w:r w:rsidR="00A13A2D" w:rsidRPr="005171B6">
        <w:rPr>
          <w:rStyle w:val="CorpodeTexto0"/>
          <w:rFonts w:hint="eastAsia"/>
        </w:rPr>
        <w:t>çã</w:t>
      </w:r>
      <w:r w:rsidR="00A13A2D" w:rsidRPr="005171B6">
        <w:rPr>
          <w:rStyle w:val="CorpodeTexto0"/>
        </w:rPr>
        <w:t>o e O</w:t>
      </w:r>
      <w:r w:rsidRPr="005171B6">
        <w:rPr>
          <w:rStyle w:val="CorpodeTexto0"/>
        </w:rPr>
        <w:t>pera</w:t>
      </w:r>
      <w:r w:rsidRPr="005171B6">
        <w:rPr>
          <w:rStyle w:val="CorpodeTexto0"/>
          <w:rFonts w:hint="eastAsia"/>
        </w:rPr>
        <w:t>çã</w:t>
      </w:r>
      <w:r w:rsidRPr="005171B6">
        <w:rPr>
          <w:rStyle w:val="CorpodeTexto0"/>
        </w:rPr>
        <w:t>o</w:t>
      </w:r>
      <w:bookmarkEnd w:id="346"/>
      <w:bookmarkEnd w:id="347"/>
      <w:bookmarkEnd w:id="348"/>
      <w:bookmarkEnd w:id="349"/>
      <w:bookmarkEnd w:id="350"/>
      <w:bookmarkEnd w:id="351"/>
      <w:bookmarkEnd w:id="352"/>
    </w:p>
    <w:p w:rsidR="0042690C" w:rsidRPr="0042690C" w:rsidRDefault="0042690C" w:rsidP="0042690C">
      <w:pPr>
        <w:spacing w:before="120" w:after="120" w:line="240" w:lineRule="auto"/>
        <w:rPr>
          <w:rFonts w:cs="Arial"/>
          <w:szCs w:val="22"/>
        </w:rPr>
      </w:pPr>
      <w:r w:rsidRPr="0042690C">
        <w:rPr>
          <w:rFonts w:cs="Arial"/>
          <w:szCs w:val="22"/>
        </w:rPr>
        <w:t xml:space="preserve">Um dos principais efeitos negativos causados pela </w:t>
      </w:r>
      <w:r w:rsidR="005171B6">
        <w:rPr>
          <w:rFonts w:cs="Arial"/>
          <w:szCs w:val="22"/>
        </w:rPr>
        <w:t>construção</w:t>
      </w:r>
      <w:r w:rsidRPr="0042690C">
        <w:rPr>
          <w:rFonts w:cs="Arial"/>
          <w:szCs w:val="22"/>
        </w:rPr>
        <w:t xml:space="preserve"> dos empreendimentos será constituído pela implantação e estabelecimento de um obstáculo intransponível constituído pela barragem (barreira física), que impedirá o livre deslocamento da ictiofauna, sobretudo das migradoras de longa distância. O deslocamento de elementos do ictioplâncton (como os ovos e larvas) que são naturalmente carreados pela correnteza no sentido de jusante a partir das áreas de desova, também será severamente afetado pelo estabelecimento das barreiras constituídas pelas barragens.</w:t>
      </w:r>
    </w:p>
    <w:p w:rsidR="0042690C" w:rsidRPr="0042690C" w:rsidRDefault="0042690C" w:rsidP="0042690C">
      <w:pPr>
        <w:spacing w:before="120" w:after="120" w:line="240" w:lineRule="auto"/>
        <w:rPr>
          <w:rFonts w:cs="Arial"/>
          <w:szCs w:val="22"/>
        </w:rPr>
      </w:pPr>
      <w:r w:rsidRPr="0042690C">
        <w:rPr>
          <w:rFonts w:cs="Arial"/>
          <w:szCs w:val="22"/>
        </w:rPr>
        <w:t xml:space="preserve">A presença dos barramentos também vai acarretar a quebra (parcial ou total) do fluxo gênico entre as populações situadas à montante e a jusante da barragem, em especial das migradoras de longa distância, que são as espécies que mais sofrem com os efeitos proporcionados pela existência de barramentos. Parte das demais espécies nativas também será afetada pela interferência nos processos de recrutamento de novos indivíduos e nos movimentos de dispersão de juvenis e adultos. </w:t>
      </w:r>
    </w:p>
    <w:p w:rsidR="0042690C" w:rsidRPr="0042690C" w:rsidRDefault="0042690C" w:rsidP="0042690C">
      <w:pPr>
        <w:spacing w:before="120" w:after="120" w:line="240" w:lineRule="auto"/>
        <w:rPr>
          <w:rFonts w:cs="Arial"/>
          <w:bCs/>
          <w:szCs w:val="22"/>
        </w:rPr>
      </w:pPr>
      <w:r w:rsidRPr="0042690C">
        <w:rPr>
          <w:rFonts w:cs="Arial"/>
          <w:bCs/>
          <w:szCs w:val="22"/>
        </w:rPr>
        <w:t>Embora a construção de Mecanismos de Transposição para Peixes - MTPs esteja previsto em ambos os represamentos, do tipo escada de peixes com caixa de descanso e transporte rodoviário por caminhões para áreas de montante, estes dispositivos tendem a homogeinizar o fluxo de água, suas vazões e velocidades, limitando e segregando apenas as espécies capazes de conseguirem vencer a barreira artificial imposta, de acordo com sua capacidade de natação e esforço para vencer o novo obstáculo.</w:t>
      </w:r>
    </w:p>
    <w:p w:rsidR="0042690C" w:rsidRPr="0042690C" w:rsidRDefault="0042690C" w:rsidP="0042690C">
      <w:pPr>
        <w:spacing w:before="120" w:after="120" w:line="240" w:lineRule="auto"/>
        <w:rPr>
          <w:rFonts w:cs="Arial"/>
          <w:bCs/>
          <w:szCs w:val="22"/>
        </w:rPr>
      </w:pPr>
      <w:r w:rsidRPr="0042690C">
        <w:rPr>
          <w:rFonts w:cs="Arial"/>
          <w:bCs/>
          <w:szCs w:val="22"/>
        </w:rPr>
        <w:t xml:space="preserve">As escadas também costumam concentrar diversos tipos de predadores piscívoros (outras espécies de peixes, aves e mamíferos), tornando estes dispositivos como </w:t>
      </w:r>
      <w:r w:rsidRPr="0042690C">
        <w:rPr>
          <w:rFonts w:cs="Arial"/>
          <w:bCs/>
          <w:i/>
          <w:szCs w:val="22"/>
        </w:rPr>
        <w:t>hot spots</w:t>
      </w:r>
      <w:r w:rsidRPr="0042690C">
        <w:rPr>
          <w:rFonts w:cs="Arial"/>
          <w:bCs/>
          <w:szCs w:val="22"/>
        </w:rPr>
        <w:t xml:space="preserve"> para a predação da fauna ictíica (AGOSTINHO </w:t>
      </w:r>
      <w:r w:rsidRPr="0042690C">
        <w:rPr>
          <w:rFonts w:cs="Arial"/>
          <w:bCs/>
          <w:i/>
          <w:szCs w:val="22"/>
        </w:rPr>
        <w:t>et al</w:t>
      </w:r>
      <w:r w:rsidRPr="0042690C">
        <w:rPr>
          <w:rFonts w:cs="Arial"/>
          <w:bCs/>
          <w:szCs w:val="22"/>
        </w:rPr>
        <w:t>. 2012).</w:t>
      </w:r>
    </w:p>
    <w:p w:rsidR="0042690C" w:rsidRPr="0042690C" w:rsidRDefault="0042690C" w:rsidP="0042690C">
      <w:pPr>
        <w:spacing w:before="120" w:after="120" w:line="240" w:lineRule="auto"/>
        <w:rPr>
          <w:rFonts w:cs="Arial"/>
          <w:bCs/>
          <w:szCs w:val="22"/>
        </w:rPr>
      </w:pPr>
      <w:r w:rsidRPr="0042690C">
        <w:rPr>
          <w:rFonts w:cs="Arial"/>
          <w:szCs w:val="22"/>
        </w:rPr>
        <w:t xml:space="preserve">Das espécies levantadas, os Characiformes de pequeno porte apresentam pequenos deslocamentos migratórios durante o período de reprodução (CASTRO </w:t>
      </w:r>
      <w:r w:rsidRPr="0042690C">
        <w:rPr>
          <w:rFonts w:cs="Arial"/>
          <w:i/>
          <w:iCs/>
          <w:szCs w:val="22"/>
        </w:rPr>
        <w:t>et al</w:t>
      </w:r>
      <w:r w:rsidRPr="0042690C">
        <w:rPr>
          <w:rFonts w:cs="Arial"/>
          <w:szCs w:val="22"/>
        </w:rPr>
        <w:t xml:space="preserve">., 2004; OYAKAWA </w:t>
      </w:r>
      <w:r w:rsidRPr="0042690C">
        <w:rPr>
          <w:rFonts w:cs="Arial"/>
          <w:i/>
          <w:iCs/>
          <w:szCs w:val="22"/>
        </w:rPr>
        <w:t>et al</w:t>
      </w:r>
      <w:r w:rsidRPr="0042690C">
        <w:rPr>
          <w:rFonts w:cs="Arial"/>
          <w:szCs w:val="22"/>
        </w:rPr>
        <w:t xml:space="preserve">., 2006; </w:t>
      </w:r>
      <w:r w:rsidRPr="0042690C">
        <w:rPr>
          <w:rFonts w:cs="Arial"/>
          <w:bCs/>
          <w:szCs w:val="22"/>
        </w:rPr>
        <w:t xml:space="preserve">VAZZOLER, 1992; VAZZOLER </w:t>
      </w:r>
      <w:r w:rsidRPr="0042690C">
        <w:rPr>
          <w:rFonts w:cs="Arial"/>
          <w:bCs/>
          <w:i/>
          <w:iCs/>
          <w:szCs w:val="22"/>
        </w:rPr>
        <w:t>et al</w:t>
      </w:r>
      <w:r w:rsidRPr="0042690C">
        <w:rPr>
          <w:rFonts w:cs="Arial"/>
          <w:bCs/>
          <w:szCs w:val="22"/>
        </w:rPr>
        <w:t>.,1997</w:t>
      </w:r>
      <w:r w:rsidRPr="0042690C">
        <w:rPr>
          <w:rFonts w:cs="Arial"/>
          <w:szCs w:val="22"/>
        </w:rPr>
        <w:t xml:space="preserve">), também podendo sofrer certa limitação quanto a seus deslocamentos. </w:t>
      </w:r>
      <w:r w:rsidRPr="0042690C">
        <w:rPr>
          <w:rFonts w:cs="Arial"/>
          <w:bCs/>
          <w:szCs w:val="22"/>
        </w:rPr>
        <w:t>Apesar do tamanho relativamente pequeno de certas espécies, como os lambaris e canivetes (</w:t>
      </w:r>
      <w:r w:rsidRPr="0042690C">
        <w:rPr>
          <w:rFonts w:cs="Arial"/>
          <w:bCs/>
          <w:i/>
          <w:szCs w:val="22"/>
        </w:rPr>
        <w:t>Astyanax</w:t>
      </w:r>
      <w:r w:rsidRPr="0042690C">
        <w:rPr>
          <w:rFonts w:cs="Arial"/>
          <w:bCs/>
          <w:szCs w:val="22"/>
        </w:rPr>
        <w:t xml:space="preserve"> spp.; B. </w:t>
      </w:r>
      <w:r w:rsidRPr="0042690C">
        <w:rPr>
          <w:rFonts w:cs="Arial"/>
          <w:bCs/>
          <w:i/>
          <w:szCs w:val="22"/>
        </w:rPr>
        <w:t>turiuba</w:t>
      </w:r>
      <w:r w:rsidRPr="0042690C">
        <w:rPr>
          <w:rFonts w:cs="Arial"/>
          <w:bCs/>
          <w:szCs w:val="22"/>
        </w:rPr>
        <w:t xml:space="preserve"> e A. </w:t>
      </w:r>
      <w:r w:rsidRPr="0042690C">
        <w:rPr>
          <w:rFonts w:cs="Arial"/>
          <w:bCs/>
          <w:i/>
          <w:szCs w:val="22"/>
        </w:rPr>
        <w:t>ibitiensis</w:t>
      </w:r>
      <w:r w:rsidRPr="0042690C">
        <w:rPr>
          <w:rFonts w:cs="Arial"/>
          <w:bCs/>
          <w:szCs w:val="22"/>
        </w:rPr>
        <w:t xml:space="preserve">), que também estão aptos a ascenderem por corredeiras e quedas d’água através da natação ativa, terão seu deslocamento comprometido pela presença dos barramentos, que irão segregar as espécies típicas de águas correntes. </w:t>
      </w:r>
    </w:p>
    <w:p w:rsidR="0042690C" w:rsidRPr="0042690C" w:rsidRDefault="0042690C" w:rsidP="0042690C">
      <w:pPr>
        <w:spacing w:before="120" w:after="120" w:line="240" w:lineRule="auto"/>
        <w:rPr>
          <w:rFonts w:cs="Arial"/>
          <w:szCs w:val="22"/>
        </w:rPr>
      </w:pPr>
      <w:r w:rsidRPr="0042690C">
        <w:rPr>
          <w:rFonts w:cs="Arial"/>
          <w:szCs w:val="22"/>
        </w:rPr>
        <w:t>As escadas também não são MTPs ideais uma vez que permitem apenas o fluxo no sentido de montante e não contemplam a movimentação do ictioplâncton (ovos e larvas), além dos juvenis e adultos das áreas de montante para jusante dos reservatórios.</w:t>
      </w:r>
    </w:p>
    <w:p w:rsidR="0042690C" w:rsidRPr="0042690C" w:rsidRDefault="0042690C" w:rsidP="0042690C">
      <w:pPr>
        <w:spacing w:before="120" w:after="120" w:line="240" w:lineRule="auto"/>
        <w:rPr>
          <w:rFonts w:cs="Arial"/>
          <w:szCs w:val="22"/>
        </w:rPr>
      </w:pPr>
      <w:r w:rsidRPr="0042690C">
        <w:rPr>
          <w:rFonts w:cs="Arial"/>
          <w:szCs w:val="22"/>
        </w:rPr>
        <w:t>Pequenas movimentações locais das espécies devem ser afetadas, especialmente nos membros da família Characidae, Loricariidae e Parodontidae, capazes de ultrapassar quedas d'água, mesmo as mais fortes.</w:t>
      </w:r>
    </w:p>
    <w:p w:rsidR="0042690C" w:rsidRDefault="0042690C" w:rsidP="003C4386">
      <w:pPr>
        <w:spacing w:before="120" w:after="120" w:line="240" w:lineRule="auto"/>
        <w:rPr>
          <w:rFonts w:cs="Arial"/>
          <w:szCs w:val="22"/>
        </w:rPr>
      </w:pPr>
      <w:r w:rsidRPr="0042690C">
        <w:rPr>
          <w:rFonts w:cs="Arial"/>
          <w:szCs w:val="22"/>
        </w:rPr>
        <w:t>Assim, diante do exposto, conclui-se que o impacto pela</w:t>
      </w:r>
      <w:r w:rsidRPr="0042690C">
        <w:rPr>
          <w:rFonts w:cs="Arial"/>
          <w:b/>
          <w:szCs w:val="22"/>
        </w:rPr>
        <w:t xml:space="preserve"> </w:t>
      </w:r>
      <w:r w:rsidRPr="0042690C">
        <w:rPr>
          <w:rFonts w:cs="Arial"/>
          <w:szCs w:val="22"/>
        </w:rPr>
        <w:t>Interrupção do Fluxo Migratório das Espécies Migradoras de Longas Distâncias será de abrangência regional, sendo um impacto negativo, de incidência direta, com temporalidade no curto e longo prazo e manifestação permanente, de ocorrência certa, sendo irreversível e de alta importância e magnitude</w:t>
      </w:r>
      <w:r w:rsidR="00A13A2D">
        <w:rPr>
          <w:rFonts w:cs="Arial"/>
          <w:szCs w:val="22"/>
        </w:rPr>
        <w:t xml:space="preserve"> grande</w:t>
      </w:r>
      <w:r w:rsidRPr="0042690C">
        <w:rPr>
          <w:rFonts w:cs="Arial"/>
          <w:szCs w:val="22"/>
        </w:rPr>
        <w:t>.</w:t>
      </w:r>
    </w:p>
    <w:p w:rsidR="0042690C" w:rsidRPr="00C37DA1" w:rsidRDefault="00B44C8E" w:rsidP="00C37DA1">
      <w:pPr>
        <w:pStyle w:val="Legenda"/>
        <w:spacing w:line="240" w:lineRule="auto"/>
        <w:jc w:val="center"/>
        <w:rPr>
          <w:b w:val="0"/>
          <w:i w:val="0"/>
        </w:rPr>
      </w:pPr>
      <w:bookmarkStart w:id="353" w:name="_Toc420316516"/>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73</w:t>
      </w:r>
      <w:r w:rsidR="00B80A05" w:rsidRPr="00C37DA1">
        <w:rPr>
          <w:i w:val="0"/>
        </w:rPr>
        <w:fldChar w:fldCharType="end"/>
      </w:r>
      <w:r w:rsidR="00C37DA1" w:rsidRPr="00C37DA1">
        <w:rPr>
          <w:i w:val="0"/>
        </w:rPr>
        <w:t>.</w:t>
      </w:r>
      <w:r w:rsidR="00C37DA1" w:rsidRPr="00C37DA1">
        <w:rPr>
          <w:b w:val="0"/>
          <w:i w:val="0"/>
        </w:rPr>
        <w:t xml:space="preserve"> - </w:t>
      </w:r>
      <w:r w:rsidR="0042690C" w:rsidRPr="00C37DA1">
        <w:rPr>
          <w:b w:val="0"/>
          <w:i w:val="0"/>
        </w:rPr>
        <w:t>Caracterização do Impacto – Interrupção do Fluxo Migratório das Espécies Migradoras de Longas Distâncias</w:t>
      </w:r>
      <w:r w:rsidR="0086474A" w:rsidRPr="00C37DA1">
        <w:rPr>
          <w:b w:val="0"/>
          <w:i w:val="0"/>
        </w:rPr>
        <w:t xml:space="preserve"> </w:t>
      </w:r>
      <w:r w:rsidR="001B7276" w:rsidRPr="00C37DA1">
        <w:rPr>
          <w:rFonts w:cs="Arial"/>
          <w:b w:val="0"/>
          <w:bCs/>
          <w:i w:val="0"/>
          <w:szCs w:val="22"/>
        </w:rPr>
        <w:t>– Barragens</w:t>
      </w:r>
      <w:r w:rsidR="0086474A" w:rsidRPr="00C37DA1">
        <w:rPr>
          <w:rFonts w:cs="Arial"/>
          <w:b w:val="0"/>
          <w:bCs/>
          <w:i w:val="0"/>
          <w:szCs w:val="22"/>
        </w:rPr>
        <w:t xml:space="preserve"> Pedreira e Duas Pontes</w:t>
      </w:r>
      <w:bookmarkEnd w:id="353"/>
    </w:p>
    <w:tbl>
      <w:tblPr>
        <w:tblW w:w="0" w:type="auto"/>
        <w:jc w:val="center"/>
        <w:tblInd w:w="-3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9"/>
        <w:gridCol w:w="1170"/>
        <w:gridCol w:w="1984"/>
        <w:gridCol w:w="1560"/>
        <w:gridCol w:w="3046"/>
      </w:tblGrid>
      <w:tr w:rsidR="0042690C" w:rsidRPr="0042690C" w:rsidTr="008204B6">
        <w:trPr>
          <w:trHeight w:hRule="exact" w:val="567"/>
          <w:jc w:val="center"/>
        </w:trPr>
        <w:tc>
          <w:tcPr>
            <w:tcW w:w="1169" w:type="dxa"/>
            <w:shd w:val="clear" w:color="auto" w:fill="D9D9D9" w:themeFill="background1" w:themeFillShade="D9"/>
            <w:vAlign w:val="center"/>
          </w:tcPr>
          <w:p w:rsidR="0042690C" w:rsidRPr="00773D96" w:rsidRDefault="0042690C" w:rsidP="00773D96">
            <w:pPr>
              <w:autoSpaceDE w:val="0"/>
              <w:autoSpaceDN w:val="0"/>
              <w:adjustRightInd w:val="0"/>
              <w:spacing w:line="240" w:lineRule="auto"/>
              <w:jc w:val="center"/>
              <w:rPr>
                <w:rFonts w:cs="Arial"/>
                <w:b/>
                <w:sz w:val="20"/>
              </w:rPr>
            </w:pPr>
            <w:r w:rsidRPr="00773D96">
              <w:rPr>
                <w:rFonts w:cs="Arial"/>
                <w:b/>
                <w:sz w:val="20"/>
              </w:rPr>
              <w:t>Natureza</w:t>
            </w:r>
          </w:p>
        </w:tc>
        <w:tc>
          <w:tcPr>
            <w:tcW w:w="1170" w:type="dxa"/>
            <w:shd w:val="clear" w:color="auto" w:fill="D9D9D9" w:themeFill="background1" w:themeFillShade="D9"/>
            <w:vAlign w:val="center"/>
          </w:tcPr>
          <w:p w:rsidR="0042690C" w:rsidRPr="00773D96" w:rsidRDefault="0042690C" w:rsidP="00773D96">
            <w:pPr>
              <w:autoSpaceDE w:val="0"/>
              <w:autoSpaceDN w:val="0"/>
              <w:adjustRightInd w:val="0"/>
              <w:spacing w:line="240" w:lineRule="auto"/>
              <w:jc w:val="center"/>
              <w:rPr>
                <w:rFonts w:cs="Arial"/>
                <w:b/>
                <w:sz w:val="20"/>
              </w:rPr>
            </w:pPr>
            <w:r w:rsidRPr="00773D96">
              <w:rPr>
                <w:rFonts w:cs="Arial"/>
                <w:b/>
                <w:sz w:val="20"/>
              </w:rPr>
              <w:t>Ordem</w:t>
            </w:r>
          </w:p>
        </w:tc>
        <w:tc>
          <w:tcPr>
            <w:tcW w:w="1984" w:type="dxa"/>
            <w:shd w:val="clear" w:color="auto" w:fill="D9D9D9" w:themeFill="background1" w:themeFillShade="D9"/>
            <w:vAlign w:val="center"/>
          </w:tcPr>
          <w:p w:rsidR="0042690C" w:rsidRPr="00773D96" w:rsidRDefault="0042690C" w:rsidP="00773D96">
            <w:pPr>
              <w:autoSpaceDE w:val="0"/>
              <w:autoSpaceDN w:val="0"/>
              <w:adjustRightInd w:val="0"/>
              <w:spacing w:line="240" w:lineRule="auto"/>
              <w:jc w:val="center"/>
              <w:rPr>
                <w:rFonts w:cs="Arial"/>
                <w:b/>
                <w:sz w:val="20"/>
              </w:rPr>
            </w:pPr>
            <w:r w:rsidRPr="00773D96">
              <w:rPr>
                <w:rFonts w:cs="Arial"/>
                <w:b/>
                <w:sz w:val="20"/>
              </w:rPr>
              <w:t>Abrangência</w:t>
            </w:r>
          </w:p>
        </w:tc>
        <w:tc>
          <w:tcPr>
            <w:tcW w:w="1560" w:type="dxa"/>
            <w:shd w:val="clear" w:color="auto" w:fill="D9D9D9" w:themeFill="background1" w:themeFillShade="D9"/>
            <w:vAlign w:val="center"/>
          </w:tcPr>
          <w:p w:rsidR="0042690C" w:rsidRPr="00773D96" w:rsidRDefault="0042690C" w:rsidP="00773D96">
            <w:pPr>
              <w:autoSpaceDE w:val="0"/>
              <w:autoSpaceDN w:val="0"/>
              <w:adjustRightInd w:val="0"/>
              <w:spacing w:line="240" w:lineRule="auto"/>
              <w:jc w:val="center"/>
              <w:rPr>
                <w:rFonts w:cs="Arial"/>
                <w:b/>
                <w:sz w:val="20"/>
              </w:rPr>
            </w:pPr>
            <w:r w:rsidRPr="00773D96">
              <w:rPr>
                <w:rFonts w:cs="Arial"/>
                <w:b/>
                <w:sz w:val="20"/>
              </w:rPr>
              <w:t>Duração</w:t>
            </w:r>
          </w:p>
        </w:tc>
        <w:tc>
          <w:tcPr>
            <w:tcW w:w="3046" w:type="dxa"/>
            <w:shd w:val="clear" w:color="auto" w:fill="D9D9D9" w:themeFill="background1" w:themeFillShade="D9"/>
            <w:vAlign w:val="center"/>
          </w:tcPr>
          <w:p w:rsidR="0042690C" w:rsidRPr="00773D96" w:rsidRDefault="0042690C" w:rsidP="00773D96">
            <w:pPr>
              <w:autoSpaceDE w:val="0"/>
              <w:autoSpaceDN w:val="0"/>
              <w:adjustRightInd w:val="0"/>
              <w:spacing w:line="240" w:lineRule="auto"/>
              <w:jc w:val="center"/>
              <w:rPr>
                <w:rFonts w:cs="Arial"/>
                <w:b/>
                <w:sz w:val="20"/>
              </w:rPr>
            </w:pPr>
            <w:r w:rsidRPr="00773D96">
              <w:rPr>
                <w:rFonts w:cs="Arial"/>
                <w:b/>
                <w:sz w:val="20"/>
              </w:rPr>
              <w:t>Probabilidade de Ocorrência</w:t>
            </w:r>
          </w:p>
        </w:tc>
      </w:tr>
      <w:tr w:rsidR="0042690C" w:rsidRPr="0042690C" w:rsidTr="003A422E">
        <w:trPr>
          <w:trHeight w:hRule="exact" w:val="397"/>
          <w:jc w:val="center"/>
        </w:trPr>
        <w:tc>
          <w:tcPr>
            <w:tcW w:w="1169" w:type="dxa"/>
            <w:shd w:val="clear" w:color="auto" w:fill="auto"/>
            <w:vAlign w:val="center"/>
          </w:tcPr>
          <w:p w:rsidR="0042690C" w:rsidRPr="00024169" w:rsidRDefault="0042690C" w:rsidP="00773D96">
            <w:pPr>
              <w:autoSpaceDE w:val="0"/>
              <w:autoSpaceDN w:val="0"/>
              <w:adjustRightInd w:val="0"/>
              <w:spacing w:line="240" w:lineRule="auto"/>
              <w:jc w:val="center"/>
              <w:rPr>
                <w:rFonts w:cs="Arial"/>
                <w:sz w:val="20"/>
              </w:rPr>
            </w:pPr>
            <w:r w:rsidRPr="00024169">
              <w:rPr>
                <w:rFonts w:cs="Arial"/>
                <w:sz w:val="20"/>
              </w:rPr>
              <w:t>Negativa</w:t>
            </w:r>
          </w:p>
        </w:tc>
        <w:tc>
          <w:tcPr>
            <w:tcW w:w="1170" w:type="dxa"/>
            <w:shd w:val="clear" w:color="auto" w:fill="auto"/>
            <w:vAlign w:val="center"/>
          </w:tcPr>
          <w:p w:rsidR="0042690C" w:rsidRPr="00024169" w:rsidRDefault="0042690C" w:rsidP="00773D96">
            <w:pPr>
              <w:autoSpaceDE w:val="0"/>
              <w:autoSpaceDN w:val="0"/>
              <w:adjustRightInd w:val="0"/>
              <w:spacing w:line="240" w:lineRule="auto"/>
              <w:jc w:val="center"/>
              <w:rPr>
                <w:rFonts w:cs="Arial"/>
                <w:sz w:val="20"/>
              </w:rPr>
            </w:pPr>
            <w:r w:rsidRPr="00024169">
              <w:rPr>
                <w:rFonts w:cs="Arial"/>
                <w:sz w:val="20"/>
              </w:rPr>
              <w:t>Direta</w:t>
            </w:r>
          </w:p>
        </w:tc>
        <w:tc>
          <w:tcPr>
            <w:tcW w:w="1984" w:type="dxa"/>
            <w:shd w:val="clear" w:color="auto" w:fill="auto"/>
            <w:vAlign w:val="center"/>
          </w:tcPr>
          <w:p w:rsidR="0042690C" w:rsidRPr="00024169" w:rsidRDefault="0042690C" w:rsidP="00773D96">
            <w:pPr>
              <w:autoSpaceDE w:val="0"/>
              <w:autoSpaceDN w:val="0"/>
              <w:adjustRightInd w:val="0"/>
              <w:spacing w:line="240" w:lineRule="auto"/>
              <w:jc w:val="center"/>
              <w:rPr>
                <w:rFonts w:cs="Arial"/>
                <w:sz w:val="20"/>
              </w:rPr>
            </w:pPr>
            <w:r w:rsidRPr="00024169">
              <w:rPr>
                <w:rFonts w:cs="Arial"/>
                <w:sz w:val="20"/>
              </w:rPr>
              <w:t>Regional</w:t>
            </w:r>
          </w:p>
        </w:tc>
        <w:tc>
          <w:tcPr>
            <w:tcW w:w="1560" w:type="dxa"/>
            <w:shd w:val="clear" w:color="auto" w:fill="auto"/>
            <w:vAlign w:val="center"/>
          </w:tcPr>
          <w:p w:rsidR="0042690C" w:rsidRPr="00024169" w:rsidRDefault="0042690C" w:rsidP="00773D96">
            <w:pPr>
              <w:autoSpaceDE w:val="0"/>
              <w:autoSpaceDN w:val="0"/>
              <w:adjustRightInd w:val="0"/>
              <w:spacing w:line="240" w:lineRule="auto"/>
              <w:jc w:val="center"/>
              <w:rPr>
                <w:rFonts w:cs="Arial"/>
                <w:sz w:val="20"/>
              </w:rPr>
            </w:pPr>
            <w:r w:rsidRPr="00024169">
              <w:rPr>
                <w:rFonts w:cs="Arial"/>
                <w:sz w:val="20"/>
              </w:rPr>
              <w:t>Permanente</w:t>
            </w:r>
          </w:p>
        </w:tc>
        <w:tc>
          <w:tcPr>
            <w:tcW w:w="3046" w:type="dxa"/>
            <w:shd w:val="clear" w:color="auto" w:fill="auto"/>
            <w:vAlign w:val="center"/>
          </w:tcPr>
          <w:p w:rsidR="0042690C" w:rsidRPr="00024169" w:rsidRDefault="0042690C" w:rsidP="00773D96">
            <w:pPr>
              <w:autoSpaceDE w:val="0"/>
              <w:autoSpaceDN w:val="0"/>
              <w:adjustRightInd w:val="0"/>
              <w:spacing w:line="240" w:lineRule="auto"/>
              <w:jc w:val="center"/>
              <w:rPr>
                <w:rFonts w:cs="Arial"/>
                <w:sz w:val="20"/>
              </w:rPr>
            </w:pPr>
            <w:r w:rsidRPr="00024169">
              <w:rPr>
                <w:rFonts w:cs="Arial"/>
                <w:sz w:val="20"/>
              </w:rPr>
              <w:t>Certa</w:t>
            </w:r>
          </w:p>
        </w:tc>
      </w:tr>
    </w:tbl>
    <w:p w:rsidR="0042690C" w:rsidRPr="0042690C" w:rsidRDefault="0042690C" w:rsidP="00C818CF">
      <w:pPr>
        <w:spacing w:line="240" w:lineRule="auto"/>
      </w:pPr>
    </w:p>
    <w:tbl>
      <w:tblPr>
        <w:tblW w:w="0" w:type="auto"/>
        <w:jc w:val="center"/>
        <w:tblInd w:w="-3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2"/>
        <w:gridCol w:w="1984"/>
        <w:gridCol w:w="1557"/>
        <w:gridCol w:w="1525"/>
        <w:gridCol w:w="1526"/>
      </w:tblGrid>
      <w:tr w:rsidR="0042690C" w:rsidRPr="0042690C" w:rsidTr="008204B6">
        <w:trPr>
          <w:trHeight w:hRule="exact" w:val="567"/>
          <w:jc w:val="center"/>
        </w:trPr>
        <w:tc>
          <w:tcPr>
            <w:tcW w:w="2342" w:type="dxa"/>
            <w:shd w:val="clear" w:color="auto" w:fill="D9D9D9" w:themeFill="background1" w:themeFillShade="D9"/>
            <w:vAlign w:val="center"/>
          </w:tcPr>
          <w:p w:rsidR="0042690C" w:rsidRPr="0042690C" w:rsidRDefault="0042690C" w:rsidP="0042690C">
            <w:pPr>
              <w:spacing w:line="240" w:lineRule="auto"/>
              <w:jc w:val="center"/>
              <w:rPr>
                <w:b/>
                <w:sz w:val="20"/>
              </w:rPr>
            </w:pPr>
            <w:r w:rsidRPr="0042690C">
              <w:rPr>
                <w:b/>
                <w:sz w:val="20"/>
              </w:rPr>
              <w:t>Época de Ocorrência</w:t>
            </w:r>
          </w:p>
        </w:tc>
        <w:tc>
          <w:tcPr>
            <w:tcW w:w="1984" w:type="dxa"/>
            <w:shd w:val="clear" w:color="auto" w:fill="D9D9D9" w:themeFill="background1" w:themeFillShade="D9"/>
            <w:vAlign w:val="center"/>
          </w:tcPr>
          <w:p w:rsidR="0042690C" w:rsidRPr="0042690C" w:rsidRDefault="0042690C" w:rsidP="0042690C">
            <w:pPr>
              <w:spacing w:line="240" w:lineRule="auto"/>
              <w:jc w:val="center"/>
              <w:rPr>
                <w:b/>
                <w:sz w:val="20"/>
              </w:rPr>
            </w:pPr>
            <w:r w:rsidRPr="0042690C">
              <w:rPr>
                <w:b/>
                <w:sz w:val="20"/>
              </w:rPr>
              <w:t>Reversibilidade</w:t>
            </w:r>
          </w:p>
        </w:tc>
        <w:tc>
          <w:tcPr>
            <w:tcW w:w="1557" w:type="dxa"/>
            <w:shd w:val="clear" w:color="auto" w:fill="D9D9D9" w:themeFill="background1" w:themeFillShade="D9"/>
            <w:vAlign w:val="center"/>
          </w:tcPr>
          <w:p w:rsidR="0042690C" w:rsidRPr="0042690C" w:rsidRDefault="0042690C" w:rsidP="0042690C">
            <w:pPr>
              <w:spacing w:line="240" w:lineRule="auto"/>
              <w:jc w:val="center"/>
              <w:rPr>
                <w:b/>
                <w:sz w:val="20"/>
              </w:rPr>
            </w:pPr>
            <w:r w:rsidRPr="0042690C">
              <w:rPr>
                <w:b/>
                <w:sz w:val="20"/>
              </w:rPr>
              <w:t>Magnitude</w:t>
            </w:r>
          </w:p>
        </w:tc>
        <w:tc>
          <w:tcPr>
            <w:tcW w:w="1525" w:type="dxa"/>
            <w:shd w:val="clear" w:color="auto" w:fill="D9D9D9" w:themeFill="background1" w:themeFillShade="D9"/>
            <w:vAlign w:val="center"/>
          </w:tcPr>
          <w:p w:rsidR="0042690C" w:rsidRPr="0042690C" w:rsidRDefault="0042690C" w:rsidP="0042690C">
            <w:pPr>
              <w:spacing w:line="240" w:lineRule="auto"/>
              <w:jc w:val="center"/>
              <w:rPr>
                <w:b/>
                <w:sz w:val="20"/>
              </w:rPr>
            </w:pPr>
            <w:r w:rsidRPr="0042690C">
              <w:rPr>
                <w:b/>
                <w:sz w:val="20"/>
              </w:rPr>
              <w:t>Importância</w:t>
            </w:r>
          </w:p>
        </w:tc>
        <w:tc>
          <w:tcPr>
            <w:tcW w:w="1526" w:type="dxa"/>
            <w:shd w:val="clear" w:color="auto" w:fill="D9D9D9" w:themeFill="background1" w:themeFillShade="D9"/>
            <w:vAlign w:val="center"/>
          </w:tcPr>
          <w:p w:rsidR="0042690C" w:rsidRPr="0042690C" w:rsidRDefault="0042690C" w:rsidP="0042690C">
            <w:pPr>
              <w:spacing w:line="240" w:lineRule="auto"/>
              <w:jc w:val="center"/>
              <w:rPr>
                <w:b/>
                <w:sz w:val="20"/>
              </w:rPr>
            </w:pPr>
            <w:r w:rsidRPr="0042690C">
              <w:rPr>
                <w:b/>
                <w:sz w:val="20"/>
              </w:rPr>
              <w:t>Mitigação</w:t>
            </w:r>
          </w:p>
        </w:tc>
      </w:tr>
      <w:tr w:rsidR="0042690C" w:rsidRPr="0042690C" w:rsidTr="00024169">
        <w:trPr>
          <w:trHeight w:hRule="exact" w:val="431"/>
          <w:jc w:val="center"/>
        </w:trPr>
        <w:tc>
          <w:tcPr>
            <w:tcW w:w="2342" w:type="dxa"/>
            <w:shd w:val="clear" w:color="auto" w:fill="auto"/>
            <w:vAlign w:val="center"/>
          </w:tcPr>
          <w:p w:rsidR="0042690C" w:rsidRPr="0042690C" w:rsidRDefault="0042690C" w:rsidP="0042690C">
            <w:pPr>
              <w:spacing w:line="240" w:lineRule="auto"/>
              <w:jc w:val="center"/>
              <w:rPr>
                <w:strike/>
                <w:sz w:val="20"/>
              </w:rPr>
            </w:pPr>
            <w:r w:rsidRPr="0042690C">
              <w:rPr>
                <w:sz w:val="20"/>
              </w:rPr>
              <w:t>Curto e Longo Prazo *</w:t>
            </w:r>
          </w:p>
        </w:tc>
        <w:tc>
          <w:tcPr>
            <w:tcW w:w="1984" w:type="dxa"/>
            <w:shd w:val="clear" w:color="auto" w:fill="auto"/>
            <w:vAlign w:val="center"/>
          </w:tcPr>
          <w:p w:rsidR="0042690C" w:rsidRPr="0042690C" w:rsidRDefault="0042690C" w:rsidP="0042690C">
            <w:pPr>
              <w:spacing w:line="240" w:lineRule="auto"/>
              <w:jc w:val="center"/>
              <w:rPr>
                <w:sz w:val="20"/>
              </w:rPr>
            </w:pPr>
            <w:r w:rsidRPr="0042690C">
              <w:rPr>
                <w:sz w:val="20"/>
              </w:rPr>
              <w:t>Irreversível</w:t>
            </w:r>
          </w:p>
        </w:tc>
        <w:tc>
          <w:tcPr>
            <w:tcW w:w="1557" w:type="dxa"/>
            <w:shd w:val="clear" w:color="auto" w:fill="auto"/>
            <w:vAlign w:val="center"/>
          </w:tcPr>
          <w:p w:rsidR="0042690C" w:rsidRPr="0042690C" w:rsidRDefault="0042690C" w:rsidP="0042690C">
            <w:pPr>
              <w:spacing w:line="240" w:lineRule="auto"/>
              <w:jc w:val="center"/>
              <w:rPr>
                <w:sz w:val="20"/>
              </w:rPr>
            </w:pPr>
            <w:r w:rsidRPr="0042690C">
              <w:rPr>
                <w:sz w:val="20"/>
              </w:rPr>
              <w:t>Alta</w:t>
            </w:r>
          </w:p>
        </w:tc>
        <w:tc>
          <w:tcPr>
            <w:tcW w:w="1525" w:type="dxa"/>
            <w:shd w:val="clear" w:color="auto" w:fill="auto"/>
            <w:vAlign w:val="center"/>
          </w:tcPr>
          <w:p w:rsidR="0042690C" w:rsidRPr="0042690C" w:rsidRDefault="0042690C" w:rsidP="0042690C">
            <w:pPr>
              <w:spacing w:line="240" w:lineRule="auto"/>
              <w:jc w:val="center"/>
              <w:rPr>
                <w:sz w:val="20"/>
              </w:rPr>
            </w:pPr>
            <w:r w:rsidRPr="0042690C">
              <w:rPr>
                <w:sz w:val="20"/>
              </w:rPr>
              <w:t>Alta</w:t>
            </w:r>
          </w:p>
        </w:tc>
        <w:tc>
          <w:tcPr>
            <w:tcW w:w="1526" w:type="dxa"/>
            <w:shd w:val="clear" w:color="auto" w:fill="auto"/>
            <w:vAlign w:val="center"/>
          </w:tcPr>
          <w:p w:rsidR="0042690C" w:rsidRPr="0042690C" w:rsidRDefault="0042690C" w:rsidP="0042690C">
            <w:pPr>
              <w:spacing w:line="240" w:lineRule="auto"/>
              <w:jc w:val="center"/>
              <w:rPr>
                <w:sz w:val="20"/>
              </w:rPr>
            </w:pPr>
            <w:r w:rsidRPr="0042690C">
              <w:rPr>
                <w:sz w:val="20"/>
              </w:rPr>
              <w:t>Mitigável</w:t>
            </w:r>
          </w:p>
        </w:tc>
      </w:tr>
    </w:tbl>
    <w:p w:rsidR="0042690C" w:rsidRPr="0042690C" w:rsidRDefault="0042690C" w:rsidP="0042690C">
      <w:pPr>
        <w:spacing w:before="120" w:after="120" w:line="240" w:lineRule="auto"/>
      </w:pPr>
      <w:r w:rsidRPr="0042690C">
        <w:t xml:space="preserve">*A interrupção tem início no momento da implantação dos barramentos e se propaga durante toda a fase de operação dos empreendimentos. </w:t>
      </w:r>
    </w:p>
    <w:p w:rsidR="0042690C" w:rsidRPr="00926F95" w:rsidRDefault="0042690C" w:rsidP="0042690C">
      <w:pPr>
        <w:spacing w:before="360" w:after="120" w:line="240" w:lineRule="auto"/>
        <w:rPr>
          <w:b/>
        </w:rPr>
      </w:pPr>
      <w:r w:rsidRPr="00926F95">
        <w:rPr>
          <w:b/>
        </w:rPr>
        <w:t>Ações Ambientais Propostas</w:t>
      </w:r>
    </w:p>
    <w:p w:rsidR="0042690C" w:rsidRPr="0042690C" w:rsidRDefault="0042690C" w:rsidP="0042690C">
      <w:pPr>
        <w:tabs>
          <w:tab w:val="left" w:pos="709"/>
        </w:tabs>
        <w:spacing w:before="120" w:after="120" w:line="240" w:lineRule="auto"/>
        <w:rPr>
          <w:rFonts w:eastAsia="Calibri" w:cs="Arial"/>
          <w:szCs w:val="22"/>
        </w:rPr>
      </w:pPr>
      <w:r w:rsidRPr="0042690C">
        <w:rPr>
          <w:rFonts w:eastAsia="Calibri" w:cs="Arial"/>
          <w:szCs w:val="22"/>
        </w:rPr>
        <w:t xml:space="preserve">A construção de um Mecanismo de Transposição para Peixes </w:t>
      </w:r>
      <w:r w:rsidR="00176F1A">
        <w:rPr>
          <w:rFonts w:eastAsia="Calibri" w:cs="Arial"/>
          <w:szCs w:val="22"/>
        </w:rPr>
        <w:t>–</w:t>
      </w:r>
      <w:r w:rsidRPr="0042690C">
        <w:rPr>
          <w:rFonts w:eastAsia="Calibri" w:cs="Arial"/>
          <w:szCs w:val="22"/>
        </w:rPr>
        <w:t xml:space="preserve"> MTP</w:t>
      </w:r>
      <w:r w:rsidR="00176F1A">
        <w:rPr>
          <w:rFonts w:eastAsia="Calibri" w:cs="Arial"/>
          <w:szCs w:val="22"/>
        </w:rPr>
        <w:t>’</w:t>
      </w:r>
      <w:r w:rsidRPr="0042690C">
        <w:rPr>
          <w:rFonts w:eastAsia="Calibri" w:cs="Arial"/>
          <w:szCs w:val="22"/>
        </w:rPr>
        <w:t>s do tipo escada para peixes mista, associada com transporte por caminhão, deve ajudar a atenuar os efeitos do barramento no deslocamento dos peixes, sobretudo das espécies migradoras de longas distâncias.</w:t>
      </w:r>
    </w:p>
    <w:p w:rsidR="0042690C" w:rsidRPr="0042690C" w:rsidRDefault="0042690C" w:rsidP="0042690C">
      <w:pPr>
        <w:tabs>
          <w:tab w:val="left" w:pos="709"/>
        </w:tabs>
        <w:spacing w:before="120" w:after="120" w:line="240" w:lineRule="auto"/>
        <w:rPr>
          <w:rFonts w:eastAsia="Calibri" w:cs="Arial"/>
          <w:szCs w:val="22"/>
        </w:rPr>
      </w:pPr>
      <w:r w:rsidRPr="0042690C">
        <w:rPr>
          <w:rFonts w:eastAsia="Calibri" w:cs="Arial"/>
          <w:szCs w:val="22"/>
        </w:rPr>
        <w:t xml:space="preserve">A execução de um Programa de </w:t>
      </w:r>
      <w:r w:rsidR="00F205C0">
        <w:rPr>
          <w:rFonts w:eastAsia="Calibri" w:cs="Arial"/>
          <w:szCs w:val="22"/>
        </w:rPr>
        <w:t>Conservação</w:t>
      </w:r>
      <w:r w:rsidRPr="0042690C">
        <w:rPr>
          <w:rFonts w:eastAsia="Calibri" w:cs="Arial"/>
          <w:szCs w:val="22"/>
        </w:rPr>
        <w:t xml:space="preserve"> da Ictiofauna, que deverá indicar a ocorrência e fornecer uma complementação da dimensão dos impactos sobre a ictiofauna nativa pelos empreendimentos, permitirá o melhor entendimento de sua origem sobre a riqueza levantada em ambos os empreendimentos, e subsidiar medidas e intervenções futuras que os atenuem. </w:t>
      </w:r>
    </w:p>
    <w:p w:rsidR="0042690C" w:rsidRPr="0042690C" w:rsidRDefault="0042690C" w:rsidP="0042690C">
      <w:pPr>
        <w:spacing w:before="120" w:after="120" w:line="240" w:lineRule="auto"/>
        <w:rPr>
          <w:rFonts w:cs="Arial"/>
          <w:szCs w:val="22"/>
        </w:rPr>
      </w:pPr>
      <w:r w:rsidRPr="0042690C">
        <w:rPr>
          <w:rFonts w:eastAsia="Calibri" w:cs="Arial"/>
          <w:szCs w:val="22"/>
        </w:rPr>
        <w:t>Recomenda-se a execução de um</w:t>
      </w:r>
      <w:r w:rsidRPr="0042690C">
        <w:rPr>
          <w:rFonts w:cs="Arial"/>
          <w:color w:val="000000"/>
          <w:szCs w:val="22"/>
        </w:rPr>
        <w:t xml:space="preserve"> Programa de Recuperação de Áreas Degradadas; Programa de Reflorestamento</w:t>
      </w:r>
      <w:r>
        <w:rPr>
          <w:rFonts w:cs="Arial"/>
          <w:color w:val="000000"/>
          <w:szCs w:val="22"/>
        </w:rPr>
        <w:t xml:space="preserve"> </w:t>
      </w:r>
      <w:r w:rsidRPr="0042690C">
        <w:rPr>
          <w:rFonts w:cs="Arial"/>
          <w:szCs w:val="22"/>
        </w:rPr>
        <w:t>de áreas de APP</w:t>
      </w:r>
      <w:r w:rsidR="00176F1A">
        <w:rPr>
          <w:rFonts w:cs="Arial"/>
          <w:szCs w:val="22"/>
        </w:rPr>
        <w:t>’</w:t>
      </w:r>
      <w:r w:rsidRPr="0042690C">
        <w:rPr>
          <w:rFonts w:cs="Arial"/>
          <w:szCs w:val="22"/>
        </w:rPr>
        <w:t>s dos futuros reservatórios e nos trechos de montante; Programas de Educação Ambiental para os moradores e proprietários das áreas próximas dos represamentos.</w:t>
      </w:r>
    </w:p>
    <w:p w:rsidR="0042690C" w:rsidRPr="0042690C" w:rsidRDefault="0042690C" w:rsidP="0042690C">
      <w:pPr>
        <w:tabs>
          <w:tab w:val="left" w:pos="561"/>
        </w:tabs>
        <w:spacing w:before="120" w:after="120" w:line="240" w:lineRule="auto"/>
        <w:rPr>
          <w:rFonts w:cs="Arial"/>
          <w:szCs w:val="22"/>
        </w:rPr>
      </w:pPr>
      <w:r w:rsidRPr="0042690C">
        <w:rPr>
          <w:rFonts w:cs="Arial"/>
          <w:szCs w:val="22"/>
        </w:rPr>
        <w:t>Sugere-se que parte das espécies de plantas nativas a serem usadas na recomposição das áreas de APP</w:t>
      </w:r>
      <w:r w:rsidR="00176F1A">
        <w:rPr>
          <w:rFonts w:cs="Arial"/>
          <w:szCs w:val="22"/>
        </w:rPr>
        <w:t>’</w:t>
      </w:r>
      <w:r w:rsidRPr="0042690C">
        <w:rPr>
          <w:rFonts w:cs="Arial"/>
          <w:szCs w:val="22"/>
        </w:rPr>
        <w:t>s dos reservatórios seja do tipo que produzam frutos a fim de atrair animais artrópodes, sobretudo insetos e, eventualmente, servirem de alimentos diretamente para parte da ictiofauna, em especial das espécies nativas.</w:t>
      </w:r>
    </w:p>
    <w:p w:rsidR="0042690C" w:rsidRPr="0042690C" w:rsidRDefault="0042690C" w:rsidP="0042690C">
      <w:pPr>
        <w:spacing w:before="120" w:after="120" w:line="240" w:lineRule="auto"/>
        <w:rPr>
          <w:rFonts w:cs="Arial"/>
          <w:szCs w:val="22"/>
        </w:rPr>
      </w:pPr>
      <w:r w:rsidRPr="0042690C">
        <w:rPr>
          <w:rFonts w:cs="Arial"/>
          <w:szCs w:val="22"/>
        </w:rPr>
        <w:t>Além disso recomenda-se a recuperação e manutenção das APP</w:t>
      </w:r>
      <w:r w:rsidR="00176F1A">
        <w:rPr>
          <w:rFonts w:cs="Arial"/>
          <w:szCs w:val="22"/>
        </w:rPr>
        <w:t>’</w:t>
      </w:r>
      <w:r w:rsidRPr="0042690C">
        <w:rPr>
          <w:rFonts w:cs="Arial"/>
          <w:szCs w:val="22"/>
        </w:rPr>
        <w:t>s dos trechos remanescentes dos ambientes lóticos e semi-lóticos nos rios afluentes da ADA (sobretudo no ribeirão</w:t>
      </w:r>
      <w:r w:rsidR="008C15C3">
        <w:rPr>
          <w:rFonts w:cs="Arial"/>
          <w:szCs w:val="22"/>
        </w:rPr>
        <w:t xml:space="preserve"> do Pantaleão no reservatório da </w:t>
      </w:r>
      <w:r w:rsidR="00A13A2D">
        <w:rPr>
          <w:rFonts w:cs="Arial"/>
          <w:szCs w:val="22"/>
        </w:rPr>
        <w:t>B</w:t>
      </w:r>
      <w:r w:rsidR="008C15C3">
        <w:rPr>
          <w:rFonts w:cs="Arial"/>
          <w:szCs w:val="22"/>
        </w:rPr>
        <w:t>arragem</w:t>
      </w:r>
      <w:r w:rsidRPr="0042690C">
        <w:rPr>
          <w:rFonts w:cs="Arial"/>
          <w:szCs w:val="22"/>
        </w:rPr>
        <w:t xml:space="preserve"> Duas Pontes e do ribeirão Entre-Montes no reservatório d</w:t>
      </w:r>
      <w:r w:rsidR="008C15C3">
        <w:rPr>
          <w:rFonts w:cs="Arial"/>
          <w:szCs w:val="22"/>
        </w:rPr>
        <w:t xml:space="preserve">a </w:t>
      </w:r>
      <w:r w:rsidR="00A13A2D">
        <w:rPr>
          <w:rFonts w:cs="Arial"/>
          <w:szCs w:val="22"/>
        </w:rPr>
        <w:t>B</w:t>
      </w:r>
      <w:r w:rsidR="008C15C3">
        <w:rPr>
          <w:rFonts w:cs="Arial"/>
          <w:szCs w:val="22"/>
        </w:rPr>
        <w:t>arragem</w:t>
      </w:r>
      <w:r w:rsidRPr="0042690C">
        <w:rPr>
          <w:rFonts w:cs="Arial"/>
          <w:szCs w:val="22"/>
        </w:rPr>
        <w:t xml:space="preserve"> Pedreira) e nos trechos dos rios Camanducaia e Jaguari situados logo a montante das áreas afetadas pela implantação dos empreendimentos.</w:t>
      </w:r>
    </w:p>
    <w:p w:rsidR="0042690C" w:rsidRPr="0042690C" w:rsidRDefault="0042690C" w:rsidP="003C4386">
      <w:pPr>
        <w:spacing w:before="120" w:after="120" w:line="240" w:lineRule="auto"/>
        <w:rPr>
          <w:rFonts w:cs="Arial"/>
          <w:szCs w:val="22"/>
        </w:rPr>
      </w:pPr>
      <w:r w:rsidRPr="0042690C">
        <w:rPr>
          <w:rFonts w:cs="Arial"/>
          <w:szCs w:val="22"/>
        </w:rPr>
        <w:t>A fim de impedir impactos negativos sobre o componente do ictioplâncton, o Programa de Educação Ambiental deve recomendar o uso controlado na AID e ADA de qualquer tipo de veneno ou defensivo agrícola, assim como nas áreas de montante dos reservatórios.</w:t>
      </w:r>
    </w:p>
    <w:p w:rsidR="00973BCF" w:rsidRPr="002C0D71" w:rsidRDefault="00973BCF" w:rsidP="002C0D71">
      <w:pPr>
        <w:pStyle w:val="Ttulo3"/>
      </w:pPr>
      <w:bookmarkStart w:id="354" w:name="_Toc418758247"/>
      <w:bookmarkStart w:id="355" w:name="_Toc418758849"/>
      <w:bookmarkStart w:id="356" w:name="_Toc419813609"/>
      <w:r w:rsidRPr="002C0D71">
        <w:t>1.3.3</w:t>
      </w:r>
      <w:r w:rsidR="008204B6" w:rsidRPr="002C0D71">
        <w:t>.</w:t>
      </w:r>
      <w:r w:rsidRPr="002C0D71">
        <w:t xml:space="preserve"> Meio Socioeconômico</w:t>
      </w:r>
      <w:bookmarkEnd w:id="354"/>
      <w:bookmarkEnd w:id="355"/>
      <w:bookmarkEnd w:id="356"/>
    </w:p>
    <w:p w:rsidR="00973BCF" w:rsidRPr="00CA6BBE" w:rsidRDefault="00CD6D82">
      <w:pPr>
        <w:pStyle w:val="Ttulo3"/>
      </w:pPr>
      <w:bookmarkStart w:id="357" w:name="_Toc418758248"/>
      <w:bookmarkStart w:id="358" w:name="_Toc418758850"/>
      <w:bookmarkStart w:id="359" w:name="_Toc419813610"/>
      <w:r w:rsidRPr="00CA6BBE">
        <w:rPr>
          <w:rFonts w:cs="Arial"/>
          <w:szCs w:val="22"/>
        </w:rPr>
        <w:t>1.3.3.1</w:t>
      </w:r>
      <w:r w:rsidR="00973BCF" w:rsidRPr="00CA6BBE">
        <w:t>. Compatibiliza</w:t>
      </w:r>
      <w:r w:rsidR="00973BCF" w:rsidRPr="00CA6BBE">
        <w:rPr>
          <w:rFonts w:hint="eastAsia"/>
        </w:rPr>
        <w:t>çã</w:t>
      </w:r>
      <w:r w:rsidR="00973BCF" w:rsidRPr="00CA6BBE">
        <w:t>o com a Leg</w:t>
      </w:r>
      <w:r w:rsidR="00977D4A" w:rsidRPr="00CA6BBE">
        <w:t>isla</w:t>
      </w:r>
      <w:r w:rsidR="00977D4A" w:rsidRPr="00CA6BBE">
        <w:rPr>
          <w:rFonts w:hint="eastAsia"/>
        </w:rPr>
        <w:t>çã</w:t>
      </w:r>
      <w:r w:rsidR="00977D4A" w:rsidRPr="00CA6BBE">
        <w:t>o e P</w:t>
      </w:r>
      <w:r w:rsidR="00973BCF" w:rsidRPr="00CA6BBE">
        <w:t>ol</w:t>
      </w:r>
      <w:r w:rsidR="00973BCF" w:rsidRPr="00CA6BBE">
        <w:rPr>
          <w:rFonts w:hint="eastAsia"/>
        </w:rPr>
        <w:t>í</w:t>
      </w:r>
      <w:r w:rsidR="00973BCF" w:rsidRPr="00CA6BBE">
        <w:t>ticas, Planos e Projetos Existentes</w:t>
      </w:r>
      <w:bookmarkEnd w:id="357"/>
      <w:bookmarkEnd w:id="358"/>
      <w:bookmarkEnd w:id="359"/>
    </w:p>
    <w:p w:rsidR="003B40AC" w:rsidRPr="005C79E4" w:rsidRDefault="003B40AC" w:rsidP="003B40AC">
      <w:pPr>
        <w:widowControl w:val="0"/>
        <w:autoSpaceDE w:val="0"/>
        <w:autoSpaceDN w:val="0"/>
        <w:adjustRightInd w:val="0"/>
        <w:spacing w:before="120" w:after="120" w:line="240" w:lineRule="auto"/>
        <w:rPr>
          <w:rFonts w:eastAsia="Calibri" w:cs="Arial"/>
          <w:szCs w:val="22"/>
          <w:lang w:eastAsia="en-US"/>
        </w:rPr>
      </w:pPr>
      <w:r w:rsidRPr="005C79E4">
        <w:rPr>
          <w:rFonts w:eastAsia="Calibri" w:cs="Arial"/>
          <w:szCs w:val="22"/>
          <w:lang w:eastAsia="en-US"/>
        </w:rPr>
        <w:t>Embora esteja ocorrendo um reconhecido processo de avanço, as instâncias institucionais ainda padecem de visões conflitantes sobre diversas questões, tanto nas áreas urbanas quanto nas rurais, e nesta última, com destaque para as questões relativas ao uso das águas e direitos de propriedades. Ambas as questões são abordadas e discutidas em relação à implantação das barragens Pedreira e Duas Pontes, somando-se a elas a delicada questão referente às populações que ocupam as margens dos rios atingidos, nem sempre proprietárias das terras onde habitam e de onde retiram seus sustentos.</w:t>
      </w:r>
    </w:p>
    <w:p w:rsidR="001B7276" w:rsidRPr="00C9459C" w:rsidRDefault="003B40AC" w:rsidP="003B40AC">
      <w:pPr>
        <w:widowControl w:val="0"/>
        <w:autoSpaceDE w:val="0"/>
        <w:autoSpaceDN w:val="0"/>
        <w:adjustRightInd w:val="0"/>
        <w:spacing w:before="120" w:after="120" w:line="240" w:lineRule="auto"/>
        <w:rPr>
          <w:rFonts w:cs="Arial"/>
          <w:szCs w:val="22"/>
        </w:rPr>
      </w:pPr>
      <w:r w:rsidRPr="005C79E4">
        <w:rPr>
          <w:rFonts w:eastAsia="Calibri" w:cs="Arial"/>
          <w:szCs w:val="22"/>
          <w:lang w:eastAsia="en-US"/>
        </w:rPr>
        <w:t xml:space="preserve">O impacto socioeconômico relativo à </w:t>
      </w:r>
      <w:r w:rsidRPr="005C79E4">
        <w:rPr>
          <w:rFonts w:cs="Arial"/>
          <w:szCs w:val="22"/>
        </w:rPr>
        <w:t>Compatibilização com a Legislação Existente</w:t>
      </w:r>
      <w:r w:rsidRPr="005C79E4">
        <w:rPr>
          <w:rFonts w:eastAsia="Calibri" w:cs="Arial"/>
          <w:szCs w:val="22"/>
          <w:lang w:eastAsia="en-US"/>
        </w:rPr>
        <w:t xml:space="preserve"> tende a aflorar durante os primeiros levantamentos de campo, nos contatos com representantes institucionais regionais, afetos às questões de planejamento estratégico que baseia as políticas públicas de desenvolvimento e de meio ambiente. É importante ressaltar que este impacto deriva da estrutura regulamentar pré-existente e não se dilui completamente com as soluções institucionais adotadas, sendo necessário que as instâncias políticas, sobretudo as regionais, mantenham-se atentas à real execução de todas as tratativas planejadas. Constam neste impacto a Compatibilidade com Áreas Protegidas e a </w:t>
      </w:r>
      <w:r w:rsidRPr="005C79E4">
        <w:rPr>
          <w:rFonts w:cs="Arial"/>
          <w:szCs w:val="22"/>
        </w:rPr>
        <w:t>Compatibilidade com Planos, Projetos e Programas, inclusive planos diretores dos municípios afetados.</w:t>
      </w:r>
    </w:p>
    <w:p w:rsidR="003B40AC" w:rsidRPr="005C79E4" w:rsidRDefault="003B40AC" w:rsidP="00176F1A">
      <w:pPr>
        <w:spacing w:before="240" w:after="240" w:line="240" w:lineRule="auto"/>
        <w:rPr>
          <w:rFonts w:cs="Arial"/>
          <w:b/>
          <w:szCs w:val="22"/>
        </w:rPr>
      </w:pPr>
      <w:r w:rsidRPr="005C79E4">
        <w:rPr>
          <w:rFonts w:cs="Arial"/>
          <w:b/>
          <w:szCs w:val="22"/>
        </w:rPr>
        <w:t>Fases: Planejamento, Implantação e Operação</w:t>
      </w:r>
    </w:p>
    <w:p w:rsidR="003B40AC" w:rsidRPr="005C79E4" w:rsidRDefault="003B40AC" w:rsidP="003B40AC">
      <w:pPr>
        <w:widowControl w:val="0"/>
        <w:autoSpaceDE w:val="0"/>
        <w:autoSpaceDN w:val="0"/>
        <w:adjustRightInd w:val="0"/>
        <w:spacing w:before="120" w:after="120" w:line="240" w:lineRule="auto"/>
        <w:rPr>
          <w:rFonts w:eastAsia="Calibri" w:cs="Arial"/>
          <w:szCs w:val="22"/>
          <w:lang w:eastAsia="en-US"/>
        </w:rPr>
      </w:pPr>
      <w:r w:rsidRPr="005C79E4">
        <w:rPr>
          <w:rFonts w:eastAsia="Calibri" w:cs="Arial"/>
          <w:szCs w:val="22"/>
          <w:lang w:eastAsia="en-US"/>
        </w:rPr>
        <w:t xml:space="preserve">Ao longo deste estudo foram apresentados os principais instrumentos incidentes sobre a área do empreendimento. Foram consideradas as Áreas Protegidas tais como as UC - Unidades de Conservação e as APP- Área de Preservação Permanente, a legislação dos municípios da AID, além de Políticas Públicas, Planos e Programas e Projetos Colocalizados. </w:t>
      </w:r>
    </w:p>
    <w:p w:rsidR="003B40AC" w:rsidRPr="005C79E4" w:rsidRDefault="003B40AC" w:rsidP="003B40AC">
      <w:pPr>
        <w:widowControl w:val="0"/>
        <w:autoSpaceDE w:val="0"/>
        <w:autoSpaceDN w:val="0"/>
        <w:adjustRightInd w:val="0"/>
        <w:spacing w:before="120" w:after="120" w:line="240" w:lineRule="auto"/>
        <w:rPr>
          <w:rFonts w:eastAsia="Calibri" w:cs="Arial"/>
          <w:szCs w:val="22"/>
          <w:lang w:eastAsia="en-US"/>
        </w:rPr>
      </w:pPr>
      <w:r w:rsidRPr="005C79E4">
        <w:rPr>
          <w:rFonts w:eastAsia="Calibri" w:cs="Arial"/>
          <w:szCs w:val="22"/>
          <w:lang w:eastAsia="en-US"/>
        </w:rPr>
        <w:t xml:space="preserve">Observe-se que as áreas legalmente protegidas a ser interferidas pelo empreendimento são as </w:t>
      </w:r>
      <w:r w:rsidRPr="005C79E4">
        <w:t xml:space="preserve">APAs Piracicaba/Juqueri-Mirim (Área II) </w:t>
      </w:r>
      <w:r w:rsidRPr="005C79E4">
        <w:rPr>
          <w:rFonts w:eastAsia="Calibri" w:cs="Arial"/>
          <w:szCs w:val="22"/>
          <w:lang w:eastAsia="en-US"/>
        </w:rPr>
        <w:t xml:space="preserve">e APA Municipal de Campinas e as </w:t>
      </w:r>
      <w:r w:rsidR="00267805">
        <w:rPr>
          <w:rFonts w:eastAsia="Calibri" w:cs="Arial"/>
          <w:szCs w:val="22"/>
          <w:lang w:eastAsia="en-US"/>
        </w:rPr>
        <w:t>Á</w:t>
      </w:r>
      <w:r w:rsidRPr="005C79E4">
        <w:rPr>
          <w:rFonts w:eastAsia="Calibri" w:cs="Arial"/>
          <w:szCs w:val="22"/>
          <w:lang w:eastAsia="en-US"/>
        </w:rPr>
        <w:t xml:space="preserve">reas de Preservação Permanente (APP), que estão analisadas sob o ponto de vista biótico em impacto específico sobre este aspecto, (ver impactos do meio biótico) com apresentação das medidas mitigadoras e compensatórias cabíveis. </w:t>
      </w:r>
    </w:p>
    <w:p w:rsidR="003B40AC" w:rsidRPr="005C79E4" w:rsidRDefault="003B40AC" w:rsidP="003B40AC">
      <w:pPr>
        <w:widowControl w:val="0"/>
        <w:autoSpaceDE w:val="0"/>
        <w:autoSpaceDN w:val="0"/>
        <w:adjustRightInd w:val="0"/>
        <w:spacing w:before="120" w:after="120" w:line="240" w:lineRule="auto"/>
        <w:rPr>
          <w:rFonts w:eastAsia="Calibri" w:cs="Arial"/>
          <w:szCs w:val="22"/>
          <w:lang w:eastAsia="en-US"/>
        </w:rPr>
      </w:pPr>
      <w:r w:rsidRPr="005C79E4">
        <w:rPr>
          <w:rFonts w:eastAsia="Calibri" w:cs="Arial"/>
          <w:szCs w:val="22"/>
          <w:lang w:eastAsia="en-US"/>
        </w:rPr>
        <w:t>A área de abrangência desse eventual impacto inclui toda a ADA das Barragens Pedreira e Duas Pontes. Durante o processo de elaboração desse estudo ambiental se verificou que existe compatibilidade do empreendimento com políticas em todos os níveis da administração pública, com destaque às politicas ambientais, de recursos hídricos, energéticas, e de transportes, assim como com a legislação ambiental.</w:t>
      </w:r>
    </w:p>
    <w:p w:rsidR="003B40AC" w:rsidRDefault="003B40AC" w:rsidP="003B40AC">
      <w:pPr>
        <w:widowControl w:val="0"/>
        <w:autoSpaceDE w:val="0"/>
        <w:autoSpaceDN w:val="0"/>
        <w:adjustRightInd w:val="0"/>
        <w:spacing w:before="120" w:after="120" w:line="240" w:lineRule="auto"/>
        <w:rPr>
          <w:rFonts w:eastAsia="Calibri" w:cs="Arial"/>
          <w:szCs w:val="22"/>
          <w:lang w:eastAsia="en-US"/>
        </w:rPr>
      </w:pPr>
      <w:r w:rsidRPr="005C79E4">
        <w:rPr>
          <w:rFonts w:eastAsia="Calibri" w:cs="Arial"/>
          <w:szCs w:val="22"/>
          <w:lang w:eastAsia="en-US"/>
        </w:rPr>
        <w:t>No que se refere às áreas legalmente protegidas tem-se que a APA é por definição uma Unidade de Conservação na categoria de uso sustentável, sendo permitida a realização de usos antrópicos em seu território, de acordo com as diretrizes e especificidades do plano de manejo específico de cada unidade. Por sua vez o uso das APP é permitido em casos excepcionais mediante autorização do órgão ambiental. Embora o uso seja compatível, a excepcionalidade confere a esse impacto caráter negativo. Tenderá a ser um fenômeno duradouro, ou seja, permanente. Considerando-se que o empreendedor deverá desenvolver programas para aprimorar a adequação do empreendimento à legislação existente, trata-se de impacto reversível. Sua ocorrência é de médio prazo, estimando-se que a magnitude, relevância e significância sejam pequenas, visto que foi analisada a compatibilidade com a legislação vigente e propostas medidas mitigadoras aos impactos previstos, sua a classificação é de muito baixa importância.</w:t>
      </w:r>
    </w:p>
    <w:p w:rsidR="003B40AC" w:rsidRPr="00C37DA1" w:rsidRDefault="00B44C8E" w:rsidP="00C37DA1">
      <w:pPr>
        <w:pStyle w:val="Legenda"/>
        <w:spacing w:line="240" w:lineRule="auto"/>
        <w:jc w:val="center"/>
        <w:rPr>
          <w:b w:val="0"/>
          <w:i w:val="0"/>
        </w:rPr>
      </w:pPr>
      <w:bookmarkStart w:id="360" w:name="_Toc420316517"/>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74</w:t>
      </w:r>
      <w:r w:rsidR="00B80A05" w:rsidRPr="00C37DA1">
        <w:rPr>
          <w:i w:val="0"/>
        </w:rPr>
        <w:fldChar w:fldCharType="end"/>
      </w:r>
      <w:r w:rsidR="00C37DA1" w:rsidRPr="00C37DA1">
        <w:rPr>
          <w:i w:val="0"/>
        </w:rPr>
        <w:t>.</w:t>
      </w:r>
      <w:r w:rsidR="00C37DA1" w:rsidRPr="00C37DA1">
        <w:rPr>
          <w:b w:val="0"/>
          <w:i w:val="0"/>
        </w:rPr>
        <w:t xml:space="preserve"> - </w:t>
      </w:r>
      <w:r w:rsidR="003B40AC" w:rsidRPr="00C37DA1">
        <w:rPr>
          <w:b w:val="0"/>
          <w:i w:val="0"/>
        </w:rPr>
        <w:t>Caracterização do Impacto - Compatibilização com a Legislação e Políticas</w:t>
      </w:r>
      <w:r w:rsidR="009E5FD8" w:rsidRPr="00C37DA1">
        <w:rPr>
          <w:b w:val="0"/>
          <w:i w:val="0"/>
        </w:rPr>
        <w:t>, Planos e Projetos Existentes - Barragens Pedreira e Duas Pontes</w:t>
      </w:r>
      <w:bookmarkEnd w:id="360"/>
    </w:p>
    <w:tbl>
      <w:tblPr>
        <w:tblW w:w="0" w:type="auto"/>
        <w:jc w:val="center"/>
        <w:tblInd w:w="-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1302"/>
        <w:gridCol w:w="1842"/>
        <w:gridCol w:w="1694"/>
        <w:gridCol w:w="3035"/>
      </w:tblGrid>
      <w:tr w:rsidR="003B40AC" w:rsidRPr="005C79E4" w:rsidTr="000F69FA">
        <w:trPr>
          <w:trHeight w:hRule="exact" w:val="531"/>
          <w:jc w:val="center"/>
        </w:trPr>
        <w:tc>
          <w:tcPr>
            <w:tcW w:w="1303" w:type="dxa"/>
            <w:shd w:val="clear" w:color="auto" w:fill="D9D9D9" w:themeFill="background1" w:themeFillShade="D9"/>
            <w:vAlign w:val="center"/>
          </w:tcPr>
          <w:p w:rsidR="003B40AC" w:rsidRPr="005C79E4" w:rsidRDefault="003B40AC" w:rsidP="001B7276">
            <w:pPr>
              <w:spacing w:line="240" w:lineRule="auto"/>
              <w:jc w:val="center"/>
              <w:rPr>
                <w:rFonts w:cs="Arial"/>
                <w:b/>
                <w:sz w:val="20"/>
              </w:rPr>
            </w:pPr>
            <w:r w:rsidRPr="005C79E4">
              <w:rPr>
                <w:rFonts w:cs="Arial"/>
                <w:b/>
                <w:sz w:val="20"/>
              </w:rPr>
              <w:t>Natureza</w:t>
            </w:r>
          </w:p>
        </w:tc>
        <w:tc>
          <w:tcPr>
            <w:tcW w:w="1302" w:type="dxa"/>
            <w:shd w:val="clear" w:color="auto" w:fill="D9D9D9" w:themeFill="background1" w:themeFillShade="D9"/>
            <w:vAlign w:val="center"/>
          </w:tcPr>
          <w:p w:rsidR="003B40AC" w:rsidRPr="005C79E4" w:rsidRDefault="003B40AC" w:rsidP="001B7276">
            <w:pPr>
              <w:spacing w:line="240" w:lineRule="auto"/>
              <w:jc w:val="center"/>
              <w:rPr>
                <w:rFonts w:cs="Arial"/>
                <w:b/>
                <w:sz w:val="20"/>
              </w:rPr>
            </w:pPr>
            <w:r w:rsidRPr="005C79E4">
              <w:rPr>
                <w:rFonts w:cs="Arial"/>
                <w:b/>
                <w:sz w:val="20"/>
              </w:rPr>
              <w:t>Ordem</w:t>
            </w:r>
          </w:p>
        </w:tc>
        <w:tc>
          <w:tcPr>
            <w:tcW w:w="1842" w:type="dxa"/>
            <w:shd w:val="clear" w:color="auto" w:fill="D9D9D9" w:themeFill="background1" w:themeFillShade="D9"/>
            <w:vAlign w:val="center"/>
          </w:tcPr>
          <w:p w:rsidR="003B40AC" w:rsidRPr="005C79E4" w:rsidRDefault="003B40AC" w:rsidP="001B7276">
            <w:pPr>
              <w:spacing w:line="240" w:lineRule="auto"/>
              <w:jc w:val="center"/>
              <w:rPr>
                <w:rFonts w:cs="Arial"/>
                <w:b/>
                <w:sz w:val="20"/>
              </w:rPr>
            </w:pPr>
            <w:r w:rsidRPr="005C79E4">
              <w:rPr>
                <w:rFonts w:cs="Arial"/>
                <w:b/>
                <w:sz w:val="20"/>
              </w:rPr>
              <w:t>Abrangência</w:t>
            </w:r>
          </w:p>
        </w:tc>
        <w:tc>
          <w:tcPr>
            <w:tcW w:w="1694" w:type="dxa"/>
            <w:shd w:val="clear" w:color="auto" w:fill="D9D9D9" w:themeFill="background1" w:themeFillShade="D9"/>
            <w:vAlign w:val="center"/>
          </w:tcPr>
          <w:p w:rsidR="003B40AC" w:rsidRPr="005C79E4" w:rsidRDefault="003B40AC" w:rsidP="001B7276">
            <w:pPr>
              <w:spacing w:line="240" w:lineRule="auto"/>
              <w:jc w:val="center"/>
              <w:rPr>
                <w:rFonts w:cs="Arial"/>
                <w:b/>
                <w:sz w:val="20"/>
              </w:rPr>
            </w:pPr>
            <w:r w:rsidRPr="005C79E4">
              <w:rPr>
                <w:rFonts w:cs="Arial"/>
                <w:b/>
                <w:sz w:val="20"/>
              </w:rPr>
              <w:t>Duração</w:t>
            </w:r>
          </w:p>
        </w:tc>
        <w:tc>
          <w:tcPr>
            <w:tcW w:w="3035" w:type="dxa"/>
            <w:shd w:val="clear" w:color="auto" w:fill="D9D9D9" w:themeFill="background1" w:themeFillShade="D9"/>
            <w:vAlign w:val="center"/>
          </w:tcPr>
          <w:p w:rsidR="003B40AC" w:rsidRPr="005C79E4" w:rsidRDefault="003B40AC" w:rsidP="001B7276">
            <w:pPr>
              <w:spacing w:line="240" w:lineRule="auto"/>
              <w:jc w:val="center"/>
              <w:rPr>
                <w:rFonts w:cs="Arial"/>
                <w:b/>
                <w:sz w:val="20"/>
              </w:rPr>
            </w:pPr>
            <w:r w:rsidRPr="005C79E4">
              <w:rPr>
                <w:rFonts w:cs="Arial"/>
                <w:b/>
                <w:sz w:val="20"/>
              </w:rPr>
              <w:t>Probabilidade de Ocorrência</w:t>
            </w:r>
          </w:p>
        </w:tc>
      </w:tr>
      <w:tr w:rsidR="003B40AC" w:rsidRPr="005C79E4" w:rsidTr="003C4386">
        <w:trPr>
          <w:trHeight w:hRule="exact" w:val="465"/>
          <w:jc w:val="center"/>
        </w:trPr>
        <w:tc>
          <w:tcPr>
            <w:tcW w:w="1303" w:type="dxa"/>
            <w:shd w:val="clear" w:color="auto" w:fill="auto"/>
            <w:vAlign w:val="center"/>
          </w:tcPr>
          <w:p w:rsidR="003B40AC" w:rsidRPr="005C79E4" w:rsidRDefault="003B40AC" w:rsidP="001B7276">
            <w:pPr>
              <w:spacing w:line="240" w:lineRule="auto"/>
              <w:jc w:val="center"/>
              <w:rPr>
                <w:rFonts w:cs="Arial"/>
                <w:sz w:val="20"/>
              </w:rPr>
            </w:pPr>
            <w:r w:rsidRPr="005C79E4">
              <w:rPr>
                <w:rFonts w:cs="Arial"/>
                <w:sz w:val="20"/>
              </w:rPr>
              <w:t xml:space="preserve">Negativo </w:t>
            </w:r>
          </w:p>
        </w:tc>
        <w:tc>
          <w:tcPr>
            <w:tcW w:w="1302" w:type="dxa"/>
            <w:shd w:val="clear" w:color="auto" w:fill="auto"/>
            <w:vAlign w:val="center"/>
          </w:tcPr>
          <w:p w:rsidR="003B40AC" w:rsidRPr="005C79E4" w:rsidRDefault="003B40AC" w:rsidP="001B7276">
            <w:pPr>
              <w:spacing w:line="240" w:lineRule="auto"/>
              <w:jc w:val="center"/>
              <w:rPr>
                <w:rFonts w:cs="Arial"/>
                <w:sz w:val="20"/>
              </w:rPr>
            </w:pPr>
            <w:r w:rsidRPr="005C79E4">
              <w:rPr>
                <w:rFonts w:cs="Arial"/>
                <w:sz w:val="20"/>
              </w:rPr>
              <w:t>Direta</w:t>
            </w:r>
          </w:p>
        </w:tc>
        <w:tc>
          <w:tcPr>
            <w:tcW w:w="1842" w:type="dxa"/>
            <w:shd w:val="clear" w:color="auto" w:fill="auto"/>
            <w:vAlign w:val="center"/>
          </w:tcPr>
          <w:p w:rsidR="003B40AC" w:rsidRPr="005C79E4" w:rsidRDefault="003B40AC" w:rsidP="001B7276">
            <w:pPr>
              <w:spacing w:line="240" w:lineRule="auto"/>
              <w:jc w:val="center"/>
              <w:rPr>
                <w:rFonts w:cs="Arial"/>
                <w:sz w:val="20"/>
              </w:rPr>
            </w:pPr>
            <w:r w:rsidRPr="005C79E4">
              <w:rPr>
                <w:rFonts w:cs="Arial"/>
                <w:sz w:val="20"/>
              </w:rPr>
              <w:t>ADA</w:t>
            </w:r>
          </w:p>
        </w:tc>
        <w:tc>
          <w:tcPr>
            <w:tcW w:w="1694" w:type="dxa"/>
            <w:shd w:val="clear" w:color="auto" w:fill="auto"/>
            <w:vAlign w:val="center"/>
          </w:tcPr>
          <w:p w:rsidR="003B40AC" w:rsidRPr="005C79E4" w:rsidRDefault="003B40AC" w:rsidP="001B7276">
            <w:pPr>
              <w:spacing w:line="240" w:lineRule="auto"/>
              <w:jc w:val="center"/>
              <w:rPr>
                <w:rFonts w:cs="Arial"/>
                <w:sz w:val="20"/>
              </w:rPr>
            </w:pPr>
            <w:r w:rsidRPr="005C79E4">
              <w:rPr>
                <w:rFonts w:cs="Arial"/>
                <w:sz w:val="20"/>
              </w:rPr>
              <w:t>Permanente</w:t>
            </w:r>
          </w:p>
        </w:tc>
        <w:tc>
          <w:tcPr>
            <w:tcW w:w="3035" w:type="dxa"/>
            <w:shd w:val="clear" w:color="auto" w:fill="auto"/>
            <w:vAlign w:val="center"/>
          </w:tcPr>
          <w:p w:rsidR="003B40AC" w:rsidRPr="005C79E4" w:rsidRDefault="003B40AC" w:rsidP="001B7276">
            <w:pPr>
              <w:spacing w:line="240" w:lineRule="auto"/>
              <w:jc w:val="center"/>
              <w:rPr>
                <w:rFonts w:cs="Arial"/>
                <w:sz w:val="20"/>
              </w:rPr>
            </w:pPr>
            <w:r w:rsidRPr="005C79E4">
              <w:rPr>
                <w:rFonts w:cs="Arial"/>
                <w:sz w:val="20"/>
              </w:rPr>
              <w:t>Possível</w:t>
            </w:r>
          </w:p>
        </w:tc>
      </w:tr>
    </w:tbl>
    <w:p w:rsidR="003B40AC" w:rsidRPr="005C79E4" w:rsidRDefault="003B40AC" w:rsidP="001B7276">
      <w:pPr>
        <w:spacing w:line="240" w:lineRule="auto"/>
      </w:pPr>
    </w:p>
    <w:tbl>
      <w:tblPr>
        <w:tblW w:w="9142" w:type="dxa"/>
        <w:jc w:val="center"/>
        <w:tblInd w:w="-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8"/>
        <w:gridCol w:w="1847"/>
        <w:gridCol w:w="1696"/>
        <w:gridCol w:w="1372"/>
        <w:gridCol w:w="1639"/>
      </w:tblGrid>
      <w:tr w:rsidR="003B40AC" w:rsidRPr="005C79E4" w:rsidTr="000F69FA">
        <w:trPr>
          <w:trHeight w:hRule="exact" w:val="618"/>
          <w:jc w:val="center"/>
        </w:trPr>
        <w:tc>
          <w:tcPr>
            <w:tcW w:w="2588" w:type="dxa"/>
            <w:shd w:val="clear" w:color="auto" w:fill="D9D9D9" w:themeFill="background1" w:themeFillShade="D9"/>
            <w:vAlign w:val="center"/>
          </w:tcPr>
          <w:p w:rsidR="003B40AC" w:rsidRPr="005C79E4" w:rsidRDefault="003B40AC" w:rsidP="001B7276">
            <w:pPr>
              <w:spacing w:line="240" w:lineRule="auto"/>
              <w:ind w:left="33" w:firstLine="1"/>
              <w:jc w:val="center"/>
              <w:rPr>
                <w:rFonts w:cs="Arial"/>
                <w:b/>
                <w:sz w:val="20"/>
              </w:rPr>
            </w:pPr>
            <w:r w:rsidRPr="005C79E4">
              <w:rPr>
                <w:rFonts w:cs="Arial"/>
                <w:b/>
                <w:sz w:val="20"/>
              </w:rPr>
              <w:t>Época de Ocorrência</w:t>
            </w:r>
          </w:p>
        </w:tc>
        <w:tc>
          <w:tcPr>
            <w:tcW w:w="1847" w:type="dxa"/>
            <w:shd w:val="clear" w:color="auto" w:fill="D9D9D9" w:themeFill="background1" w:themeFillShade="D9"/>
            <w:vAlign w:val="center"/>
          </w:tcPr>
          <w:p w:rsidR="003B40AC" w:rsidRPr="005C79E4" w:rsidRDefault="003B40AC" w:rsidP="001B7276">
            <w:pPr>
              <w:spacing w:line="240" w:lineRule="auto"/>
              <w:jc w:val="center"/>
              <w:rPr>
                <w:rFonts w:cs="Arial"/>
                <w:b/>
                <w:sz w:val="20"/>
              </w:rPr>
            </w:pPr>
            <w:r w:rsidRPr="005C79E4">
              <w:rPr>
                <w:rFonts w:cs="Arial"/>
                <w:b/>
                <w:sz w:val="20"/>
              </w:rPr>
              <w:t>Reversibilidade</w:t>
            </w:r>
          </w:p>
        </w:tc>
        <w:tc>
          <w:tcPr>
            <w:tcW w:w="1696" w:type="dxa"/>
            <w:shd w:val="clear" w:color="auto" w:fill="D9D9D9" w:themeFill="background1" w:themeFillShade="D9"/>
            <w:vAlign w:val="center"/>
          </w:tcPr>
          <w:p w:rsidR="003B40AC" w:rsidRPr="005C79E4" w:rsidRDefault="003B40AC" w:rsidP="001B7276">
            <w:pPr>
              <w:spacing w:line="240" w:lineRule="auto"/>
              <w:jc w:val="center"/>
              <w:rPr>
                <w:rFonts w:cs="Arial"/>
                <w:b/>
                <w:sz w:val="20"/>
              </w:rPr>
            </w:pPr>
            <w:r w:rsidRPr="005C79E4">
              <w:rPr>
                <w:rFonts w:cs="Arial"/>
                <w:b/>
                <w:sz w:val="20"/>
              </w:rPr>
              <w:t>Magnitude</w:t>
            </w:r>
          </w:p>
        </w:tc>
        <w:tc>
          <w:tcPr>
            <w:tcW w:w="1372" w:type="dxa"/>
            <w:shd w:val="clear" w:color="auto" w:fill="D9D9D9" w:themeFill="background1" w:themeFillShade="D9"/>
            <w:vAlign w:val="center"/>
          </w:tcPr>
          <w:p w:rsidR="003B40AC" w:rsidRPr="005C79E4" w:rsidRDefault="003B40AC" w:rsidP="001B7276">
            <w:pPr>
              <w:spacing w:line="240" w:lineRule="auto"/>
              <w:jc w:val="center"/>
              <w:rPr>
                <w:rFonts w:cs="Arial"/>
                <w:b/>
                <w:sz w:val="20"/>
              </w:rPr>
            </w:pPr>
            <w:r w:rsidRPr="005C79E4">
              <w:rPr>
                <w:rFonts w:cs="Arial"/>
                <w:b/>
                <w:sz w:val="20"/>
              </w:rPr>
              <w:t>Importância</w:t>
            </w:r>
          </w:p>
        </w:tc>
        <w:tc>
          <w:tcPr>
            <w:tcW w:w="1639" w:type="dxa"/>
            <w:shd w:val="clear" w:color="auto" w:fill="D9D9D9" w:themeFill="background1" w:themeFillShade="D9"/>
            <w:vAlign w:val="center"/>
          </w:tcPr>
          <w:p w:rsidR="003B40AC" w:rsidRPr="005C79E4" w:rsidRDefault="003B40AC" w:rsidP="001B7276">
            <w:pPr>
              <w:spacing w:line="240" w:lineRule="auto"/>
              <w:jc w:val="center"/>
              <w:rPr>
                <w:rFonts w:cs="Arial"/>
                <w:b/>
                <w:sz w:val="20"/>
              </w:rPr>
            </w:pPr>
            <w:r w:rsidRPr="005C79E4">
              <w:rPr>
                <w:rFonts w:cs="Arial"/>
                <w:b/>
                <w:sz w:val="20"/>
              </w:rPr>
              <w:t>Mitigação</w:t>
            </w:r>
          </w:p>
        </w:tc>
      </w:tr>
      <w:tr w:rsidR="003B40AC" w:rsidRPr="005C79E4" w:rsidTr="003C4386">
        <w:trPr>
          <w:trHeight w:hRule="exact" w:val="555"/>
          <w:jc w:val="center"/>
        </w:trPr>
        <w:tc>
          <w:tcPr>
            <w:tcW w:w="2588" w:type="dxa"/>
            <w:shd w:val="clear" w:color="auto" w:fill="auto"/>
            <w:vAlign w:val="center"/>
          </w:tcPr>
          <w:p w:rsidR="003B40AC" w:rsidRPr="005C79E4" w:rsidRDefault="003B40AC" w:rsidP="001B7276">
            <w:pPr>
              <w:spacing w:line="240" w:lineRule="auto"/>
              <w:jc w:val="center"/>
              <w:rPr>
                <w:rFonts w:cs="Arial"/>
                <w:sz w:val="20"/>
              </w:rPr>
            </w:pPr>
            <w:r w:rsidRPr="005C79E4">
              <w:rPr>
                <w:rFonts w:cs="Arial"/>
                <w:sz w:val="20"/>
              </w:rPr>
              <w:t>Médio prazo</w:t>
            </w:r>
          </w:p>
        </w:tc>
        <w:tc>
          <w:tcPr>
            <w:tcW w:w="1847" w:type="dxa"/>
            <w:vAlign w:val="center"/>
          </w:tcPr>
          <w:p w:rsidR="003B40AC" w:rsidRPr="005C79E4" w:rsidRDefault="003B40AC" w:rsidP="001B7276">
            <w:pPr>
              <w:spacing w:line="240" w:lineRule="auto"/>
              <w:jc w:val="center"/>
              <w:rPr>
                <w:rFonts w:cs="Arial"/>
                <w:sz w:val="20"/>
              </w:rPr>
            </w:pPr>
            <w:r w:rsidRPr="005C79E4">
              <w:rPr>
                <w:rFonts w:cs="Arial"/>
                <w:sz w:val="20"/>
              </w:rPr>
              <w:t>Reversível</w:t>
            </w:r>
          </w:p>
        </w:tc>
        <w:tc>
          <w:tcPr>
            <w:tcW w:w="1696" w:type="dxa"/>
            <w:shd w:val="clear" w:color="auto" w:fill="auto"/>
            <w:vAlign w:val="center"/>
          </w:tcPr>
          <w:p w:rsidR="003B40AC" w:rsidRPr="005C79E4" w:rsidRDefault="003B40AC" w:rsidP="001B7276">
            <w:pPr>
              <w:spacing w:line="240" w:lineRule="auto"/>
              <w:jc w:val="center"/>
              <w:rPr>
                <w:rFonts w:cs="Arial"/>
                <w:sz w:val="20"/>
              </w:rPr>
            </w:pPr>
            <w:r w:rsidRPr="005C79E4">
              <w:rPr>
                <w:rFonts w:cs="Arial"/>
                <w:sz w:val="20"/>
              </w:rPr>
              <w:t>Pequena</w:t>
            </w:r>
          </w:p>
        </w:tc>
        <w:tc>
          <w:tcPr>
            <w:tcW w:w="1372" w:type="dxa"/>
            <w:shd w:val="clear" w:color="auto" w:fill="auto"/>
            <w:vAlign w:val="center"/>
          </w:tcPr>
          <w:p w:rsidR="003B40AC" w:rsidRPr="005C79E4" w:rsidRDefault="003B40AC" w:rsidP="001B7276">
            <w:pPr>
              <w:spacing w:line="240" w:lineRule="auto"/>
              <w:jc w:val="center"/>
              <w:rPr>
                <w:rFonts w:cs="Arial"/>
                <w:sz w:val="20"/>
              </w:rPr>
            </w:pPr>
            <w:r w:rsidRPr="005C79E4">
              <w:rPr>
                <w:rFonts w:cs="Arial"/>
                <w:sz w:val="20"/>
              </w:rPr>
              <w:t>Baixa</w:t>
            </w:r>
          </w:p>
        </w:tc>
        <w:tc>
          <w:tcPr>
            <w:tcW w:w="1639" w:type="dxa"/>
            <w:shd w:val="clear" w:color="auto" w:fill="auto"/>
            <w:vAlign w:val="center"/>
          </w:tcPr>
          <w:p w:rsidR="003B40AC" w:rsidRPr="005C79E4" w:rsidRDefault="003B40AC" w:rsidP="001B7276">
            <w:pPr>
              <w:spacing w:line="240" w:lineRule="auto"/>
              <w:jc w:val="center"/>
              <w:rPr>
                <w:rFonts w:cs="Arial"/>
                <w:sz w:val="20"/>
              </w:rPr>
            </w:pPr>
            <w:r w:rsidRPr="005C79E4">
              <w:rPr>
                <w:rFonts w:cs="Arial"/>
                <w:sz w:val="20"/>
              </w:rPr>
              <w:t>Mitigável</w:t>
            </w:r>
          </w:p>
        </w:tc>
      </w:tr>
    </w:tbl>
    <w:p w:rsidR="003B40AC" w:rsidRPr="00844A91" w:rsidRDefault="003B40AC" w:rsidP="00844A91">
      <w:pPr>
        <w:widowControl w:val="0"/>
        <w:autoSpaceDE w:val="0"/>
        <w:autoSpaceDN w:val="0"/>
        <w:adjustRightInd w:val="0"/>
        <w:spacing w:line="240" w:lineRule="auto"/>
        <w:rPr>
          <w:rFonts w:eastAsia="Calibri" w:cs="Arial"/>
          <w:szCs w:val="22"/>
          <w:lang w:eastAsia="en-US"/>
        </w:rPr>
      </w:pPr>
    </w:p>
    <w:p w:rsidR="003B40AC" w:rsidRPr="005C79E4" w:rsidRDefault="003B40AC" w:rsidP="003B40AC">
      <w:pPr>
        <w:widowControl w:val="0"/>
        <w:autoSpaceDE w:val="0"/>
        <w:autoSpaceDN w:val="0"/>
        <w:adjustRightInd w:val="0"/>
        <w:spacing w:before="120" w:after="120" w:line="240" w:lineRule="auto"/>
        <w:rPr>
          <w:rFonts w:eastAsia="Calibri" w:cs="Arial"/>
          <w:szCs w:val="22"/>
          <w:lang w:eastAsia="en-US"/>
        </w:rPr>
      </w:pPr>
      <w:r w:rsidRPr="005C79E4">
        <w:rPr>
          <w:rFonts w:eastAsia="Calibri" w:cs="Arial"/>
          <w:b/>
          <w:szCs w:val="22"/>
          <w:lang w:eastAsia="en-US"/>
        </w:rPr>
        <w:t xml:space="preserve">Ações Ambientais Propostas: </w:t>
      </w:r>
    </w:p>
    <w:p w:rsidR="003B40AC" w:rsidRPr="005C79E4" w:rsidRDefault="003B40AC" w:rsidP="003B40AC">
      <w:pPr>
        <w:widowControl w:val="0"/>
        <w:autoSpaceDE w:val="0"/>
        <w:autoSpaceDN w:val="0"/>
        <w:adjustRightInd w:val="0"/>
        <w:spacing w:before="120" w:after="120" w:line="240" w:lineRule="auto"/>
        <w:rPr>
          <w:rFonts w:eastAsia="Calibri" w:cs="Arial"/>
          <w:szCs w:val="22"/>
          <w:lang w:eastAsia="en-US"/>
        </w:rPr>
      </w:pPr>
      <w:r w:rsidRPr="005C79E4">
        <w:rPr>
          <w:rFonts w:eastAsia="Calibri" w:cs="Arial"/>
          <w:szCs w:val="22"/>
          <w:lang w:eastAsia="en-US"/>
        </w:rPr>
        <w:t xml:space="preserve">Medidas mitigadoras a este impacto deverão constar do Programa de </w:t>
      </w:r>
      <w:r w:rsidR="00D225D5">
        <w:rPr>
          <w:rFonts w:eastAsia="Calibri" w:cs="Arial"/>
          <w:szCs w:val="22"/>
          <w:lang w:eastAsia="en-US"/>
        </w:rPr>
        <w:t>Comunicação e Interação Social</w:t>
      </w:r>
      <w:r w:rsidRPr="005C79E4">
        <w:rPr>
          <w:rFonts w:eastAsia="Calibri" w:cs="Arial"/>
          <w:szCs w:val="22"/>
          <w:lang w:eastAsia="en-US"/>
        </w:rPr>
        <w:t xml:space="preserve"> e do Programa de Educação Ambiental, informando a população sobre a conformidade legal do empreendimento.</w:t>
      </w:r>
    </w:p>
    <w:p w:rsidR="003B40AC" w:rsidRPr="005C79E4" w:rsidRDefault="003B40AC" w:rsidP="003B40AC">
      <w:pPr>
        <w:widowControl w:val="0"/>
        <w:autoSpaceDE w:val="0"/>
        <w:autoSpaceDN w:val="0"/>
        <w:adjustRightInd w:val="0"/>
        <w:spacing w:before="120" w:after="120" w:line="240" w:lineRule="auto"/>
        <w:rPr>
          <w:rFonts w:eastAsia="Calibri" w:cs="Arial"/>
          <w:szCs w:val="22"/>
          <w:lang w:eastAsia="en-US"/>
        </w:rPr>
      </w:pPr>
      <w:r w:rsidRPr="005C79E4">
        <w:rPr>
          <w:rFonts w:eastAsia="Calibri" w:cs="Arial"/>
          <w:szCs w:val="22"/>
          <w:lang w:eastAsia="en-US"/>
        </w:rPr>
        <w:t xml:space="preserve">Ressalta-se que todas as atividades, planos e programas decorrentes e propostos para as Barragens Pedreira e Duas Pontes devem estar em consonância com as diretrizes municipais de uso do solo e do zoneamento das APAs conforme plano de manejo, caso existam. </w:t>
      </w:r>
    </w:p>
    <w:p w:rsidR="007F327D" w:rsidRPr="002C0D71" w:rsidRDefault="007F327D" w:rsidP="002C0D71">
      <w:pPr>
        <w:pStyle w:val="Ttulo3"/>
      </w:pPr>
      <w:bookmarkStart w:id="361" w:name="_Toc418758249"/>
      <w:bookmarkStart w:id="362" w:name="_Toc418758851"/>
      <w:bookmarkStart w:id="363" w:name="_Toc419813611"/>
      <w:r w:rsidRPr="002C0D71">
        <w:t xml:space="preserve">1.3.3.2. Geração de Expectativas Positivas em </w:t>
      </w:r>
      <w:r w:rsidR="00040A7E" w:rsidRPr="002C0D71">
        <w:t>R</w:t>
      </w:r>
      <w:r w:rsidRPr="002C0D71">
        <w:t>elação ao Empreendimento.</w:t>
      </w:r>
      <w:bookmarkEnd w:id="361"/>
      <w:bookmarkEnd w:id="362"/>
      <w:bookmarkEnd w:id="363"/>
    </w:p>
    <w:p w:rsidR="007F327D" w:rsidRPr="00404B0B" w:rsidRDefault="007F327D" w:rsidP="0076266B">
      <w:pPr>
        <w:pStyle w:val="NormalPargrafo"/>
        <w:spacing w:before="120" w:after="120" w:line="240" w:lineRule="auto"/>
        <w:rPr>
          <w:b/>
        </w:rPr>
      </w:pPr>
      <w:r w:rsidRPr="00404B0B">
        <w:rPr>
          <w:b/>
        </w:rPr>
        <w:t>Fase</w:t>
      </w:r>
      <w:r w:rsidR="00CA6BBE">
        <w:rPr>
          <w:b/>
        </w:rPr>
        <w:t>:</w:t>
      </w:r>
      <w:r w:rsidRPr="00404B0B">
        <w:rPr>
          <w:b/>
        </w:rPr>
        <w:t xml:space="preserve"> Planejamento</w:t>
      </w:r>
    </w:p>
    <w:p w:rsidR="007F327D" w:rsidRPr="00666A9B" w:rsidRDefault="007F327D" w:rsidP="007F327D">
      <w:pPr>
        <w:pStyle w:val="NormalPargrafo"/>
        <w:spacing w:before="120" w:after="120" w:line="240" w:lineRule="auto"/>
      </w:pPr>
      <w:r w:rsidRPr="00666A9B">
        <w:t xml:space="preserve">Na fase de planejamento do empreendimento, os primeiros contatos são feitos nas áreas afetadas, tanto direta como indiretamente, </w:t>
      </w:r>
      <w:r>
        <w:t xml:space="preserve">a partir da presença física ou noticiada do DAEE e das </w:t>
      </w:r>
      <w:r w:rsidRPr="00666A9B">
        <w:t>empresas executoras dos estudos iniciais de viabilidade técnica, econômica e ambiental, bem como dos levantamentos de campo iniciais.</w:t>
      </w:r>
      <w:r>
        <w:t xml:space="preserve"> </w:t>
      </w:r>
      <w:r w:rsidRPr="00666A9B">
        <w:t xml:space="preserve">Nesse momento, ainda antes do projeto definitivo, começam a ser disseminadas as primeiras informações, </w:t>
      </w:r>
      <w:r>
        <w:t xml:space="preserve">algumas </w:t>
      </w:r>
      <w:r w:rsidRPr="00666A9B">
        <w:t>oficiais</w:t>
      </w:r>
      <w:r>
        <w:t>, mas principalmente</w:t>
      </w:r>
      <w:r w:rsidRPr="00666A9B">
        <w:t xml:space="preserve"> extra-oficiais, que fatalmente passarão a gerar expectativas as mais diversas entre os grupos sociais </w:t>
      </w:r>
      <w:r>
        <w:t xml:space="preserve">locais e com possibilidade de já chegar aos </w:t>
      </w:r>
      <w:r w:rsidRPr="00666A9B">
        <w:t xml:space="preserve">que vivem na área afetada. </w:t>
      </w:r>
    </w:p>
    <w:p w:rsidR="007F327D" w:rsidRDefault="007F327D" w:rsidP="007F327D">
      <w:pPr>
        <w:pStyle w:val="NormalPargrafo"/>
        <w:spacing w:before="120" w:after="120" w:line="240" w:lineRule="auto"/>
      </w:pPr>
      <w:r w:rsidRPr="00666A9B">
        <w:t xml:space="preserve">Em geral, as expectativas iniciais tendem a ser de caráter positivo, pois são inspiradas nas dificuldades locais, estruturais e cotidianas, do poder público, das instituições e da população </w:t>
      </w:r>
      <w:r>
        <w:t>local</w:t>
      </w:r>
      <w:r w:rsidRPr="00666A9B">
        <w:t xml:space="preserve">. </w:t>
      </w:r>
      <w:r>
        <w:t>Aspectos como escassez de emprego</w:t>
      </w:r>
      <w:r w:rsidRPr="001D1FEB">
        <w:t xml:space="preserve"> </w:t>
      </w:r>
      <w:r w:rsidRPr="00666A9B">
        <w:t xml:space="preserve">e de investimentos que possibilitem novas perspectivas aos municípios, poucas fontes de renda e </w:t>
      </w:r>
      <w:r>
        <w:t xml:space="preserve">poucas </w:t>
      </w:r>
      <w:r w:rsidRPr="00666A9B">
        <w:t>chance</w:t>
      </w:r>
      <w:r>
        <w:t>s</w:t>
      </w:r>
      <w:r w:rsidRPr="00666A9B">
        <w:t xml:space="preserve"> de </w:t>
      </w:r>
      <w:r>
        <w:t xml:space="preserve">novos </w:t>
      </w:r>
      <w:r w:rsidRPr="00666A9B">
        <w:t>negócios ou de perspectivas profissionais</w:t>
      </w:r>
      <w:r>
        <w:t xml:space="preserve">, ainda que possam não estar afligindo sobremodo a população, certamente, também não se estará a dispensar. Essas eventuais possibilidades </w:t>
      </w:r>
      <w:r w:rsidRPr="00666A9B">
        <w:t>levam os diversos grupos sociais a terem expectativas de ver esses e outros problemas sendo redimidos com o advento do empreendimento.</w:t>
      </w:r>
      <w:r>
        <w:t xml:space="preserve"> </w:t>
      </w:r>
    </w:p>
    <w:p w:rsidR="007F327D" w:rsidRDefault="007F327D" w:rsidP="007F327D">
      <w:pPr>
        <w:pStyle w:val="NormalPargrafo"/>
        <w:spacing w:before="120" w:after="120" w:line="240" w:lineRule="auto"/>
      </w:pPr>
      <w:r>
        <w:t>Aliado a isso, de modo geral, contribuem para alimentar esse cenário o desconhecimento dos resultados finais, os ensejos pouco concretos e a falta de clareza acerca dos projetos, ou seja, de que maneira é composto, qual é sua dinâmica, impactos associados, etc.</w:t>
      </w:r>
    </w:p>
    <w:p w:rsidR="007F327D" w:rsidRDefault="007F327D" w:rsidP="007F327D">
      <w:pPr>
        <w:pStyle w:val="NormalPargrafo"/>
        <w:spacing w:before="120" w:after="120" w:line="240" w:lineRule="auto"/>
      </w:pPr>
      <w:r>
        <w:t xml:space="preserve">Esses são os fatores que podem levar a uma expectativa positiva frente ao empreendimento na região: </w:t>
      </w:r>
      <w:r w:rsidRPr="00666A9B">
        <w:t xml:space="preserve">geração de empregos, novas fontes de renda, desenvolvimento econômico das sedes municipais, </w:t>
      </w:r>
      <w:r>
        <w:t xml:space="preserve">perspectiva de não sofrer com a falta de recursos hídricos, temor generalizado recentemente no estado de São Paulo, </w:t>
      </w:r>
      <w:r w:rsidRPr="00666A9B">
        <w:t>entre outras.</w:t>
      </w:r>
    </w:p>
    <w:p w:rsidR="007F327D" w:rsidRPr="00666A9B" w:rsidRDefault="007F327D" w:rsidP="007F327D">
      <w:pPr>
        <w:pStyle w:val="NormalPargrafo"/>
        <w:spacing w:before="120" w:after="120" w:line="240" w:lineRule="auto"/>
      </w:pPr>
      <w:r w:rsidRPr="00666A9B">
        <w:t xml:space="preserve">O ângulo positivo da expectativa do empreendimento pode gerar, portanto, atitudes mobilizadoras </w:t>
      </w:r>
      <w:r>
        <w:t xml:space="preserve">de setores </w:t>
      </w:r>
      <w:r w:rsidRPr="00666A9B">
        <w:t xml:space="preserve">no que diz respeito a possibilidades de enfrentamento dos </w:t>
      </w:r>
      <w:r>
        <w:t>problemas locais, assim como, a</w:t>
      </w:r>
      <w:r w:rsidRPr="00666A9B">
        <w:t xml:space="preserve"> visualização de futuras demandas por parte do número de pessoas que acorrerão à área </w:t>
      </w:r>
      <w:r>
        <w:t>em função das obras</w:t>
      </w:r>
      <w:r w:rsidRPr="00666A9B">
        <w:t xml:space="preserve"> pode provocar o planejamento de pequenos empreendimentos no setor de comércio e serviços, </w:t>
      </w:r>
      <w:r>
        <w:t>e</w:t>
      </w:r>
      <w:r w:rsidRPr="00666A9B">
        <w:t xml:space="preserve"> de meios de capacitação e formação profissional</w:t>
      </w:r>
      <w:r>
        <w:t>, com vistas a atender à</w:t>
      </w:r>
      <w:r w:rsidRPr="00666A9B">
        <w:t>s novas oportunidades, ou ainda alimentar potencialmente o mercado imobiliário e a construção civil, para corresponder a demandas futuras.</w:t>
      </w:r>
    </w:p>
    <w:p w:rsidR="007F327D" w:rsidRDefault="007F327D" w:rsidP="007F327D">
      <w:pPr>
        <w:pStyle w:val="NormalPargrafo"/>
        <w:spacing w:before="120" w:after="120" w:line="240" w:lineRule="auto"/>
      </w:pPr>
      <w:r>
        <w:t>Por isso, por haver esse impulso otimista na área, nos momentos iniciais do projeto</w:t>
      </w:r>
      <w:r w:rsidRPr="00666A9B">
        <w:t>, um processo transparente e eficiente de disseminação de informações oficiais acerca do empreendimento é de fundamental importância para a intensificação dessa face positiva do impacto (abaixo será tratada sua eventual face negativa), sem, entretanto reforçar expectativas que possam ser exacerbadas</w:t>
      </w:r>
      <w:r>
        <w:t xml:space="preserve">. </w:t>
      </w:r>
      <w:r w:rsidRPr="00666A9B">
        <w:t>Dessa forma os afetados poderão avaliar as possibilidades de efetivação das expectativas geradas inicialmente e atuar com maior conhecimento de causa, adotando as necessárias providências para que venham a se beneficiar das oportunidades que podem ser criadas efetivamente pela implantação e operação da obra.</w:t>
      </w:r>
    </w:p>
    <w:p w:rsidR="007F327D" w:rsidRPr="00666A9B" w:rsidRDefault="007F327D" w:rsidP="007F327D">
      <w:pPr>
        <w:pStyle w:val="NormalPargrafo"/>
        <w:spacing w:before="120" w:after="120" w:line="240" w:lineRule="auto"/>
      </w:pPr>
      <w:r w:rsidRPr="00666A9B">
        <w:t xml:space="preserve">Esse impacto apresenta-se de natureza positiva, certo e disperso, dilatando-se por toda Área de Influência Direta (AID) do empreendimento. Qualifica-se como reversível e de curto e médio prazo, uma vez que, com cuidadosas ações e interações de comunicação com os atores sociais locais, ao longo dos períodos de planejamento e implantação, principalmente, </w:t>
      </w:r>
      <w:r>
        <w:t>para esclarecimentos efetivos</w:t>
      </w:r>
      <w:r w:rsidRPr="00666A9B">
        <w:t>. É um fato novo</w:t>
      </w:r>
      <w:r>
        <w:t>,</w:t>
      </w:r>
      <w:r w:rsidRPr="00666A9B">
        <w:t xml:space="preserve"> direto e temporário, já que com as medidas sugeridas conta-se com a acomodação das expectativas. Entretanto, revela-se de magnitude qualitativa grande, por abranger diversos atores sociais locais e regionais e influir em seus planos imediatos e de médio prazo. </w:t>
      </w:r>
    </w:p>
    <w:p w:rsidR="007F327D" w:rsidRPr="00C37DA1" w:rsidRDefault="00B44C8E" w:rsidP="00C37DA1">
      <w:pPr>
        <w:pStyle w:val="Legenda"/>
        <w:spacing w:line="240" w:lineRule="auto"/>
        <w:jc w:val="center"/>
        <w:rPr>
          <w:rFonts w:cs="Arial"/>
          <w:b w:val="0"/>
          <w:i w:val="0"/>
        </w:rPr>
      </w:pPr>
      <w:bookmarkStart w:id="364" w:name="_Toc420316518"/>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75</w:t>
      </w:r>
      <w:r w:rsidR="00B80A05" w:rsidRPr="00C37DA1">
        <w:rPr>
          <w:i w:val="0"/>
        </w:rPr>
        <w:fldChar w:fldCharType="end"/>
      </w:r>
      <w:r w:rsidR="00C37DA1" w:rsidRPr="00C37DA1">
        <w:rPr>
          <w:i w:val="0"/>
        </w:rPr>
        <w:t>.</w:t>
      </w:r>
      <w:r w:rsidR="00C37DA1" w:rsidRPr="00C37DA1">
        <w:rPr>
          <w:b w:val="0"/>
          <w:i w:val="0"/>
        </w:rPr>
        <w:t xml:space="preserve"> - </w:t>
      </w:r>
      <w:r w:rsidR="007F327D" w:rsidRPr="00C37DA1">
        <w:rPr>
          <w:rFonts w:cs="Arial"/>
          <w:b w:val="0"/>
          <w:i w:val="0"/>
        </w:rPr>
        <w:t>Caracterização do Impacto - Geração de Expectativas Positivas</w:t>
      </w:r>
      <w:r w:rsidR="00040A7E" w:rsidRPr="00C37DA1">
        <w:rPr>
          <w:rFonts w:cs="Arial"/>
          <w:b w:val="0"/>
          <w:i w:val="0"/>
        </w:rPr>
        <w:t xml:space="preserve"> em Relação ao Empreendimento - </w:t>
      </w:r>
      <w:r w:rsidR="009E5FD8" w:rsidRPr="00C37DA1">
        <w:rPr>
          <w:rFonts w:cs="Arial"/>
          <w:b w:val="0"/>
          <w:i w:val="0"/>
        </w:rPr>
        <w:t>Barragens</w:t>
      </w:r>
      <w:r w:rsidR="007F327D" w:rsidRPr="00C37DA1">
        <w:rPr>
          <w:rFonts w:cs="Arial"/>
          <w:b w:val="0"/>
          <w:i w:val="0"/>
        </w:rPr>
        <w:t xml:space="preserve"> Pedreira e Duas Pontes</w:t>
      </w:r>
      <w:bookmarkEnd w:id="364"/>
    </w:p>
    <w:tbl>
      <w:tblPr>
        <w:tblW w:w="0" w:type="auto"/>
        <w:jc w:val="center"/>
        <w:tblInd w:w="-1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5"/>
        <w:gridCol w:w="1325"/>
        <w:gridCol w:w="1984"/>
        <w:gridCol w:w="1559"/>
        <w:gridCol w:w="3033"/>
      </w:tblGrid>
      <w:tr w:rsidR="007F327D" w:rsidRPr="007978A7" w:rsidTr="000F69FA">
        <w:trPr>
          <w:trHeight w:hRule="exact" w:val="476"/>
          <w:jc w:val="center"/>
        </w:trPr>
        <w:tc>
          <w:tcPr>
            <w:tcW w:w="1285" w:type="dxa"/>
            <w:shd w:val="clear" w:color="auto" w:fill="D9D9D9" w:themeFill="background1" w:themeFillShade="D9"/>
            <w:vAlign w:val="center"/>
          </w:tcPr>
          <w:p w:rsidR="007F327D" w:rsidRPr="00777528" w:rsidRDefault="007F327D" w:rsidP="00B85B47">
            <w:pPr>
              <w:spacing w:before="40" w:line="240" w:lineRule="auto"/>
              <w:jc w:val="center"/>
              <w:rPr>
                <w:rFonts w:cs="Arial"/>
                <w:b/>
                <w:sz w:val="20"/>
              </w:rPr>
            </w:pPr>
            <w:r w:rsidRPr="00777528">
              <w:rPr>
                <w:rFonts w:cs="Arial"/>
                <w:b/>
                <w:sz w:val="20"/>
              </w:rPr>
              <w:t>Natureza</w:t>
            </w:r>
          </w:p>
        </w:tc>
        <w:tc>
          <w:tcPr>
            <w:tcW w:w="1325" w:type="dxa"/>
            <w:shd w:val="clear" w:color="auto" w:fill="D9D9D9" w:themeFill="background1" w:themeFillShade="D9"/>
            <w:vAlign w:val="center"/>
          </w:tcPr>
          <w:p w:rsidR="007F327D" w:rsidRPr="00777528" w:rsidRDefault="007F327D" w:rsidP="00B85B47">
            <w:pPr>
              <w:spacing w:before="40" w:line="240" w:lineRule="auto"/>
              <w:jc w:val="center"/>
              <w:rPr>
                <w:rFonts w:cs="Arial"/>
                <w:b/>
                <w:sz w:val="20"/>
              </w:rPr>
            </w:pPr>
            <w:r w:rsidRPr="00777528">
              <w:rPr>
                <w:rFonts w:cs="Arial"/>
                <w:b/>
                <w:sz w:val="20"/>
              </w:rPr>
              <w:t>Ordem</w:t>
            </w:r>
          </w:p>
        </w:tc>
        <w:tc>
          <w:tcPr>
            <w:tcW w:w="1984" w:type="dxa"/>
            <w:shd w:val="clear" w:color="auto" w:fill="D9D9D9" w:themeFill="background1" w:themeFillShade="D9"/>
            <w:vAlign w:val="center"/>
          </w:tcPr>
          <w:p w:rsidR="007F327D" w:rsidRPr="00777528" w:rsidRDefault="007F327D" w:rsidP="00B85B47">
            <w:pPr>
              <w:spacing w:before="40" w:line="240" w:lineRule="auto"/>
              <w:jc w:val="center"/>
              <w:rPr>
                <w:rFonts w:cs="Arial"/>
                <w:b/>
                <w:sz w:val="20"/>
              </w:rPr>
            </w:pPr>
            <w:r w:rsidRPr="00777528">
              <w:rPr>
                <w:rFonts w:cs="Arial"/>
                <w:b/>
                <w:sz w:val="20"/>
              </w:rPr>
              <w:t>Abrangência</w:t>
            </w:r>
          </w:p>
        </w:tc>
        <w:tc>
          <w:tcPr>
            <w:tcW w:w="1559" w:type="dxa"/>
            <w:shd w:val="clear" w:color="auto" w:fill="D9D9D9" w:themeFill="background1" w:themeFillShade="D9"/>
            <w:vAlign w:val="center"/>
          </w:tcPr>
          <w:p w:rsidR="007F327D" w:rsidRPr="00777528" w:rsidRDefault="007F327D" w:rsidP="00B85B47">
            <w:pPr>
              <w:spacing w:before="40" w:line="240" w:lineRule="auto"/>
              <w:jc w:val="center"/>
              <w:rPr>
                <w:rFonts w:cs="Arial"/>
                <w:b/>
                <w:sz w:val="20"/>
              </w:rPr>
            </w:pPr>
            <w:r w:rsidRPr="00777528">
              <w:rPr>
                <w:rFonts w:cs="Arial"/>
                <w:b/>
                <w:sz w:val="20"/>
              </w:rPr>
              <w:t>Duração</w:t>
            </w:r>
          </w:p>
        </w:tc>
        <w:tc>
          <w:tcPr>
            <w:tcW w:w="3033" w:type="dxa"/>
            <w:shd w:val="clear" w:color="auto" w:fill="D9D9D9" w:themeFill="background1" w:themeFillShade="D9"/>
            <w:vAlign w:val="center"/>
          </w:tcPr>
          <w:p w:rsidR="007F327D" w:rsidRPr="00777528" w:rsidRDefault="007F327D" w:rsidP="00B85B47">
            <w:pPr>
              <w:spacing w:before="40" w:line="240" w:lineRule="auto"/>
              <w:jc w:val="center"/>
              <w:rPr>
                <w:rFonts w:cs="Arial"/>
                <w:b/>
                <w:sz w:val="20"/>
              </w:rPr>
            </w:pPr>
            <w:r w:rsidRPr="00777528">
              <w:rPr>
                <w:rFonts w:cs="Arial"/>
                <w:b/>
                <w:sz w:val="20"/>
              </w:rPr>
              <w:t>Probabilidade de Ocorrência</w:t>
            </w:r>
          </w:p>
        </w:tc>
      </w:tr>
      <w:tr w:rsidR="007F327D" w:rsidRPr="00777528" w:rsidTr="00530E61">
        <w:trPr>
          <w:trHeight w:hRule="exact" w:val="430"/>
          <w:jc w:val="center"/>
        </w:trPr>
        <w:tc>
          <w:tcPr>
            <w:tcW w:w="1285" w:type="dxa"/>
            <w:shd w:val="clear" w:color="auto" w:fill="auto"/>
            <w:vAlign w:val="center"/>
          </w:tcPr>
          <w:p w:rsidR="007F327D" w:rsidRPr="00777528" w:rsidRDefault="007F327D" w:rsidP="00530E61">
            <w:pPr>
              <w:spacing w:line="240" w:lineRule="auto"/>
              <w:jc w:val="center"/>
              <w:rPr>
                <w:rFonts w:cs="Arial"/>
                <w:sz w:val="20"/>
              </w:rPr>
            </w:pPr>
            <w:r>
              <w:rPr>
                <w:rFonts w:cs="Arial"/>
                <w:sz w:val="20"/>
              </w:rPr>
              <w:t>Positivo</w:t>
            </w:r>
            <w:r w:rsidRPr="00777528">
              <w:rPr>
                <w:rFonts w:cs="Arial"/>
                <w:sz w:val="20"/>
              </w:rPr>
              <w:t xml:space="preserve"> </w:t>
            </w:r>
          </w:p>
        </w:tc>
        <w:tc>
          <w:tcPr>
            <w:tcW w:w="1325" w:type="dxa"/>
            <w:shd w:val="clear" w:color="auto" w:fill="auto"/>
            <w:vAlign w:val="center"/>
          </w:tcPr>
          <w:p w:rsidR="007F327D" w:rsidRPr="00777528" w:rsidRDefault="007F327D" w:rsidP="00530E61">
            <w:pPr>
              <w:spacing w:line="240" w:lineRule="auto"/>
              <w:jc w:val="center"/>
              <w:rPr>
                <w:rFonts w:cs="Arial"/>
                <w:sz w:val="20"/>
              </w:rPr>
            </w:pPr>
            <w:r w:rsidRPr="00777528">
              <w:rPr>
                <w:rFonts w:cs="Arial"/>
                <w:sz w:val="20"/>
              </w:rPr>
              <w:t>Direta</w:t>
            </w:r>
          </w:p>
        </w:tc>
        <w:tc>
          <w:tcPr>
            <w:tcW w:w="1984" w:type="dxa"/>
            <w:shd w:val="clear" w:color="auto" w:fill="auto"/>
            <w:vAlign w:val="center"/>
          </w:tcPr>
          <w:p w:rsidR="007F327D" w:rsidRPr="00777528" w:rsidRDefault="007F327D" w:rsidP="00530E61">
            <w:pPr>
              <w:spacing w:line="240" w:lineRule="auto"/>
              <w:jc w:val="center"/>
              <w:rPr>
                <w:rFonts w:cs="Arial"/>
                <w:sz w:val="20"/>
              </w:rPr>
            </w:pPr>
            <w:r>
              <w:rPr>
                <w:rFonts w:cs="Arial"/>
                <w:sz w:val="20"/>
              </w:rPr>
              <w:t>Local (AID e ADA)</w:t>
            </w:r>
          </w:p>
        </w:tc>
        <w:tc>
          <w:tcPr>
            <w:tcW w:w="1559" w:type="dxa"/>
            <w:shd w:val="clear" w:color="auto" w:fill="auto"/>
            <w:vAlign w:val="center"/>
          </w:tcPr>
          <w:p w:rsidR="007F327D" w:rsidRPr="00777528" w:rsidRDefault="007F327D" w:rsidP="00530E61">
            <w:pPr>
              <w:spacing w:line="240" w:lineRule="auto"/>
              <w:jc w:val="center"/>
              <w:rPr>
                <w:rFonts w:cs="Arial"/>
                <w:sz w:val="20"/>
              </w:rPr>
            </w:pPr>
            <w:r>
              <w:rPr>
                <w:rFonts w:cs="Arial"/>
                <w:sz w:val="20"/>
              </w:rPr>
              <w:t>Curto e Médio</w:t>
            </w:r>
          </w:p>
        </w:tc>
        <w:tc>
          <w:tcPr>
            <w:tcW w:w="3033" w:type="dxa"/>
            <w:shd w:val="clear" w:color="auto" w:fill="auto"/>
            <w:vAlign w:val="center"/>
          </w:tcPr>
          <w:p w:rsidR="007F327D" w:rsidRPr="00777528" w:rsidRDefault="007F327D" w:rsidP="00530E61">
            <w:pPr>
              <w:spacing w:line="240" w:lineRule="auto"/>
              <w:jc w:val="center"/>
              <w:rPr>
                <w:rFonts w:cs="Arial"/>
                <w:sz w:val="20"/>
              </w:rPr>
            </w:pPr>
            <w:r>
              <w:rPr>
                <w:rFonts w:cs="Arial"/>
                <w:sz w:val="20"/>
              </w:rPr>
              <w:t>Certa</w:t>
            </w:r>
          </w:p>
        </w:tc>
      </w:tr>
    </w:tbl>
    <w:p w:rsidR="007F327D" w:rsidRPr="007978A7" w:rsidRDefault="007F327D" w:rsidP="007F327D">
      <w:pPr>
        <w:spacing w:line="240" w:lineRule="auto"/>
      </w:pPr>
    </w:p>
    <w:tbl>
      <w:tblPr>
        <w:tblW w:w="9070" w:type="dxa"/>
        <w:jc w:val="center"/>
        <w:tblInd w:w="-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984"/>
        <w:gridCol w:w="1559"/>
        <w:gridCol w:w="1560"/>
        <w:gridCol w:w="1415"/>
      </w:tblGrid>
      <w:tr w:rsidR="007F327D" w:rsidRPr="00B85B47" w:rsidTr="000F69FA">
        <w:trPr>
          <w:trHeight w:hRule="exact" w:val="435"/>
          <w:jc w:val="center"/>
        </w:trPr>
        <w:tc>
          <w:tcPr>
            <w:tcW w:w="2552" w:type="dxa"/>
            <w:shd w:val="clear" w:color="auto" w:fill="D9D9D9" w:themeFill="background1" w:themeFillShade="D9"/>
            <w:vAlign w:val="center"/>
          </w:tcPr>
          <w:p w:rsidR="007F327D" w:rsidRPr="00777528" w:rsidRDefault="007F327D" w:rsidP="00B85B47">
            <w:pPr>
              <w:spacing w:before="40" w:line="240" w:lineRule="auto"/>
              <w:jc w:val="center"/>
              <w:rPr>
                <w:rFonts w:cs="Arial"/>
                <w:b/>
                <w:sz w:val="20"/>
              </w:rPr>
            </w:pPr>
            <w:r w:rsidRPr="00777528">
              <w:rPr>
                <w:rFonts w:cs="Arial"/>
                <w:b/>
                <w:sz w:val="20"/>
              </w:rPr>
              <w:t>Época de Ocorrência</w:t>
            </w:r>
          </w:p>
        </w:tc>
        <w:tc>
          <w:tcPr>
            <w:tcW w:w="1984" w:type="dxa"/>
            <w:shd w:val="clear" w:color="auto" w:fill="D9D9D9" w:themeFill="background1" w:themeFillShade="D9"/>
            <w:vAlign w:val="center"/>
          </w:tcPr>
          <w:p w:rsidR="007F327D" w:rsidRPr="00777528" w:rsidRDefault="007F327D" w:rsidP="00B85B47">
            <w:pPr>
              <w:spacing w:before="40" w:line="240" w:lineRule="auto"/>
              <w:jc w:val="center"/>
              <w:rPr>
                <w:rFonts w:cs="Arial"/>
                <w:b/>
                <w:sz w:val="20"/>
              </w:rPr>
            </w:pPr>
            <w:r w:rsidRPr="00777528">
              <w:rPr>
                <w:rFonts w:cs="Arial"/>
                <w:b/>
                <w:sz w:val="20"/>
              </w:rPr>
              <w:t>Reversibilidade</w:t>
            </w:r>
          </w:p>
        </w:tc>
        <w:tc>
          <w:tcPr>
            <w:tcW w:w="1559" w:type="dxa"/>
            <w:shd w:val="clear" w:color="auto" w:fill="D9D9D9" w:themeFill="background1" w:themeFillShade="D9"/>
            <w:vAlign w:val="center"/>
          </w:tcPr>
          <w:p w:rsidR="007F327D" w:rsidRPr="00777528" w:rsidRDefault="007F327D" w:rsidP="00B85B47">
            <w:pPr>
              <w:spacing w:before="40" w:line="240" w:lineRule="auto"/>
              <w:jc w:val="center"/>
              <w:rPr>
                <w:rFonts w:cs="Arial"/>
                <w:b/>
                <w:sz w:val="20"/>
              </w:rPr>
            </w:pPr>
            <w:r w:rsidRPr="00777528">
              <w:rPr>
                <w:rFonts w:cs="Arial"/>
                <w:b/>
                <w:sz w:val="20"/>
              </w:rPr>
              <w:t>Magnitude</w:t>
            </w:r>
          </w:p>
        </w:tc>
        <w:tc>
          <w:tcPr>
            <w:tcW w:w="1560" w:type="dxa"/>
            <w:shd w:val="clear" w:color="auto" w:fill="D9D9D9" w:themeFill="background1" w:themeFillShade="D9"/>
            <w:vAlign w:val="center"/>
          </w:tcPr>
          <w:p w:rsidR="007F327D" w:rsidRPr="00777528" w:rsidRDefault="007F327D" w:rsidP="00B85B47">
            <w:pPr>
              <w:spacing w:before="40" w:line="240" w:lineRule="auto"/>
              <w:jc w:val="center"/>
              <w:rPr>
                <w:rFonts w:cs="Arial"/>
                <w:b/>
                <w:sz w:val="20"/>
              </w:rPr>
            </w:pPr>
            <w:r w:rsidRPr="00777528">
              <w:rPr>
                <w:rFonts w:cs="Arial"/>
                <w:b/>
                <w:sz w:val="20"/>
              </w:rPr>
              <w:t>Importância</w:t>
            </w:r>
          </w:p>
        </w:tc>
        <w:tc>
          <w:tcPr>
            <w:tcW w:w="1415" w:type="dxa"/>
            <w:shd w:val="clear" w:color="auto" w:fill="D9D9D9" w:themeFill="background1" w:themeFillShade="D9"/>
            <w:vAlign w:val="center"/>
          </w:tcPr>
          <w:p w:rsidR="007F327D" w:rsidRPr="00777528" w:rsidRDefault="007F327D" w:rsidP="00B85B47">
            <w:pPr>
              <w:spacing w:before="40" w:line="240" w:lineRule="auto"/>
              <w:jc w:val="center"/>
              <w:rPr>
                <w:rFonts w:cs="Arial"/>
                <w:b/>
                <w:sz w:val="20"/>
              </w:rPr>
            </w:pPr>
            <w:r w:rsidRPr="00777528">
              <w:rPr>
                <w:rFonts w:cs="Arial"/>
                <w:b/>
                <w:sz w:val="20"/>
              </w:rPr>
              <w:t>Mitigação</w:t>
            </w:r>
          </w:p>
        </w:tc>
      </w:tr>
      <w:tr w:rsidR="007F327D" w:rsidRPr="00777528" w:rsidTr="00530E61">
        <w:trPr>
          <w:trHeight w:hRule="exact" w:val="353"/>
          <w:jc w:val="center"/>
        </w:trPr>
        <w:tc>
          <w:tcPr>
            <w:tcW w:w="2552" w:type="dxa"/>
            <w:shd w:val="clear" w:color="auto" w:fill="auto"/>
            <w:vAlign w:val="center"/>
          </w:tcPr>
          <w:p w:rsidR="007F327D" w:rsidRPr="00777528" w:rsidRDefault="007F327D" w:rsidP="00530E61">
            <w:pPr>
              <w:spacing w:line="240" w:lineRule="auto"/>
              <w:jc w:val="center"/>
              <w:rPr>
                <w:rFonts w:cs="Arial"/>
                <w:sz w:val="20"/>
              </w:rPr>
            </w:pPr>
            <w:r w:rsidRPr="00777528">
              <w:rPr>
                <w:rFonts w:cs="Arial"/>
                <w:sz w:val="20"/>
              </w:rPr>
              <w:t>Médio prazo</w:t>
            </w:r>
          </w:p>
        </w:tc>
        <w:tc>
          <w:tcPr>
            <w:tcW w:w="1984" w:type="dxa"/>
            <w:vAlign w:val="center"/>
          </w:tcPr>
          <w:p w:rsidR="007F327D" w:rsidRPr="00777528" w:rsidRDefault="007F327D" w:rsidP="00530E61">
            <w:pPr>
              <w:spacing w:line="240" w:lineRule="auto"/>
              <w:jc w:val="center"/>
              <w:rPr>
                <w:rFonts w:cs="Arial"/>
                <w:sz w:val="20"/>
              </w:rPr>
            </w:pPr>
            <w:r w:rsidRPr="00777528">
              <w:rPr>
                <w:rFonts w:cs="Arial"/>
                <w:sz w:val="20"/>
              </w:rPr>
              <w:t>Reversível</w:t>
            </w:r>
          </w:p>
        </w:tc>
        <w:tc>
          <w:tcPr>
            <w:tcW w:w="1559" w:type="dxa"/>
            <w:shd w:val="clear" w:color="auto" w:fill="auto"/>
            <w:vAlign w:val="center"/>
          </w:tcPr>
          <w:p w:rsidR="007F327D" w:rsidRPr="00777528" w:rsidRDefault="007F327D" w:rsidP="00530E61">
            <w:pPr>
              <w:spacing w:line="240" w:lineRule="auto"/>
              <w:jc w:val="center"/>
              <w:rPr>
                <w:rFonts w:cs="Arial"/>
                <w:sz w:val="20"/>
              </w:rPr>
            </w:pPr>
            <w:r w:rsidRPr="00777528">
              <w:rPr>
                <w:rFonts w:cs="Arial"/>
                <w:sz w:val="20"/>
              </w:rPr>
              <w:t>Pequena</w:t>
            </w:r>
          </w:p>
        </w:tc>
        <w:tc>
          <w:tcPr>
            <w:tcW w:w="1560" w:type="dxa"/>
            <w:shd w:val="clear" w:color="auto" w:fill="auto"/>
            <w:vAlign w:val="center"/>
          </w:tcPr>
          <w:p w:rsidR="007F327D" w:rsidRPr="00777528" w:rsidRDefault="007F327D" w:rsidP="00530E61">
            <w:pPr>
              <w:spacing w:line="240" w:lineRule="auto"/>
              <w:jc w:val="center"/>
              <w:rPr>
                <w:rFonts w:cs="Arial"/>
                <w:sz w:val="20"/>
              </w:rPr>
            </w:pPr>
            <w:r>
              <w:rPr>
                <w:rFonts w:cs="Arial"/>
                <w:sz w:val="20"/>
              </w:rPr>
              <w:t>Média</w:t>
            </w:r>
          </w:p>
        </w:tc>
        <w:tc>
          <w:tcPr>
            <w:tcW w:w="1415" w:type="dxa"/>
            <w:shd w:val="clear" w:color="auto" w:fill="auto"/>
            <w:vAlign w:val="center"/>
          </w:tcPr>
          <w:p w:rsidR="007F327D" w:rsidRPr="00777528" w:rsidRDefault="00CA6BBE" w:rsidP="00530E61">
            <w:pPr>
              <w:spacing w:line="240" w:lineRule="auto"/>
              <w:jc w:val="center"/>
              <w:rPr>
                <w:rFonts w:cs="Arial"/>
                <w:sz w:val="20"/>
              </w:rPr>
            </w:pPr>
            <w:r>
              <w:rPr>
                <w:rFonts w:cs="Arial"/>
                <w:sz w:val="20"/>
              </w:rPr>
              <w:t>---</w:t>
            </w:r>
          </w:p>
        </w:tc>
      </w:tr>
    </w:tbl>
    <w:p w:rsidR="00E155C0" w:rsidRDefault="00E155C0" w:rsidP="00B85B47">
      <w:pPr>
        <w:widowControl w:val="0"/>
        <w:autoSpaceDE w:val="0"/>
        <w:autoSpaceDN w:val="0"/>
        <w:adjustRightInd w:val="0"/>
      </w:pPr>
      <w:r>
        <w:br w:type="page"/>
      </w:r>
    </w:p>
    <w:p w:rsidR="007F327D" w:rsidRPr="00177885" w:rsidRDefault="007F327D" w:rsidP="00B85B47">
      <w:pPr>
        <w:widowControl w:val="0"/>
        <w:autoSpaceDE w:val="0"/>
        <w:autoSpaceDN w:val="0"/>
        <w:adjustRightInd w:val="0"/>
        <w:rPr>
          <w:rFonts w:cs="Arial"/>
        </w:rPr>
      </w:pPr>
      <w:r w:rsidRPr="00177885">
        <w:rPr>
          <w:rFonts w:cs="Arial"/>
          <w:b/>
        </w:rPr>
        <w:t xml:space="preserve">Ações Ambientais Propostas </w:t>
      </w:r>
    </w:p>
    <w:p w:rsidR="007F327D" w:rsidRPr="00177885" w:rsidRDefault="007F327D" w:rsidP="007F327D">
      <w:pPr>
        <w:spacing w:before="120" w:after="120" w:line="240" w:lineRule="auto"/>
      </w:pPr>
      <w:r w:rsidRPr="00177885">
        <w:t>A realização de reuniões com a sociedade civil organizada deve abrir canais de divulgação e informação, permitindo aos interessados avaliar com maior precisão as reais possibilidades de efetivação e manutenção das expectativas iniciais, além de compreender as providências necessárias para se beneficiar das oportunidades que podem ser criadas efetivamente pela implantação e operação das barragens. Por isso a transparência no processo de informações estabelecida entre empreendedor e os grupos de interesse, e a representatividade desses junto às comunidades, são importantes fatores para que expectativas não sejam aguçadas.</w:t>
      </w:r>
    </w:p>
    <w:p w:rsidR="007F327D" w:rsidRDefault="007F327D" w:rsidP="007F327D">
      <w:pPr>
        <w:pStyle w:val="NormalPargrafo"/>
        <w:spacing w:before="120" w:after="120" w:line="240" w:lineRule="auto"/>
      </w:pPr>
      <w:r w:rsidRPr="008B227E">
        <w:t xml:space="preserve">Esse impacto será atendido pelo Programa de Gestão e Programa de </w:t>
      </w:r>
      <w:r w:rsidR="00D225D5">
        <w:t>Comunicação e Interação Social</w:t>
      </w:r>
      <w:r w:rsidRPr="008B227E">
        <w:t>.</w:t>
      </w:r>
    </w:p>
    <w:p w:rsidR="007F327D" w:rsidRPr="002C0D71" w:rsidRDefault="007F327D" w:rsidP="002C0D71">
      <w:pPr>
        <w:pStyle w:val="Ttulo3"/>
      </w:pPr>
      <w:bookmarkStart w:id="365" w:name="_Toc418758852"/>
      <w:bookmarkStart w:id="366" w:name="_Toc418758250"/>
      <w:bookmarkStart w:id="367" w:name="_Toc419813612"/>
      <w:r w:rsidRPr="002C0D71">
        <w:t xml:space="preserve">1.3.3.3. Geração de Expectativas Negativas em </w:t>
      </w:r>
      <w:r w:rsidR="00040A7E" w:rsidRPr="002C0D71">
        <w:t>R</w:t>
      </w:r>
      <w:r w:rsidRPr="002C0D71">
        <w:t>elação ao Empreendimento</w:t>
      </w:r>
      <w:bookmarkEnd w:id="365"/>
      <w:bookmarkEnd w:id="366"/>
      <w:bookmarkEnd w:id="367"/>
    </w:p>
    <w:p w:rsidR="007F327D" w:rsidRPr="00944AD3" w:rsidRDefault="007F327D" w:rsidP="0076266B">
      <w:pPr>
        <w:spacing w:before="120" w:after="120" w:line="240" w:lineRule="auto"/>
        <w:contextualSpacing/>
        <w:rPr>
          <w:rFonts w:eastAsia="Calibri"/>
          <w:b/>
          <w:szCs w:val="22"/>
          <w:lang w:eastAsia="en-US"/>
        </w:rPr>
      </w:pPr>
      <w:r w:rsidRPr="00944AD3">
        <w:rPr>
          <w:rFonts w:eastAsia="Calibri"/>
          <w:b/>
          <w:szCs w:val="22"/>
          <w:lang w:eastAsia="en-US"/>
        </w:rPr>
        <w:t>Fase</w:t>
      </w:r>
      <w:r w:rsidR="00CA6BBE">
        <w:rPr>
          <w:rFonts w:eastAsia="Calibri"/>
          <w:b/>
          <w:szCs w:val="22"/>
          <w:lang w:eastAsia="en-US"/>
        </w:rPr>
        <w:t xml:space="preserve">: </w:t>
      </w:r>
      <w:r w:rsidRPr="00944AD3">
        <w:rPr>
          <w:rFonts w:eastAsia="Calibri"/>
          <w:b/>
          <w:szCs w:val="22"/>
          <w:lang w:eastAsia="en-US"/>
        </w:rPr>
        <w:t>Planejamento</w:t>
      </w:r>
    </w:p>
    <w:p w:rsidR="007F327D" w:rsidRPr="00944AD3" w:rsidRDefault="007F327D" w:rsidP="007F327D">
      <w:pPr>
        <w:spacing w:before="120" w:after="120" w:line="240" w:lineRule="auto"/>
        <w:rPr>
          <w:rFonts w:eastAsia="Calibri"/>
          <w:szCs w:val="22"/>
          <w:lang w:eastAsia="en-US"/>
        </w:rPr>
      </w:pPr>
      <w:r w:rsidRPr="00944AD3">
        <w:rPr>
          <w:rFonts w:eastAsia="Calibri"/>
          <w:szCs w:val="22"/>
          <w:lang w:eastAsia="en-US"/>
        </w:rPr>
        <w:t>A disseminação de informações extraoficiais e de forma espontânea, frente às primeiras notícias a respeito do novo empreendimento, costuma trazer, como foi indicado, disposições otimistas. Todavia, é de muita importância observar as possíveis expectativas de caráter negativo, inseguranças provocadas na fase de planejamento, mas que podem estender-se à de implantação.</w:t>
      </w:r>
    </w:p>
    <w:p w:rsidR="007F327D" w:rsidRDefault="007F327D" w:rsidP="007F327D">
      <w:pPr>
        <w:spacing w:before="120" w:after="120" w:line="240" w:lineRule="auto"/>
        <w:rPr>
          <w:rFonts w:eastAsia="Calibri"/>
          <w:szCs w:val="22"/>
          <w:lang w:eastAsia="en-US"/>
        </w:rPr>
      </w:pPr>
      <w:r w:rsidRPr="00944AD3">
        <w:rPr>
          <w:rFonts w:eastAsia="Calibri"/>
          <w:szCs w:val="22"/>
          <w:lang w:eastAsia="en-US"/>
        </w:rPr>
        <w:t xml:space="preserve">Apreensões podem surgir, por exemplo, com relação </w:t>
      </w:r>
      <w:r>
        <w:rPr>
          <w:rFonts w:eastAsia="Calibri"/>
          <w:szCs w:val="22"/>
          <w:lang w:eastAsia="en-US"/>
        </w:rPr>
        <w:t xml:space="preserve">à </w:t>
      </w:r>
      <w:r w:rsidRPr="00944AD3">
        <w:rPr>
          <w:rFonts w:eastAsia="Calibri"/>
          <w:szCs w:val="22"/>
          <w:lang w:eastAsia="en-US"/>
        </w:rPr>
        <w:t>necessidade de mudanças de hábitos sedimentados; excesso de demanda sobre a infraestrutura social</w:t>
      </w:r>
      <w:r>
        <w:rPr>
          <w:rFonts w:eastAsia="Calibri"/>
          <w:szCs w:val="22"/>
          <w:lang w:eastAsia="en-US"/>
        </w:rPr>
        <w:t>,</w:t>
      </w:r>
      <w:r w:rsidRPr="00944AD3">
        <w:rPr>
          <w:rFonts w:eastAsia="Calibri"/>
          <w:szCs w:val="22"/>
          <w:lang w:eastAsia="en-US"/>
        </w:rPr>
        <w:t xml:space="preserve"> etc.; especulação sobre o valor das terras e das benfeitorias; incertezas quanto às propriedades a serem diretamente afetadas e a extensão disso, já que haverá desapropriações, e, por se darem na área rural, dotada de costumes tradicionais e de relações sociais (parentesco, vizinhança, parcerias), importantes para </w:t>
      </w:r>
      <w:r>
        <w:rPr>
          <w:rFonts w:eastAsia="Calibri"/>
          <w:szCs w:val="22"/>
          <w:lang w:eastAsia="en-US"/>
        </w:rPr>
        <w:t>o cotidiano</w:t>
      </w:r>
      <w:r w:rsidRPr="00944AD3">
        <w:rPr>
          <w:rFonts w:eastAsia="Calibri"/>
          <w:szCs w:val="22"/>
          <w:lang w:eastAsia="en-US"/>
        </w:rPr>
        <w:t xml:space="preserve"> dessas populações. Esses efeitos adversos, ainda que estejam também num plano mais subjetivo merecem a máxima atenção do empreendedor.</w:t>
      </w:r>
    </w:p>
    <w:p w:rsidR="007F327D" w:rsidRPr="00944AD3" w:rsidRDefault="007F327D" w:rsidP="007F327D">
      <w:pPr>
        <w:spacing w:before="120" w:after="120" w:line="240" w:lineRule="auto"/>
        <w:rPr>
          <w:rFonts w:eastAsia="Calibri"/>
          <w:szCs w:val="22"/>
          <w:lang w:eastAsia="en-US"/>
        </w:rPr>
      </w:pPr>
      <w:r w:rsidRPr="00944AD3">
        <w:rPr>
          <w:rFonts w:eastAsia="Calibri"/>
          <w:szCs w:val="22"/>
          <w:lang w:eastAsia="en-US"/>
        </w:rPr>
        <w:t xml:space="preserve">Esse impacto de natureza negativa é certo e direto, concentrando-se naqueles que serão diretamente afetados, porém expandindo-se por toda Área de Influência Direta do empreendimento. Qualifica-se como reversível, uma vez que, com cuidadosas ações e interações de comunicação com os atores sociais locais, ao longo dos períodos de planejamento e implantação, principalmente, pode haver adaptação à nova realidade trazida pelas obras; de curto e médio prazo, iniciando quando da notícia do projeto e estendendo-se até as acomodações trazidas pela execução dos projetos ambientais e pela consolidação das obras; e permanente sobre alguns grupos sociais. É um fato direto e temporário e de magnitude </w:t>
      </w:r>
      <w:r>
        <w:rPr>
          <w:rFonts w:eastAsia="Calibri"/>
          <w:szCs w:val="22"/>
          <w:lang w:eastAsia="en-US"/>
        </w:rPr>
        <w:t xml:space="preserve">e Importância </w:t>
      </w:r>
      <w:r w:rsidRPr="00944AD3">
        <w:rPr>
          <w:rFonts w:eastAsia="Calibri"/>
          <w:szCs w:val="22"/>
          <w:lang w:eastAsia="en-US"/>
        </w:rPr>
        <w:t xml:space="preserve">média, por abranger diversos atores sociais locais e regionais e influir em seus planos imediatos e de médio prazo. </w:t>
      </w:r>
    </w:p>
    <w:p w:rsidR="007F327D" w:rsidRPr="00C37DA1" w:rsidRDefault="00B44C8E" w:rsidP="00C37DA1">
      <w:pPr>
        <w:pStyle w:val="Legenda"/>
        <w:spacing w:line="240" w:lineRule="auto"/>
        <w:jc w:val="center"/>
        <w:rPr>
          <w:rFonts w:eastAsia="Calibri"/>
          <w:b w:val="0"/>
          <w:i w:val="0"/>
          <w:szCs w:val="22"/>
          <w:lang w:eastAsia="en-US"/>
        </w:rPr>
      </w:pPr>
      <w:bookmarkStart w:id="368" w:name="_Toc420316519"/>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76</w:t>
      </w:r>
      <w:r w:rsidR="00B80A05" w:rsidRPr="00C37DA1">
        <w:rPr>
          <w:i w:val="0"/>
        </w:rPr>
        <w:fldChar w:fldCharType="end"/>
      </w:r>
      <w:r w:rsidR="00C37DA1" w:rsidRPr="00C37DA1">
        <w:rPr>
          <w:i w:val="0"/>
        </w:rPr>
        <w:t>.</w:t>
      </w:r>
      <w:r w:rsidR="00C37DA1" w:rsidRPr="00C37DA1">
        <w:rPr>
          <w:b w:val="0"/>
          <w:i w:val="0"/>
        </w:rPr>
        <w:t xml:space="preserve"> - </w:t>
      </w:r>
      <w:r w:rsidR="007F327D" w:rsidRPr="00C37DA1">
        <w:rPr>
          <w:rFonts w:eastAsia="Calibri" w:cs="Arial"/>
          <w:b w:val="0"/>
          <w:i w:val="0"/>
          <w:szCs w:val="22"/>
          <w:lang w:eastAsia="en-US"/>
        </w:rPr>
        <w:t xml:space="preserve">Caracterização do Impacto - Geração de Expectativas Negativas </w:t>
      </w:r>
      <w:r w:rsidR="0076266B" w:rsidRPr="00C37DA1">
        <w:rPr>
          <w:rFonts w:eastAsia="Calibri" w:cs="Arial"/>
          <w:b w:val="0"/>
          <w:i w:val="0"/>
          <w:szCs w:val="22"/>
          <w:lang w:eastAsia="en-US"/>
        </w:rPr>
        <w:t xml:space="preserve">em Relação ao Empreendimento </w:t>
      </w:r>
      <w:r w:rsidR="007F327D" w:rsidRPr="00C37DA1">
        <w:rPr>
          <w:rFonts w:cs="Arial"/>
          <w:b w:val="0"/>
          <w:bCs/>
          <w:i w:val="0"/>
          <w:szCs w:val="22"/>
        </w:rPr>
        <w:t>– Barragem Pedreira e Duas Pontes</w:t>
      </w:r>
      <w:bookmarkEnd w:id="36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4"/>
        <w:gridCol w:w="1725"/>
        <w:gridCol w:w="1724"/>
        <w:gridCol w:w="1725"/>
        <w:gridCol w:w="1725"/>
      </w:tblGrid>
      <w:tr w:rsidR="007F327D" w:rsidRPr="00944AD3" w:rsidTr="008204B6">
        <w:trPr>
          <w:trHeight w:hRule="exact" w:val="553"/>
          <w:jc w:val="center"/>
        </w:trPr>
        <w:tc>
          <w:tcPr>
            <w:tcW w:w="1724" w:type="dxa"/>
            <w:shd w:val="clear" w:color="auto" w:fill="D9D9D9" w:themeFill="background1" w:themeFillShade="D9"/>
            <w:vAlign w:val="center"/>
          </w:tcPr>
          <w:p w:rsidR="007F327D" w:rsidRPr="00944AD3" w:rsidRDefault="007F327D" w:rsidP="00530E61">
            <w:pPr>
              <w:spacing w:before="120" w:after="120" w:line="240" w:lineRule="auto"/>
              <w:jc w:val="center"/>
              <w:rPr>
                <w:rFonts w:eastAsia="Calibri" w:cs="Arial"/>
                <w:b/>
                <w:sz w:val="20"/>
                <w:lang w:eastAsia="en-US"/>
              </w:rPr>
            </w:pPr>
            <w:r w:rsidRPr="00944AD3">
              <w:rPr>
                <w:rFonts w:eastAsia="Calibri" w:cs="Arial"/>
                <w:b/>
                <w:sz w:val="20"/>
                <w:lang w:eastAsia="en-US"/>
              </w:rPr>
              <w:t>Natureza</w:t>
            </w:r>
          </w:p>
        </w:tc>
        <w:tc>
          <w:tcPr>
            <w:tcW w:w="1725" w:type="dxa"/>
            <w:shd w:val="clear" w:color="auto" w:fill="D9D9D9" w:themeFill="background1" w:themeFillShade="D9"/>
            <w:vAlign w:val="center"/>
          </w:tcPr>
          <w:p w:rsidR="007F327D" w:rsidRPr="00944AD3" w:rsidRDefault="007F327D" w:rsidP="00530E61">
            <w:pPr>
              <w:spacing w:before="120" w:after="120" w:line="240" w:lineRule="auto"/>
              <w:jc w:val="center"/>
              <w:rPr>
                <w:rFonts w:eastAsia="Calibri" w:cs="Arial"/>
                <w:b/>
                <w:sz w:val="20"/>
                <w:lang w:eastAsia="en-US"/>
              </w:rPr>
            </w:pPr>
            <w:r w:rsidRPr="00944AD3">
              <w:rPr>
                <w:rFonts w:eastAsia="Calibri" w:cs="Arial"/>
                <w:b/>
                <w:sz w:val="20"/>
                <w:lang w:eastAsia="en-US"/>
              </w:rPr>
              <w:t>Ordem</w:t>
            </w:r>
          </w:p>
        </w:tc>
        <w:tc>
          <w:tcPr>
            <w:tcW w:w="1724" w:type="dxa"/>
            <w:shd w:val="clear" w:color="auto" w:fill="D9D9D9" w:themeFill="background1" w:themeFillShade="D9"/>
            <w:vAlign w:val="center"/>
          </w:tcPr>
          <w:p w:rsidR="007F327D" w:rsidRPr="00944AD3" w:rsidRDefault="007F327D" w:rsidP="00530E61">
            <w:pPr>
              <w:spacing w:before="120" w:after="120" w:line="240" w:lineRule="auto"/>
              <w:jc w:val="center"/>
              <w:rPr>
                <w:rFonts w:eastAsia="Calibri" w:cs="Arial"/>
                <w:b/>
                <w:sz w:val="20"/>
                <w:lang w:eastAsia="en-US"/>
              </w:rPr>
            </w:pPr>
            <w:r w:rsidRPr="00944AD3">
              <w:rPr>
                <w:rFonts w:eastAsia="Calibri" w:cs="Arial"/>
                <w:b/>
                <w:sz w:val="20"/>
                <w:lang w:eastAsia="en-US"/>
              </w:rPr>
              <w:t>Abrangência</w:t>
            </w:r>
          </w:p>
        </w:tc>
        <w:tc>
          <w:tcPr>
            <w:tcW w:w="1725" w:type="dxa"/>
            <w:shd w:val="clear" w:color="auto" w:fill="D9D9D9" w:themeFill="background1" w:themeFillShade="D9"/>
            <w:vAlign w:val="center"/>
          </w:tcPr>
          <w:p w:rsidR="007F327D" w:rsidRPr="00944AD3" w:rsidRDefault="007F327D" w:rsidP="00530E61">
            <w:pPr>
              <w:spacing w:before="120" w:after="120" w:line="240" w:lineRule="auto"/>
              <w:jc w:val="center"/>
              <w:rPr>
                <w:rFonts w:eastAsia="Calibri" w:cs="Arial"/>
                <w:b/>
                <w:sz w:val="20"/>
                <w:lang w:eastAsia="en-US"/>
              </w:rPr>
            </w:pPr>
            <w:r w:rsidRPr="00944AD3">
              <w:rPr>
                <w:rFonts w:eastAsia="Calibri" w:cs="Arial"/>
                <w:b/>
                <w:sz w:val="20"/>
                <w:lang w:eastAsia="en-US"/>
              </w:rPr>
              <w:t>Duração</w:t>
            </w:r>
          </w:p>
        </w:tc>
        <w:tc>
          <w:tcPr>
            <w:tcW w:w="1725" w:type="dxa"/>
            <w:shd w:val="clear" w:color="auto" w:fill="D9D9D9" w:themeFill="background1" w:themeFillShade="D9"/>
            <w:vAlign w:val="center"/>
          </w:tcPr>
          <w:p w:rsidR="007F327D" w:rsidRPr="00944AD3" w:rsidRDefault="007F327D" w:rsidP="00530E61">
            <w:pPr>
              <w:spacing w:before="120" w:after="120" w:line="240" w:lineRule="auto"/>
              <w:jc w:val="center"/>
              <w:rPr>
                <w:rFonts w:eastAsia="Calibri" w:cs="Arial"/>
                <w:b/>
                <w:sz w:val="20"/>
                <w:lang w:eastAsia="en-US"/>
              </w:rPr>
            </w:pPr>
            <w:r w:rsidRPr="00944AD3">
              <w:rPr>
                <w:rFonts w:eastAsia="Calibri" w:cs="Arial"/>
                <w:b/>
                <w:sz w:val="20"/>
                <w:lang w:eastAsia="en-US"/>
              </w:rPr>
              <w:t>Probabilidade de Ocorrência</w:t>
            </w:r>
          </w:p>
        </w:tc>
      </w:tr>
      <w:tr w:rsidR="007F327D" w:rsidRPr="00944AD3" w:rsidTr="00530E61">
        <w:trPr>
          <w:trHeight w:hRule="exact" w:val="430"/>
          <w:jc w:val="center"/>
        </w:trPr>
        <w:tc>
          <w:tcPr>
            <w:tcW w:w="1724" w:type="dxa"/>
            <w:shd w:val="clear" w:color="auto" w:fill="auto"/>
            <w:vAlign w:val="center"/>
          </w:tcPr>
          <w:p w:rsidR="007F327D" w:rsidRPr="00944AD3" w:rsidRDefault="007F327D" w:rsidP="00530E61">
            <w:pPr>
              <w:spacing w:before="120" w:after="120" w:line="240" w:lineRule="auto"/>
              <w:jc w:val="center"/>
              <w:rPr>
                <w:rFonts w:eastAsia="Calibri" w:cs="Arial"/>
                <w:sz w:val="20"/>
                <w:lang w:eastAsia="en-US"/>
              </w:rPr>
            </w:pPr>
            <w:r w:rsidRPr="00944AD3">
              <w:rPr>
                <w:rFonts w:eastAsia="Calibri" w:cs="Arial"/>
                <w:sz w:val="20"/>
                <w:lang w:eastAsia="en-US"/>
              </w:rPr>
              <w:t>Negativa</w:t>
            </w:r>
          </w:p>
        </w:tc>
        <w:tc>
          <w:tcPr>
            <w:tcW w:w="1725" w:type="dxa"/>
            <w:shd w:val="clear" w:color="auto" w:fill="auto"/>
            <w:vAlign w:val="center"/>
          </w:tcPr>
          <w:p w:rsidR="007F327D" w:rsidRPr="00944AD3" w:rsidRDefault="007F327D" w:rsidP="00530E61">
            <w:pPr>
              <w:spacing w:before="120" w:after="120" w:line="240" w:lineRule="auto"/>
              <w:jc w:val="center"/>
              <w:rPr>
                <w:rFonts w:eastAsia="Calibri" w:cs="Arial"/>
                <w:sz w:val="20"/>
                <w:lang w:eastAsia="en-US"/>
              </w:rPr>
            </w:pPr>
            <w:r w:rsidRPr="00944AD3">
              <w:rPr>
                <w:rFonts w:eastAsia="Calibri" w:cs="Arial"/>
                <w:sz w:val="20"/>
                <w:lang w:eastAsia="en-US"/>
              </w:rPr>
              <w:t>Direta</w:t>
            </w:r>
          </w:p>
        </w:tc>
        <w:tc>
          <w:tcPr>
            <w:tcW w:w="1724" w:type="dxa"/>
            <w:shd w:val="clear" w:color="auto" w:fill="auto"/>
            <w:vAlign w:val="center"/>
          </w:tcPr>
          <w:p w:rsidR="007F327D" w:rsidRPr="00944AD3" w:rsidRDefault="007F327D" w:rsidP="00530E61">
            <w:pPr>
              <w:spacing w:before="120" w:after="120" w:line="240" w:lineRule="auto"/>
              <w:jc w:val="center"/>
              <w:rPr>
                <w:rFonts w:eastAsia="Calibri" w:cs="Arial"/>
                <w:sz w:val="20"/>
                <w:lang w:eastAsia="en-US"/>
              </w:rPr>
            </w:pPr>
            <w:r w:rsidRPr="00944AD3">
              <w:rPr>
                <w:rFonts w:eastAsia="Calibri" w:cs="Arial"/>
                <w:sz w:val="20"/>
                <w:lang w:eastAsia="en-US"/>
              </w:rPr>
              <w:t>Local</w:t>
            </w:r>
            <w:r>
              <w:rPr>
                <w:rFonts w:eastAsia="Calibri" w:cs="Arial"/>
                <w:sz w:val="20"/>
                <w:lang w:eastAsia="en-US"/>
              </w:rPr>
              <w:t xml:space="preserve"> (ADA/AID)</w:t>
            </w:r>
          </w:p>
        </w:tc>
        <w:tc>
          <w:tcPr>
            <w:tcW w:w="1725" w:type="dxa"/>
            <w:shd w:val="clear" w:color="auto" w:fill="auto"/>
            <w:vAlign w:val="center"/>
          </w:tcPr>
          <w:p w:rsidR="007F327D" w:rsidRPr="00944AD3" w:rsidRDefault="007F327D" w:rsidP="00530E61">
            <w:pPr>
              <w:spacing w:before="120" w:after="120" w:line="240" w:lineRule="auto"/>
              <w:jc w:val="center"/>
              <w:rPr>
                <w:rFonts w:eastAsia="Calibri" w:cs="Arial"/>
                <w:sz w:val="20"/>
                <w:lang w:eastAsia="en-US"/>
              </w:rPr>
            </w:pPr>
            <w:r w:rsidRPr="00944AD3">
              <w:rPr>
                <w:rFonts w:eastAsia="Calibri" w:cs="Arial"/>
                <w:sz w:val="20"/>
                <w:lang w:eastAsia="en-US"/>
              </w:rPr>
              <w:t>Temporário</w:t>
            </w:r>
          </w:p>
        </w:tc>
        <w:tc>
          <w:tcPr>
            <w:tcW w:w="1725" w:type="dxa"/>
            <w:shd w:val="clear" w:color="auto" w:fill="auto"/>
            <w:vAlign w:val="center"/>
          </w:tcPr>
          <w:p w:rsidR="007F327D" w:rsidRPr="00944AD3" w:rsidRDefault="007F327D" w:rsidP="00530E61">
            <w:pPr>
              <w:spacing w:before="120" w:after="120" w:line="240" w:lineRule="auto"/>
              <w:jc w:val="center"/>
              <w:rPr>
                <w:rFonts w:eastAsia="Calibri" w:cs="Arial"/>
                <w:sz w:val="20"/>
                <w:lang w:eastAsia="en-US"/>
              </w:rPr>
            </w:pPr>
            <w:r w:rsidRPr="00944AD3">
              <w:rPr>
                <w:rFonts w:eastAsia="Calibri" w:cs="Arial"/>
                <w:sz w:val="20"/>
                <w:lang w:eastAsia="en-US"/>
              </w:rPr>
              <w:t>Certa</w:t>
            </w:r>
          </w:p>
        </w:tc>
      </w:tr>
    </w:tbl>
    <w:p w:rsidR="007F327D" w:rsidRPr="00944AD3" w:rsidRDefault="007F327D" w:rsidP="007F327D">
      <w:pPr>
        <w:spacing w:line="240" w:lineRule="auto"/>
        <w:rPr>
          <w:rFonts w:eastAsia="Calibri"/>
          <w:szCs w:val="22"/>
          <w:lang w:eastAsia="en-US"/>
        </w:rPr>
      </w:pPr>
    </w:p>
    <w:tbl>
      <w:tblPr>
        <w:tblW w:w="87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57"/>
        <w:gridCol w:w="1757"/>
        <w:gridCol w:w="1757"/>
        <w:gridCol w:w="1757"/>
        <w:gridCol w:w="1757"/>
      </w:tblGrid>
      <w:tr w:rsidR="007F327D" w:rsidRPr="00944AD3" w:rsidTr="008204B6">
        <w:trPr>
          <w:trHeight w:hRule="exact" w:val="627"/>
          <w:jc w:val="center"/>
        </w:trPr>
        <w:tc>
          <w:tcPr>
            <w:tcW w:w="1757" w:type="dxa"/>
            <w:shd w:val="clear" w:color="auto" w:fill="D9D9D9" w:themeFill="background1" w:themeFillShade="D9"/>
            <w:vAlign w:val="center"/>
          </w:tcPr>
          <w:p w:rsidR="007F327D" w:rsidRPr="00944AD3" w:rsidRDefault="007F327D" w:rsidP="00530E61">
            <w:pPr>
              <w:spacing w:before="120" w:after="120" w:line="240" w:lineRule="auto"/>
              <w:ind w:left="33" w:firstLine="1"/>
              <w:jc w:val="center"/>
              <w:rPr>
                <w:rFonts w:eastAsia="Calibri" w:cs="Arial"/>
                <w:b/>
                <w:sz w:val="20"/>
                <w:lang w:eastAsia="en-US"/>
              </w:rPr>
            </w:pPr>
            <w:r w:rsidRPr="00944AD3">
              <w:rPr>
                <w:rFonts w:eastAsia="Calibri" w:cs="Arial"/>
                <w:b/>
                <w:sz w:val="20"/>
                <w:lang w:eastAsia="en-US"/>
              </w:rPr>
              <w:t>Época de Ocorrência</w:t>
            </w:r>
          </w:p>
        </w:tc>
        <w:tc>
          <w:tcPr>
            <w:tcW w:w="1757" w:type="dxa"/>
            <w:shd w:val="clear" w:color="auto" w:fill="D9D9D9" w:themeFill="background1" w:themeFillShade="D9"/>
            <w:vAlign w:val="center"/>
          </w:tcPr>
          <w:p w:rsidR="007F327D" w:rsidRPr="00944AD3" w:rsidRDefault="007F327D" w:rsidP="00530E61">
            <w:pPr>
              <w:spacing w:before="120" w:after="120" w:line="240" w:lineRule="auto"/>
              <w:jc w:val="center"/>
              <w:rPr>
                <w:rFonts w:eastAsia="Calibri" w:cs="Arial"/>
                <w:b/>
                <w:sz w:val="20"/>
                <w:lang w:eastAsia="en-US"/>
              </w:rPr>
            </w:pPr>
            <w:r w:rsidRPr="00944AD3">
              <w:rPr>
                <w:rFonts w:eastAsia="Calibri" w:cs="Arial"/>
                <w:b/>
                <w:sz w:val="20"/>
                <w:lang w:eastAsia="en-US"/>
              </w:rPr>
              <w:t>Reversibilidade</w:t>
            </w:r>
          </w:p>
        </w:tc>
        <w:tc>
          <w:tcPr>
            <w:tcW w:w="1757" w:type="dxa"/>
            <w:shd w:val="clear" w:color="auto" w:fill="D9D9D9" w:themeFill="background1" w:themeFillShade="D9"/>
            <w:vAlign w:val="center"/>
          </w:tcPr>
          <w:p w:rsidR="007F327D" w:rsidRPr="00944AD3" w:rsidRDefault="007F327D" w:rsidP="00530E61">
            <w:pPr>
              <w:spacing w:before="120" w:after="120" w:line="240" w:lineRule="auto"/>
              <w:jc w:val="center"/>
              <w:rPr>
                <w:rFonts w:eastAsia="Calibri" w:cs="Arial"/>
                <w:b/>
                <w:sz w:val="20"/>
                <w:lang w:eastAsia="en-US"/>
              </w:rPr>
            </w:pPr>
            <w:r w:rsidRPr="00944AD3">
              <w:rPr>
                <w:rFonts w:eastAsia="Calibri" w:cs="Arial"/>
                <w:b/>
                <w:sz w:val="20"/>
                <w:lang w:eastAsia="en-US"/>
              </w:rPr>
              <w:t>Magnitude</w:t>
            </w:r>
          </w:p>
        </w:tc>
        <w:tc>
          <w:tcPr>
            <w:tcW w:w="1757" w:type="dxa"/>
            <w:shd w:val="clear" w:color="auto" w:fill="D9D9D9" w:themeFill="background1" w:themeFillShade="D9"/>
            <w:vAlign w:val="center"/>
          </w:tcPr>
          <w:p w:rsidR="007F327D" w:rsidRPr="00944AD3" w:rsidRDefault="007F327D" w:rsidP="00530E61">
            <w:pPr>
              <w:spacing w:before="120" w:after="120" w:line="240" w:lineRule="auto"/>
              <w:jc w:val="center"/>
              <w:rPr>
                <w:rFonts w:eastAsia="Calibri" w:cs="Arial"/>
                <w:b/>
                <w:sz w:val="20"/>
                <w:lang w:eastAsia="en-US"/>
              </w:rPr>
            </w:pPr>
            <w:r w:rsidRPr="00944AD3">
              <w:rPr>
                <w:rFonts w:eastAsia="Calibri" w:cs="Arial"/>
                <w:b/>
                <w:sz w:val="20"/>
                <w:lang w:eastAsia="en-US"/>
              </w:rPr>
              <w:t>Importância</w:t>
            </w:r>
          </w:p>
        </w:tc>
        <w:tc>
          <w:tcPr>
            <w:tcW w:w="1757" w:type="dxa"/>
            <w:shd w:val="clear" w:color="auto" w:fill="D9D9D9" w:themeFill="background1" w:themeFillShade="D9"/>
            <w:vAlign w:val="center"/>
          </w:tcPr>
          <w:p w:rsidR="007F327D" w:rsidRPr="00944AD3" w:rsidRDefault="007F327D" w:rsidP="00530E61">
            <w:pPr>
              <w:spacing w:before="120" w:after="120" w:line="240" w:lineRule="auto"/>
              <w:jc w:val="center"/>
              <w:rPr>
                <w:rFonts w:eastAsia="Calibri" w:cs="Arial"/>
                <w:b/>
                <w:sz w:val="20"/>
                <w:lang w:eastAsia="en-US"/>
              </w:rPr>
            </w:pPr>
            <w:r w:rsidRPr="00944AD3">
              <w:rPr>
                <w:rFonts w:eastAsia="Calibri" w:cs="Arial"/>
                <w:b/>
                <w:sz w:val="20"/>
                <w:lang w:eastAsia="en-US"/>
              </w:rPr>
              <w:t>Mitigação</w:t>
            </w:r>
          </w:p>
        </w:tc>
      </w:tr>
      <w:tr w:rsidR="007F327D" w:rsidRPr="00944AD3" w:rsidTr="009A7F0A">
        <w:trPr>
          <w:trHeight w:hRule="exact" w:val="651"/>
          <w:jc w:val="center"/>
        </w:trPr>
        <w:tc>
          <w:tcPr>
            <w:tcW w:w="1757" w:type="dxa"/>
            <w:shd w:val="clear" w:color="auto" w:fill="auto"/>
            <w:vAlign w:val="center"/>
          </w:tcPr>
          <w:p w:rsidR="007F327D" w:rsidRPr="00944AD3" w:rsidRDefault="007F327D" w:rsidP="00530E61">
            <w:pPr>
              <w:spacing w:before="120" w:after="120" w:line="240" w:lineRule="auto"/>
              <w:jc w:val="center"/>
              <w:rPr>
                <w:rFonts w:eastAsia="Calibri" w:cs="Arial"/>
                <w:sz w:val="20"/>
                <w:lang w:eastAsia="en-US"/>
              </w:rPr>
            </w:pPr>
            <w:r w:rsidRPr="00944AD3">
              <w:rPr>
                <w:rFonts w:eastAsia="Calibri" w:cs="Arial"/>
                <w:sz w:val="20"/>
                <w:lang w:eastAsia="en-US"/>
              </w:rPr>
              <w:t>Curto e Médio Prazo</w:t>
            </w:r>
          </w:p>
        </w:tc>
        <w:tc>
          <w:tcPr>
            <w:tcW w:w="1757" w:type="dxa"/>
            <w:vAlign w:val="center"/>
          </w:tcPr>
          <w:p w:rsidR="007F327D" w:rsidRPr="00944AD3" w:rsidRDefault="007F327D" w:rsidP="00530E61">
            <w:pPr>
              <w:spacing w:before="120" w:after="120" w:line="240" w:lineRule="auto"/>
              <w:jc w:val="center"/>
              <w:rPr>
                <w:rFonts w:eastAsia="Calibri" w:cs="Arial"/>
                <w:sz w:val="20"/>
                <w:lang w:eastAsia="en-US"/>
              </w:rPr>
            </w:pPr>
            <w:r w:rsidRPr="00944AD3">
              <w:rPr>
                <w:rFonts w:eastAsia="Calibri" w:cs="Arial"/>
                <w:sz w:val="20"/>
                <w:lang w:eastAsia="en-US"/>
              </w:rPr>
              <w:t>Reversível</w:t>
            </w:r>
          </w:p>
        </w:tc>
        <w:tc>
          <w:tcPr>
            <w:tcW w:w="1757" w:type="dxa"/>
            <w:shd w:val="clear" w:color="auto" w:fill="auto"/>
            <w:vAlign w:val="center"/>
          </w:tcPr>
          <w:p w:rsidR="007F327D" w:rsidRPr="00944AD3" w:rsidRDefault="007F327D" w:rsidP="00530E61">
            <w:pPr>
              <w:spacing w:before="120" w:after="120" w:line="240" w:lineRule="auto"/>
              <w:jc w:val="center"/>
              <w:rPr>
                <w:rFonts w:eastAsia="Calibri" w:cs="Arial"/>
                <w:sz w:val="20"/>
                <w:lang w:eastAsia="en-US"/>
              </w:rPr>
            </w:pPr>
            <w:r w:rsidRPr="00944AD3">
              <w:rPr>
                <w:rFonts w:eastAsia="Calibri" w:cs="Arial"/>
                <w:sz w:val="20"/>
                <w:lang w:eastAsia="en-US"/>
              </w:rPr>
              <w:t>Média</w:t>
            </w:r>
          </w:p>
        </w:tc>
        <w:tc>
          <w:tcPr>
            <w:tcW w:w="1757" w:type="dxa"/>
            <w:shd w:val="clear" w:color="auto" w:fill="auto"/>
            <w:vAlign w:val="center"/>
          </w:tcPr>
          <w:p w:rsidR="007F327D" w:rsidRPr="00944AD3" w:rsidRDefault="007F327D" w:rsidP="00530E61">
            <w:pPr>
              <w:spacing w:before="120" w:after="120" w:line="240" w:lineRule="auto"/>
              <w:jc w:val="center"/>
              <w:rPr>
                <w:rFonts w:eastAsia="Calibri" w:cs="Arial"/>
                <w:sz w:val="20"/>
                <w:lang w:eastAsia="en-US"/>
              </w:rPr>
            </w:pPr>
            <w:r w:rsidRPr="00944AD3">
              <w:rPr>
                <w:rFonts w:eastAsia="Calibri" w:cs="Arial"/>
                <w:sz w:val="20"/>
                <w:lang w:eastAsia="en-US"/>
              </w:rPr>
              <w:t>Média</w:t>
            </w:r>
          </w:p>
        </w:tc>
        <w:tc>
          <w:tcPr>
            <w:tcW w:w="1757" w:type="dxa"/>
            <w:shd w:val="clear" w:color="auto" w:fill="auto"/>
            <w:vAlign w:val="center"/>
          </w:tcPr>
          <w:p w:rsidR="007F327D" w:rsidRPr="00944AD3" w:rsidRDefault="007F327D" w:rsidP="00530E61">
            <w:pPr>
              <w:spacing w:before="120" w:after="120" w:line="240" w:lineRule="auto"/>
              <w:jc w:val="center"/>
              <w:rPr>
                <w:rFonts w:eastAsia="Calibri" w:cs="Arial"/>
                <w:sz w:val="20"/>
                <w:lang w:eastAsia="en-US"/>
              </w:rPr>
            </w:pPr>
            <w:r w:rsidRPr="00944AD3">
              <w:rPr>
                <w:rFonts w:eastAsia="Calibri" w:cs="Arial"/>
                <w:sz w:val="20"/>
                <w:lang w:eastAsia="en-US"/>
              </w:rPr>
              <w:t>Mitigável</w:t>
            </w:r>
          </w:p>
        </w:tc>
      </w:tr>
    </w:tbl>
    <w:p w:rsidR="00E155C0" w:rsidRDefault="00E155C0" w:rsidP="007F327D">
      <w:pPr>
        <w:spacing w:line="240" w:lineRule="auto"/>
        <w:rPr>
          <w:rFonts w:eastAsia="Calibri"/>
          <w:szCs w:val="22"/>
          <w:lang w:eastAsia="en-US"/>
        </w:rPr>
      </w:pPr>
      <w:r>
        <w:rPr>
          <w:rFonts w:eastAsia="Calibri"/>
          <w:szCs w:val="22"/>
          <w:lang w:eastAsia="en-US"/>
        </w:rPr>
        <w:br w:type="page"/>
      </w:r>
    </w:p>
    <w:p w:rsidR="007F327D" w:rsidRPr="00944AD3" w:rsidRDefault="007F327D" w:rsidP="008204B6">
      <w:pPr>
        <w:widowControl w:val="0"/>
        <w:autoSpaceDE w:val="0"/>
        <w:autoSpaceDN w:val="0"/>
        <w:adjustRightInd w:val="0"/>
        <w:spacing w:before="120" w:after="120" w:line="240" w:lineRule="auto"/>
        <w:jc w:val="left"/>
        <w:rPr>
          <w:rFonts w:eastAsia="Calibri" w:cs="Arial"/>
          <w:szCs w:val="22"/>
          <w:lang w:eastAsia="en-US"/>
        </w:rPr>
      </w:pPr>
      <w:r w:rsidRPr="00944AD3">
        <w:rPr>
          <w:rFonts w:eastAsia="Calibri" w:cs="Arial"/>
          <w:b/>
          <w:szCs w:val="22"/>
          <w:lang w:eastAsia="en-US"/>
        </w:rPr>
        <w:t>Ações Ambientais Propostas</w:t>
      </w:r>
    </w:p>
    <w:p w:rsidR="007F327D" w:rsidRPr="00944AD3" w:rsidRDefault="007F327D" w:rsidP="007F327D">
      <w:pPr>
        <w:spacing w:before="120" w:after="120" w:line="240" w:lineRule="auto"/>
        <w:rPr>
          <w:rFonts w:eastAsia="Calibri"/>
          <w:szCs w:val="22"/>
          <w:lang w:eastAsia="en-US"/>
        </w:rPr>
      </w:pPr>
      <w:r w:rsidRPr="00944AD3">
        <w:rPr>
          <w:rFonts w:eastAsia="Calibri"/>
          <w:szCs w:val="22"/>
          <w:lang w:eastAsia="en-US"/>
        </w:rPr>
        <w:t>Mais uma vez um processo transparente e eficiente de disseminação de informações oficiais acerca do empreendimento, de seu desenvolvimento e de suas consequências, para os diferentes perfis atingidos, apresenta-se como fundamental para a inversão dessa face negativa do impacto.</w:t>
      </w:r>
    </w:p>
    <w:p w:rsidR="007F327D" w:rsidRDefault="007F327D" w:rsidP="007F327D">
      <w:pPr>
        <w:spacing w:before="120" w:after="120" w:line="240" w:lineRule="auto"/>
        <w:rPr>
          <w:rFonts w:eastAsia="Calibri"/>
          <w:szCs w:val="22"/>
          <w:lang w:eastAsia="en-US"/>
        </w:rPr>
      </w:pPr>
      <w:r w:rsidRPr="00944AD3">
        <w:rPr>
          <w:rFonts w:eastAsia="Calibri"/>
          <w:szCs w:val="22"/>
          <w:lang w:eastAsia="en-US"/>
        </w:rPr>
        <w:t xml:space="preserve">O Programa de </w:t>
      </w:r>
      <w:r w:rsidR="00D225D5">
        <w:rPr>
          <w:rFonts w:eastAsia="Calibri"/>
          <w:szCs w:val="22"/>
          <w:lang w:eastAsia="en-US"/>
        </w:rPr>
        <w:t>Comunicação e Interação Social</w:t>
      </w:r>
      <w:r w:rsidRPr="00944AD3">
        <w:rPr>
          <w:rFonts w:eastAsia="Calibri"/>
          <w:szCs w:val="22"/>
          <w:lang w:eastAsia="en-US"/>
        </w:rPr>
        <w:t xml:space="preserve"> contempla ações direcionadas a essa questão, que cumprem um importante papel, durantes as fases de planejamento e implantação, para que os afetados possam refletir sobre a nova realidade, adotar providências para que venham a se beneficiar das eventuais oportunidades, a se precaver diante de situações hostis e planejar o futuro de modo fundamentado.</w:t>
      </w:r>
    </w:p>
    <w:p w:rsidR="007F327D" w:rsidRPr="00CA6BBE" w:rsidRDefault="007F327D" w:rsidP="002C0D71">
      <w:pPr>
        <w:pStyle w:val="Ttulo3"/>
      </w:pPr>
      <w:bookmarkStart w:id="369" w:name="_Toc418758251"/>
      <w:bookmarkStart w:id="370" w:name="_Toc418758853"/>
      <w:bookmarkStart w:id="371" w:name="_Toc419813613"/>
      <w:r w:rsidRPr="00CA6BBE">
        <w:t>1.3.3.4. Altera</w:t>
      </w:r>
      <w:r w:rsidRPr="00CA6BBE">
        <w:rPr>
          <w:rFonts w:hint="eastAsia"/>
        </w:rPr>
        <w:t>çã</w:t>
      </w:r>
      <w:r w:rsidRPr="00CA6BBE">
        <w:t>o das Rela</w:t>
      </w:r>
      <w:r w:rsidRPr="00CA6BBE">
        <w:rPr>
          <w:rFonts w:hint="eastAsia"/>
        </w:rPr>
        <w:t>çõ</w:t>
      </w:r>
      <w:r w:rsidRPr="00CA6BBE">
        <w:t>es Econ</w:t>
      </w:r>
      <w:r w:rsidRPr="00CA6BBE">
        <w:rPr>
          <w:rFonts w:hint="eastAsia"/>
        </w:rPr>
        <w:t>ô</w:t>
      </w:r>
      <w:r w:rsidRPr="00CA6BBE">
        <w:t>micas, Sociais e Culturais</w:t>
      </w:r>
      <w:bookmarkEnd w:id="369"/>
      <w:bookmarkEnd w:id="370"/>
      <w:bookmarkEnd w:id="371"/>
    </w:p>
    <w:p w:rsidR="00210DB1" w:rsidRPr="00210DB1" w:rsidRDefault="00210DB1" w:rsidP="007F327D">
      <w:pPr>
        <w:spacing w:before="120" w:after="120" w:line="240" w:lineRule="auto"/>
        <w:rPr>
          <w:rFonts w:eastAsia="Calibri"/>
          <w:b/>
          <w:szCs w:val="22"/>
          <w:lang w:eastAsia="en-US"/>
        </w:rPr>
      </w:pPr>
      <w:r w:rsidRPr="00210DB1">
        <w:rPr>
          <w:rFonts w:eastAsia="Calibri"/>
          <w:b/>
          <w:szCs w:val="22"/>
          <w:lang w:eastAsia="en-US"/>
        </w:rPr>
        <w:t>Fase: Implantação</w:t>
      </w:r>
    </w:p>
    <w:p w:rsidR="007F327D" w:rsidRPr="00E34ECB" w:rsidRDefault="007F327D" w:rsidP="007F327D">
      <w:pPr>
        <w:spacing w:before="120" w:after="120" w:line="240" w:lineRule="auto"/>
        <w:rPr>
          <w:rFonts w:eastAsia="Calibri"/>
          <w:szCs w:val="22"/>
          <w:lang w:eastAsia="en-US"/>
        </w:rPr>
      </w:pPr>
      <w:r w:rsidRPr="00E34ECB">
        <w:rPr>
          <w:rFonts w:eastAsia="Calibri"/>
          <w:szCs w:val="22"/>
          <w:lang w:eastAsia="en-US"/>
        </w:rPr>
        <w:t>A negociação de terras com proprietários e não proprietários, devido à retirada de edificações e da população da ADA, envolve a afetação da área para uso exclusivo do empreendimento. O impacto de alteração das relações econômicas, sociais e culturais decorre</w:t>
      </w:r>
      <w:r>
        <w:rPr>
          <w:rFonts w:eastAsia="Calibri"/>
          <w:szCs w:val="22"/>
          <w:lang w:eastAsia="en-US"/>
        </w:rPr>
        <w:t xml:space="preserve"> da</w:t>
      </w:r>
      <w:r w:rsidRPr="00E34ECB">
        <w:rPr>
          <w:rFonts w:eastAsia="Calibri"/>
          <w:szCs w:val="22"/>
          <w:lang w:eastAsia="en-US"/>
        </w:rPr>
        <w:t xml:space="preserve"> perda de imóveis, ou seja, da retirada de edificações existentes na ADA e da recolocação e remanejamento de benfeitorias e atividades de cunho econômico ou sociocultural. Esse fator gerador de impacto anda lado a lado com outro, a retirada da população residente na ADA. Ambos os fatores inevitavelmente alteram </w:t>
      </w:r>
      <w:r>
        <w:rPr>
          <w:rFonts w:eastAsia="Calibri"/>
          <w:szCs w:val="22"/>
          <w:lang w:eastAsia="en-US"/>
        </w:rPr>
        <w:t xml:space="preserve">as </w:t>
      </w:r>
      <w:r w:rsidRPr="00E34ECB">
        <w:rPr>
          <w:rFonts w:eastAsia="Calibri"/>
          <w:szCs w:val="22"/>
          <w:lang w:eastAsia="en-US"/>
        </w:rPr>
        <w:t>dinâmicas sociais e econômicas, incorrendo em rompimento de estratégias de sobrevivência pré-estabelecidas pelas relações de vizinhança, parentesco e outras – o que inclui desde relações funcionais e econômicas, — como escoamento cooperado de produção de pequenas propriedades, trocas e outras —, até relações culturais tradicionais.</w:t>
      </w:r>
    </w:p>
    <w:p w:rsidR="007F327D" w:rsidRDefault="007F327D" w:rsidP="007F327D">
      <w:pPr>
        <w:spacing w:before="120" w:after="120" w:line="240" w:lineRule="auto"/>
        <w:rPr>
          <w:rFonts w:eastAsia="Calibri"/>
          <w:szCs w:val="22"/>
          <w:lang w:eastAsia="en-US"/>
        </w:rPr>
      </w:pPr>
      <w:r w:rsidRPr="00E34ECB">
        <w:rPr>
          <w:rFonts w:eastAsia="Calibri"/>
          <w:szCs w:val="22"/>
          <w:lang w:eastAsia="en-US"/>
        </w:rPr>
        <w:t>Especificamente nos modos de vida e de reprodução social das famílias de pequenas propriedade</w:t>
      </w:r>
      <w:r>
        <w:rPr>
          <w:rFonts w:eastAsia="Calibri"/>
          <w:szCs w:val="22"/>
          <w:lang w:eastAsia="en-US"/>
        </w:rPr>
        <w:t>s</w:t>
      </w:r>
      <w:r w:rsidRPr="00E34ECB">
        <w:rPr>
          <w:rFonts w:eastAsia="Calibri"/>
          <w:szCs w:val="22"/>
          <w:lang w:eastAsia="en-US"/>
        </w:rPr>
        <w:t xml:space="preserve"> a praticar a agricultura familiar, as relações de parentesco e vizinhança são fundamentais para a manutenção da estrutura social e os modos de vida das pessoas. Essas relações que são abstratas, aos olhos daqueles que não vivem na comunidade, estão presentes no cotidiano dos moradores e possuem forte ligação com a distribuição espacial das residências, com o ambiente e os imóveis rurais presentes nesse espaço.</w:t>
      </w:r>
    </w:p>
    <w:p w:rsidR="007F327D" w:rsidRDefault="007F327D" w:rsidP="007F327D">
      <w:pPr>
        <w:spacing w:before="120" w:after="120" w:line="240" w:lineRule="auto"/>
        <w:rPr>
          <w:rFonts w:eastAsia="Calibri"/>
          <w:szCs w:val="22"/>
          <w:lang w:eastAsia="en-US"/>
        </w:rPr>
      </w:pPr>
      <w:r w:rsidRPr="00E34ECB">
        <w:rPr>
          <w:rFonts w:eastAsia="Calibri"/>
          <w:szCs w:val="22"/>
          <w:lang w:eastAsia="en-US"/>
        </w:rPr>
        <w:t>Esse impacto negativo é considerado irreversível, localizado e de grande magnitude para a população diretamente afetada na ADA. É ainda fato novo e permanente, de ocorrência certa, incidência direta e ocorrente a curto prazo, tão logo ocorra a retirada dessa população.</w:t>
      </w:r>
    </w:p>
    <w:p w:rsidR="007F327D" w:rsidRPr="00C37DA1" w:rsidRDefault="00B44C8E" w:rsidP="00C37DA1">
      <w:pPr>
        <w:pStyle w:val="Legenda"/>
        <w:spacing w:line="240" w:lineRule="auto"/>
        <w:jc w:val="center"/>
        <w:rPr>
          <w:rFonts w:eastAsia="Calibri"/>
          <w:b w:val="0"/>
          <w:i w:val="0"/>
          <w:szCs w:val="22"/>
          <w:lang w:eastAsia="en-US"/>
        </w:rPr>
      </w:pPr>
      <w:bookmarkStart w:id="372" w:name="_Toc420316520"/>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77</w:t>
      </w:r>
      <w:r w:rsidR="00B80A05" w:rsidRPr="00C37DA1">
        <w:rPr>
          <w:i w:val="0"/>
        </w:rPr>
        <w:fldChar w:fldCharType="end"/>
      </w:r>
      <w:r w:rsidR="00C37DA1" w:rsidRPr="00C37DA1">
        <w:rPr>
          <w:i w:val="0"/>
        </w:rPr>
        <w:t>.</w:t>
      </w:r>
      <w:r w:rsidR="00C37DA1" w:rsidRPr="00C37DA1">
        <w:rPr>
          <w:b w:val="0"/>
          <w:i w:val="0"/>
        </w:rPr>
        <w:t xml:space="preserve"> - </w:t>
      </w:r>
      <w:r w:rsidR="007F327D" w:rsidRPr="00C37DA1">
        <w:rPr>
          <w:rFonts w:eastAsia="Calibri" w:cs="Arial"/>
          <w:b w:val="0"/>
          <w:i w:val="0"/>
          <w:szCs w:val="22"/>
          <w:lang w:eastAsia="en-US"/>
        </w:rPr>
        <w:t xml:space="preserve">Caracterização do Impacto - </w:t>
      </w:r>
      <w:r w:rsidR="007F327D" w:rsidRPr="00C37DA1">
        <w:rPr>
          <w:rFonts w:eastAsia="Calibri"/>
          <w:b w:val="0"/>
          <w:i w:val="0"/>
          <w:szCs w:val="22"/>
          <w:lang w:eastAsia="en-US"/>
        </w:rPr>
        <w:t xml:space="preserve">Alteração das </w:t>
      </w:r>
      <w:r w:rsidR="00040A7E" w:rsidRPr="00C37DA1">
        <w:rPr>
          <w:rFonts w:eastAsia="Calibri"/>
          <w:b w:val="0"/>
          <w:i w:val="0"/>
          <w:szCs w:val="22"/>
          <w:lang w:eastAsia="en-US"/>
        </w:rPr>
        <w:t>R</w:t>
      </w:r>
      <w:r w:rsidR="007F327D" w:rsidRPr="00C37DA1">
        <w:rPr>
          <w:rFonts w:eastAsia="Calibri"/>
          <w:b w:val="0"/>
          <w:i w:val="0"/>
          <w:szCs w:val="22"/>
          <w:lang w:eastAsia="en-US"/>
        </w:rPr>
        <w:t xml:space="preserve">elações </w:t>
      </w:r>
      <w:r w:rsidR="00040A7E" w:rsidRPr="00C37DA1">
        <w:rPr>
          <w:rFonts w:eastAsia="Calibri"/>
          <w:b w:val="0"/>
          <w:i w:val="0"/>
          <w:szCs w:val="22"/>
          <w:lang w:eastAsia="en-US"/>
        </w:rPr>
        <w:t>E</w:t>
      </w:r>
      <w:r w:rsidR="007F327D" w:rsidRPr="00C37DA1">
        <w:rPr>
          <w:rFonts w:eastAsia="Calibri"/>
          <w:b w:val="0"/>
          <w:i w:val="0"/>
          <w:szCs w:val="22"/>
          <w:lang w:eastAsia="en-US"/>
        </w:rPr>
        <w:t xml:space="preserve">conômicas, </w:t>
      </w:r>
      <w:r w:rsidR="00040A7E" w:rsidRPr="00C37DA1">
        <w:rPr>
          <w:rFonts w:eastAsia="Calibri"/>
          <w:b w:val="0"/>
          <w:i w:val="0"/>
          <w:szCs w:val="22"/>
          <w:lang w:eastAsia="en-US"/>
        </w:rPr>
        <w:t>S</w:t>
      </w:r>
      <w:r w:rsidR="007F327D" w:rsidRPr="00C37DA1">
        <w:rPr>
          <w:rFonts w:eastAsia="Calibri"/>
          <w:b w:val="0"/>
          <w:i w:val="0"/>
          <w:szCs w:val="22"/>
          <w:lang w:eastAsia="en-US"/>
        </w:rPr>
        <w:t xml:space="preserve">ociais e </w:t>
      </w:r>
      <w:r w:rsidR="00040A7E" w:rsidRPr="00C37DA1">
        <w:rPr>
          <w:rFonts w:eastAsia="Calibri"/>
          <w:b w:val="0"/>
          <w:i w:val="0"/>
          <w:szCs w:val="22"/>
          <w:lang w:eastAsia="en-US"/>
        </w:rPr>
        <w:t>C</w:t>
      </w:r>
      <w:r w:rsidR="007F327D" w:rsidRPr="00C37DA1">
        <w:rPr>
          <w:rFonts w:eastAsia="Calibri"/>
          <w:b w:val="0"/>
          <w:i w:val="0"/>
          <w:szCs w:val="22"/>
          <w:lang w:eastAsia="en-US"/>
        </w:rPr>
        <w:t xml:space="preserve">ulturais - </w:t>
      </w:r>
      <w:r w:rsidR="009E5FD8" w:rsidRPr="00C37DA1">
        <w:rPr>
          <w:rFonts w:cs="Arial"/>
          <w:b w:val="0"/>
          <w:bCs/>
          <w:i w:val="0"/>
          <w:szCs w:val="22"/>
        </w:rPr>
        <w:t>Barragens</w:t>
      </w:r>
      <w:r w:rsidR="007F327D" w:rsidRPr="00C37DA1">
        <w:rPr>
          <w:rFonts w:cs="Arial"/>
          <w:b w:val="0"/>
          <w:bCs/>
          <w:i w:val="0"/>
          <w:szCs w:val="22"/>
        </w:rPr>
        <w:t xml:space="preserve"> Pedreira e Duas Pontes</w:t>
      </w:r>
      <w:bookmarkEnd w:id="372"/>
    </w:p>
    <w:tbl>
      <w:tblPr>
        <w:tblW w:w="0" w:type="auto"/>
        <w:jc w:val="center"/>
        <w:tblInd w:w="-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4"/>
        <w:gridCol w:w="1314"/>
        <w:gridCol w:w="1842"/>
        <w:gridCol w:w="1701"/>
        <w:gridCol w:w="3052"/>
      </w:tblGrid>
      <w:tr w:rsidR="007F327D" w:rsidRPr="00E34ECB" w:rsidTr="008204B6">
        <w:trPr>
          <w:trHeight w:hRule="exact" w:val="507"/>
          <w:jc w:val="center"/>
        </w:trPr>
        <w:tc>
          <w:tcPr>
            <w:tcW w:w="1314" w:type="dxa"/>
            <w:shd w:val="clear" w:color="auto" w:fill="D9D9D9" w:themeFill="background1" w:themeFillShade="D9"/>
            <w:vAlign w:val="center"/>
          </w:tcPr>
          <w:p w:rsidR="007F327D" w:rsidRPr="00E34ECB" w:rsidRDefault="007F327D" w:rsidP="00530E61">
            <w:pPr>
              <w:spacing w:line="240" w:lineRule="auto"/>
              <w:jc w:val="center"/>
              <w:rPr>
                <w:rFonts w:eastAsia="Calibri" w:cs="Arial"/>
                <w:b/>
                <w:sz w:val="20"/>
                <w:lang w:eastAsia="en-US"/>
              </w:rPr>
            </w:pPr>
            <w:r w:rsidRPr="00E34ECB">
              <w:rPr>
                <w:rFonts w:eastAsia="Calibri" w:cs="Arial"/>
                <w:b/>
                <w:sz w:val="20"/>
                <w:lang w:eastAsia="en-US"/>
              </w:rPr>
              <w:t>Natureza</w:t>
            </w:r>
          </w:p>
        </w:tc>
        <w:tc>
          <w:tcPr>
            <w:tcW w:w="1314" w:type="dxa"/>
            <w:shd w:val="clear" w:color="auto" w:fill="D9D9D9" w:themeFill="background1" w:themeFillShade="D9"/>
            <w:vAlign w:val="center"/>
          </w:tcPr>
          <w:p w:rsidR="007F327D" w:rsidRPr="00E34ECB" w:rsidRDefault="007F327D" w:rsidP="00530E61">
            <w:pPr>
              <w:spacing w:line="240" w:lineRule="auto"/>
              <w:jc w:val="center"/>
              <w:rPr>
                <w:rFonts w:eastAsia="Calibri" w:cs="Arial"/>
                <w:b/>
                <w:sz w:val="20"/>
                <w:lang w:eastAsia="en-US"/>
              </w:rPr>
            </w:pPr>
            <w:r w:rsidRPr="00E34ECB">
              <w:rPr>
                <w:rFonts w:eastAsia="Calibri" w:cs="Arial"/>
                <w:b/>
                <w:sz w:val="20"/>
                <w:lang w:eastAsia="en-US"/>
              </w:rPr>
              <w:t>Ordem</w:t>
            </w:r>
          </w:p>
        </w:tc>
        <w:tc>
          <w:tcPr>
            <w:tcW w:w="1842" w:type="dxa"/>
            <w:shd w:val="clear" w:color="auto" w:fill="D9D9D9" w:themeFill="background1" w:themeFillShade="D9"/>
            <w:vAlign w:val="center"/>
          </w:tcPr>
          <w:p w:rsidR="007F327D" w:rsidRPr="00E34ECB" w:rsidRDefault="007F327D" w:rsidP="00530E61">
            <w:pPr>
              <w:spacing w:line="240" w:lineRule="auto"/>
              <w:jc w:val="center"/>
              <w:rPr>
                <w:rFonts w:eastAsia="Calibri" w:cs="Arial"/>
                <w:b/>
                <w:sz w:val="20"/>
                <w:lang w:eastAsia="en-US"/>
              </w:rPr>
            </w:pPr>
            <w:r w:rsidRPr="00E34ECB">
              <w:rPr>
                <w:rFonts w:eastAsia="Calibri" w:cs="Arial"/>
                <w:b/>
                <w:sz w:val="20"/>
                <w:lang w:eastAsia="en-US"/>
              </w:rPr>
              <w:t>Abrangência</w:t>
            </w:r>
          </w:p>
        </w:tc>
        <w:tc>
          <w:tcPr>
            <w:tcW w:w="1701" w:type="dxa"/>
            <w:shd w:val="clear" w:color="auto" w:fill="D9D9D9" w:themeFill="background1" w:themeFillShade="D9"/>
            <w:vAlign w:val="center"/>
          </w:tcPr>
          <w:p w:rsidR="007F327D" w:rsidRPr="00E34ECB" w:rsidRDefault="007F327D" w:rsidP="00530E61">
            <w:pPr>
              <w:spacing w:line="240" w:lineRule="auto"/>
              <w:jc w:val="center"/>
              <w:rPr>
                <w:rFonts w:eastAsia="Calibri" w:cs="Arial"/>
                <w:b/>
                <w:sz w:val="20"/>
                <w:lang w:eastAsia="en-US"/>
              </w:rPr>
            </w:pPr>
            <w:r w:rsidRPr="00E34ECB">
              <w:rPr>
                <w:rFonts w:eastAsia="Calibri" w:cs="Arial"/>
                <w:b/>
                <w:sz w:val="20"/>
                <w:lang w:eastAsia="en-US"/>
              </w:rPr>
              <w:t>Duração</w:t>
            </w:r>
          </w:p>
        </w:tc>
        <w:tc>
          <w:tcPr>
            <w:tcW w:w="3052" w:type="dxa"/>
            <w:shd w:val="clear" w:color="auto" w:fill="D9D9D9" w:themeFill="background1" w:themeFillShade="D9"/>
            <w:vAlign w:val="center"/>
          </w:tcPr>
          <w:p w:rsidR="007F327D" w:rsidRPr="00E34ECB" w:rsidRDefault="007F327D" w:rsidP="00530E61">
            <w:pPr>
              <w:spacing w:line="240" w:lineRule="auto"/>
              <w:jc w:val="center"/>
              <w:rPr>
                <w:rFonts w:eastAsia="Calibri" w:cs="Arial"/>
                <w:b/>
                <w:sz w:val="20"/>
                <w:lang w:eastAsia="en-US"/>
              </w:rPr>
            </w:pPr>
            <w:r w:rsidRPr="00E34ECB">
              <w:rPr>
                <w:rFonts w:eastAsia="Calibri" w:cs="Arial"/>
                <w:b/>
                <w:sz w:val="20"/>
                <w:lang w:eastAsia="en-US"/>
              </w:rPr>
              <w:t>Probabilidade de Ocorrência</w:t>
            </w:r>
          </w:p>
        </w:tc>
      </w:tr>
      <w:tr w:rsidR="007F327D" w:rsidRPr="00E34ECB" w:rsidTr="00530E61">
        <w:trPr>
          <w:trHeight w:hRule="exact" w:val="430"/>
          <w:jc w:val="center"/>
        </w:trPr>
        <w:tc>
          <w:tcPr>
            <w:tcW w:w="1314" w:type="dxa"/>
            <w:shd w:val="clear" w:color="auto" w:fill="auto"/>
            <w:vAlign w:val="center"/>
          </w:tcPr>
          <w:p w:rsidR="007F327D" w:rsidRPr="00E34ECB" w:rsidRDefault="007F327D" w:rsidP="00530E61">
            <w:pPr>
              <w:spacing w:line="240" w:lineRule="auto"/>
              <w:jc w:val="center"/>
              <w:rPr>
                <w:rFonts w:eastAsia="Calibri" w:cs="Arial"/>
                <w:sz w:val="20"/>
                <w:lang w:eastAsia="en-US"/>
              </w:rPr>
            </w:pPr>
            <w:r w:rsidRPr="00E34ECB">
              <w:rPr>
                <w:rFonts w:eastAsia="Calibri" w:cs="Arial"/>
                <w:sz w:val="20"/>
                <w:lang w:eastAsia="en-US"/>
              </w:rPr>
              <w:t>Negativo</w:t>
            </w:r>
          </w:p>
        </w:tc>
        <w:tc>
          <w:tcPr>
            <w:tcW w:w="1314" w:type="dxa"/>
            <w:shd w:val="clear" w:color="auto" w:fill="auto"/>
            <w:vAlign w:val="center"/>
          </w:tcPr>
          <w:p w:rsidR="007F327D" w:rsidRPr="00E34ECB" w:rsidRDefault="007F327D" w:rsidP="00530E61">
            <w:pPr>
              <w:spacing w:line="240" w:lineRule="auto"/>
              <w:jc w:val="center"/>
              <w:rPr>
                <w:rFonts w:eastAsia="Calibri" w:cs="Arial"/>
                <w:sz w:val="20"/>
                <w:lang w:eastAsia="en-US"/>
              </w:rPr>
            </w:pPr>
            <w:r w:rsidRPr="00E34ECB">
              <w:rPr>
                <w:rFonts w:eastAsia="Calibri" w:cs="Arial"/>
                <w:sz w:val="20"/>
                <w:lang w:eastAsia="en-US"/>
              </w:rPr>
              <w:t>Direto</w:t>
            </w:r>
          </w:p>
        </w:tc>
        <w:tc>
          <w:tcPr>
            <w:tcW w:w="1842" w:type="dxa"/>
            <w:shd w:val="clear" w:color="auto" w:fill="auto"/>
            <w:vAlign w:val="center"/>
          </w:tcPr>
          <w:p w:rsidR="007F327D" w:rsidRPr="00E34ECB" w:rsidRDefault="007F327D" w:rsidP="00530E61">
            <w:pPr>
              <w:spacing w:line="240" w:lineRule="auto"/>
              <w:jc w:val="center"/>
              <w:rPr>
                <w:rFonts w:eastAsia="Calibri" w:cs="Arial"/>
                <w:sz w:val="20"/>
                <w:lang w:eastAsia="en-US"/>
              </w:rPr>
            </w:pPr>
            <w:r w:rsidRPr="00E34ECB">
              <w:rPr>
                <w:rFonts w:eastAsia="Calibri" w:cs="Arial"/>
                <w:sz w:val="20"/>
                <w:lang w:eastAsia="en-US"/>
              </w:rPr>
              <w:t>Local</w:t>
            </w:r>
            <w:r>
              <w:rPr>
                <w:rFonts w:eastAsia="Calibri" w:cs="Arial"/>
                <w:sz w:val="20"/>
                <w:lang w:eastAsia="en-US"/>
              </w:rPr>
              <w:t xml:space="preserve"> (ADA/AID)</w:t>
            </w:r>
          </w:p>
        </w:tc>
        <w:tc>
          <w:tcPr>
            <w:tcW w:w="1701" w:type="dxa"/>
            <w:shd w:val="clear" w:color="auto" w:fill="auto"/>
            <w:vAlign w:val="center"/>
          </w:tcPr>
          <w:p w:rsidR="007F327D" w:rsidRPr="00E34ECB" w:rsidRDefault="007F327D" w:rsidP="00530E61">
            <w:pPr>
              <w:spacing w:line="240" w:lineRule="auto"/>
              <w:jc w:val="center"/>
              <w:rPr>
                <w:rFonts w:eastAsia="Calibri" w:cs="Arial"/>
                <w:sz w:val="20"/>
                <w:lang w:eastAsia="en-US"/>
              </w:rPr>
            </w:pPr>
            <w:r w:rsidRPr="00E34ECB">
              <w:rPr>
                <w:rFonts w:eastAsia="Calibri" w:cs="Arial"/>
                <w:sz w:val="20"/>
                <w:lang w:eastAsia="en-US"/>
              </w:rPr>
              <w:t>Permanente</w:t>
            </w:r>
          </w:p>
        </w:tc>
        <w:tc>
          <w:tcPr>
            <w:tcW w:w="3052" w:type="dxa"/>
            <w:shd w:val="clear" w:color="auto" w:fill="auto"/>
            <w:vAlign w:val="center"/>
          </w:tcPr>
          <w:p w:rsidR="007F327D" w:rsidRPr="00E34ECB" w:rsidRDefault="007F327D" w:rsidP="00530E61">
            <w:pPr>
              <w:spacing w:line="240" w:lineRule="auto"/>
              <w:jc w:val="center"/>
              <w:rPr>
                <w:rFonts w:eastAsia="Calibri" w:cs="Arial"/>
                <w:sz w:val="20"/>
                <w:lang w:eastAsia="en-US"/>
              </w:rPr>
            </w:pPr>
            <w:r>
              <w:rPr>
                <w:rFonts w:eastAsia="Calibri" w:cs="Arial"/>
                <w:sz w:val="20"/>
                <w:lang w:eastAsia="en-US"/>
              </w:rPr>
              <w:t>Certa</w:t>
            </w:r>
          </w:p>
        </w:tc>
      </w:tr>
    </w:tbl>
    <w:p w:rsidR="007F327D" w:rsidRPr="00E34ECB" w:rsidRDefault="007F327D" w:rsidP="007F327D">
      <w:pPr>
        <w:spacing w:line="240" w:lineRule="auto"/>
        <w:rPr>
          <w:rFonts w:eastAsia="Calibri"/>
          <w:szCs w:val="22"/>
          <w:lang w:eastAsia="en-US"/>
        </w:rPr>
      </w:pPr>
    </w:p>
    <w:tbl>
      <w:tblPr>
        <w:tblW w:w="9143" w:type="dxa"/>
        <w:jc w:val="center"/>
        <w:tblInd w:w="-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88"/>
        <w:gridCol w:w="1842"/>
        <w:gridCol w:w="1701"/>
        <w:gridCol w:w="1506"/>
        <w:gridCol w:w="1506"/>
      </w:tblGrid>
      <w:tr w:rsidR="007F327D" w:rsidRPr="00E34ECB" w:rsidTr="008204B6">
        <w:trPr>
          <w:trHeight w:hRule="exact" w:val="453"/>
          <w:jc w:val="center"/>
        </w:trPr>
        <w:tc>
          <w:tcPr>
            <w:tcW w:w="2588" w:type="dxa"/>
            <w:shd w:val="clear" w:color="auto" w:fill="D9D9D9" w:themeFill="background1" w:themeFillShade="D9"/>
            <w:vAlign w:val="center"/>
          </w:tcPr>
          <w:p w:rsidR="007F327D" w:rsidRPr="00E34ECB" w:rsidRDefault="007F327D" w:rsidP="00530E61">
            <w:pPr>
              <w:spacing w:line="240" w:lineRule="auto"/>
              <w:ind w:left="33" w:firstLine="1"/>
              <w:jc w:val="center"/>
              <w:rPr>
                <w:rFonts w:eastAsia="Calibri" w:cs="Arial"/>
                <w:b/>
                <w:sz w:val="20"/>
                <w:lang w:eastAsia="en-US"/>
              </w:rPr>
            </w:pPr>
            <w:r w:rsidRPr="00E34ECB">
              <w:rPr>
                <w:rFonts w:eastAsia="Calibri" w:cs="Arial"/>
                <w:b/>
                <w:sz w:val="20"/>
                <w:lang w:eastAsia="en-US"/>
              </w:rPr>
              <w:t>Época de Ocorrência</w:t>
            </w:r>
          </w:p>
        </w:tc>
        <w:tc>
          <w:tcPr>
            <w:tcW w:w="1842" w:type="dxa"/>
            <w:shd w:val="clear" w:color="auto" w:fill="D9D9D9" w:themeFill="background1" w:themeFillShade="D9"/>
            <w:vAlign w:val="center"/>
          </w:tcPr>
          <w:p w:rsidR="007F327D" w:rsidRPr="00E34ECB" w:rsidRDefault="007F327D" w:rsidP="00530E61">
            <w:pPr>
              <w:spacing w:line="240" w:lineRule="auto"/>
              <w:jc w:val="center"/>
              <w:rPr>
                <w:rFonts w:eastAsia="Calibri" w:cs="Arial"/>
                <w:b/>
                <w:sz w:val="20"/>
                <w:lang w:eastAsia="en-US"/>
              </w:rPr>
            </w:pPr>
            <w:r w:rsidRPr="00E34ECB">
              <w:rPr>
                <w:rFonts w:eastAsia="Calibri" w:cs="Arial"/>
                <w:b/>
                <w:sz w:val="20"/>
                <w:lang w:eastAsia="en-US"/>
              </w:rPr>
              <w:t>Reversibilidade</w:t>
            </w:r>
          </w:p>
        </w:tc>
        <w:tc>
          <w:tcPr>
            <w:tcW w:w="1701" w:type="dxa"/>
            <w:shd w:val="clear" w:color="auto" w:fill="D9D9D9" w:themeFill="background1" w:themeFillShade="D9"/>
            <w:vAlign w:val="center"/>
          </w:tcPr>
          <w:p w:rsidR="007F327D" w:rsidRPr="00E34ECB" w:rsidRDefault="007F327D" w:rsidP="00530E61">
            <w:pPr>
              <w:spacing w:line="240" w:lineRule="auto"/>
              <w:jc w:val="center"/>
              <w:rPr>
                <w:rFonts w:eastAsia="Calibri" w:cs="Arial"/>
                <w:b/>
                <w:sz w:val="20"/>
                <w:lang w:eastAsia="en-US"/>
              </w:rPr>
            </w:pPr>
            <w:r w:rsidRPr="00E34ECB">
              <w:rPr>
                <w:rFonts w:eastAsia="Calibri" w:cs="Arial"/>
                <w:b/>
                <w:sz w:val="20"/>
                <w:lang w:eastAsia="en-US"/>
              </w:rPr>
              <w:t>Magnitude</w:t>
            </w:r>
          </w:p>
        </w:tc>
        <w:tc>
          <w:tcPr>
            <w:tcW w:w="1506" w:type="dxa"/>
            <w:shd w:val="clear" w:color="auto" w:fill="D9D9D9" w:themeFill="background1" w:themeFillShade="D9"/>
            <w:vAlign w:val="center"/>
          </w:tcPr>
          <w:p w:rsidR="007F327D" w:rsidRPr="00E34ECB" w:rsidRDefault="007F327D" w:rsidP="00530E61">
            <w:pPr>
              <w:spacing w:line="240" w:lineRule="auto"/>
              <w:jc w:val="center"/>
              <w:rPr>
                <w:rFonts w:eastAsia="Calibri" w:cs="Arial"/>
                <w:b/>
                <w:sz w:val="20"/>
                <w:lang w:eastAsia="en-US"/>
              </w:rPr>
            </w:pPr>
            <w:r w:rsidRPr="00E34ECB">
              <w:rPr>
                <w:rFonts w:eastAsia="Calibri" w:cs="Arial"/>
                <w:b/>
                <w:sz w:val="20"/>
                <w:lang w:eastAsia="en-US"/>
              </w:rPr>
              <w:t>Importância</w:t>
            </w:r>
          </w:p>
        </w:tc>
        <w:tc>
          <w:tcPr>
            <w:tcW w:w="1506" w:type="dxa"/>
            <w:shd w:val="clear" w:color="auto" w:fill="D9D9D9" w:themeFill="background1" w:themeFillShade="D9"/>
            <w:vAlign w:val="center"/>
          </w:tcPr>
          <w:p w:rsidR="007F327D" w:rsidRPr="00E34ECB" w:rsidRDefault="007F327D" w:rsidP="00530E61">
            <w:pPr>
              <w:spacing w:line="240" w:lineRule="auto"/>
              <w:jc w:val="center"/>
              <w:rPr>
                <w:rFonts w:eastAsia="Calibri" w:cs="Arial"/>
                <w:b/>
                <w:sz w:val="20"/>
                <w:lang w:eastAsia="en-US"/>
              </w:rPr>
            </w:pPr>
            <w:r w:rsidRPr="00E34ECB">
              <w:rPr>
                <w:rFonts w:eastAsia="Calibri" w:cs="Arial"/>
                <w:b/>
                <w:sz w:val="20"/>
                <w:lang w:eastAsia="en-US"/>
              </w:rPr>
              <w:t>Mitigação</w:t>
            </w:r>
          </w:p>
        </w:tc>
      </w:tr>
      <w:tr w:rsidR="007F327D" w:rsidRPr="00E34ECB" w:rsidTr="00530E61">
        <w:trPr>
          <w:trHeight w:hRule="exact" w:val="418"/>
          <w:jc w:val="center"/>
        </w:trPr>
        <w:tc>
          <w:tcPr>
            <w:tcW w:w="2588" w:type="dxa"/>
            <w:shd w:val="clear" w:color="auto" w:fill="auto"/>
            <w:vAlign w:val="center"/>
          </w:tcPr>
          <w:p w:rsidR="007F327D" w:rsidRPr="00E34ECB" w:rsidRDefault="007F327D" w:rsidP="00530E61">
            <w:pPr>
              <w:spacing w:line="240" w:lineRule="auto"/>
              <w:jc w:val="center"/>
              <w:rPr>
                <w:rFonts w:eastAsia="Calibri" w:cs="Arial"/>
                <w:sz w:val="20"/>
                <w:lang w:eastAsia="en-US"/>
              </w:rPr>
            </w:pPr>
            <w:r w:rsidRPr="00E34ECB">
              <w:rPr>
                <w:rFonts w:eastAsia="Calibri" w:cs="Arial"/>
                <w:sz w:val="20"/>
                <w:lang w:eastAsia="en-US"/>
              </w:rPr>
              <w:t>Curto Prazo</w:t>
            </w:r>
          </w:p>
        </w:tc>
        <w:tc>
          <w:tcPr>
            <w:tcW w:w="1842" w:type="dxa"/>
            <w:vAlign w:val="center"/>
          </w:tcPr>
          <w:p w:rsidR="007F327D" w:rsidRPr="00E34ECB" w:rsidRDefault="007F327D" w:rsidP="00530E61">
            <w:pPr>
              <w:spacing w:line="240" w:lineRule="auto"/>
              <w:jc w:val="center"/>
              <w:rPr>
                <w:rFonts w:eastAsia="Calibri" w:cs="Arial"/>
                <w:sz w:val="20"/>
                <w:lang w:eastAsia="en-US"/>
              </w:rPr>
            </w:pPr>
            <w:r w:rsidRPr="00E34ECB">
              <w:rPr>
                <w:rFonts w:eastAsia="Calibri" w:cs="Arial"/>
                <w:sz w:val="20"/>
                <w:lang w:eastAsia="en-US"/>
              </w:rPr>
              <w:t>Irreversível</w:t>
            </w:r>
          </w:p>
        </w:tc>
        <w:tc>
          <w:tcPr>
            <w:tcW w:w="1701" w:type="dxa"/>
            <w:shd w:val="clear" w:color="auto" w:fill="auto"/>
            <w:vAlign w:val="center"/>
          </w:tcPr>
          <w:p w:rsidR="007F327D" w:rsidRPr="00E34ECB" w:rsidRDefault="007F327D" w:rsidP="00530E61">
            <w:pPr>
              <w:spacing w:line="240" w:lineRule="auto"/>
              <w:jc w:val="center"/>
              <w:rPr>
                <w:rFonts w:eastAsia="Calibri" w:cs="Arial"/>
                <w:sz w:val="20"/>
                <w:lang w:eastAsia="en-US"/>
              </w:rPr>
            </w:pPr>
            <w:r w:rsidRPr="00E34ECB">
              <w:rPr>
                <w:rFonts w:eastAsia="Calibri" w:cs="Arial"/>
                <w:sz w:val="20"/>
                <w:lang w:eastAsia="en-US"/>
              </w:rPr>
              <w:t>Grande</w:t>
            </w:r>
          </w:p>
        </w:tc>
        <w:tc>
          <w:tcPr>
            <w:tcW w:w="1506" w:type="dxa"/>
            <w:shd w:val="clear" w:color="auto" w:fill="auto"/>
            <w:vAlign w:val="center"/>
          </w:tcPr>
          <w:p w:rsidR="007F327D" w:rsidRPr="00E34ECB" w:rsidRDefault="007F327D" w:rsidP="00530E61">
            <w:pPr>
              <w:spacing w:line="240" w:lineRule="auto"/>
              <w:jc w:val="center"/>
              <w:rPr>
                <w:rFonts w:eastAsia="Calibri" w:cs="Arial"/>
                <w:sz w:val="20"/>
                <w:lang w:eastAsia="en-US"/>
              </w:rPr>
            </w:pPr>
            <w:r w:rsidRPr="00E34ECB">
              <w:rPr>
                <w:rFonts w:eastAsia="Calibri" w:cs="Arial"/>
                <w:sz w:val="20"/>
                <w:lang w:eastAsia="en-US"/>
              </w:rPr>
              <w:t>Alta</w:t>
            </w:r>
          </w:p>
        </w:tc>
        <w:tc>
          <w:tcPr>
            <w:tcW w:w="1506" w:type="dxa"/>
            <w:shd w:val="clear" w:color="auto" w:fill="auto"/>
            <w:vAlign w:val="center"/>
          </w:tcPr>
          <w:p w:rsidR="007F327D" w:rsidRPr="00E34ECB" w:rsidRDefault="007F327D" w:rsidP="00530E61">
            <w:pPr>
              <w:spacing w:line="240" w:lineRule="auto"/>
              <w:jc w:val="center"/>
              <w:rPr>
                <w:rFonts w:eastAsia="Calibri" w:cs="Arial"/>
                <w:sz w:val="20"/>
                <w:lang w:eastAsia="en-US"/>
              </w:rPr>
            </w:pPr>
            <w:r w:rsidRPr="00E34ECB">
              <w:rPr>
                <w:rFonts w:eastAsia="Calibri" w:cs="Arial"/>
                <w:sz w:val="20"/>
                <w:lang w:eastAsia="en-US"/>
              </w:rPr>
              <w:t>Mitigável</w:t>
            </w:r>
          </w:p>
        </w:tc>
      </w:tr>
    </w:tbl>
    <w:p w:rsidR="007F327D" w:rsidRPr="00E34ECB" w:rsidRDefault="007F327D" w:rsidP="007F327D">
      <w:pPr>
        <w:spacing w:line="240" w:lineRule="auto"/>
        <w:rPr>
          <w:rFonts w:eastAsia="Calibri"/>
          <w:szCs w:val="22"/>
          <w:lang w:eastAsia="en-US"/>
        </w:rPr>
      </w:pPr>
    </w:p>
    <w:p w:rsidR="007F327D" w:rsidRPr="00E34ECB" w:rsidRDefault="007F327D" w:rsidP="008204B6">
      <w:pPr>
        <w:widowControl w:val="0"/>
        <w:autoSpaceDE w:val="0"/>
        <w:autoSpaceDN w:val="0"/>
        <w:adjustRightInd w:val="0"/>
        <w:spacing w:before="120" w:after="120" w:line="240" w:lineRule="auto"/>
        <w:rPr>
          <w:rFonts w:eastAsia="Calibri" w:cs="Arial"/>
          <w:szCs w:val="22"/>
          <w:lang w:eastAsia="en-US"/>
        </w:rPr>
      </w:pPr>
      <w:r w:rsidRPr="00E34ECB">
        <w:rPr>
          <w:rFonts w:eastAsia="Calibri" w:cs="Arial"/>
          <w:b/>
          <w:szCs w:val="22"/>
          <w:lang w:eastAsia="en-US"/>
        </w:rPr>
        <w:t xml:space="preserve">Ações Ambientais Propostas </w:t>
      </w:r>
    </w:p>
    <w:p w:rsidR="007F327D" w:rsidRDefault="009E5FD8" w:rsidP="007F327D">
      <w:pPr>
        <w:spacing w:before="120" w:after="240" w:line="240" w:lineRule="auto"/>
        <w:rPr>
          <w:rFonts w:cs="Arial"/>
          <w:b/>
          <w:szCs w:val="22"/>
        </w:rPr>
      </w:pPr>
      <w:r w:rsidRPr="009E5FD8">
        <w:rPr>
          <w:rFonts w:eastAsia="Calibri"/>
          <w:szCs w:val="22"/>
          <w:lang w:eastAsia="en-US"/>
        </w:rPr>
        <w:t xml:space="preserve">No âmbito do Programa de Desapropriação, Indenização e Relocação da População, </w:t>
      </w:r>
      <w:r w:rsidR="007F327D" w:rsidRPr="009E5FD8">
        <w:rPr>
          <w:rFonts w:eastAsia="Calibri"/>
          <w:szCs w:val="22"/>
          <w:lang w:eastAsia="en-US"/>
        </w:rPr>
        <w:t xml:space="preserve">associado ao Programa de </w:t>
      </w:r>
      <w:r w:rsidR="00D225D5" w:rsidRPr="009E5FD8">
        <w:rPr>
          <w:rFonts w:eastAsia="Calibri"/>
          <w:szCs w:val="22"/>
          <w:lang w:eastAsia="en-US"/>
        </w:rPr>
        <w:t>Comunicação e Interação Social</w:t>
      </w:r>
      <w:r w:rsidR="007F327D" w:rsidRPr="009E5FD8">
        <w:rPr>
          <w:rFonts w:eastAsia="Calibri"/>
          <w:szCs w:val="22"/>
          <w:lang w:eastAsia="en-US"/>
        </w:rPr>
        <w:t xml:space="preserve">, devem </w:t>
      </w:r>
      <w:r>
        <w:rPr>
          <w:rFonts w:eastAsia="Calibri"/>
          <w:szCs w:val="22"/>
          <w:lang w:eastAsia="en-US"/>
        </w:rPr>
        <w:t>ser previstas</w:t>
      </w:r>
      <w:r w:rsidR="007F327D" w:rsidRPr="009E5FD8">
        <w:rPr>
          <w:rFonts w:eastAsia="Calibri"/>
          <w:szCs w:val="22"/>
          <w:lang w:eastAsia="en-US"/>
        </w:rPr>
        <w:t xml:space="preserve"> ações direcionadas a essa problemática.</w:t>
      </w:r>
    </w:p>
    <w:p w:rsidR="007F327D" w:rsidRPr="00210DB1" w:rsidRDefault="007F327D" w:rsidP="002C0D71">
      <w:pPr>
        <w:pStyle w:val="Ttulo3"/>
      </w:pPr>
      <w:bookmarkStart w:id="373" w:name="_Toc414222550"/>
      <w:bookmarkStart w:id="374" w:name="_Toc418758252"/>
      <w:bookmarkStart w:id="375" w:name="_Toc418758854"/>
      <w:bookmarkStart w:id="376" w:name="_Toc419813614"/>
      <w:r w:rsidRPr="00210DB1">
        <w:t>1.3.3.5</w:t>
      </w:r>
      <w:r w:rsidR="002C0D71">
        <w:t>.</w:t>
      </w:r>
      <w:r w:rsidRPr="00210DB1">
        <w:tab/>
        <w:t>Reloca</w:t>
      </w:r>
      <w:r w:rsidRPr="00210DB1">
        <w:rPr>
          <w:rFonts w:hint="eastAsia"/>
        </w:rPr>
        <w:t>çã</w:t>
      </w:r>
      <w:r w:rsidRPr="00210DB1">
        <w:t>o da Popula</w:t>
      </w:r>
      <w:r w:rsidRPr="00210DB1">
        <w:rPr>
          <w:rFonts w:hint="eastAsia"/>
        </w:rPr>
        <w:t>çã</w:t>
      </w:r>
      <w:r w:rsidRPr="00210DB1">
        <w:t>o da ADA</w:t>
      </w:r>
      <w:bookmarkEnd w:id="373"/>
      <w:bookmarkEnd w:id="374"/>
      <w:bookmarkEnd w:id="375"/>
      <w:bookmarkEnd w:id="376"/>
    </w:p>
    <w:p w:rsidR="00040A7E" w:rsidRPr="00040A7E" w:rsidRDefault="00040A7E" w:rsidP="007F327D">
      <w:pPr>
        <w:spacing w:before="120" w:after="120" w:line="240" w:lineRule="auto"/>
        <w:rPr>
          <w:rFonts w:eastAsia="Calibri"/>
          <w:b/>
          <w:szCs w:val="22"/>
          <w:lang w:eastAsia="en-US"/>
        </w:rPr>
      </w:pPr>
      <w:r w:rsidRPr="00040A7E">
        <w:rPr>
          <w:rFonts w:eastAsia="Calibri"/>
          <w:b/>
          <w:szCs w:val="22"/>
          <w:lang w:eastAsia="en-US"/>
        </w:rPr>
        <w:t>Fase: Implantação</w:t>
      </w:r>
    </w:p>
    <w:p w:rsidR="007F327D" w:rsidRDefault="007F327D" w:rsidP="007F327D">
      <w:pPr>
        <w:spacing w:before="120" w:after="120" w:line="240" w:lineRule="auto"/>
        <w:rPr>
          <w:rFonts w:eastAsia="Calibri"/>
          <w:szCs w:val="22"/>
          <w:lang w:eastAsia="en-US"/>
        </w:rPr>
      </w:pPr>
      <w:r w:rsidRPr="00D535AE">
        <w:rPr>
          <w:rFonts w:eastAsia="Calibri"/>
          <w:szCs w:val="22"/>
          <w:lang w:eastAsia="en-US"/>
        </w:rPr>
        <w:t xml:space="preserve">Já foi dito, a implantação das barragens Pedreira </w:t>
      </w:r>
      <w:r>
        <w:rPr>
          <w:rFonts w:eastAsia="Calibri"/>
          <w:szCs w:val="22"/>
          <w:lang w:eastAsia="en-US"/>
        </w:rPr>
        <w:t xml:space="preserve">e </w:t>
      </w:r>
      <w:r w:rsidRPr="00D535AE">
        <w:rPr>
          <w:rFonts w:eastAsia="Calibri"/>
          <w:szCs w:val="22"/>
          <w:lang w:eastAsia="en-US"/>
        </w:rPr>
        <w:t>Duas Pontes exigem a relocação de famílias e a remoção de moradias e benfeitorias, o que inexoravelmente interfere de forma significativa no cotidiano das populações atingidas. Em se falando da parcela da população mais fragilizada socioeconomicamente, para além da perda dos bens conquistados ao logo de anos, a perda do lugar, tido como um fator de autorreconhecimento, e das relações socioeconômicas internas e culturais, torna esse contingente objeto de ações especiais, que ultrapassam a indenização, por mais justa que venha a ser.</w:t>
      </w:r>
    </w:p>
    <w:p w:rsidR="007F327D" w:rsidRDefault="007F327D" w:rsidP="007F327D">
      <w:pPr>
        <w:spacing w:before="120" w:after="120" w:line="240" w:lineRule="auto"/>
        <w:rPr>
          <w:rFonts w:eastAsia="Calibri"/>
          <w:szCs w:val="22"/>
          <w:lang w:eastAsia="en-US"/>
        </w:rPr>
      </w:pPr>
      <w:r w:rsidRPr="00D535AE">
        <w:rPr>
          <w:rFonts w:eastAsia="Calibri"/>
          <w:szCs w:val="22"/>
          <w:lang w:eastAsia="en-US"/>
        </w:rPr>
        <w:t xml:space="preserve">Ao longo da Fase de Planejamento, com informações, ainda que imprecisas, sobre o empreendimento haverá certamente o recrudescimento de </w:t>
      </w:r>
      <w:r w:rsidRPr="00D535AE">
        <w:rPr>
          <w:rFonts w:eastAsia="Calibri"/>
          <w:bCs/>
          <w:szCs w:val="22"/>
          <w:lang w:eastAsia="en-US"/>
        </w:rPr>
        <w:t>apreensões</w:t>
      </w:r>
      <w:r w:rsidRPr="00D535AE">
        <w:rPr>
          <w:rFonts w:eastAsia="Calibri"/>
          <w:szCs w:val="22"/>
          <w:lang w:eastAsia="en-US"/>
        </w:rPr>
        <w:t xml:space="preserve"> relacionadas à negociação em torno dos valores das indenizações. Essas inseguranças referem-se a diversos temores que as desapropriações costumam gerar, tais como o receio de que os valores das indenizações não correspondam ao esperado ou considerado necessário para o restabelecimento de moradia e atividades em outro local.</w:t>
      </w:r>
    </w:p>
    <w:p w:rsidR="000C58DA" w:rsidRDefault="004E353D" w:rsidP="00E536E3">
      <w:pPr>
        <w:pStyle w:val="Corpodetexto"/>
      </w:pPr>
      <w:r>
        <w:rPr>
          <w:rFonts w:eastAsia="Calibri"/>
          <w:szCs w:val="22"/>
          <w:lang w:eastAsia="en-US"/>
        </w:rPr>
        <w:t xml:space="preserve">Nos levantamentos </w:t>
      </w:r>
      <w:r w:rsidR="0013054F">
        <w:rPr>
          <w:rFonts w:eastAsia="Calibri"/>
          <w:szCs w:val="22"/>
          <w:lang w:eastAsia="en-US"/>
        </w:rPr>
        <w:t xml:space="preserve">da população, </w:t>
      </w:r>
      <w:r>
        <w:rPr>
          <w:rFonts w:eastAsia="Calibri"/>
          <w:szCs w:val="22"/>
          <w:lang w:eastAsia="en-US"/>
        </w:rPr>
        <w:t>realizados nas áreas a serem ocupadas pelas barragens Pedreira e Duas Pontes</w:t>
      </w:r>
      <w:r w:rsidR="0013054F">
        <w:rPr>
          <w:rFonts w:eastAsia="Calibri"/>
          <w:szCs w:val="22"/>
          <w:lang w:eastAsia="en-US"/>
        </w:rPr>
        <w:t>,</w:t>
      </w:r>
      <w:r>
        <w:rPr>
          <w:rFonts w:eastAsia="Calibri"/>
          <w:szCs w:val="22"/>
          <w:lang w:eastAsia="en-US"/>
        </w:rPr>
        <w:t xml:space="preserve"> foram </w:t>
      </w:r>
      <w:r w:rsidR="000C58DA">
        <w:rPr>
          <w:rFonts w:eastAsia="Calibri"/>
          <w:szCs w:val="22"/>
          <w:lang w:eastAsia="en-US"/>
        </w:rPr>
        <w:t>identificadas um total de 82 famílias. Dessas</w:t>
      </w:r>
      <w:r w:rsidR="00E536E3">
        <w:rPr>
          <w:rFonts w:eastAsia="Calibri"/>
          <w:szCs w:val="22"/>
          <w:lang w:eastAsia="en-US"/>
        </w:rPr>
        <w:t>,</w:t>
      </w:r>
      <w:r w:rsidR="000C58DA">
        <w:rPr>
          <w:rFonts w:eastAsia="Calibri"/>
          <w:szCs w:val="22"/>
          <w:lang w:eastAsia="en-US"/>
        </w:rPr>
        <w:t xml:space="preserve"> </w:t>
      </w:r>
      <w:r w:rsidR="0013054F">
        <w:t>27</w:t>
      </w:r>
      <w:r w:rsidR="00E536E3">
        <w:t xml:space="preserve"> famílias</w:t>
      </w:r>
      <w:r w:rsidR="000C58DA">
        <w:t xml:space="preserve"> se encontram na área da Barragem </w:t>
      </w:r>
      <w:r w:rsidR="0013054F">
        <w:t xml:space="preserve">Pedreira e </w:t>
      </w:r>
      <w:r w:rsidR="00E536E3">
        <w:t xml:space="preserve">55 famílias </w:t>
      </w:r>
      <w:r w:rsidR="000C58DA">
        <w:t xml:space="preserve">na Barragem </w:t>
      </w:r>
      <w:r w:rsidR="0013054F">
        <w:t>Duas Pontes</w:t>
      </w:r>
      <w:r w:rsidR="00C85203">
        <w:t>, como apresentado no Quadro</w:t>
      </w:r>
      <w:r w:rsidR="00E536E3">
        <w:t xml:space="preserve"> </w:t>
      </w:r>
      <w:r w:rsidR="00392B0D">
        <w:t>1.3.77.</w:t>
      </w:r>
      <w:r w:rsidR="00E155C0">
        <w:t>,</w:t>
      </w:r>
      <w:r w:rsidR="00392B0D">
        <w:t xml:space="preserve"> </w:t>
      </w:r>
      <w:r w:rsidR="00E536E3">
        <w:t>seguir.</w:t>
      </w:r>
    </w:p>
    <w:p w:rsidR="00E536E3" w:rsidRPr="00C37DA1" w:rsidRDefault="00B44C8E" w:rsidP="00C37DA1">
      <w:pPr>
        <w:pStyle w:val="Legenda"/>
        <w:jc w:val="center"/>
        <w:rPr>
          <w:b w:val="0"/>
          <w:i w:val="0"/>
        </w:rPr>
      </w:pPr>
      <w:bookmarkStart w:id="377" w:name="_Toc414955901"/>
      <w:bookmarkStart w:id="378" w:name="_Toc420316521"/>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78</w:t>
      </w:r>
      <w:r w:rsidR="00B80A05" w:rsidRPr="00C37DA1">
        <w:rPr>
          <w:i w:val="0"/>
        </w:rPr>
        <w:fldChar w:fldCharType="end"/>
      </w:r>
      <w:r w:rsidR="00C37DA1" w:rsidRPr="00C37DA1">
        <w:rPr>
          <w:i w:val="0"/>
        </w:rPr>
        <w:t>.</w:t>
      </w:r>
      <w:r w:rsidR="00C37DA1" w:rsidRPr="00C37DA1">
        <w:rPr>
          <w:b w:val="0"/>
          <w:i w:val="0"/>
        </w:rPr>
        <w:t xml:space="preserve"> - </w:t>
      </w:r>
      <w:r w:rsidR="00392B0D" w:rsidRPr="00C37DA1">
        <w:rPr>
          <w:b w:val="0"/>
          <w:i w:val="0"/>
        </w:rPr>
        <w:t>F</w:t>
      </w:r>
      <w:r w:rsidR="00E536E3" w:rsidRPr="00C37DA1">
        <w:rPr>
          <w:b w:val="0"/>
          <w:i w:val="0"/>
        </w:rPr>
        <w:t>amílias Residentes na Área Diretamente Afetada (ADA)</w:t>
      </w:r>
      <w:bookmarkEnd w:id="377"/>
      <w:bookmarkEnd w:id="378"/>
    </w:p>
    <w:tbl>
      <w:tblPr>
        <w:tblW w:w="7796" w:type="dxa"/>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1842"/>
        <w:gridCol w:w="1560"/>
        <w:gridCol w:w="1275"/>
      </w:tblGrid>
      <w:tr w:rsidR="00E536E3" w:rsidRPr="00712244" w:rsidTr="00392B0D">
        <w:trPr>
          <w:trHeight w:val="537"/>
          <w:jc w:val="center"/>
        </w:trPr>
        <w:tc>
          <w:tcPr>
            <w:tcW w:w="3119" w:type="dxa"/>
            <w:shd w:val="clear" w:color="auto" w:fill="D9D9D9"/>
            <w:vAlign w:val="center"/>
          </w:tcPr>
          <w:p w:rsidR="00E536E3" w:rsidRPr="00E536E3" w:rsidRDefault="00E536E3" w:rsidP="00011899">
            <w:pPr>
              <w:pStyle w:val="Corpodetexto"/>
              <w:spacing w:beforeAutospacing="1" w:afterAutospacing="1"/>
              <w:rPr>
                <w:b/>
                <w:szCs w:val="24"/>
              </w:rPr>
            </w:pPr>
            <w:r w:rsidRPr="00E536E3">
              <w:rPr>
                <w:b/>
                <w:szCs w:val="24"/>
              </w:rPr>
              <w:t>Famílias</w:t>
            </w:r>
          </w:p>
        </w:tc>
        <w:tc>
          <w:tcPr>
            <w:tcW w:w="1842" w:type="dxa"/>
            <w:shd w:val="clear" w:color="auto" w:fill="D9D9D9"/>
            <w:vAlign w:val="center"/>
          </w:tcPr>
          <w:p w:rsidR="00E536E3" w:rsidRPr="00E536E3" w:rsidRDefault="00E536E3" w:rsidP="00392B0D">
            <w:pPr>
              <w:pStyle w:val="Corpodetexto"/>
              <w:spacing w:beforeAutospacing="1" w:afterAutospacing="1"/>
              <w:jc w:val="center"/>
              <w:rPr>
                <w:b/>
                <w:szCs w:val="24"/>
              </w:rPr>
            </w:pPr>
            <w:r w:rsidRPr="00E536E3">
              <w:rPr>
                <w:b/>
                <w:szCs w:val="24"/>
              </w:rPr>
              <w:t>Duas Pontes</w:t>
            </w:r>
          </w:p>
        </w:tc>
        <w:tc>
          <w:tcPr>
            <w:tcW w:w="1560" w:type="dxa"/>
            <w:shd w:val="clear" w:color="auto" w:fill="D9D9D9"/>
            <w:vAlign w:val="center"/>
          </w:tcPr>
          <w:p w:rsidR="00E536E3" w:rsidRPr="00E536E3" w:rsidRDefault="00E536E3" w:rsidP="00392B0D">
            <w:pPr>
              <w:pStyle w:val="Corpodetexto"/>
              <w:spacing w:beforeAutospacing="1" w:afterAutospacing="1"/>
              <w:jc w:val="center"/>
              <w:rPr>
                <w:b/>
                <w:szCs w:val="24"/>
              </w:rPr>
            </w:pPr>
            <w:r w:rsidRPr="00E536E3">
              <w:rPr>
                <w:b/>
                <w:szCs w:val="24"/>
              </w:rPr>
              <w:t>Pedreira</w:t>
            </w:r>
          </w:p>
        </w:tc>
        <w:tc>
          <w:tcPr>
            <w:tcW w:w="1275" w:type="dxa"/>
            <w:shd w:val="clear" w:color="auto" w:fill="D9D9D9"/>
            <w:vAlign w:val="center"/>
          </w:tcPr>
          <w:p w:rsidR="00E536E3" w:rsidRPr="00E536E3" w:rsidRDefault="00E536E3" w:rsidP="00392B0D">
            <w:pPr>
              <w:pStyle w:val="Corpodetexto"/>
              <w:spacing w:beforeAutospacing="1" w:afterAutospacing="1"/>
              <w:jc w:val="center"/>
              <w:rPr>
                <w:b/>
                <w:szCs w:val="24"/>
              </w:rPr>
            </w:pPr>
            <w:r w:rsidRPr="00E536E3">
              <w:rPr>
                <w:b/>
                <w:szCs w:val="24"/>
              </w:rPr>
              <w:t>Total</w:t>
            </w:r>
          </w:p>
        </w:tc>
      </w:tr>
      <w:tr w:rsidR="00E536E3" w:rsidRPr="00712244" w:rsidTr="00392B0D">
        <w:trPr>
          <w:trHeight w:val="569"/>
          <w:jc w:val="center"/>
        </w:trPr>
        <w:tc>
          <w:tcPr>
            <w:tcW w:w="3119" w:type="dxa"/>
            <w:vAlign w:val="center"/>
          </w:tcPr>
          <w:p w:rsidR="00E536E3" w:rsidRPr="00E536E3" w:rsidRDefault="00E536E3" w:rsidP="00011899">
            <w:pPr>
              <w:pStyle w:val="Corpodetexto"/>
              <w:spacing w:beforeAutospacing="1" w:afterAutospacing="1"/>
              <w:rPr>
                <w:szCs w:val="24"/>
              </w:rPr>
            </w:pPr>
            <w:r w:rsidRPr="00E536E3">
              <w:rPr>
                <w:szCs w:val="24"/>
              </w:rPr>
              <w:t>Famílias Entrevistadas</w:t>
            </w:r>
          </w:p>
        </w:tc>
        <w:tc>
          <w:tcPr>
            <w:tcW w:w="1842" w:type="dxa"/>
            <w:vAlign w:val="center"/>
          </w:tcPr>
          <w:p w:rsidR="00E536E3" w:rsidRPr="00E536E3" w:rsidRDefault="00E536E3" w:rsidP="00E536E3">
            <w:pPr>
              <w:pStyle w:val="Corpodetexto"/>
              <w:spacing w:beforeAutospacing="1" w:afterAutospacing="1"/>
              <w:jc w:val="center"/>
              <w:rPr>
                <w:szCs w:val="24"/>
              </w:rPr>
            </w:pPr>
            <w:r w:rsidRPr="00E536E3">
              <w:rPr>
                <w:szCs w:val="24"/>
              </w:rPr>
              <w:t>44</w:t>
            </w:r>
          </w:p>
        </w:tc>
        <w:tc>
          <w:tcPr>
            <w:tcW w:w="1560" w:type="dxa"/>
            <w:vAlign w:val="center"/>
          </w:tcPr>
          <w:p w:rsidR="00E536E3" w:rsidRPr="00E536E3" w:rsidRDefault="00E536E3" w:rsidP="00E536E3">
            <w:pPr>
              <w:pStyle w:val="Corpodetexto"/>
              <w:spacing w:beforeAutospacing="1" w:afterAutospacing="1"/>
              <w:jc w:val="center"/>
              <w:rPr>
                <w:szCs w:val="24"/>
              </w:rPr>
            </w:pPr>
            <w:r w:rsidRPr="00E536E3">
              <w:rPr>
                <w:szCs w:val="24"/>
              </w:rPr>
              <w:t>25</w:t>
            </w:r>
          </w:p>
        </w:tc>
        <w:tc>
          <w:tcPr>
            <w:tcW w:w="1275" w:type="dxa"/>
            <w:vAlign w:val="center"/>
          </w:tcPr>
          <w:p w:rsidR="00E536E3" w:rsidRPr="00E536E3" w:rsidRDefault="00E536E3" w:rsidP="00E536E3">
            <w:pPr>
              <w:pStyle w:val="Corpodetexto"/>
              <w:spacing w:beforeAutospacing="1" w:afterAutospacing="1"/>
              <w:jc w:val="center"/>
              <w:rPr>
                <w:szCs w:val="24"/>
              </w:rPr>
            </w:pPr>
            <w:r w:rsidRPr="00E536E3">
              <w:rPr>
                <w:szCs w:val="24"/>
              </w:rPr>
              <w:t>69</w:t>
            </w:r>
          </w:p>
        </w:tc>
      </w:tr>
      <w:tr w:rsidR="00E536E3" w:rsidRPr="00712244" w:rsidTr="00392B0D">
        <w:trPr>
          <w:trHeight w:val="445"/>
          <w:jc w:val="center"/>
        </w:trPr>
        <w:tc>
          <w:tcPr>
            <w:tcW w:w="3119" w:type="dxa"/>
            <w:vAlign w:val="center"/>
          </w:tcPr>
          <w:p w:rsidR="00E536E3" w:rsidRPr="00E536E3" w:rsidRDefault="00E536E3" w:rsidP="00011899">
            <w:pPr>
              <w:pStyle w:val="Corpodetexto"/>
              <w:spacing w:beforeAutospacing="1" w:afterAutospacing="1"/>
              <w:rPr>
                <w:szCs w:val="24"/>
              </w:rPr>
            </w:pPr>
            <w:r w:rsidRPr="00E536E3">
              <w:rPr>
                <w:szCs w:val="24"/>
              </w:rPr>
              <w:t>Família Sem Informação (*)</w:t>
            </w:r>
          </w:p>
        </w:tc>
        <w:tc>
          <w:tcPr>
            <w:tcW w:w="1842" w:type="dxa"/>
            <w:vAlign w:val="center"/>
          </w:tcPr>
          <w:p w:rsidR="00E536E3" w:rsidRPr="00E536E3" w:rsidRDefault="00E536E3" w:rsidP="00E536E3">
            <w:pPr>
              <w:pStyle w:val="Corpodetexto"/>
              <w:spacing w:beforeAutospacing="1" w:afterAutospacing="1"/>
              <w:jc w:val="center"/>
              <w:rPr>
                <w:szCs w:val="24"/>
              </w:rPr>
            </w:pPr>
            <w:r w:rsidRPr="00E536E3">
              <w:rPr>
                <w:szCs w:val="24"/>
              </w:rPr>
              <w:t>11</w:t>
            </w:r>
          </w:p>
        </w:tc>
        <w:tc>
          <w:tcPr>
            <w:tcW w:w="1560" w:type="dxa"/>
            <w:vAlign w:val="center"/>
          </w:tcPr>
          <w:p w:rsidR="00E536E3" w:rsidRPr="00E536E3" w:rsidRDefault="00E536E3" w:rsidP="00E536E3">
            <w:pPr>
              <w:pStyle w:val="Corpodetexto"/>
              <w:spacing w:beforeAutospacing="1" w:afterAutospacing="1"/>
              <w:jc w:val="center"/>
              <w:rPr>
                <w:szCs w:val="24"/>
              </w:rPr>
            </w:pPr>
            <w:r w:rsidRPr="00E536E3">
              <w:rPr>
                <w:szCs w:val="24"/>
              </w:rPr>
              <w:t>2</w:t>
            </w:r>
          </w:p>
        </w:tc>
        <w:tc>
          <w:tcPr>
            <w:tcW w:w="1275" w:type="dxa"/>
            <w:vAlign w:val="center"/>
          </w:tcPr>
          <w:p w:rsidR="00E536E3" w:rsidRPr="00E536E3" w:rsidRDefault="00E536E3" w:rsidP="00E536E3">
            <w:pPr>
              <w:pStyle w:val="Corpodetexto"/>
              <w:spacing w:beforeAutospacing="1" w:afterAutospacing="1"/>
              <w:jc w:val="center"/>
              <w:rPr>
                <w:szCs w:val="24"/>
              </w:rPr>
            </w:pPr>
            <w:r w:rsidRPr="00E536E3">
              <w:rPr>
                <w:szCs w:val="24"/>
              </w:rPr>
              <w:t>13</w:t>
            </w:r>
          </w:p>
        </w:tc>
      </w:tr>
      <w:tr w:rsidR="00E536E3" w:rsidRPr="00712244" w:rsidTr="00392B0D">
        <w:trPr>
          <w:trHeight w:val="450"/>
          <w:jc w:val="center"/>
        </w:trPr>
        <w:tc>
          <w:tcPr>
            <w:tcW w:w="3119" w:type="dxa"/>
            <w:vAlign w:val="center"/>
          </w:tcPr>
          <w:p w:rsidR="00E536E3" w:rsidRPr="00E536E3" w:rsidRDefault="00E536E3" w:rsidP="00011899">
            <w:pPr>
              <w:pStyle w:val="Corpodetexto"/>
              <w:spacing w:beforeAutospacing="1" w:afterAutospacing="1"/>
              <w:rPr>
                <w:szCs w:val="24"/>
              </w:rPr>
            </w:pPr>
            <w:r w:rsidRPr="00E536E3">
              <w:rPr>
                <w:szCs w:val="24"/>
              </w:rPr>
              <w:t>Total de Famílias</w:t>
            </w:r>
          </w:p>
        </w:tc>
        <w:tc>
          <w:tcPr>
            <w:tcW w:w="1842" w:type="dxa"/>
            <w:vAlign w:val="center"/>
          </w:tcPr>
          <w:p w:rsidR="00E536E3" w:rsidRPr="00E536E3" w:rsidRDefault="00E536E3" w:rsidP="00E536E3">
            <w:pPr>
              <w:pStyle w:val="Corpodetexto"/>
              <w:spacing w:beforeAutospacing="1" w:afterAutospacing="1"/>
              <w:jc w:val="center"/>
              <w:rPr>
                <w:szCs w:val="24"/>
              </w:rPr>
            </w:pPr>
            <w:r w:rsidRPr="00E536E3">
              <w:rPr>
                <w:szCs w:val="24"/>
              </w:rPr>
              <w:t>55</w:t>
            </w:r>
          </w:p>
        </w:tc>
        <w:tc>
          <w:tcPr>
            <w:tcW w:w="1560" w:type="dxa"/>
            <w:vAlign w:val="center"/>
          </w:tcPr>
          <w:p w:rsidR="00E536E3" w:rsidRPr="00E536E3" w:rsidRDefault="00E536E3" w:rsidP="00E536E3">
            <w:pPr>
              <w:pStyle w:val="Corpodetexto"/>
              <w:spacing w:beforeAutospacing="1" w:afterAutospacing="1"/>
              <w:jc w:val="center"/>
              <w:rPr>
                <w:szCs w:val="24"/>
              </w:rPr>
            </w:pPr>
            <w:r w:rsidRPr="00E536E3">
              <w:rPr>
                <w:szCs w:val="24"/>
              </w:rPr>
              <w:t>27</w:t>
            </w:r>
          </w:p>
        </w:tc>
        <w:tc>
          <w:tcPr>
            <w:tcW w:w="1275" w:type="dxa"/>
            <w:vAlign w:val="center"/>
          </w:tcPr>
          <w:p w:rsidR="00E536E3" w:rsidRPr="00E536E3" w:rsidRDefault="00E536E3" w:rsidP="00E536E3">
            <w:pPr>
              <w:pStyle w:val="Corpodetexto"/>
              <w:spacing w:beforeAutospacing="1" w:afterAutospacing="1"/>
              <w:jc w:val="center"/>
              <w:rPr>
                <w:szCs w:val="24"/>
              </w:rPr>
            </w:pPr>
            <w:r w:rsidRPr="00E536E3">
              <w:rPr>
                <w:szCs w:val="24"/>
              </w:rPr>
              <w:t>82</w:t>
            </w:r>
          </w:p>
        </w:tc>
      </w:tr>
    </w:tbl>
    <w:p w:rsidR="00E536E3" w:rsidRPr="00B96AAD" w:rsidRDefault="00E536E3" w:rsidP="00392B0D">
      <w:pPr>
        <w:pStyle w:val="Corpodetexto"/>
        <w:ind w:left="567" w:hanging="425"/>
        <w:rPr>
          <w:sz w:val="20"/>
        </w:rPr>
      </w:pPr>
      <w:r w:rsidRPr="00712244">
        <w:rPr>
          <w:sz w:val="20"/>
        </w:rPr>
        <w:t>(*)</w:t>
      </w:r>
      <w:r w:rsidR="00392B0D">
        <w:rPr>
          <w:sz w:val="20"/>
        </w:rPr>
        <w:tab/>
      </w:r>
      <w:r w:rsidRPr="00712244">
        <w:rPr>
          <w:sz w:val="20"/>
        </w:rPr>
        <w:t xml:space="preserve">Em 13 domicílios não foi possível colher a informação. Na barragem Pedreira 1 família não foi encontrada e 1 optou por não responder ao questionário; na Barragem Duas Pontes, </w:t>
      </w:r>
      <w:r w:rsidR="00B96AAD">
        <w:rPr>
          <w:sz w:val="20"/>
        </w:rPr>
        <w:t>3</w:t>
      </w:r>
      <w:r w:rsidRPr="00712244">
        <w:rPr>
          <w:sz w:val="20"/>
        </w:rPr>
        <w:t xml:space="preserve"> família</w:t>
      </w:r>
      <w:r w:rsidR="00B96AAD">
        <w:rPr>
          <w:sz w:val="20"/>
        </w:rPr>
        <w:t>s</w:t>
      </w:r>
      <w:r w:rsidRPr="00712244">
        <w:rPr>
          <w:sz w:val="20"/>
        </w:rPr>
        <w:t xml:space="preserve"> não fo</w:t>
      </w:r>
      <w:r w:rsidR="00B96AAD">
        <w:rPr>
          <w:sz w:val="20"/>
        </w:rPr>
        <w:t>ram</w:t>
      </w:r>
      <w:r w:rsidRPr="00712244">
        <w:rPr>
          <w:sz w:val="20"/>
        </w:rPr>
        <w:t xml:space="preserve"> encontrada</w:t>
      </w:r>
      <w:r w:rsidR="00B96AAD">
        <w:rPr>
          <w:sz w:val="20"/>
        </w:rPr>
        <w:t>s</w:t>
      </w:r>
      <w:r w:rsidRPr="00712244">
        <w:rPr>
          <w:sz w:val="20"/>
        </w:rPr>
        <w:t xml:space="preserve"> e 8 não responderam.</w:t>
      </w:r>
      <w:r w:rsidR="00B96AAD">
        <w:rPr>
          <w:sz w:val="20"/>
        </w:rPr>
        <w:t xml:space="preserve"> </w:t>
      </w:r>
    </w:p>
    <w:p w:rsidR="00B96AAD" w:rsidRDefault="00B96AAD" w:rsidP="007F327D">
      <w:pPr>
        <w:spacing w:before="120" w:after="120" w:line="240" w:lineRule="auto"/>
        <w:rPr>
          <w:rFonts w:eastAsia="Calibri"/>
          <w:szCs w:val="22"/>
          <w:lang w:eastAsia="en-US"/>
        </w:rPr>
      </w:pPr>
      <w:r>
        <w:t>No mesmo levantamento foram estimados em 14 os estabelecimentos rurais a serem afetados na Barragem</w:t>
      </w:r>
      <w:r w:rsidRPr="004B2C38">
        <w:t xml:space="preserve"> Duas Pontes e </w:t>
      </w:r>
      <w:r>
        <w:t>em</w:t>
      </w:r>
      <w:r w:rsidRPr="004B2C38">
        <w:t xml:space="preserve"> 27 </w:t>
      </w:r>
      <w:r>
        <w:t>os estabelecimentos afetados na Barragem</w:t>
      </w:r>
      <w:r w:rsidRPr="004B2C38">
        <w:t xml:space="preserve"> Pedreira, somando 41 imóveis. Entretanto, é importante informar que esse </w:t>
      </w:r>
      <w:r>
        <w:t>número pode estar subnotificado</w:t>
      </w:r>
      <w:r w:rsidR="00A4247D">
        <w:t>. A esse respeito, cabe comentar que o DAEE, contratou à Companhia Paulista de Obras e Serviços - CPOS, para realizar o cadastro imobiliário das áreas incluídas na ADA, levantamento que está sendo realizado atualmente (abril/2015).</w:t>
      </w:r>
    </w:p>
    <w:p w:rsidR="007F327D" w:rsidRPr="00D535AE" w:rsidRDefault="007F327D" w:rsidP="007F327D">
      <w:pPr>
        <w:spacing w:before="120" w:after="120" w:line="240" w:lineRule="auto"/>
        <w:rPr>
          <w:rFonts w:eastAsia="Calibri"/>
          <w:szCs w:val="22"/>
          <w:lang w:eastAsia="en-US"/>
        </w:rPr>
      </w:pPr>
      <w:r w:rsidRPr="00D535AE">
        <w:rPr>
          <w:rFonts w:eastAsia="Calibri"/>
          <w:szCs w:val="22"/>
          <w:lang w:eastAsia="en-US"/>
        </w:rPr>
        <w:t>Evidentemente, essas preocupações encontram fundamento especialmente junto àqueles proprietários afetados por tal impacto que não possuem título de propriedade legalmente reconhecido e àqueles com baixa renda familiar, trabalhadores com vínculo de trabalho (permanentes, temporários, registrados, acordados etc.), aos desempregados, e em outras situações de fragilidade social. Todavia, não deve ser ignorado ou subestimado o fato de que as recolocações, sejam assistidas ou tão somente fruto de desapropriação, implicam uma significativa desestruturação da vida dos grupos diretamente afetados, os quais terão, por vezes, relações sociais, hábitos, apegos e tradições, que dão sustentação ao seu modo de vida, desorganizados e desfeitos.</w:t>
      </w:r>
    </w:p>
    <w:p w:rsidR="007F327D" w:rsidRPr="00D535AE" w:rsidRDefault="007F327D" w:rsidP="007F327D">
      <w:pPr>
        <w:spacing w:before="120" w:after="120" w:line="240" w:lineRule="auto"/>
        <w:rPr>
          <w:rFonts w:eastAsia="Calibri"/>
          <w:szCs w:val="22"/>
          <w:lang w:eastAsia="en-US"/>
        </w:rPr>
      </w:pPr>
      <w:r w:rsidRPr="00D535AE">
        <w:rPr>
          <w:rFonts w:eastAsia="Calibri"/>
          <w:szCs w:val="22"/>
          <w:lang w:eastAsia="en-US"/>
        </w:rPr>
        <w:t>Esse impacto negativo é de ocorrência certa, indireto, por decorrência das desapropriações, localizado entre a população da ADA, e possivelmente reversível, a depender do alcance das medidas mitigadoras e compensatórias. É direto e pode ser considerado permanente, pois, por mais que haja adaptação nos novos locais de moradia e trabalho, haverá perda irrecuperável das relações anteriormente construídas. Porém é de grande magnitude, já que ações de desapropriação e, principalmente, as remoções, diga-se novamente, irão desestruturar modos de vida tradicionais e sustentáveis da população diretamente afetada.</w:t>
      </w:r>
    </w:p>
    <w:p w:rsidR="009E5FD8" w:rsidRPr="00C37DA1" w:rsidRDefault="00B44C8E" w:rsidP="00C37DA1">
      <w:pPr>
        <w:pStyle w:val="Legenda"/>
        <w:spacing w:before="0" w:line="240" w:lineRule="auto"/>
        <w:jc w:val="center"/>
        <w:rPr>
          <w:rFonts w:eastAsia="Calibri"/>
          <w:b w:val="0"/>
          <w:i w:val="0"/>
          <w:szCs w:val="22"/>
          <w:lang w:eastAsia="en-US"/>
        </w:rPr>
      </w:pPr>
      <w:bookmarkStart w:id="379" w:name="_Toc420316522"/>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79</w:t>
      </w:r>
      <w:r w:rsidR="00B80A05" w:rsidRPr="00C37DA1">
        <w:rPr>
          <w:i w:val="0"/>
        </w:rPr>
        <w:fldChar w:fldCharType="end"/>
      </w:r>
      <w:r w:rsidR="00C37DA1" w:rsidRPr="00C37DA1">
        <w:rPr>
          <w:i w:val="0"/>
        </w:rPr>
        <w:t>.</w:t>
      </w:r>
      <w:r w:rsidR="00C37DA1" w:rsidRPr="00C37DA1">
        <w:rPr>
          <w:b w:val="0"/>
          <w:i w:val="0"/>
        </w:rPr>
        <w:t xml:space="preserve"> - </w:t>
      </w:r>
      <w:r w:rsidR="007F327D" w:rsidRPr="00C37DA1">
        <w:rPr>
          <w:rFonts w:eastAsia="Calibri" w:cs="Arial"/>
          <w:b w:val="0"/>
          <w:i w:val="0"/>
          <w:szCs w:val="22"/>
          <w:lang w:eastAsia="en-US"/>
        </w:rPr>
        <w:t xml:space="preserve">Caracterização do Impacto - </w:t>
      </w:r>
      <w:r w:rsidR="009E5FD8" w:rsidRPr="00C37DA1">
        <w:rPr>
          <w:rFonts w:eastAsia="Calibri"/>
          <w:b w:val="0"/>
          <w:i w:val="0"/>
          <w:szCs w:val="22"/>
          <w:lang w:eastAsia="en-US"/>
        </w:rPr>
        <w:t>Relocação da População da ADA</w:t>
      </w:r>
      <w:bookmarkEnd w:id="379"/>
      <w:r w:rsidR="009E5FD8" w:rsidRPr="00C37DA1">
        <w:rPr>
          <w:rFonts w:eastAsia="Calibri"/>
          <w:b w:val="0"/>
          <w:i w:val="0"/>
          <w:szCs w:val="22"/>
          <w:lang w:eastAsia="en-US"/>
        </w:rPr>
        <w:t xml:space="preserve"> </w:t>
      </w:r>
    </w:p>
    <w:p w:rsidR="007F327D" w:rsidRPr="00C37DA1" w:rsidRDefault="009E5FD8" w:rsidP="00C37DA1">
      <w:pPr>
        <w:spacing w:after="120" w:line="240" w:lineRule="auto"/>
        <w:jc w:val="center"/>
        <w:rPr>
          <w:rFonts w:eastAsia="Calibri"/>
          <w:szCs w:val="22"/>
          <w:lang w:eastAsia="en-US"/>
        </w:rPr>
      </w:pPr>
      <w:r w:rsidRPr="00C37DA1">
        <w:rPr>
          <w:rFonts w:cs="Arial"/>
          <w:bCs/>
          <w:szCs w:val="22"/>
        </w:rPr>
        <w:t>Barragens</w:t>
      </w:r>
      <w:r w:rsidR="007F327D" w:rsidRPr="00C37DA1">
        <w:rPr>
          <w:rFonts w:cs="Arial"/>
          <w:bCs/>
          <w:szCs w:val="22"/>
        </w:rPr>
        <w:t xml:space="preserve"> Pedreira e Duas Pontes</w:t>
      </w:r>
    </w:p>
    <w:tbl>
      <w:tblPr>
        <w:tblW w:w="0" w:type="auto"/>
        <w:jc w:val="center"/>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1"/>
        <w:gridCol w:w="1391"/>
        <w:gridCol w:w="1701"/>
        <w:gridCol w:w="1754"/>
        <w:gridCol w:w="3012"/>
      </w:tblGrid>
      <w:tr w:rsidR="007F327D" w:rsidRPr="00D535AE" w:rsidTr="008204B6">
        <w:trPr>
          <w:trHeight w:hRule="exact" w:val="662"/>
          <w:jc w:val="center"/>
        </w:trPr>
        <w:tc>
          <w:tcPr>
            <w:tcW w:w="1391" w:type="dxa"/>
            <w:shd w:val="clear" w:color="auto" w:fill="D9D9D9" w:themeFill="background1" w:themeFillShade="D9"/>
            <w:vAlign w:val="center"/>
          </w:tcPr>
          <w:p w:rsidR="007F327D" w:rsidRPr="00D535AE" w:rsidRDefault="007F327D" w:rsidP="00530E61">
            <w:pPr>
              <w:spacing w:line="240" w:lineRule="auto"/>
              <w:jc w:val="center"/>
              <w:rPr>
                <w:rFonts w:eastAsia="Calibri" w:cs="Arial"/>
                <w:b/>
                <w:sz w:val="20"/>
                <w:lang w:eastAsia="en-US"/>
              </w:rPr>
            </w:pPr>
            <w:r w:rsidRPr="00D535AE">
              <w:rPr>
                <w:rFonts w:eastAsia="Calibri" w:cs="Arial"/>
                <w:b/>
                <w:sz w:val="20"/>
                <w:lang w:eastAsia="en-US"/>
              </w:rPr>
              <w:t>Natureza</w:t>
            </w:r>
          </w:p>
        </w:tc>
        <w:tc>
          <w:tcPr>
            <w:tcW w:w="1391" w:type="dxa"/>
            <w:shd w:val="clear" w:color="auto" w:fill="D9D9D9" w:themeFill="background1" w:themeFillShade="D9"/>
            <w:vAlign w:val="center"/>
          </w:tcPr>
          <w:p w:rsidR="007F327D" w:rsidRPr="00D535AE" w:rsidRDefault="007F327D" w:rsidP="00530E61">
            <w:pPr>
              <w:spacing w:line="240" w:lineRule="auto"/>
              <w:jc w:val="center"/>
              <w:rPr>
                <w:rFonts w:eastAsia="Calibri" w:cs="Arial"/>
                <w:b/>
                <w:sz w:val="20"/>
                <w:lang w:eastAsia="en-US"/>
              </w:rPr>
            </w:pPr>
            <w:r w:rsidRPr="00D535AE">
              <w:rPr>
                <w:rFonts w:eastAsia="Calibri" w:cs="Arial"/>
                <w:b/>
                <w:sz w:val="20"/>
                <w:lang w:eastAsia="en-US"/>
              </w:rPr>
              <w:t>Ordem</w:t>
            </w:r>
          </w:p>
        </w:tc>
        <w:tc>
          <w:tcPr>
            <w:tcW w:w="1701" w:type="dxa"/>
            <w:shd w:val="clear" w:color="auto" w:fill="D9D9D9" w:themeFill="background1" w:themeFillShade="D9"/>
            <w:vAlign w:val="center"/>
          </w:tcPr>
          <w:p w:rsidR="007F327D" w:rsidRPr="00D535AE" w:rsidRDefault="007F327D" w:rsidP="00530E61">
            <w:pPr>
              <w:spacing w:line="240" w:lineRule="auto"/>
              <w:jc w:val="center"/>
              <w:rPr>
                <w:rFonts w:eastAsia="Calibri" w:cs="Arial"/>
                <w:b/>
                <w:sz w:val="20"/>
                <w:lang w:eastAsia="en-US"/>
              </w:rPr>
            </w:pPr>
            <w:r w:rsidRPr="00D535AE">
              <w:rPr>
                <w:rFonts w:eastAsia="Calibri" w:cs="Arial"/>
                <w:b/>
                <w:sz w:val="20"/>
                <w:lang w:eastAsia="en-US"/>
              </w:rPr>
              <w:t>Abrangência</w:t>
            </w:r>
          </w:p>
        </w:tc>
        <w:tc>
          <w:tcPr>
            <w:tcW w:w="1754" w:type="dxa"/>
            <w:shd w:val="clear" w:color="auto" w:fill="D9D9D9" w:themeFill="background1" w:themeFillShade="D9"/>
            <w:vAlign w:val="center"/>
          </w:tcPr>
          <w:p w:rsidR="007F327D" w:rsidRPr="00D535AE" w:rsidRDefault="007F327D" w:rsidP="00530E61">
            <w:pPr>
              <w:spacing w:line="240" w:lineRule="auto"/>
              <w:jc w:val="center"/>
              <w:rPr>
                <w:rFonts w:eastAsia="Calibri" w:cs="Arial"/>
                <w:b/>
                <w:sz w:val="20"/>
                <w:lang w:eastAsia="en-US"/>
              </w:rPr>
            </w:pPr>
            <w:r w:rsidRPr="00D535AE">
              <w:rPr>
                <w:rFonts w:eastAsia="Calibri" w:cs="Arial"/>
                <w:b/>
                <w:sz w:val="20"/>
                <w:lang w:eastAsia="en-US"/>
              </w:rPr>
              <w:t>Duração</w:t>
            </w:r>
          </w:p>
        </w:tc>
        <w:tc>
          <w:tcPr>
            <w:tcW w:w="3012" w:type="dxa"/>
            <w:shd w:val="clear" w:color="auto" w:fill="D9D9D9" w:themeFill="background1" w:themeFillShade="D9"/>
            <w:vAlign w:val="center"/>
          </w:tcPr>
          <w:p w:rsidR="007F327D" w:rsidRPr="00D535AE" w:rsidRDefault="007F327D" w:rsidP="00530E61">
            <w:pPr>
              <w:spacing w:line="240" w:lineRule="auto"/>
              <w:jc w:val="center"/>
              <w:rPr>
                <w:rFonts w:eastAsia="Calibri" w:cs="Arial"/>
                <w:b/>
                <w:sz w:val="20"/>
                <w:lang w:eastAsia="en-US"/>
              </w:rPr>
            </w:pPr>
            <w:r w:rsidRPr="00D535AE">
              <w:rPr>
                <w:rFonts w:eastAsia="Calibri" w:cs="Arial"/>
                <w:b/>
                <w:sz w:val="20"/>
                <w:lang w:eastAsia="en-US"/>
              </w:rPr>
              <w:t>Probabilidade de Ocorrência</w:t>
            </w:r>
          </w:p>
        </w:tc>
      </w:tr>
      <w:tr w:rsidR="007F327D" w:rsidRPr="00D535AE" w:rsidTr="00530E61">
        <w:trPr>
          <w:trHeight w:hRule="exact" w:val="430"/>
          <w:jc w:val="center"/>
        </w:trPr>
        <w:tc>
          <w:tcPr>
            <w:tcW w:w="1391" w:type="dxa"/>
            <w:shd w:val="clear" w:color="auto" w:fill="auto"/>
            <w:vAlign w:val="center"/>
          </w:tcPr>
          <w:p w:rsidR="007F327D" w:rsidRPr="00D535AE" w:rsidRDefault="007F327D" w:rsidP="00530E61">
            <w:pPr>
              <w:spacing w:line="240" w:lineRule="auto"/>
              <w:jc w:val="center"/>
              <w:rPr>
                <w:rFonts w:eastAsia="Calibri" w:cs="Arial"/>
                <w:sz w:val="20"/>
                <w:lang w:eastAsia="en-US"/>
              </w:rPr>
            </w:pPr>
            <w:r w:rsidRPr="00D535AE">
              <w:rPr>
                <w:rFonts w:eastAsia="Calibri" w:cs="Arial"/>
                <w:sz w:val="20"/>
                <w:lang w:eastAsia="en-US"/>
              </w:rPr>
              <w:t>Negativo</w:t>
            </w:r>
          </w:p>
        </w:tc>
        <w:tc>
          <w:tcPr>
            <w:tcW w:w="1391" w:type="dxa"/>
            <w:shd w:val="clear" w:color="auto" w:fill="auto"/>
            <w:vAlign w:val="center"/>
          </w:tcPr>
          <w:p w:rsidR="007F327D" w:rsidRPr="00D535AE" w:rsidRDefault="007F327D" w:rsidP="00530E61">
            <w:pPr>
              <w:spacing w:line="240" w:lineRule="auto"/>
              <w:jc w:val="center"/>
              <w:rPr>
                <w:rFonts w:eastAsia="Calibri" w:cs="Arial"/>
                <w:sz w:val="20"/>
                <w:lang w:eastAsia="en-US"/>
              </w:rPr>
            </w:pPr>
            <w:r w:rsidRPr="00D535AE">
              <w:rPr>
                <w:rFonts w:eastAsia="Calibri" w:cs="Arial"/>
                <w:sz w:val="20"/>
                <w:lang w:eastAsia="en-US"/>
              </w:rPr>
              <w:t>Indireto</w:t>
            </w:r>
          </w:p>
        </w:tc>
        <w:tc>
          <w:tcPr>
            <w:tcW w:w="1701" w:type="dxa"/>
            <w:shd w:val="clear" w:color="auto" w:fill="auto"/>
            <w:vAlign w:val="center"/>
          </w:tcPr>
          <w:p w:rsidR="007F327D" w:rsidRPr="00D535AE" w:rsidRDefault="007F327D" w:rsidP="00530E61">
            <w:pPr>
              <w:spacing w:line="240" w:lineRule="auto"/>
              <w:jc w:val="center"/>
              <w:rPr>
                <w:rFonts w:eastAsia="Calibri" w:cs="Arial"/>
                <w:sz w:val="20"/>
                <w:lang w:eastAsia="en-US"/>
              </w:rPr>
            </w:pPr>
            <w:r w:rsidRPr="00D535AE">
              <w:rPr>
                <w:rFonts w:eastAsia="Calibri" w:cs="Arial"/>
                <w:sz w:val="20"/>
                <w:lang w:eastAsia="en-US"/>
              </w:rPr>
              <w:t>Local</w:t>
            </w:r>
            <w:r>
              <w:rPr>
                <w:rFonts w:eastAsia="Calibri" w:cs="Arial"/>
                <w:sz w:val="20"/>
                <w:lang w:eastAsia="en-US"/>
              </w:rPr>
              <w:t xml:space="preserve"> (ADA)</w:t>
            </w:r>
          </w:p>
        </w:tc>
        <w:tc>
          <w:tcPr>
            <w:tcW w:w="1754" w:type="dxa"/>
            <w:shd w:val="clear" w:color="auto" w:fill="auto"/>
            <w:vAlign w:val="center"/>
          </w:tcPr>
          <w:p w:rsidR="007F327D" w:rsidRPr="00D535AE" w:rsidRDefault="007F327D" w:rsidP="00530E61">
            <w:pPr>
              <w:spacing w:line="240" w:lineRule="auto"/>
              <w:jc w:val="center"/>
              <w:rPr>
                <w:rFonts w:eastAsia="Calibri" w:cs="Arial"/>
                <w:sz w:val="20"/>
                <w:lang w:eastAsia="en-US"/>
              </w:rPr>
            </w:pPr>
            <w:r w:rsidRPr="00D535AE">
              <w:rPr>
                <w:rFonts w:eastAsia="Calibri" w:cs="Arial"/>
                <w:sz w:val="20"/>
                <w:lang w:eastAsia="en-US"/>
              </w:rPr>
              <w:t>Permanente</w:t>
            </w:r>
          </w:p>
        </w:tc>
        <w:tc>
          <w:tcPr>
            <w:tcW w:w="3012" w:type="dxa"/>
            <w:shd w:val="clear" w:color="auto" w:fill="auto"/>
            <w:vAlign w:val="center"/>
          </w:tcPr>
          <w:p w:rsidR="007F327D" w:rsidRPr="00D535AE" w:rsidRDefault="007F327D" w:rsidP="00530E61">
            <w:pPr>
              <w:spacing w:line="240" w:lineRule="auto"/>
              <w:jc w:val="center"/>
              <w:rPr>
                <w:rFonts w:eastAsia="Calibri" w:cs="Arial"/>
                <w:sz w:val="20"/>
                <w:lang w:eastAsia="en-US"/>
              </w:rPr>
            </w:pPr>
            <w:r w:rsidRPr="00D535AE">
              <w:rPr>
                <w:rFonts w:eastAsia="Calibri" w:cs="Arial"/>
                <w:sz w:val="20"/>
                <w:lang w:eastAsia="en-US"/>
              </w:rPr>
              <w:t>Certa</w:t>
            </w:r>
          </w:p>
        </w:tc>
      </w:tr>
    </w:tbl>
    <w:p w:rsidR="007F327D" w:rsidRPr="00D535AE" w:rsidRDefault="007F327D" w:rsidP="007F327D">
      <w:pPr>
        <w:spacing w:line="240" w:lineRule="auto"/>
        <w:rPr>
          <w:rFonts w:eastAsia="Calibri"/>
          <w:szCs w:val="22"/>
          <w:lang w:eastAsia="en-US"/>
        </w:rPr>
      </w:pPr>
    </w:p>
    <w:tbl>
      <w:tblPr>
        <w:tblW w:w="9212" w:type="dxa"/>
        <w:jc w:val="center"/>
        <w:tblInd w:w="-4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771"/>
        <w:gridCol w:w="1701"/>
        <w:gridCol w:w="1629"/>
        <w:gridCol w:w="1417"/>
      </w:tblGrid>
      <w:tr w:rsidR="007F327D" w:rsidRPr="00D535AE" w:rsidTr="008204B6">
        <w:trPr>
          <w:trHeight w:hRule="exact" w:val="441"/>
          <w:jc w:val="center"/>
        </w:trPr>
        <w:tc>
          <w:tcPr>
            <w:tcW w:w="2694" w:type="dxa"/>
            <w:shd w:val="clear" w:color="auto" w:fill="D9D9D9" w:themeFill="background1" w:themeFillShade="D9"/>
            <w:vAlign w:val="center"/>
          </w:tcPr>
          <w:p w:rsidR="007F327D" w:rsidRPr="00D535AE" w:rsidRDefault="007F327D" w:rsidP="00530E61">
            <w:pPr>
              <w:spacing w:line="240" w:lineRule="auto"/>
              <w:ind w:left="33" w:firstLine="1"/>
              <w:jc w:val="center"/>
              <w:rPr>
                <w:rFonts w:eastAsia="Calibri" w:cs="Arial"/>
                <w:b/>
                <w:sz w:val="20"/>
                <w:lang w:eastAsia="en-US"/>
              </w:rPr>
            </w:pPr>
            <w:r w:rsidRPr="00D535AE">
              <w:rPr>
                <w:rFonts w:eastAsia="Calibri" w:cs="Arial"/>
                <w:b/>
                <w:sz w:val="20"/>
                <w:lang w:eastAsia="en-US"/>
              </w:rPr>
              <w:t>Época de Ocorrência</w:t>
            </w:r>
          </w:p>
        </w:tc>
        <w:tc>
          <w:tcPr>
            <w:tcW w:w="1771" w:type="dxa"/>
            <w:shd w:val="clear" w:color="auto" w:fill="D9D9D9" w:themeFill="background1" w:themeFillShade="D9"/>
            <w:vAlign w:val="center"/>
          </w:tcPr>
          <w:p w:rsidR="007F327D" w:rsidRPr="00D535AE" w:rsidRDefault="007F327D" w:rsidP="00530E61">
            <w:pPr>
              <w:spacing w:line="240" w:lineRule="auto"/>
              <w:jc w:val="center"/>
              <w:rPr>
                <w:rFonts w:eastAsia="Calibri" w:cs="Arial"/>
                <w:b/>
                <w:sz w:val="20"/>
                <w:lang w:eastAsia="en-US"/>
              </w:rPr>
            </w:pPr>
            <w:r w:rsidRPr="00D535AE">
              <w:rPr>
                <w:rFonts w:eastAsia="Calibri" w:cs="Arial"/>
                <w:b/>
                <w:sz w:val="20"/>
                <w:lang w:eastAsia="en-US"/>
              </w:rPr>
              <w:t>Reversibilidade</w:t>
            </w:r>
          </w:p>
        </w:tc>
        <w:tc>
          <w:tcPr>
            <w:tcW w:w="1701" w:type="dxa"/>
            <w:shd w:val="clear" w:color="auto" w:fill="D9D9D9" w:themeFill="background1" w:themeFillShade="D9"/>
            <w:vAlign w:val="center"/>
          </w:tcPr>
          <w:p w:rsidR="007F327D" w:rsidRPr="00D535AE" w:rsidRDefault="007F327D" w:rsidP="00530E61">
            <w:pPr>
              <w:spacing w:line="240" w:lineRule="auto"/>
              <w:jc w:val="center"/>
              <w:rPr>
                <w:rFonts w:eastAsia="Calibri" w:cs="Arial"/>
                <w:b/>
                <w:sz w:val="20"/>
                <w:lang w:eastAsia="en-US"/>
              </w:rPr>
            </w:pPr>
            <w:r w:rsidRPr="00D535AE">
              <w:rPr>
                <w:rFonts w:eastAsia="Calibri" w:cs="Arial"/>
                <w:b/>
                <w:sz w:val="20"/>
                <w:lang w:eastAsia="en-US"/>
              </w:rPr>
              <w:t>Magnitude</w:t>
            </w:r>
          </w:p>
        </w:tc>
        <w:tc>
          <w:tcPr>
            <w:tcW w:w="1629" w:type="dxa"/>
            <w:shd w:val="clear" w:color="auto" w:fill="D9D9D9" w:themeFill="background1" w:themeFillShade="D9"/>
            <w:vAlign w:val="center"/>
          </w:tcPr>
          <w:p w:rsidR="007F327D" w:rsidRPr="00D535AE" w:rsidRDefault="007F327D" w:rsidP="00530E61">
            <w:pPr>
              <w:spacing w:line="240" w:lineRule="auto"/>
              <w:jc w:val="center"/>
              <w:rPr>
                <w:rFonts w:eastAsia="Calibri" w:cs="Arial"/>
                <w:b/>
                <w:sz w:val="20"/>
                <w:lang w:eastAsia="en-US"/>
              </w:rPr>
            </w:pPr>
            <w:r w:rsidRPr="00D535AE">
              <w:rPr>
                <w:rFonts w:eastAsia="Calibri" w:cs="Arial"/>
                <w:b/>
                <w:sz w:val="20"/>
                <w:lang w:eastAsia="en-US"/>
              </w:rPr>
              <w:t>Importância</w:t>
            </w:r>
          </w:p>
        </w:tc>
        <w:tc>
          <w:tcPr>
            <w:tcW w:w="1417" w:type="dxa"/>
            <w:shd w:val="clear" w:color="auto" w:fill="D9D9D9" w:themeFill="background1" w:themeFillShade="D9"/>
            <w:vAlign w:val="center"/>
          </w:tcPr>
          <w:p w:rsidR="007F327D" w:rsidRPr="00D535AE" w:rsidRDefault="007F327D" w:rsidP="00530E61">
            <w:pPr>
              <w:spacing w:line="240" w:lineRule="auto"/>
              <w:jc w:val="center"/>
              <w:rPr>
                <w:rFonts w:eastAsia="Calibri" w:cs="Arial"/>
                <w:b/>
                <w:sz w:val="20"/>
                <w:lang w:eastAsia="en-US"/>
              </w:rPr>
            </w:pPr>
            <w:r w:rsidRPr="00D535AE">
              <w:rPr>
                <w:rFonts w:eastAsia="Calibri" w:cs="Arial"/>
                <w:b/>
                <w:sz w:val="20"/>
                <w:lang w:eastAsia="en-US"/>
              </w:rPr>
              <w:t>Mitigação</w:t>
            </w:r>
          </w:p>
        </w:tc>
      </w:tr>
      <w:tr w:rsidR="007F327D" w:rsidRPr="00D535AE" w:rsidTr="00530E61">
        <w:trPr>
          <w:trHeight w:hRule="exact" w:val="561"/>
          <w:jc w:val="center"/>
        </w:trPr>
        <w:tc>
          <w:tcPr>
            <w:tcW w:w="2694" w:type="dxa"/>
            <w:shd w:val="clear" w:color="auto" w:fill="auto"/>
            <w:vAlign w:val="center"/>
          </w:tcPr>
          <w:p w:rsidR="007F327D" w:rsidRPr="00D535AE" w:rsidRDefault="007F327D" w:rsidP="00530E61">
            <w:pPr>
              <w:spacing w:line="240" w:lineRule="auto"/>
              <w:jc w:val="center"/>
              <w:rPr>
                <w:rFonts w:eastAsia="Calibri" w:cs="Arial"/>
                <w:sz w:val="20"/>
                <w:lang w:eastAsia="en-US"/>
              </w:rPr>
            </w:pPr>
            <w:r w:rsidRPr="00D535AE">
              <w:rPr>
                <w:rFonts w:eastAsia="Calibri"/>
                <w:sz w:val="20"/>
                <w:lang w:eastAsia="en-US"/>
              </w:rPr>
              <w:t>Médio e Longo Prazo</w:t>
            </w:r>
          </w:p>
        </w:tc>
        <w:tc>
          <w:tcPr>
            <w:tcW w:w="1771" w:type="dxa"/>
            <w:vAlign w:val="center"/>
          </w:tcPr>
          <w:p w:rsidR="007F327D" w:rsidRPr="00D535AE" w:rsidRDefault="007F327D" w:rsidP="00530E61">
            <w:pPr>
              <w:spacing w:line="240" w:lineRule="auto"/>
              <w:jc w:val="center"/>
              <w:rPr>
                <w:rFonts w:eastAsia="Calibri" w:cs="Arial"/>
                <w:sz w:val="20"/>
                <w:lang w:eastAsia="en-US"/>
              </w:rPr>
            </w:pPr>
            <w:r w:rsidRPr="00D535AE">
              <w:rPr>
                <w:rFonts w:eastAsia="Calibri" w:cs="Arial"/>
                <w:sz w:val="20"/>
                <w:lang w:eastAsia="en-US"/>
              </w:rPr>
              <w:t>Reversível</w:t>
            </w:r>
          </w:p>
        </w:tc>
        <w:tc>
          <w:tcPr>
            <w:tcW w:w="1701" w:type="dxa"/>
            <w:shd w:val="clear" w:color="auto" w:fill="auto"/>
            <w:vAlign w:val="center"/>
          </w:tcPr>
          <w:p w:rsidR="007F327D" w:rsidRPr="00D535AE" w:rsidRDefault="007F327D" w:rsidP="00530E61">
            <w:pPr>
              <w:spacing w:line="240" w:lineRule="auto"/>
              <w:jc w:val="center"/>
              <w:rPr>
                <w:rFonts w:eastAsia="Calibri" w:cs="Arial"/>
                <w:sz w:val="20"/>
                <w:lang w:eastAsia="en-US"/>
              </w:rPr>
            </w:pPr>
            <w:r w:rsidRPr="00D535AE">
              <w:rPr>
                <w:rFonts w:eastAsia="Calibri" w:cs="Arial"/>
                <w:sz w:val="20"/>
                <w:lang w:eastAsia="en-US"/>
              </w:rPr>
              <w:t>Grande</w:t>
            </w:r>
          </w:p>
        </w:tc>
        <w:tc>
          <w:tcPr>
            <w:tcW w:w="1629" w:type="dxa"/>
            <w:shd w:val="clear" w:color="auto" w:fill="auto"/>
            <w:vAlign w:val="center"/>
          </w:tcPr>
          <w:p w:rsidR="007F327D" w:rsidRPr="00D535AE" w:rsidRDefault="007F327D" w:rsidP="00530E61">
            <w:pPr>
              <w:spacing w:line="240" w:lineRule="auto"/>
              <w:jc w:val="center"/>
              <w:rPr>
                <w:rFonts w:eastAsia="Calibri" w:cs="Arial"/>
                <w:sz w:val="20"/>
                <w:lang w:eastAsia="en-US"/>
              </w:rPr>
            </w:pPr>
            <w:r w:rsidRPr="00D535AE">
              <w:rPr>
                <w:rFonts w:eastAsia="Calibri" w:cs="Arial"/>
                <w:sz w:val="20"/>
                <w:lang w:eastAsia="en-US"/>
              </w:rPr>
              <w:t>Alta</w:t>
            </w:r>
          </w:p>
        </w:tc>
        <w:tc>
          <w:tcPr>
            <w:tcW w:w="1417" w:type="dxa"/>
            <w:shd w:val="clear" w:color="auto" w:fill="auto"/>
            <w:vAlign w:val="center"/>
          </w:tcPr>
          <w:p w:rsidR="007F327D" w:rsidRPr="00D535AE" w:rsidRDefault="007F327D" w:rsidP="00530E61">
            <w:pPr>
              <w:spacing w:line="240" w:lineRule="auto"/>
              <w:jc w:val="center"/>
              <w:rPr>
                <w:rFonts w:eastAsia="Calibri" w:cs="Arial"/>
                <w:sz w:val="20"/>
                <w:lang w:eastAsia="en-US"/>
              </w:rPr>
            </w:pPr>
            <w:r w:rsidRPr="00D535AE">
              <w:rPr>
                <w:rFonts w:eastAsia="Calibri" w:cs="Arial"/>
                <w:sz w:val="20"/>
                <w:lang w:eastAsia="en-US"/>
              </w:rPr>
              <w:t>Mitigável</w:t>
            </w:r>
          </w:p>
        </w:tc>
      </w:tr>
    </w:tbl>
    <w:p w:rsidR="007F327D" w:rsidRPr="00D535AE" w:rsidRDefault="007F327D" w:rsidP="009E5FD8">
      <w:pPr>
        <w:widowControl w:val="0"/>
        <w:autoSpaceDE w:val="0"/>
        <w:autoSpaceDN w:val="0"/>
        <w:adjustRightInd w:val="0"/>
        <w:spacing w:before="240" w:after="120" w:line="240" w:lineRule="auto"/>
        <w:jc w:val="left"/>
        <w:rPr>
          <w:rFonts w:eastAsia="Calibri" w:cs="Arial"/>
          <w:szCs w:val="22"/>
          <w:lang w:eastAsia="en-US"/>
        </w:rPr>
      </w:pPr>
      <w:r w:rsidRPr="00D535AE">
        <w:rPr>
          <w:rFonts w:eastAsia="Calibri" w:cs="Arial"/>
          <w:b/>
          <w:szCs w:val="22"/>
          <w:lang w:eastAsia="en-US"/>
        </w:rPr>
        <w:t xml:space="preserve">Ações Ambientais Propostas </w:t>
      </w:r>
    </w:p>
    <w:p w:rsidR="007F327D" w:rsidRDefault="007F327D" w:rsidP="007F327D">
      <w:pPr>
        <w:spacing w:before="120" w:after="120" w:line="240" w:lineRule="auto"/>
        <w:rPr>
          <w:rFonts w:eastAsia="Calibri"/>
          <w:szCs w:val="22"/>
          <w:lang w:eastAsia="en-US"/>
        </w:rPr>
      </w:pPr>
      <w:r w:rsidRPr="00D535AE">
        <w:rPr>
          <w:rFonts w:eastAsia="Calibri"/>
          <w:szCs w:val="22"/>
          <w:lang w:eastAsia="en-US"/>
        </w:rPr>
        <w:t xml:space="preserve">O Programa de </w:t>
      </w:r>
      <w:r w:rsidR="009E5FD8" w:rsidRPr="009E5FD8">
        <w:rPr>
          <w:rFonts w:eastAsia="Calibri"/>
          <w:szCs w:val="22"/>
          <w:lang w:eastAsia="en-US"/>
        </w:rPr>
        <w:t xml:space="preserve">Desapropriação, Indenização e Relocação da População, </w:t>
      </w:r>
      <w:r w:rsidRPr="00D535AE">
        <w:rPr>
          <w:rFonts w:eastAsia="Calibri"/>
          <w:szCs w:val="22"/>
          <w:lang w:eastAsia="en-US"/>
        </w:rPr>
        <w:t xml:space="preserve">e o Programa de Comunicação </w:t>
      </w:r>
      <w:r w:rsidR="00D225D5">
        <w:rPr>
          <w:rFonts w:eastAsia="Calibri"/>
          <w:szCs w:val="22"/>
          <w:lang w:eastAsia="en-US"/>
        </w:rPr>
        <w:t>e Interação S</w:t>
      </w:r>
      <w:r w:rsidRPr="00D535AE">
        <w:rPr>
          <w:rFonts w:eastAsia="Calibri"/>
          <w:szCs w:val="22"/>
          <w:lang w:eastAsia="en-US"/>
        </w:rPr>
        <w:t>ocial contemplam ações direcionadas a esta questão, como: (i) Realização de reuniões para disseminação de informações e indicações sobre a aquisição de novas terras, se possível, em melhores condições do que as anteriores para que</w:t>
      </w:r>
      <w:r>
        <w:rPr>
          <w:rFonts w:eastAsia="Calibri"/>
          <w:szCs w:val="22"/>
          <w:lang w:eastAsia="en-US"/>
        </w:rPr>
        <w:t xml:space="preserve"> essa população possa usufruir </w:t>
      </w:r>
      <w:r w:rsidRPr="00D535AE">
        <w:rPr>
          <w:rFonts w:eastAsia="Calibri"/>
          <w:szCs w:val="22"/>
          <w:lang w:eastAsia="en-US"/>
        </w:rPr>
        <w:t>a nova propriedade com sustentabilidade.</w:t>
      </w:r>
    </w:p>
    <w:p w:rsidR="007F327D" w:rsidRPr="002C0D71" w:rsidRDefault="007F327D" w:rsidP="002C0D71">
      <w:pPr>
        <w:pStyle w:val="Ttulo3"/>
        <w:spacing w:after="240"/>
      </w:pPr>
      <w:bookmarkStart w:id="380" w:name="_Toc418758253"/>
      <w:bookmarkStart w:id="381" w:name="_Toc418758855"/>
      <w:bookmarkStart w:id="382" w:name="_Toc419813615"/>
      <w:r w:rsidRPr="002C0D71">
        <w:t>1.3.3.6. Especulação Imobiliária</w:t>
      </w:r>
      <w:bookmarkEnd w:id="380"/>
      <w:bookmarkEnd w:id="381"/>
      <w:bookmarkEnd w:id="382"/>
    </w:p>
    <w:p w:rsidR="007F327D" w:rsidRPr="00E85914" w:rsidRDefault="007F327D" w:rsidP="007F327D">
      <w:pPr>
        <w:spacing w:before="120" w:after="120" w:line="240" w:lineRule="auto"/>
        <w:rPr>
          <w:b/>
        </w:rPr>
      </w:pPr>
      <w:r w:rsidRPr="00E85914">
        <w:rPr>
          <w:b/>
        </w:rPr>
        <w:t>Fase</w:t>
      </w:r>
      <w:r w:rsidR="00210DB1">
        <w:rPr>
          <w:b/>
        </w:rPr>
        <w:t xml:space="preserve">: </w:t>
      </w:r>
      <w:r w:rsidRPr="00E85914">
        <w:rPr>
          <w:b/>
        </w:rPr>
        <w:t>Planejamento</w:t>
      </w:r>
      <w:r w:rsidR="00210DB1">
        <w:rPr>
          <w:b/>
        </w:rPr>
        <w:t xml:space="preserve"> </w:t>
      </w:r>
      <w:r w:rsidR="00210DB1" w:rsidRPr="00EE73EC">
        <w:rPr>
          <w:b/>
        </w:rPr>
        <w:t>e Implantação</w:t>
      </w:r>
    </w:p>
    <w:p w:rsidR="007F327D" w:rsidRPr="00B304C0" w:rsidRDefault="007F327D" w:rsidP="007F327D">
      <w:pPr>
        <w:spacing w:before="120" w:after="120" w:line="240" w:lineRule="auto"/>
      </w:pPr>
      <w:r w:rsidRPr="00666A9B">
        <w:t>Esse impacto manifesta-se sob a forma de variações do preço de mercado das propriedades e dos aluguéis. Refere-se, por exemplo, à expectativa de elevação dos aluguéis das residências a serem locadas pelo</w:t>
      </w:r>
      <w:r>
        <w:t>s</w:t>
      </w:r>
      <w:r w:rsidRPr="00666A9B">
        <w:t xml:space="preserve"> executores das obras</w:t>
      </w:r>
      <w:r>
        <w:t xml:space="preserve"> e por trabalhadores em busca de trabalho nas obras das barragens</w:t>
      </w:r>
      <w:r w:rsidRPr="00666A9B">
        <w:t xml:space="preserve">. Enquanto não se souber quais serão, concretamente, essas residências, a tendência será a de majoração do </w:t>
      </w:r>
      <w:r>
        <w:t>preço</w:t>
      </w:r>
      <w:r w:rsidRPr="00666A9B">
        <w:t xml:space="preserve"> de todas</w:t>
      </w:r>
      <w:r>
        <w:t xml:space="preserve"> aquelas</w:t>
      </w:r>
      <w:r w:rsidRPr="00666A9B">
        <w:t xml:space="preserve"> cujos proprietários </w:t>
      </w:r>
      <w:r>
        <w:t xml:space="preserve">as </w:t>
      </w:r>
      <w:r w:rsidRPr="00666A9B">
        <w:t>julguem em condições de ser</w:t>
      </w:r>
      <w:r>
        <w:t xml:space="preserve"> escolhidas.</w:t>
      </w:r>
      <w:r w:rsidRPr="00666A9B">
        <w:t xml:space="preserve"> </w:t>
      </w:r>
      <w:r>
        <w:t>As sedes de Pedreira e Amparo, assim como Jaguariúna e Santo Antônio de Posse, são as localidades com mais chance de enfrentar esse movimento especulativo, pela proximidade dos locais das obras, evidentemente, mas também porque são cidades com boa infraestrutura de comércio, serviços, transporte.</w:t>
      </w:r>
      <w:r w:rsidRPr="00F56499">
        <w:rPr>
          <w:rFonts w:cs="Arial"/>
        </w:rPr>
        <w:t xml:space="preserve"> </w:t>
      </w:r>
      <w:r w:rsidRPr="00B304C0">
        <w:rPr>
          <w:rFonts w:cs="Arial"/>
        </w:rPr>
        <w:t>Esse impacto pode referir-se também, por exemplo,</w:t>
      </w:r>
      <w:r w:rsidRPr="00B304C0">
        <w:t xml:space="preserve"> à desvalorização de pequenas propriedades que os agentes do mercado </w:t>
      </w:r>
      <w:r>
        <w:t>i</w:t>
      </w:r>
      <w:r w:rsidRPr="00B304C0">
        <w:t>mobiliário local julguem que poderão</w:t>
      </w:r>
      <w:r>
        <w:t xml:space="preserve"> perder fatores atraentes, como estradas, acesso à água, acesso a transporte etc.</w:t>
      </w:r>
      <w:r w:rsidRPr="00B304C0">
        <w:t>.</w:t>
      </w:r>
    </w:p>
    <w:p w:rsidR="007F327D" w:rsidRDefault="007F327D" w:rsidP="007F327D">
      <w:pPr>
        <w:spacing w:before="120" w:after="120" w:line="240" w:lineRule="auto"/>
      </w:pPr>
      <w:r w:rsidRPr="00666A9B">
        <w:t>O impacto referente às expectativas e inseguranças a partir da disseminação de informações a respeito do empreendimento, causa do impacto da especulação imobiliária, ocorre tanto na ADA como na AID. O impacto relacionado à especulação imobiliária, no caso da mencionada majoração de aluguéis, tende a situar-se estritamente na AID, uma vez que o corpo técnico deverá ser alojado em residê</w:t>
      </w:r>
      <w:r>
        <w:t>ncias sem possibilidades de ser</w:t>
      </w:r>
      <w:r w:rsidRPr="00666A9B">
        <w:t xml:space="preserve"> desapropriadas. No caso citado de desvalorização de pequenas propriedades, o impacto se concentrará na ADA e em uma faixa da AID, provavelmente de pequena largura, junto aos limites da ADA.</w:t>
      </w:r>
    </w:p>
    <w:p w:rsidR="007F327D" w:rsidRPr="00666A9B" w:rsidRDefault="007F327D" w:rsidP="007F327D">
      <w:pPr>
        <w:pStyle w:val="NormalPargrafo"/>
        <w:spacing w:before="120" w:after="120" w:line="240" w:lineRule="auto"/>
      </w:pPr>
      <w:r w:rsidRPr="00666A9B">
        <w:t xml:space="preserve">A especulação imobiliária é um impacto </w:t>
      </w:r>
      <w:r>
        <w:t>indireto a</w:t>
      </w:r>
      <w:r w:rsidRPr="00666A9B">
        <w:t xml:space="preserve"> ocorrer </w:t>
      </w:r>
      <w:r>
        <w:t xml:space="preserve">notadamente na fase de </w:t>
      </w:r>
      <w:r w:rsidRPr="00EE73EC">
        <w:t>Planejamento</w:t>
      </w:r>
      <w:r w:rsidR="00210DB1" w:rsidRPr="00EE73EC">
        <w:t xml:space="preserve"> e no começo da Implantação,</w:t>
      </w:r>
      <w:r w:rsidRPr="00EE73EC">
        <w:t xml:space="preserve"> se constitui em uma consequência de outro</w:t>
      </w:r>
      <w:r w:rsidRPr="00666A9B">
        <w:t xml:space="preserve"> impacto, direto, o referente às expectativas e inseguranças em relação ao empreendimento.</w:t>
      </w:r>
    </w:p>
    <w:p w:rsidR="007F327D" w:rsidRDefault="007F327D" w:rsidP="007F327D">
      <w:pPr>
        <w:pStyle w:val="NormalPargrafo"/>
        <w:spacing w:before="120" w:after="120" w:line="240" w:lineRule="auto"/>
      </w:pPr>
      <w:r w:rsidRPr="00666A9B">
        <w:t>Esse impacto negativo rel</w:t>
      </w:r>
      <w:r>
        <w:t>ativo à especulação imobiliária</w:t>
      </w:r>
      <w:r w:rsidRPr="00666A9B">
        <w:t xml:space="preserve"> é indireto, localizado na ADA</w:t>
      </w:r>
      <w:r>
        <w:t>/AID</w:t>
      </w:r>
      <w:r w:rsidRPr="00666A9B">
        <w:t xml:space="preserve"> e disperso pela AID, reversível, de curto prazo, cessando quando forem definidas as áreas a serem adquiridas e se iniciarem as negociações e, no caso dos aluguéis, quando forem locadas as residências para o quadro técnico do empreendedor e dos executores das obras. Tanto no caso das propriedades rurais como dos assentamentos urbanos e rurais, esse é um impacto de pequena magnitude, sendo considerado como provável e temporário. </w:t>
      </w:r>
    </w:p>
    <w:p w:rsidR="006040BD" w:rsidRPr="00C37DA1" w:rsidRDefault="00B44C8E" w:rsidP="00C37DA1">
      <w:pPr>
        <w:pStyle w:val="Legenda"/>
        <w:spacing w:before="0" w:after="0" w:line="240" w:lineRule="auto"/>
        <w:jc w:val="center"/>
        <w:rPr>
          <w:b w:val="0"/>
          <w:i w:val="0"/>
        </w:rPr>
      </w:pPr>
      <w:bookmarkStart w:id="383" w:name="_Toc420316523"/>
      <w:r w:rsidRPr="00C37DA1">
        <w:rPr>
          <w:i w:val="0"/>
        </w:rPr>
        <w:t xml:space="preserve">Quadro </w:t>
      </w:r>
      <w:r w:rsidR="00B80A05" w:rsidRPr="00C37DA1">
        <w:rPr>
          <w:i w:val="0"/>
        </w:rPr>
        <w:fldChar w:fldCharType="begin"/>
      </w:r>
      <w:r w:rsidR="00402E81" w:rsidRPr="00C37DA1">
        <w:rPr>
          <w:i w:val="0"/>
        </w:rPr>
        <w:instrText xml:space="preserve"> STYLEREF 2 \s </w:instrText>
      </w:r>
      <w:r w:rsidR="00B80A05" w:rsidRPr="00C37DA1">
        <w:rPr>
          <w:i w:val="0"/>
        </w:rPr>
        <w:fldChar w:fldCharType="separate"/>
      </w:r>
      <w:r w:rsidR="00316060">
        <w:rPr>
          <w:i w:val="0"/>
          <w:noProof/>
        </w:rPr>
        <w:t>1.3</w:t>
      </w:r>
      <w:r w:rsidR="00B80A05" w:rsidRPr="00C37DA1">
        <w:rPr>
          <w:i w:val="0"/>
        </w:rPr>
        <w:fldChar w:fldCharType="end"/>
      </w:r>
      <w:r w:rsidR="00402E81" w:rsidRPr="00C37DA1">
        <w:rPr>
          <w:i w:val="0"/>
        </w:rPr>
        <w:t>.</w:t>
      </w:r>
      <w:r w:rsidR="00B80A05" w:rsidRPr="00C37DA1">
        <w:rPr>
          <w:i w:val="0"/>
        </w:rPr>
        <w:fldChar w:fldCharType="begin"/>
      </w:r>
      <w:r w:rsidR="00402E81" w:rsidRPr="00C37DA1">
        <w:rPr>
          <w:i w:val="0"/>
        </w:rPr>
        <w:instrText xml:space="preserve"> SEQ Quadro \* ARABIC \s 2 </w:instrText>
      </w:r>
      <w:r w:rsidR="00B80A05" w:rsidRPr="00C37DA1">
        <w:rPr>
          <w:i w:val="0"/>
        </w:rPr>
        <w:fldChar w:fldCharType="separate"/>
      </w:r>
      <w:r w:rsidR="00316060">
        <w:rPr>
          <w:i w:val="0"/>
          <w:noProof/>
        </w:rPr>
        <w:t>80</w:t>
      </w:r>
      <w:r w:rsidR="00B80A05" w:rsidRPr="00C37DA1">
        <w:rPr>
          <w:i w:val="0"/>
        </w:rPr>
        <w:fldChar w:fldCharType="end"/>
      </w:r>
      <w:r w:rsidR="00C37DA1" w:rsidRPr="00C37DA1">
        <w:rPr>
          <w:i w:val="0"/>
        </w:rPr>
        <w:t>.</w:t>
      </w:r>
      <w:r w:rsidR="00C37DA1" w:rsidRPr="00C37DA1">
        <w:rPr>
          <w:b w:val="0"/>
          <w:i w:val="0"/>
        </w:rPr>
        <w:t xml:space="preserve"> - </w:t>
      </w:r>
      <w:r w:rsidR="007F327D" w:rsidRPr="00C37DA1">
        <w:rPr>
          <w:b w:val="0"/>
          <w:i w:val="0"/>
        </w:rPr>
        <w:t>Caracterização do Impa</w:t>
      </w:r>
      <w:r w:rsidR="006040BD" w:rsidRPr="00C37DA1">
        <w:rPr>
          <w:b w:val="0"/>
          <w:i w:val="0"/>
        </w:rPr>
        <w:t>cto - Especulação Imobiliária</w:t>
      </w:r>
      <w:bookmarkEnd w:id="383"/>
    </w:p>
    <w:p w:rsidR="007F327D" w:rsidRPr="00C37DA1" w:rsidRDefault="007F327D" w:rsidP="00C37DA1">
      <w:pPr>
        <w:pStyle w:val="CorpodetextoBodyTextCharCharCharCharCharCharCharCharBodyTextCharBodyTextCharCharCharCharCharCharCharCharCharCharCharCharCharCharChar"/>
        <w:spacing w:before="0" w:after="0"/>
        <w:jc w:val="center"/>
      </w:pPr>
      <w:r w:rsidRPr="00C37DA1">
        <w:t>Barragens Pedreira e Duas Pontes</w:t>
      </w:r>
    </w:p>
    <w:tbl>
      <w:tblPr>
        <w:tblW w:w="0" w:type="auto"/>
        <w:jc w:val="center"/>
        <w:tblInd w:w="-3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5"/>
        <w:gridCol w:w="1256"/>
        <w:gridCol w:w="1842"/>
        <w:gridCol w:w="1560"/>
        <w:gridCol w:w="3076"/>
      </w:tblGrid>
      <w:tr w:rsidR="007F327D" w:rsidRPr="007978A7" w:rsidTr="008204B6">
        <w:trPr>
          <w:trHeight w:hRule="exact" w:val="473"/>
          <w:jc w:val="center"/>
        </w:trPr>
        <w:tc>
          <w:tcPr>
            <w:tcW w:w="1255" w:type="dxa"/>
            <w:shd w:val="clear" w:color="auto" w:fill="D9D9D9" w:themeFill="background1" w:themeFillShade="D9"/>
            <w:vAlign w:val="center"/>
          </w:tcPr>
          <w:p w:rsidR="007F327D" w:rsidRPr="00777528" w:rsidRDefault="007F327D" w:rsidP="006040BD">
            <w:pPr>
              <w:spacing w:line="240" w:lineRule="auto"/>
              <w:jc w:val="center"/>
              <w:rPr>
                <w:rFonts w:cs="Arial"/>
                <w:b/>
                <w:sz w:val="20"/>
              </w:rPr>
            </w:pPr>
            <w:r w:rsidRPr="00777528">
              <w:rPr>
                <w:rFonts w:cs="Arial"/>
                <w:b/>
                <w:sz w:val="20"/>
              </w:rPr>
              <w:t>Natureza</w:t>
            </w:r>
          </w:p>
        </w:tc>
        <w:tc>
          <w:tcPr>
            <w:tcW w:w="1256" w:type="dxa"/>
            <w:shd w:val="clear" w:color="auto" w:fill="D9D9D9" w:themeFill="background1" w:themeFillShade="D9"/>
            <w:vAlign w:val="center"/>
          </w:tcPr>
          <w:p w:rsidR="007F327D" w:rsidRPr="00777528" w:rsidRDefault="007F327D" w:rsidP="006040BD">
            <w:pPr>
              <w:spacing w:line="240" w:lineRule="auto"/>
              <w:jc w:val="center"/>
              <w:rPr>
                <w:rFonts w:cs="Arial"/>
                <w:b/>
                <w:sz w:val="20"/>
              </w:rPr>
            </w:pPr>
            <w:r w:rsidRPr="00777528">
              <w:rPr>
                <w:rFonts w:cs="Arial"/>
                <w:b/>
                <w:sz w:val="20"/>
              </w:rPr>
              <w:t>Ordem</w:t>
            </w:r>
          </w:p>
        </w:tc>
        <w:tc>
          <w:tcPr>
            <w:tcW w:w="1842" w:type="dxa"/>
            <w:shd w:val="clear" w:color="auto" w:fill="D9D9D9" w:themeFill="background1" w:themeFillShade="D9"/>
            <w:vAlign w:val="center"/>
          </w:tcPr>
          <w:p w:rsidR="007F327D" w:rsidRPr="00777528" w:rsidRDefault="007F327D" w:rsidP="006040BD">
            <w:pPr>
              <w:spacing w:line="240" w:lineRule="auto"/>
              <w:jc w:val="center"/>
              <w:rPr>
                <w:rFonts w:cs="Arial"/>
                <w:b/>
                <w:sz w:val="20"/>
              </w:rPr>
            </w:pPr>
            <w:r w:rsidRPr="00777528">
              <w:rPr>
                <w:rFonts w:cs="Arial"/>
                <w:b/>
                <w:sz w:val="20"/>
              </w:rPr>
              <w:t>Abrangência</w:t>
            </w:r>
          </w:p>
        </w:tc>
        <w:tc>
          <w:tcPr>
            <w:tcW w:w="1560" w:type="dxa"/>
            <w:shd w:val="clear" w:color="auto" w:fill="D9D9D9" w:themeFill="background1" w:themeFillShade="D9"/>
            <w:vAlign w:val="center"/>
          </w:tcPr>
          <w:p w:rsidR="007F327D" w:rsidRPr="00777528" w:rsidRDefault="007F327D" w:rsidP="006040BD">
            <w:pPr>
              <w:spacing w:line="240" w:lineRule="auto"/>
              <w:jc w:val="center"/>
              <w:rPr>
                <w:rFonts w:cs="Arial"/>
                <w:b/>
                <w:sz w:val="20"/>
              </w:rPr>
            </w:pPr>
            <w:r w:rsidRPr="00777528">
              <w:rPr>
                <w:rFonts w:cs="Arial"/>
                <w:b/>
                <w:sz w:val="20"/>
              </w:rPr>
              <w:t>Duração</w:t>
            </w:r>
          </w:p>
        </w:tc>
        <w:tc>
          <w:tcPr>
            <w:tcW w:w="3076" w:type="dxa"/>
            <w:shd w:val="clear" w:color="auto" w:fill="D9D9D9" w:themeFill="background1" w:themeFillShade="D9"/>
            <w:vAlign w:val="center"/>
          </w:tcPr>
          <w:p w:rsidR="007F327D" w:rsidRPr="00777528" w:rsidRDefault="007F327D" w:rsidP="006040BD">
            <w:pPr>
              <w:spacing w:line="240" w:lineRule="auto"/>
              <w:jc w:val="center"/>
              <w:rPr>
                <w:rFonts w:cs="Arial"/>
                <w:b/>
                <w:sz w:val="20"/>
              </w:rPr>
            </w:pPr>
            <w:r w:rsidRPr="00777528">
              <w:rPr>
                <w:rFonts w:cs="Arial"/>
                <w:b/>
                <w:sz w:val="20"/>
              </w:rPr>
              <w:t>Probabilidade de Ocorrência</w:t>
            </w:r>
          </w:p>
        </w:tc>
      </w:tr>
      <w:tr w:rsidR="007F327D" w:rsidRPr="00777528" w:rsidTr="00530E61">
        <w:trPr>
          <w:trHeight w:hRule="exact" w:val="430"/>
          <w:jc w:val="center"/>
        </w:trPr>
        <w:tc>
          <w:tcPr>
            <w:tcW w:w="1255" w:type="dxa"/>
            <w:shd w:val="clear" w:color="auto" w:fill="auto"/>
            <w:vAlign w:val="center"/>
          </w:tcPr>
          <w:p w:rsidR="007F327D" w:rsidRPr="00777528" w:rsidRDefault="007F327D" w:rsidP="006040BD">
            <w:pPr>
              <w:spacing w:line="240" w:lineRule="auto"/>
              <w:jc w:val="center"/>
              <w:rPr>
                <w:rFonts w:cs="Arial"/>
                <w:sz w:val="20"/>
              </w:rPr>
            </w:pPr>
            <w:r>
              <w:rPr>
                <w:rFonts w:cs="Arial"/>
                <w:sz w:val="20"/>
              </w:rPr>
              <w:t>Negativa</w:t>
            </w:r>
          </w:p>
        </w:tc>
        <w:tc>
          <w:tcPr>
            <w:tcW w:w="1256" w:type="dxa"/>
            <w:shd w:val="clear" w:color="auto" w:fill="auto"/>
            <w:vAlign w:val="center"/>
          </w:tcPr>
          <w:p w:rsidR="007F327D" w:rsidRPr="00777528" w:rsidRDefault="007F327D" w:rsidP="006040BD">
            <w:pPr>
              <w:spacing w:line="240" w:lineRule="auto"/>
              <w:jc w:val="center"/>
              <w:rPr>
                <w:rFonts w:cs="Arial"/>
                <w:sz w:val="20"/>
              </w:rPr>
            </w:pPr>
            <w:r>
              <w:rPr>
                <w:rFonts w:cs="Arial"/>
                <w:sz w:val="20"/>
              </w:rPr>
              <w:t>Direta</w:t>
            </w:r>
          </w:p>
        </w:tc>
        <w:tc>
          <w:tcPr>
            <w:tcW w:w="1842" w:type="dxa"/>
            <w:shd w:val="clear" w:color="auto" w:fill="auto"/>
            <w:vAlign w:val="center"/>
          </w:tcPr>
          <w:p w:rsidR="007F327D" w:rsidRPr="00777528" w:rsidRDefault="007F327D" w:rsidP="006040BD">
            <w:pPr>
              <w:spacing w:line="240" w:lineRule="auto"/>
              <w:jc w:val="center"/>
              <w:rPr>
                <w:rFonts w:cs="Arial"/>
                <w:sz w:val="20"/>
              </w:rPr>
            </w:pPr>
            <w:r>
              <w:rPr>
                <w:rFonts w:cs="Arial"/>
                <w:sz w:val="20"/>
              </w:rPr>
              <w:t>Local (ADA/AID)</w:t>
            </w:r>
          </w:p>
        </w:tc>
        <w:tc>
          <w:tcPr>
            <w:tcW w:w="1560" w:type="dxa"/>
            <w:shd w:val="clear" w:color="auto" w:fill="auto"/>
            <w:vAlign w:val="center"/>
          </w:tcPr>
          <w:p w:rsidR="007F327D" w:rsidRPr="00777528" w:rsidRDefault="007F327D" w:rsidP="006040BD">
            <w:pPr>
              <w:spacing w:line="240" w:lineRule="auto"/>
              <w:jc w:val="center"/>
              <w:rPr>
                <w:rFonts w:cs="Arial"/>
                <w:sz w:val="20"/>
              </w:rPr>
            </w:pPr>
            <w:r>
              <w:rPr>
                <w:rFonts w:cs="Arial"/>
                <w:sz w:val="20"/>
              </w:rPr>
              <w:t>Temporário</w:t>
            </w:r>
          </w:p>
        </w:tc>
        <w:tc>
          <w:tcPr>
            <w:tcW w:w="3076" w:type="dxa"/>
            <w:shd w:val="clear" w:color="auto" w:fill="auto"/>
            <w:vAlign w:val="center"/>
          </w:tcPr>
          <w:p w:rsidR="007F327D" w:rsidRPr="00777528" w:rsidRDefault="007F327D" w:rsidP="006040BD">
            <w:pPr>
              <w:spacing w:line="240" w:lineRule="auto"/>
              <w:jc w:val="center"/>
              <w:rPr>
                <w:rFonts w:cs="Arial"/>
                <w:sz w:val="20"/>
              </w:rPr>
            </w:pPr>
            <w:r>
              <w:rPr>
                <w:rFonts w:cs="Arial"/>
                <w:sz w:val="20"/>
              </w:rPr>
              <w:t>Certa</w:t>
            </w:r>
          </w:p>
        </w:tc>
      </w:tr>
    </w:tbl>
    <w:p w:rsidR="007F327D" w:rsidRPr="007978A7" w:rsidRDefault="007F327D" w:rsidP="007F327D">
      <w:pPr>
        <w:spacing w:line="240" w:lineRule="auto"/>
      </w:pPr>
    </w:p>
    <w:tbl>
      <w:tblPr>
        <w:tblW w:w="8928" w:type="dxa"/>
        <w:jc w:val="center"/>
        <w:tblInd w:w="-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81"/>
        <w:gridCol w:w="1842"/>
        <w:gridCol w:w="1560"/>
        <w:gridCol w:w="1522"/>
        <w:gridCol w:w="1523"/>
      </w:tblGrid>
      <w:tr w:rsidR="007F327D" w:rsidRPr="006040BD" w:rsidTr="008204B6">
        <w:trPr>
          <w:trHeight w:hRule="exact" w:val="575"/>
          <w:jc w:val="center"/>
        </w:trPr>
        <w:tc>
          <w:tcPr>
            <w:tcW w:w="2481" w:type="dxa"/>
            <w:shd w:val="clear" w:color="auto" w:fill="D9D9D9" w:themeFill="background1" w:themeFillShade="D9"/>
            <w:vAlign w:val="center"/>
          </w:tcPr>
          <w:p w:rsidR="007F327D" w:rsidRPr="00777528" w:rsidRDefault="007F327D" w:rsidP="006040BD">
            <w:pPr>
              <w:spacing w:line="240" w:lineRule="auto"/>
              <w:jc w:val="center"/>
              <w:rPr>
                <w:rFonts w:cs="Arial"/>
                <w:b/>
                <w:sz w:val="20"/>
              </w:rPr>
            </w:pPr>
            <w:r w:rsidRPr="00777528">
              <w:rPr>
                <w:rFonts w:cs="Arial"/>
                <w:b/>
                <w:sz w:val="20"/>
              </w:rPr>
              <w:t>Época de Ocorrência</w:t>
            </w:r>
          </w:p>
        </w:tc>
        <w:tc>
          <w:tcPr>
            <w:tcW w:w="1842" w:type="dxa"/>
            <w:shd w:val="clear" w:color="auto" w:fill="D9D9D9" w:themeFill="background1" w:themeFillShade="D9"/>
            <w:vAlign w:val="center"/>
          </w:tcPr>
          <w:p w:rsidR="007F327D" w:rsidRPr="00777528" w:rsidRDefault="007F327D" w:rsidP="006040BD">
            <w:pPr>
              <w:spacing w:line="240" w:lineRule="auto"/>
              <w:jc w:val="center"/>
              <w:rPr>
                <w:rFonts w:cs="Arial"/>
                <w:b/>
                <w:sz w:val="20"/>
              </w:rPr>
            </w:pPr>
            <w:r w:rsidRPr="00777528">
              <w:rPr>
                <w:rFonts w:cs="Arial"/>
                <w:b/>
                <w:sz w:val="20"/>
              </w:rPr>
              <w:t>Reversibilidade</w:t>
            </w:r>
          </w:p>
        </w:tc>
        <w:tc>
          <w:tcPr>
            <w:tcW w:w="1560" w:type="dxa"/>
            <w:shd w:val="clear" w:color="auto" w:fill="D9D9D9" w:themeFill="background1" w:themeFillShade="D9"/>
            <w:vAlign w:val="center"/>
          </w:tcPr>
          <w:p w:rsidR="007F327D" w:rsidRPr="00777528" w:rsidRDefault="007F327D" w:rsidP="006040BD">
            <w:pPr>
              <w:spacing w:line="240" w:lineRule="auto"/>
              <w:jc w:val="center"/>
              <w:rPr>
                <w:rFonts w:cs="Arial"/>
                <w:b/>
                <w:sz w:val="20"/>
              </w:rPr>
            </w:pPr>
            <w:r w:rsidRPr="00777528">
              <w:rPr>
                <w:rFonts w:cs="Arial"/>
                <w:b/>
                <w:sz w:val="20"/>
              </w:rPr>
              <w:t>Magnitude</w:t>
            </w:r>
          </w:p>
        </w:tc>
        <w:tc>
          <w:tcPr>
            <w:tcW w:w="1522" w:type="dxa"/>
            <w:shd w:val="clear" w:color="auto" w:fill="D9D9D9" w:themeFill="background1" w:themeFillShade="D9"/>
            <w:vAlign w:val="center"/>
          </w:tcPr>
          <w:p w:rsidR="007F327D" w:rsidRPr="00777528" w:rsidRDefault="007F327D" w:rsidP="006040BD">
            <w:pPr>
              <w:spacing w:line="240" w:lineRule="auto"/>
              <w:jc w:val="center"/>
              <w:rPr>
                <w:rFonts w:cs="Arial"/>
                <w:b/>
                <w:sz w:val="20"/>
              </w:rPr>
            </w:pPr>
            <w:r w:rsidRPr="00777528">
              <w:rPr>
                <w:rFonts w:cs="Arial"/>
                <w:b/>
                <w:sz w:val="20"/>
              </w:rPr>
              <w:t>Importância</w:t>
            </w:r>
          </w:p>
        </w:tc>
        <w:tc>
          <w:tcPr>
            <w:tcW w:w="1523" w:type="dxa"/>
            <w:shd w:val="clear" w:color="auto" w:fill="D9D9D9" w:themeFill="background1" w:themeFillShade="D9"/>
            <w:vAlign w:val="center"/>
          </w:tcPr>
          <w:p w:rsidR="007F327D" w:rsidRPr="00777528" w:rsidRDefault="007F327D" w:rsidP="006040BD">
            <w:pPr>
              <w:spacing w:line="240" w:lineRule="auto"/>
              <w:jc w:val="center"/>
              <w:rPr>
                <w:rFonts w:cs="Arial"/>
                <w:b/>
                <w:sz w:val="20"/>
              </w:rPr>
            </w:pPr>
            <w:r w:rsidRPr="00777528">
              <w:rPr>
                <w:rFonts w:cs="Arial"/>
                <w:b/>
                <w:sz w:val="20"/>
              </w:rPr>
              <w:t>Mitigação</w:t>
            </w:r>
          </w:p>
        </w:tc>
      </w:tr>
      <w:tr w:rsidR="007F327D" w:rsidRPr="006040BD" w:rsidTr="00530E61">
        <w:trPr>
          <w:trHeight w:hRule="exact" w:val="475"/>
          <w:jc w:val="center"/>
        </w:trPr>
        <w:tc>
          <w:tcPr>
            <w:tcW w:w="2481" w:type="dxa"/>
            <w:shd w:val="clear" w:color="auto" w:fill="auto"/>
            <w:vAlign w:val="center"/>
          </w:tcPr>
          <w:p w:rsidR="007F327D" w:rsidRPr="00777528" w:rsidRDefault="007F327D" w:rsidP="006040BD">
            <w:pPr>
              <w:spacing w:line="240" w:lineRule="auto"/>
              <w:jc w:val="center"/>
              <w:rPr>
                <w:rFonts w:cs="Arial"/>
                <w:sz w:val="20"/>
              </w:rPr>
            </w:pPr>
            <w:r>
              <w:rPr>
                <w:rFonts w:cs="Arial"/>
                <w:sz w:val="20"/>
              </w:rPr>
              <w:t>Curto Prazo</w:t>
            </w:r>
          </w:p>
        </w:tc>
        <w:tc>
          <w:tcPr>
            <w:tcW w:w="1842" w:type="dxa"/>
            <w:vAlign w:val="center"/>
          </w:tcPr>
          <w:p w:rsidR="007F327D" w:rsidRPr="00777528" w:rsidRDefault="007F327D" w:rsidP="006040BD">
            <w:pPr>
              <w:spacing w:line="240" w:lineRule="auto"/>
              <w:jc w:val="center"/>
              <w:rPr>
                <w:rFonts w:cs="Arial"/>
                <w:sz w:val="20"/>
              </w:rPr>
            </w:pPr>
            <w:r>
              <w:rPr>
                <w:rFonts w:cs="Arial"/>
                <w:sz w:val="20"/>
              </w:rPr>
              <w:t>Reversível</w:t>
            </w:r>
          </w:p>
        </w:tc>
        <w:tc>
          <w:tcPr>
            <w:tcW w:w="1560" w:type="dxa"/>
            <w:shd w:val="clear" w:color="auto" w:fill="auto"/>
            <w:vAlign w:val="center"/>
          </w:tcPr>
          <w:p w:rsidR="007F327D" w:rsidRPr="00777528" w:rsidRDefault="007F327D" w:rsidP="006040BD">
            <w:pPr>
              <w:spacing w:line="240" w:lineRule="auto"/>
              <w:jc w:val="center"/>
              <w:rPr>
                <w:rFonts w:cs="Arial"/>
                <w:sz w:val="20"/>
              </w:rPr>
            </w:pPr>
            <w:r>
              <w:rPr>
                <w:rFonts w:cs="Arial"/>
                <w:sz w:val="20"/>
              </w:rPr>
              <w:t>Pequena</w:t>
            </w:r>
          </w:p>
        </w:tc>
        <w:tc>
          <w:tcPr>
            <w:tcW w:w="1522" w:type="dxa"/>
            <w:shd w:val="clear" w:color="auto" w:fill="auto"/>
            <w:vAlign w:val="center"/>
          </w:tcPr>
          <w:p w:rsidR="007F327D" w:rsidRPr="00777528" w:rsidRDefault="00982762" w:rsidP="006040BD">
            <w:pPr>
              <w:spacing w:line="240" w:lineRule="auto"/>
              <w:jc w:val="center"/>
              <w:rPr>
                <w:rFonts w:cs="Arial"/>
                <w:sz w:val="20"/>
              </w:rPr>
            </w:pPr>
            <w:r>
              <w:rPr>
                <w:rFonts w:cs="Arial"/>
                <w:sz w:val="20"/>
              </w:rPr>
              <w:t>Baixa</w:t>
            </w:r>
          </w:p>
        </w:tc>
        <w:tc>
          <w:tcPr>
            <w:tcW w:w="1523" w:type="dxa"/>
            <w:shd w:val="clear" w:color="auto" w:fill="auto"/>
            <w:vAlign w:val="center"/>
          </w:tcPr>
          <w:p w:rsidR="007F327D" w:rsidRPr="00777528" w:rsidRDefault="007F327D" w:rsidP="006040BD">
            <w:pPr>
              <w:spacing w:line="240" w:lineRule="auto"/>
              <w:jc w:val="center"/>
              <w:rPr>
                <w:rFonts w:cs="Arial"/>
                <w:sz w:val="20"/>
              </w:rPr>
            </w:pPr>
            <w:r>
              <w:rPr>
                <w:rFonts w:cs="Arial"/>
                <w:sz w:val="20"/>
              </w:rPr>
              <w:t>Mitigável</w:t>
            </w:r>
          </w:p>
        </w:tc>
      </w:tr>
    </w:tbl>
    <w:p w:rsidR="007F327D" w:rsidRPr="006040BD" w:rsidRDefault="007F327D" w:rsidP="007F327D">
      <w:pPr>
        <w:widowControl w:val="0"/>
        <w:autoSpaceDE w:val="0"/>
        <w:autoSpaceDN w:val="0"/>
        <w:adjustRightInd w:val="0"/>
        <w:rPr>
          <w:rFonts w:cs="Arial"/>
        </w:rPr>
      </w:pPr>
    </w:p>
    <w:p w:rsidR="007F327D" w:rsidRPr="00177885" w:rsidRDefault="007F327D" w:rsidP="006040BD">
      <w:pPr>
        <w:widowControl w:val="0"/>
        <w:autoSpaceDE w:val="0"/>
        <w:autoSpaceDN w:val="0"/>
        <w:adjustRightInd w:val="0"/>
        <w:rPr>
          <w:rFonts w:cs="Arial"/>
        </w:rPr>
      </w:pPr>
      <w:r w:rsidRPr="00177885">
        <w:rPr>
          <w:rFonts w:cs="Arial"/>
          <w:b/>
        </w:rPr>
        <w:t xml:space="preserve">Ações Ambientais Propostas </w:t>
      </w:r>
    </w:p>
    <w:p w:rsidR="001C3659" w:rsidRDefault="007F327D">
      <w:pPr>
        <w:pStyle w:val="Marcador1"/>
        <w:spacing w:before="120" w:after="120" w:line="240" w:lineRule="auto"/>
      </w:pPr>
      <w:r w:rsidRPr="00666A9B">
        <w:t xml:space="preserve">O Programa de </w:t>
      </w:r>
      <w:r w:rsidR="00D225D5">
        <w:t>Comunicação e Interação Social</w:t>
      </w:r>
      <w:r w:rsidRPr="00666A9B">
        <w:t xml:space="preserve"> contempla ações direcionadas a es</w:t>
      </w:r>
      <w:r>
        <w:t>s</w:t>
      </w:r>
      <w:r w:rsidRPr="00666A9B">
        <w:t>a questão, como:</w:t>
      </w:r>
      <w:r>
        <w:t xml:space="preserve"> </w:t>
      </w:r>
      <w:r w:rsidRPr="00660CC6">
        <w:t>ações e ferramentas de comunicação com a população</w:t>
      </w:r>
      <w:r>
        <w:t>, tais</w:t>
      </w:r>
      <w:r w:rsidRPr="00660CC6">
        <w:t xml:space="preserve"> como</w:t>
      </w:r>
      <w:r>
        <w:t xml:space="preserve"> a</w:t>
      </w:r>
      <w:r w:rsidRPr="00660CC6">
        <w:t xml:space="preserve"> realização de palestras e eventos, realização de reuniões com diferentes segmentos da população local, conforme se mostre necessário, a fim de apresentar o empreendimento</w:t>
      </w:r>
      <w:r>
        <w:t xml:space="preserve">. Também ações do Programa de </w:t>
      </w:r>
      <w:r w:rsidR="00D225D5">
        <w:t xml:space="preserve">Negociação e </w:t>
      </w:r>
      <w:r>
        <w:t>Desapropriação, entre elas o c</w:t>
      </w:r>
      <w:r w:rsidRPr="00660CC6">
        <w:t>adastramento físico-territorial dos imóveis rurais a serem</w:t>
      </w:r>
      <w:r>
        <w:t xml:space="preserve"> afetados total ou parcialmente; a a</w:t>
      </w:r>
      <w:r w:rsidRPr="00660CC6">
        <w:t>valiação das terras e benfeitorias</w:t>
      </w:r>
      <w:r>
        <w:t>; d</w:t>
      </w:r>
      <w:r w:rsidRPr="00660CC6">
        <w:t>efinição do polígono de desapropriação e diretrizes para as ações de desapropriação, aquisição de propriedades e indenização de proprietários</w:t>
      </w:r>
      <w:r>
        <w:t>; finalmente a d</w:t>
      </w:r>
      <w:r w:rsidRPr="00660CC6">
        <w:t>esapropriação e aquisição de áreas</w:t>
      </w:r>
      <w:r>
        <w:t>. Esses procedimentos, que são comuns a todos os empreendimentos em licenciamento ambiental, se executados com transparência, correção e levando em consideração os direitos e deveres legais dos afetados e do empreendedor, podem operar no sentido de redução do impacto especulação imobiliária.</w:t>
      </w:r>
    </w:p>
    <w:p w:rsidR="007F327D" w:rsidRPr="002C0D71" w:rsidRDefault="00CD6D82" w:rsidP="002C0D71">
      <w:pPr>
        <w:pStyle w:val="Ttulo3"/>
        <w:spacing w:after="240"/>
      </w:pPr>
      <w:bookmarkStart w:id="384" w:name="_Toc418758254"/>
      <w:bookmarkStart w:id="385" w:name="_Toc418758856"/>
      <w:bookmarkStart w:id="386" w:name="_Toc419813616"/>
      <w:r w:rsidRPr="002C0D71">
        <w:t xml:space="preserve">1.3.3.7. </w:t>
      </w:r>
      <w:r w:rsidR="00973BCF" w:rsidRPr="002C0D71">
        <w:t>P</w:t>
      </w:r>
      <w:r w:rsidR="009073F7" w:rsidRPr="002C0D71">
        <w:t xml:space="preserve">erda de Áreas Rurais </w:t>
      </w:r>
      <w:r w:rsidR="006F445D" w:rsidRPr="002C0D71">
        <w:t>Produtivas</w:t>
      </w:r>
      <w:bookmarkEnd w:id="384"/>
      <w:bookmarkEnd w:id="385"/>
      <w:bookmarkEnd w:id="386"/>
    </w:p>
    <w:p w:rsidR="002732BE" w:rsidRDefault="009073F7" w:rsidP="009073F7">
      <w:pPr>
        <w:spacing w:before="120" w:after="120" w:line="240" w:lineRule="auto"/>
        <w:rPr>
          <w:b/>
        </w:rPr>
      </w:pPr>
      <w:r>
        <w:rPr>
          <w:b/>
        </w:rPr>
        <w:t>Fase</w:t>
      </w:r>
      <w:r w:rsidR="00210DB1">
        <w:rPr>
          <w:b/>
        </w:rPr>
        <w:t>:</w:t>
      </w:r>
      <w:r>
        <w:rPr>
          <w:b/>
        </w:rPr>
        <w:t xml:space="preserve"> Implantação </w:t>
      </w:r>
    </w:p>
    <w:p w:rsidR="00434A65" w:rsidRDefault="009073F7" w:rsidP="009073F7">
      <w:pPr>
        <w:spacing w:before="120" w:after="120" w:line="240" w:lineRule="auto"/>
      </w:pPr>
      <w:r>
        <w:t xml:space="preserve">Os impactos sobre as áreas rurais com atividade produtiva, considerando aqui as perdas de áreas dedicadas à agropecuária e silvicultura, ocorrem principalmente durante a fase de implantação dos empreendimentos, pelas áreas a serem destinadas </w:t>
      </w:r>
      <w:r w:rsidRPr="006040BD">
        <w:t>à barragem, vertedouro, canal de fuga, canteiros e</w:t>
      </w:r>
      <w:r w:rsidR="00751AA8" w:rsidRPr="006040BD">
        <w:t>,</w:t>
      </w:r>
      <w:r w:rsidRPr="006040BD">
        <w:t xml:space="preserve"> principalmente</w:t>
      </w:r>
      <w:r w:rsidR="00751AA8" w:rsidRPr="006040BD">
        <w:t>,</w:t>
      </w:r>
      <w:r w:rsidRPr="006040BD">
        <w:t xml:space="preserve"> pela formação do reservató</w:t>
      </w:r>
      <w:r>
        <w:t xml:space="preserve">rio. </w:t>
      </w:r>
    </w:p>
    <w:p w:rsidR="009073F7" w:rsidRDefault="009073F7" w:rsidP="009073F7">
      <w:pPr>
        <w:spacing w:before="120" w:after="120" w:line="240" w:lineRule="auto"/>
      </w:pPr>
      <w:r>
        <w:t xml:space="preserve">As Barragens Pedreira e Duas Pontes deverão formar reservatórios cuja superfície total será de 202 ha e </w:t>
      </w:r>
      <w:r w:rsidR="009A7F0A" w:rsidRPr="00A90866">
        <w:rPr>
          <w:sz w:val="24"/>
        </w:rPr>
        <w:t>48</w:t>
      </w:r>
      <w:r w:rsidR="009A7F0A">
        <w:rPr>
          <w:sz w:val="24"/>
        </w:rPr>
        <w:t>6</w:t>
      </w:r>
      <w:r>
        <w:t>ha, respectivamente, sendo que as áreas a serem efetivamente inu</w:t>
      </w:r>
      <w:r w:rsidR="00751AA8">
        <w:t xml:space="preserve">ndadas correspondem a 181 ha e </w:t>
      </w:r>
      <w:r w:rsidR="009A7F0A">
        <w:t xml:space="preserve">463 </w:t>
      </w:r>
      <w:r>
        <w:t>ha, estando as outras áreas ocupadas pelas águas do rio</w:t>
      </w:r>
      <w:r w:rsidR="00751AA8">
        <w:t>.</w:t>
      </w:r>
      <w:r w:rsidR="00885913">
        <w:t xml:space="preserve"> </w:t>
      </w:r>
      <w:r w:rsidR="00485513">
        <w:t xml:space="preserve">Devem ser ainda consideradas as áreas a serem ocupadas pela construção das barragens e estruturas </w:t>
      </w:r>
      <w:r w:rsidR="002732BE">
        <w:t>relacionadas</w:t>
      </w:r>
      <w:r w:rsidR="00267805">
        <w:t>,</w:t>
      </w:r>
      <w:r w:rsidR="002732BE">
        <w:t xml:space="preserve"> tais como o</w:t>
      </w:r>
      <w:r w:rsidR="00485513">
        <w:t xml:space="preserve"> vertedouro, canal de fuga</w:t>
      </w:r>
      <w:r w:rsidR="002732BE">
        <w:t xml:space="preserve"> e</w:t>
      </w:r>
      <w:r w:rsidR="00485513">
        <w:t xml:space="preserve"> escada para peixes, </w:t>
      </w:r>
      <w:r w:rsidR="002732BE">
        <w:t xml:space="preserve">que somam cerca de </w:t>
      </w:r>
      <w:r w:rsidR="009A7F0A">
        <w:t xml:space="preserve">40 </w:t>
      </w:r>
      <w:r w:rsidR="00485513">
        <w:t xml:space="preserve">ha na </w:t>
      </w:r>
      <w:r w:rsidR="001869E4">
        <w:t>B</w:t>
      </w:r>
      <w:r w:rsidR="00485513">
        <w:t>arragem Pedreira</w:t>
      </w:r>
      <w:r w:rsidR="002732BE">
        <w:t xml:space="preserve"> e 3</w:t>
      </w:r>
      <w:r w:rsidR="009A7F0A">
        <w:t>1</w:t>
      </w:r>
      <w:r w:rsidR="002732BE">
        <w:t xml:space="preserve"> ha na </w:t>
      </w:r>
      <w:r w:rsidR="001869E4">
        <w:t>B</w:t>
      </w:r>
      <w:r w:rsidR="002732BE">
        <w:t>arragem Duas Pontes.</w:t>
      </w:r>
    </w:p>
    <w:p w:rsidR="009073F7" w:rsidRDefault="009073F7" w:rsidP="009073F7">
      <w:pPr>
        <w:spacing w:before="120" w:after="120" w:line="240" w:lineRule="auto"/>
      </w:pPr>
      <w:r w:rsidRPr="007977FA">
        <w:t xml:space="preserve">Os usos para produção agrícola, da pecuária e com silvicultura tem participação destacada nas áreas </w:t>
      </w:r>
      <w:r w:rsidR="009A7F0A">
        <w:t>de interferência dos empreendimentos,</w:t>
      </w:r>
      <w:r w:rsidRPr="007977FA">
        <w:t xml:space="preserve"> representando </w:t>
      </w:r>
      <w:r w:rsidR="004016BD">
        <w:t>39,</w:t>
      </w:r>
      <w:r w:rsidR="009A7F0A">
        <w:t>1</w:t>
      </w:r>
      <w:r w:rsidRPr="007977FA">
        <w:t xml:space="preserve">% </w:t>
      </w:r>
      <w:r w:rsidR="008C15C3" w:rsidRPr="007977FA">
        <w:t xml:space="preserve">na </w:t>
      </w:r>
      <w:r w:rsidR="001869E4">
        <w:t>B</w:t>
      </w:r>
      <w:r w:rsidR="008C15C3" w:rsidRPr="007977FA">
        <w:t>arragem</w:t>
      </w:r>
      <w:r w:rsidRPr="007977FA">
        <w:t xml:space="preserve"> Pedreira </w:t>
      </w:r>
      <w:r w:rsidR="009A7F0A">
        <w:t>60,3</w:t>
      </w:r>
      <w:r w:rsidRPr="00583F0C">
        <w:t xml:space="preserve">% </w:t>
      </w:r>
      <w:r w:rsidR="008C15C3" w:rsidRPr="00583F0C">
        <w:t xml:space="preserve">na </w:t>
      </w:r>
      <w:r w:rsidR="001869E4">
        <w:t>B</w:t>
      </w:r>
      <w:r w:rsidR="008C15C3" w:rsidRPr="00583F0C">
        <w:t>arragem</w:t>
      </w:r>
      <w:r w:rsidRPr="00583F0C">
        <w:t xml:space="preserve"> Duas Pontes. A principal utilização é com pasto/pasto sujo com participação de </w:t>
      </w:r>
      <w:r w:rsidR="009A7F0A">
        <w:t>33,3</w:t>
      </w:r>
      <w:r w:rsidR="004016BD" w:rsidRPr="00583F0C">
        <w:t>% (80,</w:t>
      </w:r>
      <w:r w:rsidR="009A7F0A">
        <w:t>5</w:t>
      </w:r>
      <w:r w:rsidR="009A7F0A" w:rsidRPr="00583F0C">
        <w:t xml:space="preserve"> </w:t>
      </w:r>
      <w:r w:rsidRPr="00583F0C">
        <w:t xml:space="preserve">ha) </w:t>
      </w:r>
      <w:r w:rsidR="008C15C3" w:rsidRPr="00583F0C">
        <w:t xml:space="preserve">na </w:t>
      </w:r>
      <w:r w:rsidR="001869E4">
        <w:t>B</w:t>
      </w:r>
      <w:r w:rsidR="008C15C3" w:rsidRPr="00583F0C">
        <w:t>arragem</w:t>
      </w:r>
      <w:r w:rsidRPr="00583F0C">
        <w:t xml:space="preserve"> Pedreira e </w:t>
      </w:r>
      <w:r w:rsidR="00583F0C" w:rsidRPr="00583F0C">
        <w:t>41,</w:t>
      </w:r>
      <w:r w:rsidR="009A7F0A">
        <w:t>8</w:t>
      </w:r>
      <w:r w:rsidR="00583F0C" w:rsidRPr="00583F0C">
        <w:t>% (216,</w:t>
      </w:r>
      <w:r w:rsidR="009A7F0A">
        <w:t>1</w:t>
      </w:r>
      <w:r w:rsidR="009A7F0A" w:rsidRPr="00583F0C">
        <w:t>ha</w:t>
      </w:r>
      <w:r w:rsidRPr="00583F0C">
        <w:t xml:space="preserve">) </w:t>
      </w:r>
      <w:r w:rsidR="008C15C3" w:rsidRPr="00583F0C">
        <w:t xml:space="preserve">na </w:t>
      </w:r>
      <w:r w:rsidR="001869E4">
        <w:t>B</w:t>
      </w:r>
      <w:r w:rsidR="008C15C3" w:rsidRPr="00583F0C">
        <w:t>arragem</w:t>
      </w:r>
      <w:r w:rsidRPr="00583F0C">
        <w:t xml:space="preserve"> Duas Pontes.</w:t>
      </w:r>
    </w:p>
    <w:p w:rsidR="009073F7" w:rsidRDefault="009073F7" w:rsidP="009073F7">
      <w:pPr>
        <w:spacing w:before="120" w:after="120" w:line="240" w:lineRule="auto"/>
      </w:pPr>
      <w:r>
        <w:t>Outro dos usos importantes id</w:t>
      </w:r>
      <w:r w:rsidR="007977FA">
        <w:t xml:space="preserve">entificados é a lavoura de </w:t>
      </w:r>
      <w:r w:rsidR="00141B2A">
        <w:t>cana-de-açúcar</w:t>
      </w:r>
      <w:r>
        <w:t>, no entanto, esta só é encontrada n</w:t>
      </w:r>
      <w:r w:rsidR="008C15C3">
        <w:t xml:space="preserve">a área </w:t>
      </w:r>
      <w:r w:rsidR="009A7F0A">
        <w:t>de interferência da futura</w:t>
      </w:r>
      <w:r w:rsidR="008C15C3">
        <w:t xml:space="preserve"> </w:t>
      </w:r>
      <w:r w:rsidR="001869E4">
        <w:t>B</w:t>
      </w:r>
      <w:r w:rsidR="008C15C3">
        <w:t>arragem</w:t>
      </w:r>
      <w:r>
        <w:t xml:space="preserve"> Duas Pontes, ocupando </w:t>
      </w:r>
      <w:r w:rsidR="009A7F0A">
        <w:t>14,3</w:t>
      </w:r>
      <w:r>
        <w:t>% (</w:t>
      </w:r>
      <w:r w:rsidR="009A7F0A">
        <w:t>74,1</w:t>
      </w:r>
      <w:r>
        <w:t xml:space="preserve"> ha) da área do reservatório, não sendo cultivada na Barragem Pedreira. </w:t>
      </w:r>
    </w:p>
    <w:p w:rsidR="00E80CC8" w:rsidRDefault="009073F7" w:rsidP="009073F7">
      <w:pPr>
        <w:spacing w:before="120" w:after="120" w:line="240" w:lineRule="auto"/>
      </w:pPr>
      <w:r>
        <w:t xml:space="preserve">Outros usos, como campos úmidos antropizados, silvicultura e outras culturas, tem </w:t>
      </w:r>
      <w:r w:rsidRPr="00EF06E3">
        <w:t xml:space="preserve">participações menores em ambos </w:t>
      </w:r>
      <w:r w:rsidR="00885913" w:rsidRPr="00EF06E3">
        <w:t xml:space="preserve">os </w:t>
      </w:r>
      <w:r w:rsidRPr="00EF06E3">
        <w:t>empreendimentos. (Quadros 1.3.</w:t>
      </w:r>
      <w:r w:rsidR="00392B0D" w:rsidRPr="00EF06E3">
        <w:t>80</w:t>
      </w:r>
      <w:r w:rsidRPr="00EF06E3">
        <w:t xml:space="preserve"> e 1.3.</w:t>
      </w:r>
      <w:r w:rsidR="00392B0D" w:rsidRPr="00EF06E3">
        <w:t>81</w:t>
      </w:r>
      <w:r w:rsidRPr="00EF06E3">
        <w:t>).</w:t>
      </w:r>
    </w:p>
    <w:p w:rsidR="009073F7" w:rsidRPr="00EF06E3" w:rsidRDefault="00B44C8E" w:rsidP="00EF06E3">
      <w:pPr>
        <w:pStyle w:val="Legenda"/>
        <w:jc w:val="center"/>
        <w:rPr>
          <w:b w:val="0"/>
          <w:i w:val="0"/>
        </w:rPr>
      </w:pPr>
      <w:bookmarkStart w:id="387" w:name="_Toc420316524"/>
      <w:r w:rsidRPr="00EF06E3">
        <w:rPr>
          <w:i w:val="0"/>
        </w:rPr>
        <w:t xml:space="preserve">Quadro </w:t>
      </w:r>
      <w:r w:rsidR="00B80A05" w:rsidRPr="00EF06E3">
        <w:rPr>
          <w:i w:val="0"/>
        </w:rPr>
        <w:fldChar w:fldCharType="begin"/>
      </w:r>
      <w:r w:rsidR="00402E81" w:rsidRPr="00EF06E3">
        <w:rPr>
          <w:i w:val="0"/>
        </w:rPr>
        <w:instrText xml:space="preserve"> STYLEREF 2 \s </w:instrText>
      </w:r>
      <w:r w:rsidR="00B80A05" w:rsidRPr="00EF06E3">
        <w:rPr>
          <w:i w:val="0"/>
        </w:rPr>
        <w:fldChar w:fldCharType="separate"/>
      </w:r>
      <w:r w:rsidR="00316060">
        <w:rPr>
          <w:i w:val="0"/>
          <w:noProof/>
        </w:rPr>
        <w:t>1.3</w:t>
      </w:r>
      <w:r w:rsidR="00B80A05" w:rsidRPr="00EF06E3">
        <w:rPr>
          <w:i w:val="0"/>
        </w:rPr>
        <w:fldChar w:fldCharType="end"/>
      </w:r>
      <w:r w:rsidR="00402E81" w:rsidRPr="00EF06E3">
        <w:rPr>
          <w:i w:val="0"/>
        </w:rPr>
        <w:t>.</w:t>
      </w:r>
      <w:r w:rsidR="00B80A05" w:rsidRPr="00EF06E3">
        <w:rPr>
          <w:i w:val="0"/>
        </w:rPr>
        <w:fldChar w:fldCharType="begin"/>
      </w:r>
      <w:r w:rsidR="00402E81" w:rsidRPr="00EF06E3">
        <w:rPr>
          <w:i w:val="0"/>
        </w:rPr>
        <w:instrText xml:space="preserve"> SEQ Quadro \* ARABIC \s 2 </w:instrText>
      </w:r>
      <w:r w:rsidR="00B80A05" w:rsidRPr="00EF06E3">
        <w:rPr>
          <w:i w:val="0"/>
        </w:rPr>
        <w:fldChar w:fldCharType="separate"/>
      </w:r>
      <w:r w:rsidR="00316060">
        <w:rPr>
          <w:i w:val="0"/>
          <w:noProof/>
        </w:rPr>
        <w:t>81</w:t>
      </w:r>
      <w:r w:rsidR="00B80A05" w:rsidRPr="00EF06E3">
        <w:rPr>
          <w:i w:val="0"/>
        </w:rPr>
        <w:fldChar w:fldCharType="end"/>
      </w:r>
      <w:r w:rsidR="00EF06E3" w:rsidRPr="00EF06E3">
        <w:rPr>
          <w:i w:val="0"/>
        </w:rPr>
        <w:t>.</w:t>
      </w:r>
      <w:r w:rsidR="00EF06E3" w:rsidRPr="00EF06E3">
        <w:rPr>
          <w:b w:val="0"/>
          <w:i w:val="0"/>
        </w:rPr>
        <w:t xml:space="preserve"> - </w:t>
      </w:r>
      <w:r w:rsidR="009073F7" w:rsidRPr="00EF06E3">
        <w:rPr>
          <w:b w:val="0"/>
          <w:i w:val="0"/>
        </w:rPr>
        <w:t>Barragem Pedreira – Usos do Solo</w:t>
      </w:r>
      <w:bookmarkEnd w:id="387"/>
    </w:p>
    <w:tbl>
      <w:tblPr>
        <w:tblW w:w="8316" w:type="dxa"/>
        <w:jc w:val="center"/>
        <w:tblInd w:w="53" w:type="dxa"/>
        <w:tblLayout w:type="fixed"/>
        <w:tblCellMar>
          <w:left w:w="70" w:type="dxa"/>
          <w:right w:w="70" w:type="dxa"/>
        </w:tblCellMar>
        <w:tblLook w:val="04A0" w:firstRow="1" w:lastRow="0" w:firstColumn="1" w:lastColumn="0" w:noHBand="0" w:noVBand="1"/>
      </w:tblPr>
      <w:tblGrid>
        <w:gridCol w:w="2852"/>
        <w:gridCol w:w="957"/>
        <w:gridCol w:w="957"/>
        <w:gridCol w:w="957"/>
        <w:gridCol w:w="957"/>
        <w:gridCol w:w="1636"/>
      </w:tblGrid>
      <w:tr w:rsidR="00F67A36" w:rsidRPr="008204B6" w:rsidTr="006E4A2E">
        <w:trPr>
          <w:trHeight w:val="600"/>
          <w:jc w:val="center"/>
        </w:trPr>
        <w:tc>
          <w:tcPr>
            <w:tcW w:w="2852"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rsidR="00F67A36" w:rsidRPr="008204B6" w:rsidRDefault="00F67A36" w:rsidP="009073F7">
            <w:pPr>
              <w:spacing w:line="240" w:lineRule="auto"/>
              <w:jc w:val="center"/>
              <w:rPr>
                <w:rFonts w:cs="Arial"/>
                <w:b/>
                <w:bCs/>
                <w:color w:val="000000"/>
                <w:sz w:val="20"/>
              </w:rPr>
            </w:pPr>
            <w:r w:rsidRPr="008204B6">
              <w:rPr>
                <w:rFonts w:cs="Arial"/>
                <w:b/>
                <w:bCs/>
                <w:color w:val="000000"/>
                <w:sz w:val="20"/>
              </w:rPr>
              <w:t>Pedreira</w:t>
            </w:r>
          </w:p>
        </w:tc>
        <w:tc>
          <w:tcPr>
            <w:tcW w:w="1914" w:type="dxa"/>
            <w:gridSpan w:val="2"/>
            <w:tcBorders>
              <w:top w:val="single" w:sz="4" w:space="0" w:color="auto"/>
              <w:left w:val="nil"/>
              <w:bottom w:val="single" w:sz="4" w:space="0" w:color="auto"/>
              <w:right w:val="single" w:sz="4" w:space="0" w:color="000000"/>
            </w:tcBorders>
            <w:shd w:val="clear" w:color="auto" w:fill="D9D9D9"/>
            <w:vAlign w:val="center"/>
            <w:hideMark/>
          </w:tcPr>
          <w:p w:rsidR="00F67A36" w:rsidRPr="008204B6" w:rsidRDefault="00F67A36" w:rsidP="00F67A36">
            <w:pPr>
              <w:spacing w:line="240" w:lineRule="auto"/>
              <w:jc w:val="center"/>
              <w:rPr>
                <w:rFonts w:cs="Arial"/>
                <w:b/>
                <w:bCs/>
                <w:color w:val="000000"/>
                <w:sz w:val="20"/>
              </w:rPr>
            </w:pPr>
            <w:r w:rsidRPr="008204B6">
              <w:rPr>
                <w:rFonts w:cs="Arial"/>
                <w:b/>
                <w:bCs/>
                <w:color w:val="000000"/>
                <w:sz w:val="20"/>
              </w:rPr>
              <w:t>Reservatório e Área de Jusante do Eixo (A)</w:t>
            </w:r>
          </w:p>
        </w:tc>
        <w:tc>
          <w:tcPr>
            <w:tcW w:w="1914" w:type="dxa"/>
            <w:gridSpan w:val="2"/>
            <w:tcBorders>
              <w:top w:val="single" w:sz="4" w:space="0" w:color="auto"/>
              <w:left w:val="nil"/>
              <w:bottom w:val="single" w:sz="4" w:space="0" w:color="auto"/>
              <w:right w:val="single" w:sz="4" w:space="0" w:color="000000"/>
            </w:tcBorders>
            <w:shd w:val="clear" w:color="auto" w:fill="D9D9D9"/>
            <w:vAlign w:val="center"/>
            <w:hideMark/>
          </w:tcPr>
          <w:p w:rsidR="00F67A36" w:rsidRPr="008204B6" w:rsidRDefault="00F67A36" w:rsidP="006E4A2E">
            <w:pPr>
              <w:spacing w:line="240" w:lineRule="auto"/>
              <w:jc w:val="center"/>
              <w:rPr>
                <w:rFonts w:cs="Arial"/>
                <w:b/>
                <w:bCs/>
                <w:color w:val="000000"/>
                <w:sz w:val="20"/>
              </w:rPr>
            </w:pPr>
            <w:r w:rsidRPr="008204B6">
              <w:rPr>
                <w:rFonts w:cs="Arial"/>
                <w:b/>
                <w:bCs/>
                <w:color w:val="000000"/>
                <w:sz w:val="20"/>
              </w:rPr>
              <w:t>Total AID (B)</w:t>
            </w:r>
          </w:p>
        </w:tc>
        <w:tc>
          <w:tcPr>
            <w:tcW w:w="1636" w:type="dxa"/>
            <w:tcBorders>
              <w:top w:val="single" w:sz="4" w:space="0" w:color="auto"/>
              <w:left w:val="nil"/>
              <w:bottom w:val="single" w:sz="4" w:space="0" w:color="auto"/>
              <w:right w:val="single" w:sz="4" w:space="0" w:color="000000"/>
            </w:tcBorders>
            <w:shd w:val="clear" w:color="auto" w:fill="D9D9D9"/>
            <w:vAlign w:val="center"/>
          </w:tcPr>
          <w:p w:rsidR="00F67A36" w:rsidRPr="008204B6" w:rsidRDefault="00F67A36" w:rsidP="004016BD">
            <w:pPr>
              <w:spacing w:line="240" w:lineRule="auto"/>
              <w:jc w:val="center"/>
              <w:rPr>
                <w:rFonts w:cs="Arial"/>
                <w:b/>
                <w:bCs/>
                <w:color w:val="000000"/>
                <w:sz w:val="20"/>
              </w:rPr>
            </w:pPr>
            <w:r w:rsidRPr="008204B6">
              <w:rPr>
                <w:rFonts w:cs="Arial"/>
                <w:b/>
                <w:bCs/>
                <w:color w:val="000000"/>
                <w:sz w:val="20"/>
              </w:rPr>
              <w:t>Participação do reservatório na AID (A/B)</w:t>
            </w:r>
          </w:p>
        </w:tc>
      </w:tr>
      <w:tr w:rsidR="00F67A36" w:rsidRPr="008204B6" w:rsidTr="006E4A2E">
        <w:trPr>
          <w:trHeight w:val="300"/>
          <w:jc w:val="center"/>
        </w:trPr>
        <w:tc>
          <w:tcPr>
            <w:tcW w:w="2852" w:type="dxa"/>
            <w:tcBorders>
              <w:top w:val="nil"/>
              <w:left w:val="single" w:sz="4" w:space="0" w:color="auto"/>
              <w:bottom w:val="single" w:sz="4" w:space="0" w:color="auto"/>
              <w:right w:val="single" w:sz="4" w:space="0" w:color="auto"/>
            </w:tcBorders>
            <w:shd w:val="clear" w:color="auto" w:fill="D9D9D9"/>
            <w:noWrap/>
            <w:vAlign w:val="center"/>
            <w:hideMark/>
          </w:tcPr>
          <w:p w:rsidR="00F67A36" w:rsidRPr="008204B6" w:rsidRDefault="00F67A36" w:rsidP="009073F7">
            <w:pPr>
              <w:spacing w:line="240" w:lineRule="auto"/>
              <w:jc w:val="center"/>
              <w:rPr>
                <w:rFonts w:cs="Arial"/>
                <w:b/>
                <w:bCs/>
                <w:color w:val="000000"/>
                <w:sz w:val="20"/>
              </w:rPr>
            </w:pPr>
            <w:r w:rsidRPr="008204B6">
              <w:rPr>
                <w:rFonts w:cs="Arial"/>
                <w:b/>
                <w:bCs/>
                <w:color w:val="000000"/>
                <w:sz w:val="20"/>
              </w:rPr>
              <w:t>Classe</w:t>
            </w:r>
          </w:p>
        </w:tc>
        <w:tc>
          <w:tcPr>
            <w:tcW w:w="957" w:type="dxa"/>
            <w:tcBorders>
              <w:top w:val="nil"/>
              <w:left w:val="nil"/>
              <w:bottom w:val="single" w:sz="4" w:space="0" w:color="auto"/>
              <w:right w:val="nil"/>
            </w:tcBorders>
            <w:shd w:val="clear" w:color="auto" w:fill="D9D9D9"/>
            <w:vAlign w:val="center"/>
            <w:hideMark/>
          </w:tcPr>
          <w:p w:rsidR="00F67A36" w:rsidRPr="008204B6" w:rsidRDefault="00F67A36" w:rsidP="009073F7">
            <w:pPr>
              <w:spacing w:line="240" w:lineRule="auto"/>
              <w:jc w:val="center"/>
              <w:rPr>
                <w:rFonts w:cs="Arial"/>
                <w:b/>
                <w:bCs/>
                <w:color w:val="000000"/>
                <w:sz w:val="20"/>
              </w:rPr>
            </w:pPr>
            <w:r w:rsidRPr="008204B6">
              <w:rPr>
                <w:rFonts w:cs="Arial"/>
                <w:b/>
                <w:bCs/>
                <w:color w:val="000000"/>
                <w:sz w:val="20"/>
              </w:rPr>
              <w:t>(ha)</w:t>
            </w:r>
          </w:p>
        </w:tc>
        <w:tc>
          <w:tcPr>
            <w:tcW w:w="957" w:type="dxa"/>
            <w:tcBorders>
              <w:top w:val="nil"/>
              <w:left w:val="single" w:sz="4" w:space="0" w:color="auto"/>
              <w:bottom w:val="single" w:sz="4" w:space="0" w:color="auto"/>
              <w:right w:val="single" w:sz="4" w:space="0" w:color="auto"/>
            </w:tcBorders>
            <w:shd w:val="clear" w:color="auto" w:fill="D9D9D9"/>
            <w:vAlign w:val="center"/>
            <w:hideMark/>
          </w:tcPr>
          <w:p w:rsidR="00F67A36" w:rsidRPr="008204B6" w:rsidRDefault="00F67A36" w:rsidP="009073F7">
            <w:pPr>
              <w:spacing w:line="240" w:lineRule="auto"/>
              <w:jc w:val="center"/>
              <w:rPr>
                <w:rFonts w:cs="Arial"/>
                <w:b/>
                <w:bCs/>
                <w:color w:val="000000"/>
                <w:sz w:val="20"/>
              </w:rPr>
            </w:pPr>
            <w:r w:rsidRPr="008204B6">
              <w:rPr>
                <w:rFonts w:cs="Arial"/>
                <w:b/>
                <w:bCs/>
                <w:color w:val="000000"/>
                <w:sz w:val="20"/>
              </w:rPr>
              <w:t>%</w:t>
            </w:r>
          </w:p>
        </w:tc>
        <w:tc>
          <w:tcPr>
            <w:tcW w:w="957" w:type="dxa"/>
            <w:tcBorders>
              <w:top w:val="nil"/>
              <w:left w:val="nil"/>
              <w:bottom w:val="single" w:sz="4" w:space="0" w:color="auto"/>
              <w:right w:val="nil"/>
            </w:tcBorders>
            <w:shd w:val="clear" w:color="auto" w:fill="D9D9D9"/>
            <w:vAlign w:val="center"/>
            <w:hideMark/>
          </w:tcPr>
          <w:p w:rsidR="00F67A36" w:rsidRPr="008204B6" w:rsidRDefault="00F67A36" w:rsidP="009073F7">
            <w:pPr>
              <w:spacing w:line="240" w:lineRule="auto"/>
              <w:jc w:val="center"/>
              <w:rPr>
                <w:rFonts w:cs="Arial"/>
                <w:b/>
                <w:bCs/>
                <w:color w:val="000000"/>
                <w:sz w:val="20"/>
              </w:rPr>
            </w:pPr>
            <w:r w:rsidRPr="008204B6">
              <w:rPr>
                <w:rFonts w:cs="Arial"/>
                <w:b/>
                <w:bCs/>
                <w:color w:val="000000"/>
                <w:sz w:val="20"/>
              </w:rPr>
              <w:t>(ha)</w:t>
            </w:r>
          </w:p>
        </w:tc>
        <w:tc>
          <w:tcPr>
            <w:tcW w:w="957" w:type="dxa"/>
            <w:tcBorders>
              <w:top w:val="nil"/>
              <w:left w:val="single" w:sz="4" w:space="0" w:color="auto"/>
              <w:bottom w:val="single" w:sz="4" w:space="0" w:color="auto"/>
              <w:right w:val="single" w:sz="4" w:space="0" w:color="auto"/>
            </w:tcBorders>
            <w:shd w:val="clear" w:color="auto" w:fill="D9D9D9"/>
            <w:vAlign w:val="center"/>
            <w:hideMark/>
          </w:tcPr>
          <w:p w:rsidR="00F67A36" w:rsidRPr="008204B6" w:rsidRDefault="00F67A36" w:rsidP="009073F7">
            <w:pPr>
              <w:spacing w:line="240" w:lineRule="auto"/>
              <w:jc w:val="center"/>
              <w:rPr>
                <w:rFonts w:cs="Arial"/>
                <w:b/>
                <w:bCs/>
                <w:color w:val="000000"/>
                <w:sz w:val="20"/>
              </w:rPr>
            </w:pPr>
            <w:r w:rsidRPr="008204B6">
              <w:rPr>
                <w:rFonts w:cs="Arial"/>
                <w:b/>
                <w:bCs/>
                <w:color w:val="000000"/>
                <w:sz w:val="20"/>
              </w:rPr>
              <w:t>%</w:t>
            </w:r>
          </w:p>
        </w:tc>
        <w:tc>
          <w:tcPr>
            <w:tcW w:w="1636" w:type="dxa"/>
            <w:tcBorders>
              <w:top w:val="nil"/>
              <w:left w:val="single" w:sz="4" w:space="0" w:color="auto"/>
              <w:bottom w:val="single" w:sz="4" w:space="0" w:color="auto"/>
              <w:right w:val="single" w:sz="4" w:space="0" w:color="auto"/>
            </w:tcBorders>
            <w:shd w:val="clear" w:color="auto" w:fill="D9D9D9"/>
          </w:tcPr>
          <w:p w:rsidR="00F67A36" w:rsidRPr="008204B6" w:rsidRDefault="00F67A36" w:rsidP="009073F7">
            <w:pPr>
              <w:spacing w:line="240" w:lineRule="auto"/>
              <w:jc w:val="center"/>
              <w:rPr>
                <w:rFonts w:cs="Arial"/>
                <w:b/>
                <w:bCs/>
                <w:color w:val="000000"/>
                <w:sz w:val="20"/>
              </w:rPr>
            </w:pPr>
            <w:r w:rsidRPr="008204B6">
              <w:rPr>
                <w:rFonts w:cs="Arial"/>
                <w:b/>
                <w:bCs/>
                <w:color w:val="000000"/>
                <w:sz w:val="20"/>
              </w:rPr>
              <w:t>%</w:t>
            </w:r>
          </w:p>
        </w:tc>
      </w:tr>
      <w:tr w:rsidR="00F67A36" w:rsidRPr="008204B6" w:rsidTr="00D84473">
        <w:trPr>
          <w:trHeight w:val="300"/>
          <w:jc w:val="center"/>
        </w:trPr>
        <w:tc>
          <w:tcPr>
            <w:tcW w:w="2852" w:type="dxa"/>
            <w:tcBorders>
              <w:top w:val="nil"/>
              <w:left w:val="single" w:sz="4" w:space="0" w:color="auto"/>
              <w:bottom w:val="single" w:sz="4" w:space="0" w:color="auto"/>
              <w:right w:val="single" w:sz="4" w:space="0" w:color="auto"/>
            </w:tcBorders>
            <w:shd w:val="clear" w:color="auto" w:fill="auto"/>
            <w:noWrap/>
            <w:vAlign w:val="center"/>
            <w:hideMark/>
          </w:tcPr>
          <w:p w:rsidR="00F67A36" w:rsidRPr="008204B6" w:rsidRDefault="00F67A36" w:rsidP="00F67A36">
            <w:pPr>
              <w:spacing w:line="240" w:lineRule="auto"/>
              <w:jc w:val="left"/>
              <w:rPr>
                <w:rFonts w:cs="Arial"/>
                <w:color w:val="000000"/>
                <w:sz w:val="20"/>
              </w:rPr>
            </w:pPr>
            <w:r w:rsidRPr="008204B6">
              <w:rPr>
                <w:rFonts w:cs="Arial"/>
                <w:color w:val="000000"/>
                <w:sz w:val="20"/>
              </w:rPr>
              <w:t xml:space="preserve">Floresta Estacional </w:t>
            </w:r>
          </w:p>
        </w:tc>
        <w:tc>
          <w:tcPr>
            <w:tcW w:w="957" w:type="dxa"/>
            <w:tcBorders>
              <w:top w:val="nil"/>
              <w:left w:val="nil"/>
              <w:bottom w:val="single" w:sz="4" w:space="0" w:color="auto"/>
              <w:right w:val="nil"/>
            </w:tcBorders>
            <w:shd w:val="clear" w:color="auto" w:fill="auto"/>
            <w:noWrap/>
            <w:vAlign w:val="center"/>
          </w:tcPr>
          <w:p w:rsidR="00F67A36" w:rsidRPr="008204B6" w:rsidRDefault="00F775F7" w:rsidP="00F67A36">
            <w:pPr>
              <w:spacing w:line="240" w:lineRule="auto"/>
              <w:jc w:val="right"/>
              <w:rPr>
                <w:rFonts w:cs="Arial"/>
                <w:color w:val="000000"/>
                <w:sz w:val="20"/>
              </w:rPr>
            </w:pPr>
            <w:r w:rsidRPr="008204B6">
              <w:rPr>
                <w:rFonts w:cs="Arial"/>
                <w:color w:val="000000"/>
                <w:sz w:val="20"/>
              </w:rPr>
              <w:t>93,0</w:t>
            </w:r>
          </w:p>
        </w:tc>
        <w:tc>
          <w:tcPr>
            <w:tcW w:w="957" w:type="dxa"/>
            <w:tcBorders>
              <w:top w:val="nil"/>
              <w:left w:val="single" w:sz="4" w:space="0" w:color="auto"/>
              <w:bottom w:val="single" w:sz="4" w:space="0" w:color="auto"/>
              <w:right w:val="single" w:sz="4" w:space="0" w:color="auto"/>
            </w:tcBorders>
            <w:shd w:val="clear" w:color="auto" w:fill="auto"/>
            <w:noWrap/>
            <w:vAlign w:val="center"/>
          </w:tcPr>
          <w:p w:rsidR="00F67A36" w:rsidRPr="008204B6" w:rsidRDefault="00F67A36" w:rsidP="00F775F7">
            <w:pPr>
              <w:spacing w:line="240" w:lineRule="auto"/>
              <w:jc w:val="right"/>
              <w:rPr>
                <w:rFonts w:cs="Arial"/>
                <w:color w:val="000000"/>
                <w:sz w:val="20"/>
              </w:rPr>
            </w:pPr>
            <w:r w:rsidRPr="008204B6">
              <w:rPr>
                <w:rFonts w:cs="Arial"/>
                <w:color w:val="000000"/>
                <w:sz w:val="20"/>
              </w:rPr>
              <w:t>38,</w:t>
            </w:r>
            <w:r w:rsidR="00F775F7" w:rsidRPr="008204B6">
              <w:rPr>
                <w:rFonts w:cs="Arial"/>
                <w:color w:val="000000"/>
                <w:sz w:val="20"/>
              </w:rPr>
              <w:t>4</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793,5</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23,0</w:t>
            </w:r>
          </w:p>
        </w:tc>
        <w:tc>
          <w:tcPr>
            <w:tcW w:w="1636" w:type="dxa"/>
            <w:tcBorders>
              <w:top w:val="nil"/>
              <w:left w:val="nil"/>
              <w:bottom w:val="single" w:sz="4" w:space="0" w:color="auto"/>
              <w:right w:val="single" w:sz="4" w:space="0" w:color="auto"/>
            </w:tcBorders>
            <w:vAlign w:val="bottom"/>
          </w:tcPr>
          <w:p w:rsidR="00F67A36" w:rsidRPr="008204B6" w:rsidRDefault="00F67A36" w:rsidP="00F775F7">
            <w:pPr>
              <w:spacing w:line="240" w:lineRule="auto"/>
              <w:jc w:val="right"/>
              <w:rPr>
                <w:rFonts w:cs="Arial"/>
                <w:color w:val="000000"/>
                <w:sz w:val="20"/>
              </w:rPr>
            </w:pPr>
            <w:r w:rsidRPr="008204B6">
              <w:rPr>
                <w:rFonts w:cs="Arial"/>
                <w:color w:val="000000"/>
                <w:sz w:val="20"/>
              </w:rPr>
              <w:t>11,</w:t>
            </w:r>
            <w:r w:rsidR="00F775F7" w:rsidRPr="008204B6">
              <w:rPr>
                <w:rFonts w:cs="Arial"/>
                <w:color w:val="000000"/>
                <w:sz w:val="20"/>
              </w:rPr>
              <w:t>7</w:t>
            </w:r>
          </w:p>
        </w:tc>
      </w:tr>
      <w:tr w:rsidR="00F67A36" w:rsidRPr="008204B6" w:rsidTr="00D84473">
        <w:trPr>
          <w:trHeight w:val="300"/>
          <w:jc w:val="center"/>
        </w:trPr>
        <w:tc>
          <w:tcPr>
            <w:tcW w:w="2852" w:type="dxa"/>
            <w:tcBorders>
              <w:top w:val="nil"/>
              <w:left w:val="single" w:sz="4" w:space="0" w:color="auto"/>
              <w:bottom w:val="single" w:sz="4" w:space="0" w:color="auto"/>
              <w:right w:val="single" w:sz="4" w:space="0" w:color="auto"/>
            </w:tcBorders>
            <w:shd w:val="clear" w:color="auto" w:fill="auto"/>
            <w:noWrap/>
            <w:vAlign w:val="center"/>
            <w:hideMark/>
          </w:tcPr>
          <w:p w:rsidR="00F67A36" w:rsidRPr="008204B6" w:rsidRDefault="00F67A36" w:rsidP="00F67A36">
            <w:pPr>
              <w:spacing w:line="240" w:lineRule="auto"/>
              <w:jc w:val="left"/>
              <w:rPr>
                <w:rFonts w:cs="Arial"/>
                <w:color w:val="000000"/>
                <w:sz w:val="20"/>
              </w:rPr>
            </w:pPr>
            <w:r w:rsidRPr="008204B6">
              <w:rPr>
                <w:rFonts w:cs="Arial"/>
                <w:color w:val="000000"/>
                <w:sz w:val="20"/>
              </w:rPr>
              <w:t>Vegetação Pioneira</w:t>
            </w:r>
          </w:p>
        </w:tc>
        <w:tc>
          <w:tcPr>
            <w:tcW w:w="957" w:type="dxa"/>
            <w:tcBorders>
              <w:top w:val="nil"/>
              <w:left w:val="nil"/>
              <w:bottom w:val="single" w:sz="4" w:space="0" w:color="auto"/>
              <w:right w:val="nil"/>
            </w:tcBorders>
            <w:shd w:val="clear" w:color="auto" w:fill="auto"/>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15,5</w:t>
            </w:r>
          </w:p>
        </w:tc>
        <w:tc>
          <w:tcPr>
            <w:tcW w:w="957" w:type="dxa"/>
            <w:tcBorders>
              <w:top w:val="nil"/>
              <w:left w:val="single" w:sz="4" w:space="0" w:color="auto"/>
              <w:bottom w:val="single" w:sz="4" w:space="0" w:color="auto"/>
              <w:right w:val="single" w:sz="4" w:space="0" w:color="auto"/>
            </w:tcBorders>
            <w:shd w:val="clear" w:color="auto" w:fill="auto"/>
            <w:noWrap/>
            <w:vAlign w:val="center"/>
          </w:tcPr>
          <w:p w:rsidR="00F67A36" w:rsidRPr="008204B6" w:rsidRDefault="00F67A36" w:rsidP="00F775F7">
            <w:pPr>
              <w:spacing w:line="240" w:lineRule="auto"/>
              <w:jc w:val="right"/>
              <w:rPr>
                <w:rFonts w:cs="Arial"/>
                <w:color w:val="000000"/>
                <w:sz w:val="20"/>
              </w:rPr>
            </w:pPr>
            <w:r w:rsidRPr="008204B6">
              <w:rPr>
                <w:rFonts w:cs="Arial"/>
                <w:color w:val="000000"/>
                <w:sz w:val="20"/>
              </w:rPr>
              <w:t>6,</w:t>
            </w:r>
            <w:r w:rsidR="00F775F7" w:rsidRPr="008204B6">
              <w:rPr>
                <w:rFonts w:cs="Arial"/>
                <w:color w:val="000000"/>
                <w:sz w:val="20"/>
              </w:rPr>
              <w:t>4</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292,5</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8,5</w:t>
            </w:r>
          </w:p>
        </w:tc>
        <w:tc>
          <w:tcPr>
            <w:tcW w:w="1636" w:type="dxa"/>
            <w:tcBorders>
              <w:top w:val="nil"/>
              <w:left w:val="nil"/>
              <w:bottom w:val="single" w:sz="4" w:space="0" w:color="auto"/>
              <w:right w:val="single" w:sz="4" w:space="0" w:color="auto"/>
            </w:tcBorders>
            <w:vAlign w:val="bottom"/>
          </w:tcPr>
          <w:p w:rsidR="00F67A36" w:rsidRPr="008204B6" w:rsidRDefault="00F67A36" w:rsidP="00D84473">
            <w:pPr>
              <w:spacing w:line="240" w:lineRule="auto"/>
              <w:jc w:val="right"/>
              <w:rPr>
                <w:rFonts w:cs="Arial"/>
                <w:color w:val="000000"/>
                <w:sz w:val="20"/>
              </w:rPr>
            </w:pPr>
            <w:r w:rsidRPr="008204B6">
              <w:rPr>
                <w:rFonts w:cs="Arial"/>
                <w:color w:val="000000"/>
                <w:sz w:val="20"/>
              </w:rPr>
              <w:t>5,3</w:t>
            </w:r>
          </w:p>
        </w:tc>
      </w:tr>
      <w:tr w:rsidR="00F67A36" w:rsidRPr="008204B6" w:rsidTr="00D84473">
        <w:trPr>
          <w:trHeight w:val="300"/>
          <w:jc w:val="center"/>
        </w:trPr>
        <w:tc>
          <w:tcPr>
            <w:tcW w:w="2852" w:type="dxa"/>
            <w:tcBorders>
              <w:top w:val="nil"/>
              <w:left w:val="single" w:sz="4" w:space="0" w:color="auto"/>
              <w:bottom w:val="single" w:sz="4" w:space="0" w:color="auto"/>
              <w:right w:val="single" w:sz="4" w:space="0" w:color="auto"/>
            </w:tcBorders>
            <w:shd w:val="clear" w:color="auto" w:fill="FBD4B4"/>
            <w:noWrap/>
            <w:vAlign w:val="center"/>
            <w:hideMark/>
          </w:tcPr>
          <w:p w:rsidR="00F67A36" w:rsidRPr="008204B6" w:rsidRDefault="00F67A36" w:rsidP="00F67A36">
            <w:pPr>
              <w:spacing w:line="240" w:lineRule="auto"/>
              <w:jc w:val="left"/>
              <w:rPr>
                <w:rFonts w:cs="Arial"/>
                <w:color w:val="000000"/>
                <w:sz w:val="20"/>
              </w:rPr>
            </w:pPr>
            <w:r w:rsidRPr="008204B6">
              <w:rPr>
                <w:rFonts w:cs="Arial"/>
                <w:color w:val="000000"/>
                <w:sz w:val="20"/>
              </w:rPr>
              <w:t>Campo úmido antropizado</w:t>
            </w:r>
          </w:p>
        </w:tc>
        <w:tc>
          <w:tcPr>
            <w:tcW w:w="957" w:type="dxa"/>
            <w:tcBorders>
              <w:top w:val="nil"/>
              <w:left w:val="nil"/>
              <w:bottom w:val="single" w:sz="4" w:space="0" w:color="auto"/>
              <w:right w:val="nil"/>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0,6</w:t>
            </w:r>
          </w:p>
        </w:tc>
        <w:tc>
          <w:tcPr>
            <w:tcW w:w="957" w:type="dxa"/>
            <w:tcBorders>
              <w:top w:val="nil"/>
              <w:left w:val="single" w:sz="4" w:space="0" w:color="auto"/>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0,3</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10,7</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0,3</w:t>
            </w:r>
          </w:p>
        </w:tc>
        <w:tc>
          <w:tcPr>
            <w:tcW w:w="1636" w:type="dxa"/>
            <w:tcBorders>
              <w:top w:val="nil"/>
              <w:left w:val="nil"/>
              <w:bottom w:val="single" w:sz="4" w:space="0" w:color="auto"/>
              <w:right w:val="single" w:sz="4" w:space="0" w:color="auto"/>
            </w:tcBorders>
            <w:shd w:val="clear" w:color="auto" w:fill="FBD4B4"/>
            <w:vAlign w:val="bottom"/>
          </w:tcPr>
          <w:p w:rsidR="00F67A36" w:rsidRPr="008204B6" w:rsidRDefault="00F67A36" w:rsidP="00D84473">
            <w:pPr>
              <w:spacing w:line="240" w:lineRule="auto"/>
              <w:jc w:val="right"/>
              <w:rPr>
                <w:rFonts w:cs="Arial"/>
                <w:color w:val="000000"/>
                <w:sz w:val="20"/>
              </w:rPr>
            </w:pPr>
            <w:r w:rsidRPr="008204B6">
              <w:rPr>
                <w:rFonts w:cs="Arial"/>
                <w:color w:val="000000"/>
                <w:sz w:val="20"/>
              </w:rPr>
              <w:t>5,6</w:t>
            </w:r>
          </w:p>
        </w:tc>
      </w:tr>
      <w:tr w:rsidR="00F67A36" w:rsidRPr="008204B6" w:rsidTr="00D84473">
        <w:trPr>
          <w:trHeight w:val="300"/>
          <w:jc w:val="center"/>
        </w:trPr>
        <w:tc>
          <w:tcPr>
            <w:tcW w:w="2852" w:type="dxa"/>
            <w:tcBorders>
              <w:top w:val="nil"/>
              <w:left w:val="single" w:sz="4" w:space="0" w:color="auto"/>
              <w:bottom w:val="nil"/>
              <w:right w:val="single" w:sz="4" w:space="0" w:color="auto"/>
            </w:tcBorders>
            <w:shd w:val="clear" w:color="auto" w:fill="FBD4B4"/>
            <w:noWrap/>
            <w:vAlign w:val="center"/>
            <w:hideMark/>
          </w:tcPr>
          <w:p w:rsidR="00F67A36" w:rsidRPr="008204B6" w:rsidRDefault="00F67A36" w:rsidP="00F67A36">
            <w:pPr>
              <w:spacing w:line="240" w:lineRule="auto"/>
              <w:jc w:val="left"/>
              <w:rPr>
                <w:rFonts w:cs="Arial"/>
                <w:color w:val="000000"/>
                <w:sz w:val="20"/>
              </w:rPr>
            </w:pPr>
            <w:r w:rsidRPr="008204B6">
              <w:rPr>
                <w:rFonts w:cs="Arial"/>
                <w:color w:val="000000"/>
                <w:sz w:val="20"/>
              </w:rPr>
              <w:t>Cana-de-açúcar</w:t>
            </w:r>
          </w:p>
        </w:tc>
        <w:tc>
          <w:tcPr>
            <w:tcW w:w="957" w:type="dxa"/>
            <w:tcBorders>
              <w:top w:val="nil"/>
              <w:left w:val="nil"/>
              <w:bottom w:val="nil"/>
              <w:right w:val="nil"/>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0,0</w:t>
            </w:r>
          </w:p>
        </w:tc>
        <w:tc>
          <w:tcPr>
            <w:tcW w:w="957" w:type="dxa"/>
            <w:tcBorders>
              <w:top w:val="nil"/>
              <w:left w:val="single" w:sz="4" w:space="0" w:color="auto"/>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0,0</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0</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0,0</w:t>
            </w:r>
          </w:p>
        </w:tc>
        <w:tc>
          <w:tcPr>
            <w:tcW w:w="1636" w:type="dxa"/>
            <w:tcBorders>
              <w:top w:val="nil"/>
              <w:left w:val="nil"/>
              <w:bottom w:val="single" w:sz="4" w:space="0" w:color="auto"/>
              <w:right w:val="single" w:sz="4" w:space="0" w:color="auto"/>
            </w:tcBorders>
            <w:shd w:val="clear" w:color="auto" w:fill="FBD4B4"/>
            <w:vAlign w:val="bottom"/>
          </w:tcPr>
          <w:p w:rsidR="00F67A36" w:rsidRPr="008204B6" w:rsidRDefault="00F67A36" w:rsidP="00D84473">
            <w:pPr>
              <w:spacing w:line="240" w:lineRule="auto"/>
              <w:jc w:val="right"/>
              <w:rPr>
                <w:rFonts w:cs="Arial"/>
                <w:color w:val="000000"/>
                <w:sz w:val="20"/>
              </w:rPr>
            </w:pPr>
            <w:r w:rsidRPr="008204B6">
              <w:rPr>
                <w:rFonts w:cs="Arial"/>
                <w:color w:val="000000"/>
                <w:sz w:val="20"/>
              </w:rPr>
              <w:t>0,0</w:t>
            </w:r>
          </w:p>
        </w:tc>
      </w:tr>
      <w:tr w:rsidR="00F67A36" w:rsidRPr="008204B6" w:rsidTr="00D84473">
        <w:trPr>
          <w:trHeight w:val="300"/>
          <w:jc w:val="center"/>
        </w:trPr>
        <w:tc>
          <w:tcPr>
            <w:tcW w:w="2852" w:type="dxa"/>
            <w:tcBorders>
              <w:top w:val="single" w:sz="4" w:space="0" w:color="auto"/>
              <w:left w:val="single" w:sz="4" w:space="0" w:color="auto"/>
              <w:bottom w:val="single" w:sz="4" w:space="0" w:color="auto"/>
              <w:right w:val="single" w:sz="4" w:space="0" w:color="auto"/>
            </w:tcBorders>
            <w:shd w:val="clear" w:color="auto" w:fill="FBD4B4"/>
            <w:noWrap/>
            <w:vAlign w:val="center"/>
            <w:hideMark/>
          </w:tcPr>
          <w:p w:rsidR="00F67A36" w:rsidRPr="008204B6" w:rsidRDefault="00F67A36" w:rsidP="00F67A36">
            <w:pPr>
              <w:spacing w:line="240" w:lineRule="auto"/>
              <w:jc w:val="left"/>
              <w:rPr>
                <w:rFonts w:cs="Arial"/>
                <w:color w:val="000000"/>
                <w:sz w:val="20"/>
              </w:rPr>
            </w:pPr>
            <w:r w:rsidRPr="008204B6">
              <w:rPr>
                <w:rFonts w:cs="Arial"/>
                <w:color w:val="000000"/>
                <w:sz w:val="20"/>
              </w:rPr>
              <w:t>Outras Culturas</w:t>
            </w:r>
          </w:p>
        </w:tc>
        <w:tc>
          <w:tcPr>
            <w:tcW w:w="957" w:type="dxa"/>
            <w:tcBorders>
              <w:top w:val="single" w:sz="4" w:space="0" w:color="auto"/>
              <w:left w:val="nil"/>
              <w:bottom w:val="single" w:sz="4" w:space="0" w:color="auto"/>
              <w:right w:val="nil"/>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0,1</w:t>
            </w:r>
          </w:p>
        </w:tc>
        <w:tc>
          <w:tcPr>
            <w:tcW w:w="957" w:type="dxa"/>
            <w:tcBorders>
              <w:top w:val="nil"/>
              <w:left w:val="single" w:sz="4" w:space="0" w:color="auto"/>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0,0</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29,3</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0,8</w:t>
            </w:r>
          </w:p>
        </w:tc>
        <w:tc>
          <w:tcPr>
            <w:tcW w:w="1636" w:type="dxa"/>
            <w:tcBorders>
              <w:top w:val="nil"/>
              <w:left w:val="nil"/>
              <w:bottom w:val="single" w:sz="4" w:space="0" w:color="auto"/>
              <w:right w:val="single" w:sz="4" w:space="0" w:color="auto"/>
            </w:tcBorders>
            <w:shd w:val="clear" w:color="auto" w:fill="FBD4B4"/>
            <w:vAlign w:val="bottom"/>
          </w:tcPr>
          <w:p w:rsidR="00F67A36" w:rsidRPr="008204B6" w:rsidRDefault="00F67A36" w:rsidP="00D84473">
            <w:pPr>
              <w:spacing w:line="240" w:lineRule="auto"/>
              <w:jc w:val="right"/>
              <w:rPr>
                <w:rFonts w:cs="Arial"/>
                <w:color w:val="000000"/>
                <w:sz w:val="20"/>
              </w:rPr>
            </w:pPr>
            <w:r w:rsidRPr="008204B6">
              <w:rPr>
                <w:rFonts w:cs="Arial"/>
                <w:color w:val="000000"/>
                <w:sz w:val="20"/>
              </w:rPr>
              <w:t>0,3</w:t>
            </w:r>
          </w:p>
        </w:tc>
      </w:tr>
      <w:tr w:rsidR="00F67A36" w:rsidRPr="008204B6" w:rsidTr="00D84473">
        <w:trPr>
          <w:trHeight w:val="300"/>
          <w:jc w:val="center"/>
        </w:trPr>
        <w:tc>
          <w:tcPr>
            <w:tcW w:w="2852" w:type="dxa"/>
            <w:tcBorders>
              <w:top w:val="nil"/>
              <w:left w:val="single" w:sz="4" w:space="0" w:color="auto"/>
              <w:bottom w:val="nil"/>
              <w:right w:val="single" w:sz="4" w:space="0" w:color="auto"/>
            </w:tcBorders>
            <w:shd w:val="clear" w:color="auto" w:fill="FBD4B4"/>
            <w:noWrap/>
            <w:vAlign w:val="center"/>
            <w:hideMark/>
          </w:tcPr>
          <w:p w:rsidR="00F67A36" w:rsidRPr="008204B6" w:rsidRDefault="00F67A36" w:rsidP="00F67A36">
            <w:pPr>
              <w:spacing w:line="240" w:lineRule="auto"/>
              <w:jc w:val="left"/>
              <w:rPr>
                <w:rFonts w:cs="Arial"/>
                <w:color w:val="000000"/>
                <w:sz w:val="20"/>
              </w:rPr>
            </w:pPr>
            <w:r w:rsidRPr="008204B6">
              <w:rPr>
                <w:rFonts w:cs="Arial"/>
                <w:color w:val="000000"/>
                <w:sz w:val="20"/>
              </w:rPr>
              <w:t>Pasto\Pasto Sujo</w:t>
            </w:r>
          </w:p>
        </w:tc>
        <w:tc>
          <w:tcPr>
            <w:tcW w:w="957" w:type="dxa"/>
            <w:tcBorders>
              <w:top w:val="nil"/>
              <w:left w:val="nil"/>
              <w:bottom w:val="nil"/>
              <w:right w:val="nil"/>
            </w:tcBorders>
            <w:shd w:val="clear" w:color="auto" w:fill="FBD4B4"/>
            <w:vAlign w:val="center"/>
          </w:tcPr>
          <w:p w:rsidR="00F67A36" w:rsidRPr="008204B6" w:rsidRDefault="00F67A36" w:rsidP="00F775F7">
            <w:pPr>
              <w:spacing w:line="240" w:lineRule="auto"/>
              <w:jc w:val="right"/>
              <w:rPr>
                <w:rFonts w:cs="Arial"/>
                <w:color w:val="000000"/>
                <w:sz w:val="20"/>
              </w:rPr>
            </w:pPr>
            <w:r w:rsidRPr="008204B6">
              <w:rPr>
                <w:rFonts w:cs="Arial"/>
                <w:color w:val="000000"/>
                <w:sz w:val="20"/>
              </w:rPr>
              <w:t>80,</w:t>
            </w:r>
            <w:r w:rsidR="00F775F7" w:rsidRPr="008204B6">
              <w:rPr>
                <w:rFonts w:cs="Arial"/>
                <w:color w:val="000000"/>
                <w:sz w:val="20"/>
              </w:rPr>
              <w:t>5</w:t>
            </w:r>
          </w:p>
        </w:tc>
        <w:tc>
          <w:tcPr>
            <w:tcW w:w="957" w:type="dxa"/>
            <w:tcBorders>
              <w:top w:val="nil"/>
              <w:left w:val="single" w:sz="4" w:space="0" w:color="auto"/>
              <w:bottom w:val="single" w:sz="4" w:space="0" w:color="auto"/>
              <w:right w:val="single" w:sz="4" w:space="0" w:color="auto"/>
            </w:tcBorders>
            <w:shd w:val="clear" w:color="auto" w:fill="FBD4B4"/>
            <w:noWrap/>
            <w:vAlign w:val="center"/>
          </w:tcPr>
          <w:p w:rsidR="00F67A36" w:rsidRPr="008204B6" w:rsidRDefault="00F775F7" w:rsidP="00F775F7">
            <w:pPr>
              <w:spacing w:line="240" w:lineRule="auto"/>
              <w:jc w:val="right"/>
              <w:rPr>
                <w:rFonts w:cs="Arial"/>
                <w:color w:val="000000"/>
                <w:sz w:val="20"/>
              </w:rPr>
            </w:pPr>
            <w:r w:rsidRPr="008204B6">
              <w:rPr>
                <w:rFonts w:cs="Arial"/>
                <w:color w:val="000000"/>
                <w:sz w:val="20"/>
              </w:rPr>
              <w:t>33</w:t>
            </w:r>
            <w:r w:rsidR="00F67A36" w:rsidRPr="008204B6">
              <w:rPr>
                <w:rFonts w:cs="Arial"/>
                <w:color w:val="000000"/>
                <w:sz w:val="20"/>
              </w:rPr>
              <w:t>,3</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1.769,8</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51,2</w:t>
            </w:r>
          </w:p>
        </w:tc>
        <w:tc>
          <w:tcPr>
            <w:tcW w:w="1636" w:type="dxa"/>
            <w:tcBorders>
              <w:top w:val="nil"/>
              <w:left w:val="nil"/>
              <w:bottom w:val="single" w:sz="4" w:space="0" w:color="auto"/>
              <w:right w:val="single" w:sz="4" w:space="0" w:color="auto"/>
            </w:tcBorders>
            <w:shd w:val="clear" w:color="auto" w:fill="FBD4B4"/>
            <w:vAlign w:val="bottom"/>
          </w:tcPr>
          <w:p w:rsidR="00F67A36" w:rsidRPr="008204B6" w:rsidRDefault="00F67A36" w:rsidP="00D84473">
            <w:pPr>
              <w:spacing w:line="240" w:lineRule="auto"/>
              <w:jc w:val="right"/>
              <w:rPr>
                <w:rFonts w:cs="Arial"/>
                <w:color w:val="000000"/>
                <w:sz w:val="20"/>
              </w:rPr>
            </w:pPr>
            <w:r w:rsidRPr="008204B6">
              <w:rPr>
                <w:rFonts w:cs="Arial"/>
                <w:color w:val="000000"/>
                <w:sz w:val="20"/>
              </w:rPr>
              <w:t>4,6</w:t>
            </w:r>
          </w:p>
        </w:tc>
      </w:tr>
      <w:tr w:rsidR="00F67A36" w:rsidRPr="008204B6" w:rsidTr="00D84473">
        <w:trPr>
          <w:trHeight w:val="300"/>
          <w:jc w:val="center"/>
        </w:trPr>
        <w:tc>
          <w:tcPr>
            <w:tcW w:w="2852" w:type="dxa"/>
            <w:tcBorders>
              <w:top w:val="single" w:sz="4" w:space="0" w:color="auto"/>
              <w:left w:val="single" w:sz="4" w:space="0" w:color="auto"/>
              <w:bottom w:val="single" w:sz="4" w:space="0" w:color="auto"/>
              <w:right w:val="single" w:sz="4" w:space="0" w:color="auto"/>
            </w:tcBorders>
            <w:shd w:val="clear" w:color="auto" w:fill="FBD4B4"/>
            <w:noWrap/>
            <w:vAlign w:val="center"/>
            <w:hideMark/>
          </w:tcPr>
          <w:p w:rsidR="00F67A36" w:rsidRPr="008204B6" w:rsidRDefault="00F67A36" w:rsidP="00F67A36">
            <w:pPr>
              <w:spacing w:line="240" w:lineRule="auto"/>
              <w:jc w:val="left"/>
              <w:rPr>
                <w:rFonts w:cs="Arial"/>
                <w:color w:val="000000"/>
                <w:sz w:val="20"/>
              </w:rPr>
            </w:pPr>
            <w:r w:rsidRPr="008204B6">
              <w:rPr>
                <w:rFonts w:cs="Arial"/>
                <w:color w:val="000000"/>
                <w:sz w:val="20"/>
              </w:rPr>
              <w:t>Reflorestamento</w:t>
            </w:r>
          </w:p>
        </w:tc>
        <w:tc>
          <w:tcPr>
            <w:tcW w:w="957" w:type="dxa"/>
            <w:tcBorders>
              <w:top w:val="single" w:sz="4" w:space="0" w:color="auto"/>
              <w:left w:val="nil"/>
              <w:bottom w:val="single" w:sz="4" w:space="0" w:color="auto"/>
              <w:right w:val="nil"/>
            </w:tcBorders>
            <w:shd w:val="clear" w:color="auto" w:fill="FBD4B4"/>
            <w:noWrap/>
            <w:vAlign w:val="center"/>
          </w:tcPr>
          <w:p w:rsidR="00F67A36" w:rsidRPr="008204B6" w:rsidRDefault="00F775F7" w:rsidP="00F67A36">
            <w:pPr>
              <w:spacing w:line="240" w:lineRule="auto"/>
              <w:jc w:val="right"/>
              <w:rPr>
                <w:rFonts w:cs="Arial"/>
                <w:color w:val="000000"/>
                <w:sz w:val="20"/>
              </w:rPr>
            </w:pPr>
            <w:r w:rsidRPr="008204B6">
              <w:rPr>
                <w:rFonts w:cs="Arial"/>
                <w:color w:val="000000"/>
                <w:sz w:val="20"/>
              </w:rPr>
              <w:t>13,4</w:t>
            </w:r>
          </w:p>
        </w:tc>
        <w:tc>
          <w:tcPr>
            <w:tcW w:w="957" w:type="dxa"/>
            <w:tcBorders>
              <w:top w:val="nil"/>
              <w:left w:val="single" w:sz="4" w:space="0" w:color="auto"/>
              <w:bottom w:val="single" w:sz="4" w:space="0" w:color="auto"/>
              <w:right w:val="single" w:sz="4" w:space="0" w:color="auto"/>
            </w:tcBorders>
            <w:shd w:val="clear" w:color="auto" w:fill="FBD4B4"/>
            <w:noWrap/>
            <w:vAlign w:val="center"/>
          </w:tcPr>
          <w:p w:rsidR="00F67A36" w:rsidRPr="008204B6" w:rsidRDefault="00F67A36" w:rsidP="00F775F7">
            <w:pPr>
              <w:spacing w:line="240" w:lineRule="auto"/>
              <w:jc w:val="right"/>
              <w:rPr>
                <w:rFonts w:cs="Arial"/>
                <w:color w:val="000000"/>
                <w:sz w:val="20"/>
              </w:rPr>
            </w:pPr>
            <w:r w:rsidRPr="008204B6">
              <w:rPr>
                <w:rFonts w:cs="Arial"/>
                <w:color w:val="000000"/>
                <w:sz w:val="20"/>
              </w:rPr>
              <w:t>5,</w:t>
            </w:r>
            <w:r w:rsidR="00F775F7" w:rsidRPr="008204B6">
              <w:rPr>
                <w:rFonts w:cs="Arial"/>
                <w:color w:val="000000"/>
                <w:sz w:val="20"/>
              </w:rPr>
              <w:t>5</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400,2</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11,6</w:t>
            </w:r>
          </w:p>
        </w:tc>
        <w:tc>
          <w:tcPr>
            <w:tcW w:w="1636" w:type="dxa"/>
            <w:tcBorders>
              <w:top w:val="nil"/>
              <w:left w:val="nil"/>
              <w:bottom w:val="single" w:sz="4" w:space="0" w:color="auto"/>
              <w:right w:val="single" w:sz="4" w:space="0" w:color="auto"/>
            </w:tcBorders>
            <w:shd w:val="clear" w:color="auto" w:fill="FBD4B4"/>
            <w:vAlign w:val="bottom"/>
          </w:tcPr>
          <w:p w:rsidR="00F67A36" w:rsidRPr="008204B6" w:rsidRDefault="00F67A36" w:rsidP="00F775F7">
            <w:pPr>
              <w:spacing w:line="240" w:lineRule="auto"/>
              <w:jc w:val="right"/>
              <w:rPr>
                <w:rFonts w:cs="Arial"/>
                <w:color w:val="000000"/>
                <w:sz w:val="20"/>
              </w:rPr>
            </w:pPr>
            <w:r w:rsidRPr="008204B6">
              <w:rPr>
                <w:rFonts w:cs="Arial"/>
                <w:color w:val="000000"/>
                <w:sz w:val="20"/>
              </w:rPr>
              <w:t>3,</w:t>
            </w:r>
            <w:r w:rsidR="00F775F7" w:rsidRPr="008204B6">
              <w:rPr>
                <w:rFonts w:cs="Arial"/>
                <w:color w:val="000000"/>
                <w:sz w:val="20"/>
              </w:rPr>
              <w:t>3</w:t>
            </w:r>
          </w:p>
        </w:tc>
      </w:tr>
      <w:tr w:rsidR="00F67A36" w:rsidRPr="008204B6" w:rsidTr="00D84473">
        <w:trPr>
          <w:trHeight w:val="300"/>
          <w:jc w:val="center"/>
        </w:trPr>
        <w:tc>
          <w:tcPr>
            <w:tcW w:w="2852" w:type="dxa"/>
            <w:tcBorders>
              <w:top w:val="nil"/>
              <w:left w:val="single" w:sz="4" w:space="0" w:color="auto"/>
              <w:bottom w:val="single" w:sz="4" w:space="0" w:color="auto"/>
              <w:right w:val="single" w:sz="4" w:space="0" w:color="auto"/>
            </w:tcBorders>
            <w:shd w:val="clear" w:color="auto" w:fill="auto"/>
            <w:noWrap/>
            <w:vAlign w:val="center"/>
            <w:hideMark/>
          </w:tcPr>
          <w:p w:rsidR="00F67A36" w:rsidRPr="008204B6" w:rsidRDefault="00F67A36" w:rsidP="00F67A36">
            <w:pPr>
              <w:spacing w:line="240" w:lineRule="auto"/>
              <w:jc w:val="left"/>
              <w:rPr>
                <w:rFonts w:cs="Arial"/>
                <w:color w:val="000000"/>
                <w:sz w:val="20"/>
              </w:rPr>
            </w:pPr>
            <w:r w:rsidRPr="008204B6">
              <w:rPr>
                <w:rFonts w:cs="Arial"/>
                <w:color w:val="000000"/>
                <w:sz w:val="20"/>
              </w:rPr>
              <w:t>Usos não Agropecuários (*)</w:t>
            </w:r>
          </w:p>
        </w:tc>
        <w:tc>
          <w:tcPr>
            <w:tcW w:w="957" w:type="dxa"/>
            <w:tcBorders>
              <w:top w:val="nil"/>
              <w:left w:val="nil"/>
              <w:bottom w:val="single" w:sz="4" w:space="0" w:color="auto"/>
              <w:right w:val="nil"/>
            </w:tcBorders>
            <w:shd w:val="clear" w:color="auto" w:fill="auto"/>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14,1</w:t>
            </w:r>
          </w:p>
        </w:tc>
        <w:tc>
          <w:tcPr>
            <w:tcW w:w="957" w:type="dxa"/>
            <w:tcBorders>
              <w:top w:val="nil"/>
              <w:left w:val="single" w:sz="4" w:space="0" w:color="auto"/>
              <w:bottom w:val="single" w:sz="4" w:space="0" w:color="auto"/>
              <w:right w:val="single" w:sz="4" w:space="0" w:color="auto"/>
            </w:tcBorders>
            <w:shd w:val="clear" w:color="auto" w:fill="auto"/>
            <w:noWrap/>
            <w:vAlign w:val="center"/>
          </w:tcPr>
          <w:p w:rsidR="00F67A36" w:rsidRPr="008204B6" w:rsidRDefault="00F775F7" w:rsidP="00F67A36">
            <w:pPr>
              <w:spacing w:line="240" w:lineRule="auto"/>
              <w:jc w:val="right"/>
              <w:rPr>
                <w:rFonts w:cs="Arial"/>
                <w:color w:val="000000"/>
                <w:sz w:val="20"/>
              </w:rPr>
            </w:pPr>
            <w:r w:rsidRPr="008204B6">
              <w:rPr>
                <w:rFonts w:cs="Arial"/>
                <w:color w:val="000000"/>
                <w:sz w:val="20"/>
              </w:rPr>
              <w:t>5,8</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98,5</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2,8</w:t>
            </w:r>
          </w:p>
        </w:tc>
        <w:tc>
          <w:tcPr>
            <w:tcW w:w="1636" w:type="dxa"/>
            <w:tcBorders>
              <w:top w:val="nil"/>
              <w:left w:val="nil"/>
              <w:bottom w:val="single" w:sz="4" w:space="0" w:color="auto"/>
              <w:right w:val="single" w:sz="4" w:space="0" w:color="auto"/>
            </w:tcBorders>
            <w:vAlign w:val="bottom"/>
          </w:tcPr>
          <w:p w:rsidR="00F67A36" w:rsidRPr="008204B6" w:rsidRDefault="00F67A36" w:rsidP="00D84473">
            <w:pPr>
              <w:spacing w:line="240" w:lineRule="auto"/>
              <w:jc w:val="right"/>
              <w:rPr>
                <w:rFonts w:cs="Arial"/>
                <w:color w:val="000000"/>
                <w:sz w:val="20"/>
              </w:rPr>
            </w:pPr>
            <w:r w:rsidRPr="008204B6">
              <w:rPr>
                <w:rFonts w:cs="Arial"/>
                <w:color w:val="000000"/>
                <w:sz w:val="20"/>
              </w:rPr>
              <w:t>14,3</w:t>
            </w:r>
          </w:p>
        </w:tc>
      </w:tr>
      <w:tr w:rsidR="00F67A36" w:rsidRPr="008204B6" w:rsidTr="00D84473">
        <w:trPr>
          <w:trHeight w:val="300"/>
          <w:jc w:val="center"/>
        </w:trPr>
        <w:tc>
          <w:tcPr>
            <w:tcW w:w="2852" w:type="dxa"/>
            <w:tcBorders>
              <w:top w:val="nil"/>
              <w:left w:val="single" w:sz="4" w:space="0" w:color="auto"/>
              <w:bottom w:val="single" w:sz="4" w:space="0" w:color="auto"/>
              <w:right w:val="single" w:sz="4" w:space="0" w:color="auto"/>
            </w:tcBorders>
            <w:shd w:val="clear" w:color="auto" w:fill="auto"/>
            <w:noWrap/>
            <w:vAlign w:val="center"/>
            <w:hideMark/>
          </w:tcPr>
          <w:p w:rsidR="00F67A36" w:rsidRPr="008204B6" w:rsidRDefault="00F67A36" w:rsidP="00F67A36">
            <w:pPr>
              <w:spacing w:line="240" w:lineRule="auto"/>
              <w:jc w:val="left"/>
              <w:rPr>
                <w:rFonts w:cs="Arial"/>
                <w:color w:val="000000"/>
                <w:sz w:val="20"/>
              </w:rPr>
            </w:pPr>
            <w:r w:rsidRPr="008204B6">
              <w:rPr>
                <w:rFonts w:cs="Arial"/>
                <w:color w:val="000000"/>
                <w:sz w:val="20"/>
              </w:rPr>
              <w:t>Água (rio/lagoas/açudes)</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775F7" w:rsidP="00F67A36">
            <w:pPr>
              <w:spacing w:line="240" w:lineRule="auto"/>
              <w:jc w:val="right"/>
              <w:rPr>
                <w:rFonts w:cs="Arial"/>
                <w:color w:val="000000"/>
                <w:sz w:val="20"/>
              </w:rPr>
            </w:pPr>
            <w:r w:rsidRPr="008204B6">
              <w:rPr>
                <w:rFonts w:cs="Arial"/>
                <w:color w:val="000000"/>
                <w:sz w:val="20"/>
              </w:rPr>
              <w:t>25,0</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775F7" w:rsidP="00F67A36">
            <w:pPr>
              <w:spacing w:line="240" w:lineRule="auto"/>
              <w:jc w:val="right"/>
              <w:rPr>
                <w:rFonts w:cs="Arial"/>
                <w:color w:val="000000"/>
                <w:sz w:val="20"/>
              </w:rPr>
            </w:pPr>
            <w:r w:rsidRPr="008204B6">
              <w:rPr>
                <w:rFonts w:cs="Arial"/>
                <w:color w:val="000000"/>
                <w:sz w:val="20"/>
              </w:rPr>
              <w:t>10,3</w:t>
            </w:r>
            <w:r w:rsidR="00F67A36" w:rsidRPr="008204B6">
              <w:rPr>
                <w:rFonts w:cs="Arial"/>
                <w:color w:val="000000"/>
                <w:sz w:val="20"/>
              </w:rPr>
              <w:t>1</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61,8</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1,8</w:t>
            </w:r>
          </w:p>
        </w:tc>
        <w:tc>
          <w:tcPr>
            <w:tcW w:w="1636" w:type="dxa"/>
            <w:tcBorders>
              <w:top w:val="nil"/>
              <w:left w:val="nil"/>
              <w:bottom w:val="single" w:sz="4" w:space="0" w:color="auto"/>
              <w:right w:val="single" w:sz="4" w:space="0" w:color="auto"/>
            </w:tcBorders>
            <w:vAlign w:val="bottom"/>
          </w:tcPr>
          <w:p w:rsidR="00F67A36" w:rsidRPr="008204B6" w:rsidRDefault="00F775F7" w:rsidP="00D84473">
            <w:pPr>
              <w:spacing w:line="240" w:lineRule="auto"/>
              <w:jc w:val="right"/>
              <w:rPr>
                <w:rFonts w:cs="Arial"/>
                <w:color w:val="000000"/>
                <w:sz w:val="20"/>
              </w:rPr>
            </w:pPr>
            <w:r w:rsidRPr="008204B6">
              <w:rPr>
                <w:rFonts w:cs="Arial"/>
                <w:color w:val="000000"/>
                <w:sz w:val="20"/>
              </w:rPr>
              <w:t>40,5</w:t>
            </w:r>
          </w:p>
        </w:tc>
      </w:tr>
      <w:tr w:rsidR="00F67A36" w:rsidRPr="008204B6" w:rsidTr="00D84473">
        <w:trPr>
          <w:trHeight w:val="300"/>
          <w:jc w:val="center"/>
        </w:trPr>
        <w:tc>
          <w:tcPr>
            <w:tcW w:w="2852" w:type="dxa"/>
            <w:tcBorders>
              <w:top w:val="nil"/>
              <w:left w:val="single" w:sz="4" w:space="0" w:color="auto"/>
              <w:bottom w:val="single" w:sz="4" w:space="0" w:color="auto"/>
              <w:right w:val="single" w:sz="4" w:space="0" w:color="auto"/>
            </w:tcBorders>
            <w:shd w:val="clear" w:color="auto" w:fill="F2F2F2"/>
            <w:noWrap/>
            <w:vAlign w:val="center"/>
            <w:hideMark/>
          </w:tcPr>
          <w:p w:rsidR="00F67A36" w:rsidRPr="008204B6" w:rsidRDefault="00F67A36" w:rsidP="00F67A36">
            <w:pPr>
              <w:spacing w:line="240" w:lineRule="auto"/>
              <w:jc w:val="right"/>
              <w:rPr>
                <w:rFonts w:cs="Arial"/>
                <w:b/>
                <w:bCs/>
                <w:color w:val="000000"/>
                <w:sz w:val="20"/>
              </w:rPr>
            </w:pPr>
            <w:r w:rsidRPr="008204B6">
              <w:rPr>
                <w:rFonts w:cs="Arial"/>
                <w:b/>
                <w:bCs/>
                <w:color w:val="000000"/>
                <w:sz w:val="20"/>
              </w:rPr>
              <w:t>TOTAL</w:t>
            </w:r>
          </w:p>
        </w:tc>
        <w:tc>
          <w:tcPr>
            <w:tcW w:w="957" w:type="dxa"/>
            <w:tcBorders>
              <w:top w:val="nil"/>
              <w:left w:val="nil"/>
              <w:bottom w:val="single" w:sz="4" w:space="0" w:color="auto"/>
              <w:right w:val="single" w:sz="4" w:space="0" w:color="auto"/>
            </w:tcBorders>
            <w:shd w:val="clear" w:color="auto" w:fill="F2F2F2"/>
            <w:noWrap/>
            <w:vAlign w:val="center"/>
          </w:tcPr>
          <w:p w:rsidR="00F67A36" w:rsidRPr="008204B6" w:rsidRDefault="00F775F7" w:rsidP="00F67A36">
            <w:pPr>
              <w:spacing w:line="240" w:lineRule="auto"/>
              <w:jc w:val="right"/>
              <w:rPr>
                <w:rFonts w:cs="Arial"/>
                <w:b/>
                <w:color w:val="000000"/>
                <w:sz w:val="20"/>
              </w:rPr>
            </w:pPr>
            <w:r w:rsidRPr="008204B6">
              <w:rPr>
                <w:rFonts w:cs="Arial"/>
                <w:b/>
                <w:color w:val="000000"/>
                <w:sz w:val="20"/>
              </w:rPr>
              <w:t>242,2</w:t>
            </w:r>
          </w:p>
        </w:tc>
        <w:tc>
          <w:tcPr>
            <w:tcW w:w="957" w:type="dxa"/>
            <w:tcBorders>
              <w:top w:val="nil"/>
              <w:left w:val="nil"/>
              <w:bottom w:val="single" w:sz="4" w:space="0" w:color="auto"/>
              <w:right w:val="single" w:sz="4" w:space="0" w:color="auto"/>
            </w:tcBorders>
            <w:shd w:val="clear" w:color="auto" w:fill="F2F2F2"/>
            <w:noWrap/>
            <w:vAlign w:val="center"/>
          </w:tcPr>
          <w:p w:rsidR="00F67A36" w:rsidRPr="008204B6" w:rsidRDefault="00F67A36" w:rsidP="00F67A36">
            <w:pPr>
              <w:spacing w:line="240" w:lineRule="auto"/>
              <w:jc w:val="right"/>
              <w:rPr>
                <w:rFonts w:cs="Arial"/>
                <w:b/>
                <w:color w:val="000000"/>
                <w:sz w:val="20"/>
              </w:rPr>
            </w:pPr>
            <w:r w:rsidRPr="008204B6">
              <w:rPr>
                <w:rFonts w:cs="Arial"/>
                <w:b/>
                <w:color w:val="000000"/>
                <w:sz w:val="20"/>
              </w:rPr>
              <w:t>100,0</w:t>
            </w:r>
          </w:p>
        </w:tc>
        <w:tc>
          <w:tcPr>
            <w:tcW w:w="957" w:type="dxa"/>
            <w:tcBorders>
              <w:top w:val="nil"/>
              <w:left w:val="nil"/>
              <w:bottom w:val="single" w:sz="4" w:space="0" w:color="auto"/>
              <w:right w:val="single" w:sz="4" w:space="0" w:color="auto"/>
            </w:tcBorders>
            <w:shd w:val="clear" w:color="auto" w:fill="F2F2F2"/>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3.456,4</w:t>
            </w:r>
          </w:p>
        </w:tc>
        <w:tc>
          <w:tcPr>
            <w:tcW w:w="957" w:type="dxa"/>
            <w:tcBorders>
              <w:top w:val="nil"/>
              <w:left w:val="nil"/>
              <w:bottom w:val="single" w:sz="4" w:space="0" w:color="auto"/>
              <w:right w:val="single" w:sz="4" w:space="0" w:color="auto"/>
            </w:tcBorders>
            <w:shd w:val="clear" w:color="auto" w:fill="F2F2F2"/>
            <w:noWrap/>
            <w:vAlign w:val="center"/>
          </w:tcPr>
          <w:p w:rsidR="00F67A36" w:rsidRPr="008204B6" w:rsidRDefault="00F67A36" w:rsidP="00F67A36">
            <w:pPr>
              <w:spacing w:line="240" w:lineRule="auto"/>
              <w:jc w:val="right"/>
              <w:rPr>
                <w:rFonts w:cs="Arial"/>
                <w:color w:val="000000"/>
                <w:sz w:val="20"/>
              </w:rPr>
            </w:pPr>
            <w:r w:rsidRPr="008204B6">
              <w:rPr>
                <w:rFonts w:cs="Arial"/>
                <w:color w:val="000000"/>
                <w:sz w:val="20"/>
              </w:rPr>
              <w:t>100,0</w:t>
            </w:r>
          </w:p>
        </w:tc>
        <w:tc>
          <w:tcPr>
            <w:tcW w:w="1636" w:type="dxa"/>
            <w:tcBorders>
              <w:top w:val="nil"/>
              <w:left w:val="nil"/>
              <w:bottom w:val="single" w:sz="4" w:space="0" w:color="auto"/>
              <w:right w:val="single" w:sz="4" w:space="0" w:color="auto"/>
            </w:tcBorders>
            <w:shd w:val="clear" w:color="auto" w:fill="F2F2F2"/>
            <w:vAlign w:val="bottom"/>
          </w:tcPr>
          <w:p w:rsidR="00F67A36" w:rsidRPr="008204B6" w:rsidRDefault="00F67A36" w:rsidP="00D84473">
            <w:pPr>
              <w:spacing w:line="240" w:lineRule="auto"/>
              <w:jc w:val="right"/>
              <w:rPr>
                <w:rFonts w:cs="Arial"/>
                <w:color w:val="000000"/>
                <w:sz w:val="20"/>
              </w:rPr>
            </w:pPr>
            <w:r w:rsidRPr="008204B6">
              <w:rPr>
                <w:rFonts w:cs="Arial"/>
                <w:color w:val="000000"/>
                <w:sz w:val="20"/>
              </w:rPr>
              <w:t>6,8</w:t>
            </w:r>
          </w:p>
        </w:tc>
      </w:tr>
    </w:tbl>
    <w:p w:rsidR="009073F7" w:rsidRPr="008204B6" w:rsidRDefault="009073F7" w:rsidP="008204B6">
      <w:pPr>
        <w:spacing w:line="240" w:lineRule="auto"/>
        <w:ind w:firstLine="567"/>
        <w:rPr>
          <w:rFonts w:cs="Arial"/>
          <w:color w:val="000000"/>
          <w:sz w:val="20"/>
        </w:rPr>
      </w:pPr>
      <w:r w:rsidRPr="008204B6">
        <w:rPr>
          <w:rFonts w:cs="Arial"/>
          <w:color w:val="000000"/>
          <w:sz w:val="20"/>
        </w:rPr>
        <w:t>Fonte: Planimetria Consorcio Hidrostudio - Themag</w:t>
      </w:r>
    </w:p>
    <w:p w:rsidR="005B31D8" w:rsidRDefault="009073F7" w:rsidP="008204B6">
      <w:pPr>
        <w:spacing w:line="240" w:lineRule="auto"/>
        <w:ind w:firstLine="567"/>
        <w:rPr>
          <w:rFonts w:cs="Arial"/>
          <w:color w:val="000000"/>
          <w:sz w:val="20"/>
        </w:rPr>
      </w:pPr>
      <w:r w:rsidRPr="008204B6">
        <w:rPr>
          <w:rFonts w:cs="Arial"/>
          <w:color w:val="000000"/>
          <w:sz w:val="20"/>
        </w:rPr>
        <w:t>(*) Núcleos Rurais, PCH Macaco Branco, PCH Jaguari, Área Urbana, Indústria, Estradas</w:t>
      </w:r>
      <w:r w:rsidR="005B31D8" w:rsidRPr="008204B6">
        <w:rPr>
          <w:rFonts w:cs="Arial"/>
          <w:color w:val="000000"/>
          <w:sz w:val="20"/>
        </w:rPr>
        <w:t>.</w:t>
      </w:r>
    </w:p>
    <w:p w:rsidR="00EF06E3" w:rsidRDefault="00EF06E3" w:rsidP="008204B6">
      <w:pPr>
        <w:spacing w:line="240" w:lineRule="auto"/>
        <w:ind w:firstLine="567"/>
        <w:rPr>
          <w:rFonts w:cs="Arial"/>
          <w:color w:val="000000"/>
          <w:sz w:val="20"/>
        </w:rPr>
      </w:pPr>
    </w:p>
    <w:p w:rsidR="00E155C0" w:rsidRPr="008204B6" w:rsidRDefault="00E155C0" w:rsidP="008204B6">
      <w:pPr>
        <w:spacing w:line="240" w:lineRule="auto"/>
        <w:ind w:firstLine="567"/>
        <w:rPr>
          <w:rFonts w:cs="Arial"/>
          <w:color w:val="000000"/>
          <w:sz w:val="20"/>
        </w:rPr>
      </w:pPr>
    </w:p>
    <w:p w:rsidR="009073F7" w:rsidRPr="00EF06E3" w:rsidRDefault="00B44C8E" w:rsidP="00EF06E3">
      <w:pPr>
        <w:pStyle w:val="Legenda"/>
        <w:jc w:val="center"/>
        <w:rPr>
          <w:b w:val="0"/>
          <w:i w:val="0"/>
        </w:rPr>
      </w:pPr>
      <w:bookmarkStart w:id="388" w:name="_Toc420316525"/>
      <w:r w:rsidRPr="00EF06E3">
        <w:rPr>
          <w:i w:val="0"/>
        </w:rPr>
        <w:t xml:space="preserve">Quadro </w:t>
      </w:r>
      <w:r w:rsidR="00B80A05" w:rsidRPr="00EF06E3">
        <w:rPr>
          <w:i w:val="0"/>
        </w:rPr>
        <w:fldChar w:fldCharType="begin"/>
      </w:r>
      <w:r w:rsidR="00402E81" w:rsidRPr="00EF06E3">
        <w:rPr>
          <w:i w:val="0"/>
        </w:rPr>
        <w:instrText xml:space="preserve"> STYLEREF 2 \s </w:instrText>
      </w:r>
      <w:r w:rsidR="00B80A05" w:rsidRPr="00EF06E3">
        <w:rPr>
          <w:i w:val="0"/>
        </w:rPr>
        <w:fldChar w:fldCharType="separate"/>
      </w:r>
      <w:r w:rsidR="00316060">
        <w:rPr>
          <w:i w:val="0"/>
          <w:noProof/>
        </w:rPr>
        <w:t>1.3</w:t>
      </w:r>
      <w:r w:rsidR="00B80A05" w:rsidRPr="00EF06E3">
        <w:rPr>
          <w:i w:val="0"/>
        </w:rPr>
        <w:fldChar w:fldCharType="end"/>
      </w:r>
      <w:r w:rsidR="00402E81" w:rsidRPr="00EF06E3">
        <w:rPr>
          <w:i w:val="0"/>
        </w:rPr>
        <w:t>.</w:t>
      </w:r>
      <w:r w:rsidR="00B80A05" w:rsidRPr="00EF06E3">
        <w:rPr>
          <w:i w:val="0"/>
        </w:rPr>
        <w:fldChar w:fldCharType="begin"/>
      </w:r>
      <w:r w:rsidR="00402E81" w:rsidRPr="00EF06E3">
        <w:rPr>
          <w:i w:val="0"/>
        </w:rPr>
        <w:instrText xml:space="preserve"> SEQ Quadro \* ARABIC \s 2 </w:instrText>
      </w:r>
      <w:r w:rsidR="00B80A05" w:rsidRPr="00EF06E3">
        <w:rPr>
          <w:i w:val="0"/>
        </w:rPr>
        <w:fldChar w:fldCharType="separate"/>
      </w:r>
      <w:r w:rsidR="00316060">
        <w:rPr>
          <w:i w:val="0"/>
          <w:noProof/>
        </w:rPr>
        <w:t>82</w:t>
      </w:r>
      <w:r w:rsidR="00B80A05" w:rsidRPr="00EF06E3">
        <w:rPr>
          <w:i w:val="0"/>
        </w:rPr>
        <w:fldChar w:fldCharType="end"/>
      </w:r>
      <w:r w:rsidR="00EF06E3" w:rsidRPr="00EF06E3">
        <w:rPr>
          <w:i w:val="0"/>
        </w:rPr>
        <w:t>.</w:t>
      </w:r>
      <w:r w:rsidR="00EF06E3" w:rsidRPr="00EF06E3">
        <w:rPr>
          <w:b w:val="0"/>
          <w:i w:val="0"/>
        </w:rPr>
        <w:t xml:space="preserve"> - </w:t>
      </w:r>
      <w:r w:rsidR="009073F7" w:rsidRPr="00EF06E3">
        <w:rPr>
          <w:b w:val="0"/>
          <w:i w:val="0"/>
        </w:rPr>
        <w:t>Barragem Duas Pontes – Usos do Solo</w:t>
      </w:r>
      <w:bookmarkEnd w:id="388"/>
    </w:p>
    <w:tbl>
      <w:tblPr>
        <w:tblW w:w="8282" w:type="dxa"/>
        <w:jc w:val="center"/>
        <w:tblInd w:w="53" w:type="dxa"/>
        <w:tblLayout w:type="fixed"/>
        <w:tblCellMar>
          <w:left w:w="70" w:type="dxa"/>
          <w:right w:w="70" w:type="dxa"/>
        </w:tblCellMar>
        <w:tblLook w:val="04A0" w:firstRow="1" w:lastRow="0" w:firstColumn="1" w:lastColumn="0" w:noHBand="0" w:noVBand="1"/>
      </w:tblPr>
      <w:tblGrid>
        <w:gridCol w:w="2852"/>
        <w:gridCol w:w="957"/>
        <w:gridCol w:w="957"/>
        <w:gridCol w:w="888"/>
        <w:gridCol w:w="888"/>
        <w:gridCol w:w="1740"/>
      </w:tblGrid>
      <w:tr w:rsidR="00796DF4" w:rsidRPr="008204B6" w:rsidTr="006E4A2E">
        <w:trPr>
          <w:trHeight w:val="900"/>
          <w:jc w:val="center"/>
        </w:trPr>
        <w:tc>
          <w:tcPr>
            <w:tcW w:w="2852"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rsidR="00796DF4" w:rsidRPr="008204B6" w:rsidRDefault="00796DF4" w:rsidP="009073F7">
            <w:pPr>
              <w:spacing w:line="240" w:lineRule="auto"/>
              <w:jc w:val="center"/>
              <w:rPr>
                <w:rFonts w:cs="Arial"/>
                <w:b/>
                <w:bCs/>
                <w:color w:val="000000"/>
                <w:sz w:val="20"/>
              </w:rPr>
            </w:pPr>
            <w:r w:rsidRPr="008204B6">
              <w:rPr>
                <w:rFonts w:cs="Arial"/>
                <w:b/>
                <w:bCs/>
                <w:color w:val="000000"/>
                <w:sz w:val="20"/>
              </w:rPr>
              <w:t>Duas Pontes</w:t>
            </w:r>
          </w:p>
        </w:tc>
        <w:tc>
          <w:tcPr>
            <w:tcW w:w="1914" w:type="dxa"/>
            <w:gridSpan w:val="2"/>
            <w:tcBorders>
              <w:top w:val="single" w:sz="4" w:space="0" w:color="auto"/>
              <w:left w:val="nil"/>
              <w:bottom w:val="single" w:sz="4" w:space="0" w:color="auto"/>
              <w:right w:val="single" w:sz="4" w:space="0" w:color="000000"/>
            </w:tcBorders>
            <w:shd w:val="clear" w:color="auto" w:fill="D9D9D9"/>
            <w:vAlign w:val="center"/>
            <w:hideMark/>
          </w:tcPr>
          <w:p w:rsidR="00796DF4" w:rsidRPr="008204B6" w:rsidRDefault="00796DF4" w:rsidP="004016BD">
            <w:pPr>
              <w:spacing w:line="240" w:lineRule="auto"/>
              <w:jc w:val="center"/>
              <w:rPr>
                <w:rFonts w:cs="Arial"/>
                <w:b/>
                <w:bCs/>
                <w:color w:val="000000"/>
                <w:sz w:val="20"/>
              </w:rPr>
            </w:pPr>
            <w:r w:rsidRPr="008204B6">
              <w:rPr>
                <w:rFonts w:cs="Arial"/>
                <w:b/>
                <w:bCs/>
                <w:color w:val="000000"/>
                <w:sz w:val="20"/>
              </w:rPr>
              <w:t>Reservatório e Área de Jusante do Eixo (A)</w:t>
            </w:r>
          </w:p>
        </w:tc>
        <w:tc>
          <w:tcPr>
            <w:tcW w:w="1776" w:type="dxa"/>
            <w:gridSpan w:val="2"/>
            <w:tcBorders>
              <w:top w:val="single" w:sz="4" w:space="0" w:color="auto"/>
              <w:left w:val="nil"/>
              <w:bottom w:val="single" w:sz="4" w:space="0" w:color="auto"/>
              <w:right w:val="single" w:sz="4" w:space="0" w:color="000000"/>
            </w:tcBorders>
            <w:shd w:val="clear" w:color="auto" w:fill="D9D9D9"/>
            <w:vAlign w:val="center"/>
          </w:tcPr>
          <w:p w:rsidR="00796DF4" w:rsidRPr="008204B6" w:rsidRDefault="00796DF4" w:rsidP="006E4A2E">
            <w:pPr>
              <w:spacing w:line="240" w:lineRule="auto"/>
              <w:jc w:val="center"/>
              <w:rPr>
                <w:rFonts w:cs="Arial"/>
                <w:b/>
                <w:bCs/>
                <w:color w:val="000000"/>
                <w:sz w:val="20"/>
              </w:rPr>
            </w:pPr>
            <w:r w:rsidRPr="008204B6">
              <w:rPr>
                <w:rFonts w:cs="Arial"/>
                <w:b/>
                <w:bCs/>
                <w:color w:val="000000"/>
                <w:sz w:val="20"/>
              </w:rPr>
              <w:t>Total AID (B)</w:t>
            </w:r>
          </w:p>
        </w:tc>
        <w:tc>
          <w:tcPr>
            <w:tcW w:w="1740" w:type="dxa"/>
            <w:tcBorders>
              <w:top w:val="single" w:sz="4" w:space="0" w:color="auto"/>
              <w:left w:val="nil"/>
              <w:bottom w:val="single" w:sz="4" w:space="0" w:color="auto"/>
              <w:right w:val="single" w:sz="4" w:space="0" w:color="auto"/>
            </w:tcBorders>
            <w:shd w:val="clear" w:color="auto" w:fill="D9D9D9"/>
            <w:vAlign w:val="center"/>
          </w:tcPr>
          <w:p w:rsidR="00796DF4" w:rsidRPr="008204B6" w:rsidRDefault="00796DF4" w:rsidP="006E4A2E">
            <w:pPr>
              <w:spacing w:line="240" w:lineRule="auto"/>
              <w:jc w:val="center"/>
              <w:rPr>
                <w:rFonts w:cs="Arial"/>
                <w:b/>
                <w:bCs/>
                <w:color w:val="000000"/>
                <w:sz w:val="20"/>
              </w:rPr>
            </w:pPr>
            <w:r w:rsidRPr="008204B6">
              <w:rPr>
                <w:rFonts w:cs="Arial"/>
                <w:b/>
                <w:bCs/>
                <w:color w:val="000000"/>
                <w:sz w:val="20"/>
              </w:rPr>
              <w:t>Participação do reservatório na AID (A/B)</w:t>
            </w:r>
          </w:p>
        </w:tc>
      </w:tr>
      <w:tr w:rsidR="00796DF4" w:rsidRPr="008204B6" w:rsidTr="006E4A2E">
        <w:trPr>
          <w:trHeight w:val="300"/>
          <w:jc w:val="center"/>
        </w:trPr>
        <w:tc>
          <w:tcPr>
            <w:tcW w:w="2852" w:type="dxa"/>
            <w:tcBorders>
              <w:top w:val="nil"/>
              <w:left w:val="single" w:sz="4" w:space="0" w:color="auto"/>
              <w:bottom w:val="single" w:sz="4" w:space="0" w:color="auto"/>
              <w:right w:val="single" w:sz="4" w:space="0" w:color="auto"/>
            </w:tcBorders>
            <w:shd w:val="clear" w:color="auto" w:fill="D9D9D9"/>
            <w:noWrap/>
            <w:vAlign w:val="center"/>
            <w:hideMark/>
          </w:tcPr>
          <w:p w:rsidR="00796DF4" w:rsidRPr="008204B6" w:rsidRDefault="00796DF4" w:rsidP="009073F7">
            <w:pPr>
              <w:spacing w:line="240" w:lineRule="auto"/>
              <w:jc w:val="center"/>
              <w:rPr>
                <w:rFonts w:cs="Arial"/>
                <w:b/>
                <w:bCs/>
                <w:color w:val="000000"/>
                <w:sz w:val="20"/>
              </w:rPr>
            </w:pPr>
            <w:r w:rsidRPr="008204B6">
              <w:rPr>
                <w:rFonts w:cs="Arial"/>
                <w:b/>
                <w:bCs/>
                <w:color w:val="000000"/>
                <w:sz w:val="20"/>
              </w:rPr>
              <w:t>Classe</w:t>
            </w:r>
          </w:p>
        </w:tc>
        <w:tc>
          <w:tcPr>
            <w:tcW w:w="957" w:type="dxa"/>
            <w:tcBorders>
              <w:top w:val="nil"/>
              <w:left w:val="nil"/>
              <w:bottom w:val="single" w:sz="4" w:space="0" w:color="auto"/>
              <w:right w:val="single" w:sz="4" w:space="0" w:color="auto"/>
            </w:tcBorders>
            <w:shd w:val="clear" w:color="auto" w:fill="D9D9D9"/>
            <w:noWrap/>
            <w:vAlign w:val="center"/>
            <w:hideMark/>
          </w:tcPr>
          <w:p w:rsidR="00796DF4" w:rsidRPr="008204B6" w:rsidRDefault="00796DF4" w:rsidP="006E4A2E">
            <w:pPr>
              <w:spacing w:line="240" w:lineRule="auto"/>
              <w:jc w:val="center"/>
              <w:rPr>
                <w:rFonts w:cs="Arial"/>
                <w:b/>
                <w:bCs/>
                <w:color w:val="000000"/>
                <w:sz w:val="20"/>
              </w:rPr>
            </w:pPr>
            <w:r w:rsidRPr="008204B6">
              <w:rPr>
                <w:rFonts w:cs="Arial"/>
                <w:b/>
                <w:bCs/>
                <w:color w:val="000000"/>
                <w:sz w:val="20"/>
              </w:rPr>
              <w:t>(ha)</w:t>
            </w:r>
          </w:p>
        </w:tc>
        <w:tc>
          <w:tcPr>
            <w:tcW w:w="957" w:type="dxa"/>
            <w:tcBorders>
              <w:top w:val="nil"/>
              <w:left w:val="nil"/>
              <w:bottom w:val="single" w:sz="4" w:space="0" w:color="auto"/>
              <w:right w:val="single" w:sz="4" w:space="0" w:color="auto"/>
            </w:tcBorders>
            <w:shd w:val="clear" w:color="auto" w:fill="D9D9D9"/>
            <w:vAlign w:val="center"/>
            <w:hideMark/>
          </w:tcPr>
          <w:p w:rsidR="00796DF4" w:rsidRPr="008204B6" w:rsidRDefault="00796DF4" w:rsidP="006E4A2E">
            <w:pPr>
              <w:spacing w:line="240" w:lineRule="auto"/>
              <w:jc w:val="center"/>
              <w:rPr>
                <w:rFonts w:cs="Arial"/>
                <w:b/>
                <w:bCs/>
                <w:color w:val="000000"/>
                <w:sz w:val="20"/>
              </w:rPr>
            </w:pPr>
            <w:r w:rsidRPr="008204B6">
              <w:rPr>
                <w:rFonts w:cs="Arial"/>
                <w:b/>
                <w:bCs/>
                <w:color w:val="000000"/>
                <w:sz w:val="20"/>
              </w:rPr>
              <w:t>%</w:t>
            </w:r>
          </w:p>
        </w:tc>
        <w:tc>
          <w:tcPr>
            <w:tcW w:w="888" w:type="dxa"/>
            <w:tcBorders>
              <w:top w:val="nil"/>
              <w:left w:val="nil"/>
              <w:bottom w:val="single" w:sz="4" w:space="0" w:color="auto"/>
              <w:right w:val="single" w:sz="4" w:space="0" w:color="auto"/>
            </w:tcBorders>
            <w:shd w:val="clear" w:color="auto" w:fill="D9D9D9"/>
            <w:noWrap/>
            <w:vAlign w:val="center"/>
          </w:tcPr>
          <w:p w:rsidR="00796DF4" w:rsidRPr="008204B6" w:rsidRDefault="00796DF4" w:rsidP="006E4A2E">
            <w:pPr>
              <w:spacing w:line="240" w:lineRule="auto"/>
              <w:jc w:val="center"/>
              <w:rPr>
                <w:rFonts w:cs="Arial"/>
                <w:b/>
                <w:bCs/>
                <w:color w:val="000000"/>
                <w:sz w:val="20"/>
              </w:rPr>
            </w:pPr>
            <w:r w:rsidRPr="008204B6">
              <w:rPr>
                <w:rFonts w:cs="Arial"/>
                <w:b/>
                <w:bCs/>
                <w:color w:val="000000"/>
                <w:sz w:val="20"/>
              </w:rPr>
              <w:t>(ha)</w:t>
            </w:r>
          </w:p>
        </w:tc>
        <w:tc>
          <w:tcPr>
            <w:tcW w:w="888" w:type="dxa"/>
            <w:tcBorders>
              <w:top w:val="nil"/>
              <w:left w:val="nil"/>
              <w:bottom w:val="single" w:sz="4" w:space="0" w:color="auto"/>
              <w:right w:val="single" w:sz="4" w:space="0" w:color="auto"/>
            </w:tcBorders>
            <w:shd w:val="clear" w:color="auto" w:fill="D9D9D9"/>
            <w:noWrap/>
            <w:vAlign w:val="center"/>
          </w:tcPr>
          <w:p w:rsidR="00796DF4" w:rsidRPr="008204B6" w:rsidRDefault="00796DF4" w:rsidP="006E4A2E">
            <w:pPr>
              <w:spacing w:line="240" w:lineRule="auto"/>
              <w:jc w:val="center"/>
              <w:rPr>
                <w:rFonts w:cs="Arial"/>
                <w:b/>
                <w:bCs/>
                <w:color w:val="000000"/>
                <w:sz w:val="20"/>
              </w:rPr>
            </w:pPr>
            <w:r w:rsidRPr="008204B6">
              <w:rPr>
                <w:rFonts w:cs="Arial"/>
                <w:b/>
                <w:bCs/>
                <w:color w:val="000000"/>
                <w:sz w:val="20"/>
              </w:rPr>
              <w:t>%</w:t>
            </w:r>
          </w:p>
        </w:tc>
        <w:tc>
          <w:tcPr>
            <w:tcW w:w="1740" w:type="dxa"/>
            <w:tcBorders>
              <w:top w:val="nil"/>
              <w:left w:val="nil"/>
              <w:bottom w:val="single" w:sz="4" w:space="0" w:color="auto"/>
              <w:right w:val="single" w:sz="4" w:space="0" w:color="auto"/>
            </w:tcBorders>
            <w:shd w:val="clear" w:color="auto" w:fill="D9D9D9"/>
          </w:tcPr>
          <w:p w:rsidR="00796DF4" w:rsidRPr="008204B6" w:rsidRDefault="00796DF4" w:rsidP="006E4A2E">
            <w:pPr>
              <w:spacing w:line="240" w:lineRule="auto"/>
              <w:jc w:val="center"/>
              <w:rPr>
                <w:rFonts w:cs="Arial"/>
                <w:b/>
                <w:bCs/>
                <w:color w:val="000000"/>
                <w:sz w:val="20"/>
              </w:rPr>
            </w:pPr>
            <w:r w:rsidRPr="008204B6">
              <w:rPr>
                <w:rFonts w:cs="Arial"/>
                <w:b/>
                <w:bCs/>
                <w:color w:val="000000"/>
                <w:sz w:val="20"/>
              </w:rPr>
              <w:t>%</w:t>
            </w:r>
          </w:p>
        </w:tc>
      </w:tr>
      <w:tr w:rsidR="00F67A36" w:rsidRPr="008204B6" w:rsidTr="00F67A36">
        <w:trPr>
          <w:trHeight w:val="300"/>
          <w:jc w:val="center"/>
        </w:trPr>
        <w:tc>
          <w:tcPr>
            <w:tcW w:w="2852" w:type="dxa"/>
            <w:tcBorders>
              <w:top w:val="nil"/>
              <w:left w:val="single" w:sz="4" w:space="0" w:color="auto"/>
              <w:bottom w:val="single" w:sz="4" w:space="0" w:color="auto"/>
              <w:right w:val="single" w:sz="4" w:space="0" w:color="auto"/>
            </w:tcBorders>
            <w:shd w:val="clear" w:color="auto" w:fill="auto"/>
            <w:noWrap/>
            <w:vAlign w:val="bottom"/>
            <w:hideMark/>
          </w:tcPr>
          <w:p w:rsidR="00F67A36" w:rsidRPr="008204B6" w:rsidRDefault="00F67A36" w:rsidP="00F67A36">
            <w:pPr>
              <w:spacing w:line="240" w:lineRule="auto"/>
              <w:jc w:val="left"/>
              <w:rPr>
                <w:rFonts w:cs="Arial"/>
                <w:color w:val="000000"/>
                <w:sz w:val="20"/>
              </w:rPr>
            </w:pPr>
            <w:r w:rsidRPr="008204B6">
              <w:rPr>
                <w:rFonts w:cs="Arial"/>
                <w:color w:val="000000"/>
                <w:sz w:val="20"/>
              </w:rPr>
              <w:t xml:space="preserve">Floresta Estacional </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67A36" w:rsidP="00F775F7">
            <w:pPr>
              <w:spacing w:line="240" w:lineRule="auto"/>
              <w:jc w:val="center"/>
              <w:rPr>
                <w:rFonts w:cs="Arial"/>
                <w:color w:val="000000"/>
                <w:sz w:val="20"/>
              </w:rPr>
            </w:pPr>
            <w:r w:rsidRPr="008204B6">
              <w:rPr>
                <w:rFonts w:cs="Arial"/>
                <w:color w:val="000000"/>
                <w:sz w:val="20"/>
              </w:rPr>
              <w:t>93,</w:t>
            </w:r>
            <w:r w:rsidR="00F775F7" w:rsidRPr="008204B6">
              <w:rPr>
                <w:rFonts w:cs="Arial"/>
                <w:color w:val="000000"/>
                <w:sz w:val="20"/>
              </w:rPr>
              <w:t>3</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18,</w:t>
            </w:r>
            <w:r w:rsidR="00F775F7" w:rsidRPr="008204B6">
              <w:rPr>
                <w:rFonts w:cs="Arial"/>
                <w:color w:val="000000"/>
                <w:sz w:val="20"/>
              </w:rPr>
              <w:t>1</w:t>
            </w:r>
          </w:p>
        </w:tc>
        <w:tc>
          <w:tcPr>
            <w:tcW w:w="888"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1.332,5</w:t>
            </w:r>
          </w:p>
        </w:tc>
        <w:tc>
          <w:tcPr>
            <w:tcW w:w="888"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21,2</w:t>
            </w:r>
          </w:p>
        </w:tc>
        <w:tc>
          <w:tcPr>
            <w:tcW w:w="1740" w:type="dxa"/>
            <w:tcBorders>
              <w:top w:val="nil"/>
              <w:left w:val="nil"/>
              <w:bottom w:val="single" w:sz="4" w:space="0" w:color="auto"/>
              <w:right w:val="single" w:sz="4" w:space="0" w:color="auto"/>
            </w:tcBorders>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7,0</w:t>
            </w:r>
          </w:p>
        </w:tc>
      </w:tr>
      <w:tr w:rsidR="00F67A36" w:rsidRPr="008204B6" w:rsidTr="00F67A36">
        <w:trPr>
          <w:trHeight w:val="300"/>
          <w:jc w:val="center"/>
        </w:trPr>
        <w:tc>
          <w:tcPr>
            <w:tcW w:w="2852" w:type="dxa"/>
            <w:tcBorders>
              <w:top w:val="nil"/>
              <w:left w:val="single" w:sz="4" w:space="0" w:color="auto"/>
              <w:bottom w:val="single" w:sz="4" w:space="0" w:color="auto"/>
              <w:right w:val="single" w:sz="4" w:space="0" w:color="auto"/>
            </w:tcBorders>
            <w:shd w:val="clear" w:color="auto" w:fill="auto"/>
            <w:noWrap/>
            <w:vAlign w:val="bottom"/>
            <w:hideMark/>
          </w:tcPr>
          <w:p w:rsidR="00F67A36" w:rsidRPr="008204B6" w:rsidRDefault="00F67A36" w:rsidP="00F67A36">
            <w:pPr>
              <w:spacing w:line="240" w:lineRule="auto"/>
              <w:jc w:val="left"/>
              <w:rPr>
                <w:rFonts w:cs="Arial"/>
                <w:color w:val="000000"/>
                <w:sz w:val="20"/>
              </w:rPr>
            </w:pPr>
            <w:r w:rsidRPr="008204B6">
              <w:rPr>
                <w:rFonts w:cs="Arial"/>
                <w:color w:val="000000"/>
                <w:sz w:val="20"/>
              </w:rPr>
              <w:t xml:space="preserve">Vegetação Pioneira </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22,</w:t>
            </w:r>
            <w:r w:rsidR="00F775F7" w:rsidRPr="008204B6">
              <w:rPr>
                <w:rFonts w:cs="Arial"/>
                <w:color w:val="000000"/>
                <w:sz w:val="20"/>
              </w:rPr>
              <w:t>4</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4,4</w:t>
            </w:r>
          </w:p>
        </w:tc>
        <w:tc>
          <w:tcPr>
            <w:tcW w:w="888"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435,1</w:t>
            </w:r>
          </w:p>
        </w:tc>
        <w:tc>
          <w:tcPr>
            <w:tcW w:w="888"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6,9</w:t>
            </w:r>
          </w:p>
        </w:tc>
        <w:tc>
          <w:tcPr>
            <w:tcW w:w="1740" w:type="dxa"/>
            <w:tcBorders>
              <w:top w:val="nil"/>
              <w:left w:val="nil"/>
              <w:bottom w:val="single" w:sz="4" w:space="0" w:color="auto"/>
              <w:right w:val="single" w:sz="4" w:space="0" w:color="auto"/>
            </w:tcBorders>
            <w:vAlign w:val="center"/>
          </w:tcPr>
          <w:p w:rsidR="00F67A36" w:rsidRPr="008204B6" w:rsidRDefault="00F67A36" w:rsidP="00F775F7">
            <w:pPr>
              <w:spacing w:line="240" w:lineRule="auto"/>
              <w:jc w:val="center"/>
              <w:rPr>
                <w:rFonts w:cs="Arial"/>
                <w:color w:val="000000"/>
                <w:sz w:val="20"/>
              </w:rPr>
            </w:pPr>
            <w:r w:rsidRPr="008204B6">
              <w:rPr>
                <w:rFonts w:cs="Arial"/>
                <w:color w:val="000000"/>
                <w:sz w:val="20"/>
              </w:rPr>
              <w:t>5,</w:t>
            </w:r>
            <w:r w:rsidR="00F775F7" w:rsidRPr="008204B6">
              <w:rPr>
                <w:rFonts w:cs="Arial"/>
                <w:color w:val="000000"/>
                <w:sz w:val="20"/>
              </w:rPr>
              <w:t>1</w:t>
            </w:r>
          </w:p>
        </w:tc>
      </w:tr>
      <w:tr w:rsidR="00F67A36" w:rsidRPr="008204B6" w:rsidTr="00F67A36">
        <w:trPr>
          <w:trHeight w:val="300"/>
          <w:jc w:val="center"/>
        </w:trPr>
        <w:tc>
          <w:tcPr>
            <w:tcW w:w="2852" w:type="dxa"/>
            <w:tcBorders>
              <w:top w:val="nil"/>
              <w:left w:val="single" w:sz="4" w:space="0" w:color="auto"/>
              <w:bottom w:val="single" w:sz="4" w:space="0" w:color="auto"/>
              <w:right w:val="single" w:sz="4" w:space="0" w:color="auto"/>
            </w:tcBorders>
            <w:shd w:val="clear" w:color="auto" w:fill="FBD4B4"/>
            <w:noWrap/>
            <w:vAlign w:val="bottom"/>
            <w:hideMark/>
          </w:tcPr>
          <w:p w:rsidR="00F67A36" w:rsidRPr="008204B6" w:rsidRDefault="00F67A36" w:rsidP="00F67A36">
            <w:pPr>
              <w:spacing w:line="240" w:lineRule="auto"/>
              <w:jc w:val="left"/>
              <w:rPr>
                <w:rFonts w:cs="Arial"/>
                <w:color w:val="000000"/>
                <w:sz w:val="20"/>
              </w:rPr>
            </w:pPr>
            <w:r w:rsidRPr="008204B6">
              <w:rPr>
                <w:rFonts w:cs="Arial"/>
                <w:color w:val="000000"/>
                <w:sz w:val="20"/>
              </w:rPr>
              <w:t>Campo úmido antropizado</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28,3</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5,5</w:t>
            </w:r>
          </w:p>
        </w:tc>
        <w:tc>
          <w:tcPr>
            <w:tcW w:w="888"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97,1</w:t>
            </w:r>
          </w:p>
        </w:tc>
        <w:tc>
          <w:tcPr>
            <w:tcW w:w="888"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1,5</w:t>
            </w:r>
          </w:p>
        </w:tc>
        <w:tc>
          <w:tcPr>
            <w:tcW w:w="1740" w:type="dxa"/>
            <w:tcBorders>
              <w:top w:val="nil"/>
              <w:left w:val="nil"/>
              <w:bottom w:val="single" w:sz="4" w:space="0" w:color="auto"/>
              <w:right w:val="single" w:sz="4" w:space="0" w:color="auto"/>
            </w:tcBorders>
            <w:shd w:val="clear" w:color="auto" w:fill="FBD4B4"/>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29,1</w:t>
            </w:r>
          </w:p>
        </w:tc>
      </w:tr>
      <w:tr w:rsidR="00F67A36" w:rsidRPr="008204B6" w:rsidTr="00F67A36">
        <w:trPr>
          <w:trHeight w:val="300"/>
          <w:jc w:val="center"/>
        </w:trPr>
        <w:tc>
          <w:tcPr>
            <w:tcW w:w="2852" w:type="dxa"/>
            <w:tcBorders>
              <w:top w:val="nil"/>
              <w:left w:val="single" w:sz="4" w:space="0" w:color="auto"/>
              <w:bottom w:val="single" w:sz="4" w:space="0" w:color="auto"/>
              <w:right w:val="single" w:sz="4" w:space="0" w:color="auto"/>
            </w:tcBorders>
            <w:shd w:val="clear" w:color="auto" w:fill="FBD4B4"/>
            <w:noWrap/>
            <w:vAlign w:val="bottom"/>
            <w:hideMark/>
          </w:tcPr>
          <w:p w:rsidR="00F67A36" w:rsidRPr="008204B6" w:rsidRDefault="00F67A36" w:rsidP="00F67A36">
            <w:pPr>
              <w:spacing w:line="240" w:lineRule="auto"/>
              <w:jc w:val="left"/>
              <w:rPr>
                <w:rFonts w:cs="Arial"/>
                <w:color w:val="000000"/>
                <w:sz w:val="20"/>
              </w:rPr>
            </w:pPr>
            <w:r w:rsidRPr="008204B6">
              <w:rPr>
                <w:rFonts w:cs="Arial"/>
                <w:color w:val="000000"/>
                <w:sz w:val="20"/>
              </w:rPr>
              <w:t xml:space="preserve">Cana-de-açúcar </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775F7" w:rsidP="00F67A36">
            <w:pPr>
              <w:spacing w:line="240" w:lineRule="auto"/>
              <w:jc w:val="center"/>
              <w:rPr>
                <w:rFonts w:cs="Arial"/>
                <w:color w:val="000000"/>
                <w:sz w:val="20"/>
              </w:rPr>
            </w:pPr>
            <w:r w:rsidRPr="008204B6">
              <w:rPr>
                <w:rFonts w:cs="Arial"/>
                <w:color w:val="000000"/>
                <w:sz w:val="20"/>
              </w:rPr>
              <w:t>74,1</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775F7">
            <w:pPr>
              <w:spacing w:line="240" w:lineRule="auto"/>
              <w:jc w:val="center"/>
              <w:rPr>
                <w:rFonts w:cs="Arial"/>
                <w:color w:val="000000"/>
                <w:sz w:val="20"/>
              </w:rPr>
            </w:pPr>
            <w:r w:rsidRPr="008204B6">
              <w:rPr>
                <w:rFonts w:cs="Arial"/>
                <w:color w:val="000000"/>
                <w:sz w:val="20"/>
              </w:rPr>
              <w:t>14,</w:t>
            </w:r>
            <w:r w:rsidR="00F775F7" w:rsidRPr="008204B6">
              <w:rPr>
                <w:rFonts w:cs="Arial"/>
                <w:color w:val="000000"/>
                <w:sz w:val="20"/>
              </w:rPr>
              <w:t>3</w:t>
            </w:r>
          </w:p>
        </w:tc>
        <w:tc>
          <w:tcPr>
            <w:tcW w:w="888"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1.032,6</w:t>
            </w:r>
          </w:p>
        </w:tc>
        <w:tc>
          <w:tcPr>
            <w:tcW w:w="888"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16,4</w:t>
            </w:r>
          </w:p>
        </w:tc>
        <w:tc>
          <w:tcPr>
            <w:tcW w:w="1740" w:type="dxa"/>
            <w:tcBorders>
              <w:top w:val="nil"/>
              <w:left w:val="nil"/>
              <w:bottom w:val="single" w:sz="4" w:space="0" w:color="auto"/>
              <w:right w:val="single" w:sz="4" w:space="0" w:color="auto"/>
            </w:tcBorders>
            <w:shd w:val="clear" w:color="auto" w:fill="FBD4B4"/>
            <w:vAlign w:val="center"/>
          </w:tcPr>
          <w:p w:rsidR="00F67A36" w:rsidRPr="008204B6" w:rsidRDefault="00F67A36" w:rsidP="00F775F7">
            <w:pPr>
              <w:spacing w:line="240" w:lineRule="auto"/>
              <w:jc w:val="center"/>
              <w:rPr>
                <w:rFonts w:cs="Arial"/>
                <w:color w:val="000000"/>
                <w:sz w:val="20"/>
              </w:rPr>
            </w:pPr>
            <w:r w:rsidRPr="008204B6">
              <w:rPr>
                <w:rFonts w:cs="Arial"/>
                <w:color w:val="000000"/>
                <w:sz w:val="20"/>
              </w:rPr>
              <w:t>7,</w:t>
            </w:r>
            <w:r w:rsidR="00F775F7" w:rsidRPr="008204B6">
              <w:rPr>
                <w:rFonts w:cs="Arial"/>
                <w:color w:val="000000"/>
                <w:sz w:val="20"/>
              </w:rPr>
              <w:t>2</w:t>
            </w:r>
          </w:p>
        </w:tc>
      </w:tr>
      <w:tr w:rsidR="00F67A36" w:rsidRPr="008204B6" w:rsidTr="00F67A36">
        <w:trPr>
          <w:trHeight w:val="300"/>
          <w:jc w:val="center"/>
        </w:trPr>
        <w:tc>
          <w:tcPr>
            <w:tcW w:w="2852" w:type="dxa"/>
            <w:tcBorders>
              <w:top w:val="nil"/>
              <w:left w:val="single" w:sz="4" w:space="0" w:color="auto"/>
              <w:bottom w:val="single" w:sz="4" w:space="0" w:color="auto"/>
              <w:right w:val="single" w:sz="4" w:space="0" w:color="auto"/>
            </w:tcBorders>
            <w:shd w:val="clear" w:color="auto" w:fill="FBD4B4"/>
            <w:noWrap/>
            <w:vAlign w:val="bottom"/>
            <w:hideMark/>
          </w:tcPr>
          <w:p w:rsidR="00F67A36" w:rsidRPr="008204B6" w:rsidRDefault="00F67A36" w:rsidP="00F67A36">
            <w:pPr>
              <w:spacing w:line="240" w:lineRule="auto"/>
              <w:jc w:val="left"/>
              <w:rPr>
                <w:rFonts w:cs="Arial"/>
                <w:color w:val="000000"/>
                <w:sz w:val="20"/>
              </w:rPr>
            </w:pPr>
            <w:r w:rsidRPr="008204B6">
              <w:rPr>
                <w:rFonts w:cs="Arial"/>
                <w:color w:val="000000"/>
                <w:sz w:val="20"/>
              </w:rPr>
              <w:t>Outras Culturas</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9,0</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1,7</w:t>
            </w:r>
          </w:p>
        </w:tc>
        <w:tc>
          <w:tcPr>
            <w:tcW w:w="888"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345,9</w:t>
            </w:r>
          </w:p>
        </w:tc>
        <w:tc>
          <w:tcPr>
            <w:tcW w:w="888"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5,5</w:t>
            </w:r>
          </w:p>
        </w:tc>
        <w:tc>
          <w:tcPr>
            <w:tcW w:w="1740" w:type="dxa"/>
            <w:tcBorders>
              <w:top w:val="nil"/>
              <w:left w:val="nil"/>
              <w:bottom w:val="single" w:sz="4" w:space="0" w:color="auto"/>
              <w:right w:val="single" w:sz="4" w:space="0" w:color="auto"/>
            </w:tcBorders>
            <w:shd w:val="clear" w:color="auto" w:fill="FBD4B4"/>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2,6</w:t>
            </w:r>
          </w:p>
        </w:tc>
      </w:tr>
      <w:tr w:rsidR="00F67A36" w:rsidRPr="008204B6" w:rsidTr="00F67A36">
        <w:trPr>
          <w:trHeight w:val="300"/>
          <w:jc w:val="center"/>
        </w:trPr>
        <w:tc>
          <w:tcPr>
            <w:tcW w:w="2852" w:type="dxa"/>
            <w:tcBorders>
              <w:top w:val="nil"/>
              <w:left w:val="single" w:sz="4" w:space="0" w:color="auto"/>
              <w:bottom w:val="nil"/>
              <w:right w:val="single" w:sz="4" w:space="0" w:color="auto"/>
            </w:tcBorders>
            <w:shd w:val="clear" w:color="auto" w:fill="FBD4B4"/>
            <w:noWrap/>
            <w:vAlign w:val="center"/>
            <w:hideMark/>
          </w:tcPr>
          <w:p w:rsidR="00F67A36" w:rsidRPr="008204B6" w:rsidRDefault="00F67A36" w:rsidP="00F67A36">
            <w:pPr>
              <w:spacing w:line="240" w:lineRule="auto"/>
              <w:jc w:val="left"/>
              <w:rPr>
                <w:rFonts w:cs="Arial"/>
                <w:color w:val="000000"/>
                <w:sz w:val="20"/>
              </w:rPr>
            </w:pPr>
            <w:r w:rsidRPr="008204B6">
              <w:rPr>
                <w:rFonts w:cs="Arial"/>
                <w:color w:val="000000"/>
                <w:sz w:val="20"/>
              </w:rPr>
              <w:t>Pasto/Pasto Sujo</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216,</w:t>
            </w:r>
            <w:r w:rsidR="00F775F7" w:rsidRPr="008204B6">
              <w:rPr>
                <w:rFonts w:cs="Arial"/>
                <w:color w:val="000000"/>
                <w:sz w:val="20"/>
              </w:rPr>
              <w:t>1</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775F7">
            <w:pPr>
              <w:spacing w:line="240" w:lineRule="auto"/>
              <w:jc w:val="center"/>
              <w:rPr>
                <w:rFonts w:cs="Arial"/>
                <w:color w:val="000000"/>
                <w:sz w:val="20"/>
              </w:rPr>
            </w:pPr>
            <w:r w:rsidRPr="008204B6">
              <w:rPr>
                <w:rFonts w:cs="Arial"/>
                <w:color w:val="000000"/>
                <w:sz w:val="20"/>
              </w:rPr>
              <w:t>41,</w:t>
            </w:r>
            <w:r w:rsidR="00F775F7" w:rsidRPr="008204B6">
              <w:rPr>
                <w:rFonts w:cs="Arial"/>
                <w:color w:val="000000"/>
                <w:sz w:val="20"/>
              </w:rPr>
              <w:t>8</w:t>
            </w:r>
          </w:p>
        </w:tc>
        <w:tc>
          <w:tcPr>
            <w:tcW w:w="888"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2.294,2</w:t>
            </w:r>
          </w:p>
        </w:tc>
        <w:tc>
          <w:tcPr>
            <w:tcW w:w="888"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36,5</w:t>
            </w:r>
          </w:p>
        </w:tc>
        <w:tc>
          <w:tcPr>
            <w:tcW w:w="1740" w:type="dxa"/>
            <w:tcBorders>
              <w:top w:val="nil"/>
              <w:left w:val="nil"/>
              <w:bottom w:val="single" w:sz="4" w:space="0" w:color="auto"/>
              <w:right w:val="single" w:sz="4" w:space="0" w:color="auto"/>
            </w:tcBorders>
            <w:shd w:val="clear" w:color="auto" w:fill="FBD4B4"/>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9,4</w:t>
            </w:r>
          </w:p>
        </w:tc>
      </w:tr>
      <w:tr w:rsidR="00F67A36" w:rsidRPr="008204B6" w:rsidTr="00F67A36">
        <w:trPr>
          <w:trHeight w:val="300"/>
          <w:jc w:val="center"/>
        </w:trPr>
        <w:tc>
          <w:tcPr>
            <w:tcW w:w="2852" w:type="dxa"/>
            <w:tcBorders>
              <w:top w:val="single" w:sz="4" w:space="0" w:color="auto"/>
              <w:left w:val="single" w:sz="4" w:space="0" w:color="auto"/>
              <w:bottom w:val="single" w:sz="4" w:space="0" w:color="auto"/>
              <w:right w:val="single" w:sz="4" w:space="0" w:color="auto"/>
            </w:tcBorders>
            <w:shd w:val="clear" w:color="auto" w:fill="FBD4B4"/>
            <w:noWrap/>
            <w:vAlign w:val="bottom"/>
            <w:hideMark/>
          </w:tcPr>
          <w:p w:rsidR="00F67A36" w:rsidRPr="008204B6" w:rsidRDefault="00F67A36" w:rsidP="00F67A36">
            <w:pPr>
              <w:spacing w:line="240" w:lineRule="auto"/>
              <w:jc w:val="left"/>
              <w:rPr>
                <w:rFonts w:cs="Arial"/>
                <w:color w:val="000000"/>
                <w:sz w:val="20"/>
              </w:rPr>
            </w:pPr>
            <w:r w:rsidRPr="008204B6">
              <w:rPr>
                <w:rFonts w:cs="Arial"/>
                <w:color w:val="000000"/>
                <w:sz w:val="20"/>
              </w:rPr>
              <w:t>Reflorestamento</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12,5</w:t>
            </w:r>
          </w:p>
        </w:tc>
        <w:tc>
          <w:tcPr>
            <w:tcW w:w="957"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2,5</w:t>
            </w:r>
          </w:p>
        </w:tc>
        <w:tc>
          <w:tcPr>
            <w:tcW w:w="888"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352,1</w:t>
            </w:r>
          </w:p>
        </w:tc>
        <w:tc>
          <w:tcPr>
            <w:tcW w:w="888" w:type="dxa"/>
            <w:tcBorders>
              <w:top w:val="nil"/>
              <w:left w:val="nil"/>
              <w:bottom w:val="single" w:sz="4" w:space="0" w:color="auto"/>
              <w:right w:val="single" w:sz="4" w:space="0" w:color="auto"/>
            </w:tcBorders>
            <w:shd w:val="clear" w:color="auto" w:fill="FBD4B4"/>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5,6</w:t>
            </w:r>
          </w:p>
        </w:tc>
        <w:tc>
          <w:tcPr>
            <w:tcW w:w="1740" w:type="dxa"/>
            <w:tcBorders>
              <w:top w:val="nil"/>
              <w:left w:val="nil"/>
              <w:bottom w:val="single" w:sz="4" w:space="0" w:color="auto"/>
              <w:right w:val="single" w:sz="4" w:space="0" w:color="auto"/>
            </w:tcBorders>
            <w:shd w:val="clear" w:color="auto" w:fill="FBD4B4"/>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3,6</w:t>
            </w:r>
          </w:p>
        </w:tc>
      </w:tr>
      <w:tr w:rsidR="00F67A36" w:rsidRPr="008204B6" w:rsidTr="00F67A36">
        <w:trPr>
          <w:trHeight w:val="300"/>
          <w:jc w:val="center"/>
        </w:trPr>
        <w:tc>
          <w:tcPr>
            <w:tcW w:w="2852" w:type="dxa"/>
            <w:tcBorders>
              <w:top w:val="nil"/>
              <w:left w:val="single" w:sz="4" w:space="0" w:color="auto"/>
              <w:bottom w:val="single" w:sz="4" w:space="0" w:color="auto"/>
              <w:right w:val="single" w:sz="4" w:space="0" w:color="auto"/>
            </w:tcBorders>
            <w:shd w:val="clear" w:color="auto" w:fill="auto"/>
            <w:noWrap/>
            <w:vAlign w:val="bottom"/>
            <w:hideMark/>
          </w:tcPr>
          <w:p w:rsidR="00F67A36" w:rsidRPr="008204B6" w:rsidRDefault="00F67A36" w:rsidP="00F67A36">
            <w:pPr>
              <w:spacing w:line="240" w:lineRule="auto"/>
              <w:jc w:val="left"/>
              <w:rPr>
                <w:rFonts w:cs="Arial"/>
                <w:color w:val="000000"/>
                <w:sz w:val="20"/>
              </w:rPr>
            </w:pPr>
            <w:r w:rsidRPr="008204B6">
              <w:rPr>
                <w:rFonts w:cs="Arial"/>
                <w:color w:val="000000"/>
                <w:sz w:val="20"/>
              </w:rPr>
              <w:t>Usos não agropecuários (*)</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775F7" w:rsidP="00F67A36">
            <w:pPr>
              <w:spacing w:line="240" w:lineRule="auto"/>
              <w:jc w:val="center"/>
              <w:rPr>
                <w:rFonts w:cs="Arial"/>
                <w:color w:val="000000"/>
                <w:sz w:val="20"/>
              </w:rPr>
            </w:pPr>
            <w:r w:rsidRPr="008204B6">
              <w:rPr>
                <w:rFonts w:cs="Arial"/>
                <w:color w:val="000000"/>
                <w:sz w:val="20"/>
              </w:rPr>
              <w:t>36,4</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775F7" w:rsidP="00F67A36">
            <w:pPr>
              <w:spacing w:line="240" w:lineRule="auto"/>
              <w:jc w:val="center"/>
              <w:rPr>
                <w:rFonts w:cs="Arial"/>
                <w:color w:val="000000"/>
                <w:sz w:val="20"/>
              </w:rPr>
            </w:pPr>
            <w:r w:rsidRPr="008204B6">
              <w:rPr>
                <w:rFonts w:cs="Arial"/>
                <w:color w:val="000000"/>
                <w:sz w:val="20"/>
              </w:rPr>
              <w:t>7,0</w:t>
            </w:r>
          </w:p>
        </w:tc>
        <w:tc>
          <w:tcPr>
            <w:tcW w:w="888"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310,7</w:t>
            </w:r>
          </w:p>
        </w:tc>
        <w:tc>
          <w:tcPr>
            <w:tcW w:w="888"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4,9</w:t>
            </w:r>
          </w:p>
        </w:tc>
        <w:tc>
          <w:tcPr>
            <w:tcW w:w="1740" w:type="dxa"/>
            <w:tcBorders>
              <w:top w:val="nil"/>
              <w:left w:val="nil"/>
              <w:bottom w:val="single" w:sz="4" w:space="0" w:color="auto"/>
              <w:right w:val="single" w:sz="4" w:space="0" w:color="auto"/>
            </w:tcBorders>
            <w:vAlign w:val="center"/>
          </w:tcPr>
          <w:p w:rsidR="00F67A36" w:rsidRPr="008204B6" w:rsidRDefault="00F775F7" w:rsidP="00F67A36">
            <w:pPr>
              <w:spacing w:line="240" w:lineRule="auto"/>
              <w:jc w:val="center"/>
              <w:rPr>
                <w:rFonts w:cs="Arial"/>
                <w:color w:val="000000"/>
                <w:sz w:val="20"/>
              </w:rPr>
            </w:pPr>
            <w:r w:rsidRPr="008204B6">
              <w:rPr>
                <w:rFonts w:cs="Arial"/>
                <w:color w:val="000000"/>
                <w:sz w:val="20"/>
              </w:rPr>
              <w:t>11,7</w:t>
            </w:r>
          </w:p>
        </w:tc>
      </w:tr>
      <w:tr w:rsidR="00F67A36" w:rsidRPr="008204B6" w:rsidTr="00F67A36">
        <w:trPr>
          <w:trHeight w:val="300"/>
          <w:jc w:val="center"/>
        </w:trPr>
        <w:tc>
          <w:tcPr>
            <w:tcW w:w="2852" w:type="dxa"/>
            <w:tcBorders>
              <w:top w:val="nil"/>
              <w:left w:val="single" w:sz="4" w:space="0" w:color="auto"/>
              <w:bottom w:val="single" w:sz="4" w:space="0" w:color="auto"/>
              <w:right w:val="single" w:sz="4" w:space="0" w:color="auto"/>
            </w:tcBorders>
            <w:shd w:val="clear" w:color="auto" w:fill="auto"/>
            <w:noWrap/>
            <w:vAlign w:val="bottom"/>
            <w:hideMark/>
          </w:tcPr>
          <w:p w:rsidR="00F67A36" w:rsidRPr="008204B6" w:rsidRDefault="00F67A36" w:rsidP="00F67A36">
            <w:pPr>
              <w:spacing w:line="240" w:lineRule="auto"/>
              <w:jc w:val="left"/>
              <w:rPr>
                <w:rFonts w:cs="Arial"/>
                <w:color w:val="000000"/>
                <w:sz w:val="20"/>
              </w:rPr>
            </w:pPr>
            <w:r w:rsidRPr="008204B6">
              <w:rPr>
                <w:rFonts w:cs="Arial"/>
                <w:color w:val="000000"/>
                <w:sz w:val="20"/>
              </w:rPr>
              <w:t>Água (rio/lagoas/açudes)</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775F7" w:rsidP="00F67A36">
            <w:pPr>
              <w:spacing w:line="240" w:lineRule="auto"/>
              <w:jc w:val="center"/>
              <w:rPr>
                <w:rFonts w:cs="Arial"/>
                <w:color w:val="000000"/>
                <w:sz w:val="20"/>
              </w:rPr>
            </w:pPr>
            <w:r w:rsidRPr="008204B6">
              <w:rPr>
                <w:rFonts w:cs="Arial"/>
                <w:color w:val="000000"/>
                <w:sz w:val="20"/>
              </w:rPr>
              <w:t>24,4</w:t>
            </w:r>
          </w:p>
        </w:tc>
        <w:tc>
          <w:tcPr>
            <w:tcW w:w="957" w:type="dxa"/>
            <w:tcBorders>
              <w:top w:val="nil"/>
              <w:left w:val="nil"/>
              <w:bottom w:val="single" w:sz="4" w:space="0" w:color="auto"/>
              <w:right w:val="single" w:sz="4" w:space="0" w:color="auto"/>
            </w:tcBorders>
            <w:shd w:val="clear" w:color="auto" w:fill="auto"/>
            <w:noWrap/>
            <w:vAlign w:val="center"/>
          </w:tcPr>
          <w:p w:rsidR="00F67A36" w:rsidRPr="008204B6" w:rsidRDefault="00F775F7" w:rsidP="00F67A36">
            <w:pPr>
              <w:spacing w:line="240" w:lineRule="auto"/>
              <w:jc w:val="center"/>
              <w:rPr>
                <w:rFonts w:cs="Arial"/>
                <w:color w:val="000000"/>
                <w:sz w:val="20"/>
              </w:rPr>
            </w:pPr>
            <w:r w:rsidRPr="008204B6">
              <w:rPr>
                <w:rFonts w:cs="Arial"/>
                <w:color w:val="000000"/>
                <w:sz w:val="20"/>
              </w:rPr>
              <w:t>4,7</w:t>
            </w:r>
          </w:p>
        </w:tc>
        <w:tc>
          <w:tcPr>
            <w:tcW w:w="888"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90,6</w:t>
            </w:r>
          </w:p>
        </w:tc>
        <w:tc>
          <w:tcPr>
            <w:tcW w:w="888" w:type="dxa"/>
            <w:tcBorders>
              <w:top w:val="nil"/>
              <w:left w:val="nil"/>
              <w:bottom w:val="single" w:sz="4" w:space="0" w:color="auto"/>
              <w:right w:val="single" w:sz="4" w:space="0" w:color="auto"/>
            </w:tcBorders>
            <w:shd w:val="clear" w:color="auto" w:fill="auto"/>
            <w:noWrap/>
            <w:vAlign w:val="center"/>
          </w:tcPr>
          <w:p w:rsidR="00F67A36" w:rsidRPr="008204B6" w:rsidRDefault="00F67A36" w:rsidP="00F67A36">
            <w:pPr>
              <w:spacing w:line="240" w:lineRule="auto"/>
              <w:jc w:val="center"/>
              <w:rPr>
                <w:rFonts w:cs="Arial"/>
                <w:color w:val="000000"/>
                <w:sz w:val="20"/>
              </w:rPr>
            </w:pPr>
            <w:r w:rsidRPr="008204B6">
              <w:rPr>
                <w:rFonts w:cs="Arial"/>
                <w:color w:val="000000"/>
                <w:sz w:val="20"/>
              </w:rPr>
              <w:t>1,4</w:t>
            </w:r>
          </w:p>
        </w:tc>
        <w:tc>
          <w:tcPr>
            <w:tcW w:w="1740" w:type="dxa"/>
            <w:tcBorders>
              <w:top w:val="nil"/>
              <w:left w:val="nil"/>
              <w:bottom w:val="single" w:sz="4" w:space="0" w:color="auto"/>
              <w:right w:val="single" w:sz="4" w:space="0" w:color="auto"/>
            </w:tcBorders>
            <w:vAlign w:val="center"/>
          </w:tcPr>
          <w:p w:rsidR="00F67A36" w:rsidRPr="008204B6" w:rsidRDefault="00F775F7" w:rsidP="00F67A36">
            <w:pPr>
              <w:spacing w:line="240" w:lineRule="auto"/>
              <w:jc w:val="center"/>
              <w:rPr>
                <w:rFonts w:cs="Arial"/>
                <w:color w:val="000000"/>
                <w:sz w:val="20"/>
              </w:rPr>
            </w:pPr>
            <w:r w:rsidRPr="008204B6">
              <w:rPr>
                <w:rFonts w:cs="Arial"/>
                <w:color w:val="000000"/>
                <w:sz w:val="20"/>
              </w:rPr>
              <w:t>26,9</w:t>
            </w:r>
          </w:p>
        </w:tc>
      </w:tr>
      <w:tr w:rsidR="00F67A36" w:rsidRPr="008204B6" w:rsidTr="00F67A36">
        <w:trPr>
          <w:trHeight w:val="300"/>
          <w:jc w:val="center"/>
        </w:trPr>
        <w:tc>
          <w:tcPr>
            <w:tcW w:w="2852" w:type="dxa"/>
            <w:tcBorders>
              <w:top w:val="nil"/>
              <w:left w:val="single" w:sz="4" w:space="0" w:color="auto"/>
              <w:bottom w:val="single" w:sz="4" w:space="0" w:color="auto"/>
              <w:right w:val="single" w:sz="4" w:space="0" w:color="auto"/>
            </w:tcBorders>
            <w:shd w:val="clear" w:color="auto" w:fill="F2F2F2"/>
            <w:noWrap/>
            <w:vAlign w:val="center"/>
            <w:hideMark/>
          </w:tcPr>
          <w:p w:rsidR="00F67A36" w:rsidRPr="008204B6" w:rsidRDefault="00F67A36" w:rsidP="00F67A36">
            <w:pPr>
              <w:spacing w:line="240" w:lineRule="auto"/>
              <w:jc w:val="right"/>
              <w:rPr>
                <w:rFonts w:cs="Arial"/>
                <w:b/>
                <w:bCs/>
                <w:color w:val="000000"/>
                <w:sz w:val="20"/>
              </w:rPr>
            </w:pPr>
            <w:r w:rsidRPr="008204B6">
              <w:rPr>
                <w:rFonts w:cs="Arial"/>
                <w:b/>
                <w:bCs/>
                <w:color w:val="000000"/>
                <w:sz w:val="20"/>
              </w:rPr>
              <w:t>TOTAL</w:t>
            </w:r>
          </w:p>
        </w:tc>
        <w:tc>
          <w:tcPr>
            <w:tcW w:w="957" w:type="dxa"/>
            <w:tcBorders>
              <w:top w:val="nil"/>
              <w:left w:val="nil"/>
              <w:bottom w:val="single" w:sz="4" w:space="0" w:color="auto"/>
              <w:right w:val="single" w:sz="4" w:space="0" w:color="auto"/>
            </w:tcBorders>
            <w:shd w:val="clear" w:color="auto" w:fill="F2F2F2"/>
            <w:noWrap/>
            <w:vAlign w:val="center"/>
          </w:tcPr>
          <w:p w:rsidR="00F67A36" w:rsidRPr="008204B6" w:rsidRDefault="00F67A36" w:rsidP="00F67A36">
            <w:pPr>
              <w:spacing w:line="240" w:lineRule="auto"/>
              <w:jc w:val="center"/>
              <w:rPr>
                <w:rFonts w:cs="Arial"/>
                <w:b/>
                <w:color w:val="000000"/>
                <w:sz w:val="20"/>
              </w:rPr>
            </w:pPr>
            <w:r w:rsidRPr="008204B6">
              <w:rPr>
                <w:rFonts w:cs="Arial"/>
                <w:b/>
                <w:color w:val="000000"/>
                <w:sz w:val="20"/>
              </w:rPr>
              <w:t>51</w:t>
            </w:r>
            <w:r w:rsidR="00F775F7" w:rsidRPr="008204B6">
              <w:rPr>
                <w:rFonts w:cs="Arial"/>
                <w:b/>
                <w:color w:val="000000"/>
                <w:sz w:val="20"/>
              </w:rPr>
              <w:t>6,5</w:t>
            </w:r>
          </w:p>
        </w:tc>
        <w:tc>
          <w:tcPr>
            <w:tcW w:w="957" w:type="dxa"/>
            <w:tcBorders>
              <w:top w:val="nil"/>
              <w:left w:val="nil"/>
              <w:bottom w:val="single" w:sz="4" w:space="0" w:color="auto"/>
              <w:right w:val="single" w:sz="4" w:space="0" w:color="auto"/>
            </w:tcBorders>
            <w:shd w:val="clear" w:color="auto" w:fill="F2F2F2"/>
            <w:noWrap/>
            <w:vAlign w:val="center"/>
          </w:tcPr>
          <w:p w:rsidR="00F67A36" w:rsidRPr="008204B6" w:rsidRDefault="00F67A36" w:rsidP="00F67A36">
            <w:pPr>
              <w:spacing w:line="240" w:lineRule="auto"/>
              <w:jc w:val="center"/>
              <w:rPr>
                <w:rFonts w:cs="Arial"/>
                <w:b/>
                <w:color w:val="000000"/>
                <w:sz w:val="20"/>
              </w:rPr>
            </w:pPr>
            <w:r w:rsidRPr="008204B6">
              <w:rPr>
                <w:rFonts w:cs="Arial"/>
                <w:b/>
                <w:color w:val="000000"/>
                <w:sz w:val="20"/>
              </w:rPr>
              <w:t>100,0</w:t>
            </w:r>
          </w:p>
        </w:tc>
        <w:tc>
          <w:tcPr>
            <w:tcW w:w="888" w:type="dxa"/>
            <w:tcBorders>
              <w:top w:val="nil"/>
              <w:left w:val="nil"/>
              <w:bottom w:val="single" w:sz="4" w:space="0" w:color="auto"/>
              <w:right w:val="single" w:sz="4" w:space="0" w:color="auto"/>
            </w:tcBorders>
            <w:shd w:val="clear" w:color="auto" w:fill="F2F2F2"/>
            <w:noWrap/>
            <w:vAlign w:val="center"/>
          </w:tcPr>
          <w:p w:rsidR="00F67A36" w:rsidRPr="008204B6" w:rsidRDefault="00F67A36" w:rsidP="00F67A36">
            <w:pPr>
              <w:spacing w:line="240" w:lineRule="auto"/>
              <w:jc w:val="center"/>
              <w:rPr>
                <w:rFonts w:cs="Arial"/>
                <w:b/>
                <w:bCs/>
                <w:color w:val="000000"/>
                <w:sz w:val="20"/>
              </w:rPr>
            </w:pPr>
            <w:r w:rsidRPr="008204B6">
              <w:rPr>
                <w:rFonts w:cs="Arial"/>
                <w:b/>
                <w:bCs/>
                <w:color w:val="000000"/>
                <w:sz w:val="20"/>
              </w:rPr>
              <w:t>6.290,7</w:t>
            </w:r>
          </w:p>
        </w:tc>
        <w:tc>
          <w:tcPr>
            <w:tcW w:w="888" w:type="dxa"/>
            <w:tcBorders>
              <w:top w:val="nil"/>
              <w:left w:val="nil"/>
              <w:bottom w:val="single" w:sz="4" w:space="0" w:color="auto"/>
              <w:right w:val="single" w:sz="4" w:space="0" w:color="auto"/>
            </w:tcBorders>
            <w:shd w:val="clear" w:color="auto" w:fill="F2F2F2"/>
            <w:noWrap/>
            <w:vAlign w:val="center"/>
          </w:tcPr>
          <w:p w:rsidR="00F67A36" w:rsidRPr="008204B6" w:rsidRDefault="00F67A36" w:rsidP="00F67A36">
            <w:pPr>
              <w:spacing w:line="240" w:lineRule="auto"/>
              <w:jc w:val="center"/>
              <w:rPr>
                <w:rFonts w:cs="Arial"/>
                <w:b/>
                <w:color w:val="000000"/>
                <w:sz w:val="20"/>
              </w:rPr>
            </w:pPr>
            <w:r w:rsidRPr="008204B6">
              <w:rPr>
                <w:rFonts w:cs="Arial"/>
                <w:b/>
                <w:color w:val="000000"/>
                <w:sz w:val="20"/>
              </w:rPr>
              <w:t>100,0</w:t>
            </w:r>
          </w:p>
        </w:tc>
        <w:tc>
          <w:tcPr>
            <w:tcW w:w="1740" w:type="dxa"/>
            <w:tcBorders>
              <w:top w:val="nil"/>
              <w:left w:val="nil"/>
              <w:bottom w:val="single" w:sz="4" w:space="0" w:color="auto"/>
              <w:right w:val="single" w:sz="4" w:space="0" w:color="auto"/>
            </w:tcBorders>
            <w:shd w:val="clear" w:color="auto" w:fill="F2F2F2"/>
            <w:vAlign w:val="center"/>
          </w:tcPr>
          <w:p w:rsidR="00F67A36" w:rsidRPr="008204B6" w:rsidRDefault="00F67A36" w:rsidP="00F775F7">
            <w:pPr>
              <w:spacing w:line="240" w:lineRule="auto"/>
              <w:jc w:val="center"/>
              <w:rPr>
                <w:rFonts w:cs="Arial"/>
                <w:b/>
                <w:color w:val="000000"/>
                <w:sz w:val="20"/>
              </w:rPr>
            </w:pPr>
            <w:r w:rsidRPr="008204B6">
              <w:rPr>
                <w:rFonts w:cs="Arial"/>
                <w:b/>
                <w:color w:val="000000"/>
                <w:sz w:val="20"/>
              </w:rPr>
              <w:t>8,</w:t>
            </w:r>
            <w:r w:rsidR="00F775F7" w:rsidRPr="008204B6">
              <w:rPr>
                <w:rFonts w:cs="Arial"/>
                <w:b/>
                <w:color w:val="000000"/>
                <w:sz w:val="20"/>
              </w:rPr>
              <w:t>2</w:t>
            </w:r>
          </w:p>
        </w:tc>
      </w:tr>
    </w:tbl>
    <w:p w:rsidR="009073F7" w:rsidRPr="008204B6" w:rsidRDefault="009073F7" w:rsidP="008204B6">
      <w:pPr>
        <w:spacing w:line="240" w:lineRule="auto"/>
        <w:ind w:firstLine="567"/>
        <w:rPr>
          <w:rFonts w:cs="Arial"/>
          <w:color w:val="000000"/>
          <w:sz w:val="20"/>
        </w:rPr>
      </w:pPr>
      <w:r w:rsidRPr="008204B6">
        <w:rPr>
          <w:rFonts w:cs="Arial"/>
          <w:color w:val="000000"/>
          <w:sz w:val="20"/>
        </w:rPr>
        <w:t>Fonte: Planimetria Consorcio Hidrostudio - Themag</w:t>
      </w:r>
    </w:p>
    <w:p w:rsidR="009073F7" w:rsidRDefault="009073F7" w:rsidP="008204B6">
      <w:pPr>
        <w:spacing w:after="120" w:line="240" w:lineRule="auto"/>
        <w:ind w:firstLine="567"/>
        <w:rPr>
          <w:rFonts w:cs="Arial"/>
          <w:sz w:val="20"/>
        </w:rPr>
      </w:pPr>
      <w:r w:rsidRPr="008204B6">
        <w:rPr>
          <w:rFonts w:cs="Arial"/>
          <w:color w:val="000000"/>
          <w:sz w:val="20"/>
        </w:rPr>
        <w:t>(*) Núcleos Rurais, Mineração, Solo Exposto, PCH Feixos, Estradas, Indústria, Área Urbana.</w:t>
      </w:r>
      <w:r w:rsidRPr="008204B6">
        <w:rPr>
          <w:rFonts w:cs="Arial"/>
          <w:sz w:val="20"/>
        </w:rPr>
        <w:t xml:space="preserve"> </w:t>
      </w:r>
    </w:p>
    <w:p w:rsidR="00E155C0" w:rsidRDefault="00E155C0" w:rsidP="00E155C0">
      <w:pPr>
        <w:spacing w:after="120" w:line="240" w:lineRule="auto"/>
        <w:jc w:val="left"/>
        <w:rPr>
          <w:rFonts w:cs="Arial"/>
          <w:sz w:val="20"/>
        </w:rPr>
      </w:pPr>
      <w:r>
        <w:rPr>
          <w:rFonts w:cs="Arial"/>
          <w:sz w:val="20"/>
        </w:rPr>
        <w:br w:type="page"/>
      </w:r>
    </w:p>
    <w:p w:rsidR="009073F7" w:rsidRDefault="009073F7" w:rsidP="009073F7">
      <w:pPr>
        <w:spacing w:before="120" w:after="120" w:line="240" w:lineRule="auto"/>
        <w:rPr>
          <w:rFonts w:eastAsia="Calibri" w:cs="Arial"/>
          <w:szCs w:val="22"/>
          <w:lang w:eastAsia="en-US"/>
        </w:rPr>
      </w:pPr>
      <w:r w:rsidRPr="00EF06E3">
        <w:rPr>
          <w:rFonts w:eastAsia="Calibri" w:cs="Arial"/>
          <w:szCs w:val="22"/>
          <w:lang w:eastAsia="en-US"/>
        </w:rPr>
        <w:t xml:space="preserve">Nos Quadros </w:t>
      </w:r>
      <w:r w:rsidR="00D130EB" w:rsidRPr="00EF06E3">
        <w:rPr>
          <w:rFonts w:eastAsia="Calibri" w:cs="Arial"/>
          <w:szCs w:val="22"/>
          <w:lang w:eastAsia="en-US"/>
        </w:rPr>
        <w:t>1.3</w:t>
      </w:r>
      <w:r w:rsidR="00C2657F" w:rsidRPr="00EF06E3">
        <w:rPr>
          <w:rFonts w:eastAsia="Calibri" w:cs="Arial"/>
          <w:szCs w:val="22"/>
          <w:lang w:eastAsia="en-US"/>
        </w:rPr>
        <w:t>.80</w:t>
      </w:r>
      <w:r w:rsidR="00D130EB" w:rsidRPr="00EF06E3">
        <w:rPr>
          <w:rFonts w:eastAsia="Calibri" w:cs="Arial"/>
          <w:szCs w:val="22"/>
          <w:lang w:eastAsia="en-US"/>
        </w:rPr>
        <w:t>.</w:t>
      </w:r>
      <w:r w:rsidRPr="00EF06E3">
        <w:rPr>
          <w:rFonts w:eastAsia="Calibri" w:cs="Arial"/>
          <w:szCs w:val="22"/>
          <w:lang w:eastAsia="en-US"/>
        </w:rPr>
        <w:t xml:space="preserve"> e </w:t>
      </w:r>
      <w:r w:rsidR="00D130EB" w:rsidRPr="00EF06E3">
        <w:rPr>
          <w:rFonts w:eastAsia="Calibri" w:cs="Arial"/>
          <w:szCs w:val="22"/>
          <w:lang w:eastAsia="en-US"/>
        </w:rPr>
        <w:t>1.3</w:t>
      </w:r>
      <w:r w:rsidR="00C2657F" w:rsidRPr="00EF06E3">
        <w:rPr>
          <w:rFonts w:eastAsia="Calibri" w:cs="Arial"/>
          <w:szCs w:val="22"/>
          <w:lang w:eastAsia="en-US"/>
        </w:rPr>
        <w:t>.81, também,</w:t>
      </w:r>
      <w:r w:rsidRPr="00EF06E3">
        <w:rPr>
          <w:rFonts w:eastAsia="Calibri" w:cs="Arial"/>
          <w:szCs w:val="22"/>
          <w:lang w:eastAsia="en-US"/>
        </w:rPr>
        <w:t xml:space="preserve"> apresenta-se a comparação por classe de uso entre a</w:t>
      </w:r>
      <w:r w:rsidRPr="004267A6">
        <w:rPr>
          <w:rFonts w:eastAsia="Calibri" w:cs="Arial"/>
          <w:szCs w:val="22"/>
          <w:lang w:eastAsia="en-US"/>
        </w:rPr>
        <w:t xml:space="preserve"> área afetada </w:t>
      </w:r>
      <w:r>
        <w:rPr>
          <w:rFonts w:eastAsia="Calibri" w:cs="Arial"/>
          <w:szCs w:val="22"/>
          <w:lang w:eastAsia="en-US"/>
        </w:rPr>
        <w:t>pela formação dos reservatórios</w:t>
      </w:r>
      <w:r w:rsidRPr="004267A6">
        <w:rPr>
          <w:rFonts w:eastAsia="Calibri" w:cs="Arial"/>
          <w:szCs w:val="22"/>
          <w:lang w:eastAsia="en-US"/>
        </w:rPr>
        <w:t xml:space="preserve"> </w:t>
      </w:r>
      <w:r>
        <w:rPr>
          <w:rFonts w:eastAsia="Calibri" w:cs="Arial"/>
          <w:szCs w:val="22"/>
          <w:lang w:eastAsia="en-US"/>
        </w:rPr>
        <w:t xml:space="preserve">e a extensão cultivada nas respectivas Áreas de Influência Direta em que se inserem os reservatórios, considerando-se como tal, o entorno dos futuros reservatórios, incorporando, nessa faixa, as áreas das sub-bacias de contribuição direta ao reservatório, como definido no Volume I do EIA. </w:t>
      </w:r>
    </w:p>
    <w:p w:rsidR="009073F7" w:rsidRPr="0051723B" w:rsidRDefault="009073F7" w:rsidP="009073F7">
      <w:pPr>
        <w:spacing w:before="120" w:after="120" w:line="240" w:lineRule="auto"/>
        <w:rPr>
          <w:rFonts w:eastAsia="Calibri" w:cs="Arial"/>
          <w:szCs w:val="22"/>
          <w:lang w:eastAsia="en-US"/>
        </w:rPr>
      </w:pPr>
      <w:r>
        <w:rPr>
          <w:rFonts w:eastAsia="Calibri" w:cs="Arial"/>
          <w:szCs w:val="22"/>
          <w:lang w:eastAsia="en-US"/>
        </w:rPr>
        <w:t>Destaca-se</w:t>
      </w:r>
      <w:r w:rsidRPr="004267A6">
        <w:rPr>
          <w:rFonts w:eastAsia="Calibri" w:cs="Arial"/>
          <w:szCs w:val="22"/>
          <w:lang w:eastAsia="en-US"/>
        </w:rPr>
        <w:t xml:space="preserve"> a pequena dimensão das áreas com usos agropecuários e de </w:t>
      </w:r>
      <w:r>
        <w:rPr>
          <w:rFonts w:eastAsia="Calibri" w:cs="Arial"/>
          <w:szCs w:val="22"/>
          <w:lang w:eastAsia="en-US"/>
        </w:rPr>
        <w:t>silvicultura</w:t>
      </w:r>
      <w:r w:rsidRPr="004267A6">
        <w:rPr>
          <w:rFonts w:eastAsia="Calibri" w:cs="Arial"/>
          <w:szCs w:val="22"/>
          <w:lang w:eastAsia="en-US"/>
        </w:rPr>
        <w:t xml:space="preserve"> que serão diretamente impactadas, como sua pequena participação proporcional no âmbito regional.</w:t>
      </w:r>
      <w:r>
        <w:rPr>
          <w:rFonts w:eastAsia="Calibri" w:cs="Arial"/>
          <w:szCs w:val="22"/>
          <w:lang w:eastAsia="en-US"/>
        </w:rPr>
        <w:t xml:space="preserve"> A exceção são os campos úmidos</w:t>
      </w:r>
      <w:r w:rsidR="008C15C3">
        <w:rPr>
          <w:rFonts w:eastAsia="Calibri" w:cs="Arial"/>
          <w:szCs w:val="22"/>
          <w:lang w:eastAsia="en-US"/>
        </w:rPr>
        <w:t xml:space="preserve"> antropizados no reservatório da </w:t>
      </w:r>
      <w:r w:rsidR="001869E4">
        <w:rPr>
          <w:rFonts w:eastAsia="Calibri" w:cs="Arial"/>
          <w:szCs w:val="22"/>
          <w:lang w:eastAsia="en-US"/>
        </w:rPr>
        <w:t>B</w:t>
      </w:r>
      <w:r w:rsidR="008C15C3">
        <w:rPr>
          <w:rFonts w:eastAsia="Calibri" w:cs="Arial"/>
          <w:szCs w:val="22"/>
          <w:lang w:eastAsia="en-US"/>
        </w:rPr>
        <w:t>arragem</w:t>
      </w:r>
      <w:r>
        <w:rPr>
          <w:rFonts w:eastAsia="Calibri" w:cs="Arial"/>
          <w:szCs w:val="22"/>
          <w:lang w:eastAsia="en-US"/>
        </w:rPr>
        <w:t xml:space="preserve"> Duas Pontes, com representação destacada na Área de Influência Direta (AID). </w:t>
      </w:r>
    </w:p>
    <w:p w:rsidR="009073F7" w:rsidRDefault="009073F7" w:rsidP="009073F7">
      <w:pPr>
        <w:pStyle w:val="Corpodetexto"/>
      </w:pPr>
      <w:r>
        <w:t xml:space="preserve">O impacto sobre a perda de áreas rurais com atividade produtiva é considerado como </w:t>
      </w:r>
      <w:r w:rsidRPr="00D412A7">
        <w:t>negativo, direto, de ocorrência certa, e de duração permanente. O impacto deverá ocorrer no curto prazo, provocado pelo enchimento do reservatório; sendo irreversível; com abrangência localizada à área do reservatório; de magnitude pequena e importância média e não mitigável em relação à perda de área.</w:t>
      </w:r>
    </w:p>
    <w:p w:rsidR="009073F7" w:rsidRPr="00EF06E3" w:rsidRDefault="00B44C8E" w:rsidP="00EF06E3">
      <w:pPr>
        <w:pStyle w:val="Legenda"/>
        <w:spacing w:line="240" w:lineRule="auto"/>
        <w:jc w:val="center"/>
        <w:rPr>
          <w:rFonts w:cs="Arial"/>
          <w:b w:val="0"/>
          <w:bCs/>
          <w:i w:val="0"/>
        </w:rPr>
      </w:pPr>
      <w:bookmarkStart w:id="389" w:name="_Toc420316526"/>
      <w:r w:rsidRPr="00EF06E3">
        <w:rPr>
          <w:i w:val="0"/>
        </w:rPr>
        <w:t xml:space="preserve">Quadro </w:t>
      </w:r>
      <w:r w:rsidR="00B80A05" w:rsidRPr="00EF06E3">
        <w:rPr>
          <w:i w:val="0"/>
        </w:rPr>
        <w:fldChar w:fldCharType="begin"/>
      </w:r>
      <w:r w:rsidR="00402E81" w:rsidRPr="00EF06E3">
        <w:rPr>
          <w:i w:val="0"/>
        </w:rPr>
        <w:instrText xml:space="preserve"> STYLEREF 2 \s </w:instrText>
      </w:r>
      <w:r w:rsidR="00B80A05" w:rsidRPr="00EF06E3">
        <w:rPr>
          <w:i w:val="0"/>
        </w:rPr>
        <w:fldChar w:fldCharType="separate"/>
      </w:r>
      <w:r w:rsidR="00316060">
        <w:rPr>
          <w:i w:val="0"/>
          <w:noProof/>
        </w:rPr>
        <w:t>1.3</w:t>
      </w:r>
      <w:r w:rsidR="00B80A05" w:rsidRPr="00EF06E3">
        <w:rPr>
          <w:i w:val="0"/>
        </w:rPr>
        <w:fldChar w:fldCharType="end"/>
      </w:r>
      <w:r w:rsidR="00402E81" w:rsidRPr="00EF06E3">
        <w:rPr>
          <w:i w:val="0"/>
        </w:rPr>
        <w:t>.</w:t>
      </w:r>
      <w:r w:rsidR="00B80A05" w:rsidRPr="00EF06E3">
        <w:rPr>
          <w:i w:val="0"/>
        </w:rPr>
        <w:fldChar w:fldCharType="begin"/>
      </w:r>
      <w:r w:rsidR="00402E81" w:rsidRPr="00EF06E3">
        <w:rPr>
          <w:i w:val="0"/>
        </w:rPr>
        <w:instrText xml:space="preserve"> SEQ Quadro \* ARABIC \s 2 </w:instrText>
      </w:r>
      <w:r w:rsidR="00B80A05" w:rsidRPr="00EF06E3">
        <w:rPr>
          <w:i w:val="0"/>
        </w:rPr>
        <w:fldChar w:fldCharType="separate"/>
      </w:r>
      <w:r w:rsidR="00316060">
        <w:rPr>
          <w:i w:val="0"/>
          <w:noProof/>
        </w:rPr>
        <w:t>83</w:t>
      </w:r>
      <w:r w:rsidR="00B80A05" w:rsidRPr="00EF06E3">
        <w:rPr>
          <w:i w:val="0"/>
        </w:rPr>
        <w:fldChar w:fldCharType="end"/>
      </w:r>
      <w:r w:rsidR="00EF06E3" w:rsidRPr="00EF06E3">
        <w:rPr>
          <w:i w:val="0"/>
        </w:rPr>
        <w:t>.</w:t>
      </w:r>
      <w:r w:rsidR="00EF06E3" w:rsidRPr="00EF06E3">
        <w:rPr>
          <w:b w:val="0"/>
          <w:i w:val="0"/>
        </w:rPr>
        <w:t xml:space="preserve"> - </w:t>
      </w:r>
      <w:r w:rsidR="009073F7" w:rsidRPr="00EF06E3">
        <w:rPr>
          <w:rFonts w:cs="Arial"/>
          <w:b w:val="0"/>
          <w:bCs/>
          <w:i w:val="0"/>
        </w:rPr>
        <w:t xml:space="preserve">Caracterização do Impacto – Perda de Áreas Rurais </w:t>
      </w:r>
      <w:r w:rsidR="006F445D" w:rsidRPr="00EF06E3">
        <w:rPr>
          <w:rFonts w:cs="Arial"/>
          <w:b w:val="0"/>
          <w:bCs/>
          <w:i w:val="0"/>
        </w:rPr>
        <w:t>Produtivas</w:t>
      </w:r>
      <w:bookmarkEnd w:id="389"/>
      <w:r w:rsidR="006F445D" w:rsidRPr="00EF06E3">
        <w:rPr>
          <w:rFonts w:cs="Arial"/>
          <w:b w:val="0"/>
          <w:bCs/>
          <w:i w:val="0"/>
        </w:rPr>
        <w:t xml:space="preserve"> </w:t>
      </w:r>
    </w:p>
    <w:p w:rsidR="006F445D" w:rsidRPr="00EF06E3" w:rsidRDefault="006F445D" w:rsidP="00EF06E3">
      <w:pPr>
        <w:autoSpaceDE w:val="0"/>
        <w:autoSpaceDN w:val="0"/>
        <w:adjustRightInd w:val="0"/>
        <w:spacing w:after="120" w:line="240" w:lineRule="auto"/>
        <w:jc w:val="center"/>
        <w:rPr>
          <w:rFonts w:cs="Arial"/>
          <w:bCs/>
        </w:rPr>
      </w:pPr>
      <w:r w:rsidRPr="00EF06E3">
        <w:rPr>
          <w:rFonts w:cs="Arial"/>
          <w:bCs/>
        </w:rPr>
        <w:t xml:space="preserve">Barragens Pedreira e Duas Pontes </w:t>
      </w:r>
    </w:p>
    <w:tbl>
      <w:tblPr>
        <w:tblW w:w="0" w:type="auto"/>
        <w:jc w:val="center"/>
        <w:tblInd w:w="-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4"/>
        <w:gridCol w:w="1294"/>
        <w:gridCol w:w="1701"/>
        <w:gridCol w:w="1560"/>
        <w:gridCol w:w="3012"/>
      </w:tblGrid>
      <w:tr w:rsidR="009073F7" w:rsidRPr="00A43380" w:rsidTr="000F69FA">
        <w:trPr>
          <w:trHeight w:val="514"/>
          <w:jc w:val="center"/>
        </w:trPr>
        <w:tc>
          <w:tcPr>
            <w:tcW w:w="1294" w:type="dxa"/>
            <w:shd w:val="clear" w:color="auto" w:fill="D9D9D9" w:themeFill="background1" w:themeFillShade="D9"/>
            <w:vAlign w:val="center"/>
          </w:tcPr>
          <w:p w:rsidR="009073F7" w:rsidRPr="00A43380" w:rsidRDefault="009073F7" w:rsidP="009073F7">
            <w:pPr>
              <w:autoSpaceDE w:val="0"/>
              <w:autoSpaceDN w:val="0"/>
              <w:adjustRightInd w:val="0"/>
              <w:spacing w:line="240" w:lineRule="auto"/>
              <w:jc w:val="center"/>
              <w:rPr>
                <w:rFonts w:cs="Arial"/>
                <w:b/>
                <w:sz w:val="20"/>
              </w:rPr>
            </w:pPr>
            <w:r w:rsidRPr="00A43380">
              <w:rPr>
                <w:rFonts w:cs="Arial"/>
                <w:b/>
                <w:sz w:val="20"/>
              </w:rPr>
              <w:t>Natureza</w:t>
            </w:r>
          </w:p>
        </w:tc>
        <w:tc>
          <w:tcPr>
            <w:tcW w:w="1294" w:type="dxa"/>
            <w:shd w:val="clear" w:color="auto" w:fill="D9D9D9" w:themeFill="background1" w:themeFillShade="D9"/>
            <w:vAlign w:val="center"/>
          </w:tcPr>
          <w:p w:rsidR="009073F7" w:rsidRPr="00A43380" w:rsidRDefault="009073F7" w:rsidP="009073F7">
            <w:pPr>
              <w:autoSpaceDE w:val="0"/>
              <w:autoSpaceDN w:val="0"/>
              <w:adjustRightInd w:val="0"/>
              <w:spacing w:line="240" w:lineRule="auto"/>
              <w:jc w:val="center"/>
              <w:rPr>
                <w:rFonts w:cs="Arial"/>
                <w:b/>
                <w:sz w:val="20"/>
              </w:rPr>
            </w:pPr>
            <w:r w:rsidRPr="00A43380">
              <w:rPr>
                <w:rFonts w:cs="Arial"/>
                <w:b/>
                <w:sz w:val="20"/>
              </w:rPr>
              <w:t>Ordem</w:t>
            </w:r>
          </w:p>
        </w:tc>
        <w:tc>
          <w:tcPr>
            <w:tcW w:w="1701" w:type="dxa"/>
            <w:shd w:val="clear" w:color="auto" w:fill="D9D9D9" w:themeFill="background1" w:themeFillShade="D9"/>
            <w:vAlign w:val="center"/>
          </w:tcPr>
          <w:p w:rsidR="009073F7" w:rsidRPr="00A43380" w:rsidRDefault="009073F7" w:rsidP="009073F7">
            <w:pPr>
              <w:autoSpaceDE w:val="0"/>
              <w:autoSpaceDN w:val="0"/>
              <w:adjustRightInd w:val="0"/>
              <w:spacing w:line="240" w:lineRule="auto"/>
              <w:jc w:val="center"/>
              <w:rPr>
                <w:rFonts w:cs="Arial"/>
                <w:b/>
                <w:sz w:val="20"/>
              </w:rPr>
            </w:pPr>
            <w:r w:rsidRPr="00A43380">
              <w:rPr>
                <w:rFonts w:cs="Arial"/>
                <w:b/>
                <w:sz w:val="20"/>
              </w:rPr>
              <w:t>Abrangência</w:t>
            </w:r>
          </w:p>
        </w:tc>
        <w:tc>
          <w:tcPr>
            <w:tcW w:w="1560" w:type="dxa"/>
            <w:shd w:val="clear" w:color="auto" w:fill="D9D9D9" w:themeFill="background1" w:themeFillShade="D9"/>
            <w:vAlign w:val="center"/>
          </w:tcPr>
          <w:p w:rsidR="009073F7" w:rsidRPr="00A43380" w:rsidRDefault="009073F7" w:rsidP="009073F7">
            <w:pPr>
              <w:autoSpaceDE w:val="0"/>
              <w:autoSpaceDN w:val="0"/>
              <w:adjustRightInd w:val="0"/>
              <w:spacing w:line="240" w:lineRule="auto"/>
              <w:jc w:val="center"/>
              <w:rPr>
                <w:rFonts w:cs="Arial"/>
                <w:b/>
                <w:sz w:val="20"/>
              </w:rPr>
            </w:pPr>
            <w:r w:rsidRPr="00A43380">
              <w:rPr>
                <w:rFonts w:cs="Arial"/>
                <w:b/>
                <w:sz w:val="20"/>
              </w:rPr>
              <w:t>Duração</w:t>
            </w:r>
          </w:p>
        </w:tc>
        <w:tc>
          <w:tcPr>
            <w:tcW w:w="3012" w:type="dxa"/>
            <w:shd w:val="clear" w:color="auto" w:fill="D9D9D9" w:themeFill="background1" w:themeFillShade="D9"/>
            <w:vAlign w:val="center"/>
          </w:tcPr>
          <w:p w:rsidR="009073F7" w:rsidRPr="00A43380" w:rsidRDefault="009073F7" w:rsidP="009073F7">
            <w:pPr>
              <w:autoSpaceDE w:val="0"/>
              <w:autoSpaceDN w:val="0"/>
              <w:adjustRightInd w:val="0"/>
              <w:spacing w:line="240" w:lineRule="auto"/>
              <w:jc w:val="center"/>
              <w:rPr>
                <w:rFonts w:cs="Arial"/>
                <w:b/>
                <w:sz w:val="20"/>
              </w:rPr>
            </w:pPr>
            <w:r w:rsidRPr="00A43380">
              <w:rPr>
                <w:rFonts w:cs="Arial"/>
                <w:b/>
                <w:sz w:val="20"/>
              </w:rPr>
              <w:t>Probabilidade de Ocorrência</w:t>
            </w:r>
          </w:p>
        </w:tc>
      </w:tr>
      <w:tr w:rsidR="009073F7" w:rsidRPr="00A43380" w:rsidTr="003A422E">
        <w:trPr>
          <w:trHeight w:val="273"/>
          <w:jc w:val="center"/>
        </w:trPr>
        <w:tc>
          <w:tcPr>
            <w:tcW w:w="1294" w:type="dxa"/>
            <w:shd w:val="clear" w:color="auto" w:fill="auto"/>
            <w:vAlign w:val="center"/>
          </w:tcPr>
          <w:p w:rsidR="009073F7" w:rsidRPr="00D412A7" w:rsidRDefault="009073F7" w:rsidP="009073F7">
            <w:pPr>
              <w:autoSpaceDE w:val="0"/>
              <w:autoSpaceDN w:val="0"/>
              <w:adjustRightInd w:val="0"/>
              <w:spacing w:line="240" w:lineRule="auto"/>
              <w:jc w:val="center"/>
              <w:rPr>
                <w:rFonts w:cs="Arial"/>
                <w:sz w:val="20"/>
              </w:rPr>
            </w:pPr>
            <w:r w:rsidRPr="00D412A7">
              <w:rPr>
                <w:rFonts w:cs="Arial"/>
                <w:sz w:val="20"/>
              </w:rPr>
              <w:t>Negativa</w:t>
            </w:r>
          </w:p>
        </w:tc>
        <w:tc>
          <w:tcPr>
            <w:tcW w:w="1294" w:type="dxa"/>
            <w:shd w:val="clear" w:color="auto" w:fill="auto"/>
            <w:vAlign w:val="center"/>
          </w:tcPr>
          <w:p w:rsidR="009073F7" w:rsidRPr="00D412A7" w:rsidRDefault="009073F7" w:rsidP="009073F7">
            <w:pPr>
              <w:autoSpaceDE w:val="0"/>
              <w:autoSpaceDN w:val="0"/>
              <w:adjustRightInd w:val="0"/>
              <w:spacing w:line="240" w:lineRule="auto"/>
              <w:jc w:val="center"/>
              <w:rPr>
                <w:rFonts w:cs="Arial"/>
                <w:sz w:val="20"/>
              </w:rPr>
            </w:pPr>
            <w:r w:rsidRPr="00D412A7">
              <w:rPr>
                <w:rFonts w:cs="Arial"/>
                <w:sz w:val="20"/>
              </w:rPr>
              <w:t>Direta</w:t>
            </w:r>
          </w:p>
        </w:tc>
        <w:tc>
          <w:tcPr>
            <w:tcW w:w="1701" w:type="dxa"/>
            <w:shd w:val="clear" w:color="auto" w:fill="auto"/>
            <w:vAlign w:val="center"/>
          </w:tcPr>
          <w:p w:rsidR="009073F7" w:rsidRPr="00D412A7" w:rsidRDefault="009073F7" w:rsidP="009073F7">
            <w:pPr>
              <w:autoSpaceDE w:val="0"/>
              <w:autoSpaceDN w:val="0"/>
              <w:adjustRightInd w:val="0"/>
              <w:spacing w:line="240" w:lineRule="auto"/>
              <w:jc w:val="center"/>
              <w:rPr>
                <w:rFonts w:cs="Arial"/>
                <w:sz w:val="20"/>
              </w:rPr>
            </w:pPr>
            <w:r w:rsidRPr="00D412A7">
              <w:rPr>
                <w:rFonts w:cs="Arial"/>
                <w:sz w:val="20"/>
              </w:rPr>
              <w:t>Local</w:t>
            </w:r>
          </w:p>
        </w:tc>
        <w:tc>
          <w:tcPr>
            <w:tcW w:w="1560" w:type="dxa"/>
            <w:shd w:val="clear" w:color="auto" w:fill="auto"/>
            <w:vAlign w:val="center"/>
          </w:tcPr>
          <w:p w:rsidR="009073F7" w:rsidRPr="00D412A7" w:rsidRDefault="009073F7" w:rsidP="009073F7">
            <w:pPr>
              <w:autoSpaceDE w:val="0"/>
              <w:autoSpaceDN w:val="0"/>
              <w:adjustRightInd w:val="0"/>
              <w:spacing w:line="240" w:lineRule="auto"/>
              <w:jc w:val="center"/>
              <w:rPr>
                <w:rFonts w:cs="Arial"/>
                <w:sz w:val="20"/>
              </w:rPr>
            </w:pPr>
            <w:r w:rsidRPr="00D412A7">
              <w:rPr>
                <w:rFonts w:cs="Arial"/>
                <w:sz w:val="20"/>
              </w:rPr>
              <w:t>Permanente</w:t>
            </w:r>
          </w:p>
        </w:tc>
        <w:tc>
          <w:tcPr>
            <w:tcW w:w="3012" w:type="dxa"/>
            <w:shd w:val="clear" w:color="auto" w:fill="auto"/>
            <w:vAlign w:val="center"/>
          </w:tcPr>
          <w:p w:rsidR="009073F7" w:rsidRPr="00D412A7" w:rsidRDefault="009073F7" w:rsidP="009073F7">
            <w:pPr>
              <w:autoSpaceDE w:val="0"/>
              <w:autoSpaceDN w:val="0"/>
              <w:adjustRightInd w:val="0"/>
              <w:spacing w:line="240" w:lineRule="auto"/>
              <w:jc w:val="center"/>
              <w:rPr>
                <w:rFonts w:cs="Arial"/>
                <w:sz w:val="20"/>
              </w:rPr>
            </w:pPr>
            <w:r w:rsidRPr="00D412A7">
              <w:rPr>
                <w:rFonts w:cs="Arial"/>
                <w:sz w:val="20"/>
              </w:rPr>
              <w:t>Certa</w:t>
            </w:r>
          </w:p>
        </w:tc>
      </w:tr>
    </w:tbl>
    <w:p w:rsidR="009073F7" w:rsidRPr="00A43380" w:rsidRDefault="009073F7" w:rsidP="009073F7">
      <w:pPr>
        <w:autoSpaceDE w:val="0"/>
        <w:autoSpaceDN w:val="0"/>
        <w:adjustRightInd w:val="0"/>
        <w:spacing w:line="240" w:lineRule="auto"/>
        <w:jc w:val="center"/>
        <w:rPr>
          <w:rFonts w:cs="Arial"/>
          <w:sz w:val="20"/>
        </w:rPr>
      </w:pPr>
    </w:p>
    <w:tbl>
      <w:tblPr>
        <w:tblW w:w="0" w:type="auto"/>
        <w:jc w:val="center"/>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94"/>
        <w:gridCol w:w="1701"/>
        <w:gridCol w:w="1560"/>
        <w:gridCol w:w="1417"/>
        <w:gridCol w:w="1601"/>
      </w:tblGrid>
      <w:tr w:rsidR="009073F7" w:rsidRPr="00A43380" w:rsidTr="000F69FA">
        <w:trPr>
          <w:trHeight w:val="397"/>
          <w:jc w:val="center"/>
        </w:trPr>
        <w:tc>
          <w:tcPr>
            <w:tcW w:w="2594" w:type="dxa"/>
            <w:shd w:val="clear" w:color="auto" w:fill="D9D9D9" w:themeFill="background1" w:themeFillShade="D9"/>
            <w:vAlign w:val="center"/>
          </w:tcPr>
          <w:p w:rsidR="009073F7" w:rsidRPr="00A43380" w:rsidRDefault="009073F7" w:rsidP="009073F7">
            <w:pPr>
              <w:autoSpaceDE w:val="0"/>
              <w:autoSpaceDN w:val="0"/>
              <w:adjustRightInd w:val="0"/>
              <w:spacing w:line="240" w:lineRule="auto"/>
              <w:jc w:val="center"/>
              <w:rPr>
                <w:rFonts w:cs="Arial"/>
                <w:b/>
                <w:sz w:val="20"/>
              </w:rPr>
            </w:pPr>
            <w:r w:rsidRPr="00A43380">
              <w:rPr>
                <w:rFonts w:cs="Arial"/>
                <w:b/>
                <w:sz w:val="20"/>
              </w:rPr>
              <w:t>Época de Ocorrência</w:t>
            </w:r>
          </w:p>
        </w:tc>
        <w:tc>
          <w:tcPr>
            <w:tcW w:w="1701" w:type="dxa"/>
            <w:shd w:val="clear" w:color="auto" w:fill="D9D9D9" w:themeFill="background1" w:themeFillShade="D9"/>
            <w:vAlign w:val="center"/>
          </w:tcPr>
          <w:p w:rsidR="009073F7" w:rsidRPr="00A43380" w:rsidRDefault="009073F7" w:rsidP="009073F7">
            <w:pPr>
              <w:autoSpaceDE w:val="0"/>
              <w:autoSpaceDN w:val="0"/>
              <w:adjustRightInd w:val="0"/>
              <w:spacing w:line="240" w:lineRule="auto"/>
              <w:jc w:val="center"/>
              <w:rPr>
                <w:rFonts w:cs="Arial"/>
                <w:b/>
                <w:sz w:val="20"/>
              </w:rPr>
            </w:pPr>
            <w:r w:rsidRPr="00A43380">
              <w:rPr>
                <w:rFonts w:cs="Arial"/>
                <w:b/>
                <w:sz w:val="20"/>
              </w:rPr>
              <w:t>Reversibilidade</w:t>
            </w:r>
          </w:p>
        </w:tc>
        <w:tc>
          <w:tcPr>
            <w:tcW w:w="1560" w:type="dxa"/>
            <w:shd w:val="clear" w:color="auto" w:fill="D9D9D9" w:themeFill="background1" w:themeFillShade="D9"/>
            <w:vAlign w:val="center"/>
          </w:tcPr>
          <w:p w:rsidR="009073F7" w:rsidRPr="00A43380" w:rsidRDefault="009073F7" w:rsidP="009073F7">
            <w:pPr>
              <w:autoSpaceDE w:val="0"/>
              <w:autoSpaceDN w:val="0"/>
              <w:adjustRightInd w:val="0"/>
              <w:spacing w:line="240" w:lineRule="auto"/>
              <w:jc w:val="center"/>
              <w:rPr>
                <w:rFonts w:cs="Arial"/>
                <w:b/>
                <w:sz w:val="20"/>
              </w:rPr>
            </w:pPr>
            <w:r w:rsidRPr="00A43380">
              <w:rPr>
                <w:rFonts w:cs="Arial"/>
                <w:b/>
                <w:sz w:val="20"/>
              </w:rPr>
              <w:t>Magnitude</w:t>
            </w:r>
          </w:p>
        </w:tc>
        <w:tc>
          <w:tcPr>
            <w:tcW w:w="1417" w:type="dxa"/>
            <w:shd w:val="clear" w:color="auto" w:fill="D9D9D9" w:themeFill="background1" w:themeFillShade="D9"/>
            <w:vAlign w:val="center"/>
          </w:tcPr>
          <w:p w:rsidR="009073F7" w:rsidRPr="00A43380" w:rsidRDefault="009073F7" w:rsidP="009073F7">
            <w:pPr>
              <w:autoSpaceDE w:val="0"/>
              <w:autoSpaceDN w:val="0"/>
              <w:adjustRightInd w:val="0"/>
              <w:spacing w:line="240" w:lineRule="auto"/>
              <w:jc w:val="center"/>
              <w:rPr>
                <w:rFonts w:cs="Arial"/>
                <w:b/>
                <w:sz w:val="20"/>
              </w:rPr>
            </w:pPr>
            <w:r w:rsidRPr="00A43380">
              <w:rPr>
                <w:rFonts w:cs="Arial"/>
                <w:b/>
                <w:sz w:val="20"/>
              </w:rPr>
              <w:t>Importância</w:t>
            </w:r>
          </w:p>
        </w:tc>
        <w:tc>
          <w:tcPr>
            <w:tcW w:w="1601" w:type="dxa"/>
            <w:shd w:val="clear" w:color="auto" w:fill="D9D9D9" w:themeFill="background1" w:themeFillShade="D9"/>
            <w:vAlign w:val="center"/>
          </w:tcPr>
          <w:p w:rsidR="009073F7" w:rsidRPr="00A43380" w:rsidRDefault="009073F7" w:rsidP="009073F7">
            <w:pPr>
              <w:autoSpaceDE w:val="0"/>
              <w:autoSpaceDN w:val="0"/>
              <w:adjustRightInd w:val="0"/>
              <w:spacing w:line="240" w:lineRule="auto"/>
              <w:jc w:val="center"/>
              <w:rPr>
                <w:rFonts w:cs="Arial"/>
                <w:b/>
                <w:sz w:val="20"/>
              </w:rPr>
            </w:pPr>
            <w:r w:rsidRPr="00A43380">
              <w:rPr>
                <w:rFonts w:cs="Arial"/>
                <w:b/>
                <w:sz w:val="20"/>
              </w:rPr>
              <w:t>Mitigação</w:t>
            </w:r>
          </w:p>
        </w:tc>
      </w:tr>
      <w:tr w:rsidR="009073F7" w:rsidRPr="00A43380" w:rsidTr="003A422E">
        <w:trPr>
          <w:trHeight w:val="344"/>
          <w:jc w:val="center"/>
        </w:trPr>
        <w:tc>
          <w:tcPr>
            <w:tcW w:w="2594" w:type="dxa"/>
            <w:shd w:val="clear" w:color="auto" w:fill="auto"/>
            <w:vAlign w:val="center"/>
          </w:tcPr>
          <w:p w:rsidR="009073F7" w:rsidRPr="00D412A7" w:rsidRDefault="009073F7" w:rsidP="009073F7">
            <w:pPr>
              <w:autoSpaceDE w:val="0"/>
              <w:autoSpaceDN w:val="0"/>
              <w:adjustRightInd w:val="0"/>
              <w:spacing w:line="240" w:lineRule="auto"/>
              <w:jc w:val="center"/>
              <w:rPr>
                <w:rFonts w:cs="Arial"/>
                <w:sz w:val="20"/>
              </w:rPr>
            </w:pPr>
            <w:r w:rsidRPr="00D412A7">
              <w:rPr>
                <w:rFonts w:cs="Arial"/>
                <w:sz w:val="20"/>
              </w:rPr>
              <w:t>Curto Prazo</w:t>
            </w:r>
          </w:p>
        </w:tc>
        <w:tc>
          <w:tcPr>
            <w:tcW w:w="1701" w:type="dxa"/>
            <w:shd w:val="clear" w:color="auto" w:fill="auto"/>
            <w:vAlign w:val="center"/>
          </w:tcPr>
          <w:p w:rsidR="009073F7" w:rsidRPr="00D412A7" w:rsidRDefault="009073F7" w:rsidP="009073F7">
            <w:pPr>
              <w:autoSpaceDE w:val="0"/>
              <w:autoSpaceDN w:val="0"/>
              <w:adjustRightInd w:val="0"/>
              <w:spacing w:line="240" w:lineRule="auto"/>
              <w:jc w:val="center"/>
              <w:rPr>
                <w:rFonts w:cs="Arial"/>
                <w:sz w:val="20"/>
              </w:rPr>
            </w:pPr>
            <w:r w:rsidRPr="00D412A7">
              <w:rPr>
                <w:rFonts w:cs="Arial"/>
                <w:sz w:val="20"/>
              </w:rPr>
              <w:t>Irreversível</w:t>
            </w:r>
          </w:p>
        </w:tc>
        <w:tc>
          <w:tcPr>
            <w:tcW w:w="1560" w:type="dxa"/>
            <w:shd w:val="clear" w:color="auto" w:fill="auto"/>
            <w:vAlign w:val="center"/>
          </w:tcPr>
          <w:p w:rsidR="009073F7" w:rsidRPr="00535D8B" w:rsidRDefault="009073F7" w:rsidP="009073F7">
            <w:pPr>
              <w:autoSpaceDE w:val="0"/>
              <w:autoSpaceDN w:val="0"/>
              <w:adjustRightInd w:val="0"/>
              <w:spacing w:line="240" w:lineRule="auto"/>
              <w:jc w:val="center"/>
              <w:rPr>
                <w:rFonts w:cs="Arial"/>
                <w:sz w:val="20"/>
              </w:rPr>
            </w:pPr>
            <w:r w:rsidRPr="00535D8B">
              <w:rPr>
                <w:rFonts w:cs="Arial"/>
                <w:sz w:val="20"/>
              </w:rPr>
              <w:t>Pequena</w:t>
            </w:r>
          </w:p>
        </w:tc>
        <w:tc>
          <w:tcPr>
            <w:tcW w:w="1417" w:type="dxa"/>
            <w:shd w:val="clear" w:color="auto" w:fill="auto"/>
            <w:vAlign w:val="center"/>
          </w:tcPr>
          <w:p w:rsidR="009073F7" w:rsidRPr="00535D8B" w:rsidRDefault="009073F7" w:rsidP="009073F7">
            <w:pPr>
              <w:autoSpaceDE w:val="0"/>
              <w:autoSpaceDN w:val="0"/>
              <w:adjustRightInd w:val="0"/>
              <w:spacing w:line="240" w:lineRule="auto"/>
              <w:jc w:val="center"/>
              <w:rPr>
                <w:rFonts w:cs="Arial"/>
                <w:sz w:val="20"/>
              </w:rPr>
            </w:pPr>
            <w:r w:rsidRPr="00535D8B">
              <w:rPr>
                <w:rFonts w:cs="Arial"/>
                <w:sz w:val="20"/>
              </w:rPr>
              <w:t>Média</w:t>
            </w:r>
          </w:p>
        </w:tc>
        <w:tc>
          <w:tcPr>
            <w:tcW w:w="1601" w:type="dxa"/>
            <w:shd w:val="clear" w:color="auto" w:fill="auto"/>
            <w:vAlign w:val="center"/>
          </w:tcPr>
          <w:p w:rsidR="009073F7" w:rsidRPr="00535D8B" w:rsidRDefault="009073F7" w:rsidP="009073F7">
            <w:pPr>
              <w:autoSpaceDE w:val="0"/>
              <w:autoSpaceDN w:val="0"/>
              <w:adjustRightInd w:val="0"/>
              <w:spacing w:line="240" w:lineRule="auto"/>
              <w:jc w:val="center"/>
              <w:rPr>
                <w:rFonts w:cs="Arial"/>
                <w:sz w:val="20"/>
              </w:rPr>
            </w:pPr>
            <w:r>
              <w:rPr>
                <w:rFonts w:cs="Arial"/>
                <w:sz w:val="20"/>
              </w:rPr>
              <w:t>Não Mitigável</w:t>
            </w:r>
          </w:p>
        </w:tc>
      </w:tr>
    </w:tbl>
    <w:p w:rsidR="00B00CA7" w:rsidRDefault="00B00CA7" w:rsidP="009073F7">
      <w:pPr>
        <w:spacing w:line="240" w:lineRule="auto"/>
      </w:pPr>
    </w:p>
    <w:p w:rsidR="009073F7" w:rsidRDefault="009073F7" w:rsidP="009073F7">
      <w:pPr>
        <w:spacing w:line="240" w:lineRule="auto"/>
        <w:rPr>
          <w:rFonts w:cs="Arial"/>
          <w:b/>
          <w:szCs w:val="22"/>
        </w:rPr>
      </w:pPr>
      <w:r w:rsidRPr="00773CEE">
        <w:rPr>
          <w:rFonts w:cs="Arial"/>
          <w:b/>
          <w:szCs w:val="22"/>
        </w:rPr>
        <w:t>Aç</w:t>
      </w:r>
      <w:r>
        <w:rPr>
          <w:rFonts w:cs="Arial"/>
          <w:b/>
          <w:szCs w:val="22"/>
        </w:rPr>
        <w:t>ões</w:t>
      </w:r>
      <w:r w:rsidRPr="00773CEE">
        <w:rPr>
          <w:rFonts w:cs="Arial"/>
          <w:b/>
          <w:szCs w:val="22"/>
        </w:rPr>
        <w:t xml:space="preserve"> Ambienta</w:t>
      </w:r>
      <w:r>
        <w:rPr>
          <w:rFonts w:cs="Arial"/>
          <w:b/>
          <w:szCs w:val="22"/>
        </w:rPr>
        <w:t>is</w:t>
      </w:r>
      <w:r w:rsidRPr="00773CEE">
        <w:rPr>
          <w:rFonts w:cs="Arial"/>
          <w:b/>
          <w:szCs w:val="22"/>
        </w:rPr>
        <w:t xml:space="preserve"> Proposta</w:t>
      </w:r>
      <w:r>
        <w:rPr>
          <w:rFonts w:cs="Arial"/>
          <w:b/>
          <w:szCs w:val="22"/>
        </w:rPr>
        <w:t>s</w:t>
      </w:r>
      <w:r w:rsidRPr="00773CEE">
        <w:rPr>
          <w:rFonts w:cs="Arial"/>
          <w:b/>
          <w:szCs w:val="22"/>
        </w:rPr>
        <w:t>:</w:t>
      </w:r>
    </w:p>
    <w:p w:rsidR="009073F7" w:rsidRDefault="009073F7" w:rsidP="00037D5E">
      <w:pPr>
        <w:widowControl w:val="0"/>
        <w:autoSpaceDE w:val="0"/>
        <w:autoSpaceDN w:val="0"/>
        <w:adjustRightInd w:val="0"/>
        <w:spacing w:before="120" w:after="120" w:line="240" w:lineRule="auto"/>
        <w:rPr>
          <w:rFonts w:eastAsia="Calibri" w:cs="Arial"/>
          <w:szCs w:val="22"/>
          <w:lang w:eastAsia="en-US"/>
        </w:rPr>
      </w:pPr>
      <w:r w:rsidRPr="00037D5E">
        <w:rPr>
          <w:rFonts w:eastAsia="Calibri" w:cs="Arial"/>
          <w:szCs w:val="22"/>
          <w:lang w:eastAsia="en-US"/>
        </w:rPr>
        <w:t xml:space="preserve">As ações a serem tomadas fazem parte do Programa de </w:t>
      </w:r>
      <w:r w:rsidR="00D225D5" w:rsidRPr="00037D5E">
        <w:rPr>
          <w:rFonts w:eastAsia="Calibri" w:cs="Arial"/>
          <w:szCs w:val="22"/>
          <w:lang w:eastAsia="en-US"/>
        </w:rPr>
        <w:t>Desapropriação</w:t>
      </w:r>
      <w:r w:rsidR="007D1315" w:rsidRPr="00037D5E">
        <w:rPr>
          <w:rFonts w:eastAsia="Calibri" w:cs="Arial"/>
          <w:szCs w:val="22"/>
          <w:lang w:eastAsia="en-US"/>
        </w:rPr>
        <w:t>, Indenização e Relocação de População</w:t>
      </w:r>
      <w:r w:rsidRPr="00037D5E">
        <w:rPr>
          <w:rFonts w:eastAsia="Calibri" w:cs="Arial"/>
          <w:szCs w:val="22"/>
          <w:lang w:eastAsia="en-US"/>
        </w:rPr>
        <w:t>.</w:t>
      </w:r>
      <w:r>
        <w:rPr>
          <w:rFonts w:eastAsia="Calibri" w:cs="Arial"/>
          <w:szCs w:val="22"/>
          <w:lang w:eastAsia="en-US"/>
        </w:rPr>
        <w:t xml:space="preserve"> </w:t>
      </w:r>
    </w:p>
    <w:p w:rsidR="00973BCF" w:rsidRPr="008204B6" w:rsidRDefault="00CD6D82" w:rsidP="008204B6">
      <w:pPr>
        <w:pStyle w:val="Ttulo3"/>
        <w:rPr>
          <w:rFonts w:ascii="Arial Negrito" w:hAnsi="Arial Negrito"/>
          <w:bCs/>
        </w:rPr>
      </w:pPr>
      <w:bookmarkStart w:id="390" w:name="_Toc418758255"/>
      <w:bookmarkStart w:id="391" w:name="_Toc418758857"/>
      <w:bookmarkStart w:id="392" w:name="_Toc419813617"/>
      <w:r w:rsidRPr="008204B6">
        <w:rPr>
          <w:rFonts w:ascii="Arial Negrito" w:hAnsi="Arial Negrito"/>
          <w:bCs/>
        </w:rPr>
        <w:t xml:space="preserve">1.3.3.8. </w:t>
      </w:r>
      <w:r w:rsidR="00973BCF" w:rsidRPr="008204B6">
        <w:rPr>
          <w:rFonts w:ascii="Arial Negrito" w:hAnsi="Arial Negrito"/>
          <w:bCs/>
        </w:rPr>
        <w:t>Perda de Instalações Industriais</w:t>
      </w:r>
      <w:r w:rsidR="00211392" w:rsidRPr="008204B6">
        <w:rPr>
          <w:rFonts w:ascii="Arial Negrito" w:hAnsi="Arial Negrito"/>
          <w:bCs/>
        </w:rPr>
        <w:t xml:space="preserve"> e Comerciais</w:t>
      </w:r>
      <w:bookmarkEnd w:id="390"/>
      <w:bookmarkEnd w:id="391"/>
      <w:bookmarkEnd w:id="392"/>
    </w:p>
    <w:p w:rsidR="001869E4" w:rsidRPr="001869E4" w:rsidRDefault="001869E4" w:rsidP="007F327D">
      <w:pPr>
        <w:spacing w:before="120" w:after="120" w:line="240" w:lineRule="auto"/>
        <w:rPr>
          <w:b/>
        </w:rPr>
      </w:pPr>
      <w:r w:rsidRPr="001869E4">
        <w:rPr>
          <w:b/>
        </w:rPr>
        <w:t>Fase: Implantação</w:t>
      </w:r>
    </w:p>
    <w:p w:rsidR="007F327D" w:rsidRPr="00481213" w:rsidRDefault="008C15C3" w:rsidP="007F327D">
      <w:pPr>
        <w:spacing w:before="120" w:after="120" w:line="240" w:lineRule="auto"/>
      </w:pPr>
      <w:r>
        <w:t>Os reservatórios</w:t>
      </w:r>
      <w:r w:rsidR="007F327D" w:rsidRPr="00481213">
        <w:t xml:space="preserve"> Duas Pontes e Pedreira</w:t>
      </w:r>
      <w:r w:rsidR="007F327D">
        <w:t xml:space="preserve"> irão alagar áreas</w:t>
      </w:r>
      <w:r w:rsidR="007F327D" w:rsidRPr="00481213">
        <w:t xml:space="preserve"> em que predominam pequenas propriedades e </w:t>
      </w:r>
      <w:r w:rsidR="007F327D">
        <w:t>sítios, de uso residencial, nos quais se praticam atividades agropecuárias em pequena escala, em grande parte para auto consumo. Esse quadro se configura predominante na ADA da Barragem Pedreira, em que pode ser encontrada só uma propriedade de uso não residencial, a PCH Macaco Branco, área que será alagada.</w:t>
      </w:r>
    </w:p>
    <w:p w:rsidR="00211392" w:rsidRDefault="007F327D" w:rsidP="007F327D">
      <w:pPr>
        <w:spacing w:before="120" w:after="120" w:line="240" w:lineRule="auto"/>
        <w:rPr>
          <w:rFonts w:cs="Arial"/>
          <w:szCs w:val="22"/>
        </w:rPr>
      </w:pPr>
      <w:r w:rsidRPr="00481213">
        <w:t>Todavia, em se tratando d</w:t>
      </w:r>
      <w:r>
        <w:t>a Barragem</w:t>
      </w:r>
      <w:r w:rsidRPr="00481213">
        <w:t xml:space="preserve"> Duas Pontes, além da presença de propriedades de pequeno porte, há também a presença de grandes áreas, em que predominam os usos agroindustriais.</w:t>
      </w:r>
      <w:r>
        <w:t xml:space="preserve"> É o caso da Fazenda Jaborandi, do grupo industrial Ypê, onde se pratica a avicultura, entre outras atividades em grande escala; a Agropecuária Tuiuti (Shefa), indústria de laticínios, cuja planta industrial não será afetada; a </w:t>
      </w:r>
      <w:r w:rsidRPr="003C07AD">
        <w:rPr>
          <w:rFonts w:ascii="Helvetica" w:hAnsi="Helvetica" w:cs="Helvetica"/>
          <w:szCs w:val="22"/>
        </w:rPr>
        <w:t>Estância 4 Anjos</w:t>
      </w:r>
      <w:r>
        <w:rPr>
          <w:rFonts w:ascii="Helvetica" w:hAnsi="Helvetica" w:cs="Helvetica"/>
          <w:sz w:val="23"/>
          <w:szCs w:val="23"/>
        </w:rPr>
        <w:t xml:space="preserve">, </w:t>
      </w:r>
      <w:r w:rsidRPr="003C07AD">
        <w:rPr>
          <w:rFonts w:cs="Arial"/>
          <w:szCs w:val="22"/>
        </w:rPr>
        <w:t>onde está instalado um laboratório — o Centro de Pesquisa em Animais do Brasil (CPAB), voltado a estudo</w:t>
      </w:r>
      <w:r>
        <w:rPr>
          <w:rFonts w:cs="Arial"/>
          <w:szCs w:val="22"/>
        </w:rPr>
        <w:t>s com vacinas para animais. Esse</w:t>
      </w:r>
      <w:r w:rsidRPr="003C07AD">
        <w:rPr>
          <w:rFonts w:cs="Arial"/>
          <w:szCs w:val="22"/>
        </w:rPr>
        <w:t xml:space="preserve"> empreendimento terá sua área integralmente inundada. </w:t>
      </w:r>
    </w:p>
    <w:p w:rsidR="007F327D" w:rsidRDefault="007F327D" w:rsidP="007F327D">
      <w:pPr>
        <w:spacing w:before="120" w:after="120" w:line="240" w:lineRule="auto"/>
        <w:rPr>
          <w:rFonts w:cs="Arial"/>
          <w:szCs w:val="22"/>
        </w:rPr>
      </w:pPr>
      <w:r w:rsidRPr="003C07AD">
        <w:rPr>
          <w:rFonts w:cs="Arial"/>
          <w:szCs w:val="22"/>
        </w:rPr>
        <w:t xml:space="preserve">Há ainda </w:t>
      </w:r>
      <w:r w:rsidR="00211392">
        <w:rPr>
          <w:rFonts w:cs="Arial"/>
          <w:szCs w:val="22"/>
        </w:rPr>
        <w:t>duas Pequenas Centrais Hidroelétricas que serão alagadas</w:t>
      </w:r>
      <w:r w:rsidR="003B0EBF">
        <w:rPr>
          <w:rFonts w:cs="Arial"/>
          <w:szCs w:val="22"/>
        </w:rPr>
        <w:t xml:space="preserve">. No rio Jaguari encontra-se localizada a </w:t>
      </w:r>
      <w:r w:rsidR="00211392">
        <w:rPr>
          <w:rFonts w:cs="Arial"/>
          <w:szCs w:val="22"/>
        </w:rPr>
        <w:t>PCH Macaco Branco</w:t>
      </w:r>
      <w:r w:rsidR="003B0EBF">
        <w:rPr>
          <w:rFonts w:cs="Arial"/>
          <w:szCs w:val="22"/>
        </w:rPr>
        <w:t>, com 2,36 MW de Potência Instalada, pertencente a CPFL,</w:t>
      </w:r>
      <w:r w:rsidR="00211392">
        <w:rPr>
          <w:rFonts w:cs="Arial"/>
          <w:szCs w:val="22"/>
        </w:rPr>
        <w:t xml:space="preserve"> </w:t>
      </w:r>
      <w:r w:rsidR="003B0EBF">
        <w:rPr>
          <w:rFonts w:cs="Arial"/>
          <w:szCs w:val="22"/>
        </w:rPr>
        <w:t>devendo ser afetada pela formação do reservatório da barragem Pedreira, e no rio Camanducaia encontra-se a PCH</w:t>
      </w:r>
      <w:r w:rsidR="00211392">
        <w:rPr>
          <w:rFonts w:cs="Arial"/>
          <w:szCs w:val="22"/>
        </w:rPr>
        <w:t xml:space="preserve"> Feixos</w:t>
      </w:r>
      <w:r w:rsidR="003B0EBF">
        <w:rPr>
          <w:rFonts w:cs="Arial"/>
          <w:szCs w:val="22"/>
        </w:rPr>
        <w:t xml:space="preserve">, com 1,15 MW de Potência Instalada, </w:t>
      </w:r>
      <w:r w:rsidRPr="003C07AD">
        <w:rPr>
          <w:rFonts w:cs="Arial"/>
          <w:szCs w:val="22"/>
        </w:rPr>
        <w:t>de propriedade da Companhia Energética Salto do Lobo</w:t>
      </w:r>
      <w:r>
        <w:rPr>
          <w:rFonts w:cs="Arial"/>
          <w:szCs w:val="22"/>
        </w:rPr>
        <w:t xml:space="preserve"> Ltda.</w:t>
      </w:r>
      <w:r w:rsidR="003B0EBF">
        <w:rPr>
          <w:rFonts w:cs="Arial"/>
          <w:szCs w:val="22"/>
        </w:rPr>
        <w:t>, a ser afetada pela barragem Duas Pontes.</w:t>
      </w:r>
    </w:p>
    <w:p w:rsidR="00707A52" w:rsidRDefault="003B0EBF" w:rsidP="00707A52">
      <w:pPr>
        <w:spacing w:before="120" w:after="120" w:line="240" w:lineRule="auto"/>
        <w:rPr>
          <w:rFonts w:cs="Arial"/>
          <w:szCs w:val="22"/>
        </w:rPr>
      </w:pPr>
      <w:r w:rsidRPr="0035216F">
        <w:rPr>
          <w:rFonts w:cs="Arial"/>
          <w:szCs w:val="22"/>
        </w:rPr>
        <w:t>Em relação às atividades comerciais,</w:t>
      </w:r>
      <w:r>
        <w:rPr>
          <w:rFonts w:cs="Arial"/>
          <w:szCs w:val="22"/>
        </w:rPr>
        <w:t xml:space="preserve"> deve ser citado o local conhecido </w:t>
      </w:r>
      <w:r w:rsidR="00707A52">
        <w:rPr>
          <w:rFonts w:cs="Arial"/>
          <w:szCs w:val="22"/>
        </w:rPr>
        <w:t xml:space="preserve">como “Reserva Ecológica </w:t>
      </w:r>
      <w:r>
        <w:rPr>
          <w:rFonts w:cs="Arial"/>
          <w:szCs w:val="22"/>
        </w:rPr>
        <w:t>Mundão das Trilhas</w:t>
      </w:r>
      <w:r w:rsidR="00707A52">
        <w:rPr>
          <w:rFonts w:cs="Arial"/>
          <w:szCs w:val="22"/>
        </w:rPr>
        <w:t>”</w:t>
      </w:r>
      <w:r>
        <w:rPr>
          <w:rFonts w:cs="Arial"/>
          <w:szCs w:val="22"/>
        </w:rPr>
        <w:t xml:space="preserve">, </w:t>
      </w:r>
      <w:r w:rsidR="0035216F">
        <w:rPr>
          <w:rFonts w:cs="Arial"/>
          <w:szCs w:val="22"/>
        </w:rPr>
        <w:t xml:space="preserve">centro que desenvolve atividades de ecoturismo, </w:t>
      </w:r>
      <w:r w:rsidR="005D245F">
        <w:rPr>
          <w:rFonts w:cs="Arial"/>
          <w:szCs w:val="22"/>
        </w:rPr>
        <w:t>contando</w:t>
      </w:r>
      <w:r w:rsidR="005D245F">
        <w:t xml:space="preserve"> com área e estrutura para camping e trilhas, s</w:t>
      </w:r>
      <w:r>
        <w:rPr>
          <w:rFonts w:cs="Arial"/>
          <w:szCs w:val="22"/>
        </w:rPr>
        <w:t xml:space="preserve">ituado no rio Camanducaia, </w:t>
      </w:r>
      <w:r w:rsidR="0035216F">
        <w:rPr>
          <w:rFonts w:cs="Arial"/>
          <w:szCs w:val="22"/>
        </w:rPr>
        <w:t>no</w:t>
      </w:r>
      <w:r>
        <w:rPr>
          <w:rFonts w:cs="Arial"/>
          <w:szCs w:val="22"/>
        </w:rPr>
        <w:t xml:space="preserve"> Distrito de Arcadas, município de Amparo</w:t>
      </w:r>
      <w:r w:rsidR="005D245F">
        <w:rPr>
          <w:rFonts w:cs="Arial"/>
          <w:szCs w:val="22"/>
        </w:rPr>
        <w:t xml:space="preserve">. Como está localizado no trecho final do reservatório, </w:t>
      </w:r>
      <w:r>
        <w:rPr>
          <w:rFonts w:cs="Arial"/>
          <w:szCs w:val="22"/>
        </w:rPr>
        <w:t>não ser</w:t>
      </w:r>
      <w:r w:rsidR="005D245F">
        <w:rPr>
          <w:rFonts w:cs="Arial"/>
          <w:szCs w:val="22"/>
        </w:rPr>
        <w:t>á</w:t>
      </w:r>
      <w:r>
        <w:rPr>
          <w:rFonts w:cs="Arial"/>
          <w:szCs w:val="22"/>
        </w:rPr>
        <w:t xml:space="preserve"> afetado pela formação do reservatório da barragem Duas Pontes, </w:t>
      </w:r>
      <w:r w:rsidR="005D245F">
        <w:rPr>
          <w:rFonts w:cs="Arial"/>
          <w:szCs w:val="22"/>
        </w:rPr>
        <w:t xml:space="preserve">não obstante </w:t>
      </w:r>
      <w:r>
        <w:rPr>
          <w:rFonts w:cs="Arial"/>
          <w:szCs w:val="22"/>
        </w:rPr>
        <w:t xml:space="preserve">encontra-se </w:t>
      </w:r>
      <w:r w:rsidR="0035216F">
        <w:rPr>
          <w:rFonts w:cs="Arial"/>
          <w:szCs w:val="22"/>
        </w:rPr>
        <w:t>dentro do perímetro da futura área de preservação permanente (APP) a ser formada.</w:t>
      </w:r>
      <w:r w:rsidR="00707A52">
        <w:rPr>
          <w:rFonts w:cs="Arial"/>
          <w:szCs w:val="22"/>
        </w:rPr>
        <w:t xml:space="preserve"> </w:t>
      </w:r>
      <w:r w:rsidR="00707A52">
        <w:t>Apesar de intitulada “Reserva Ecológica” não trata-se de unidade de conservação legalmente protegida ou instituída por legislação específica, a não ser aquelas que incidem sobre às áreas de preservação permanentes e reservas legais.</w:t>
      </w:r>
    </w:p>
    <w:p w:rsidR="0035216F" w:rsidRDefault="0035216F" w:rsidP="007F327D">
      <w:pPr>
        <w:spacing w:before="120" w:after="120" w:line="240" w:lineRule="auto"/>
        <w:rPr>
          <w:rFonts w:cs="Arial"/>
          <w:szCs w:val="22"/>
        </w:rPr>
      </w:pPr>
      <w:r>
        <w:rPr>
          <w:rFonts w:cs="Arial"/>
          <w:szCs w:val="22"/>
        </w:rPr>
        <w:t xml:space="preserve">Deve ser citado também um pequeno comercio </w:t>
      </w:r>
      <w:r w:rsidR="00707A52">
        <w:rPr>
          <w:rFonts w:cs="Arial"/>
          <w:szCs w:val="22"/>
        </w:rPr>
        <w:t xml:space="preserve">conhecido como “Bar da Tia”, localizado na margem esquerda do rio Jaguari, </w:t>
      </w:r>
      <w:r>
        <w:rPr>
          <w:rFonts w:cs="Arial"/>
          <w:szCs w:val="22"/>
        </w:rPr>
        <w:t xml:space="preserve">a jusante do local </w:t>
      </w:r>
      <w:r w:rsidR="00707A52">
        <w:rPr>
          <w:rFonts w:cs="Arial"/>
          <w:szCs w:val="22"/>
        </w:rPr>
        <w:t>do</w:t>
      </w:r>
      <w:r>
        <w:rPr>
          <w:rFonts w:cs="Arial"/>
          <w:szCs w:val="22"/>
        </w:rPr>
        <w:t xml:space="preserve"> eixo da barragem Pedreira</w:t>
      </w:r>
      <w:r w:rsidR="00707A52">
        <w:rPr>
          <w:rFonts w:cs="Arial"/>
          <w:szCs w:val="22"/>
        </w:rPr>
        <w:t>, devendo</w:t>
      </w:r>
      <w:r w:rsidR="008F7C9E">
        <w:rPr>
          <w:rFonts w:cs="Arial"/>
          <w:szCs w:val="22"/>
        </w:rPr>
        <w:t xml:space="preserve"> sofrer interferência pela construção da barragem.</w:t>
      </w:r>
    </w:p>
    <w:p w:rsidR="007F327D" w:rsidRDefault="007F327D" w:rsidP="007F327D">
      <w:pPr>
        <w:pStyle w:val="Corpodetexto"/>
      </w:pPr>
      <w:r w:rsidRPr="00144F44">
        <w:t xml:space="preserve">O impacto sobre a perda de </w:t>
      </w:r>
      <w:r>
        <w:t xml:space="preserve">instalações </w:t>
      </w:r>
      <w:r w:rsidRPr="00144F44">
        <w:t>com atividade</w:t>
      </w:r>
      <w:r w:rsidR="0035216F">
        <w:t>s</w:t>
      </w:r>
      <w:r w:rsidRPr="00144F44">
        <w:t xml:space="preserve"> </w:t>
      </w:r>
      <w:r w:rsidR="0035216F">
        <w:t>industriais e comerciais</w:t>
      </w:r>
      <w:r w:rsidRPr="00144F44">
        <w:t xml:space="preserve"> é considerado negativo, direto, de ocorrência certa e de duração permanente. O impacto deverá ocorrer no curto prazo, provocado pelo enchimento do reservatório</w:t>
      </w:r>
      <w:r>
        <w:t>, de modo</w:t>
      </w:r>
      <w:r w:rsidRPr="00144F44">
        <w:t xml:space="preserve"> irreve</w:t>
      </w:r>
      <w:r>
        <w:t>rsível,</w:t>
      </w:r>
      <w:r w:rsidRPr="00144F44">
        <w:t xml:space="preserve"> </w:t>
      </w:r>
      <w:r>
        <w:t>tendo</w:t>
      </w:r>
      <w:r w:rsidRPr="00144F44">
        <w:t xml:space="preserve"> abrangência localizada à área do reservatório; de magnitude e importância pequena</w:t>
      </w:r>
      <w:r>
        <w:t>s</w:t>
      </w:r>
      <w:r w:rsidRPr="00144F44">
        <w:t xml:space="preserve"> e não mitigável em relação à perda de área.</w:t>
      </w:r>
    </w:p>
    <w:p w:rsidR="00EB64FE" w:rsidRPr="00EF06E3" w:rsidRDefault="00B44C8E" w:rsidP="00EF06E3">
      <w:pPr>
        <w:pStyle w:val="Legenda"/>
        <w:spacing w:line="240" w:lineRule="auto"/>
        <w:jc w:val="center"/>
        <w:rPr>
          <w:rFonts w:cs="Arial"/>
          <w:b w:val="0"/>
          <w:bCs/>
          <w:i w:val="0"/>
        </w:rPr>
      </w:pPr>
      <w:bookmarkStart w:id="393" w:name="_Toc420316527"/>
      <w:r w:rsidRPr="00EF06E3">
        <w:rPr>
          <w:i w:val="0"/>
        </w:rPr>
        <w:t xml:space="preserve">Quadro </w:t>
      </w:r>
      <w:r w:rsidR="00B80A05" w:rsidRPr="00EF06E3">
        <w:rPr>
          <w:i w:val="0"/>
        </w:rPr>
        <w:fldChar w:fldCharType="begin"/>
      </w:r>
      <w:r w:rsidR="00402E81" w:rsidRPr="00EF06E3">
        <w:rPr>
          <w:i w:val="0"/>
        </w:rPr>
        <w:instrText xml:space="preserve"> STYLEREF 2 \s </w:instrText>
      </w:r>
      <w:r w:rsidR="00B80A05" w:rsidRPr="00EF06E3">
        <w:rPr>
          <w:i w:val="0"/>
        </w:rPr>
        <w:fldChar w:fldCharType="separate"/>
      </w:r>
      <w:r w:rsidR="00316060">
        <w:rPr>
          <w:i w:val="0"/>
          <w:noProof/>
        </w:rPr>
        <w:t>1.3</w:t>
      </w:r>
      <w:r w:rsidR="00B80A05" w:rsidRPr="00EF06E3">
        <w:rPr>
          <w:i w:val="0"/>
        </w:rPr>
        <w:fldChar w:fldCharType="end"/>
      </w:r>
      <w:r w:rsidR="00402E81" w:rsidRPr="00EF06E3">
        <w:rPr>
          <w:i w:val="0"/>
        </w:rPr>
        <w:t>.</w:t>
      </w:r>
      <w:r w:rsidR="00B80A05" w:rsidRPr="00EF06E3">
        <w:rPr>
          <w:i w:val="0"/>
        </w:rPr>
        <w:fldChar w:fldCharType="begin"/>
      </w:r>
      <w:r w:rsidR="00402E81" w:rsidRPr="00EF06E3">
        <w:rPr>
          <w:i w:val="0"/>
        </w:rPr>
        <w:instrText xml:space="preserve"> SEQ Quadro \* ARABIC \s 2 </w:instrText>
      </w:r>
      <w:r w:rsidR="00B80A05" w:rsidRPr="00EF06E3">
        <w:rPr>
          <w:i w:val="0"/>
        </w:rPr>
        <w:fldChar w:fldCharType="separate"/>
      </w:r>
      <w:r w:rsidR="00316060">
        <w:rPr>
          <w:i w:val="0"/>
          <w:noProof/>
        </w:rPr>
        <w:t>84</w:t>
      </w:r>
      <w:r w:rsidR="00B80A05" w:rsidRPr="00EF06E3">
        <w:rPr>
          <w:i w:val="0"/>
        </w:rPr>
        <w:fldChar w:fldCharType="end"/>
      </w:r>
      <w:r w:rsidR="00EF06E3" w:rsidRPr="00EF06E3">
        <w:rPr>
          <w:i w:val="0"/>
        </w:rPr>
        <w:t>.</w:t>
      </w:r>
      <w:r w:rsidR="00EF06E3" w:rsidRPr="00EF06E3">
        <w:rPr>
          <w:b w:val="0"/>
          <w:i w:val="0"/>
        </w:rPr>
        <w:t xml:space="preserve"> - </w:t>
      </w:r>
      <w:r w:rsidR="007F327D" w:rsidRPr="00EF06E3">
        <w:rPr>
          <w:rFonts w:cs="Arial"/>
          <w:b w:val="0"/>
          <w:bCs/>
          <w:i w:val="0"/>
        </w:rPr>
        <w:t>Caracterização do Impacto – Per</w:t>
      </w:r>
      <w:r w:rsidR="00EB64FE" w:rsidRPr="00EF06E3">
        <w:rPr>
          <w:rFonts w:cs="Arial"/>
          <w:b w:val="0"/>
          <w:bCs/>
          <w:i w:val="0"/>
        </w:rPr>
        <w:t xml:space="preserve">da de Instalações Industriais </w:t>
      </w:r>
      <w:r w:rsidR="0035216F" w:rsidRPr="00EF06E3">
        <w:rPr>
          <w:rFonts w:cs="Arial"/>
          <w:b w:val="0"/>
          <w:bCs/>
          <w:i w:val="0"/>
        </w:rPr>
        <w:t>e Comerciais</w:t>
      </w:r>
      <w:bookmarkEnd w:id="393"/>
    </w:p>
    <w:p w:rsidR="007F327D" w:rsidRPr="00D866D8" w:rsidRDefault="007F327D" w:rsidP="00EF06E3">
      <w:pPr>
        <w:autoSpaceDE w:val="0"/>
        <w:autoSpaceDN w:val="0"/>
        <w:adjustRightInd w:val="0"/>
        <w:spacing w:after="120" w:line="240" w:lineRule="auto"/>
        <w:jc w:val="center"/>
        <w:rPr>
          <w:rFonts w:cs="Arial"/>
          <w:bCs/>
        </w:rPr>
      </w:pPr>
      <w:r w:rsidRPr="00D866D8">
        <w:t>Barragens Pedreira e Duas Pontes</w:t>
      </w:r>
    </w:p>
    <w:tbl>
      <w:tblPr>
        <w:tblW w:w="0" w:type="auto"/>
        <w:jc w:val="center"/>
        <w:tblInd w:w="-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13"/>
        <w:gridCol w:w="1275"/>
        <w:gridCol w:w="1701"/>
        <w:gridCol w:w="1560"/>
        <w:gridCol w:w="3012"/>
      </w:tblGrid>
      <w:tr w:rsidR="007F327D" w:rsidRPr="00A43380" w:rsidTr="000F69FA">
        <w:trPr>
          <w:trHeight w:val="514"/>
          <w:jc w:val="center"/>
        </w:trPr>
        <w:tc>
          <w:tcPr>
            <w:tcW w:w="1313" w:type="dxa"/>
            <w:shd w:val="clear" w:color="auto" w:fill="D9D9D9" w:themeFill="background1" w:themeFillShade="D9"/>
            <w:vAlign w:val="center"/>
          </w:tcPr>
          <w:p w:rsidR="007F327D" w:rsidRPr="00A43380" w:rsidRDefault="007F327D" w:rsidP="00EB64FE">
            <w:pPr>
              <w:autoSpaceDE w:val="0"/>
              <w:autoSpaceDN w:val="0"/>
              <w:adjustRightInd w:val="0"/>
              <w:spacing w:before="60" w:after="40" w:line="240" w:lineRule="auto"/>
              <w:jc w:val="center"/>
              <w:rPr>
                <w:rFonts w:cs="Arial"/>
                <w:b/>
                <w:sz w:val="20"/>
              </w:rPr>
            </w:pPr>
            <w:r w:rsidRPr="00A43380">
              <w:rPr>
                <w:rFonts w:cs="Arial"/>
                <w:b/>
                <w:sz w:val="20"/>
              </w:rPr>
              <w:t>Natureza</w:t>
            </w:r>
          </w:p>
        </w:tc>
        <w:tc>
          <w:tcPr>
            <w:tcW w:w="1275" w:type="dxa"/>
            <w:shd w:val="clear" w:color="auto" w:fill="D9D9D9" w:themeFill="background1" w:themeFillShade="D9"/>
            <w:vAlign w:val="center"/>
          </w:tcPr>
          <w:p w:rsidR="007F327D" w:rsidRPr="00A43380" w:rsidRDefault="007F327D" w:rsidP="00EB64FE">
            <w:pPr>
              <w:autoSpaceDE w:val="0"/>
              <w:autoSpaceDN w:val="0"/>
              <w:adjustRightInd w:val="0"/>
              <w:spacing w:before="60" w:after="40" w:line="240" w:lineRule="auto"/>
              <w:jc w:val="center"/>
              <w:rPr>
                <w:rFonts w:cs="Arial"/>
                <w:b/>
                <w:sz w:val="20"/>
              </w:rPr>
            </w:pPr>
            <w:r w:rsidRPr="00A43380">
              <w:rPr>
                <w:rFonts w:cs="Arial"/>
                <w:b/>
                <w:sz w:val="20"/>
              </w:rPr>
              <w:t>Ordem</w:t>
            </w:r>
          </w:p>
        </w:tc>
        <w:tc>
          <w:tcPr>
            <w:tcW w:w="1701" w:type="dxa"/>
            <w:shd w:val="clear" w:color="auto" w:fill="D9D9D9" w:themeFill="background1" w:themeFillShade="D9"/>
            <w:vAlign w:val="center"/>
          </w:tcPr>
          <w:p w:rsidR="007F327D" w:rsidRPr="00A43380" w:rsidRDefault="007F327D" w:rsidP="00EB64FE">
            <w:pPr>
              <w:autoSpaceDE w:val="0"/>
              <w:autoSpaceDN w:val="0"/>
              <w:adjustRightInd w:val="0"/>
              <w:spacing w:before="60" w:after="40" w:line="240" w:lineRule="auto"/>
              <w:jc w:val="center"/>
              <w:rPr>
                <w:rFonts w:cs="Arial"/>
                <w:b/>
                <w:sz w:val="20"/>
              </w:rPr>
            </w:pPr>
            <w:r w:rsidRPr="00A43380">
              <w:rPr>
                <w:rFonts w:cs="Arial"/>
                <w:b/>
                <w:sz w:val="20"/>
              </w:rPr>
              <w:t>Abrangência</w:t>
            </w:r>
          </w:p>
        </w:tc>
        <w:tc>
          <w:tcPr>
            <w:tcW w:w="1560" w:type="dxa"/>
            <w:shd w:val="clear" w:color="auto" w:fill="D9D9D9" w:themeFill="background1" w:themeFillShade="D9"/>
            <w:vAlign w:val="center"/>
          </w:tcPr>
          <w:p w:rsidR="007F327D" w:rsidRPr="00A43380" w:rsidRDefault="007F327D" w:rsidP="00EB64FE">
            <w:pPr>
              <w:autoSpaceDE w:val="0"/>
              <w:autoSpaceDN w:val="0"/>
              <w:adjustRightInd w:val="0"/>
              <w:spacing w:before="60" w:after="40" w:line="240" w:lineRule="auto"/>
              <w:jc w:val="center"/>
              <w:rPr>
                <w:rFonts w:cs="Arial"/>
                <w:b/>
                <w:sz w:val="20"/>
              </w:rPr>
            </w:pPr>
            <w:r w:rsidRPr="00A43380">
              <w:rPr>
                <w:rFonts w:cs="Arial"/>
                <w:b/>
                <w:sz w:val="20"/>
              </w:rPr>
              <w:t>Duração</w:t>
            </w:r>
          </w:p>
        </w:tc>
        <w:tc>
          <w:tcPr>
            <w:tcW w:w="3012" w:type="dxa"/>
            <w:shd w:val="clear" w:color="auto" w:fill="D9D9D9" w:themeFill="background1" w:themeFillShade="D9"/>
            <w:vAlign w:val="center"/>
          </w:tcPr>
          <w:p w:rsidR="007F327D" w:rsidRPr="00A43380" w:rsidRDefault="007F327D" w:rsidP="00EB64FE">
            <w:pPr>
              <w:autoSpaceDE w:val="0"/>
              <w:autoSpaceDN w:val="0"/>
              <w:adjustRightInd w:val="0"/>
              <w:spacing w:before="60" w:after="40" w:line="240" w:lineRule="auto"/>
              <w:jc w:val="center"/>
              <w:rPr>
                <w:rFonts w:cs="Arial"/>
                <w:b/>
                <w:sz w:val="20"/>
              </w:rPr>
            </w:pPr>
            <w:r w:rsidRPr="00A43380">
              <w:rPr>
                <w:rFonts w:cs="Arial"/>
                <w:b/>
                <w:sz w:val="20"/>
              </w:rPr>
              <w:t>Probabilidade de Ocorrência</w:t>
            </w:r>
          </w:p>
        </w:tc>
      </w:tr>
      <w:tr w:rsidR="007F327D" w:rsidRPr="00A43380" w:rsidTr="00EB64FE">
        <w:trPr>
          <w:trHeight w:val="409"/>
          <w:jc w:val="center"/>
        </w:trPr>
        <w:tc>
          <w:tcPr>
            <w:tcW w:w="1313" w:type="dxa"/>
            <w:shd w:val="clear" w:color="auto" w:fill="auto"/>
            <w:vAlign w:val="center"/>
          </w:tcPr>
          <w:p w:rsidR="007F327D" w:rsidRPr="00D412A7" w:rsidRDefault="007F327D" w:rsidP="00EB64FE">
            <w:pPr>
              <w:autoSpaceDE w:val="0"/>
              <w:autoSpaceDN w:val="0"/>
              <w:adjustRightInd w:val="0"/>
              <w:spacing w:before="60" w:after="40" w:line="240" w:lineRule="auto"/>
              <w:jc w:val="center"/>
              <w:rPr>
                <w:rFonts w:cs="Arial"/>
                <w:sz w:val="20"/>
              </w:rPr>
            </w:pPr>
            <w:r>
              <w:rPr>
                <w:rFonts w:cs="Arial"/>
                <w:sz w:val="20"/>
              </w:rPr>
              <w:t>Negativa</w:t>
            </w:r>
          </w:p>
        </w:tc>
        <w:tc>
          <w:tcPr>
            <w:tcW w:w="1275" w:type="dxa"/>
            <w:shd w:val="clear" w:color="auto" w:fill="auto"/>
            <w:vAlign w:val="center"/>
          </w:tcPr>
          <w:p w:rsidR="007F327D" w:rsidRPr="00D412A7" w:rsidRDefault="007F327D" w:rsidP="00EB64FE">
            <w:pPr>
              <w:autoSpaceDE w:val="0"/>
              <w:autoSpaceDN w:val="0"/>
              <w:adjustRightInd w:val="0"/>
              <w:spacing w:before="60" w:after="40" w:line="240" w:lineRule="auto"/>
              <w:jc w:val="center"/>
              <w:rPr>
                <w:rFonts w:cs="Arial"/>
                <w:sz w:val="20"/>
              </w:rPr>
            </w:pPr>
            <w:r>
              <w:rPr>
                <w:rFonts w:cs="Arial"/>
                <w:sz w:val="20"/>
              </w:rPr>
              <w:t>Direto</w:t>
            </w:r>
          </w:p>
        </w:tc>
        <w:tc>
          <w:tcPr>
            <w:tcW w:w="1701" w:type="dxa"/>
            <w:shd w:val="clear" w:color="auto" w:fill="auto"/>
            <w:vAlign w:val="center"/>
          </w:tcPr>
          <w:p w:rsidR="007F327D" w:rsidRPr="00D412A7" w:rsidRDefault="007F327D" w:rsidP="00EB64FE">
            <w:pPr>
              <w:autoSpaceDE w:val="0"/>
              <w:autoSpaceDN w:val="0"/>
              <w:adjustRightInd w:val="0"/>
              <w:spacing w:before="60" w:after="40" w:line="240" w:lineRule="auto"/>
              <w:jc w:val="center"/>
              <w:rPr>
                <w:rFonts w:cs="Arial"/>
                <w:sz w:val="20"/>
              </w:rPr>
            </w:pPr>
            <w:r w:rsidRPr="00D412A7">
              <w:rPr>
                <w:rFonts w:cs="Arial"/>
                <w:sz w:val="20"/>
              </w:rPr>
              <w:t>Local</w:t>
            </w:r>
          </w:p>
        </w:tc>
        <w:tc>
          <w:tcPr>
            <w:tcW w:w="1560" w:type="dxa"/>
            <w:shd w:val="clear" w:color="auto" w:fill="auto"/>
            <w:vAlign w:val="center"/>
          </w:tcPr>
          <w:p w:rsidR="007F327D" w:rsidRPr="00D412A7" w:rsidRDefault="007F327D" w:rsidP="00EB64FE">
            <w:pPr>
              <w:autoSpaceDE w:val="0"/>
              <w:autoSpaceDN w:val="0"/>
              <w:adjustRightInd w:val="0"/>
              <w:spacing w:before="60" w:after="40" w:line="240" w:lineRule="auto"/>
              <w:jc w:val="center"/>
              <w:rPr>
                <w:rFonts w:cs="Arial"/>
                <w:sz w:val="20"/>
              </w:rPr>
            </w:pPr>
            <w:r w:rsidRPr="00D412A7">
              <w:rPr>
                <w:rFonts w:cs="Arial"/>
                <w:sz w:val="20"/>
              </w:rPr>
              <w:t>Permanente</w:t>
            </w:r>
          </w:p>
        </w:tc>
        <w:tc>
          <w:tcPr>
            <w:tcW w:w="3012" w:type="dxa"/>
            <w:shd w:val="clear" w:color="auto" w:fill="auto"/>
            <w:vAlign w:val="center"/>
          </w:tcPr>
          <w:p w:rsidR="007F327D" w:rsidRPr="00D412A7" w:rsidRDefault="007F327D" w:rsidP="00EB64FE">
            <w:pPr>
              <w:autoSpaceDE w:val="0"/>
              <w:autoSpaceDN w:val="0"/>
              <w:adjustRightInd w:val="0"/>
              <w:spacing w:before="60" w:after="40" w:line="240" w:lineRule="auto"/>
              <w:jc w:val="center"/>
              <w:rPr>
                <w:rFonts w:cs="Arial"/>
                <w:sz w:val="20"/>
              </w:rPr>
            </w:pPr>
            <w:r w:rsidRPr="00D412A7">
              <w:rPr>
                <w:rFonts w:cs="Arial"/>
                <w:sz w:val="20"/>
              </w:rPr>
              <w:t>Certa</w:t>
            </w:r>
          </w:p>
        </w:tc>
      </w:tr>
    </w:tbl>
    <w:p w:rsidR="007F327D" w:rsidRPr="00A43380" w:rsidRDefault="007F327D" w:rsidP="00EB64FE">
      <w:pPr>
        <w:autoSpaceDE w:val="0"/>
        <w:autoSpaceDN w:val="0"/>
        <w:adjustRightInd w:val="0"/>
        <w:spacing w:line="240" w:lineRule="auto"/>
        <w:jc w:val="center"/>
        <w:rPr>
          <w:rFonts w:cs="Arial"/>
          <w:sz w:val="20"/>
        </w:rPr>
      </w:pPr>
    </w:p>
    <w:tbl>
      <w:tblPr>
        <w:tblW w:w="0" w:type="auto"/>
        <w:jc w:val="center"/>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94"/>
        <w:gridCol w:w="1843"/>
        <w:gridCol w:w="1418"/>
        <w:gridCol w:w="1417"/>
        <w:gridCol w:w="1601"/>
      </w:tblGrid>
      <w:tr w:rsidR="007F327D" w:rsidRPr="00EB64FE" w:rsidTr="000F69FA">
        <w:trPr>
          <w:trHeight w:val="397"/>
          <w:jc w:val="center"/>
        </w:trPr>
        <w:tc>
          <w:tcPr>
            <w:tcW w:w="2594" w:type="dxa"/>
            <w:shd w:val="clear" w:color="auto" w:fill="D9D9D9" w:themeFill="background1" w:themeFillShade="D9"/>
            <w:vAlign w:val="center"/>
          </w:tcPr>
          <w:p w:rsidR="007F327D" w:rsidRPr="00A43380" w:rsidRDefault="007F327D" w:rsidP="00EB64FE">
            <w:pPr>
              <w:autoSpaceDE w:val="0"/>
              <w:autoSpaceDN w:val="0"/>
              <w:adjustRightInd w:val="0"/>
              <w:spacing w:before="60" w:after="40" w:line="240" w:lineRule="auto"/>
              <w:jc w:val="center"/>
              <w:rPr>
                <w:rFonts w:cs="Arial"/>
                <w:b/>
                <w:sz w:val="20"/>
              </w:rPr>
            </w:pPr>
            <w:r w:rsidRPr="00A43380">
              <w:rPr>
                <w:rFonts w:cs="Arial"/>
                <w:b/>
                <w:sz w:val="20"/>
              </w:rPr>
              <w:t>Época de Ocorrência</w:t>
            </w:r>
          </w:p>
        </w:tc>
        <w:tc>
          <w:tcPr>
            <w:tcW w:w="1843" w:type="dxa"/>
            <w:shd w:val="clear" w:color="auto" w:fill="D9D9D9" w:themeFill="background1" w:themeFillShade="D9"/>
            <w:vAlign w:val="center"/>
          </w:tcPr>
          <w:p w:rsidR="007F327D" w:rsidRPr="00A43380" w:rsidRDefault="007F327D" w:rsidP="00EB64FE">
            <w:pPr>
              <w:autoSpaceDE w:val="0"/>
              <w:autoSpaceDN w:val="0"/>
              <w:adjustRightInd w:val="0"/>
              <w:spacing w:before="60" w:after="40" w:line="240" w:lineRule="auto"/>
              <w:jc w:val="center"/>
              <w:rPr>
                <w:rFonts w:cs="Arial"/>
                <w:b/>
                <w:sz w:val="20"/>
              </w:rPr>
            </w:pPr>
            <w:r w:rsidRPr="00A43380">
              <w:rPr>
                <w:rFonts w:cs="Arial"/>
                <w:b/>
                <w:sz w:val="20"/>
              </w:rPr>
              <w:t>Reversibilidade</w:t>
            </w:r>
          </w:p>
        </w:tc>
        <w:tc>
          <w:tcPr>
            <w:tcW w:w="1418" w:type="dxa"/>
            <w:shd w:val="clear" w:color="auto" w:fill="D9D9D9" w:themeFill="background1" w:themeFillShade="D9"/>
            <w:vAlign w:val="center"/>
          </w:tcPr>
          <w:p w:rsidR="007F327D" w:rsidRPr="00A43380" w:rsidRDefault="007F327D" w:rsidP="00EB64FE">
            <w:pPr>
              <w:autoSpaceDE w:val="0"/>
              <w:autoSpaceDN w:val="0"/>
              <w:adjustRightInd w:val="0"/>
              <w:spacing w:before="60" w:after="40" w:line="240" w:lineRule="auto"/>
              <w:jc w:val="center"/>
              <w:rPr>
                <w:rFonts w:cs="Arial"/>
                <w:b/>
                <w:sz w:val="20"/>
              </w:rPr>
            </w:pPr>
            <w:r w:rsidRPr="00A43380">
              <w:rPr>
                <w:rFonts w:cs="Arial"/>
                <w:b/>
                <w:sz w:val="20"/>
              </w:rPr>
              <w:t>Magnitude</w:t>
            </w:r>
          </w:p>
        </w:tc>
        <w:tc>
          <w:tcPr>
            <w:tcW w:w="1417" w:type="dxa"/>
            <w:shd w:val="clear" w:color="auto" w:fill="D9D9D9" w:themeFill="background1" w:themeFillShade="D9"/>
            <w:vAlign w:val="center"/>
          </w:tcPr>
          <w:p w:rsidR="007F327D" w:rsidRPr="00A43380" w:rsidRDefault="007F327D" w:rsidP="00EB64FE">
            <w:pPr>
              <w:autoSpaceDE w:val="0"/>
              <w:autoSpaceDN w:val="0"/>
              <w:adjustRightInd w:val="0"/>
              <w:spacing w:before="60" w:after="40" w:line="240" w:lineRule="auto"/>
              <w:jc w:val="center"/>
              <w:rPr>
                <w:rFonts w:cs="Arial"/>
                <w:b/>
                <w:sz w:val="20"/>
              </w:rPr>
            </w:pPr>
            <w:r w:rsidRPr="00A43380">
              <w:rPr>
                <w:rFonts w:cs="Arial"/>
                <w:b/>
                <w:sz w:val="20"/>
              </w:rPr>
              <w:t>Importância</w:t>
            </w:r>
          </w:p>
        </w:tc>
        <w:tc>
          <w:tcPr>
            <w:tcW w:w="1601" w:type="dxa"/>
            <w:shd w:val="clear" w:color="auto" w:fill="D9D9D9" w:themeFill="background1" w:themeFillShade="D9"/>
            <w:vAlign w:val="center"/>
          </w:tcPr>
          <w:p w:rsidR="007F327D" w:rsidRPr="00A43380" w:rsidRDefault="007F327D" w:rsidP="00EB64FE">
            <w:pPr>
              <w:autoSpaceDE w:val="0"/>
              <w:autoSpaceDN w:val="0"/>
              <w:adjustRightInd w:val="0"/>
              <w:spacing w:before="60" w:after="40" w:line="240" w:lineRule="auto"/>
              <w:jc w:val="center"/>
              <w:rPr>
                <w:rFonts w:cs="Arial"/>
                <w:b/>
                <w:sz w:val="20"/>
              </w:rPr>
            </w:pPr>
            <w:r w:rsidRPr="00A43380">
              <w:rPr>
                <w:rFonts w:cs="Arial"/>
                <w:b/>
                <w:sz w:val="20"/>
              </w:rPr>
              <w:t>Mitigação</w:t>
            </w:r>
          </w:p>
        </w:tc>
      </w:tr>
      <w:tr w:rsidR="007F327D" w:rsidRPr="00EB64FE" w:rsidTr="00EB64FE">
        <w:trPr>
          <w:trHeight w:val="496"/>
          <w:jc w:val="center"/>
        </w:trPr>
        <w:tc>
          <w:tcPr>
            <w:tcW w:w="2594" w:type="dxa"/>
            <w:shd w:val="clear" w:color="auto" w:fill="auto"/>
            <w:vAlign w:val="center"/>
          </w:tcPr>
          <w:p w:rsidR="007F327D" w:rsidRPr="00D412A7" w:rsidRDefault="007F327D" w:rsidP="00EB64FE">
            <w:pPr>
              <w:autoSpaceDE w:val="0"/>
              <w:autoSpaceDN w:val="0"/>
              <w:adjustRightInd w:val="0"/>
              <w:spacing w:before="60" w:after="40" w:line="240" w:lineRule="auto"/>
              <w:jc w:val="center"/>
              <w:rPr>
                <w:rFonts w:cs="Arial"/>
                <w:sz w:val="20"/>
              </w:rPr>
            </w:pPr>
            <w:r w:rsidRPr="00D412A7">
              <w:rPr>
                <w:rFonts w:cs="Arial"/>
                <w:sz w:val="20"/>
              </w:rPr>
              <w:t>Curto Prazo</w:t>
            </w:r>
          </w:p>
        </w:tc>
        <w:tc>
          <w:tcPr>
            <w:tcW w:w="1843" w:type="dxa"/>
            <w:shd w:val="clear" w:color="auto" w:fill="auto"/>
            <w:vAlign w:val="center"/>
          </w:tcPr>
          <w:p w:rsidR="007F327D" w:rsidRPr="00D412A7" w:rsidRDefault="007F327D" w:rsidP="00EB64FE">
            <w:pPr>
              <w:autoSpaceDE w:val="0"/>
              <w:autoSpaceDN w:val="0"/>
              <w:adjustRightInd w:val="0"/>
              <w:spacing w:before="60" w:after="40" w:line="240" w:lineRule="auto"/>
              <w:jc w:val="center"/>
              <w:rPr>
                <w:rFonts w:cs="Arial"/>
                <w:sz w:val="20"/>
              </w:rPr>
            </w:pPr>
            <w:r w:rsidRPr="00D412A7">
              <w:rPr>
                <w:rFonts w:cs="Arial"/>
                <w:sz w:val="20"/>
              </w:rPr>
              <w:t>Irreversível</w:t>
            </w:r>
          </w:p>
        </w:tc>
        <w:tc>
          <w:tcPr>
            <w:tcW w:w="1418" w:type="dxa"/>
            <w:shd w:val="clear" w:color="auto" w:fill="auto"/>
            <w:vAlign w:val="center"/>
          </w:tcPr>
          <w:p w:rsidR="007F327D" w:rsidRPr="00535D8B" w:rsidRDefault="007F327D" w:rsidP="00EB64FE">
            <w:pPr>
              <w:autoSpaceDE w:val="0"/>
              <w:autoSpaceDN w:val="0"/>
              <w:adjustRightInd w:val="0"/>
              <w:spacing w:before="60" w:after="40" w:line="240" w:lineRule="auto"/>
              <w:jc w:val="center"/>
              <w:rPr>
                <w:rFonts w:cs="Arial"/>
                <w:sz w:val="20"/>
              </w:rPr>
            </w:pPr>
            <w:r w:rsidRPr="00535D8B">
              <w:rPr>
                <w:rFonts w:cs="Arial"/>
                <w:sz w:val="20"/>
              </w:rPr>
              <w:t>Pequena</w:t>
            </w:r>
          </w:p>
        </w:tc>
        <w:tc>
          <w:tcPr>
            <w:tcW w:w="1417" w:type="dxa"/>
            <w:shd w:val="clear" w:color="auto" w:fill="auto"/>
            <w:vAlign w:val="center"/>
          </w:tcPr>
          <w:p w:rsidR="007F327D" w:rsidRPr="00535D8B" w:rsidRDefault="00982762" w:rsidP="00EB64FE">
            <w:pPr>
              <w:autoSpaceDE w:val="0"/>
              <w:autoSpaceDN w:val="0"/>
              <w:adjustRightInd w:val="0"/>
              <w:spacing w:before="60" w:after="40" w:line="240" w:lineRule="auto"/>
              <w:jc w:val="center"/>
              <w:rPr>
                <w:rFonts w:cs="Arial"/>
                <w:sz w:val="20"/>
              </w:rPr>
            </w:pPr>
            <w:r>
              <w:rPr>
                <w:rFonts w:cs="Arial"/>
                <w:sz w:val="20"/>
              </w:rPr>
              <w:t>Baixa</w:t>
            </w:r>
          </w:p>
        </w:tc>
        <w:tc>
          <w:tcPr>
            <w:tcW w:w="1601" w:type="dxa"/>
            <w:shd w:val="clear" w:color="auto" w:fill="auto"/>
            <w:vAlign w:val="center"/>
          </w:tcPr>
          <w:p w:rsidR="007F327D" w:rsidRPr="00535D8B" w:rsidRDefault="007F327D" w:rsidP="00EB64FE">
            <w:pPr>
              <w:autoSpaceDE w:val="0"/>
              <w:autoSpaceDN w:val="0"/>
              <w:adjustRightInd w:val="0"/>
              <w:spacing w:before="60" w:after="40" w:line="240" w:lineRule="auto"/>
              <w:jc w:val="center"/>
              <w:rPr>
                <w:rFonts w:cs="Arial"/>
                <w:sz w:val="20"/>
              </w:rPr>
            </w:pPr>
            <w:r>
              <w:rPr>
                <w:rFonts w:cs="Arial"/>
                <w:sz w:val="20"/>
              </w:rPr>
              <w:t>Não Mitigável</w:t>
            </w:r>
          </w:p>
        </w:tc>
      </w:tr>
    </w:tbl>
    <w:p w:rsidR="000F69FA" w:rsidRDefault="000F69FA" w:rsidP="007F327D"/>
    <w:p w:rsidR="007F327D" w:rsidRDefault="007F327D" w:rsidP="00EB64FE">
      <w:pPr>
        <w:spacing w:before="120" w:after="120" w:line="240" w:lineRule="auto"/>
        <w:rPr>
          <w:rFonts w:cs="Arial"/>
          <w:b/>
        </w:rPr>
      </w:pPr>
      <w:r w:rsidRPr="00773CEE">
        <w:rPr>
          <w:rFonts w:cs="Arial"/>
          <w:b/>
        </w:rPr>
        <w:t>Aç</w:t>
      </w:r>
      <w:r>
        <w:rPr>
          <w:rFonts w:cs="Arial"/>
          <w:b/>
        </w:rPr>
        <w:t>ões</w:t>
      </w:r>
      <w:r w:rsidRPr="00773CEE">
        <w:rPr>
          <w:rFonts w:cs="Arial"/>
          <w:b/>
        </w:rPr>
        <w:t xml:space="preserve"> Ambienta</w:t>
      </w:r>
      <w:r>
        <w:rPr>
          <w:rFonts w:cs="Arial"/>
          <w:b/>
        </w:rPr>
        <w:t>is</w:t>
      </w:r>
      <w:r w:rsidRPr="00773CEE">
        <w:rPr>
          <w:rFonts w:cs="Arial"/>
          <w:b/>
        </w:rPr>
        <w:t xml:space="preserve"> Proposta</w:t>
      </w:r>
      <w:r>
        <w:rPr>
          <w:rFonts w:cs="Arial"/>
          <w:b/>
        </w:rPr>
        <w:t>s</w:t>
      </w:r>
    </w:p>
    <w:p w:rsidR="007F327D" w:rsidRDefault="007F327D" w:rsidP="007F327D">
      <w:pPr>
        <w:spacing w:before="120" w:after="240" w:line="240" w:lineRule="auto"/>
      </w:pPr>
      <w:r>
        <w:t xml:space="preserve">As medidas a serem adotadas frente à perda de instalações industriais </w:t>
      </w:r>
      <w:r w:rsidR="0035216F">
        <w:t xml:space="preserve">e comerciais </w:t>
      </w:r>
      <w:r>
        <w:t xml:space="preserve">circunscrevem-se às ações de negociação e desapropriação, no âmbito </w:t>
      </w:r>
      <w:r w:rsidRPr="00EB64FE">
        <w:t xml:space="preserve">dos Programas </w:t>
      </w:r>
      <w:r w:rsidR="00D225D5" w:rsidRPr="00EB64FE">
        <w:t xml:space="preserve">de </w:t>
      </w:r>
      <w:r w:rsidRPr="00EB64FE">
        <w:t>Desapropriação</w:t>
      </w:r>
      <w:r w:rsidR="00EB64FE">
        <w:t>, Indenização</w:t>
      </w:r>
      <w:r>
        <w:t xml:space="preserve"> e </w:t>
      </w:r>
      <w:r w:rsidR="00EB64FE">
        <w:t>Relocação da População</w:t>
      </w:r>
      <w:r w:rsidR="0035216F">
        <w:t xml:space="preserve">, como também do programa de </w:t>
      </w:r>
      <w:r w:rsidR="00D225D5">
        <w:t>Comunicação e Interação Social</w:t>
      </w:r>
      <w:r>
        <w:t>.</w:t>
      </w:r>
    </w:p>
    <w:p w:rsidR="00714369" w:rsidRPr="008204B6" w:rsidRDefault="00714369" w:rsidP="008204B6">
      <w:pPr>
        <w:pStyle w:val="Ttulo3"/>
        <w:rPr>
          <w:rFonts w:ascii="Arial Negrito" w:hAnsi="Arial Negrito"/>
          <w:bCs/>
        </w:rPr>
      </w:pPr>
      <w:bookmarkStart w:id="394" w:name="_Toc418758256"/>
      <w:bookmarkStart w:id="395" w:name="_Toc418758858"/>
      <w:bookmarkStart w:id="396" w:name="_Toc419813618"/>
      <w:r w:rsidRPr="008204B6">
        <w:rPr>
          <w:rFonts w:ascii="Arial Negrito" w:hAnsi="Arial Negrito"/>
          <w:bCs/>
        </w:rPr>
        <w:t>1.3.3.9. Maior Mobilidade da Sociedade Civil Organizada</w:t>
      </w:r>
      <w:bookmarkEnd w:id="394"/>
      <w:bookmarkEnd w:id="395"/>
      <w:bookmarkEnd w:id="396"/>
    </w:p>
    <w:p w:rsidR="003878A9" w:rsidRPr="003878A9" w:rsidRDefault="003878A9" w:rsidP="00714369">
      <w:pPr>
        <w:spacing w:before="120" w:after="120" w:line="240" w:lineRule="auto"/>
        <w:rPr>
          <w:rFonts w:eastAsia="Calibri"/>
          <w:b/>
          <w:szCs w:val="22"/>
          <w:lang w:eastAsia="en-US"/>
        </w:rPr>
      </w:pPr>
      <w:r w:rsidRPr="003878A9">
        <w:rPr>
          <w:rFonts w:eastAsia="Calibri"/>
          <w:b/>
          <w:szCs w:val="22"/>
          <w:lang w:eastAsia="en-US"/>
        </w:rPr>
        <w:t>Fases: Planejamento e Implantação</w:t>
      </w:r>
    </w:p>
    <w:p w:rsidR="00714369" w:rsidRPr="003C07AD" w:rsidRDefault="00714369" w:rsidP="00714369">
      <w:pPr>
        <w:spacing w:before="120" w:after="120" w:line="240" w:lineRule="auto"/>
        <w:rPr>
          <w:rFonts w:eastAsia="Calibri"/>
          <w:szCs w:val="22"/>
          <w:lang w:eastAsia="en-US"/>
        </w:rPr>
      </w:pPr>
      <w:r w:rsidRPr="003C07AD">
        <w:rPr>
          <w:rFonts w:eastAsia="Calibri"/>
          <w:szCs w:val="22"/>
          <w:lang w:eastAsia="en-US"/>
        </w:rPr>
        <w:t>Na fase de planejamento, em função das primeiras notícias a respeito do empreendimento, e na fase de implantação, por conta dos efeitos de diversos impactos, como a constatação da necessidade de desapropriação e relocação das fa</w:t>
      </w:r>
      <w:r>
        <w:rPr>
          <w:rFonts w:eastAsia="Calibri"/>
          <w:szCs w:val="22"/>
          <w:lang w:eastAsia="en-US"/>
        </w:rPr>
        <w:t>mílias residentes nas ADAs das B</w:t>
      </w:r>
      <w:r w:rsidRPr="003C07AD">
        <w:rPr>
          <w:rFonts w:eastAsia="Calibri"/>
          <w:szCs w:val="22"/>
          <w:lang w:eastAsia="en-US"/>
        </w:rPr>
        <w:t>arragens</w:t>
      </w:r>
      <w:r>
        <w:rPr>
          <w:rFonts w:eastAsia="Calibri"/>
          <w:szCs w:val="22"/>
          <w:lang w:eastAsia="en-US"/>
        </w:rPr>
        <w:t xml:space="preserve"> Pedreira e Duas Pontes</w:t>
      </w:r>
      <w:r w:rsidRPr="003C07AD">
        <w:rPr>
          <w:rFonts w:eastAsia="Calibri"/>
          <w:szCs w:val="22"/>
          <w:lang w:eastAsia="en-US"/>
        </w:rPr>
        <w:t>, atração de pessoas, pressão sobre infraestruturas locais e outros, é prevista uma movimentação nas inst</w:t>
      </w:r>
      <w:r>
        <w:rPr>
          <w:rFonts w:eastAsia="Calibri"/>
          <w:szCs w:val="22"/>
          <w:lang w:eastAsia="en-US"/>
        </w:rPr>
        <w:t xml:space="preserve">ituições públicas e privadas e </w:t>
      </w:r>
      <w:r w:rsidRPr="003C07AD">
        <w:rPr>
          <w:rFonts w:eastAsia="Calibri"/>
          <w:szCs w:val="22"/>
          <w:lang w:eastAsia="en-US"/>
        </w:rPr>
        <w:t>nas organizações não governamentais e entidades de classe, existentes e em atividade nos municípios afetados. Esse fato deve representar</w:t>
      </w:r>
      <w:r w:rsidR="00C2657F">
        <w:rPr>
          <w:rFonts w:eastAsia="Calibri"/>
          <w:szCs w:val="22"/>
          <w:lang w:eastAsia="en-US"/>
        </w:rPr>
        <w:t>,</w:t>
      </w:r>
      <w:r w:rsidRPr="003C07AD">
        <w:rPr>
          <w:rFonts w:eastAsia="Calibri"/>
          <w:szCs w:val="22"/>
          <w:lang w:eastAsia="en-US"/>
        </w:rPr>
        <w:t xml:space="preserve"> tanto do ponto de vista das sociedades afetadas </w:t>
      </w:r>
      <w:r>
        <w:rPr>
          <w:rFonts w:eastAsia="Calibri"/>
          <w:szCs w:val="22"/>
          <w:lang w:eastAsia="en-US"/>
        </w:rPr>
        <w:t>(</w:t>
      </w:r>
      <w:r w:rsidRPr="003C07AD">
        <w:rPr>
          <w:rFonts w:eastAsia="Calibri"/>
          <w:szCs w:val="22"/>
          <w:lang w:eastAsia="en-US"/>
        </w:rPr>
        <w:t xml:space="preserve">AID-vizinhança e ADA) quanto </w:t>
      </w:r>
      <w:r w:rsidR="00C2657F">
        <w:rPr>
          <w:rFonts w:eastAsia="Calibri"/>
          <w:szCs w:val="22"/>
          <w:lang w:eastAsia="en-US"/>
        </w:rPr>
        <w:t>do</w:t>
      </w:r>
      <w:r w:rsidRPr="003C07AD">
        <w:rPr>
          <w:rFonts w:eastAsia="Calibri"/>
          <w:szCs w:val="22"/>
          <w:lang w:eastAsia="en-US"/>
        </w:rPr>
        <w:t xml:space="preserve"> empreendedor, o fortalecimento de canais mais articulados, através dos quais podem se tornar mais fáceis e equilibradas eventuais negociações e quaisquer relacionamentos necessários para o bom andamento das obras e para o bem-estar das populações da área atingida.</w:t>
      </w:r>
    </w:p>
    <w:p w:rsidR="00714369" w:rsidRPr="003C07AD" w:rsidRDefault="00714369" w:rsidP="00714369">
      <w:pPr>
        <w:spacing w:before="120" w:after="120" w:line="240" w:lineRule="auto"/>
        <w:rPr>
          <w:rFonts w:eastAsia="Calibri"/>
          <w:szCs w:val="22"/>
          <w:lang w:eastAsia="en-US"/>
        </w:rPr>
      </w:pPr>
      <w:r w:rsidRPr="003C07AD">
        <w:rPr>
          <w:rFonts w:eastAsia="Calibri"/>
          <w:szCs w:val="22"/>
          <w:lang w:eastAsia="en-US"/>
        </w:rPr>
        <w:t xml:space="preserve">A presença do empreendimento no cotidiano social, político e cultural das comunidades pode acarretar adoção de estratégias conjuntas de mobilização em torno de interesses comuns desses grupos. Tal possibilidade </w:t>
      </w:r>
      <w:r>
        <w:rPr>
          <w:rFonts w:eastAsia="Calibri"/>
          <w:szCs w:val="22"/>
          <w:lang w:eastAsia="en-US"/>
        </w:rPr>
        <w:t>pode</w:t>
      </w:r>
      <w:r w:rsidRPr="003C07AD">
        <w:rPr>
          <w:rFonts w:eastAsia="Calibri"/>
          <w:szCs w:val="22"/>
          <w:lang w:eastAsia="en-US"/>
        </w:rPr>
        <w:t xml:space="preserve"> ser antecipada por um levantamento das instituições presentes na AID e uma análise acerca do seu grau de atividade e representatividade, de modo a construir uma interação entre comunidades e empreendedor.</w:t>
      </w:r>
    </w:p>
    <w:p w:rsidR="00714369" w:rsidRPr="003C07AD" w:rsidRDefault="00714369" w:rsidP="00714369">
      <w:pPr>
        <w:spacing w:before="120" w:after="120" w:line="240" w:lineRule="auto"/>
        <w:rPr>
          <w:rFonts w:eastAsia="Calibri"/>
          <w:szCs w:val="22"/>
          <w:lang w:eastAsia="en-US"/>
        </w:rPr>
      </w:pPr>
      <w:r>
        <w:t>De fato, e</w:t>
      </w:r>
      <w:r w:rsidRPr="00666A9B">
        <w:t xml:space="preserve">ssa possibilidade </w:t>
      </w:r>
      <w:r>
        <w:t xml:space="preserve">está se dando na área atingida </w:t>
      </w:r>
      <w:r w:rsidR="008C15C3">
        <w:t xml:space="preserve">pela </w:t>
      </w:r>
      <w:r w:rsidR="003878A9">
        <w:t>B</w:t>
      </w:r>
      <w:r w:rsidR="008C15C3">
        <w:t>arragem</w:t>
      </w:r>
      <w:r>
        <w:t xml:space="preserve"> Duas Pontes, onde há grupos se organizando em função dos impactos provocados pela necessidade de relocação de famílias em área da APP do reservatório, ou pela retirada de famílias residentes nas áreas a serem afetadas. Na Barragem Pedreira, a movimentação é menor, manifesta-se principalmente em atividades organizadas pelo poder público local e pelo próprio DAEE, como audiências pública</w:t>
      </w:r>
      <w:r w:rsidR="00C2657F">
        <w:t>s</w:t>
      </w:r>
      <w:r>
        <w:t xml:space="preserve"> e seminários para esclarecimentos, e se insurge contra o fato de o eixo da barragem estar a montante da cidade, o que, do ponto de vista dos moradores da sede do município de Pedreira, coloca a população em risco, em caso de </w:t>
      </w:r>
      <w:r w:rsidR="006A1864">
        <w:t>ocorrer um acidente na</w:t>
      </w:r>
      <w:r>
        <w:t xml:space="preserve"> barragem.</w:t>
      </w:r>
    </w:p>
    <w:p w:rsidR="00714369" w:rsidRPr="003C07AD" w:rsidRDefault="00714369" w:rsidP="00714369">
      <w:pPr>
        <w:spacing w:before="120" w:after="120" w:line="240" w:lineRule="auto"/>
        <w:rPr>
          <w:rFonts w:eastAsia="Calibri"/>
          <w:szCs w:val="22"/>
          <w:lang w:eastAsia="en-US"/>
        </w:rPr>
      </w:pPr>
      <w:r>
        <w:t xml:space="preserve">De qualquer modo, independentemente dos argumentos e das formas como se manifestam, as populações das ADAs das Barragens Duas Pontes e Pedreira estão a exigir a adoção de uma postura clara e aberta à auscultação dos seus argumentos por parte do empreendedor. Diga-se ainda que o Programa de </w:t>
      </w:r>
      <w:r w:rsidR="00D225D5">
        <w:t>Comunicação e Interação Social</w:t>
      </w:r>
      <w:r>
        <w:t xml:space="preserve"> detectou que as preocupações das famílias atingidas repercutem em diversos segmentos das populações das sedes municipais, como representantes do poder público (Câmara de Vereadores), de ONGs ambientalistas atuantes, representantes de organizações de classe (comerciantes, p. ex.). Além disso, se se for reduzir a uma reclamação o conjunto de questionamentos feitos por todos esses grupo</w:t>
      </w:r>
      <w:r w:rsidR="00C2657F">
        <w:t>s</w:t>
      </w:r>
      <w:r>
        <w:t>, poder-se-ia chegar a uma ação bem simples: informação precisa, clara, quase personalizada do que lhes vai acontecer e quando, frente à implantação das duas barragens.</w:t>
      </w:r>
    </w:p>
    <w:p w:rsidR="00714369" w:rsidRDefault="00714369" w:rsidP="00714369">
      <w:pPr>
        <w:spacing w:before="120" w:after="120" w:line="240" w:lineRule="auto"/>
        <w:rPr>
          <w:rFonts w:eastAsia="Calibri"/>
          <w:szCs w:val="22"/>
          <w:lang w:eastAsia="en-US"/>
        </w:rPr>
      </w:pPr>
      <w:r w:rsidRPr="003C07AD">
        <w:rPr>
          <w:rFonts w:eastAsia="Calibri"/>
          <w:szCs w:val="22"/>
          <w:lang w:eastAsia="en-US"/>
        </w:rPr>
        <w:t>O impacto é considerado positivo, reversível, de médio prazo. É considerado, ainda, de incidência indireta, ocorrência certa e a princípio temporário, com possibilidade de permanência, conforme a articulação realizada, sendo de média magnitude.</w:t>
      </w:r>
    </w:p>
    <w:p w:rsidR="00714369" w:rsidRPr="00EF06E3" w:rsidRDefault="00B44C8E" w:rsidP="00EF06E3">
      <w:pPr>
        <w:pStyle w:val="Legenda"/>
        <w:spacing w:line="240" w:lineRule="auto"/>
        <w:jc w:val="center"/>
        <w:rPr>
          <w:rFonts w:eastAsia="Calibri" w:cs="Arial"/>
          <w:b w:val="0"/>
          <w:bCs/>
          <w:i w:val="0"/>
          <w:szCs w:val="22"/>
          <w:lang w:eastAsia="en-US"/>
        </w:rPr>
      </w:pPr>
      <w:bookmarkStart w:id="397" w:name="_Toc420316528"/>
      <w:r w:rsidRPr="00EF06E3">
        <w:rPr>
          <w:i w:val="0"/>
        </w:rPr>
        <w:t xml:space="preserve">Quadro </w:t>
      </w:r>
      <w:r w:rsidR="00B80A05" w:rsidRPr="00EF06E3">
        <w:rPr>
          <w:i w:val="0"/>
        </w:rPr>
        <w:fldChar w:fldCharType="begin"/>
      </w:r>
      <w:r w:rsidR="00402E81" w:rsidRPr="00EF06E3">
        <w:rPr>
          <w:i w:val="0"/>
        </w:rPr>
        <w:instrText xml:space="preserve"> STYLEREF 2 \s </w:instrText>
      </w:r>
      <w:r w:rsidR="00B80A05" w:rsidRPr="00EF06E3">
        <w:rPr>
          <w:i w:val="0"/>
        </w:rPr>
        <w:fldChar w:fldCharType="separate"/>
      </w:r>
      <w:r w:rsidR="00316060">
        <w:rPr>
          <w:i w:val="0"/>
          <w:noProof/>
        </w:rPr>
        <w:t>1.3</w:t>
      </w:r>
      <w:r w:rsidR="00B80A05" w:rsidRPr="00EF06E3">
        <w:rPr>
          <w:i w:val="0"/>
        </w:rPr>
        <w:fldChar w:fldCharType="end"/>
      </w:r>
      <w:r w:rsidR="00402E81" w:rsidRPr="00EF06E3">
        <w:rPr>
          <w:i w:val="0"/>
        </w:rPr>
        <w:t>.</w:t>
      </w:r>
      <w:r w:rsidR="00B80A05" w:rsidRPr="00EF06E3">
        <w:rPr>
          <w:i w:val="0"/>
        </w:rPr>
        <w:fldChar w:fldCharType="begin"/>
      </w:r>
      <w:r w:rsidR="00402E81" w:rsidRPr="00EF06E3">
        <w:rPr>
          <w:i w:val="0"/>
        </w:rPr>
        <w:instrText xml:space="preserve"> SEQ Quadro \* ARABIC \s 2 </w:instrText>
      </w:r>
      <w:r w:rsidR="00B80A05" w:rsidRPr="00EF06E3">
        <w:rPr>
          <w:i w:val="0"/>
        </w:rPr>
        <w:fldChar w:fldCharType="separate"/>
      </w:r>
      <w:r w:rsidR="00316060">
        <w:rPr>
          <w:i w:val="0"/>
          <w:noProof/>
        </w:rPr>
        <w:t>85</w:t>
      </w:r>
      <w:r w:rsidR="00B80A05" w:rsidRPr="00EF06E3">
        <w:rPr>
          <w:i w:val="0"/>
        </w:rPr>
        <w:fldChar w:fldCharType="end"/>
      </w:r>
      <w:r w:rsidR="00EF06E3" w:rsidRPr="00EF06E3">
        <w:rPr>
          <w:i w:val="0"/>
        </w:rPr>
        <w:t>.</w:t>
      </w:r>
      <w:r w:rsidR="00EF06E3" w:rsidRPr="00EF06E3">
        <w:rPr>
          <w:b w:val="0"/>
          <w:i w:val="0"/>
        </w:rPr>
        <w:t xml:space="preserve"> - </w:t>
      </w:r>
      <w:r w:rsidR="00714369" w:rsidRPr="00EF06E3">
        <w:rPr>
          <w:rFonts w:eastAsia="Calibri" w:cs="Arial"/>
          <w:b w:val="0"/>
          <w:bCs/>
          <w:i w:val="0"/>
          <w:szCs w:val="22"/>
          <w:lang w:eastAsia="en-US"/>
        </w:rPr>
        <w:t xml:space="preserve">Caracterização do Impacto – </w:t>
      </w:r>
      <w:r w:rsidR="00714369" w:rsidRPr="00EF06E3">
        <w:rPr>
          <w:rFonts w:cs="Arial"/>
          <w:b w:val="0"/>
          <w:i w:val="0"/>
          <w:szCs w:val="22"/>
        </w:rPr>
        <w:t>Maior Mobilidade da Sociedade Civil Organizada</w:t>
      </w:r>
      <w:r w:rsidR="00714369" w:rsidRPr="00EF06E3">
        <w:rPr>
          <w:rFonts w:eastAsia="Calibri" w:cs="Arial"/>
          <w:b w:val="0"/>
          <w:bCs/>
          <w:i w:val="0"/>
          <w:szCs w:val="22"/>
          <w:lang w:eastAsia="en-US"/>
        </w:rPr>
        <w:t xml:space="preserve"> – Barragens Pedreira e Duas Pontes</w:t>
      </w:r>
      <w:bookmarkEnd w:id="397"/>
    </w:p>
    <w:tbl>
      <w:tblPr>
        <w:tblW w:w="0" w:type="auto"/>
        <w:jc w:val="center"/>
        <w:tblInd w:w="-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07"/>
        <w:gridCol w:w="1307"/>
        <w:gridCol w:w="1701"/>
        <w:gridCol w:w="1560"/>
        <w:gridCol w:w="3037"/>
      </w:tblGrid>
      <w:tr w:rsidR="00714369" w:rsidRPr="003C07AD" w:rsidTr="000F69FA">
        <w:trPr>
          <w:trHeight w:val="518"/>
          <w:jc w:val="center"/>
        </w:trPr>
        <w:tc>
          <w:tcPr>
            <w:tcW w:w="1307" w:type="dxa"/>
            <w:shd w:val="clear" w:color="auto" w:fill="D9D9D9" w:themeFill="background1" w:themeFillShade="D9"/>
            <w:vAlign w:val="center"/>
          </w:tcPr>
          <w:p w:rsidR="00714369" w:rsidRPr="003C07AD" w:rsidRDefault="00714369" w:rsidP="00530E61">
            <w:pPr>
              <w:autoSpaceDE w:val="0"/>
              <w:autoSpaceDN w:val="0"/>
              <w:adjustRightInd w:val="0"/>
              <w:spacing w:before="120" w:after="120" w:line="240" w:lineRule="auto"/>
              <w:jc w:val="center"/>
              <w:rPr>
                <w:rFonts w:eastAsia="Calibri" w:cs="Arial"/>
                <w:b/>
                <w:sz w:val="20"/>
                <w:szCs w:val="22"/>
                <w:lang w:eastAsia="en-US"/>
              </w:rPr>
            </w:pPr>
            <w:r w:rsidRPr="003C07AD">
              <w:rPr>
                <w:rFonts w:eastAsia="Calibri" w:cs="Arial"/>
                <w:b/>
                <w:sz w:val="20"/>
                <w:szCs w:val="22"/>
                <w:lang w:eastAsia="en-US"/>
              </w:rPr>
              <w:t>Natureza</w:t>
            </w:r>
          </w:p>
        </w:tc>
        <w:tc>
          <w:tcPr>
            <w:tcW w:w="1307" w:type="dxa"/>
            <w:shd w:val="clear" w:color="auto" w:fill="D9D9D9" w:themeFill="background1" w:themeFillShade="D9"/>
            <w:vAlign w:val="center"/>
          </w:tcPr>
          <w:p w:rsidR="00714369" w:rsidRPr="003C07AD" w:rsidRDefault="00714369" w:rsidP="00530E61">
            <w:pPr>
              <w:autoSpaceDE w:val="0"/>
              <w:autoSpaceDN w:val="0"/>
              <w:adjustRightInd w:val="0"/>
              <w:spacing w:before="120" w:after="120" w:line="240" w:lineRule="auto"/>
              <w:jc w:val="center"/>
              <w:rPr>
                <w:rFonts w:eastAsia="Calibri" w:cs="Arial"/>
                <w:b/>
                <w:sz w:val="20"/>
                <w:szCs w:val="22"/>
                <w:lang w:eastAsia="en-US"/>
              </w:rPr>
            </w:pPr>
            <w:r w:rsidRPr="003C07AD">
              <w:rPr>
                <w:rFonts w:eastAsia="Calibri" w:cs="Arial"/>
                <w:b/>
                <w:sz w:val="20"/>
                <w:szCs w:val="22"/>
                <w:lang w:eastAsia="en-US"/>
              </w:rPr>
              <w:t>Ordem</w:t>
            </w:r>
          </w:p>
        </w:tc>
        <w:tc>
          <w:tcPr>
            <w:tcW w:w="1701" w:type="dxa"/>
            <w:shd w:val="clear" w:color="auto" w:fill="D9D9D9" w:themeFill="background1" w:themeFillShade="D9"/>
            <w:vAlign w:val="center"/>
          </w:tcPr>
          <w:p w:rsidR="00714369" w:rsidRPr="003C07AD" w:rsidRDefault="00714369" w:rsidP="00530E61">
            <w:pPr>
              <w:autoSpaceDE w:val="0"/>
              <w:autoSpaceDN w:val="0"/>
              <w:adjustRightInd w:val="0"/>
              <w:spacing w:before="120" w:after="120" w:line="240" w:lineRule="auto"/>
              <w:jc w:val="center"/>
              <w:rPr>
                <w:rFonts w:eastAsia="Calibri" w:cs="Arial"/>
                <w:b/>
                <w:sz w:val="20"/>
                <w:szCs w:val="22"/>
                <w:lang w:eastAsia="en-US"/>
              </w:rPr>
            </w:pPr>
            <w:r w:rsidRPr="003C07AD">
              <w:rPr>
                <w:rFonts w:eastAsia="Calibri" w:cs="Arial"/>
                <w:b/>
                <w:sz w:val="20"/>
                <w:szCs w:val="22"/>
                <w:lang w:eastAsia="en-US"/>
              </w:rPr>
              <w:t>Abrangência</w:t>
            </w:r>
          </w:p>
        </w:tc>
        <w:tc>
          <w:tcPr>
            <w:tcW w:w="1560" w:type="dxa"/>
            <w:shd w:val="clear" w:color="auto" w:fill="D9D9D9" w:themeFill="background1" w:themeFillShade="D9"/>
            <w:vAlign w:val="center"/>
          </w:tcPr>
          <w:p w:rsidR="00714369" w:rsidRPr="003C07AD" w:rsidRDefault="00714369" w:rsidP="00530E61">
            <w:pPr>
              <w:autoSpaceDE w:val="0"/>
              <w:autoSpaceDN w:val="0"/>
              <w:adjustRightInd w:val="0"/>
              <w:spacing w:before="120" w:after="120" w:line="240" w:lineRule="auto"/>
              <w:jc w:val="center"/>
              <w:rPr>
                <w:rFonts w:eastAsia="Calibri" w:cs="Arial"/>
                <w:b/>
                <w:sz w:val="20"/>
                <w:szCs w:val="22"/>
                <w:lang w:eastAsia="en-US"/>
              </w:rPr>
            </w:pPr>
            <w:r w:rsidRPr="003C07AD">
              <w:rPr>
                <w:rFonts w:eastAsia="Calibri" w:cs="Arial"/>
                <w:b/>
                <w:sz w:val="20"/>
                <w:szCs w:val="22"/>
                <w:lang w:eastAsia="en-US"/>
              </w:rPr>
              <w:t>Duração</w:t>
            </w:r>
          </w:p>
        </w:tc>
        <w:tc>
          <w:tcPr>
            <w:tcW w:w="3037" w:type="dxa"/>
            <w:shd w:val="clear" w:color="auto" w:fill="D9D9D9" w:themeFill="background1" w:themeFillShade="D9"/>
            <w:vAlign w:val="center"/>
          </w:tcPr>
          <w:p w:rsidR="00714369" w:rsidRPr="003C07AD" w:rsidRDefault="00714369" w:rsidP="00530E61">
            <w:pPr>
              <w:autoSpaceDE w:val="0"/>
              <w:autoSpaceDN w:val="0"/>
              <w:adjustRightInd w:val="0"/>
              <w:spacing w:before="120" w:after="120" w:line="240" w:lineRule="auto"/>
              <w:jc w:val="center"/>
              <w:rPr>
                <w:rFonts w:eastAsia="Calibri" w:cs="Arial"/>
                <w:b/>
                <w:sz w:val="20"/>
                <w:szCs w:val="22"/>
                <w:lang w:eastAsia="en-US"/>
              </w:rPr>
            </w:pPr>
            <w:r w:rsidRPr="003C07AD">
              <w:rPr>
                <w:rFonts w:eastAsia="Calibri" w:cs="Arial"/>
                <w:b/>
                <w:sz w:val="20"/>
                <w:szCs w:val="22"/>
                <w:lang w:eastAsia="en-US"/>
              </w:rPr>
              <w:t>Probabilidade de Ocorrência</w:t>
            </w:r>
          </w:p>
        </w:tc>
      </w:tr>
      <w:tr w:rsidR="00714369" w:rsidRPr="003C07AD" w:rsidTr="00EB64FE">
        <w:trPr>
          <w:trHeight w:val="273"/>
          <w:jc w:val="center"/>
        </w:trPr>
        <w:tc>
          <w:tcPr>
            <w:tcW w:w="1307" w:type="dxa"/>
            <w:shd w:val="clear" w:color="auto" w:fill="auto"/>
            <w:vAlign w:val="center"/>
          </w:tcPr>
          <w:p w:rsidR="00714369" w:rsidRPr="003C07AD" w:rsidRDefault="00714369" w:rsidP="00530E61">
            <w:pPr>
              <w:autoSpaceDE w:val="0"/>
              <w:autoSpaceDN w:val="0"/>
              <w:adjustRightInd w:val="0"/>
              <w:spacing w:before="120" w:after="120" w:line="240" w:lineRule="auto"/>
              <w:jc w:val="center"/>
              <w:rPr>
                <w:rFonts w:eastAsia="Calibri" w:cs="Arial"/>
                <w:sz w:val="20"/>
                <w:szCs w:val="22"/>
                <w:lang w:eastAsia="en-US"/>
              </w:rPr>
            </w:pPr>
            <w:r w:rsidRPr="003C07AD">
              <w:rPr>
                <w:rFonts w:eastAsia="Calibri" w:cs="Arial"/>
                <w:sz w:val="20"/>
                <w:szCs w:val="22"/>
                <w:lang w:eastAsia="en-US"/>
              </w:rPr>
              <w:t>Positivo</w:t>
            </w:r>
          </w:p>
        </w:tc>
        <w:tc>
          <w:tcPr>
            <w:tcW w:w="1307" w:type="dxa"/>
            <w:shd w:val="clear" w:color="auto" w:fill="auto"/>
            <w:vAlign w:val="center"/>
          </w:tcPr>
          <w:p w:rsidR="00714369" w:rsidRPr="003C07AD" w:rsidRDefault="00714369" w:rsidP="00530E61">
            <w:pPr>
              <w:autoSpaceDE w:val="0"/>
              <w:autoSpaceDN w:val="0"/>
              <w:adjustRightInd w:val="0"/>
              <w:spacing w:before="120" w:after="120" w:line="240" w:lineRule="auto"/>
              <w:jc w:val="center"/>
              <w:rPr>
                <w:rFonts w:eastAsia="Calibri" w:cs="Arial"/>
                <w:sz w:val="20"/>
                <w:szCs w:val="22"/>
                <w:lang w:eastAsia="en-US"/>
              </w:rPr>
            </w:pPr>
            <w:r w:rsidRPr="003C07AD">
              <w:rPr>
                <w:rFonts w:eastAsia="Calibri" w:cs="Arial"/>
                <w:sz w:val="20"/>
                <w:szCs w:val="22"/>
                <w:lang w:eastAsia="en-US"/>
              </w:rPr>
              <w:t>Indireto</w:t>
            </w:r>
          </w:p>
        </w:tc>
        <w:tc>
          <w:tcPr>
            <w:tcW w:w="1701" w:type="dxa"/>
            <w:shd w:val="clear" w:color="auto" w:fill="auto"/>
            <w:vAlign w:val="center"/>
          </w:tcPr>
          <w:p w:rsidR="00714369" w:rsidRPr="003C07AD" w:rsidRDefault="00714369" w:rsidP="00530E61">
            <w:pPr>
              <w:autoSpaceDE w:val="0"/>
              <w:autoSpaceDN w:val="0"/>
              <w:adjustRightInd w:val="0"/>
              <w:spacing w:before="120" w:after="120" w:line="240" w:lineRule="auto"/>
              <w:jc w:val="center"/>
              <w:rPr>
                <w:rFonts w:eastAsia="Calibri" w:cs="Arial"/>
                <w:sz w:val="20"/>
                <w:szCs w:val="22"/>
                <w:lang w:eastAsia="en-US"/>
              </w:rPr>
            </w:pPr>
            <w:r w:rsidRPr="003C07AD">
              <w:rPr>
                <w:rFonts w:eastAsia="Calibri" w:cs="Arial"/>
                <w:sz w:val="20"/>
                <w:szCs w:val="22"/>
                <w:lang w:eastAsia="en-US"/>
              </w:rPr>
              <w:t>Local</w:t>
            </w:r>
          </w:p>
        </w:tc>
        <w:tc>
          <w:tcPr>
            <w:tcW w:w="1560" w:type="dxa"/>
            <w:shd w:val="clear" w:color="auto" w:fill="auto"/>
            <w:vAlign w:val="center"/>
          </w:tcPr>
          <w:p w:rsidR="00714369" w:rsidRPr="003C07AD" w:rsidRDefault="00714369" w:rsidP="00530E61">
            <w:pPr>
              <w:autoSpaceDE w:val="0"/>
              <w:autoSpaceDN w:val="0"/>
              <w:adjustRightInd w:val="0"/>
              <w:spacing w:before="120" w:after="120" w:line="240" w:lineRule="auto"/>
              <w:jc w:val="center"/>
              <w:rPr>
                <w:rFonts w:eastAsia="Calibri" w:cs="Arial"/>
                <w:sz w:val="20"/>
                <w:szCs w:val="22"/>
                <w:lang w:eastAsia="en-US"/>
              </w:rPr>
            </w:pPr>
            <w:r w:rsidRPr="003C07AD">
              <w:rPr>
                <w:rFonts w:eastAsia="Calibri" w:cs="Arial"/>
                <w:sz w:val="20"/>
                <w:szCs w:val="22"/>
                <w:lang w:eastAsia="en-US"/>
              </w:rPr>
              <w:t>Temporário</w:t>
            </w:r>
          </w:p>
        </w:tc>
        <w:tc>
          <w:tcPr>
            <w:tcW w:w="3037" w:type="dxa"/>
            <w:shd w:val="clear" w:color="auto" w:fill="auto"/>
            <w:vAlign w:val="center"/>
          </w:tcPr>
          <w:p w:rsidR="00714369" w:rsidRPr="003C07AD" w:rsidRDefault="00714369" w:rsidP="00530E61">
            <w:pPr>
              <w:autoSpaceDE w:val="0"/>
              <w:autoSpaceDN w:val="0"/>
              <w:adjustRightInd w:val="0"/>
              <w:spacing w:before="120" w:after="120" w:line="240" w:lineRule="auto"/>
              <w:jc w:val="center"/>
              <w:rPr>
                <w:rFonts w:eastAsia="Calibri" w:cs="Arial"/>
                <w:sz w:val="20"/>
                <w:szCs w:val="22"/>
                <w:lang w:eastAsia="en-US"/>
              </w:rPr>
            </w:pPr>
            <w:r w:rsidRPr="003C07AD">
              <w:rPr>
                <w:rFonts w:eastAsia="Calibri" w:cs="Arial"/>
                <w:sz w:val="20"/>
                <w:szCs w:val="22"/>
                <w:lang w:eastAsia="en-US"/>
              </w:rPr>
              <w:t>Certa</w:t>
            </w:r>
          </w:p>
        </w:tc>
      </w:tr>
    </w:tbl>
    <w:p w:rsidR="00714369" w:rsidRPr="003C07AD" w:rsidRDefault="00714369" w:rsidP="00EB64FE">
      <w:pPr>
        <w:autoSpaceDE w:val="0"/>
        <w:autoSpaceDN w:val="0"/>
        <w:adjustRightInd w:val="0"/>
        <w:spacing w:line="240" w:lineRule="auto"/>
        <w:jc w:val="center"/>
        <w:rPr>
          <w:rFonts w:eastAsia="Calibri" w:cs="Arial"/>
          <w:sz w:val="20"/>
          <w:szCs w:val="22"/>
          <w:lang w:eastAsia="en-US"/>
        </w:rPr>
      </w:pPr>
    </w:p>
    <w:tbl>
      <w:tblPr>
        <w:tblW w:w="0" w:type="auto"/>
        <w:jc w:val="center"/>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7"/>
        <w:gridCol w:w="1701"/>
        <w:gridCol w:w="1560"/>
        <w:gridCol w:w="1559"/>
        <w:gridCol w:w="1441"/>
      </w:tblGrid>
      <w:tr w:rsidR="00714369" w:rsidRPr="003C07AD" w:rsidTr="000F69FA">
        <w:trPr>
          <w:trHeight w:val="397"/>
          <w:jc w:val="center"/>
        </w:trPr>
        <w:tc>
          <w:tcPr>
            <w:tcW w:w="2577" w:type="dxa"/>
            <w:shd w:val="clear" w:color="auto" w:fill="D9D9D9" w:themeFill="background1" w:themeFillShade="D9"/>
            <w:vAlign w:val="center"/>
          </w:tcPr>
          <w:p w:rsidR="00714369" w:rsidRPr="003C07AD" w:rsidRDefault="00714369" w:rsidP="00530E61">
            <w:pPr>
              <w:autoSpaceDE w:val="0"/>
              <w:autoSpaceDN w:val="0"/>
              <w:adjustRightInd w:val="0"/>
              <w:spacing w:before="120" w:after="120" w:line="240" w:lineRule="auto"/>
              <w:jc w:val="center"/>
              <w:rPr>
                <w:rFonts w:eastAsia="Calibri" w:cs="Arial"/>
                <w:b/>
                <w:sz w:val="20"/>
                <w:szCs w:val="22"/>
                <w:lang w:eastAsia="en-US"/>
              </w:rPr>
            </w:pPr>
            <w:r w:rsidRPr="003C07AD">
              <w:rPr>
                <w:rFonts w:eastAsia="Calibri" w:cs="Arial"/>
                <w:b/>
                <w:sz w:val="20"/>
                <w:szCs w:val="22"/>
                <w:lang w:eastAsia="en-US"/>
              </w:rPr>
              <w:t>Época de Ocorrência</w:t>
            </w:r>
          </w:p>
        </w:tc>
        <w:tc>
          <w:tcPr>
            <w:tcW w:w="1701" w:type="dxa"/>
            <w:shd w:val="clear" w:color="auto" w:fill="D9D9D9" w:themeFill="background1" w:themeFillShade="D9"/>
            <w:vAlign w:val="center"/>
          </w:tcPr>
          <w:p w:rsidR="00714369" w:rsidRPr="003C07AD" w:rsidRDefault="00714369" w:rsidP="00530E61">
            <w:pPr>
              <w:autoSpaceDE w:val="0"/>
              <w:autoSpaceDN w:val="0"/>
              <w:adjustRightInd w:val="0"/>
              <w:spacing w:before="120" w:after="120" w:line="240" w:lineRule="auto"/>
              <w:jc w:val="center"/>
              <w:rPr>
                <w:rFonts w:eastAsia="Calibri" w:cs="Arial"/>
                <w:b/>
                <w:sz w:val="20"/>
                <w:szCs w:val="22"/>
                <w:lang w:eastAsia="en-US"/>
              </w:rPr>
            </w:pPr>
            <w:r w:rsidRPr="003C07AD">
              <w:rPr>
                <w:rFonts w:eastAsia="Calibri" w:cs="Arial"/>
                <w:b/>
                <w:sz w:val="20"/>
                <w:szCs w:val="22"/>
                <w:lang w:eastAsia="en-US"/>
              </w:rPr>
              <w:t>Reversibilidade</w:t>
            </w:r>
          </w:p>
        </w:tc>
        <w:tc>
          <w:tcPr>
            <w:tcW w:w="1560" w:type="dxa"/>
            <w:shd w:val="clear" w:color="auto" w:fill="D9D9D9" w:themeFill="background1" w:themeFillShade="D9"/>
            <w:vAlign w:val="center"/>
          </w:tcPr>
          <w:p w:rsidR="00714369" w:rsidRPr="003C07AD" w:rsidRDefault="00714369" w:rsidP="00530E61">
            <w:pPr>
              <w:autoSpaceDE w:val="0"/>
              <w:autoSpaceDN w:val="0"/>
              <w:adjustRightInd w:val="0"/>
              <w:spacing w:before="120" w:after="120" w:line="240" w:lineRule="auto"/>
              <w:jc w:val="center"/>
              <w:rPr>
                <w:rFonts w:eastAsia="Calibri" w:cs="Arial"/>
                <w:b/>
                <w:sz w:val="20"/>
                <w:szCs w:val="22"/>
                <w:lang w:eastAsia="en-US"/>
              </w:rPr>
            </w:pPr>
            <w:r w:rsidRPr="003C07AD">
              <w:rPr>
                <w:rFonts w:eastAsia="Calibri" w:cs="Arial"/>
                <w:b/>
                <w:sz w:val="20"/>
                <w:szCs w:val="22"/>
                <w:lang w:eastAsia="en-US"/>
              </w:rPr>
              <w:t>Magnitude</w:t>
            </w:r>
          </w:p>
        </w:tc>
        <w:tc>
          <w:tcPr>
            <w:tcW w:w="1559" w:type="dxa"/>
            <w:shd w:val="clear" w:color="auto" w:fill="D9D9D9" w:themeFill="background1" w:themeFillShade="D9"/>
            <w:vAlign w:val="center"/>
          </w:tcPr>
          <w:p w:rsidR="00714369" w:rsidRPr="003C07AD" w:rsidRDefault="00714369" w:rsidP="00530E61">
            <w:pPr>
              <w:autoSpaceDE w:val="0"/>
              <w:autoSpaceDN w:val="0"/>
              <w:adjustRightInd w:val="0"/>
              <w:spacing w:before="120" w:after="120" w:line="240" w:lineRule="auto"/>
              <w:jc w:val="center"/>
              <w:rPr>
                <w:rFonts w:eastAsia="Calibri" w:cs="Arial"/>
                <w:b/>
                <w:sz w:val="20"/>
                <w:szCs w:val="22"/>
                <w:lang w:eastAsia="en-US"/>
              </w:rPr>
            </w:pPr>
            <w:r w:rsidRPr="003C07AD">
              <w:rPr>
                <w:rFonts w:eastAsia="Calibri" w:cs="Arial"/>
                <w:b/>
                <w:sz w:val="20"/>
                <w:szCs w:val="22"/>
                <w:lang w:eastAsia="en-US"/>
              </w:rPr>
              <w:t>Importância</w:t>
            </w:r>
          </w:p>
        </w:tc>
        <w:tc>
          <w:tcPr>
            <w:tcW w:w="1441" w:type="dxa"/>
            <w:shd w:val="clear" w:color="auto" w:fill="D9D9D9" w:themeFill="background1" w:themeFillShade="D9"/>
            <w:vAlign w:val="center"/>
          </w:tcPr>
          <w:p w:rsidR="00714369" w:rsidRPr="003C07AD" w:rsidRDefault="00714369" w:rsidP="00530E61">
            <w:pPr>
              <w:autoSpaceDE w:val="0"/>
              <w:autoSpaceDN w:val="0"/>
              <w:adjustRightInd w:val="0"/>
              <w:spacing w:before="120" w:after="120" w:line="240" w:lineRule="auto"/>
              <w:jc w:val="center"/>
              <w:rPr>
                <w:rFonts w:eastAsia="Calibri" w:cs="Arial"/>
                <w:b/>
                <w:sz w:val="20"/>
                <w:szCs w:val="22"/>
                <w:lang w:eastAsia="en-US"/>
              </w:rPr>
            </w:pPr>
            <w:r w:rsidRPr="003C07AD">
              <w:rPr>
                <w:rFonts w:eastAsia="Calibri" w:cs="Arial"/>
                <w:b/>
                <w:sz w:val="20"/>
                <w:szCs w:val="22"/>
                <w:lang w:eastAsia="en-US"/>
              </w:rPr>
              <w:t>Mitigação</w:t>
            </w:r>
          </w:p>
        </w:tc>
      </w:tr>
      <w:tr w:rsidR="00714369" w:rsidRPr="003C07AD" w:rsidTr="00EB64FE">
        <w:trPr>
          <w:trHeight w:val="344"/>
          <w:jc w:val="center"/>
        </w:trPr>
        <w:tc>
          <w:tcPr>
            <w:tcW w:w="2577" w:type="dxa"/>
            <w:shd w:val="clear" w:color="auto" w:fill="auto"/>
            <w:vAlign w:val="center"/>
          </w:tcPr>
          <w:p w:rsidR="00714369" w:rsidRPr="003C07AD" w:rsidRDefault="00714369" w:rsidP="00530E61">
            <w:pPr>
              <w:autoSpaceDE w:val="0"/>
              <w:autoSpaceDN w:val="0"/>
              <w:adjustRightInd w:val="0"/>
              <w:spacing w:before="120" w:after="120" w:line="240" w:lineRule="auto"/>
              <w:jc w:val="center"/>
              <w:rPr>
                <w:rFonts w:eastAsia="Calibri" w:cs="Arial"/>
                <w:sz w:val="20"/>
                <w:szCs w:val="22"/>
                <w:lang w:eastAsia="en-US"/>
              </w:rPr>
            </w:pPr>
            <w:r w:rsidRPr="003C07AD">
              <w:rPr>
                <w:rFonts w:eastAsia="Calibri" w:cs="Arial"/>
                <w:sz w:val="20"/>
                <w:szCs w:val="22"/>
                <w:lang w:eastAsia="en-US"/>
              </w:rPr>
              <w:t>Curto e Médio Prazo</w:t>
            </w:r>
          </w:p>
        </w:tc>
        <w:tc>
          <w:tcPr>
            <w:tcW w:w="1701" w:type="dxa"/>
            <w:shd w:val="clear" w:color="auto" w:fill="auto"/>
            <w:vAlign w:val="center"/>
          </w:tcPr>
          <w:p w:rsidR="00714369" w:rsidRPr="003C07AD" w:rsidRDefault="00714369" w:rsidP="00530E61">
            <w:pPr>
              <w:autoSpaceDE w:val="0"/>
              <w:autoSpaceDN w:val="0"/>
              <w:adjustRightInd w:val="0"/>
              <w:spacing w:before="120" w:after="120" w:line="240" w:lineRule="auto"/>
              <w:jc w:val="center"/>
              <w:rPr>
                <w:rFonts w:eastAsia="Calibri" w:cs="Arial"/>
                <w:sz w:val="20"/>
                <w:szCs w:val="22"/>
                <w:lang w:eastAsia="en-US"/>
              </w:rPr>
            </w:pPr>
            <w:r w:rsidRPr="003C07AD">
              <w:rPr>
                <w:rFonts w:eastAsia="Calibri" w:cs="Arial"/>
                <w:sz w:val="20"/>
                <w:szCs w:val="22"/>
                <w:lang w:eastAsia="en-US"/>
              </w:rPr>
              <w:t>Irreversível</w:t>
            </w:r>
          </w:p>
        </w:tc>
        <w:tc>
          <w:tcPr>
            <w:tcW w:w="1560" w:type="dxa"/>
            <w:shd w:val="clear" w:color="auto" w:fill="auto"/>
            <w:vAlign w:val="center"/>
          </w:tcPr>
          <w:p w:rsidR="00714369" w:rsidRPr="003C07AD" w:rsidRDefault="00714369" w:rsidP="00530E61">
            <w:pPr>
              <w:autoSpaceDE w:val="0"/>
              <w:autoSpaceDN w:val="0"/>
              <w:adjustRightInd w:val="0"/>
              <w:spacing w:before="120" w:after="120" w:line="240" w:lineRule="auto"/>
              <w:jc w:val="center"/>
              <w:rPr>
                <w:rFonts w:eastAsia="Calibri" w:cs="Arial"/>
                <w:sz w:val="20"/>
                <w:szCs w:val="22"/>
                <w:lang w:eastAsia="en-US"/>
              </w:rPr>
            </w:pPr>
            <w:r w:rsidRPr="003C07AD">
              <w:rPr>
                <w:rFonts w:eastAsia="Calibri" w:cs="Arial"/>
                <w:sz w:val="20"/>
                <w:szCs w:val="22"/>
                <w:lang w:eastAsia="en-US"/>
              </w:rPr>
              <w:t>Média</w:t>
            </w:r>
          </w:p>
        </w:tc>
        <w:tc>
          <w:tcPr>
            <w:tcW w:w="1559" w:type="dxa"/>
            <w:shd w:val="clear" w:color="auto" w:fill="auto"/>
            <w:vAlign w:val="center"/>
          </w:tcPr>
          <w:p w:rsidR="00714369" w:rsidRPr="003C07AD" w:rsidRDefault="00714369" w:rsidP="00530E61">
            <w:pPr>
              <w:autoSpaceDE w:val="0"/>
              <w:autoSpaceDN w:val="0"/>
              <w:adjustRightInd w:val="0"/>
              <w:spacing w:before="120" w:after="120" w:line="240" w:lineRule="auto"/>
              <w:jc w:val="center"/>
              <w:rPr>
                <w:rFonts w:eastAsia="Calibri" w:cs="Arial"/>
                <w:sz w:val="20"/>
                <w:szCs w:val="22"/>
                <w:lang w:eastAsia="en-US"/>
              </w:rPr>
            </w:pPr>
            <w:r w:rsidRPr="003C07AD">
              <w:rPr>
                <w:rFonts w:eastAsia="Calibri" w:cs="Arial"/>
                <w:sz w:val="20"/>
                <w:szCs w:val="22"/>
                <w:lang w:eastAsia="en-US"/>
              </w:rPr>
              <w:t>Alta</w:t>
            </w:r>
          </w:p>
        </w:tc>
        <w:tc>
          <w:tcPr>
            <w:tcW w:w="1441" w:type="dxa"/>
            <w:shd w:val="clear" w:color="auto" w:fill="auto"/>
            <w:vAlign w:val="center"/>
          </w:tcPr>
          <w:p w:rsidR="00714369" w:rsidRPr="003C07AD" w:rsidRDefault="00C2657F" w:rsidP="00530E61">
            <w:pPr>
              <w:autoSpaceDE w:val="0"/>
              <w:autoSpaceDN w:val="0"/>
              <w:adjustRightInd w:val="0"/>
              <w:spacing w:before="120" w:after="120" w:line="240" w:lineRule="auto"/>
              <w:jc w:val="center"/>
              <w:rPr>
                <w:rFonts w:eastAsia="Calibri" w:cs="Arial"/>
                <w:sz w:val="20"/>
                <w:szCs w:val="22"/>
                <w:lang w:eastAsia="en-US"/>
              </w:rPr>
            </w:pPr>
            <w:r>
              <w:rPr>
                <w:rFonts w:eastAsia="Calibri" w:cs="Arial"/>
                <w:sz w:val="20"/>
                <w:szCs w:val="22"/>
                <w:lang w:eastAsia="en-US"/>
              </w:rPr>
              <w:t>---</w:t>
            </w:r>
          </w:p>
        </w:tc>
      </w:tr>
    </w:tbl>
    <w:p w:rsidR="00714369" w:rsidRPr="00EB64FE" w:rsidRDefault="00714369" w:rsidP="00714369">
      <w:pPr>
        <w:autoSpaceDE w:val="0"/>
        <w:autoSpaceDN w:val="0"/>
        <w:adjustRightInd w:val="0"/>
        <w:spacing w:line="240" w:lineRule="auto"/>
        <w:rPr>
          <w:rFonts w:eastAsia="Calibri" w:cs="Arial"/>
          <w:szCs w:val="22"/>
          <w:lang w:eastAsia="en-US"/>
        </w:rPr>
      </w:pPr>
    </w:p>
    <w:p w:rsidR="00714369" w:rsidRPr="003C07AD" w:rsidRDefault="00714369" w:rsidP="00EB64FE">
      <w:pPr>
        <w:autoSpaceDE w:val="0"/>
        <w:autoSpaceDN w:val="0"/>
        <w:adjustRightInd w:val="0"/>
        <w:spacing w:after="120" w:line="240" w:lineRule="auto"/>
        <w:rPr>
          <w:rFonts w:eastAsia="Calibri" w:cs="Arial"/>
          <w:b/>
          <w:szCs w:val="22"/>
          <w:lang w:eastAsia="en-US"/>
        </w:rPr>
      </w:pPr>
      <w:r w:rsidRPr="003C07AD">
        <w:rPr>
          <w:rFonts w:eastAsia="Calibri" w:cs="Arial"/>
          <w:b/>
          <w:szCs w:val="22"/>
          <w:lang w:eastAsia="en-US"/>
        </w:rPr>
        <w:t>Ações Ambientais Propostas</w:t>
      </w:r>
    </w:p>
    <w:p w:rsidR="00714369" w:rsidRPr="003C07AD" w:rsidRDefault="00714369" w:rsidP="00714369">
      <w:pPr>
        <w:spacing w:before="120" w:after="120" w:line="240" w:lineRule="auto"/>
        <w:rPr>
          <w:rFonts w:eastAsia="Calibri"/>
          <w:szCs w:val="22"/>
          <w:lang w:eastAsia="en-US"/>
        </w:rPr>
      </w:pPr>
      <w:r w:rsidRPr="003C07AD">
        <w:rPr>
          <w:rFonts w:eastAsia="Calibri"/>
          <w:szCs w:val="22"/>
          <w:lang w:eastAsia="en-US"/>
        </w:rPr>
        <w:t xml:space="preserve">Através do Programa de </w:t>
      </w:r>
      <w:r w:rsidR="00D225D5">
        <w:rPr>
          <w:rFonts w:eastAsia="Calibri"/>
          <w:szCs w:val="22"/>
          <w:lang w:eastAsia="en-US"/>
        </w:rPr>
        <w:t>Comunicação e Interação Social</w:t>
      </w:r>
      <w:r w:rsidRPr="003C07AD">
        <w:rPr>
          <w:rFonts w:eastAsia="Calibri"/>
          <w:szCs w:val="22"/>
          <w:lang w:eastAsia="en-US"/>
        </w:rPr>
        <w:t xml:space="preserve"> e também do Programa </w:t>
      </w:r>
      <w:r w:rsidR="00D225D5">
        <w:rPr>
          <w:rFonts w:eastAsia="Calibri"/>
          <w:szCs w:val="22"/>
          <w:lang w:eastAsia="en-US"/>
        </w:rPr>
        <w:t xml:space="preserve">de Negociação e </w:t>
      </w:r>
      <w:r w:rsidRPr="003C07AD">
        <w:rPr>
          <w:rFonts w:eastAsia="Calibri"/>
          <w:szCs w:val="22"/>
          <w:lang w:eastAsia="en-US"/>
        </w:rPr>
        <w:t xml:space="preserve">Desapropriação, Indenização e Relocação é interessante a adoção de ações direcionadas a essa questão, como: </w:t>
      </w:r>
    </w:p>
    <w:p w:rsidR="00714369" w:rsidRPr="00C008DC" w:rsidRDefault="00714369" w:rsidP="008204B6">
      <w:pPr>
        <w:pStyle w:val="Item-Bolinha"/>
        <w:rPr>
          <w:rFonts w:eastAsia="Calibri"/>
          <w:szCs w:val="22"/>
          <w:lang w:eastAsia="en-US"/>
        </w:rPr>
      </w:pPr>
      <w:r>
        <w:t>Incluir</w:t>
      </w:r>
      <w:r w:rsidRPr="00666A9B">
        <w:t xml:space="preserve"> as organizações da sociedade civil existentes </w:t>
      </w:r>
      <w:r>
        <w:t xml:space="preserve">no rol de </w:t>
      </w:r>
      <w:r w:rsidRPr="00666A9B">
        <w:t>interlocutor</w:t>
      </w:r>
      <w:r>
        <w:t>es</w:t>
      </w:r>
      <w:r w:rsidRPr="00666A9B">
        <w:t xml:space="preserve"> da comunidade frente ao empreendedor</w:t>
      </w:r>
      <w:r>
        <w:t>,</w:t>
      </w:r>
      <w:r w:rsidRPr="00666A9B">
        <w:t xml:space="preserve"> no que diz respeito</w:t>
      </w:r>
      <w:r>
        <w:t xml:space="preserve"> às interferências com a população.</w:t>
      </w:r>
    </w:p>
    <w:p w:rsidR="00714369" w:rsidRPr="003C07AD" w:rsidRDefault="00714369" w:rsidP="008204B6">
      <w:pPr>
        <w:pStyle w:val="Item-Bolinha"/>
        <w:rPr>
          <w:rFonts w:eastAsia="Calibri"/>
          <w:szCs w:val="22"/>
          <w:lang w:eastAsia="en-US"/>
        </w:rPr>
      </w:pPr>
      <w:r w:rsidRPr="003C07AD">
        <w:rPr>
          <w:rFonts w:eastAsia="Calibri"/>
          <w:szCs w:val="22"/>
          <w:lang w:eastAsia="en-US"/>
        </w:rPr>
        <w:t>Captação e entendimento dos argumentos e demandas mais frequentes surgidas entre os diversos grupos de interesse via captaç</w:t>
      </w:r>
      <w:r>
        <w:rPr>
          <w:rFonts w:eastAsia="Calibri"/>
          <w:szCs w:val="22"/>
          <w:lang w:eastAsia="en-US"/>
        </w:rPr>
        <w:t>ão do Programa de Comunicação.</w:t>
      </w:r>
    </w:p>
    <w:p w:rsidR="005C4F7A" w:rsidRPr="00BF6717" w:rsidRDefault="00714369" w:rsidP="008204B6">
      <w:pPr>
        <w:pStyle w:val="Item-Bolinha"/>
        <w:rPr>
          <w:rFonts w:eastAsia="Calibri"/>
          <w:szCs w:val="22"/>
          <w:lang w:eastAsia="en-US"/>
        </w:rPr>
      </w:pPr>
      <w:r w:rsidRPr="003C07AD">
        <w:rPr>
          <w:rFonts w:eastAsia="Calibri"/>
          <w:szCs w:val="22"/>
          <w:lang w:eastAsia="en-US"/>
        </w:rPr>
        <w:t>Criação de uma sistemática e representativa de troca de informações, a prática de negociação e diálogo entre comunidades e empreendedor, de modo a garantir uma interação saudável e eficaz na resolução dos problemas.</w:t>
      </w:r>
    </w:p>
    <w:p w:rsidR="00973BCF" w:rsidRPr="008204B6" w:rsidRDefault="00CD6D82" w:rsidP="008204B6">
      <w:pPr>
        <w:pStyle w:val="Ttulo3"/>
        <w:rPr>
          <w:rFonts w:ascii="Arial Negrito" w:hAnsi="Arial Negrito"/>
          <w:bCs/>
        </w:rPr>
      </w:pPr>
      <w:bookmarkStart w:id="398" w:name="_Toc418758257"/>
      <w:bookmarkStart w:id="399" w:name="_Toc418758859"/>
      <w:bookmarkStart w:id="400" w:name="_Toc419813619"/>
      <w:r w:rsidRPr="008204B6">
        <w:rPr>
          <w:rFonts w:ascii="Arial Negrito" w:hAnsi="Arial Negrito"/>
          <w:bCs/>
        </w:rPr>
        <w:t xml:space="preserve">1.3.3.10. </w:t>
      </w:r>
      <w:r w:rsidR="00973BCF" w:rsidRPr="008204B6">
        <w:rPr>
          <w:rFonts w:ascii="Arial Negrito" w:hAnsi="Arial Negrito"/>
          <w:bCs/>
        </w:rPr>
        <w:t xml:space="preserve">Aumento da </w:t>
      </w:r>
      <w:r w:rsidR="00F73F34" w:rsidRPr="008204B6">
        <w:rPr>
          <w:rFonts w:ascii="Arial Negrito" w:hAnsi="Arial Negrito"/>
          <w:bCs/>
        </w:rPr>
        <w:t>Pressão sobre Serviços e Equipamentos Públicos</w:t>
      </w:r>
      <w:bookmarkEnd w:id="398"/>
      <w:bookmarkEnd w:id="399"/>
      <w:bookmarkEnd w:id="400"/>
    </w:p>
    <w:p w:rsidR="003878A9" w:rsidRPr="003878A9" w:rsidRDefault="003878A9" w:rsidP="00F73F34">
      <w:pPr>
        <w:spacing w:before="120" w:after="120" w:line="240" w:lineRule="auto"/>
        <w:rPr>
          <w:b/>
        </w:rPr>
      </w:pPr>
      <w:r w:rsidRPr="003878A9">
        <w:rPr>
          <w:b/>
        </w:rPr>
        <w:t>Fase: Implantação</w:t>
      </w:r>
    </w:p>
    <w:p w:rsidR="00F73F34" w:rsidRPr="00D130EB" w:rsidRDefault="00F73F34" w:rsidP="00F73F34">
      <w:pPr>
        <w:spacing w:before="120" w:after="120" w:line="240" w:lineRule="auto"/>
        <w:rPr>
          <w:highlight w:val="yellow"/>
        </w:rPr>
      </w:pPr>
      <w:r>
        <w:t>A</w:t>
      </w:r>
      <w:r w:rsidRPr="00666A9B">
        <w:t xml:space="preserve">s obras </w:t>
      </w:r>
      <w:r>
        <w:t>das duas barragens requererão</w:t>
      </w:r>
      <w:r w:rsidRPr="00666A9B">
        <w:t xml:space="preserve"> a abertura de um total de </w:t>
      </w:r>
      <w:r w:rsidR="00455ED9" w:rsidRPr="00455ED9">
        <w:t>1.837</w:t>
      </w:r>
      <w:r w:rsidRPr="00666A9B">
        <w:t xml:space="preserve"> postos de trabalho, </w:t>
      </w:r>
      <w:r w:rsidR="00455ED9">
        <w:t xml:space="preserve">em torno de 920 postos em cada empreendimento, a maior parte deles </w:t>
      </w:r>
      <w:r w:rsidRPr="00666A9B">
        <w:t xml:space="preserve">para atividades de </w:t>
      </w:r>
      <w:r w:rsidR="00455ED9">
        <w:t>pouca</w:t>
      </w:r>
      <w:r w:rsidRPr="00666A9B">
        <w:t xml:space="preserve"> </w:t>
      </w:r>
      <w:r w:rsidR="00455ED9">
        <w:t>especialização</w:t>
      </w:r>
      <w:r w:rsidRPr="00666A9B">
        <w:t xml:space="preserve">, para os quais será dada prioridade à utilização de mão de obra local. Deve-se, entretanto, considerar que serão </w:t>
      </w:r>
      <w:r w:rsidR="00455ED9">
        <w:t>abertos também</w:t>
      </w:r>
      <w:r w:rsidRPr="00666A9B">
        <w:t xml:space="preserve"> postos de trabalho de nível especializado, cujos técnicos </w:t>
      </w:r>
      <w:r>
        <w:t xml:space="preserve">poderão ser oriundos </w:t>
      </w:r>
      <w:r w:rsidRPr="00666A9B">
        <w:t xml:space="preserve">de outras regiões, </w:t>
      </w:r>
      <w:r>
        <w:t>de modo que se pode esperar que haja</w:t>
      </w:r>
      <w:r w:rsidRPr="00666A9B">
        <w:t xml:space="preserve"> um eventual aumento na pressão sob</w:t>
      </w:r>
      <w:r w:rsidRPr="00455ED9">
        <w:t>re equipamentos públicos em decorrência das obras do empreendimento, de forma especial nos equipamentos de saúde</w:t>
      </w:r>
      <w:r w:rsidR="00455ED9" w:rsidRPr="00455ED9">
        <w:t xml:space="preserve">, e </w:t>
      </w:r>
      <w:r w:rsidRPr="00455ED9">
        <w:t xml:space="preserve">na questão da habitação, entre outros. </w:t>
      </w:r>
    </w:p>
    <w:p w:rsidR="00F73F34" w:rsidRDefault="00F73F34" w:rsidP="00F73F34">
      <w:pPr>
        <w:spacing w:before="120" w:after="120" w:line="240" w:lineRule="auto"/>
      </w:pPr>
      <w:r w:rsidRPr="00455ED9">
        <w:t>Essa pressão pode ocorrer ainda pela eventual necessidade de utilização de hospitais para atendimentos específicos aos trabalhadores das obras, pois mesmo que esses sejam assistidos, em caso de doenças e acidentes de menor gravidade, pelo ambulatório do canteiro de obras, em casos mais graves, haverá necessidade de transferência para hospitais da região, em um contexto em que ainda não foi diagnosticada situação de carência notável, mas que certamente terá de se adaptar a essa nova situação.</w:t>
      </w:r>
    </w:p>
    <w:p w:rsidR="00F73F34" w:rsidRDefault="00F73F34" w:rsidP="00F73F34">
      <w:pPr>
        <w:spacing w:before="120" w:after="120" w:line="240" w:lineRule="auto"/>
      </w:pPr>
      <w:r w:rsidRPr="00666A9B">
        <w:t>O impacto é considerado negativo e indireto, provável, localizado especialmente nas áreas urbanas dos municípios onde serão instalados os canteiros e instalações de apoio às obras, de médio prazo, a serem esperados quando da fase de implantação do empreendimento, reversível e temporário, uma vez que a pressão deverá ocorrer durante essa fase e ser reduzida após a desmobilização das obras.</w:t>
      </w:r>
    </w:p>
    <w:p w:rsidR="00F73F34" w:rsidRPr="00EF06E3" w:rsidRDefault="00B44C8E" w:rsidP="00EF06E3">
      <w:pPr>
        <w:pStyle w:val="Legenda"/>
        <w:spacing w:line="240" w:lineRule="auto"/>
        <w:jc w:val="center"/>
        <w:rPr>
          <w:rFonts w:cs="Arial"/>
          <w:b w:val="0"/>
          <w:bCs/>
          <w:i w:val="0"/>
        </w:rPr>
      </w:pPr>
      <w:bookmarkStart w:id="401" w:name="_Toc420316529"/>
      <w:r w:rsidRPr="00EF06E3">
        <w:rPr>
          <w:i w:val="0"/>
        </w:rPr>
        <w:t xml:space="preserve">Quadro </w:t>
      </w:r>
      <w:r w:rsidR="00B80A05" w:rsidRPr="00EF06E3">
        <w:rPr>
          <w:i w:val="0"/>
        </w:rPr>
        <w:fldChar w:fldCharType="begin"/>
      </w:r>
      <w:r w:rsidR="00402E81" w:rsidRPr="00EF06E3">
        <w:rPr>
          <w:i w:val="0"/>
        </w:rPr>
        <w:instrText xml:space="preserve"> STYLEREF 2 \s </w:instrText>
      </w:r>
      <w:r w:rsidR="00B80A05" w:rsidRPr="00EF06E3">
        <w:rPr>
          <w:i w:val="0"/>
        </w:rPr>
        <w:fldChar w:fldCharType="separate"/>
      </w:r>
      <w:r w:rsidR="00316060">
        <w:rPr>
          <w:i w:val="0"/>
          <w:noProof/>
        </w:rPr>
        <w:t>1.3</w:t>
      </w:r>
      <w:r w:rsidR="00B80A05" w:rsidRPr="00EF06E3">
        <w:rPr>
          <w:i w:val="0"/>
        </w:rPr>
        <w:fldChar w:fldCharType="end"/>
      </w:r>
      <w:r w:rsidR="00402E81" w:rsidRPr="00EF06E3">
        <w:rPr>
          <w:i w:val="0"/>
        </w:rPr>
        <w:t>.</w:t>
      </w:r>
      <w:r w:rsidR="00B80A05" w:rsidRPr="00EF06E3">
        <w:rPr>
          <w:i w:val="0"/>
        </w:rPr>
        <w:fldChar w:fldCharType="begin"/>
      </w:r>
      <w:r w:rsidR="00402E81" w:rsidRPr="00EF06E3">
        <w:rPr>
          <w:i w:val="0"/>
        </w:rPr>
        <w:instrText xml:space="preserve"> SEQ Quadro \* ARABIC \s 2 </w:instrText>
      </w:r>
      <w:r w:rsidR="00B80A05" w:rsidRPr="00EF06E3">
        <w:rPr>
          <w:i w:val="0"/>
        </w:rPr>
        <w:fldChar w:fldCharType="separate"/>
      </w:r>
      <w:r w:rsidR="00316060">
        <w:rPr>
          <w:i w:val="0"/>
          <w:noProof/>
        </w:rPr>
        <w:t>86</w:t>
      </w:r>
      <w:r w:rsidR="00B80A05" w:rsidRPr="00EF06E3">
        <w:rPr>
          <w:i w:val="0"/>
        </w:rPr>
        <w:fldChar w:fldCharType="end"/>
      </w:r>
      <w:r w:rsidR="00EF06E3" w:rsidRPr="00EF06E3">
        <w:rPr>
          <w:i w:val="0"/>
        </w:rPr>
        <w:t>.</w:t>
      </w:r>
      <w:r w:rsidR="00EF06E3" w:rsidRPr="00EF06E3">
        <w:rPr>
          <w:b w:val="0"/>
          <w:i w:val="0"/>
        </w:rPr>
        <w:t xml:space="preserve"> - </w:t>
      </w:r>
      <w:r w:rsidR="00F73F34" w:rsidRPr="00EF06E3">
        <w:rPr>
          <w:rFonts w:cs="Arial"/>
          <w:b w:val="0"/>
          <w:bCs/>
          <w:i w:val="0"/>
        </w:rPr>
        <w:t xml:space="preserve">Caracterização do Impacto – </w:t>
      </w:r>
      <w:r w:rsidR="00F73F34" w:rsidRPr="00EF06E3">
        <w:rPr>
          <w:rFonts w:cs="Arial"/>
          <w:b w:val="0"/>
          <w:i w:val="0"/>
        </w:rPr>
        <w:t>Aumento da Pressão sobre Serviços e Equipamento Públicos</w:t>
      </w:r>
      <w:r w:rsidR="00F73F34" w:rsidRPr="00EF06E3">
        <w:rPr>
          <w:rFonts w:cs="Arial"/>
          <w:b w:val="0"/>
          <w:bCs/>
          <w:i w:val="0"/>
        </w:rPr>
        <w:t xml:space="preserve"> — </w:t>
      </w:r>
      <w:r w:rsidR="00F73F34" w:rsidRPr="00EF06E3">
        <w:rPr>
          <w:b w:val="0"/>
          <w:i w:val="0"/>
        </w:rPr>
        <w:t>Barragens Pedreira e Duas Pontes</w:t>
      </w:r>
      <w:bookmarkEnd w:id="401"/>
    </w:p>
    <w:tbl>
      <w:tblPr>
        <w:tblW w:w="0" w:type="auto"/>
        <w:jc w:val="center"/>
        <w:tblInd w:w="-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13"/>
        <w:gridCol w:w="1417"/>
        <w:gridCol w:w="1559"/>
        <w:gridCol w:w="1560"/>
        <w:gridCol w:w="3012"/>
      </w:tblGrid>
      <w:tr w:rsidR="00F73F34" w:rsidRPr="00A43380" w:rsidTr="008204B6">
        <w:trPr>
          <w:trHeight w:val="514"/>
          <w:jc w:val="center"/>
        </w:trPr>
        <w:tc>
          <w:tcPr>
            <w:tcW w:w="1313" w:type="dxa"/>
            <w:shd w:val="clear" w:color="auto" w:fill="D9D9D9" w:themeFill="background1" w:themeFillShade="D9"/>
            <w:vAlign w:val="center"/>
          </w:tcPr>
          <w:p w:rsidR="00F73F34" w:rsidRPr="00A43380" w:rsidRDefault="00F73F34" w:rsidP="00F73F34">
            <w:pPr>
              <w:autoSpaceDE w:val="0"/>
              <w:autoSpaceDN w:val="0"/>
              <w:adjustRightInd w:val="0"/>
              <w:spacing w:line="240" w:lineRule="auto"/>
              <w:jc w:val="center"/>
              <w:rPr>
                <w:rFonts w:cs="Arial"/>
                <w:b/>
                <w:sz w:val="20"/>
              </w:rPr>
            </w:pPr>
            <w:r w:rsidRPr="00A43380">
              <w:rPr>
                <w:rFonts w:cs="Arial"/>
                <w:b/>
                <w:sz w:val="20"/>
              </w:rPr>
              <w:t>Natureza</w:t>
            </w:r>
          </w:p>
        </w:tc>
        <w:tc>
          <w:tcPr>
            <w:tcW w:w="1417" w:type="dxa"/>
            <w:shd w:val="clear" w:color="auto" w:fill="D9D9D9" w:themeFill="background1" w:themeFillShade="D9"/>
            <w:vAlign w:val="center"/>
          </w:tcPr>
          <w:p w:rsidR="00F73F34" w:rsidRPr="00A43380" w:rsidRDefault="00F73F34" w:rsidP="00F73F34">
            <w:pPr>
              <w:autoSpaceDE w:val="0"/>
              <w:autoSpaceDN w:val="0"/>
              <w:adjustRightInd w:val="0"/>
              <w:spacing w:line="240" w:lineRule="auto"/>
              <w:jc w:val="center"/>
              <w:rPr>
                <w:rFonts w:cs="Arial"/>
                <w:b/>
                <w:sz w:val="20"/>
              </w:rPr>
            </w:pPr>
            <w:r w:rsidRPr="00A43380">
              <w:rPr>
                <w:rFonts w:cs="Arial"/>
                <w:b/>
                <w:sz w:val="20"/>
              </w:rPr>
              <w:t>Ordem</w:t>
            </w:r>
          </w:p>
        </w:tc>
        <w:tc>
          <w:tcPr>
            <w:tcW w:w="1559" w:type="dxa"/>
            <w:shd w:val="clear" w:color="auto" w:fill="D9D9D9" w:themeFill="background1" w:themeFillShade="D9"/>
            <w:vAlign w:val="center"/>
          </w:tcPr>
          <w:p w:rsidR="00F73F34" w:rsidRPr="00A43380" w:rsidRDefault="00F73F34" w:rsidP="00F73F34">
            <w:pPr>
              <w:autoSpaceDE w:val="0"/>
              <w:autoSpaceDN w:val="0"/>
              <w:adjustRightInd w:val="0"/>
              <w:spacing w:line="240" w:lineRule="auto"/>
              <w:jc w:val="center"/>
              <w:rPr>
                <w:rFonts w:cs="Arial"/>
                <w:b/>
                <w:sz w:val="20"/>
              </w:rPr>
            </w:pPr>
            <w:r w:rsidRPr="00A43380">
              <w:rPr>
                <w:rFonts w:cs="Arial"/>
                <w:b/>
                <w:sz w:val="20"/>
              </w:rPr>
              <w:t>Abrangência</w:t>
            </w:r>
          </w:p>
        </w:tc>
        <w:tc>
          <w:tcPr>
            <w:tcW w:w="1560" w:type="dxa"/>
            <w:shd w:val="clear" w:color="auto" w:fill="D9D9D9" w:themeFill="background1" w:themeFillShade="D9"/>
            <w:vAlign w:val="center"/>
          </w:tcPr>
          <w:p w:rsidR="00F73F34" w:rsidRPr="00A43380" w:rsidRDefault="00F73F34" w:rsidP="00F73F34">
            <w:pPr>
              <w:autoSpaceDE w:val="0"/>
              <w:autoSpaceDN w:val="0"/>
              <w:adjustRightInd w:val="0"/>
              <w:spacing w:line="240" w:lineRule="auto"/>
              <w:jc w:val="center"/>
              <w:rPr>
                <w:rFonts w:cs="Arial"/>
                <w:b/>
                <w:sz w:val="20"/>
              </w:rPr>
            </w:pPr>
            <w:r w:rsidRPr="00A43380">
              <w:rPr>
                <w:rFonts w:cs="Arial"/>
                <w:b/>
                <w:sz w:val="20"/>
              </w:rPr>
              <w:t>Duração</w:t>
            </w:r>
          </w:p>
        </w:tc>
        <w:tc>
          <w:tcPr>
            <w:tcW w:w="3012" w:type="dxa"/>
            <w:shd w:val="clear" w:color="auto" w:fill="D9D9D9" w:themeFill="background1" w:themeFillShade="D9"/>
            <w:vAlign w:val="center"/>
          </w:tcPr>
          <w:p w:rsidR="00F73F34" w:rsidRPr="00A43380" w:rsidRDefault="00F73F34" w:rsidP="00F73F34">
            <w:pPr>
              <w:autoSpaceDE w:val="0"/>
              <w:autoSpaceDN w:val="0"/>
              <w:adjustRightInd w:val="0"/>
              <w:spacing w:line="240" w:lineRule="auto"/>
              <w:jc w:val="center"/>
              <w:rPr>
                <w:rFonts w:cs="Arial"/>
                <w:b/>
                <w:sz w:val="20"/>
              </w:rPr>
            </w:pPr>
            <w:r w:rsidRPr="00A43380">
              <w:rPr>
                <w:rFonts w:cs="Arial"/>
                <w:b/>
                <w:sz w:val="20"/>
              </w:rPr>
              <w:t>Probabilidade de Ocorrência</w:t>
            </w:r>
          </w:p>
        </w:tc>
      </w:tr>
      <w:tr w:rsidR="00F73F34" w:rsidRPr="00A43380" w:rsidTr="00F73F34">
        <w:trPr>
          <w:trHeight w:val="463"/>
          <w:jc w:val="center"/>
        </w:trPr>
        <w:tc>
          <w:tcPr>
            <w:tcW w:w="1313" w:type="dxa"/>
            <w:shd w:val="clear" w:color="auto" w:fill="auto"/>
            <w:vAlign w:val="center"/>
          </w:tcPr>
          <w:p w:rsidR="00F73F34" w:rsidRPr="00D412A7" w:rsidRDefault="00F73F34" w:rsidP="00F73F34">
            <w:pPr>
              <w:autoSpaceDE w:val="0"/>
              <w:autoSpaceDN w:val="0"/>
              <w:adjustRightInd w:val="0"/>
              <w:spacing w:line="240" w:lineRule="auto"/>
              <w:jc w:val="center"/>
              <w:rPr>
                <w:rFonts w:cs="Arial"/>
                <w:sz w:val="20"/>
              </w:rPr>
            </w:pPr>
            <w:r>
              <w:rPr>
                <w:rFonts w:cs="Arial"/>
                <w:sz w:val="20"/>
              </w:rPr>
              <w:t>Negativo</w:t>
            </w:r>
          </w:p>
        </w:tc>
        <w:tc>
          <w:tcPr>
            <w:tcW w:w="1417" w:type="dxa"/>
            <w:shd w:val="clear" w:color="auto" w:fill="auto"/>
            <w:vAlign w:val="center"/>
          </w:tcPr>
          <w:p w:rsidR="00F73F34" w:rsidRPr="00D412A7" w:rsidRDefault="00F73F34" w:rsidP="00F73F34">
            <w:pPr>
              <w:autoSpaceDE w:val="0"/>
              <w:autoSpaceDN w:val="0"/>
              <w:adjustRightInd w:val="0"/>
              <w:spacing w:line="240" w:lineRule="auto"/>
              <w:jc w:val="center"/>
              <w:rPr>
                <w:rFonts w:cs="Arial"/>
                <w:sz w:val="20"/>
              </w:rPr>
            </w:pPr>
            <w:r>
              <w:rPr>
                <w:rFonts w:cs="Arial"/>
                <w:sz w:val="20"/>
              </w:rPr>
              <w:t>Indireto</w:t>
            </w:r>
          </w:p>
        </w:tc>
        <w:tc>
          <w:tcPr>
            <w:tcW w:w="1559" w:type="dxa"/>
            <w:shd w:val="clear" w:color="auto" w:fill="auto"/>
            <w:vAlign w:val="center"/>
          </w:tcPr>
          <w:p w:rsidR="00F73F34" w:rsidRPr="00D412A7" w:rsidRDefault="00F73F34" w:rsidP="00F73F34">
            <w:pPr>
              <w:autoSpaceDE w:val="0"/>
              <w:autoSpaceDN w:val="0"/>
              <w:adjustRightInd w:val="0"/>
              <w:spacing w:line="240" w:lineRule="auto"/>
              <w:jc w:val="center"/>
              <w:rPr>
                <w:rFonts w:cs="Arial"/>
                <w:sz w:val="20"/>
              </w:rPr>
            </w:pPr>
            <w:r>
              <w:rPr>
                <w:rFonts w:cs="Arial"/>
                <w:sz w:val="20"/>
              </w:rPr>
              <w:t>Localizado</w:t>
            </w:r>
          </w:p>
        </w:tc>
        <w:tc>
          <w:tcPr>
            <w:tcW w:w="1560" w:type="dxa"/>
            <w:shd w:val="clear" w:color="auto" w:fill="auto"/>
            <w:vAlign w:val="center"/>
          </w:tcPr>
          <w:p w:rsidR="00F73F34" w:rsidRPr="00D412A7" w:rsidRDefault="00F73F34" w:rsidP="00F73F34">
            <w:pPr>
              <w:autoSpaceDE w:val="0"/>
              <w:autoSpaceDN w:val="0"/>
              <w:adjustRightInd w:val="0"/>
              <w:spacing w:line="240" w:lineRule="auto"/>
              <w:jc w:val="center"/>
              <w:rPr>
                <w:rFonts w:cs="Arial"/>
                <w:sz w:val="20"/>
              </w:rPr>
            </w:pPr>
            <w:r>
              <w:rPr>
                <w:rFonts w:cs="Arial"/>
                <w:sz w:val="20"/>
              </w:rPr>
              <w:t>Temporário</w:t>
            </w:r>
          </w:p>
        </w:tc>
        <w:tc>
          <w:tcPr>
            <w:tcW w:w="3012" w:type="dxa"/>
            <w:shd w:val="clear" w:color="auto" w:fill="auto"/>
            <w:vAlign w:val="center"/>
          </w:tcPr>
          <w:p w:rsidR="00F73F34" w:rsidRPr="00D412A7" w:rsidRDefault="00F73F34" w:rsidP="00F73F34">
            <w:pPr>
              <w:autoSpaceDE w:val="0"/>
              <w:autoSpaceDN w:val="0"/>
              <w:adjustRightInd w:val="0"/>
              <w:spacing w:line="240" w:lineRule="auto"/>
              <w:jc w:val="center"/>
              <w:rPr>
                <w:rFonts w:cs="Arial"/>
                <w:sz w:val="20"/>
              </w:rPr>
            </w:pPr>
            <w:r>
              <w:rPr>
                <w:rFonts w:cs="Arial"/>
                <w:sz w:val="20"/>
              </w:rPr>
              <w:t>Certo</w:t>
            </w:r>
          </w:p>
        </w:tc>
      </w:tr>
    </w:tbl>
    <w:p w:rsidR="00F73F34" w:rsidRPr="00A43380" w:rsidRDefault="00F73F34" w:rsidP="00F73F34">
      <w:pPr>
        <w:autoSpaceDE w:val="0"/>
        <w:autoSpaceDN w:val="0"/>
        <w:adjustRightInd w:val="0"/>
        <w:spacing w:line="240" w:lineRule="auto"/>
        <w:jc w:val="center"/>
        <w:rPr>
          <w:rFonts w:cs="Arial"/>
          <w:sz w:val="20"/>
        </w:rPr>
      </w:pPr>
    </w:p>
    <w:tbl>
      <w:tblPr>
        <w:tblW w:w="0" w:type="auto"/>
        <w:jc w:val="center"/>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36"/>
        <w:gridCol w:w="1701"/>
        <w:gridCol w:w="1418"/>
        <w:gridCol w:w="1509"/>
        <w:gridCol w:w="1509"/>
      </w:tblGrid>
      <w:tr w:rsidR="00F73F34" w:rsidRPr="00A43380" w:rsidTr="008204B6">
        <w:trPr>
          <w:trHeight w:val="397"/>
          <w:jc w:val="center"/>
        </w:trPr>
        <w:tc>
          <w:tcPr>
            <w:tcW w:w="2736" w:type="dxa"/>
            <w:shd w:val="clear" w:color="auto" w:fill="D9D9D9" w:themeFill="background1" w:themeFillShade="D9"/>
            <w:vAlign w:val="center"/>
          </w:tcPr>
          <w:p w:rsidR="00F73F34" w:rsidRPr="00A43380" w:rsidRDefault="00F73F34" w:rsidP="00F73F34">
            <w:pPr>
              <w:autoSpaceDE w:val="0"/>
              <w:autoSpaceDN w:val="0"/>
              <w:adjustRightInd w:val="0"/>
              <w:spacing w:line="240" w:lineRule="auto"/>
              <w:jc w:val="center"/>
              <w:rPr>
                <w:rFonts w:cs="Arial"/>
                <w:b/>
                <w:sz w:val="20"/>
              </w:rPr>
            </w:pPr>
            <w:r w:rsidRPr="00A43380">
              <w:rPr>
                <w:rFonts w:cs="Arial"/>
                <w:b/>
                <w:sz w:val="20"/>
              </w:rPr>
              <w:t>Época de Ocorrência</w:t>
            </w:r>
          </w:p>
        </w:tc>
        <w:tc>
          <w:tcPr>
            <w:tcW w:w="1701" w:type="dxa"/>
            <w:shd w:val="clear" w:color="auto" w:fill="D9D9D9" w:themeFill="background1" w:themeFillShade="D9"/>
            <w:vAlign w:val="center"/>
          </w:tcPr>
          <w:p w:rsidR="00F73F34" w:rsidRPr="00A43380" w:rsidRDefault="00F73F34" w:rsidP="00F73F34">
            <w:pPr>
              <w:autoSpaceDE w:val="0"/>
              <w:autoSpaceDN w:val="0"/>
              <w:adjustRightInd w:val="0"/>
              <w:spacing w:line="240" w:lineRule="auto"/>
              <w:jc w:val="center"/>
              <w:rPr>
                <w:rFonts w:cs="Arial"/>
                <w:b/>
                <w:sz w:val="20"/>
              </w:rPr>
            </w:pPr>
            <w:r w:rsidRPr="00A43380">
              <w:rPr>
                <w:rFonts w:cs="Arial"/>
                <w:b/>
                <w:sz w:val="20"/>
              </w:rPr>
              <w:t>Reversibilidade</w:t>
            </w:r>
          </w:p>
        </w:tc>
        <w:tc>
          <w:tcPr>
            <w:tcW w:w="1418" w:type="dxa"/>
            <w:shd w:val="clear" w:color="auto" w:fill="D9D9D9" w:themeFill="background1" w:themeFillShade="D9"/>
            <w:vAlign w:val="center"/>
          </w:tcPr>
          <w:p w:rsidR="00F73F34" w:rsidRPr="00A43380" w:rsidRDefault="00F73F34" w:rsidP="00F73F34">
            <w:pPr>
              <w:autoSpaceDE w:val="0"/>
              <w:autoSpaceDN w:val="0"/>
              <w:adjustRightInd w:val="0"/>
              <w:spacing w:line="240" w:lineRule="auto"/>
              <w:jc w:val="center"/>
              <w:rPr>
                <w:rFonts w:cs="Arial"/>
                <w:b/>
                <w:sz w:val="20"/>
              </w:rPr>
            </w:pPr>
            <w:r w:rsidRPr="00A43380">
              <w:rPr>
                <w:rFonts w:cs="Arial"/>
                <w:b/>
                <w:sz w:val="20"/>
              </w:rPr>
              <w:t>Magnitude</w:t>
            </w:r>
          </w:p>
        </w:tc>
        <w:tc>
          <w:tcPr>
            <w:tcW w:w="1509" w:type="dxa"/>
            <w:shd w:val="clear" w:color="auto" w:fill="D9D9D9" w:themeFill="background1" w:themeFillShade="D9"/>
            <w:vAlign w:val="center"/>
          </w:tcPr>
          <w:p w:rsidR="00F73F34" w:rsidRPr="00A43380" w:rsidRDefault="00F73F34" w:rsidP="00F73F34">
            <w:pPr>
              <w:autoSpaceDE w:val="0"/>
              <w:autoSpaceDN w:val="0"/>
              <w:adjustRightInd w:val="0"/>
              <w:spacing w:line="240" w:lineRule="auto"/>
              <w:jc w:val="center"/>
              <w:rPr>
                <w:rFonts w:cs="Arial"/>
                <w:b/>
                <w:sz w:val="20"/>
              </w:rPr>
            </w:pPr>
            <w:r w:rsidRPr="00A43380">
              <w:rPr>
                <w:rFonts w:cs="Arial"/>
                <w:b/>
                <w:sz w:val="20"/>
              </w:rPr>
              <w:t>Importância</w:t>
            </w:r>
          </w:p>
        </w:tc>
        <w:tc>
          <w:tcPr>
            <w:tcW w:w="1509" w:type="dxa"/>
            <w:shd w:val="clear" w:color="auto" w:fill="D9D9D9" w:themeFill="background1" w:themeFillShade="D9"/>
            <w:vAlign w:val="center"/>
          </w:tcPr>
          <w:p w:rsidR="00F73F34" w:rsidRPr="00A43380" w:rsidRDefault="00F73F34" w:rsidP="00F73F34">
            <w:pPr>
              <w:autoSpaceDE w:val="0"/>
              <w:autoSpaceDN w:val="0"/>
              <w:adjustRightInd w:val="0"/>
              <w:spacing w:line="240" w:lineRule="auto"/>
              <w:jc w:val="center"/>
              <w:rPr>
                <w:rFonts w:cs="Arial"/>
                <w:b/>
                <w:sz w:val="20"/>
              </w:rPr>
            </w:pPr>
            <w:r w:rsidRPr="00A43380">
              <w:rPr>
                <w:rFonts w:cs="Arial"/>
                <w:b/>
                <w:sz w:val="20"/>
              </w:rPr>
              <w:t>Mitigação</w:t>
            </w:r>
          </w:p>
        </w:tc>
      </w:tr>
      <w:tr w:rsidR="00F73F34" w:rsidRPr="00A43380" w:rsidTr="00267805">
        <w:trPr>
          <w:trHeight w:val="493"/>
          <w:jc w:val="center"/>
        </w:trPr>
        <w:tc>
          <w:tcPr>
            <w:tcW w:w="2736" w:type="dxa"/>
            <w:shd w:val="clear" w:color="auto" w:fill="auto"/>
            <w:vAlign w:val="center"/>
          </w:tcPr>
          <w:p w:rsidR="00F73F34" w:rsidRPr="00D412A7" w:rsidRDefault="00F73F34" w:rsidP="00F73F34">
            <w:pPr>
              <w:autoSpaceDE w:val="0"/>
              <w:autoSpaceDN w:val="0"/>
              <w:adjustRightInd w:val="0"/>
              <w:spacing w:line="240" w:lineRule="auto"/>
              <w:jc w:val="center"/>
              <w:rPr>
                <w:rFonts w:cs="Arial"/>
                <w:sz w:val="20"/>
              </w:rPr>
            </w:pPr>
            <w:r>
              <w:rPr>
                <w:rFonts w:cs="Arial"/>
                <w:sz w:val="20"/>
              </w:rPr>
              <w:t>Médio Prazo</w:t>
            </w:r>
          </w:p>
        </w:tc>
        <w:tc>
          <w:tcPr>
            <w:tcW w:w="1701" w:type="dxa"/>
            <w:shd w:val="clear" w:color="auto" w:fill="auto"/>
            <w:vAlign w:val="center"/>
          </w:tcPr>
          <w:p w:rsidR="00F73F34" w:rsidRPr="00D412A7" w:rsidRDefault="00F73F34" w:rsidP="00F73F34">
            <w:pPr>
              <w:autoSpaceDE w:val="0"/>
              <w:autoSpaceDN w:val="0"/>
              <w:adjustRightInd w:val="0"/>
              <w:spacing w:line="240" w:lineRule="auto"/>
              <w:jc w:val="center"/>
              <w:rPr>
                <w:rFonts w:cs="Arial"/>
                <w:sz w:val="20"/>
              </w:rPr>
            </w:pPr>
            <w:r>
              <w:rPr>
                <w:rFonts w:cs="Arial"/>
                <w:sz w:val="20"/>
              </w:rPr>
              <w:t>Reversível</w:t>
            </w:r>
          </w:p>
        </w:tc>
        <w:tc>
          <w:tcPr>
            <w:tcW w:w="1418" w:type="dxa"/>
            <w:shd w:val="clear" w:color="auto" w:fill="auto"/>
            <w:vAlign w:val="center"/>
          </w:tcPr>
          <w:p w:rsidR="00F73F34" w:rsidRPr="00535D8B" w:rsidRDefault="00F73F34" w:rsidP="00F73F34">
            <w:pPr>
              <w:autoSpaceDE w:val="0"/>
              <w:autoSpaceDN w:val="0"/>
              <w:adjustRightInd w:val="0"/>
              <w:spacing w:line="240" w:lineRule="auto"/>
              <w:jc w:val="center"/>
              <w:rPr>
                <w:rFonts w:cs="Arial"/>
                <w:sz w:val="20"/>
              </w:rPr>
            </w:pPr>
            <w:r>
              <w:rPr>
                <w:rFonts w:cs="Arial"/>
                <w:sz w:val="20"/>
              </w:rPr>
              <w:t>Média</w:t>
            </w:r>
          </w:p>
        </w:tc>
        <w:tc>
          <w:tcPr>
            <w:tcW w:w="1509" w:type="dxa"/>
            <w:shd w:val="clear" w:color="auto" w:fill="auto"/>
            <w:vAlign w:val="center"/>
          </w:tcPr>
          <w:p w:rsidR="00F73F34" w:rsidRPr="00535D8B" w:rsidRDefault="00F73F34" w:rsidP="00F73F34">
            <w:pPr>
              <w:autoSpaceDE w:val="0"/>
              <w:autoSpaceDN w:val="0"/>
              <w:adjustRightInd w:val="0"/>
              <w:spacing w:line="240" w:lineRule="auto"/>
              <w:jc w:val="center"/>
              <w:rPr>
                <w:rFonts w:cs="Arial"/>
                <w:sz w:val="20"/>
              </w:rPr>
            </w:pPr>
            <w:r>
              <w:rPr>
                <w:rFonts w:cs="Arial"/>
                <w:sz w:val="20"/>
              </w:rPr>
              <w:t>Média</w:t>
            </w:r>
          </w:p>
        </w:tc>
        <w:tc>
          <w:tcPr>
            <w:tcW w:w="1509" w:type="dxa"/>
            <w:shd w:val="clear" w:color="auto" w:fill="auto"/>
            <w:vAlign w:val="center"/>
          </w:tcPr>
          <w:p w:rsidR="00F73F34" w:rsidRPr="00535D8B" w:rsidRDefault="00F73F34" w:rsidP="00F73F34">
            <w:pPr>
              <w:autoSpaceDE w:val="0"/>
              <w:autoSpaceDN w:val="0"/>
              <w:adjustRightInd w:val="0"/>
              <w:spacing w:line="240" w:lineRule="auto"/>
              <w:jc w:val="center"/>
              <w:rPr>
                <w:rFonts w:cs="Arial"/>
                <w:sz w:val="20"/>
              </w:rPr>
            </w:pPr>
            <w:r>
              <w:rPr>
                <w:rFonts w:cs="Arial"/>
                <w:sz w:val="20"/>
              </w:rPr>
              <w:t>Mitigável</w:t>
            </w:r>
          </w:p>
        </w:tc>
      </w:tr>
    </w:tbl>
    <w:p w:rsidR="00F73F34" w:rsidRPr="00EB64FE" w:rsidRDefault="00F73F34" w:rsidP="00EB64FE"/>
    <w:p w:rsidR="00F73F34" w:rsidRPr="00683EFB" w:rsidRDefault="00F73F34" w:rsidP="00EB64FE">
      <w:pPr>
        <w:rPr>
          <w:b/>
        </w:rPr>
      </w:pPr>
      <w:r w:rsidRPr="00683EFB">
        <w:rPr>
          <w:b/>
        </w:rPr>
        <w:t>Ações Ambientais Propostas</w:t>
      </w:r>
    </w:p>
    <w:p w:rsidR="00F73F34" w:rsidRPr="00666A9B" w:rsidRDefault="00F73F34" w:rsidP="00F73F34">
      <w:pPr>
        <w:pStyle w:val="NormalPargrafo"/>
        <w:spacing w:before="120" w:after="120" w:line="240" w:lineRule="auto"/>
      </w:pPr>
      <w:r>
        <w:t>O</w:t>
      </w:r>
      <w:r w:rsidRPr="00666A9B">
        <w:t xml:space="preserve"> controle dos aspectos relacionados a esse impacto</w:t>
      </w:r>
      <w:r>
        <w:t>, no que diz respeito à demanda por cuidados com a saúde, oferece algumas ações</w:t>
      </w:r>
      <w:r w:rsidRPr="00666A9B">
        <w:t xml:space="preserve"> como</w:t>
      </w:r>
      <w:r>
        <w:t xml:space="preserve"> as a seguir apontadas a integrar o Programa relacionado à Saúde do Trabalhador:</w:t>
      </w:r>
    </w:p>
    <w:p w:rsidR="00F73F34" w:rsidRPr="00666A9B" w:rsidRDefault="00F73F34" w:rsidP="00431A97">
      <w:pPr>
        <w:pStyle w:val="Marcador1"/>
        <w:numPr>
          <w:ilvl w:val="0"/>
          <w:numId w:val="41"/>
        </w:numPr>
        <w:spacing w:before="120" w:line="240" w:lineRule="auto"/>
        <w:ind w:left="567" w:hanging="567"/>
      </w:pPr>
      <w:r w:rsidRPr="00666A9B">
        <w:t xml:space="preserve">Realização de monitoramento, conjuntamente com os serviços de saúde do trabalhador das empresas construtoras e das instituições de saúde da região, de casos de patologias endêmicas e infectocontagiosas entre os trabalhadores e nas populações no entorno da obra. </w:t>
      </w:r>
    </w:p>
    <w:p w:rsidR="00F73F34" w:rsidRPr="00666A9B" w:rsidRDefault="00F73F34" w:rsidP="00431A97">
      <w:pPr>
        <w:pStyle w:val="Marcador1"/>
        <w:numPr>
          <w:ilvl w:val="0"/>
          <w:numId w:val="41"/>
        </w:numPr>
        <w:spacing w:before="120" w:line="240" w:lineRule="auto"/>
        <w:ind w:left="567" w:hanging="567"/>
        <w:rPr>
          <w:rFonts w:cs="Arial"/>
          <w:szCs w:val="22"/>
        </w:rPr>
      </w:pPr>
      <w:r w:rsidRPr="00666A9B">
        <w:rPr>
          <w:rFonts w:cs="Arial"/>
          <w:szCs w:val="22"/>
        </w:rPr>
        <w:t>Caso seja identificado aumento de demanda por serv</w:t>
      </w:r>
      <w:r w:rsidR="002E7028">
        <w:rPr>
          <w:rFonts w:cs="Arial"/>
          <w:szCs w:val="22"/>
        </w:rPr>
        <w:t>iços e internações hospitalares</w:t>
      </w:r>
      <w:r w:rsidRPr="00666A9B">
        <w:rPr>
          <w:rFonts w:cs="Arial"/>
          <w:szCs w:val="22"/>
        </w:rPr>
        <w:t xml:space="preserve"> pelos trabalhadores das obras, caberá ao empreendedor estabelecer tratativas com as respectivas Prefeituras Municipais para definição de formas de realização de reforços nesses serviços.</w:t>
      </w:r>
    </w:p>
    <w:p w:rsidR="00F775F7" w:rsidRDefault="00F73F34" w:rsidP="00431A97">
      <w:pPr>
        <w:numPr>
          <w:ilvl w:val="0"/>
          <w:numId w:val="41"/>
        </w:numPr>
        <w:spacing w:before="120" w:line="240" w:lineRule="auto"/>
        <w:ind w:left="567" w:hanging="567"/>
      </w:pPr>
      <w:r>
        <w:t xml:space="preserve">Da </w:t>
      </w:r>
      <w:r w:rsidR="002E7028">
        <w:t>mesma</w:t>
      </w:r>
      <w:r>
        <w:t xml:space="preserve"> forma, o excesso de demanda por habitação e equipamentos de educação, entre outros, exigirá do empreendedor a colaboração com as prefeituras locais para definição de medidas de solução.</w:t>
      </w:r>
    </w:p>
    <w:p w:rsidR="00973BCF" w:rsidRPr="008204B6" w:rsidRDefault="00CD6D82" w:rsidP="008204B6">
      <w:pPr>
        <w:pStyle w:val="Ttulo3"/>
        <w:rPr>
          <w:rFonts w:ascii="Arial Negrito" w:hAnsi="Arial Negrito"/>
          <w:bCs/>
        </w:rPr>
      </w:pPr>
      <w:bookmarkStart w:id="402" w:name="_Toc418758258"/>
      <w:bookmarkStart w:id="403" w:name="_Toc418758860"/>
      <w:bookmarkStart w:id="404" w:name="_Toc419813620"/>
      <w:r w:rsidRPr="008204B6">
        <w:rPr>
          <w:rFonts w:ascii="Arial Negrito" w:hAnsi="Arial Negrito"/>
          <w:bCs/>
        </w:rPr>
        <w:t xml:space="preserve">1.3.3.11. </w:t>
      </w:r>
      <w:r w:rsidR="00973BCF" w:rsidRPr="008204B6">
        <w:rPr>
          <w:rFonts w:ascii="Arial Negrito" w:hAnsi="Arial Negrito"/>
          <w:bCs/>
        </w:rPr>
        <w:t>Alteração nas Condições de Saúde na Região</w:t>
      </w:r>
      <w:bookmarkEnd w:id="402"/>
      <w:bookmarkEnd w:id="403"/>
      <w:bookmarkEnd w:id="404"/>
    </w:p>
    <w:p w:rsidR="003878A9" w:rsidRPr="003878A9" w:rsidRDefault="003878A9" w:rsidP="002E7028">
      <w:pPr>
        <w:spacing w:before="120" w:after="120" w:line="240" w:lineRule="auto"/>
        <w:rPr>
          <w:b/>
        </w:rPr>
      </w:pPr>
      <w:r w:rsidRPr="003878A9">
        <w:rPr>
          <w:b/>
        </w:rPr>
        <w:t>Fase: Implantação</w:t>
      </w:r>
    </w:p>
    <w:p w:rsidR="002E7028" w:rsidRDefault="002E7028" w:rsidP="002E7028">
      <w:pPr>
        <w:spacing w:before="120" w:after="120" w:line="240" w:lineRule="auto"/>
      </w:pPr>
      <w:r>
        <w:t xml:space="preserve">Os incômodos provocados pelas obras podem atingir a saúde da população próxima dos canteiros de obras e outras atividades afins à etapa de implantação, como já se viu. Porém, na fase de mobilização de pessoal para </w:t>
      </w:r>
      <w:r w:rsidRPr="00666A9B">
        <w:t>recrutamento e contratação de mão de obra, em função da abertura de postos de trabalho</w:t>
      </w:r>
      <w:r>
        <w:t xml:space="preserve">, </w:t>
      </w:r>
      <w:r w:rsidRPr="00666A9B">
        <w:t xml:space="preserve">haverá deslocamento constante de contingentes de mão de obra </w:t>
      </w:r>
      <w:r>
        <w:t>na AID, especialmente nos municípios que abrigarão as barragens, e outros incômodos podem afetar mais amplamente a população da AID.</w:t>
      </w:r>
      <w:r w:rsidRPr="00666A9B">
        <w:t xml:space="preserve"> </w:t>
      </w:r>
    </w:p>
    <w:p w:rsidR="002E7028" w:rsidRPr="00666A9B" w:rsidRDefault="002E7028" w:rsidP="002E7028">
      <w:pPr>
        <w:spacing w:before="120" w:after="120" w:line="240" w:lineRule="auto"/>
      </w:pPr>
      <w:r>
        <w:t xml:space="preserve">Essa movimentação </w:t>
      </w:r>
      <w:r w:rsidRPr="00666A9B">
        <w:t xml:space="preserve">pode representar um vetor de propagação de doenças infectocontagiosas, caso não sejam adotadas medidas de controle por parte </w:t>
      </w:r>
      <w:r w:rsidR="002B5041">
        <w:t>d</w:t>
      </w:r>
      <w:r w:rsidRPr="00666A9B">
        <w:t xml:space="preserve">as empresas executantes, tanto no que diz respeito ao interior dos acampamentos de trabalhadores como no contato dos trabalhadores com a população do entorno das frentes </w:t>
      </w:r>
      <w:r>
        <w:t xml:space="preserve">de trabalho </w:t>
      </w:r>
      <w:r w:rsidRPr="00666A9B">
        <w:t xml:space="preserve">e canteiros de obras. </w:t>
      </w:r>
    </w:p>
    <w:p w:rsidR="002E7028" w:rsidRPr="00666A9B" w:rsidRDefault="002E7028" w:rsidP="002E7028">
      <w:pPr>
        <w:spacing w:before="120" w:after="120" w:line="240" w:lineRule="auto"/>
      </w:pPr>
      <w:r w:rsidRPr="00666A9B">
        <w:t xml:space="preserve">Nesse contexto, quanto às doenças infectocontagiosas, destacam-se as DST </w:t>
      </w:r>
      <w:r w:rsidRPr="00666A9B">
        <w:rPr>
          <w:rFonts w:cs="Arial"/>
        </w:rPr>
        <w:t>–</w:t>
      </w:r>
      <w:r w:rsidRPr="00666A9B">
        <w:t xml:space="preserve"> doenças sexualmente transmissíveis </w:t>
      </w:r>
      <w:r w:rsidRPr="00666A9B">
        <w:rPr>
          <w:rFonts w:cs="Arial"/>
        </w:rPr>
        <w:t>–</w:t>
      </w:r>
      <w:r w:rsidRPr="00666A9B">
        <w:t xml:space="preserve">, sendo importante inclusive frisar a vinculação dessa questão à exploração sexual, que costuma ocorrer no entorno de canteiros de obras e respectivas áreas de apoio. </w:t>
      </w:r>
    </w:p>
    <w:p w:rsidR="002E7028" w:rsidRPr="00666A9B" w:rsidRDefault="002E7028" w:rsidP="002E7028">
      <w:pPr>
        <w:spacing w:before="120" w:after="120" w:line="240" w:lineRule="auto"/>
      </w:pPr>
      <w:r w:rsidRPr="00666A9B">
        <w:t>Avali</w:t>
      </w:r>
      <w:r>
        <w:t>a</w:t>
      </w:r>
      <w:r w:rsidRPr="00666A9B">
        <w:t>-se esse impacto negativo como provável, reversível em médio prazo (final das obras), localizado, além de temporário, direto</w:t>
      </w:r>
      <w:r>
        <w:t>,</w:t>
      </w:r>
      <w:r w:rsidRPr="00666A9B">
        <w:t xml:space="preserve"> sendo de pequena magnitude</w:t>
      </w:r>
      <w:r>
        <w:t>.</w:t>
      </w:r>
    </w:p>
    <w:p w:rsidR="00EF06E3" w:rsidRDefault="00B44C8E" w:rsidP="00EF06E3">
      <w:pPr>
        <w:pStyle w:val="Legenda"/>
        <w:spacing w:before="0" w:after="0" w:line="240" w:lineRule="auto"/>
        <w:jc w:val="center"/>
        <w:rPr>
          <w:b w:val="0"/>
          <w:i w:val="0"/>
        </w:rPr>
      </w:pPr>
      <w:bookmarkStart w:id="405" w:name="_Toc420316530"/>
      <w:r w:rsidRPr="00EF06E3">
        <w:rPr>
          <w:i w:val="0"/>
        </w:rPr>
        <w:t xml:space="preserve">Quadro </w:t>
      </w:r>
      <w:r w:rsidR="00B80A05" w:rsidRPr="00EF06E3">
        <w:rPr>
          <w:i w:val="0"/>
        </w:rPr>
        <w:fldChar w:fldCharType="begin"/>
      </w:r>
      <w:r w:rsidR="00402E81" w:rsidRPr="00EF06E3">
        <w:rPr>
          <w:i w:val="0"/>
        </w:rPr>
        <w:instrText xml:space="preserve"> STYLEREF 2 \s </w:instrText>
      </w:r>
      <w:r w:rsidR="00B80A05" w:rsidRPr="00EF06E3">
        <w:rPr>
          <w:i w:val="0"/>
        </w:rPr>
        <w:fldChar w:fldCharType="separate"/>
      </w:r>
      <w:r w:rsidR="00316060">
        <w:rPr>
          <w:i w:val="0"/>
          <w:noProof/>
        </w:rPr>
        <w:t>1.3</w:t>
      </w:r>
      <w:r w:rsidR="00B80A05" w:rsidRPr="00EF06E3">
        <w:rPr>
          <w:i w:val="0"/>
        </w:rPr>
        <w:fldChar w:fldCharType="end"/>
      </w:r>
      <w:r w:rsidR="00402E81" w:rsidRPr="00EF06E3">
        <w:rPr>
          <w:i w:val="0"/>
        </w:rPr>
        <w:t>.</w:t>
      </w:r>
      <w:r w:rsidR="00B80A05" w:rsidRPr="00EF06E3">
        <w:rPr>
          <w:i w:val="0"/>
        </w:rPr>
        <w:fldChar w:fldCharType="begin"/>
      </w:r>
      <w:r w:rsidR="00402E81" w:rsidRPr="00EF06E3">
        <w:rPr>
          <w:i w:val="0"/>
        </w:rPr>
        <w:instrText xml:space="preserve"> SEQ Quadro \* ARABIC \s 2 </w:instrText>
      </w:r>
      <w:r w:rsidR="00B80A05" w:rsidRPr="00EF06E3">
        <w:rPr>
          <w:i w:val="0"/>
        </w:rPr>
        <w:fldChar w:fldCharType="separate"/>
      </w:r>
      <w:r w:rsidR="00316060">
        <w:rPr>
          <w:i w:val="0"/>
          <w:noProof/>
        </w:rPr>
        <w:t>87</w:t>
      </w:r>
      <w:r w:rsidR="00B80A05" w:rsidRPr="00EF06E3">
        <w:rPr>
          <w:i w:val="0"/>
        </w:rPr>
        <w:fldChar w:fldCharType="end"/>
      </w:r>
      <w:r w:rsidR="00EF06E3" w:rsidRPr="00EF06E3">
        <w:rPr>
          <w:i w:val="0"/>
        </w:rPr>
        <w:t>.</w:t>
      </w:r>
      <w:r w:rsidR="00EF06E3" w:rsidRPr="00EF06E3">
        <w:rPr>
          <w:b w:val="0"/>
          <w:i w:val="0"/>
        </w:rPr>
        <w:t xml:space="preserve"> - </w:t>
      </w:r>
      <w:r w:rsidR="002E7028" w:rsidRPr="00EF06E3">
        <w:rPr>
          <w:b w:val="0"/>
          <w:i w:val="0"/>
        </w:rPr>
        <w:t>Caracterização do Impacto – Alteração nas Condições de Saúde na Região</w:t>
      </w:r>
      <w:bookmarkEnd w:id="405"/>
    </w:p>
    <w:p w:rsidR="002E7028" w:rsidRDefault="002E7028" w:rsidP="00EF06E3">
      <w:pPr>
        <w:pStyle w:val="Legenda"/>
        <w:spacing w:before="0" w:after="0" w:line="240" w:lineRule="auto"/>
        <w:jc w:val="center"/>
        <w:rPr>
          <w:rFonts w:cs="Arial"/>
          <w:b w:val="0"/>
          <w:bCs/>
          <w:i w:val="0"/>
        </w:rPr>
      </w:pPr>
      <w:r w:rsidRPr="00EF06E3">
        <w:rPr>
          <w:rFonts w:cs="Arial"/>
          <w:b w:val="0"/>
          <w:bCs/>
          <w:i w:val="0"/>
        </w:rPr>
        <w:t>Barragens Pedreira e Duas Pontes</w:t>
      </w:r>
    </w:p>
    <w:p w:rsidR="00EF06E3" w:rsidRPr="00EF06E3" w:rsidRDefault="00EF06E3" w:rsidP="00EF06E3">
      <w:pPr>
        <w:spacing w:line="240" w:lineRule="auto"/>
      </w:pPr>
    </w:p>
    <w:tbl>
      <w:tblPr>
        <w:tblW w:w="0" w:type="auto"/>
        <w:jc w:val="center"/>
        <w:tblInd w:w="-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4"/>
        <w:gridCol w:w="1294"/>
        <w:gridCol w:w="1843"/>
        <w:gridCol w:w="1418"/>
        <w:gridCol w:w="3012"/>
      </w:tblGrid>
      <w:tr w:rsidR="002E7028" w:rsidRPr="00A43380" w:rsidTr="008204B6">
        <w:trPr>
          <w:trHeight w:val="514"/>
          <w:jc w:val="center"/>
        </w:trPr>
        <w:tc>
          <w:tcPr>
            <w:tcW w:w="1294" w:type="dxa"/>
            <w:shd w:val="clear" w:color="auto" w:fill="D9D9D9" w:themeFill="background1" w:themeFillShade="D9"/>
            <w:vAlign w:val="center"/>
          </w:tcPr>
          <w:p w:rsidR="002E7028" w:rsidRPr="00A43380" w:rsidRDefault="002E7028" w:rsidP="002E7028">
            <w:pPr>
              <w:autoSpaceDE w:val="0"/>
              <w:autoSpaceDN w:val="0"/>
              <w:adjustRightInd w:val="0"/>
              <w:spacing w:line="240" w:lineRule="auto"/>
              <w:jc w:val="center"/>
              <w:rPr>
                <w:rFonts w:cs="Arial"/>
                <w:b/>
                <w:sz w:val="20"/>
              </w:rPr>
            </w:pPr>
            <w:r w:rsidRPr="00A43380">
              <w:rPr>
                <w:rFonts w:cs="Arial"/>
                <w:b/>
                <w:sz w:val="20"/>
              </w:rPr>
              <w:t>Natureza</w:t>
            </w:r>
          </w:p>
        </w:tc>
        <w:tc>
          <w:tcPr>
            <w:tcW w:w="1294" w:type="dxa"/>
            <w:shd w:val="clear" w:color="auto" w:fill="D9D9D9" w:themeFill="background1" w:themeFillShade="D9"/>
            <w:vAlign w:val="center"/>
          </w:tcPr>
          <w:p w:rsidR="002E7028" w:rsidRPr="00A43380" w:rsidRDefault="002E7028" w:rsidP="002E7028">
            <w:pPr>
              <w:autoSpaceDE w:val="0"/>
              <w:autoSpaceDN w:val="0"/>
              <w:adjustRightInd w:val="0"/>
              <w:spacing w:line="240" w:lineRule="auto"/>
              <w:jc w:val="center"/>
              <w:rPr>
                <w:rFonts w:cs="Arial"/>
                <w:b/>
                <w:sz w:val="20"/>
              </w:rPr>
            </w:pPr>
            <w:r w:rsidRPr="00A43380">
              <w:rPr>
                <w:rFonts w:cs="Arial"/>
                <w:b/>
                <w:sz w:val="20"/>
              </w:rPr>
              <w:t>Ordem</w:t>
            </w:r>
          </w:p>
        </w:tc>
        <w:tc>
          <w:tcPr>
            <w:tcW w:w="1843" w:type="dxa"/>
            <w:shd w:val="clear" w:color="auto" w:fill="D9D9D9" w:themeFill="background1" w:themeFillShade="D9"/>
            <w:vAlign w:val="center"/>
          </w:tcPr>
          <w:p w:rsidR="002E7028" w:rsidRPr="00A43380" w:rsidRDefault="002E7028" w:rsidP="002E7028">
            <w:pPr>
              <w:autoSpaceDE w:val="0"/>
              <w:autoSpaceDN w:val="0"/>
              <w:adjustRightInd w:val="0"/>
              <w:spacing w:line="240" w:lineRule="auto"/>
              <w:jc w:val="center"/>
              <w:rPr>
                <w:rFonts w:cs="Arial"/>
                <w:b/>
                <w:sz w:val="20"/>
              </w:rPr>
            </w:pPr>
            <w:r w:rsidRPr="00A43380">
              <w:rPr>
                <w:rFonts w:cs="Arial"/>
                <w:b/>
                <w:sz w:val="20"/>
              </w:rPr>
              <w:t>Abrangência</w:t>
            </w:r>
          </w:p>
        </w:tc>
        <w:tc>
          <w:tcPr>
            <w:tcW w:w="1418" w:type="dxa"/>
            <w:shd w:val="clear" w:color="auto" w:fill="D9D9D9" w:themeFill="background1" w:themeFillShade="D9"/>
            <w:vAlign w:val="center"/>
          </w:tcPr>
          <w:p w:rsidR="002E7028" w:rsidRPr="00A43380" w:rsidRDefault="002E7028" w:rsidP="002E7028">
            <w:pPr>
              <w:autoSpaceDE w:val="0"/>
              <w:autoSpaceDN w:val="0"/>
              <w:adjustRightInd w:val="0"/>
              <w:spacing w:line="240" w:lineRule="auto"/>
              <w:jc w:val="center"/>
              <w:rPr>
                <w:rFonts w:cs="Arial"/>
                <w:b/>
                <w:sz w:val="20"/>
              </w:rPr>
            </w:pPr>
            <w:r w:rsidRPr="00A43380">
              <w:rPr>
                <w:rFonts w:cs="Arial"/>
                <w:b/>
                <w:sz w:val="20"/>
              </w:rPr>
              <w:t>Duração</w:t>
            </w:r>
          </w:p>
        </w:tc>
        <w:tc>
          <w:tcPr>
            <w:tcW w:w="3012" w:type="dxa"/>
            <w:shd w:val="clear" w:color="auto" w:fill="D9D9D9" w:themeFill="background1" w:themeFillShade="D9"/>
            <w:vAlign w:val="center"/>
          </w:tcPr>
          <w:p w:rsidR="002E7028" w:rsidRPr="00A43380" w:rsidRDefault="002E7028" w:rsidP="002E7028">
            <w:pPr>
              <w:autoSpaceDE w:val="0"/>
              <w:autoSpaceDN w:val="0"/>
              <w:adjustRightInd w:val="0"/>
              <w:spacing w:line="240" w:lineRule="auto"/>
              <w:jc w:val="center"/>
              <w:rPr>
                <w:rFonts w:cs="Arial"/>
                <w:b/>
                <w:sz w:val="20"/>
              </w:rPr>
            </w:pPr>
            <w:r w:rsidRPr="00A43380">
              <w:rPr>
                <w:rFonts w:cs="Arial"/>
                <w:b/>
                <w:sz w:val="20"/>
              </w:rPr>
              <w:t>Probabilidade de Ocorrência</w:t>
            </w:r>
          </w:p>
        </w:tc>
      </w:tr>
      <w:tr w:rsidR="002E7028" w:rsidRPr="00A43380" w:rsidTr="00EB64FE">
        <w:trPr>
          <w:trHeight w:val="521"/>
          <w:jc w:val="center"/>
        </w:trPr>
        <w:tc>
          <w:tcPr>
            <w:tcW w:w="1294" w:type="dxa"/>
            <w:shd w:val="clear" w:color="auto" w:fill="auto"/>
            <w:vAlign w:val="center"/>
          </w:tcPr>
          <w:p w:rsidR="002E7028" w:rsidRPr="00D412A7" w:rsidRDefault="002E7028" w:rsidP="002E7028">
            <w:pPr>
              <w:autoSpaceDE w:val="0"/>
              <w:autoSpaceDN w:val="0"/>
              <w:adjustRightInd w:val="0"/>
              <w:spacing w:line="240" w:lineRule="auto"/>
              <w:jc w:val="center"/>
              <w:rPr>
                <w:rFonts w:cs="Arial"/>
                <w:sz w:val="20"/>
              </w:rPr>
            </w:pPr>
            <w:r>
              <w:rPr>
                <w:rFonts w:cs="Arial"/>
                <w:sz w:val="20"/>
              </w:rPr>
              <w:t>Negativo</w:t>
            </w:r>
          </w:p>
        </w:tc>
        <w:tc>
          <w:tcPr>
            <w:tcW w:w="1294" w:type="dxa"/>
            <w:shd w:val="clear" w:color="auto" w:fill="auto"/>
            <w:vAlign w:val="center"/>
          </w:tcPr>
          <w:p w:rsidR="002E7028" w:rsidRPr="00D412A7" w:rsidRDefault="002E7028" w:rsidP="002E7028">
            <w:pPr>
              <w:autoSpaceDE w:val="0"/>
              <w:autoSpaceDN w:val="0"/>
              <w:adjustRightInd w:val="0"/>
              <w:spacing w:line="240" w:lineRule="auto"/>
              <w:jc w:val="center"/>
              <w:rPr>
                <w:rFonts w:cs="Arial"/>
                <w:sz w:val="20"/>
              </w:rPr>
            </w:pPr>
            <w:r>
              <w:rPr>
                <w:rFonts w:cs="Arial"/>
                <w:sz w:val="20"/>
              </w:rPr>
              <w:t>Direto</w:t>
            </w:r>
          </w:p>
        </w:tc>
        <w:tc>
          <w:tcPr>
            <w:tcW w:w="1843" w:type="dxa"/>
            <w:shd w:val="clear" w:color="auto" w:fill="auto"/>
            <w:vAlign w:val="center"/>
          </w:tcPr>
          <w:p w:rsidR="002E7028" w:rsidRPr="00D412A7" w:rsidRDefault="002E7028" w:rsidP="002E7028">
            <w:pPr>
              <w:autoSpaceDE w:val="0"/>
              <w:autoSpaceDN w:val="0"/>
              <w:adjustRightInd w:val="0"/>
              <w:spacing w:line="240" w:lineRule="auto"/>
              <w:jc w:val="center"/>
              <w:rPr>
                <w:rFonts w:cs="Arial"/>
                <w:sz w:val="20"/>
              </w:rPr>
            </w:pPr>
            <w:r>
              <w:rPr>
                <w:rFonts w:cs="Arial"/>
                <w:sz w:val="20"/>
              </w:rPr>
              <w:t>Localizado</w:t>
            </w:r>
          </w:p>
        </w:tc>
        <w:tc>
          <w:tcPr>
            <w:tcW w:w="1418" w:type="dxa"/>
            <w:shd w:val="clear" w:color="auto" w:fill="auto"/>
            <w:vAlign w:val="center"/>
          </w:tcPr>
          <w:p w:rsidR="002E7028" w:rsidRPr="00D412A7" w:rsidRDefault="002E7028" w:rsidP="002E7028">
            <w:pPr>
              <w:autoSpaceDE w:val="0"/>
              <w:autoSpaceDN w:val="0"/>
              <w:adjustRightInd w:val="0"/>
              <w:spacing w:line="240" w:lineRule="auto"/>
              <w:jc w:val="center"/>
              <w:rPr>
                <w:rFonts w:cs="Arial"/>
                <w:sz w:val="20"/>
              </w:rPr>
            </w:pPr>
            <w:r>
              <w:rPr>
                <w:rFonts w:cs="Arial"/>
                <w:sz w:val="20"/>
              </w:rPr>
              <w:t>Temporário</w:t>
            </w:r>
          </w:p>
        </w:tc>
        <w:tc>
          <w:tcPr>
            <w:tcW w:w="3012" w:type="dxa"/>
            <w:shd w:val="clear" w:color="auto" w:fill="auto"/>
            <w:vAlign w:val="center"/>
          </w:tcPr>
          <w:p w:rsidR="002E7028" w:rsidRPr="00D412A7" w:rsidRDefault="002E7028" w:rsidP="002E7028">
            <w:pPr>
              <w:autoSpaceDE w:val="0"/>
              <w:autoSpaceDN w:val="0"/>
              <w:adjustRightInd w:val="0"/>
              <w:spacing w:line="240" w:lineRule="auto"/>
              <w:jc w:val="center"/>
              <w:rPr>
                <w:rFonts w:cs="Arial"/>
                <w:sz w:val="20"/>
              </w:rPr>
            </w:pPr>
            <w:r>
              <w:rPr>
                <w:rFonts w:cs="Arial"/>
                <w:sz w:val="20"/>
              </w:rPr>
              <w:t>Provável</w:t>
            </w:r>
          </w:p>
        </w:tc>
      </w:tr>
    </w:tbl>
    <w:p w:rsidR="002E7028" w:rsidRPr="00A43380" w:rsidRDefault="002E7028" w:rsidP="002E7028">
      <w:pPr>
        <w:autoSpaceDE w:val="0"/>
        <w:autoSpaceDN w:val="0"/>
        <w:adjustRightInd w:val="0"/>
        <w:spacing w:line="240" w:lineRule="auto"/>
        <w:jc w:val="center"/>
        <w:rPr>
          <w:rFonts w:cs="Arial"/>
          <w:sz w:val="20"/>
        </w:rPr>
      </w:pPr>
    </w:p>
    <w:tbl>
      <w:tblPr>
        <w:tblW w:w="0" w:type="auto"/>
        <w:jc w:val="center"/>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94"/>
        <w:gridCol w:w="1843"/>
        <w:gridCol w:w="1418"/>
        <w:gridCol w:w="1509"/>
        <w:gridCol w:w="1509"/>
      </w:tblGrid>
      <w:tr w:rsidR="002E7028" w:rsidRPr="00A43380" w:rsidTr="008204B6">
        <w:trPr>
          <w:trHeight w:val="397"/>
          <w:jc w:val="center"/>
        </w:trPr>
        <w:tc>
          <w:tcPr>
            <w:tcW w:w="2594" w:type="dxa"/>
            <w:shd w:val="clear" w:color="auto" w:fill="D9D9D9" w:themeFill="background1" w:themeFillShade="D9"/>
            <w:vAlign w:val="center"/>
          </w:tcPr>
          <w:p w:rsidR="002E7028" w:rsidRPr="00A43380" w:rsidRDefault="002E7028" w:rsidP="002E7028">
            <w:pPr>
              <w:autoSpaceDE w:val="0"/>
              <w:autoSpaceDN w:val="0"/>
              <w:adjustRightInd w:val="0"/>
              <w:spacing w:line="240" w:lineRule="auto"/>
              <w:jc w:val="center"/>
              <w:rPr>
                <w:rFonts w:cs="Arial"/>
                <w:b/>
                <w:sz w:val="20"/>
              </w:rPr>
            </w:pPr>
            <w:r w:rsidRPr="00A43380">
              <w:rPr>
                <w:rFonts w:cs="Arial"/>
                <w:b/>
                <w:sz w:val="20"/>
              </w:rPr>
              <w:t>Época de Ocorrência</w:t>
            </w:r>
          </w:p>
        </w:tc>
        <w:tc>
          <w:tcPr>
            <w:tcW w:w="1843" w:type="dxa"/>
            <w:shd w:val="clear" w:color="auto" w:fill="D9D9D9" w:themeFill="background1" w:themeFillShade="D9"/>
            <w:vAlign w:val="center"/>
          </w:tcPr>
          <w:p w:rsidR="002E7028" w:rsidRPr="00A43380" w:rsidRDefault="002E7028" w:rsidP="002E7028">
            <w:pPr>
              <w:autoSpaceDE w:val="0"/>
              <w:autoSpaceDN w:val="0"/>
              <w:adjustRightInd w:val="0"/>
              <w:spacing w:line="240" w:lineRule="auto"/>
              <w:jc w:val="center"/>
              <w:rPr>
                <w:rFonts w:cs="Arial"/>
                <w:b/>
                <w:sz w:val="20"/>
              </w:rPr>
            </w:pPr>
            <w:r w:rsidRPr="00A43380">
              <w:rPr>
                <w:rFonts w:cs="Arial"/>
                <w:b/>
                <w:sz w:val="20"/>
              </w:rPr>
              <w:t>Reversibilidade</w:t>
            </w:r>
          </w:p>
        </w:tc>
        <w:tc>
          <w:tcPr>
            <w:tcW w:w="1418" w:type="dxa"/>
            <w:shd w:val="clear" w:color="auto" w:fill="D9D9D9" w:themeFill="background1" w:themeFillShade="D9"/>
            <w:vAlign w:val="center"/>
          </w:tcPr>
          <w:p w:rsidR="002E7028" w:rsidRPr="00A43380" w:rsidRDefault="002E7028" w:rsidP="002E7028">
            <w:pPr>
              <w:autoSpaceDE w:val="0"/>
              <w:autoSpaceDN w:val="0"/>
              <w:adjustRightInd w:val="0"/>
              <w:spacing w:line="240" w:lineRule="auto"/>
              <w:jc w:val="center"/>
              <w:rPr>
                <w:rFonts w:cs="Arial"/>
                <w:b/>
                <w:sz w:val="20"/>
              </w:rPr>
            </w:pPr>
            <w:r w:rsidRPr="00A43380">
              <w:rPr>
                <w:rFonts w:cs="Arial"/>
                <w:b/>
                <w:sz w:val="20"/>
              </w:rPr>
              <w:t>Magnitude</w:t>
            </w:r>
          </w:p>
        </w:tc>
        <w:tc>
          <w:tcPr>
            <w:tcW w:w="1509" w:type="dxa"/>
            <w:shd w:val="clear" w:color="auto" w:fill="D9D9D9" w:themeFill="background1" w:themeFillShade="D9"/>
            <w:vAlign w:val="center"/>
          </w:tcPr>
          <w:p w:rsidR="002E7028" w:rsidRPr="00A43380" w:rsidRDefault="002E7028" w:rsidP="002E7028">
            <w:pPr>
              <w:autoSpaceDE w:val="0"/>
              <w:autoSpaceDN w:val="0"/>
              <w:adjustRightInd w:val="0"/>
              <w:spacing w:line="240" w:lineRule="auto"/>
              <w:jc w:val="center"/>
              <w:rPr>
                <w:rFonts w:cs="Arial"/>
                <w:b/>
                <w:sz w:val="20"/>
              </w:rPr>
            </w:pPr>
            <w:r w:rsidRPr="00A43380">
              <w:rPr>
                <w:rFonts w:cs="Arial"/>
                <w:b/>
                <w:sz w:val="20"/>
              </w:rPr>
              <w:t>Importância</w:t>
            </w:r>
          </w:p>
        </w:tc>
        <w:tc>
          <w:tcPr>
            <w:tcW w:w="1509" w:type="dxa"/>
            <w:shd w:val="clear" w:color="auto" w:fill="D9D9D9" w:themeFill="background1" w:themeFillShade="D9"/>
            <w:vAlign w:val="center"/>
          </w:tcPr>
          <w:p w:rsidR="002E7028" w:rsidRPr="00A43380" w:rsidRDefault="002E7028" w:rsidP="002E7028">
            <w:pPr>
              <w:autoSpaceDE w:val="0"/>
              <w:autoSpaceDN w:val="0"/>
              <w:adjustRightInd w:val="0"/>
              <w:spacing w:line="240" w:lineRule="auto"/>
              <w:jc w:val="center"/>
              <w:rPr>
                <w:rFonts w:cs="Arial"/>
                <w:b/>
                <w:sz w:val="20"/>
              </w:rPr>
            </w:pPr>
            <w:r w:rsidRPr="00A43380">
              <w:rPr>
                <w:rFonts w:cs="Arial"/>
                <w:b/>
                <w:sz w:val="20"/>
              </w:rPr>
              <w:t>Mitigação</w:t>
            </w:r>
          </w:p>
        </w:tc>
      </w:tr>
      <w:tr w:rsidR="002E7028" w:rsidRPr="00A43380" w:rsidTr="00EB64FE">
        <w:trPr>
          <w:trHeight w:val="479"/>
          <w:jc w:val="center"/>
        </w:trPr>
        <w:tc>
          <w:tcPr>
            <w:tcW w:w="2594" w:type="dxa"/>
            <w:shd w:val="clear" w:color="auto" w:fill="auto"/>
            <w:vAlign w:val="center"/>
          </w:tcPr>
          <w:p w:rsidR="002E7028" w:rsidRPr="00D412A7" w:rsidRDefault="002E7028" w:rsidP="002E7028">
            <w:pPr>
              <w:autoSpaceDE w:val="0"/>
              <w:autoSpaceDN w:val="0"/>
              <w:adjustRightInd w:val="0"/>
              <w:spacing w:line="240" w:lineRule="auto"/>
              <w:jc w:val="center"/>
              <w:rPr>
                <w:rFonts w:cs="Arial"/>
                <w:sz w:val="20"/>
              </w:rPr>
            </w:pPr>
            <w:r>
              <w:rPr>
                <w:rFonts w:cs="Arial"/>
                <w:sz w:val="20"/>
              </w:rPr>
              <w:t>Médio Prazo</w:t>
            </w:r>
          </w:p>
        </w:tc>
        <w:tc>
          <w:tcPr>
            <w:tcW w:w="1843" w:type="dxa"/>
            <w:shd w:val="clear" w:color="auto" w:fill="auto"/>
            <w:vAlign w:val="center"/>
          </w:tcPr>
          <w:p w:rsidR="002E7028" w:rsidRPr="00D412A7" w:rsidRDefault="002E7028" w:rsidP="002E7028">
            <w:pPr>
              <w:autoSpaceDE w:val="0"/>
              <w:autoSpaceDN w:val="0"/>
              <w:adjustRightInd w:val="0"/>
              <w:spacing w:line="240" w:lineRule="auto"/>
              <w:jc w:val="center"/>
              <w:rPr>
                <w:rFonts w:cs="Arial"/>
                <w:sz w:val="20"/>
              </w:rPr>
            </w:pPr>
            <w:r>
              <w:rPr>
                <w:rFonts w:cs="Arial"/>
                <w:sz w:val="20"/>
              </w:rPr>
              <w:t>Reversível</w:t>
            </w:r>
          </w:p>
        </w:tc>
        <w:tc>
          <w:tcPr>
            <w:tcW w:w="1418" w:type="dxa"/>
            <w:shd w:val="clear" w:color="auto" w:fill="auto"/>
            <w:vAlign w:val="center"/>
          </w:tcPr>
          <w:p w:rsidR="002E7028" w:rsidRPr="00535D8B" w:rsidRDefault="002E7028" w:rsidP="002E7028">
            <w:pPr>
              <w:autoSpaceDE w:val="0"/>
              <w:autoSpaceDN w:val="0"/>
              <w:adjustRightInd w:val="0"/>
              <w:spacing w:line="240" w:lineRule="auto"/>
              <w:jc w:val="center"/>
              <w:rPr>
                <w:rFonts w:cs="Arial"/>
                <w:sz w:val="20"/>
              </w:rPr>
            </w:pPr>
            <w:r>
              <w:rPr>
                <w:rFonts w:cs="Arial"/>
                <w:sz w:val="20"/>
              </w:rPr>
              <w:t>Pequena</w:t>
            </w:r>
          </w:p>
        </w:tc>
        <w:tc>
          <w:tcPr>
            <w:tcW w:w="1509" w:type="dxa"/>
            <w:shd w:val="clear" w:color="auto" w:fill="auto"/>
            <w:vAlign w:val="center"/>
          </w:tcPr>
          <w:p w:rsidR="002E7028" w:rsidRPr="00535D8B" w:rsidRDefault="002E7028" w:rsidP="002E7028">
            <w:pPr>
              <w:autoSpaceDE w:val="0"/>
              <w:autoSpaceDN w:val="0"/>
              <w:adjustRightInd w:val="0"/>
              <w:spacing w:line="240" w:lineRule="auto"/>
              <w:jc w:val="center"/>
              <w:rPr>
                <w:rFonts w:cs="Arial"/>
                <w:sz w:val="20"/>
              </w:rPr>
            </w:pPr>
            <w:r>
              <w:rPr>
                <w:rFonts w:cs="Arial"/>
                <w:sz w:val="20"/>
              </w:rPr>
              <w:t>Média</w:t>
            </w:r>
          </w:p>
        </w:tc>
        <w:tc>
          <w:tcPr>
            <w:tcW w:w="1509" w:type="dxa"/>
            <w:shd w:val="clear" w:color="auto" w:fill="auto"/>
            <w:vAlign w:val="center"/>
          </w:tcPr>
          <w:p w:rsidR="002E7028" w:rsidRPr="00535D8B" w:rsidRDefault="002E7028" w:rsidP="002E7028">
            <w:pPr>
              <w:autoSpaceDE w:val="0"/>
              <w:autoSpaceDN w:val="0"/>
              <w:adjustRightInd w:val="0"/>
              <w:spacing w:line="240" w:lineRule="auto"/>
              <w:jc w:val="center"/>
              <w:rPr>
                <w:rFonts w:cs="Arial"/>
                <w:sz w:val="20"/>
              </w:rPr>
            </w:pPr>
            <w:r>
              <w:rPr>
                <w:rFonts w:cs="Arial"/>
                <w:sz w:val="20"/>
              </w:rPr>
              <w:t>Mitigável</w:t>
            </w:r>
          </w:p>
        </w:tc>
      </w:tr>
    </w:tbl>
    <w:p w:rsidR="002E7028" w:rsidRDefault="002E7028" w:rsidP="002E7028"/>
    <w:p w:rsidR="002E7028" w:rsidRPr="00683EFB" w:rsidRDefault="002E7028" w:rsidP="000F69FA">
      <w:pPr>
        <w:spacing w:before="120" w:after="120" w:line="240" w:lineRule="auto"/>
        <w:jc w:val="left"/>
        <w:rPr>
          <w:b/>
        </w:rPr>
      </w:pPr>
      <w:r w:rsidRPr="00683EFB">
        <w:rPr>
          <w:b/>
        </w:rPr>
        <w:t>Ações Ambientais Propostas</w:t>
      </w:r>
    </w:p>
    <w:p w:rsidR="002E7028" w:rsidRPr="00666A9B" w:rsidRDefault="002E7028" w:rsidP="002E7028">
      <w:pPr>
        <w:pStyle w:val="NormalPargrafo"/>
      </w:pPr>
      <w:r w:rsidRPr="00EB64FE">
        <w:t xml:space="preserve">O Programa de Controle de Saúde </w:t>
      </w:r>
      <w:r w:rsidR="00EB64FE" w:rsidRPr="00EB64FE">
        <w:t xml:space="preserve">Pública </w:t>
      </w:r>
      <w:r w:rsidRPr="00EB64FE">
        <w:t xml:space="preserve">contempla ações direcionadas a essa </w:t>
      </w:r>
      <w:r w:rsidR="00C2657F" w:rsidRPr="00EB64FE">
        <w:t>questão</w:t>
      </w:r>
      <w:r w:rsidR="00C2657F">
        <w:t>,</w:t>
      </w:r>
      <w:r w:rsidR="00C2657F" w:rsidRPr="00EB64FE">
        <w:t xml:space="preserve"> </w:t>
      </w:r>
      <w:r w:rsidR="00C2657F">
        <w:t>tais</w:t>
      </w:r>
      <w:r w:rsidRPr="00666A9B">
        <w:t xml:space="preserve"> como:</w:t>
      </w:r>
    </w:p>
    <w:p w:rsidR="002E7028" w:rsidRPr="00666A9B" w:rsidRDefault="002E7028" w:rsidP="00431A97">
      <w:pPr>
        <w:pStyle w:val="Marcador1"/>
        <w:numPr>
          <w:ilvl w:val="0"/>
          <w:numId w:val="42"/>
        </w:numPr>
        <w:spacing w:line="280" w:lineRule="atLeast"/>
        <w:ind w:left="567" w:hanging="567"/>
      </w:pPr>
      <w:r w:rsidRPr="00666A9B">
        <w:t>Realização de ações de prevenção contra doenças sexualmente transmissíveis – DST</w:t>
      </w:r>
      <w:r w:rsidR="002B5041">
        <w:t xml:space="preserve"> </w:t>
      </w:r>
      <w:r w:rsidRPr="00666A9B">
        <w:t>no entorno do</w:t>
      </w:r>
      <w:r w:rsidR="002B5041">
        <w:t>s</w:t>
      </w:r>
      <w:r w:rsidRPr="00666A9B">
        <w:t xml:space="preserve"> empreendimento</w:t>
      </w:r>
      <w:r w:rsidR="002B5041">
        <w:t>s</w:t>
      </w:r>
      <w:r w:rsidRPr="00666A9B">
        <w:t>, principalmente junto aos trabalhadores das obras.</w:t>
      </w:r>
    </w:p>
    <w:p w:rsidR="002E7028" w:rsidRPr="00666A9B" w:rsidRDefault="002E7028" w:rsidP="00431A97">
      <w:pPr>
        <w:pStyle w:val="Marcador1"/>
        <w:numPr>
          <w:ilvl w:val="0"/>
          <w:numId w:val="42"/>
        </w:numPr>
        <w:spacing w:line="280" w:lineRule="atLeast"/>
        <w:ind w:left="567" w:hanging="567"/>
      </w:pPr>
      <w:r w:rsidRPr="00666A9B">
        <w:t>Promoção de campanhas de vacinação dos trabalhadores da</w:t>
      </w:r>
      <w:r>
        <w:t>s</w:t>
      </w:r>
      <w:r w:rsidRPr="00666A9B">
        <w:t xml:space="preserve"> obra</w:t>
      </w:r>
      <w:r>
        <w:t>s</w:t>
      </w:r>
      <w:r w:rsidRPr="00666A9B">
        <w:t xml:space="preserve"> e das populações do entorno da</w:t>
      </w:r>
      <w:r>
        <w:t>s obras</w:t>
      </w:r>
      <w:r w:rsidRPr="00666A9B">
        <w:t>, em conjunto com as secretarias de saúde dos m</w:t>
      </w:r>
      <w:r w:rsidR="002B5041">
        <w:t>unicípios afetados.</w:t>
      </w:r>
    </w:p>
    <w:p w:rsidR="002E7028" w:rsidRPr="00666A9B" w:rsidRDefault="002E7028" w:rsidP="00431A97">
      <w:pPr>
        <w:pStyle w:val="Marcador1"/>
        <w:numPr>
          <w:ilvl w:val="0"/>
          <w:numId w:val="42"/>
        </w:numPr>
        <w:spacing w:line="280" w:lineRule="atLeast"/>
        <w:ind w:left="567" w:hanging="567"/>
      </w:pPr>
      <w:r w:rsidRPr="00666A9B">
        <w:t>Realização de atendimento médico-sanitário para os trabalhadores da obra.</w:t>
      </w:r>
    </w:p>
    <w:p w:rsidR="002E7028" w:rsidRPr="00666A9B" w:rsidRDefault="002E7028" w:rsidP="00431A97">
      <w:pPr>
        <w:pStyle w:val="Marcador1"/>
        <w:numPr>
          <w:ilvl w:val="0"/>
          <w:numId w:val="42"/>
        </w:numPr>
        <w:spacing w:line="280" w:lineRule="atLeast"/>
        <w:ind w:left="567" w:hanging="567"/>
      </w:pPr>
      <w:r w:rsidRPr="00666A9B">
        <w:t xml:space="preserve">Apoio às estratégias de promoção da saúde e de educação das instituições </w:t>
      </w:r>
      <w:r w:rsidR="002B5041">
        <w:t xml:space="preserve">de saúde </w:t>
      </w:r>
      <w:r w:rsidRPr="00666A9B">
        <w:t>d</w:t>
      </w:r>
      <w:r w:rsidR="002B5041">
        <w:t xml:space="preserve">os municípios em que se localizam as barragens, </w:t>
      </w:r>
      <w:r w:rsidRPr="00666A9B">
        <w:t>por meio da participação em campanhas e do desenvolvimento de materiais educativos.</w:t>
      </w:r>
    </w:p>
    <w:p w:rsidR="002E7028" w:rsidRPr="002B5041" w:rsidRDefault="002E7028" w:rsidP="00431A97">
      <w:pPr>
        <w:pStyle w:val="Marcador1"/>
        <w:numPr>
          <w:ilvl w:val="0"/>
          <w:numId w:val="42"/>
        </w:numPr>
        <w:spacing w:after="120" w:line="240" w:lineRule="auto"/>
        <w:ind w:left="567" w:hanging="567"/>
      </w:pPr>
      <w:r w:rsidRPr="00666A9B">
        <w:t xml:space="preserve">Exigência para que a construtora realize exames periódicos para acompanhamento de eventuais doenças </w:t>
      </w:r>
      <w:r w:rsidR="002B5041" w:rsidRPr="00666A9B">
        <w:t>infectocontagiosas</w:t>
      </w:r>
      <w:r w:rsidRPr="00666A9B">
        <w:t xml:space="preserve"> detectadas e promova o necessário tratamento.</w:t>
      </w:r>
    </w:p>
    <w:p w:rsidR="00973BCF" w:rsidRDefault="00CD6D82" w:rsidP="008204B6">
      <w:pPr>
        <w:pStyle w:val="Ttulo3"/>
        <w:rPr>
          <w:rFonts w:ascii="Arial Negrito" w:hAnsi="Arial Negrito"/>
          <w:bCs/>
        </w:rPr>
      </w:pPr>
      <w:bookmarkStart w:id="406" w:name="_Toc418758259"/>
      <w:bookmarkStart w:id="407" w:name="_Toc418758861"/>
      <w:bookmarkStart w:id="408" w:name="_Toc419813621"/>
      <w:r w:rsidRPr="008204B6">
        <w:rPr>
          <w:rFonts w:ascii="Arial Negrito" w:hAnsi="Arial Negrito"/>
          <w:bCs/>
        </w:rPr>
        <w:t xml:space="preserve">1.3.3.12. </w:t>
      </w:r>
      <w:r w:rsidR="00973BCF" w:rsidRPr="008204B6">
        <w:rPr>
          <w:rFonts w:ascii="Arial Negrito" w:hAnsi="Arial Negrito"/>
          <w:bCs/>
        </w:rPr>
        <w:t>Incômodos à População</w:t>
      </w:r>
      <w:bookmarkEnd w:id="406"/>
      <w:bookmarkEnd w:id="407"/>
      <w:bookmarkEnd w:id="408"/>
    </w:p>
    <w:p w:rsidR="00C2657F" w:rsidRPr="00C2657F" w:rsidRDefault="00C2657F" w:rsidP="00C2657F">
      <w:pPr>
        <w:spacing w:before="120" w:after="120" w:line="240" w:lineRule="auto"/>
      </w:pPr>
      <w:r>
        <w:t>O</w:t>
      </w:r>
      <w:r w:rsidRPr="00666A9B">
        <w:t xml:space="preserve">s incômodos </w:t>
      </w:r>
      <w:r>
        <w:t>atingirão principalmente a</w:t>
      </w:r>
      <w:r w:rsidRPr="00666A9B">
        <w:t xml:space="preserve"> população do entorno dos canteiros e frentes de obras, </w:t>
      </w:r>
      <w:r>
        <w:t xml:space="preserve">e </w:t>
      </w:r>
      <w:r w:rsidRPr="00666A9B">
        <w:t xml:space="preserve">serão ocasionados </w:t>
      </w:r>
      <w:r>
        <w:t xml:space="preserve">por: alteração dos níveis de ruído, disposição inadequada de </w:t>
      </w:r>
      <w:r w:rsidRPr="00490734">
        <w:t>resíduos sólidos, lançamento de efluentes líquidos nefastos.</w:t>
      </w:r>
    </w:p>
    <w:p w:rsidR="002A725A" w:rsidRPr="002A725A" w:rsidRDefault="00F775F7" w:rsidP="00431A97">
      <w:pPr>
        <w:numPr>
          <w:ilvl w:val="0"/>
          <w:numId w:val="65"/>
        </w:numPr>
        <w:spacing w:before="120" w:after="120" w:line="240" w:lineRule="auto"/>
        <w:ind w:left="567" w:hanging="567"/>
        <w:rPr>
          <w:rFonts w:cs="Arial"/>
          <w:b/>
        </w:rPr>
      </w:pPr>
      <w:r w:rsidRPr="00490734">
        <w:t xml:space="preserve">  </w:t>
      </w:r>
      <w:r>
        <w:rPr>
          <w:rFonts w:cs="Arial"/>
          <w:b/>
        </w:rPr>
        <w:t>Incômodos</w:t>
      </w:r>
      <w:r w:rsidR="002A725A">
        <w:rPr>
          <w:rFonts w:cs="Arial"/>
          <w:b/>
        </w:rPr>
        <w:t xml:space="preserve"> devido à Alteração nos Níveis de Ruído</w:t>
      </w:r>
    </w:p>
    <w:p w:rsidR="00C2657F" w:rsidRPr="00C2657F" w:rsidRDefault="00C2657F" w:rsidP="00957CC3">
      <w:pPr>
        <w:spacing w:before="120" w:after="120" w:line="240" w:lineRule="auto"/>
        <w:rPr>
          <w:b/>
        </w:rPr>
      </w:pPr>
      <w:r w:rsidRPr="00C2657F">
        <w:rPr>
          <w:b/>
        </w:rPr>
        <w:t>Fase: Implantação</w:t>
      </w:r>
    </w:p>
    <w:p w:rsidR="007A4FD2" w:rsidRDefault="007A4FD2" w:rsidP="00957CC3">
      <w:pPr>
        <w:spacing w:before="120" w:after="120" w:line="240" w:lineRule="auto"/>
      </w:pPr>
      <w:r>
        <w:t xml:space="preserve">O aumento no nível de ruído é decorrente da </w:t>
      </w:r>
      <w:r w:rsidRPr="00B62204">
        <w:t>execução de terraplenagem, obras civis</w:t>
      </w:r>
      <w:r>
        <w:t xml:space="preserve"> e da movimentação de veículos, máquinas e equipamentos, tais como caminhões, tratores, equipamentos de escavação etc., causando incômodo à população local.</w:t>
      </w:r>
    </w:p>
    <w:p w:rsidR="007A4FD2" w:rsidRDefault="007A4FD2" w:rsidP="007A4FD2">
      <w:pPr>
        <w:spacing w:before="120" w:after="120" w:line="240" w:lineRule="auto"/>
      </w:pPr>
      <w:r w:rsidRPr="00666A9B">
        <w:t>O</w:t>
      </w:r>
      <w:r w:rsidR="00707A52">
        <w:t xml:space="preserve"> ruído de máquinas de escavação,</w:t>
      </w:r>
      <w:r w:rsidRPr="00666A9B">
        <w:t xml:space="preserve"> transporte de material e de construção varia muito em função da condição de </w:t>
      </w:r>
      <w:r>
        <w:t xml:space="preserve">sua </w:t>
      </w:r>
      <w:r w:rsidRPr="00666A9B">
        <w:t>operação</w:t>
      </w:r>
      <w:r>
        <w:t xml:space="preserve">. </w:t>
      </w:r>
      <w:r w:rsidRPr="00666A9B">
        <w:t xml:space="preserve">Como valor máximo, pode-se considerar com base em </w:t>
      </w:r>
      <w:r>
        <w:t xml:space="preserve">avaliação técnica e </w:t>
      </w:r>
      <w:r w:rsidRPr="00666A9B">
        <w:t>experiências anteriores com equipamentos similares, que es</w:t>
      </w:r>
      <w:r>
        <w:t>s</w:t>
      </w:r>
      <w:r w:rsidRPr="00666A9B">
        <w:t>es equipamentos não emitirão ruído em níveis acima de 90</w:t>
      </w:r>
      <w:r w:rsidR="00EF06E3">
        <w:t xml:space="preserve"> </w:t>
      </w:r>
      <w:r w:rsidRPr="00666A9B">
        <w:t xml:space="preserve">dB(A), medidos a 7 metros da </w:t>
      </w:r>
      <w:r>
        <w:t>f</w:t>
      </w:r>
      <w:r w:rsidRPr="00666A9B">
        <w:t>onte.</w:t>
      </w:r>
      <w:r>
        <w:t xml:space="preserve"> </w:t>
      </w:r>
      <w:r w:rsidRPr="00EF06E3">
        <w:t xml:space="preserve">Aplicando-se cálculos específicos e técnicos, obtém-se o resultado apresentado no </w:t>
      </w:r>
      <w:r w:rsidR="002E29E3" w:rsidRPr="00EF06E3">
        <w:t>Q</w:t>
      </w:r>
      <w:r w:rsidRPr="00EF06E3">
        <w:t xml:space="preserve">uadro </w:t>
      </w:r>
      <w:r w:rsidR="00D866D8" w:rsidRPr="00EF06E3">
        <w:t xml:space="preserve">1.3.87., </w:t>
      </w:r>
      <w:r w:rsidRPr="00EF06E3">
        <w:t xml:space="preserve">abaixo, que indica o nível sonoro previsto </w:t>
      </w:r>
      <w:r w:rsidRPr="00EF06E3">
        <w:rPr>
          <w:i/>
        </w:rPr>
        <w:t>vis-a-vis</w:t>
      </w:r>
      <w:r w:rsidRPr="00EF06E3">
        <w:t xml:space="preserve"> a distância das obras.</w:t>
      </w:r>
    </w:p>
    <w:p w:rsidR="007A4FD2" w:rsidRDefault="00B44C8E" w:rsidP="00E155C0">
      <w:pPr>
        <w:pStyle w:val="Legenda"/>
        <w:spacing w:line="240" w:lineRule="auto"/>
        <w:jc w:val="center"/>
        <w:rPr>
          <w:b w:val="0"/>
          <w:i w:val="0"/>
        </w:rPr>
      </w:pPr>
      <w:bookmarkStart w:id="409" w:name="_Toc420316531"/>
      <w:r w:rsidRPr="00EF06E3">
        <w:rPr>
          <w:i w:val="0"/>
        </w:rPr>
        <w:t xml:space="preserve">Quadro </w:t>
      </w:r>
      <w:r w:rsidR="00B80A05" w:rsidRPr="00EF06E3">
        <w:rPr>
          <w:i w:val="0"/>
        </w:rPr>
        <w:fldChar w:fldCharType="begin"/>
      </w:r>
      <w:r w:rsidR="00402E81" w:rsidRPr="00EF06E3">
        <w:rPr>
          <w:i w:val="0"/>
        </w:rPr>
        <w:instrText xml:space="preserve"> STYLEREF 2 \s </w:instrText>
      </w:r>
      <w:r w:rsidR="00B80A05" w:rsidRPr="00EF06E3">
        <w:rPr>
          <w:i w:val="0"/>
        </w:rPr>
        <w:fldChar w:fldCharType="separate"/>
      </w:r>
      <w:r w:rsidR="00316060">
        <w:rPr>
          <w:i w:val="0"/>
          <w:noProof/>
        </w:rPr>
        <w:t>1.3</w:t>
      </w:r>
      <w:r w:rsidR="00B80A05" w:rsidRPr="00EF06E3">
        <w:rPr>
          <w:i w:val="0"/>
        </w:rPr>
        <w:fldChar w:fldCharType="end"/>
      </w:r>
      <w:r w:rsidR="00402E81" w:rsidRPr="00EF06E3">
        <w:rPr>
          <w:i w:val="0"/>
        </w:rPr>
        <w:t>.</w:t>
      </w:r>
      <w:r w:rsidR="00B80A05" w:rsidRPr="00EF06E3">
        <w:rPr>
          <w:i w:val="0"/>
        </w:rPr>
        <w:fldChar w:fldCharType="begin"/>
      </w:r>
      <w:r w:rsidR="00402E81" w:rsidRPr="00EF06E3">
        <w:rPr>
          <w:i w:val="0"/>
        </w:rPr>
        <w:instrText xml:space="preserve"> SEQ Quadro \* ARABIC \s 2 </w:instrText>
      </w:r>
      <w:r w:rsidR="00B80A05" w:rsidRPr="00EF06E3">
        <w:rPr>
          <w:i w:val="0"/>
        </w:rPr>
        <w:fldChar w:fldCharType="separate"/>
      </w:r>
      <w:r w:rsidR="00316060">
        <w:rPr>
          <w:i w:val="0"/>
          <w:noProof/>
        </w:rPr>
        <w:t>88</w:t>
      </w:r>
      <w:r w:rsidR="00B80A05" w:rsidRPr="00EF06E3">
        <w:rPr>
          <w:i w:val="0"/>
        </w:rPr>
        <w:fldChar w:fldCharType="end"/>
      </w:r>
      <w:r w:rsidR="00EF06E3" w:rsidRPr="00EF06E3">
        <w:rPr>
          <w:i w:val="0"/>
        </w:rPr>
        <w:t>.</w:t>
      </w:r>
      <w:r w:rsidR="00EF06E3" w:rsidRPr="00EF06E3">
        <w:rPr>
          <w:b w:val="0"/>
          <w:i w:val="0"/>
        </w:rPr>
        <w:t xml:space="preserve"> - </w:t>
      </w:r>
      <w:r w:rsidR="00CA7098" w:rsidRPr="00EF06E3">
        <w:rPr>
          <w:b w:val="0"/>
          <w:i w:val="0"/>
        </w:rPr>
        <w:t>Nível Sonoro Previsto vis-a-vis a Distância das Obras</w:t>
      </w:r>
      <w:r w:rsidR="00D866D8" w:rsidRPr="00EF06E3">
        <w:rPr>
          <w:b w:val="0"/>
          <w:i w:val="0"/>
        </w:rPr>
        <w:t>.</w:t>
      </w:r>
      <w:bookmarkEnd w:id="409"/>
    </w:p>
    <w:tbl>
      <w:tblPr>
        <w:tblStyle w:val="Tabelacomgrade"/>
        <w:tblW w:w="0" w:type="auto"/>
        <w:tblInd w:w="2518" w:type="dxa"/>
        <w:tblLook w:val="04A0" w:firstRow="1" w:lastRow="0" w:firstColumn="1" w:lastColumn="0" w:noHBand="0" w:noVBand="1"/>
      </w:tblPr>
      <w:tblGrid>
        <w:gridCol w:w="1913"/>
        <w:gridCol w:w="1914"/>
      </w:tblGrid>
      <w:tr w:rsidR="00EF06E3" w:rsidTr="00EF06E3">
        <w:tc>
          <w:tcPr>
            <w:tcW w:w="1913" w:type="dxa"/>
            <w:shd w:val="clear" w:color="auto" w:fill="D9D9D9" w:themeFill="background1" w:themeFillShade="D9"/>
            <w:vAlign w:val="center"/>
          </w:tcPr>
          <w:p w:rsidR="00EF06E3" w:rsidRPr="00EF06E3" w:rsidRDefault="00EF06E3" w:rsidP="00C50DD2">
            <w:pPr>
              <w:spacing w:before="40" w:after="40" w:line="240" w:lineRule="auto"/>
              <w:jc w:val="center"/>
              <w:rPr>
                <w:b/>
              </w:rPr>
            </w:pPr>
            <w:r w:rsidRPr="00EF06E3">
              <w:rPr>
                <w:b/>
              </w:rPr>
              <w:t>Distância</w:t>
            </w:r>
          </w:p>
          <w:p w:rsidR="00EF06E3" w:rsidRPr="00EF06E3" w:rsidRDefault="00EF06E3" w:rsidP="00C50DD2">
            <w:pPr>
              <w:spacing w:before="40" w:after="40" w:line="240" w:lineRule="auto"/>
              <w:jc w:val="center"/>
              <w:rPr>
                <w:b/>
              </w:rPr>
            </w:pPr>
            <w:r w:rsidRPr="00EF06E3">
              <w:rPr>
                <w:b/>
              </w:rPr>
              <w:t>(m)</w:t>
            </w:r>
          </w:p>
        </w:tc>
        <w:tc>
          <w:tcPr>
            <w:tcW w:w="1914" w:type="dxa"/>
            <w:shd w:val="clear" w:color="auto" w:fill="D9D9D9" w:themeFill="background1" w:themeFillShade="D9"/>
            <w:vAlign w:val="center"/>
          </w:tcPr>
          <w:p w:rsidR="00EF06E3" w:rsidRPr="00EF06E3" w:rsidRDefault="00EF06E3" w:rsidP="00C50DD2">
            <w:pPr>
              <w:spacing w:before="40" w:after="40" w:line="240" w:lineRule="auto"/>
              <w:jc w:val="center"/>
              <w:rPr>
                <w:b/>
              </w:rPr>
            </w:pPr>
            <w:r w:rsidRPr="00EF06E3">
              <w:rPr>
                <w:b/>
              </w:rPr>
              <w:t>Nível de Ruído</w:t>
            </w:r>
          </w:p>
          <w:p w:rsidR="00EF06E3" w:rsidRPr="00EF06E3" w:rsidRDefault="00EF06E3" w:rsidP="00C50DD2">
            <w:pPr>
              <w:spacing w:before="40" w:after="40" w:line="240" w:lineRule="auto"/>
              <w:jc w:val="center"/>
              <w:rPr>
                <w:b/>
              </w:rPr>
            </w:pPr>
            <w:r w:rsidRPr="00EF06E3">
              <w:rPr>
                <w:b/>
              </w:rPr>
              <w:t>(dB (A))</w:t>
            </w:r>
          </w:p>
        </w:tc>
      </w:tr>
      <w:tr w:rsidR="00EF06E3" w:rsidTr="00EF06E3">
        <w:tc>
          <w:tcPr>
            <w:tcW w:w="1913" w:type="dxa"/>
            <w:vAlign w:val="center"/>
          </w:tcPr>
          <w:p w:rsidR="00EF06E3" w:rsidRDefault="00EF06E3" w:rsidP="00C50DD2">
            <w:pPr>
              <w:spacing w:before="40" w:after="40" w:line="240" w:lineRule="auto"/>
              <w:jc w:val="center"/>
            </w:pPr>
            <w:r>
              <w:t>7</w:t>
            </w:r>
          </w:p>
        </w:tc>
        <w:tc>
          <w:tcPr>
            <w:tcW w:w="1914" w:type="dxa"/>
            <w:vAlign w:val="center"/>
          </w:tcPr>
          <w:p w:rsidR="00EF06E3" w:rsidRDefault="00EF06E3" w:rsidP="00C50DD2">
            <w:pPr>
              <w:spacing w:before="40" w:after="40" w:line="240" w:lineRule="auto"/>
              <w:jc w:val="center"/>
            </w:pPr>
            <w:r>
              <w:t>90</w:t>
            </w:r>
          </w:p>
        </w:tc>
      </w:tr>
      <w:tr w:rsidR="00EF06E3" w:rsidTr="00EF06E3">
        <w:tc>
          <w:tcPr>
            <w:tcW w:w="1913" w:type="dxa"/>
            <w:vAlign w:val="center"/>
          </w:tcPr>
          <w:p w:rsidR="00EF06E3" w:rsidRDefault="00EF06E3" w:rsidP="00C50DD2">
            <w:pPr>
              <w:spacing w:before="40" w:after="40" w:line="240" w:lineRule="auto"/>
              <w:jc w:val="center"/>
            </w:pPr>
            <w:r>
              <w:t>10</w:t>
            </w:r>
          </w:p>
        </w:tc>
        <w:tc>
          <w:tcPr>
            <w:tcW w:w="1914" w:type="dxa"/>
            <w:vAlign w:val="center"/>
          </w:tcPr>
          <w:p w:rsidR="00EF06E3" w:rsidRDefault="00EF06E3" w:rsidP="00C50DD2">
            <w:pPr>
              <w:spacing w:before="40" w:after="40" w:line="240" w:lineRule="auto"/>
              <w:jc w:val="center"/>
            </w:pPr>
            <w:r>
              <w:t>87</w:t>
            </w:r>
          </w:p>
        </w:tc>
      </w:tr>
      <w:tr w:rsidR="00EF06E3" w:rsidTr="00EF06E3">
        <w:tc>
          <w:tcPr>
            <w:tcW w:w="1913" w:type="dxa"/>
            <w:vAlign w:val="center"/>
          </w:tcPr>
          <w:p w:rsidR="00EF06E3" w:rsidRDefault="00EF06E3" w:rsidP="00C50DD2">
            <w:pPr>
              <w:spacing w:before="40" w:after="40" w:line="240" w:lineRule="auto"/>
              <w:jc w:val="center"/>
            </w:pPr>
            <w:r>
              <w:t>20</w:t>
            </w:r>
          </w:p>
        </w:tc>
        <w:tc>
          <w:tcPr>
            <w:tcW w:w="1914" w:type="dxa"/>
            <w:vAlign w:val="center"/>
          </w:tcPr>
          <w:p w:rsidR="00EF06E3" w:rsidRDefault="00EF06E3" w:rsidP="00C50DD2">
            <w:pPr>
              <w:spacing w:before="40" w:after="40" w:line="240" w:lineRule="auto"/>
              <w:jc w:val="center"/>
            </w:pPr>
            <w:r>
              <w:t>81</w:t>
            </w:r>
          </w:p>
        </w:tc>
      </w:tr>
      <w:tr w:rsidR="00EF06E3" w:rsidTr="00EF06E3">
        <w:tc>
          <w:tcPr>
            <w:tcW w:w="1913" w:type="dxa"/>
            <w:vAlign w:val="center"/>
          </w:tcPr>
          <w:p w:rsidR="00EF06E3" w:rsidRDefault="00EF06E3" w:rsidP="00C50DD2">
            <w:pPr>
              <w:spacing w:before="40" w:after="40" w:line="240" w:lineRule="auto"/>
              <w:jc w:val="center"/>
            </w:pPr>
            <w:r>
              <w:t>30</w:t>
            </w:r>
          </w:p>
        </w:tc>
        <w:tc>
          <w:tcPr>
            <w:tcW w:w="1914" w:type="dxa"/>
            <w:vAlign w:val="center"/>
          </w:tcPr>
          <w:p w:rsidR="00EF06E3" w:rsidRDefault="00EF06E3" w:rsidP="00C50DD2">
            <w:pPr>
              <w:spacing w:before="40" w:after="40" w:line="240" w:lineRule="auto"/>
              <w:jc w:val="center"/>
            </w:pPr>
            <w:r>
              <w:t>77</w:t>
            </w:r>
          </w:p>
        </w:tc>
      </w:tr>
      <w:tr w:rsidR="00EF06E3" w:rsidTr="00EF06E3">
        <w:tc>
          <w:tcPr>
            <w:tcW w:w="1913" w:type="dxa"/>
            <w:vAlign w:val="center"/>
          </w:tcPr>
          <w:p w:rsidR="00EF06E3" w:rsidRDefault="00EF06E3" w:rsidP="00C50DD2">
            <w:pPr>
              <w:spacing w:before="40" w:after="40" w:line="240" w:lineRule="auto"/>
              <w:jc w:val="center"/>
            </w:pPr>
            <w:r>
              <w:t>40</w:t>
            </w:r>
          </w:p>
        </w:tc>
        <w:tc>
          <w:tcPr>
            <w:tcW w:w="1914" w:type="dxa"/>
            <w:vAlign w:val="center"/>
          </w:tcPr>
          <w:p w:rsidR="00EF06E3" w:rsidRDefault="00EF06E3" w:rsidP="00C50DD2">
            <w:pPr>
              <w:spacing w:before="40" w:after="40" w:line="240" w:lineRule="auto"/>
              <w:jc w:val="center"/>
            </w:pPr>
            <w:r>
              <w:t>75</w:t>
            </w:r>
          </w:p>
        </w:tc>
      </w:tr>
      <w:tr w:rsidR="00EF06E3" w:rsidTr="00EF06E3">
        <w:tc>
          <w:tcPr>
            <w:tcW w:w="1913" w:type="dxa"/>
            <w:vAlign w:val="center"/>
          </w:tcPr>
          <w:p w:rsidR="00EF06E3" w:rsidRDefault="00EF06E3" w:rsidP="00C50DD2">
            <w:pPr>
              <w:spacing w:before="40" w:after="40" w:line="240" w:lineRule="auto"/>
              <w:jc w:val="center"/>
            </w:pPr>
            <w:r>
              <w:t>50</w:t>
            </w:r>
          </w:p>
        </w:tc>
        <w:tc>
          <w:tcPr>
            <w:tcW w:w="1914" w:type="dxa"/>
            <w:vAlign w:val="center"/>
          </w:tcPr>
          <w:p w:rsidR="00EF06E3" w:rsidRDefault="00EF06E3" w:rsidP="00C50DD2">
            <w:pPr>
              <w:spacing w:before="40" w:after="40" w:line="240" w:lineRule="auto"/>
              <w:jc w:val="center"/>
            </w:pPr>
            <w:r>
              <w:t>73</w:t>
            </w:r>
          </w:p>
        </w:tc>
      </w:tr>
      <w:tr w:rsidR="00EF06E3" w:rsidTr="00EF06E3">
        <w:tc>
          <w:tcPr>
            <w:tcW w:w="1913" w:type="dxa"/>
            <w:vAlign w:val="center"/>
          </w:tcPr>
          <w:p w:rsidR="00EF06E3" w:rsidRDefault="00EF06E3" w:rsidP="00C50DD2">
            <w:pPr>
              <w:spacing w:before="40" w:after="40" w:line="240" w:lineRule="auto"/>
              <w:jc w:val="center"/>
            </w:pPr>
            <w:r>
              <w:t>100</w:t>
            </w:r>
          </w:p>
        </w:tc>
        <w:tc>
          <w:tcPr>
            <w:tcW w:w="1914" w:type="dxa"/>
            <w:vAlign w:val="center"/>
          </w:tcPr>
          <w:p w:rsidR="00EF06E3" w:rsidRDefault="00EF06E3" w:rsidP="00C50DD2">
            <w:pPr>
              <w:spacing w:before="40" w:after="40" w:line="240" w:lineRule="auto"/>
              <w:jc w:val="center"/>
            </w:pPr>
            <w:r>
              <w:t>67</w:t>
            </w:r>
          </w:p>
        </w:tc>
      </w:tr>
      <w:tr w:rsidR="00EF06E3" w:rsidTr="00EF06E3">
        <w:tc>
          <w:tcPr>
            <w:tcW w:w="1913" w:type="dxa"/>
            <w:vAlign w:val="center"/>
          </w:tcPr>
          <w:p w:rsidR="00EF06E3" w:rsidRDefault="00EF06E3" w:rsidP="00C50DD2">
            <w:pPr>
              <w:spacing w:before="40" w:after="40" w:line="240" w:lineRule="auto"/>
              <w:jc w:val="center"/>
            </w:pPr>
            <w:r>
              <w:t>150</w:t>
            </w:r>
          </w:p>
        </w:tc>
        <w:tc>
          <w:tcPr>
            <w:tcW w:w="1914" w:type="dxa"/>
            <w:vAlign w:val="center"/>
          </w:tcPr>
          <w:p w:rsidR="00EF06E3" w:rsidRDefault="00EF06E3" w:rsidP="00C50DD2">
            <w:pPr>
              <w:spacing w:before="40" w:after="40" w:line="240" w:lineRule="auto"/>
              <w:jc w:val="center"/>
            </w:pPr>
            <w:r>
              <w:t>63</w:t>
            </w:r>
          </w:p>
        </w:tc>
      </w:tr>
      <w:tr w:rsidR="00EF06E3" w:rsidTr="00EF06E3">
        <w:tc>
          <w:tcPr>
            <w:tcW w:w="1913" w:type="dxa"/>
            <w:vAlign w:val="center"/>
          </w:tcPr>
          <w:p w:rsidR="00EF06E3" w:rsidRDefault="00EF06E3" w:rsidP="00C50DD2">
            <w:pPr>
              <w:spacing w:before="40" w:after="40" w:line="240" w:lineRule="auto"/>
              <w:jc w:val="center"/>
            </w:pPr>
            <w:r>
              <w:t>200</w:t>
            </w:r>
          </w:p>
        </w:tc>
        <w:tc>
          <w:tcPr>
            <w:tcW w:w="1914" w:type="dxa"/>
            <w:vAlign w:val="center"/>
          </w:tcPr>
          <w:p w:rsidR="00EF06E3" w:rsidRDefault="00EF06E3" w:rsidP="00C50DD2">
            <w:pPr>
              <w:spacing w:before="40" w:after="40" w:line="240" w:lineRule="auto"/>
              <w:jc w:val="center"/>
            </w:pPr>
            <w:r>
              <w:t>61</w:t>
            </w:r>
          </w:p>
        </w:tc>
      </w:tr>
      <w:tr w:rsidR="00EF06E3" w:rsidTr="00EF06E3">
        <w:tc>
          <w:tcPr>
            <w:tcW w:w="1913" w:type="dxa"/>
            <w:vAlign w:val="center"/>
          </w:tcPr>
          <w:p w:rsidR="00EF06E3" w:rsidRDefault="00EF06E3" w:rsidP="00C50DD2">
            <w:pPr>
              <w:spacing w:before="40" w:after="40" w:line="240" w:lineRule="auto"/>
              <w:jc w:val="center"/>
            </w:pPr>
            <w:r>
              <w:t>300</w:t>
            </w:r>
          </w:p>
        </w:tc>
        <w:tc>
          <w:tcPr>
            <w:tcW w:w="1914" w:type="dxa"/>
            <w:vAlign w:val="center"/>
          </w:tcPr>
          <w:p w:rsidR="00EF06E3" w:rsidRDefault="00EF06E3" w:rsidP="00C50DD2">
            <w:pPr>
              <w:spacing w:before="40" w:after="40" w:line="240" w:lineRule="auto"/>
              <w:jc w:val="center"/>
            </w:pPr>
            <w:r>
              <w:t>57</w:t>
            </w:r>
          </w:p>
        </w:tc>
      </w:tr>
      <w:tr w:rsidR="00EF06E3" w:rsidTr="00EF06E3">
        <w:tc>
          <w:tcPr>
            <w:tcW w:w="1913" w:type="dxa"/>
            <w:vAlign w:val="center"/>
          </w:tcPr>
          <w:p w:rsidR="00EF06E3" w:rsidRDefault="00EF06E3" w:rsidP="00C50DD2">
            <w:pPr>
              <w:spacing w:before="40" w:after="40" w:line="240" w:lineRule="auto"/>
              <w:jc w:val="center"/>
            </w:pPr>
            <w:r>
              <w:t>400</w:t>
            </w:r>
          </w:p>
        </w:tc>
        <w:tc>
          <w:tcPr>
            <w:tcW w:w="1914" w:type="dxa"/>
            <w:vAlign w:val="center"/>
          </w:tcPr>
          <w:p w:rsidR="00EF06E3" w:rsidRDefault="00EF06E3" w:rsidP="00C50DD2">
            <w:pPr>
              <w:spacing w:before="40" w:after="40" w:line="240" w:lineRule="auto"/>
              <w:jc w:val="center"/>
            </w:pPr>
            <w:r>
              <w:t>55</w:t>
            </w:r>
          </w:p>
        </w:tc>
      </w:tr>
      <w:tr w:rsidR="00EF06E3" w:rsidTr="00EF06E3">
        <w:tc>
          <w:tcPr>
            <w:tcW w:w="1913" w:type="dxa"/>
            <w:vAlign w:val="center"/>
          </w:tcPr>
          <w:p w:rsidR="00EF06E3" w:rsidRDefault="00EF06E3" w:rsidP="00C50DD2">
            <w:pPr>
              <w:spacing w:before="40" w:after="40" w:line="240" w:lineRule="auto"/>
              <w:jc w:val="center"/>
            </w:pPr>
            <w:r>
              <w:t>500</w:t>
            </w:r>
          </w:p>
        </w:tc>
        <w:tc>
          <w:tcPr>
            <w:tcW w:w="1914" w:type="dxa"/>
            <w:vAlign w:val="center"/>
          </w:tcPr>
          <w:p w:rsidR="00EF06E3" w:rsidRDefault="00EF06E3" w:rsidP="00C50DD2">
            <w:pPr>
              <w:spacing w:before="40" w:after="40" w:line="240" w:lineRule="auto"/>
              <w:jc w:val="center"/>
            </w:pPr>
            <w:r>
              <w:t>53</w:t>
            </w:r>
          </w:p>
        </w:tc>
      </w:tr>
      <w:tr w:rsidR="00EF06E3" w:rsidTr="00EF06E3">
        <w:tc>
          <w:tcPr>
            <w:tcW w:w="1913" w:type="dxa"/>
            <w:vAlign w:val="center"/>
          </w:tcPr>
          <w:p w:rsidR="00EF06E3" w:rsidRDefault="00EF06E3" w:rsidP="00C50DD2">
            <w:pPr>
              <w:spacing w:before="40" w:after="40" w:line="240" w:lineRule="auto"/>
              <w:jc w:val="center"/>
            </w:pPr>
            <w:r>
              <w:t>750</w:t>
            </w:r>
          </w:p>
        </w:tc>
        <w:tc>
          <w:tcPr>
            <w:tcW w:w="1914" w:type="dxa"/>
            <w:vAlign w:val="center"/>
          </w:tcPr>
          <w:p w:rsidR="00EF06E3" w:rsidRDefault="00EF06E3" w:rsidP="00C50DD2">
            <w:pPr>
              <w:spacing w:before="40" w:after="40" w:line="240" w:lineRule="auto"/>
              <w:jc w:val="center"/>
            </w:pPr>
            <w:r>
              <w:t>49</w:t>
            </w:r>
          </w:p>
        </w:tc>
      </w:tr>
      <w:tr w:rsidR="00EF06E3" w:rsidTr="00EF06E3">
        <w:tc>
          <w:tcPr>
            <w:tcW w:w="1913" w:type="dxa"/>
            <w:vAlign w:val="center"/>
          </w:tcPr>
          <w:p w:rsidR="00EF06E3" w:rsidRDefault="00EF06E3" w:rsidP="00C50DD2">
            <w:pPr>
              <w:spacing w:before="40" w:after="40" w:line="240" w:lineRule="auto"/>
              <w:jc w:val="center"/>
            </w:pPr>
            <w:r>
              <w:t>1.000</w:t>
            </w:r>
          </w:p>
        </w:tc>
        <w:tc>
          <w:tcPr>
            <w:tcW w:w="1914" w:type="dxa"/>
            <w:vAlign w:val="center"/>
          </w:tcPr>
          <w:p w:rsidR="00EF06E3" w:rsidRDefault="00EF06E3" w:rsidP="00C50DD2">
            <w:pPr>
              <w:spacing w:before="40" w:after="40" w:line="240" w:lineRule="auto"/>
              <w:jc w:val="center"/>
            </w:pPr>
            <w:r>
              <w:t>47</w:t>
            </w:r>
          </w:p>
        </w:tc>
      </w:tr>
      <w:tr w:rsidR="00EF06E3" w:rsidTr="00EF06E3">
        <w:tc>
          <w:tcPr>
            <w:tcW w:w="1913" w:type="dxa"/>
            <w:vAlign w:val="center"/>
          </w:tcPr>
          <w:p w:rsidR="00EF06E3" w:rsidRDefault="00EF06E3" w:rsidP="00C50DD2">
            <w:pPr>
              <w:spacing w:before="40" w:after="40" w:line="240" w:lineRule="auto"/>
              <w:jc w:val="center"/>
            </w:pPr>
            <w:r>
              <w:t>1.250</w:t>
            </w:r>
          </w:p>
        </w:tc>
        <w:tc>
          <w:tcPr>
            <w:tcW w:w="1914" w:type="dxa"/>
            <w:vAlign w:val="center"/>
          </w:tcPr>
          <w:p w:rsidR="00EF06E3" w:rsidRDefault="00EF06E3" w:rsidP="00C50DD2">
            <w:pPr>
              <w:spacing w:before="40" w:after="40" w:line="240" w:lineRule="auto"/>
              <w:jc w:val="center"/>
            </w:pPr>
            <w:r>
              <w:t>45</w:t>
            </w:r>
          </w:p>
        </w:tc>
      </w:tr>
      <w:tr w:rsidR="00EF06E3" w:rsidTr="00EF06E3">
        <w:tc>
          <w:tcPr>
            <w:tcW w:w="1913" w:type="dxa"/>
            <w:vAlign w:val="center"/>
          </w:tcPr>
          <w:p w:rsidR="00EF06E3" w:rsidRDefault="00EF06E3" w:rsidP="00C50DD2">
            <w:pPr>
              <w:spacing w:before="40" w:after="40" w:line="240" w:lineRule="auto"/>
              <w:jc w:val="center"/>
            </w:pPr>
            <w:r>
              <w:t>1.500</w:t>
            </w:r>
          </w:p>
        </w:tc>
        <w:tc>
          <w:tcPr>
            <w:tcW w:w="1914" w:type="dxa"/>
            <w:vAlign w:val="center"/>
          </w:tcPr>
          <w:p w:rsidR="00EF06E3" w:rsidRDefault="00EF06E3" w:rsidP="00C50DD2">
            <w:pPr>
              <w:spacing w:before="40" w:after="40" w:line="240" w:lineRule="auto"/>
              <w:jc w:val="center"/>
            </w:pPr>
            <w:r>
              <w:t>43</w:t>
            </w:r>
          </w:p>
        </w:tc>
      </w:tr>
    </w:tbl>
    <w:p w:rsidR="00957CC3" w:rsidRDefault="00957CC3" w:rsidP="00957CC3">
      <w:pPr>
        <w:spacing w:before="120" w:after="120" w:line="240" w:lineRule="auto"/>
      </w:pPr>
      <w:r w:rsidRPr="00666A9B">
        <w:t xml:space="preserve">Em áreas com predominância residencial, considera-se como máximo admissível um ruído de 55 dB(A) durante o dia e 50 dB(A) à noite. Logo, pelos dados </w:t>
      </w:r>
      <w:r w:rsidRPr="00EF06E3">
        <w:t>d</w:t>
      </w:r>
      <w:r w:rsidR="00455ED9" w:rsidRPr="00EF06E3">
        <w:t>o</w:t>
      </w:r>
      <w:r w:rsidRPr="00EF06E3">
        <w:t xml:space="preserve"> </w:t>
      </w:r>
      <w:r w:rsidR="00455ED9" w:rsidRPr="00EF06E3">
        <w:t>Quadro</w:t>
      </w:r>
      <w:r w:rsidR="00CA7098" w:rsidRPr="00EF06E3">
        <w:t xml:space="preserve"> 1.3.87.</w:t>
      </w:r>
      <w:r w:rsidRPr="00EF06E3">
        <w:t xml:space="preserve"> observa</w:t>
      </w:r>
      <w:r w:rsidRPr="00666A9B">
        <w:t>-se que até uma distância de 400 m, durante o dia, e 700 m à noite, a operação de máquinas e equipamentos na obra</w:t>
      </w:r>
      <w:r>
        <w:t xml:space="preserve"> não</w:t>
      </w:r>
      <w:r w:rsidRPr="00666A9B">
        <w:t xml:space="preserve"> virá a prejudicar as condições de conforto acústico. Essas distâncias são válidas para condições de campo livre, sem obstáculos como morros, edificações, etc., representando</w:t>
      </w:r>
      <w:r w:rsidR="00CA7098">
        <w:t>,</w:t>
      </w:r>
      <w:r w:rsidRPr="00666A9B">
        <w:t xml:space="preserve"> portanto a máxima distância em que poderá haver quebra de conforto acústico em áreas ocupadas por residências.</w:t>
      </w:r>
    </w:p>
    <w:p w:rsidR="00E155C0" w:rsidRPr="00666A9B" w:rsidRDefault="00E155C0" w:rsidP="00957CC3">
      <w:pPr>
        <w:spacing w:before="120" w:after="120" w:line="240" w:lineRule="auto"/>
      </w:pPr>
    </w:p>
    <w:p w:rsidR="007A4FD2" w:rsidRDefault="007A4FD2" w:rsidP="00957CC3">
      <w:pPr>
        <w:pStyle w:val="NormalPargrafo"/>
        <w:spacing w:before="120" w:after="120" w:line="240" w:lineRule="auto"/>
      </w:pPr>
      <w:r w:rsidRPr="00666A9B">
        <w:t>Uma das características da poluição sonora é o seu imediatismo. Da mesma maneira que se inicia tão logo comecem as atividades ruidosas, também cessa no instante que es</w:t>
      </w:r>
      <w:r>
        <w:t>s</w:t>
      </w:r>
      <w:r w:rsidRPr="00666A9B">
        <w:t>as terminam. Logo, a reversibilidade do impacto ambiental é total e imediata. Trata-se portanto de impacto negativo, provável, localizado, de ocorrência a curto prazo, de incidência direta, reversível, temporário e de média magnitude.</w:t>
      </w:r>
    </w:p>
    <w:p w:rsidR="007A4FD2" w:rsidRPr="007D5D4F" w:rsidRDefault="00402E81" w:rsidP="007D5D4F">
      <w:pPr>
        <w:pStyle w:val="Legenda"/>
        <w:spacing w:line="240" w:lineRule="auto"/>
        <w:jc w:val="center"/>
        <w:rPr>
          <w:rFonts w:cs="Arial"/>
          <w:b w:val="0"/>
          <w:bCs/>
          <w:i w:val="0"/>
        </w:rPr>
      </w:pPr>
      <w:bookmarkStart w:id="410" w:name="_Toc420316532"/>
      <w:r w:rsidRPr="007D5D4F">
        <w:rPr>
          <w:i w:val="0"/>
        </w:rPr>
        <w:t xml:space="preserve">Quadro </w:t>
      </w:r>
      <w:r w:rsidR="00B80A05" w:rsidRPr="007D5D4F">
        <w:rPr>
          <w:i w:val="0"/>
        </w:rPr>
        <w:fldChar w:fldCharType="begin"/>
      </w:r>
      <w:r w:rsidRPr="007D5D4F">
        <w:rPr>
          <w:i w:val="0"/>
        </w:rPr>
        <w:instrText xml:space="preserve"> STYLEREF 2 \s </w:instrText>
      </w:r>
      <w:r w:rsidR="00B80A05" w:rsidRPr="007D5D4F">
        <w:rPr>
          <w:i w:val="0"/>
        </w:rPr>
        <w:fldChar w:fldCharType="separate"/>
      </w:r>
      <w:r w:rsidR="00316060">
        <w:rPr>
          <w:i w:val="0"/>
          <w:noProof/>
        </w:rPr>
        <w:t>1.3</w:t>
      </w:r>
      <w:r w:rsidR="00B80A05" w:rsidRPr="007D5D4F">
        <w:rPr>
          <w:i w:val="0"/>
        </w:rPr>
        <w:fldChar w:fldCharType="end"/>
      </w:r>
      <w:r w:rsidRPr="007D5D4F">
        <w:rPr>
          <w:i w:val="0"/>
        </w:rPr>
        <w:t>.</w:t>
      </w:r>
      <w:r w:rsidR="00B80A05" w:rsidRPr="007D5D4F">
        <w:rPr>
          <w:i w:val="0"/>
        </w:rPr>
        <w:fldChar w:fldCharType="begin"/>
      </w:r>
      <w:r w:rsidRPr="007D5D4F">
        <w:rPr>
          <w:i w:val="0"/>
        </w:rPr>
        <w:instrText xml:space="preserve"> SEQ Quadro \* ARABIC \s 2 </w:instrText>
      </w:r>
      <w:r w:rsidR="00B80A05" w:rsidRPr="007D5D4F">
        <w:rPr>
          <w:i w:val="0"/>
        </w:rPr>
        <w:fldChar w:fldCharType="separate"/>
      </w:r>
      <w:r w:rsidR="00316060">
        <w:rPr>
          <w:i w:val="0"/>
          <w:noProof/>
        </w:rPr>
        <w:t>89</w:t>
      </w:r>
      <w:r w:rsidR="00B80A05" w:rsidRPr="007D5D4F">
        <w:rPr>
          <w:i w:val="0"/>
        </w:rPr>
        <w:fldChar w:fldCharType="end"/>
      </w:r>
      <w:r w:rsidR="00EF06E3" w:rsidRPr="007D5D4F">
        <w:rPr>
          <w:i w:val="0"/>
        </w:rPr>
        <w:t>.</w:t>
      </w:r>
      <w:r w:rsidR="00EF06E3" w:rsidRPr="007D5D4F">
        <w:rPr>
          <w:b w:val="0"/>
          <w:i w:val="0"/>
        </w:rPr>
        <w:t xml:space="preserve"> - </w:t>
      </w:r>
      <w:r w:rsidR="007A4FD2" w:rsidRPr="007D5D4F">
        <w:rPr>
          <w:rFonts w:cs="Arial"/>
          <w:b w:val="0"/>
          <w:bCs/>
          <w:i w:val="0"/>
        </w:rPr>
        <w:t xml:space="preserve">Caracterização do Impacto – </w:t>
      </w:r>
      <w:r w:rsidR="007A4FD2" w:rsidRPr="007D5D4F">
        <w:rPr>
          <w:rFonts w:cs="Arial"/>
          <w:b w:val="0"/>
          <w:i w:val="0"/>
        </w:rPr>
        <w:t xml:space="preserve">Incômodos </w:t>
      </w:r>
      <w:r w:rsidR="007A4FD2" w:rsidRPr="007D5D4F">
        <w:rPr>
          <w:b w:val="0"/>
          <w:i w:val="0"/>
        </w:rPr>
        <w:t xml:space="preserve">devido à </w:t>
      </w:r>
      <w:r w:rsidR="002A725A" w:rsidRPr="007D5D4F">
        <w:rPr>
          <w:b w:val="0"/>
          <w:i w:val="0"/>
        </w:rPr>
        <w:t>A</w:t>
      </w:r>
      <w:r w:rsidR="007A4FD2" w:rsidRPr="007D5D4F">
        <w:rPr>
          <w:b w:val="0"/>
          <w:i w:val="0"/>
        </w:rPr>
        <w:t xml:space="preserve">lteração nos </w:t>
      </w:r>
      <w:r w:rsidR="002A725A" w:rsidRPr="007D5D4F">
        <w:rPr>
          <w:b w:val="0"/>
          <w:i w:val="0"/>
        </w:rPr>
        <w:t>N</w:t>
      </w:r>
      <w:r w:rsidR="007A4FD2" w:rsidRPr="007D5D4F">
        <w:rPr>
          <w:b w:val="0"/>
          <w:i w:val="0"/>
        </w:rPr>
        <w:t xml:space="preserve">íveis de </w:t>
      </w:r>
      <w:r w:rsidR="002A725A" w:rsidRPr="007D5D4F">
        <w:rPr>
          <w:b w:val="0"/>
          <w:i w:val="0"/>
        </w:rPr>
        <w:t>R</w:t>
      </w:r>
      <w:r w:rsidR="007A4FD2" w:rsidRPr="007D5D4F">
        <w:rPr>
          <w:b w:val="0"/>
          <w:i w:val="0"/>
        </w:rPr>
        <w:t>uído</w:t>
      </w:r>
      <w:r w:rsidR="00D866D8" w:rsidRPr="007D5D4F">
        <w:rPr>
          <w:b w:val="0"/>
          <w:i w:val="0"/>
        </w:rPr>
        <w:t xml:space="preserve"> -</w:t>
      </w:r>
      <w:r w:rsidR="00CA7098" w:rsidRPr="007D5D4F">
        <w:rPr>
          <w:b w:val="0"/>
          <w:i w:val="0"/>
        </w:rPr>
        <w:t xml:space="preserve"> </w:t>
      </w:r>
      <w:r w:rsidR="00957CC3" w:rsidRPr="007D5D4F">
        <w:rPr>
          <w:b w:val="0"/>
          <w:i w:val="0"/>
        </w:rPr>
        <w:t>Barragens Pedreira e Duas Pontes</w:t>
      </w:r>
      <w:bookmarkEnd w:id="410"/>
    </w:p>
    <w:tbl>
      <w:tblPr>
        <w:tblW w:w="0" w:type="auto"/>
        <w:jc w:val="center"/>
        <w:tblInd w:w="-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23"/>
        <w:gridCol w:w="1224"/>
        <w:gridCol w:w="1842"/>
        <w:gridCol w:w="1560"/>
        <w:gridCol w:w="3012"/>
      </w:tblGrid>
      <w:tr w:rsidR="007A4FD2" w:rsidRPr="00A43380" w:rsidTr="008204B6">
        <w:trPr>
          <w:trHeight w:val="514"/>
          <w:jc w:val="center"/>
        </w:trPr>
        <w:tc>
          <w:tcPr>
            <w:tcW w:w="1223" w:type="dxa"/>
            <w:shd w:val="clear" w:color="auto" w:fill="D9D9D9" w:themeFill="background1" w:themeFillShade="D9"/>
            <w:vAlign w:val="center"/>
          </w:tcPr>
          <w:p w:rsidR="007A4FD2" w:rsidRPr="00A43380" w:rsidRDefault="007A4FD2" w:rsidP="00957CC3">
            <w:pPr>
              <w:autoSpaceDE w:val="0"/>
              <w:autoSpaceDN w:val="0"/>
              <w:adjustRightInd w:val="0"/>
              <w:spacing w:line="240" w:lineRule="auto"/>
              <w:jc w:val="center"/>
              <w:rPr>
                <w:rFonts w:cs="Arial"/>
                <w:b/>
                <w:sz w:val="20"/>
              </w:rPr>
            </w:pPr>
            <w:r w:rsidRPr="00A43380">
              <w:rPr>
                <w:rFonts w:cs="Arial"/>
                <w:b/>
                <w:sz w:val="20"/>
              </w:rPr>
              <w:t>Natureza</w:t>
            </w:r>
          </w:p>
        </w:tc>
        <w:tc>
          <w:tcPr>
            <w:tcW w:w="1224" w:type="dxa"/>
            <w:shd w:val="clear" w:color="auto" w:fill="D9D9D9" w:themeFill="background1" w:themeFillShade="D9"/>
            <w:vAlign w:val="center"/>
          </w:tcPr>
          <w:p w:rsidR="007A4FD2" w:rsidRPr="00A43380" w:rsidRDefault="007A4FD2" w:rsidP="00957CC3">
            <w:pPr>
              <w:autoSpaceDE w:val="0"/>
              <w:autoSpaceDN w:val="0"/>
              <w:adjustRightInd w:val="0"/>
              <w:spacing w:line="240" w:lineRule="auto"/>
              <w:jc w:val="center"/>
              <w:rPr>
                <w:rFonts w:cs="Arial"/>
                <w:b/>
                <w:sz w:val="20"/>
              </w:rPr>
            </w:pPr>
            <w:r w:rsidRPr="00A43380">
              <w:rPr>
                <w:rFonts w:cs="Arial"/>
                <w:b/>
                <w:sz w:val="20"/>
              </w:rPr>
              <w:t>Ordem</w:t>
            </w:r>
          </w:p>
        </w:tc>
        <w:tc>
          <w:tcPr>
            <w:tcW w:w="1842" w:type="dxa"/>
            <w:shd w:val="clear" w:color="auto" w:fill="D9D9D9" w:themeFill="background1" w:themeFillShade="D9"/>
            <w:vAlign w:val="center"/>
          </w:tcPr>
          <w:p w:rsidR="007A4FD2" w:rsidRPr="00A43380" w:rsidRDefault="007A4FD2" w:rsidP="00957CC3">
            <w:pPr>
              <w:autoSpaceDE w:val="0"/>
              <w:autoSpaceDN w:val="0"/>
              <w:adjustRightInd w:val="0"/>
              <w:spacing w:line="240" w:lineRule="auto"/>
              <w:jc w:val="center"/>
              <w:rPr>
                <w:rFonts w:cs="Arial"/>
                <w:b/>
                <w:sz w:val="20"/>
              </w:rPr>
            </w:pPr>
            <w:r w:rsidRPr="00A43380">
              <w:rPr>
                <w:rFonts w:cs="Arial"/>
                <w:b/>
                <w:sz w:val="20"/>
              </w:rPr>
              <w:t>Abrangência</w:t>
            </w:r>
          </w:p>
        </w:tc>
        <w:tc>
          <w:tcPr>
            <w:tcW w:w="1560" w:type="dxa"/>
            <w:shd w:val="clear" w:color="auto" w:fill="D9D9D9" w:themeFill="background1" w:themeFillShade="D9"/>
            <w:vAlign w:val="center"/>
          </w:tcPr>
          <w:p w:rsidR="007A4FD2" w:rsidRPr="00A43380" w:rsidRDefault="007A4FD2" w:rsidP="00957CC3">
            <w:pPr>
              <w:autoSpaceDE w:val="0"/>
              <w:autoSpaceDN w:val="0"/>
              <w:adjustRightInd w:val="0"/>
              <w:spacing w:line="240" w:lineRule="auto"/>
              <w:jc w:val="center"/>
              <w:rPr>
                <w:rFonts w:cs="Arial"/>
                <w:b/>
                <w:sz w:val="20"/>
              </w:rPr>
            </w:pPr>
            <w:r w:rsidRPr="00A43380">
              <w:rPr>
                <w:rFonts w:cs="Arial"/>
                <w:b/>
                <w:sz w:val="20"/>
              </w:rPr>
              <w:t>Duração</w:t>
            </w:r>
          </w:p>
        </w:tc>
        <w:tc>
          <w:tcPr>
            <w:tcW w:w="3012" w:type="dxa"/>
            <w:shd w:val="clear" w:color="auto" w:fill="D9D9D9" w:themeFill="background1" w:themeFillShade="D9"/>
            <w:vAlign w:val="center"/>
          </w:tcPr>
          <w:p w:rsidR="007A4FD2" w:rsidRPr="00A43380" w:rsidRDefault="007A4FD2" w:rsidP="00957CC3">
            <w:pPr>
              <w:autoSpaceDE w:val="0"/>
              <w:autoSpaceDN w:val="0"/>
              <w:adjustRightInd w:val="0"/>
              <w:spacing w:line="240" w:lineRule="auto"/>
              <w:jc w:val="center"/>
              <w:rPr>
                <w:rFonts w:cs="Arial"/>
                <w:b/>
                <w:sz w:val="20"/>
              </w:rPr>
            </w:pPr>
            <w:r w:rsidRPr="00A43380">
              <w:rPr>
                <w:rFonts w:cs="Arial"/>
                <w:b/>
                <w:sz w:val="20"/>
              </w:rPr>
              <w:t>Probabilidade de Ocorrência</w:t>
            </w:r>
          </w:p>
        </w:tc>
      </w:tr>
      <w:tr w:rsidR="007A4FD2" w:rsidRPr="00A43380" w:rsidTr="000C6484">
        <w:trPr>
          <w:trHeight w:val="382"/>
          <w:jc w:val="center"/>
        </w:trPr>
        <w:tc>
          <w:tcPr>
            <w:tcW w:w="1223" w:type="dxa"/>
            <w:shd w:val="clear" w:color="auto" w:fill="auto"/>
            <w:vAlign w:val="center"/>
          </w:tcPr>
          <w:p w:rsidR="007A4FD2" w:rsidRPr="00D412A7" w:rsidRDefault="007A4FD2" w:rsidP="00957CC3">
            <w:pPr>
              <w:autoSpaceDE w:val="0"/>
              <w:autoSpaceDN w:val="0"/>
              <w:adjustRightInd w:val="0"/>
              <w:spacing w:line="240" w:lineRule="auto"/>
              <w:jc w:val="center"/>
              <w:rPr>
                <w:rFonts w:cs="Arial"/>
                <w:sz w:val="20"/>
              </w:rPr>
            </w:pPr>
            <w:r>
              <w:rPr>
                <w:rFonts w:cs="Arial"/>
                <w:sz w:val="20"/>
              </w:rPr>
              <w:t>Negativo</w:t>
            </w:r>
          </w:p>
        </w:tc>
        <w:tc>
          <w:tcPr>
            <w:tcW w:w="1224" w:type="dxa"/>
            <w:shd w:val="clear" w:color="auto" w:fill="auto"/>
            <w:vAlign w:val="center"/>
          </w:tcPr>
          <w:p w:rsidR="007A4FD2" w:rsidRPr="00D412A7" w:rsidRDefault="007A4FD2" w:rsidP="00957CC3">
            <w:pPr>
              <w:autoSpaceDE w:val="0"/>
              <w:autoSpaceDN w:val="0"/>
              <w:adjustRightInd w:val="0"/>
              <w:spacing w:line="240" w:lineRule="auto"/>
              <w:jc w:val="center"/>
              <w:rPr>
                <w:rFonts w:cs="Arial"/>
                <w:sz w:val="20"/>
              </w:rPr>
            </w:pPr>
            <w:r>
              <w:rPr>
                <w:rFonts w:cs="Arial"/>
                <w:sz w:val="20"/>
              </w:rPr>
              <w:t>Direto</w:t>
            </w:r>
          </w:p>
        </w:tc>
        <w:tc>
          <w:tcPr>
            <w:tcW w:w="1842" w:type="dxa"/>
            <w:shd w:val="clear" w:color="auto" w:fill="auto"/>
            <w:vAlign w:val="center"/>
          </w:tcPr>
          <w:p w:rsidR="007A4FD2" w:rsidRPr="00D412A7" w:rsidRDefault="007A4FD2" w:rsidP="00957CC3">
            <w:pPr>
              <w:autoSpaceDE w:val="0"/>
              <w:autoSpaceDN w:val="0"/>
              <w:adjustRightInd w:val="0"/>
              <w:spacing w:line="240" w:lineRule="auto"/>
              <w:jc w:val="center"/>
              <w:rPr>
                <w:rFonts w:cs="Arial"/>
                <w:sz w:val="20"/>
              </w:rPr>
            </w:pPr>
            <w:r>
              <w:rPr>
                <w:rFonts w:cs="Arial"/>
                <w:sz w:val="20"/>
              </w:rPr>
              <w:t>Local</w:t>
            </w:r>
          </w:p>
        </w:tc>
        <w:tc>
          <w:tcPr>
            <w:tcW w:w="1560" w:type="dxa"/>
            <w:shd w:val="clear" w:color="auto" w:fill="auto"/>
            <w:vAlign w:val="center"/>
          </w:tcPr>
          <w:p w:rsidR="007A4FD2" w:rsidRPr="00D412A7" w:rsidRDefault="007A4FD2" w:rsidP="00957CC3">
            <w:pPr>
              <w:autoSpaceDE w:val="0"/>
              <w:autoSpaceDN w:val="0"/>
              <w:adjustRightInd w:val="0"/>
              <w:spacing w:line="240" w:lineRule="auto"/>
              <w:jc w:val="center"/>
              <w:rPr>
                <w:rFonts w:cs="Arial"/>
                <w:sz w:val="20"/>
              </w:rPr>
            </w:pPr>
            <w:r>
              <w:rPr>
                <w:rFonts w:cs="Arial"/>
                <w:sz w:val="20"/>
              </w:rPr>
              <w:t>Temporário</w:t>
            </w:r>
          </w:p>
        </w:tc>
        <w:tc>
          <w:tcPr>
            <w:tcW w:w="3012" w:type="dxa"/>
            <w:shd w:val="clear" w:color="auto" w:fill="auto"/>
            <w:vAlign w:val="center"/>
          </w:tcPr>
          <w:p w:rsidR="007A4FD2" w:rsidRPr="00D412A7" w:rsidRDefault="007A4FD2" w:rsidP="00957CC3">
            <w:pPr>
              <w:autoSpaceDE w:val="0"/>
              <w:autoSpaceDN w:val="0"/>
              <w:adjustRightInd w:val="0"/>
              <w:spacing w:line="240" w:lineRule="auto"/>
              <w:jc w:val="center"/>
              <w:rPr>
                <w:rFonts w:cs="Arial"/>
                <w:sz w:val="20"/>
              </w:rPr>
            </w:pPr>
            <w:r>
              <w:rPr>
                <w:rFonts w:cs="Arial"/>
                <w:sz w:val="20"/>
              </w:rPr>
              <w:t>Provável</w:t>
            </w:r>
          </w:p>
        </w:tc>
      </w:tr>
    </w:tbl>
    <w:p w:rsidR="007A4FD2" w:rsidRPr="00A43380" w:rsidRDefault="007A4FD2" w:rsidP="00957CC3">
      <w:pPr>
        <w:autoSpaceDE w:val="0"/>
        <w:autoSpaceDN w:val="0"/>
        <w:adjustRightInd w:val="0"/>
        <w:spacing w:line="240" w:lineRule="auto"/>
        <w:jc w:val="center"/>
        <w:rPr>
          <w:rFonts w:cs="Arial"/>
          <w:sz w:val="20"/>
        </w:rPr>
      </w:pPr>
    </w:p>
    <w:tbl>
      <w:tblPr>
        <w:tblW w:w="0" w:type="auto"/>
        <w:jc w:val="center"/>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53"/>
        <w:gridCol w:w="1842"/>
        <w:gridCol w:w="1560"/>
        <w:gridCol w:w="1509"/>
        <w:gridCol w:w="1509"/>
      </w:tblGrid>
      <w:tr w:rsidR="007A4FD2" w:rsidRPr="00A43380" w:rsidTr="008204B6">
        <w:trPr>
          <w:trHeight w:val="397"/>
          <w:jc w:val="center"/>
        </w:trPr>
        <w:tc>
          <w:tcPr>
            <w:tcW w:w="2453" w:type="dxa"/>
            <w:shd w:val="clear" w:color="auto" w:fill="D9D9D9" w:themeFill="background1" w:themeFillShade="D9"/>
            <w:vAlign w:val="center"/>
          </w:tcPr>
          <w:p w:rsidR="007A4FD2" w:rsidRPr="00A43380" w:rsidRDefault="007A4FD2" w:rsidP="00957CC3">
            <w:pPr>
              <w:autoSpaceDE w:val="0"/>
              <w:autoSpaceDN w:val="0"/>
              <w:adjustRightInd w:val="0"/>
              <w:spacing w:line="240" w:lineRule="auto"/>
              <w:jc w:val="center"/>
              <w:rPr>
                <w:rFonts w:cs="Arial"/>
                <w:b/>
                <w:sz w:val="20"/>
              </w:rPr>
            </w:pPr>
            <w:r w:rsidRPr="00A43380">
              <w:rPr>
                <w:rFonts w:cs="Arial"/>
                <w:b/>
                <w:sz w:val="20"/>
              </w:rPr>
              <w:t>Época de Ocorrência</w:t>
            </w:r>
          </w:p>
        </w:tc>
        <w:tc>
          <w:tcPr>
            <w:tcW w:w="1842" w:type="dxa"/>
            <w:shd w:val="clear" w:color="auto" w:fill="D9D9D9" w:themeFill="background1" w:themeFillShade="D9"/>
            <w:vAlign w:val="center"/>
          </w:tcPr>
          <w:p w:rsidR="007A4FD2" w:rsidRPr="00A43380" w:rsidRDefault="007A4FD2" w:rsidP="00957CC3">
            <w:pPr>
              <w:autoSpaceDE w:val="0"/>
              <w:autoSpaceDN w:val="0"/>
              <w:adjustRightInd w:val="0"/>
              <w:spacing w:line="240" w:lineRule="auto"/>
              <w:jc w:val="center"/>
              <w:rPr>
                <w:rFonts w:cs="Arial"/>
                <w:b/>
                <w:sz w:val="20"/>
              </w:rPr>
            </w:pPr>
            <w:r w:rsidRPr="00A43380">
              <w:rPr>
                <w:rFonts w:cs="Arial"/>
                <w:b/>
                <w:sz w:val="20"/>
              </w:rPr>
              <w:t>Reversibilidade</w:t>
            </w:r>
          </w:p>
        </w:tc>
        <w:tc>
          <w:tcPr>
            <w:tcW w:w="1560" w:type="dxa"/>
            <w:shd w:val="clear" w:color="auto" w:fill="D9D9D9" w:themeFill="background1" w:themeFillShade="D9"/>
            <w:vAlign w:val="center"/>
          </w:tcPr>
          <w:p w:rsidR="007A4FD2" w:rsidRPr="00A43380" w:rsidRDefault="007A4FD2" w:rsidP="00957CC3">
            <w:pPr>
              <w:autoSpaceDE w:val="0"/>
              <w:autoSpaceDN w:val="0"/>
              <w:adjustRightInd w:val="0"/>
              <w:spacing w:line="240" w:lineRule="auto"/>
              <w:jc w:val="center"/>
              <w:rPr>
                <w:rFonts w:cs="Arial"/>
                <w:b/>
                <w:sz w:val="20"/>
              </w:rPr>
            </w:pPr>
            <w:r w:rsidRPr="00A43380">
              <w:rPr>
                <w:rFonts w:cs="Arial"/>
                <w:b/>
                <w:sz w:val="20"/>
              </w:rPr>
              <w:t>Magnitude</w:t>
            </w:r>
          </w:p>
        </w:tc>
        <w:tc>
          <w:tcPr>
            <w:tcW w:w="1509" w:type="dxa"/>
            <w:shd w:val="clear" w:color="auto" w:fill="D9D9D9" w:themeFill="background1" w:themeFillShade="D9"/>
            <w:vAlign w:val="center"/>
          </w:tcPr>
          <w:p w:rsidR="007A4FD2" w:rsidRPr="00A43380" w:rsidRDefault="007A4FD2" w:rsidP="00957CC3">
            <w:pPr>
              <w:autoSpaceDE w:val="0"/>
              <w:autoSpaceDN w:val="0"/>
              <w:adjustRightInd w:val="0"/>
              <w:spacing w:line="240" w:lineRule="auto"/>
              <w:jc w:val="center"/>
              <w:rPr>
                <w:rFonts w:cs="Arial"/>
                <w:b/>
                <w:sz w:val="20"/>
              </w:rPr>
            </w:pPr>
            <w:r w:rsidRPr="00A43380">
              <w:rPr>
                <w:rFonts w:cs="Arial"/>
                <w:b/>
                <w:sz w:val="20"/>
              </w:rPr>
              <w:t>Importância</w:t>
            </w:r>
          </w:p>
        </w:tc>
        <w:tc>
          <w:tcPr>
            <w:tcW w:w="1509" w:type="dxa"/>
            <w:shd w:val="clear" w:color="auto" w:fill="D9D9D9" w:themeFill="background1" w:themeFillShade="D9"/>
            <w:vAlign w:val="center"/>
          </w:tcPr>
          <w:p w:rsidR="007A4FD2" w:rsidRPr="00A43380" w:rsidRDefault="007A4FD2" w:rsidP="00957CC3">
            <w:pPr>
              <w:autoSpaceDE w:val="0"/>
              <w:autoSpaceDN w:val="0"/>
              <w:adjustRightInd w:val="0"/>
              <w:spacing w:line="240" w:lineRule="auto"/>
              <w:jc w:val="center"/>
              <w:rPr>
                <w:rFonts w:cs="Arial"/>
                <w:b/>
                <w:sz w:val="20"/>
              </w:rPr>
            </w:pPr>
            <w:r w:rsidRPr="00A43380">
              <w:rPr>
                <w:rFonts w:cs="Arial"/>
                <w:b/>
                <w:sz w:val="20"/>
              </w:rPr>
              <w:t>Mitigação</w:t>
            </w:r>
          </w:p>
        </w:tc>
      </w:tr>
      <w:tr w:rsidR="007A4FD2" w:rsidRPr="00A43380" w:rsidTr="000C6484">
        <w:trPr>
          <w:trHeight w:val="413"/>
          <w:jc w:val="center"/>
        </w:trPr>
        <w:tc>
          <w:tcPr>
            <w:tcW w:w="2453" w:type="dxa"/>
            <w:shd w:val="clear" w:color="auto" w:fill="auto"/>
            <w:vAlign w:val="center"/>
          </w:tcPr>
          <w:p w:rsidR="007A4FD2" w:rsidRPr="00D412A7" w:rsidRDefault="007A4FD2" w:rsidP="00957CC3">
            <w:pPr>
              <w:autoSpaceDE w:val="0"/>
              <w:autoSpaceDN w:val="0"/>
              <w:adjustRightInd w:val="0"/>
              <w:spacing w:line="240" w:lineRule="auto"/>
              <w:jc w:val="center"/>
              <w:rPr>
                <w:rFonts w:cs="Arial"/>
                <w:sz w:val="20"/>
              </w:rPr>
            </w:pPr>
            <w:r>
              <w:rPr>
                <w:rFonts w:cs="Arial"/>
                <w:sz w:val="20"/>
              </w:rPr>
              <w:t>Curto Prazo</w:t>
            </w:r>
          </w:p>
        </w:tc>
        <w:tc>
          <w:tcPr>
            <w:tcW w:w="1842" w:type="dxa"/>
            <w:shd w:val="clear" w:color="auto" w:fill="auto"/>
            <w:vAlign w:val="center"/>
          </w:tcPr>
          <w:p w:rsidR="007A4FD2" w:rsidRPr="00D412A7" w:rsidRDefault="007A4FD2" w:rsidP="00957CC3">
            <w:pPr>
              <w:autoSpaceDE w:val="0"/>
              <w:autoSpaceDN w:val="0"/>
              <w:adjustRightInd w:val="0"/>
              <w:spacing w:line="240" w:lineRule="auto"/>
              <w:jc w:val="center"/>
              <w:rPr>
                <w:rFonts w:cs="Arial"/>
                <w:sz w:val="20"/>
              </w:rPr>
            </w:pPr>
            <w:r>
              <w:rPr>
                <w:rFonts w:cs="Arial"/>
                <w:sz w:val="20"/>
              </w:rPr>
              <w:t>Reversível</w:t>
            </w:r>
          </w:p>
        </w:tc>
        <w:tc>
          <w:tcPr>
            <w:tcW w:w="1560" w:type="dxa"/>
            <w:shd w:val="clear" w:color="auto" w:fill="auto"/>
            <w:vAlign w:val="center"/>
          </w:tcPr>
          <w:p w:rsidR="007A4FD2" w:rsidRPr="00535D8B" w:rsidRDefault="007A4FD2" w:rsidP="00957CC3">
            <w:pPr>
              <w:autoSpaceDE w:val="0"/>
              <w:autoSpaceDN w:val="0"/>
              <w:adjustRightInd w:val="0"/>
              <w:spacing w:line="240" w:lineRule="auto"/>
              <w:jc w:val="center"/>
              <w:rPr>
                <w:rFonts w:cs="Arial"/>
                <w:sz w:val="20"/>
              </w:rPr>
            </w:pPr>
            <w:r>
              <w:rPr>
                <w:rFonts w:cs="Arial"/>
                <w:sz w:val="20"/>
              </w:rPr>
              <w:t>Média</w:t>
            </w:r>
          </w:p>
        </w:tc>
        <w:tc>
          <w:tcPr>
            <w:tcW w:w="1509" w:type="dxa"/>
            <w:shd w:val="clear" w:color="auto" w:fill="auto"/>
            <w:vAlign w:val="center"/>
          </w:tcPr>
          <w:p w:rsidR="007A4FD2" w:rsidRPr="00535D8B" w:rsidRDefault="007A4FD2" w:rsidP="00957CC3">
            <w:pPr>
              <w:autoSpaceDE w:val="0"/>
              <w:autoSpaceDN w:val="0"/>
              <w:adjustRightInd w:val="0"/>
              <w:spacing w:line="240" w:lineRule="auto"/>
              <w:jc w:val="center"/>
              <w:rPr>
                <w:rFonts w:cs="Arial"/>
                <w:sz w:val="20"/>
              </w:rPr>
            </w:pPr>
            <w:r>
              <w:rPr>
                <w:rFonts w:cs="Arial"/>
                <w:sz w:val="20"/>
              </w:rPr>
              <w:t>Baixa</w:t>
            </w:r>
          </w:p>
        </w:tc>
        <w:tc>
          <w:tcPr>
            <w:tcW w:w="1509" w:type="dxa"/>
            <w:shd w:val="clear" w:color="auto" w:fill="auto"/>
            <w:vAlign w:val="center"/>
          </w:tcPr>
          <w:p w:rsidR="007A4FD2" w:rsidRPr="00535D8B" w:rsidRDefault="007A4FD2" w:rsidP="00957CC3">
            <w:pPr>
              <w:autoSpaceDE w:val="0"/>
              <w:autoSpaceDN w:val="0"/>
              <w:adjustRightInd w:val="0"/>
              <w:spacing w:line="240" w:lineRule="auto"/>
              <w:jc w:val="center"/>
              <w:rPr>
                <w:rFonts w:cs="Arial"/>
                <w:sz w:val="20"/>
              </w:rPr>
            </w:pPr>
            <w:r>
              <w:rPr>
                <w:rFonts w:cs="Arial"/>
                <w:sz w:val="20"/>
              </w:rPr>
              <w:t>Mitigável</w:t>
            </w:r>
          </w:p>
        </w:tc>
      </w:tr>
    </w:tbl>
    <w:p w:rsidR="007A4FD2" w:rsidRPr="00683EFB" w:rsidRDefault="007A4FD2" w:rsidP="008F7C9E">
      <w:pPr>
        <w:spacing w:before="240" w:after="120" w:line="240" w:lineRule="auto"/>
        <w:rPr>
          <w:b/>
        </w:rPr>
      </w:pPr>
      <w:r w:rsidRPr="00683EFB">
        <w:rPr>
          <w:b/>
        </w:rPr>
        <w:t>Ações Ambientais Propostas</w:t>
      </w:r>
    </w:p>
    <w:p w:rsidR="007A4FD2" w:rsidRPr="00957CC3" w:rsidRDefault="007A4FD2" w:rsidP="00957CC3">
      <w:pPr>
        <w:pStyle w:val="NormalPargrafo"/>
        <w:spacing w:before="120" w:after="120" w:line="240" w:lineRule="auto"/>
        <w:rPr>
          <w:rFonts w:cs="Arial"/>
          <w:szCs w:val="22"/>
        </w:rPr>
      </w:pPr>
      <w:r w:rsidRPr="00957CC3">
        <w:rPr>
          <w:rFonts w:cs="Arial"/>
          <w:szCs w:val="22"/>
        </w:rPr>
        <w:t>Recomenda-se, como medida mitigadora, que os canteiros de obras e atividades fixas sejam instalados em locais a mais de 700m de residências, bem como as atividades noturnas sejam evitadas nessa distância. Com essas medidas, o impacto do ruído de obras no período noturno pode ser totalmente controlado, passando a baixa relevância, se considerado apenas o período diurno.</w:t>
      </w:r>
    </w:p>
    <w:p w:rsidR="007A4FD2" w:rsidRPr="00957CC3" w:rsidRDefault="007A4FD2" w:rsidP="00957CC3">
      <w:pPr>
        <w:spacing w:before="120" w:after="120" w:line="240" w:lineRule="auto"/>
        <w:rPr>
          <w:rFonts w:cs="Arial"/>
          <w:szCs w:val="22"/>
        </w:rPr>
      </w:pPr>
      <w:r w:rsidRPr="00957CC3">
        <w:rPr>
          <w:rFonts w:cs="Arial"/>
          <w:szCs w:val="22"/>
        </w:rPr>
        <w:t>Ações preventivas cabíveis: utilização de equipamentos com especificações técnicas rigorosas com relação à emissão de ruídos, adotando-se a melhor tecnologia disponível; manutenção e regulagem periódicas das máquinas e equipamentos utilizados na obra, além da fiscalização dos veículos para a verificação do nível de ruídos e a manutenção das características originais do sistema de escapamento; limitar as obras ao período diurno.</w:t>
      </w:r>
    </w:p>
    <w:p w:rsidR="002A725A" w:rsidRPr="00CA7098" w:rsidRDefault="002A725A" w:rsidP="00431A97">
      <w:pPr>
        <w:numPr>
          <w:ilvl w:val="0"/>
          <w:numId w:val="65"/>
        </w:numPr>
        <w:spacing w:before="120" w:after="120" w:line="240" w:lineRule="auto"/>
        <w:ind w:left="567" w:hanging="567"/>
        <w:rPr>
          <w:rFonts w:cs="Arial"/>
          <w:b/>
          <w:szCs w:val="22"/>
        </w:rPr>
      </w:pPr>
      <w:r w:rsidRPr="002A725A">
        <w:rPr>
          <w:rFonts w:cs="Arial"/>
          <w:b/>
          <w:bCs/>
        </w:rPr>
        <w:t>Incômodos devido à Disposição Inadequada de Resíduos Sólidos</w:t>
      </w:r>
    </w:p>
    <w:p w:rsidR="00CA7098" w:rsidRPr="002A725A" w:rsidRDefault="00CA7098" w:rsidP="00CA7098">
      <w:pPr>
        <w:spacing w:before="120" w:after="120" w:line="240" w:lineRule="auto"/>
        <w:rPr>
          <w:rFonts w:cs="Arial"/>
          <w:b/>
          <w:szCs w:val="22"/>
        </w:rPr>
      </w:pPr>
      <w:r w:rsidRPr="00CA7098">
        <w:rPr>
          <w:rFonts w:cs="Arial"/>
          <w:b/>
          <w:szCs w:val="22"/>
        </w:rPr>
        <w:t>Fase: Implantação</w:t>
      </w:r>
    </w:p>
    <w:p w:rsidR="007A4FD2" w:rsidRPr="00957CC3" w:rsidRDefault="007A4FD2" w:rsidP="00957CC3">
      <w:pPr>
        <w:spacing w:before="120" w:after="120" w:line="240" w:lineRule="auto"/>
        <w:rPr>
          <w:rFonts w:cs="Arial"/>
          <w:szCs w:val="22"/>
        </w:rPr>
      </w:pPr>
      <w:r w:rsidRPr="00957CC3">
        <w:rPr>
          <w:rFonts w:cs="Arial"/>
          <w:szCs w:val="22"/>
        </w:rPr>
        <w:t>Durante o período das obras de implantação das barragens serão gerados resíduos sólidos domésticos (refeitório, sanitários e escritório) e industriais (embalagens dos equipamentos - papel, plástico e metais/sucata). Serão gerados, ainda, resíduos decorrentes da manutenção de equipamentos, como, por exemplo, material contaminado com óleos e graxas.</w:t>
      </w:r>
    </w:p>
    <w:p w:rsidR="007A4FD2" w:rsidRPr="00957CC3" w:rsidRDefault="007A4FD2" w:rsidP="00957CC3">
      <w:pPr>
        <w:spacing w:before="120" w:after="120" w:line="240" w:lineRule="auto"/>
        <w:rPr>
          <w:rFonts w:cs="Arial"/>
          <w:szCs w:val="22"/>
        </w:rPr>
      </w:pPr>
      <w:r w:rsidRPr="00957CC3">
        <w:rPr>
          <w:rFonts w:cs="Arial"/>
          <w:szCs w:val="22"/>
        </w:rPr>
        <w:t xml:space="preserve">Na área onde </w:t>
      </w:r>
      <w:r w:rsidR="004904F8">
        <w:rPr>
          <w:rFonts w:cs="Arial"/>
          <w:szCs w:val="22"/>
        </w:rPr>
        <w:t>será instalado</w:t>
      </w:r>
      <w:r w:rsidRPr="00957CC3">
        <w:rPr>
          <w:rFonts w:cs="Arial"/>
          <w:szCs w:val="22"/>
        </w:rPr>
        <w:t xml:space="preserve"> o canteiro de obras, as estruturas deverão ser implantadas conforme </w:t>
      </w:r>
      <w:r w:rsidRPr="000C6484">
        <w:rPr>
          <w:rFonts w:cs="Arial"/>
          <w:szCs w:val="22"/>
        </w:rPr>
        <w:t xml:space="preserve">o Programa de </w:t>
      </w:r>
      <w:r w:rsidR="000C6484" w:rsidRPr="000C6484">
        <w:rPr>
          <w:rFonts w:cs="Arial"/>
          <w:szCs w:val="22"/>
        </w:rPr>
        <w:t>Controle Ambiental da Obra.</w:t>
      </w:r>
    </w:p>
    <w:p w:rsidR="007A4FD2" w:rsidRPr="006920CA" w:rsidRDefault="007A4FD2" w:rsidP="004904F8">
      <w:pPr>
        <w:spacing w:before="120" w:after="120" w:line="240" w:lineRule="auto"/>
        <w:rPr>
          <w:rFonts w:cs="Arial"/>
        </w:rPr>
      </w:pPr>
      <w:r w:rsidRPr="006920CA">
        <w:rPr>
          <w:rFonts w:cs="Arial"/>
        </w:rPr>
        <w:t xml:space="preserve">O eventual acúmulo de lixo e sucata na área do canteiro, além de estocagem de materiais de modo inadequado, </w:t>
      </w:r>
      <w:r w:rsidR="00CA7098" w:rsidRPr="006920CA">
        <w:rPr>
          <w:rFonts w:cs="Arial"/>
        </w:rPr>
        <w:t>pode</w:t>
      </w:r>
      <w:r w:rsidR="00CA7098">
        <w:rPr>
          <w:rFonts w:cs="Arial"/>
        </w:rPr>
        <w:t xml:space="preserve"> atuar</w:t>
      </w:r>
      <w:r w:rsidRPr="006920CA">
        <w:rPr>
          <w:rFonts w:cs="Arial"/>
        </w:rPr>
        <w:t xml:space="preserve"> como um agente de atração de espécies sinantrópicas, dentre as quais</w:t>
      </w:r>
      <w:r>
        <w:rPr>
          <w:rFonts w:cs="Arial"/>
        </w:rPr>
        <w:t xml:space="preserve"> se</w:t>
      </w:r>
      <w:r w:rsidRPr="006920CA">
        <w:rPr>
          <w:rFonts w:cs="Arial"/>
        </w:rPr>
        <w:t xml:space="preserve"> incluem roedores que atuam como vetores de agentes etiológicos de diversas doenças.</w:t>
      </w:r>
    </w:p>
    <w:p w:rsidR="007A4FD2" w:rsidRDefault="007A4FD2" w:rsidP="004904F8">
      <w:pPr>
        <w:spacing w:before="120" w:after="120" w:line="240" w:lineRule="auto"/>
        <w:rPr>
          <w:rFonts w:cs="Arial"/>
        </w:rPr>
      </w:pPr>
      <w:r w:rsidRPr="006920CA">
        <w:rPr>
          <w:rFonts w:cs="Arial"/>
        </w:rPr>
        <w:t>Do mesmo modo, os resíduos que não forem acondicionados e armazenados corretamente poderão contaminar o solo e as águas subterrâneas</w:t>
      </w:r>
      <w:r>
        <w:rPr>
          <w:rFonts w:cs="Arial"/>
        </w:rPr>
        <w:t>,</w:t>
      </w:r>
      <w:r w:rsidRPr="006920CA">
        <w:rPr>
          <w:rFonts w:cs="Arial"/>
        </w:rPr>
        <w:t xml:space="preserve"> alterando assim a qualidade ambiental.</w:t>
      </w:r>
    </w:p>
    <w:p w:rsidR="007A4FD2" w:rsidRDefault="007A4FD2" w:rsidP="004904F8">
      <w:pPr>
        <w:spacing w:before="120" w:after="120" w:line="240" w:lineRule="auto"/>
      </w:pPr>
      <w:r>
        <w:t xml:space="preserve">Trata-se de um impacto negativo, mitigável, desde que tomadas as precauções devidas, direto, localizado nas áreas dos canteiros e afins, temporário, a durar durantes as obras, de curto prazo e reversível e sua magnitude é média. </w:t>
      </w:r>
    </w:p>
    <w:p w:rsidR="00E155C0" w:rsidRDefault="00E155C0" w:rsidP="004904F8">
      <w:pPr>
        <w:spacing w:before="120" w:after="120" w:line="240" w:lineRule="auto"/>
      </w:pPr>
      <w:r>
        <w:br w:type="page"/>
      </w:r>
    </w:p>
    <w:p w:rsidR="007D5D4F" w:rsidRDefault="007D5D4F" w:rsidP="004904F8">
      <w:pPr>
        <w:spacing w:before="120" w:after="120" w:line="240" w:lineRule="auto"/>
      </w:pPr>
    </w:p>
    <w:p w:rsidR="007A4FD2" w:rsidRPr="007D5D4F" w:rsidRDefault="00402E81" w:rsidP="007D5D4F">
      <w:pPr>
        <w:pStyle w:val="Legenda"/>
        <w:spacing w:line="240" w:lineRule="auto"/>
        <w:jc w:val="center"/>
        <w:rPr>
          <w:rFonts w:cs="Arial"/>
          <w:b w:val="0"/>
          <w:bCs/>
          <w:i w:val="0"/>
        </w:rPr>
      </w:pPr>
      <w:bookmarkStart w:id="411" w:name="_Toc420316533"/>
      <w:r w:rsidRPr="007D5D4F">
        <w:rPr>
          <w:i w:val="0"/>
        </w:rPr>
        <w:t xml:space="preserve">Quadro </w:t>
      </w:r>
      <w:r w:rsidR="00B80A05" w:rsidRPr="007D5D4F">
        <w:rPr>
          <w:i w:val="0"/>
        </w:rPr>
        <w:fldChar w:fldCharType="begin"/>
      </w:r>
      <w:r w:rsidRPr="007D5D4F">
        <w:rPr>
          <w:i w:val="0"/>
        </w:rPr>
        <w:instrText xml:space="preserve"> STYLEREF 2 \s </w:instrText>
      </w:r>
      <w:r w:rsidR="00B80A05" w:rsidRPr="007D5D4F">
        <w:rPr>
          <w:i w:val="0"/>
        </w:rPr>
        <w:fldChar w:fldCharType="separate"/>
      </w:r>
      <w:r w:rsidR="00316060">
        <w:rPr>
          <w:i w:val="0"/>
          <w:noProof/>
        </w:rPr>
        <w:t>1.3</w:t>
      </w:r>
      <w:r w:rsidR="00B80A05" w:rsidRPr="007D5D4F">
        <w:rPr>
          <w:i w:val="0"/>
        </w:rPr>
        <w:fldChar w:fldCharType="end"/>
      </w:r>
      <w:r w:rsidRPr="007D5D4F">
        <w:rPr>
          <w:i w:val="0"/>
        </w:rPr>
        <w:t>.</w:t>
      </w:r>
      <w:r w:rsidR="00B80A05" w:rsidRPr="007D5D4F">
        <w:rPr>
          <w:i w:val="0"/>
        </w:rPr>
        <w:fldChar w:fldCharType="begin"/>
      </w:r>
      <w:r w:rsidRPr="007D5D4F">
        <w:rPr>
          <w:i w:val="0"/>
        </w:rPr>
        <w:instrText xml:space="preserve"> SEQ Quadro \* ARABIC \s 2 </w:instrText>
      </w:r>
      <w:r w:rsidR="00B80A05" w:rsidRPr="007D5D4F">
        <w:rPr>
          <w:i w:val="0"/>
        </w:rPr>
        <w:fldChar w:fldCharType="separate"/>
      </w:r>
      <w:r w:rsidR="00316060">
        <w:rPr>
          <w:i w:val="0"/>
          <w:noProof/>
        </w:rPr>
        <w:t>90</w:t>
      </w:r>
      <w:r w:rsidR="00B80A05" w:rsidRPr="007D5D4F">
        <w:rPr>
          <w:i w:val="0"/>
        </w:rPr>
        <w:fldChar w:fldCharType="end"/>
      </w:r>
      <w:r w:rsidR="007D5D4F" w:rsidRPr="007D5D4F">
        <w:rPr>
          <w:i w:val="0"/>
        </w:rPr>
        <w:t>.</w:t>
      </w:r>
      <w:r w:rsidR="007D5D4F" w:rsidRPr="007D5D4F">
        <w:rPr>
          <w:b w:val="0"/>
          <w:i w:val="0"/>
        </w:rPr>
        <w:t xml:space="preserve"> - </w:t>
      </w:r>
      <w:r w:rsidR="007A4FD2" w:rsidRPr="007D5D4F">
        <w:rPr>
          <w:rFonts w:cs="Arial"/>
          <w:b w:val="0"/>
          <w:bCs/>
          <w:i w:val="0"/>
        </w:rPr>
        <w:t xml:space="preserve">Caracterização do Impacto – </w:t>
      </w:r>
      <w:r w:rsidR="007A4FD2" w:rsidRPr="007D5D4F">
        <w:rPr>
          <w:rFonts w:cs="Arial"/>
          <w:b w:val="0"/>
          <w:i w:val="0"/>
        </w:rPr>
        <w:t xml:space="preserve">Incômodos </w:t>
      </w:r>
      <w:r w:rsidR="007A4FD2" w:rsidRPr="007D5D4F">
        <w:rPr>
          <w:b w:val="0"/>
          <w:i w:val="0"/>
        </w:rPr>
        <w:t xml:space="preserve">devido à </w:t>
      </w:r>
      <w:r w:rsidR="002A725A" w:rsidRPr="007D5D4F">
        <w:rPr>
          <w:rFonts w:cs="Arial"/>
          <w:b w:val="0"/>
          <w:i w:val="0"/>
        </w:rPr>
        <w:t>D</w:t>
      </w:r>
      <w:r w:rsidR="007A4FD2" w:rsidRPr="007D5D4F">
        <w:rPr>
          <w:rFonts w:cs="Arial"/>
          <w:b w:val="0"/>
          <w:i w:val="0"/>
        </w:rPr>
        <w:t xml:space="preserve">isposição </w:t>
      </w:r>
      <w:r w:rsidR="002A725A" w:rsidRPr="007D5D4F">
        <w:rPr>
          <w:rFonts w:cs="Arial"/>
          <w:b w:val="0"/>
          <w:i w:val="0"/>
        </w:rPr>
        <w:t>I</w:t>
      </w:r>
      <w:r w:rsidR="007A4FD2" w:rsidRPr="007D5D4F">
        <w:rPr>
          <w:rFonts w:cs="Arial"/>
          <w:b w:val="0"/>
          <w:i w:val="0"/>
        </w:rPr>
        <w:t xml:space="preserve">nadequada de </w:t>
      </w:r>
      <w:r w:rsidR="002A725A" w:rsidRPr="007D5D4F">
        <w:rPr>
          <w:rFonts w:cs="Arial"/>
          <w:b w:val="0"/>
          <w:i w:val="0"/>
        </w:rPr>
        <w:t>R</w:t>
      </w:r>
      <w:r w:rsidR="007A4FD2" w:rsidRPr="007D5D4F">
        <w:rPr>
          <w:rFonts w:cs="Arial"/>
          <w:b w:val="0"/>
          <w:i w:val="0"/>
        </w:rPr>
        <w:t xml:space="preserve">esíduos </w:t>
      </w:r>
      <w:r w:rsidR="002A725A" w:rsidRPr="007D5D4F">
        <w:rPr>
          <w:rFonts w:cs="Arial"/>
          <w:b w:val="0"/>
          <w:i w:val="0"/>
        </w:rPr>
        <w:t>S</w:t>
      </w:r>
      <w:r w:rsidR="007A4FD2" w:rsidRPr="007D5D4F">
        <w:rPr>
          <w:rFonts w:cs="Arial"/>
          <w:b w:val="0"/>
          <w:i w:val="0"/>
        </w:rPr>
        <w:t xml:space="preserve">ólidos </w:t>
      </w:r>
      <w:r w:rsidR="007A4FD2" w:rsidRPr="007D5D4F">
        <w:rPr>
          <w:rFonts w:cs="Arial"/>
          <w:b w:val="0"/>
          <w:bCs/>
          <w:i w:val="0"/>
        </w:rPr>
        <w:t xml:space="preserve">— </w:t>
      </w:r>
      <w:r w:rsidR="004904F8" w:rsidRPr="007D5D4F">
        <w:rPr>
          <w:b w:val="0"/>
          <w:i w:val="0"/>
        </w:rPr>
        <w:t>Barragens Pedreira e Duas Pontes</w:t>
      </w:r>
      <w:bookmarkEnd w:id="411"/>
    </w:p>
    <w:tbl>
      <w:tblPr>
        <w:tblW w:w="0" w:type="auto"/>
        <w:jc w:val="center"/>
        <w:tblInd w:w="-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2"/>
        <w:gridCol w:w="1772"/>
        <w:gridCol w:w="1772"/>
        <w:gridCol w:w="1772"/>
        <w:gridCol w:w="1773"/>
      </w:tblGrid>
      <w:tr w:rsidR="007A4FD2" w:rsidRPr="00A43380" w:rsidTr="008204B6">
        <w:trPr>
          <w:trHeight w:val="514"/>
          <w:jc w:val="center"/>
        </w:trPr>
        <w:tc>
          <w:tcPr>
            <w:tcW w:w="1772" w:type="dxa"/>
            <w:shd w:val="clear" w:color="auto" w:fill="D9D9D9" w:themeFill="background1" w:themeFillShade="D9"/>
            <w:vAlign w:val="center"/>
          </w:tcPr>
          <w:p w:rsidR="007A4FD2" w:rsidRPr="00A43380" w:rsidRDefault="007A4FD2" w:rsidP="004904F8">
            <w:pPr>
              <w:autoSpaceDE w:val="0"/>
              <w:autoSpaceDN w:val="0"/>
              <w:adjustRightInd w:val="0"/>
              <w:spacing w:line="240" w:lineRule="auto"/>
              <w:jc w:val="center"/>
              <w:rPr>
                <w:rFonts w:cs="Arial"/>
                <w:b/>
                <w:sz w:val="20"/>
              </w:rPr>
            </w:pPr>
            <w:r w:rsidRPr="00A43380">
              <w:rPr>
                <w:rFonts w:cs="Arial"/>
                <w:b/>
                <w:sz w:val="20"/>
              </w:rPr>
              <w:t>Natureza</w:t>
            </w:r>
          </w:p>
        </w:tc>
        <w:tc>
          <w:tcPr>
            <w:tcW w:w="1772" w:type="dxa"/>
            <w:shd w:val="clear" w:color="auto" w:fill="D9D9D9" w:themeFill="background1" w:themeFillShade="D9"/>
            <w:vAlign w:val="center"/>
          </w:tcPr>
          <w:p w:rsidR="007A4FD2" w:rsidRPr="00A43380" w:rsidRDefault="007A4FD2" w:rsidP="004904F8">
            <w:pPr>
              <w:autoSpaceDE w:val="0"/>
              <w:autoSpaceDN w:val="0"/>
              <w:adjustRightInd w:val="0"/>
              <w:spacing w:line="240" w:lineRule="auto"/>
              <w:jc w:val="center"/>
              <w:rPr>
                <w:rFonts w:cs="Arial"/>
                <w:b/>
                <w:sz w:val="20"/>
              </w:rPr>
            </w:pPr>
            <w:r w:rsidRPr="00A43380">
              <w:rPr>
                <w:rFonts w:cs="Arial"/>
                <w:b/>
                <w:sz w:val="20"/>
              </w:rPr>
              <w:t>Ordem</w:t>
            </w:r>
          </w:p>
        </w:tc>
        <w:tc>
          <w:tcPr>
            <w:tcW w:w="1772" w:type="dxa"/>
            <w:shd w:val="clear" w:color="auto" w:fill="D9D9D9" w:themeFill="background1" w:themeFillShade="D9"/>
            <w:vAlign w:val="center"/>
          </w:tcPr>
          <w:p w:rsidR="007A4FD2" w:rsidRPr="00A43380" w:rsidRDefault="007A4FD2" w:rsidP="004904F8">
            <w:pPr>
              <w:autoSpaceDE w:val="0"/>
              <w:autoSpaceDN w:val="0"/>
              <w:adjustRightInd w:val="0"/>
              <w:spacing w:line="240" w:lineRule="auto"/>
              <w:jc w:val="center"/>
              <w:rPr>
                <w:rFonts w:cs="Arial"/>
                <w:b/>
                <w:sz w:val="20"/>
              </w:rPr>
            </w:pPr>
            <w:r w:rsidRPr="00A43380">
              <w:rPr>
                <w:rFonts w:cs="Arial"/>
                <w:b/>
                <w:sz w:val="20"/>
              </w:rPr>
              <w:t>Abrangência</w:t>
            </w:r>
          </w:p>
        </w:tc>
        <w:tc>
          <w:tcPr>
            <w:tcW w:w="1772" w:type="dxa"/>
            <w:shd w:val="clear" w:color="auto" w:fill="D9D9D9" w:themeFill="background1" w:themeFillShade="D9"/>
            <w:vAlign w:val="center"/>
          </w:tcPr>
          <w:p w:rsidR="007A4FD2" w:rsidRPr="00A43380" w:rsidRDefault="007A4FD2" w:rsidP="004904F8">
            <w:pPr>
              <w:autoSpaceDE w:val="0"/>
              <w:autoSpaceDN w:val="0"/>
              <w:adjustRightInd w:val="0"/>
              <w:spacing w:line="240" w:lineRule="auto"/>
              <w:jc w:val="center"/>
              <w:rPr>
                <w:rFonts w:cs="Arial"/>
                <w:b/>
                <w:sz w:val="20"/>
              </w:rPr>
            </w:pPr>
            <w:r w:rsidRPr="00A43380">
              <w:rPr>
                <w:rFonts w:cs="Arial"/>
                <w:b/>
                <w:sz w:val="20"/>
              </w:rPr>
              <w:t>Duração</w:t>
            </w:r>
          </w:p>
        </w:tc>
        <w:tc>
          <w:tcPr>
            <w:tcW w:w="1773" w:type="dxa"/>
            <w:shd w:val="clear" w:color="auto" w:fill="D9D9D9" w:themeFill="background1" w:themeFillShade="D9"/>
            <w:vAlign w:val="center"/>
          </w:tcPr>
          <w:p w:rsidR="007A4FD2" w:rsidRPr="00A43380" w:rsidRDefault="007A4FD2" w:rsidP="004904F8">
            <w:pPr>
              <w:autoSpaceDE w:val="0"/>
              <w:autoSpaceDN w:val="0"/>
              <w:adjustRightInd w:val="0"/>
              <w:spacing w:line="240" w:lineRule="auto"/>
              <w:jc w:val="center"/>
              <w:rPr>
                <w:rFonts w:cs="Arial"/>
                <w:b/>
                <w:sz w:val="20"/>
              </w:rPr>
            </w:pPr>
            <w:r w:rsidRPr="00A43380">
              <w:rPr>
                <w:rFonts w:cs="Arial"/>
                <w:b/>
                <w:sz w:val="20"/>
              </w:rPr>
              <w:t>Probabilidade de Ocorrência</w:t>
            </w:r>
          </w:p>
        </w:tc>
      </w:tr>
      <w:tr w:rsidR="007A4FD2" w:rsidRPr="00A43380" w:rsidTr="004904F8">
        <w:trPr>
          <w:trHeight w:val="449"/>
          <w:jc w:val="center"/>
        </w:trPr>
        <w:tc>
          <w:tcPr>
            <w:tcW w:w="1772" w:type="dxa"/>
            <w:shd w:val="clear" w:color="auto" w:fill="auto"/>
            <w:vAlign w:val="center"/>
          </w:tcPr>
          <w:p w:rsidR="007A4FD2" w:rsidRPr="00D412A7" w:rsidRDefault="007A4FD2" w:rsidP="004904F8">
            <w:pPr>
              <w:autoSpaceDE w:val="0"/>
              <w:autoSpaceDN w:val="0"/>
              <w:adjustRightInd w:val="0"/>
              <w:spacing w:line="240" w:lineRule="auto"/>
              <w:jc w:val="center"/>
              <w:rPr>
                <w:rFonts w:cs="Arial"/>
                <w:sz w:val="20"/>
              </w:rPr>
            </w:pPr>
            <w:r>
              <w:rPr>
                <w:rFonts w:cs="Arial"/>
                <w:sz w:val="20"/>
              </w:rPr>
              <w:t>Negativo</w:t>
            </w:r>
          </w:p>
        </w:tc>
        <w:tc>
          <w:tcPr>
            <w:tcW w:w="1772" w:type="dxa"/>
            <w:shd w:val="clear" w:color="auto" w:fill="auto"/>
            <w:vAlign w:val="center"/>
          </w:tcPr>
          <w:p w:rsidR="007A4FD2" w:rsidRPr="00D412A7" w:rsidRDefault="007A4FD2" w:rsidP="004904F8">
            <w:pPr>
              <w:autoSpaceDE w:val="0"/>
              <w:autoSpaceDN w:val="0"/>
              <w:adjustRightInd w:val="0"/>
              <w:spacing w:line="240" w:lineRule="auto"/>
              <w:jc w:val="center"/>
              <w:rPr>
                <w:rFonts w:cs="Arial"/>
                <w:sz w:val="20"/>
              </w:rPr>
            </w:pPr>
            <w:r>
              <w:rPr>
                <w:rFonts w:cs="Arial"/>
                <w:sz w:val="20"/>
              </w:rPr>
              <w:t>Direto</w:t>
            </w:r>
          </w:p>
        </w:tc>
        <w:tc>
          <w:tcPr>
            <w:tcW w:w="1772" w:type="dxa"/>
            <w:shd w:val="clear" w:color="auto" w:fill="auto"/>
            <w:vAlign w:val="center"/>
          </w:tcPr>
          <w:p w:rsidR="007A4FD2" w:rsidRPr="00D412A7" w:rsidRDefault="007A4FD2" w:rsidP="004904F8">
            <w:pPr>
              <w:autoSpaceDE w:val="0"/>
              <w:autoSpaceDN w:val="0"/>
              <w:adjustRightInd w:val="0"/>
              <w:spacing w:line="240" w:lineRule="auto"/>
              <w:jc w:val="center"/>
              <w:rPr>
                <w:rFonts w:cs="Arial"/>
                <w:sz w:val="20"/>
              </w:rPr>
            </w:pPr>
            <w:r>
              <w:rPr>
                <w:rFonts w:cs="Arial"/>
                <w:sz w:val="20"/>
              </w:rPr>
              <w:t>Local</w:t>
            </w:r>
          </w:p>
        </w:tc>
        <w:tc>
          <w:tcPr>
            <w:tcW w:w="1772" w:type="dxa"/>
            <w:shd w:val="clear" w:color="auto" w:fill="auto"/>
            <w:vAlign w:val="center"/>
          </w:tcPr>
          <w:p w:rsidR="007A4FD2" w:rsidRPr="00D412A7" w:rsidRDefault="007A4FD2" w:rsidP="004904F8">
            <w:pPr>
              <w:autoSpaceDE w:val="0"/>
              <w:autoSpaceDN w:val="0"/>
              <w:adjustRightInd w:val="0"/>
              <w:spacing w:line="240" w:lineRule="auto"/>
              <w:jc w:val="center"/>
              <w:rPr>
                <w:rFonts w:cs="Arial"/>
                <w:sz w:val="20"/>
              </w:rPr>
            </w:pPr>
            <w:r>
              <w:rPr>
                <w:rFonts w:cs="Arial"/>
                <w:sz w:val="20"/>
              </w:rPr>
              <w:t>Temporário</w:t>
            </w:r>
          </w:p>
        </w:tc>
        <w:tc>
          <w:tcPr>
            <w:tcW w:w="1773" w:type="dxa"/>
            <w:shd w:val="clear" w:color="auto" w:fill="auto"/>
            <w:vAlign w:val="center"/>
          </w:tcPr>
          <w:p w:rsidR="007A4FD2" w:rsidRPr="00D412A7" w:rsidRDefault="007A4FD2" w:rsidP="004904F8">
            <w:pPr>
              <w:autoSpaceDE w:val="0"/>
              <w:autoSpaceDN w:val="0"/>
              <w:adjustRightInd w:val="0"/>
              <w:spacing w:line="240" w:lineRule="auto"/>
              <w:jc w:val="center"/>
              <w:rPr>
                <w:rFonts w:cs="Arial"/>
                <w:sz w:val="20"/>
              </w:rPr>
            </w:pPr>
            <w:r>
              <w:rPr>
                <w:rFonts w:cs="Arial"/>
                <w:sz w:val="20"/>
              </w:rPr>
              <w:t>Provável</w:t>
            </w:r>
          </w:p>
        </w:tc>
      </w:tr>
    </w:tbl>
    <w:p w:rsidR="007A4FD2" w:rsidRPr="00A43380" w:rsidRDefault="007A4FD2" w:rsidP="004904F8">
      <w:pPr>
        <w:autoSpaceDE w:val="0"/>
        <w:autoSpaceDN w:val="0"/>
        <w:adjustRightInd w:val="0"/>
        <w:spacing w:line="240" w:lineRule="auto"/>
        <w:jc w:val="center"/>
        <w:rPr>
          <w:rFonts w:cs="Arial"/>
          <w:sz w:val="20"/>
        </w:rPr>
      </w:pPr>
    </w:p>
    <w:tbl>
      <w:tblPr>
        <w:tblW w:w="0" w:type="auto"/>
        <w:jc w:val="center"/>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4"/>
        <w:gridCol w:w="1775"/>
        <w:gridCol w:w="1774"/>
        <w:gridCol w:w="1775"/>
        <w:gridCol w:w="1775"/>
      </w:tblGrid>
      <w:tr w:rsidR="007A4FD2" w:rsidRPr="00A43380" w:rsidTr="008204B6">
        <w:trPr>
          <w:trHeight w:val="397"/>
          <w:jc w:val="center"/>
        </w:trPr>
        <w:tc>
          <w:tcPr>
            <w:tcW w:w="1774" w:type="dxa"/>
            <w:shd w:val="clear" w:color="auto" w:fill="D9D9D9" w:themeFill="background1" w:themeFillShade="D9"/>
            <w:vAlign w:val="center"/>
          </w:tcPr>
          <w:p w:rsidR="007A4FD2" w:rsidRPr="00A43380" w:rsidRDefault="007A4FD2" w:rsidP="004904F8">
            <w:pPr>
              <w:autoSpaceDE w:val="0"/>
              <w:autoSpaceDN w:val="0"/>
              <w:adjustRightInd w:val="0"/>
              <w:spacing w:line="240" w:lineRule="auto"/>
              <w:jc w:val="center"/>
              <w:rPr>
                <w:rFonts w:cs="Arial"/>
                <w:b/>
                <w:sz w:val="20"/>
              </w:rPr>
            </w:pPr>
            <w:r w:rsidRPr="00A43380">
              <w:rPr>
                <w:rFonts w:cs="Arial"/>
                <w:b/>
                <w:sz w:val="20"/>
              </w:rPr>
              <w:t>Época de Ocorrência</w:t>
            </w:r>
          </w:p>
        </w:tc>
        <w:tc>
          <w:tcPr>
            <w:tcW w:w="1775" w:type="dxa"/>
            <w:shd w:val="clear" w:color="auto" w:fill="D9D9D9" w:themeFill="background1" w:themeFillShade="D9"/>
            <w:vAlign w:val="center"/>
          </w:tcPr>
          <w:p w:rsidR="007A4FD2" w:rsidRPr="00A43380" w:rsidRDefault="007A4FD2" w:rsidP="004904F8">
            <w:pPr>
              <w:autoSpaceDE w:val="0"/>
              <w:autoSpaceDN w:val="0"/>
              <w:adjustRightInd w:val="0"/>
              <w:spacing w:line="240" w:lineRule="auto"/>
              <w:jc w:val="center"/>
              <w:rPr>
                <w:rFonts w:cs="Arial"/>
                <w:b/>
                <w:sz w:val="20"/>
              </w:rPr>
            </w:pPr>
            <w:r w:rsidRPr="00A43380">
              <w:rPr>
                <w:rFonts w:cs="Arial"/>
                <w:b/>
                <w:sz w:val="20"/>
              </w:rPr>
              <w:t>Reversibilidade</w:t>
            </w:r>
          </w:p>
        </w:tc>
        <w:tc>
          <w:tcPr>
            <w:tcW w:w="1774" w:type="dxa"/>
            <w:shd w:val="clear" w:color="auto" w:fill="D9D9D9" w:themeFill="background1" w:themeFillShade="D9"/>
            <w:vAlign w:val="center"/>
          </w:tcPr>
          <w:p w:rsidR="007A4FD2" w:rsidRPr="00A43380" w:rsidRDefault="007A4FD2" w:rsidP="004904F8">
            <w:pPr>
              <w:autoSpaceDE w:val="0"/>
              <w:autoSpaceDN w:val="0"/>
              <w:adjustRightInd w:val="0"/>
              <w:spacing w:line="240" w:lineRule="auto"/>
              <w:jc w:val="center"/>
              <w:rPr>
                <w:rFonts w:cs="Arial"/>
                <w:b/>
                <w:sz w:val="20"/>
              </w:rPr>
            </w:pPr>
            <w:r w:rsidRPr="00A43380">
              <w:rPr>
                <w:rFonts w:cs="Arial"/>
                <w:b/>
                <w:sz w:val="20"/>
              </w:rPr>
              <w:t>Magnitude</w:t>
            </w:r>
          </w:p>
        </w:tc>
        <w:tc>
          <w:tcPr>
            <w:tcW w:w="1775" w:type="dxa"/>
            <w:shd w:val="clear" w:color="auto" w:fill="D9D9D9" w:themeFill="background1" w:themeFillShade="D9"/>
            <w:vAlign w:val="center"/>
          </w:tcPr>
          <w:p w:rsidR="007A4FD2" w:rsidRPr="00A43380" w:rsidRDefault="007A4FD2" w:rsidP="004904F8">
            <w:pPr>
              <w:autoSpaceDE w:val="0"/>
              <w:autoSpaceDN w:val="0"/>
              <w:adjustRightInd w:val="0"/>
              <w:spacing w:line="240" w:lineRule="auto"/>
              <w:jc w:val="center"/>
              <w:rPr>
                <w:rFonts w:cs="Arial"/>
                <w:b/>
                <w:sz w:val="20"/>
              </w:rPr>
            </w:pPr>
            <w:r w:rsidRPr="00A43380">
              <w:rPr>
                <w:rFonts w:cs="Arial"/>
                <w:b/>
                <w:sz w:val="20"/>
              </w:rPr>
              <w:t>Importância</w:t>
            </w:r>
          </w:p>
        </w:tc>
        <w:tc>
          <w:tcPr>
            <w:tcW w:w="1775" w:type="dxa"/>
            <w:shd w:val="clear" w:color="auto" w:fill="D9D9D9" w:themeFill="background1" w:themeFillShade="D9"/>
            <w:vAlign w:val="center"/>
          </w:tcPr>
          <w:p w:rsidR="007A4FD2" w:rsidRPr="00A43380" w:rsidRDefault="007A4FD2" w:rsidP="004904F8">
            <w:pPr>
              <w:autoSpaceDE w:val="0"/>
              <w:autoSpaceDN w:val="0"/>
              <w:adjustRightInd w:val="0"/>
              <w:spacing w:line="240" w:lineRule="auto"/>
              <w:jc w:val="center"/>
              <w:rPr>
                <w:rFonts w:cs="Arial"/>
                <w:b/>
                <w:sz w:val="20"/>
              </w:rPr>
            </w:pPr>
            <w:r w:rsidRPr="00A43380">
              <w:rPr>
                <w:rFonts w:cs="Arial"/>
                <w:b/>
                <w:sz w:val="20"/>
              </w:rPr>
              <w:t>Mitigação</w:t>
            </w:r>
          </w:p>
        </w:tc>
      </w:tr>
      <w:tr w:rsidR="007A4FD2" w:rsidRPr="00A43380" w:rsidTr="004904F8">
        <w:trPr>
          <w:trHeight w:val="423"/>
          <w:jc w:val="center"/>
        </w:trPr>
        <w:tc>
          <w:tcPr>
            <w:tcW w:w="1774" w:type="dxa"/>
            <w:shd w:val="clear" w:color="auto" w:fill="auto"/>
            <w:vAlign w:val="center"/>
          </w:tcPr>
          <w:p w:rsidR="007A4FD2" w:rsidRPr="00D412A7" w:rsidRDefault="007A4FD2" w:rsidP="004904F8">
            <w:pPr>
              <w:autoSpaceDE w:val="0"/>
              <w:autoSpaceDN w:val="0"/>
              <w:adjustRightInd w:val="0"/>
              <w:spacing w:line="240" w:lineRule="auto"/>
              <w:jc w:val="center"/>
              <w:rPr>
                <w:rFonts w:cs="Arial"/>
                <w:sz w:val="20"/>
              </w:rPr>
            </w:pPr>
            <w:r>
              <w:rPr>
                <w:rFonts w:cs="Arial"/>
                <w:sz w:val="20"/>
              </w:rPr>
              <w:t>Curto Prazo</w:t>
            </w:r>
          </w:p>
        </w:tc>
        <w:tc>
          <w:tcPr>
            <w:tcW w:w="1775" w:type="dxa"/>
            <w:shd w:val="clear" w:color="auto" w:fill="auto"/>
            <w:vAlign w:val="center"/>
          </w:tcPr>
          <w:p w:rsidR="007A4FD2" w:rsidRPr="00D412A7" w:rsidRDefault="007A4FD2" w:rsidP="004904F8">
            <w:pPr>
              <w:autoSpaceDE w:val="0"/>
              <w:autoSpaceDN w:val="0"/>
              <w:adjustRightInd w:val="0"/>
              <w:spacing w:line="240" w:lineRule="auto"/>
              <w:jc w:val="center"/>
              <w:rPr>
                <w:rFonts w:cs="Arial"/>
                <w:sz w:val="20"/>
              </w:rPr>
            </w:pPr>
            <w:r>
              <w:rPr>
                <w:rFonts w:cs="Arial"/>
                <w:sz w:val="20"/>
              </w:rPr>
              <w:t>Reversível</w:t>
            </w:r>
          </w:p>
        </w:tc>
        <w:tc>
          <w:tcPr>
            <w:tcW w:w="1774" w:type="dxa"/>
            <w:shd w:val="clear" w:color="auto" w:fill="auto"/>
            <w:vAlign w:val="center"/>
          </w:tcPr>
          <w:p w:rsidR="007A4FD2" w:rsidRPr="00535D8B" w:rsidRDefault="007A4FD2" w:rsidP="004904F8">
            <w:pPr>
              <w:autoSpaceDE w:val="0"/>
              <w:autoSpaceDN w:val="0"/>
              <w:adjustRightInd w:val="0"/>
              <w:spacing w:line="240" w:lineRule="auto"/>
              <w:jc w:val="center"/>
              <w:rPr>
                <w:rFonts w:cs="Arial"/>
                <w:sz w:val="20"/>
              </w:rPr>
            </w:pPr>
            <w:r>
              <w:rPr>
                <w:rFonts w:cs="Arial"/>
                <w:sz w:val="20"/>
              </w:rPr>
              <w:t>Média</w:t>
            </w:r>
          </w:p>
        </w:tc>
        <w:tc>
          <w:tcPr>
            <w:tcW w:w="1775" w:type="dxa"/>
            <w:shd w:val="clear" w:color="auto" w:fill="auto"/>
            <w:vAlign w:val="center"/>
          </w:tcPr>
          <w:p w:rsidR="007A4FD2" w:rsidRPr="00535D8B" w:rsidRDefault="007A4FD2" w:rsidP="004904F8">
            <w:pPr>
              <w:autoSpaceDE w:val="0"/>
              <w:autoSpaceDN w:val="0"/>
              <w:adjustRightInd w:val="0"/>
              <w:spacing w:line="240" w:lineRule="auto"/>
              <w:jc w:val="center"/>
              <w:rPr>
                <w:rFonts w:cs="Arial"/>
                <w:sz w:val="20"/>
              </w:rPr>
            </w:pPr>
            <w:r>
              <w:rPr>
                <w:rFonts w:cs="Arial"/>
                <w:sz w:val="20"/>
              </w:rPr>
              <w:t>Baixa</w:t>
            </w:r>
          </w:p>
        </w:tc>
        <w:tc>
          <w:tcPr>
            <w:tcW w:w="1775" w:type="dxa"/>
            <w:shd w:val="clear" w:color="auto" w:fill="auto"/>
            <w:vAlign w:val="center"/>
          </w:tcPr>
          <w:p w:rsidR="007A4FD2" w:rsidRPr="00535D8B" w:rsidRDefault="007A4FD2" w:rsidP="004904F8">
            <w:pPr>
              <w:autoSpaceDE w:val="0"/>
              <w:autoSpaceDN w:val="0"/>
              <w:adjustRightInd w:val="0"/>
              <w:spacing w:line="240" w:lineRule="auto"/>
              <w:jc w:val="center"/>
              <w:rPr>
                <w:rFonts w:cs="Arial"/>
                <w:sz w:val="20"/>
              </w:rPr>
            </w:pPr>
            <w:r>
              <w:rPr>
                <w:rFonts w:cs="Arial"/>
                <w:sz w:val="20"/>
              </w:rPr>
              <w:t>Mitigável</w:t>
            </w:r>
          </w:p>
        </w:tc>
      </w:tr>
    </w:tbl>
    <w:p w:rsidR="007A4FD2" w:rsidRDefault="007A4FD2" w:rsidP="004904F8">
      <w:pPr>
        <w:spacing w:line="240" w:lineRule="auto"/>
      </w:pPr>
    </w:p>
    <w:p w:rsidR="007A4FD2" w:rsidRPr="00683EFB" w:rsidRDefault="007A4FD2" w:rsidP="000C6484">
      <w:pPr>
        <w:spacing w:before="120" w:after="120" w:line="240" w:lineRule="auto"/>
        <w:rPr>
          <w:b/>
        </w:rPr>
      </w:pPr>
      <w:r w:rsidRPr="00683EFB">
        <w:rPr>
          <w:b/>
        </w:rPr>
        <w:t>Ações Ambientais Propostas</w:t>
      </w:r>
    </w:p>
    <w:p w:rsidR="007A4FD2" w:rsidRDefault="007A4FD2" w:rsidP="004904F8">
      <w:pPr>
        <w:spacing w:before="120" w:after="120" w:line="240" w:lineRule="auto"/>
        <w:rPr>
          <w:rFonts w:cs="Arial"/>
        </w:rPr>
      </w:pPr>
      <w:r w:rsidRPr="006920CA">
        <w:rPr>
          <w:rFonts w:cs="Arial"/>
        </w:rPr>
        <w:t xml:space="preserve">O empreendedor deverá exigir da empreiteira contratada a implantação </w:t>
      </w:r>
      <w:r>
        <w:rPr>
          <w:rFonts w:cs="Arial"/>
        </w:rPr>
        <w:t>de</w:t>
      </w:r>
      <w:r w:rsidRPr="006920CA">
        <w:rPr>
          <w:rFonts w:cs="Arial"/>
        </w:rPr>
        <w:t xml:space="preserve"> programa para o gerenciamento dos resíduos sólidos gerados, definindo procedimentos e instruções para classificação, acondicionamento, armazenamento temporário, transporte e disposição final dos resíduos, de maneira a minimizar prejuízos ambientais, à saúde e ao bem</w:t>
      </w:r>
      <w:r>
        <w:rPr>
          <w:rFonts w:cs="Arial"/>
        </w:rPr>
        <w:t>-</w:t>
      </w:r>
      <w:r w:rsidRPr="006920CA">
        <w:rPr>
          <w:rFonts w:cs="Arial"/>
        </w:rPr>
        <w:t>estar da coletividade.</w:t>
      </w:r>
      <w:r>
        <w:rPr>
          <w:rFonts w:cs="Arial"/>
        </w:rPr>
        <w:t xml:space="preserve"> </w:t>
      </w:r>
    </w:p>
    <w:p w:rsidR="008F7C9E" w:rsidRPr="006920CA" w:rsidRDefault="007A4FD2" w:rsidP="004904F8">
      <w:pPr>
        <w:spacing w:before="120" w:after="120" w:line="240" w:lineRule="auto"/>
        <w:rPr>
          <w:rFonts w:cs="Arial"/>
        </w:rPr>
      </w:pPr>
      <w:r w:rsidRPr="006920CA">
        <w:rPr>
          <w:rFonts w:cs="Arial"/>
        </w:rPr>
        <w:t xml:space="preserve">A aplicação do </w:t>
      </w:r>
      <w:r>
        <w:rPr>
          <w:rFonts w:cs="Arial"/>
        </w:rPr>
        <w:t xml:space="preserve">referido </w:t>
      </w:r>
      <w:r w:rsidRPr="006920CA">
        <w:rPr>
          <w:rFonts w:cs="Arial"/>
        </w:rPr>
        <w:t xml:space="preserve">programa </w:t>
      </w:r>
      <w:r>
        <w:rPr>
          <w:rFonts w:cs="Arial"/>
        </w:rPr>
        <w:t>deverá envolver as seguintes medidas: a r</w:t>
      </w:r>
      <w:r w:rsidRPr="006920CA">
        <w:rPr>
          <w:rFonts w:cs="Arial"/>
        </w:rPr>
        <w:t>edução e minimização da geração dos resíduos na fonte;</w:t>
      </w:r>
      <w:r>
        <w:rPr>
          <w:rFonts w:cs="Arial"/>
        </w:rPr>
        <w:t xml:space="preserve"> c</w:t>
      </w:r>
      <w:r w:rsidRPr="006920CA">
        <w:rPr>
          <w:rFonts w:cs="Arial"/>
        </w:rPr>
        <w:t>oleta segregada dos resíduos de acordo com suas características e periculosidade e classificação determinada pela legislação;</w:t>
      </w:r>
      <w:r>
        <w:rPr>
          <w:rFonts w:cs="Arial"/>
        </w:rPr>
        <w:t xml:space="preserve"> a</w:t>
      </w:r>
      <w:r w:rsidRPr="006920CA">
        <w:rPr>
          <w:rFonts w:cs="Arial"/>
        </w:rPr>
        <w:t>condicionamento e transporte adequados dos resíduos;</w:t>
      </w:r>
      <w:r>
        <w:rPr>
          <w:rFonts w:cs="Arial"/>
        </w:rPr>
        <w:t xml:space="preserve"> m</w:t>
      </w:r>
      <w:r w:rsidRPr="006920CA">
        <w:rPr>
          <w:rFonts w:cs="Arial"/>
        </w:rPr>
        <w:t xml:space="preserve">anutenção de áreas adequadas para depósito e armazenagem de resíduos, conforme as normas vigentes; e </w:t>
      </w:r>
      <w:r>
        <w:rPr>
          <w:rFonts w:cs="Arial"/>
        </w:rPr>
        <w:t>t</w:t>
      </w:r>
      <w:r w:rsidRPr="006920CA">
        <w:rPr>
          <w:rFonts w:cs="Arial"/>
        </w:rPr>
        <w:t>ratamento e disposição final dos resíduos na forma exigida pela legislação.</w:t>
      </w:r>
    </w:p>
    <w:p w:rsidR="002A725A" w:rsidRPr="008204B6" w:rsidRDefault="002A725A" w:rsidP="00431A97">
      <w:pPr>
        <w:numPr>
          <w:ilvl w:val="0"/>
          <w:numId w:val="65"/>
        </w:numPr>
        <w:spacing w:before="120" w:after="120" w:line="240" w:lineRule="auto"/>
        <w:ind w:left="567" w:hanging="567"/>
        <w:rPr>
          <w:rFonts w:cs="Arial"/>
          <w:b/>
        </w:rPr>
      </w:pPr>
      <w:r w:rsidRPr="008204B6">
        <w:rPr>
          <w:rFonts w:cs="Arial"/>
          <w:b/>
          <w:bCs/>
        </w:rPr>
        <w:t>Incômodos devido ao Lançamento de Efluentes Líquidos Nefastos</w:t>
      </w:r>
    </w:p>
    <w:p w:rsidR="00CA7098" w:rsidRPr="00CA7098" w:rsidRDefault="00CA7098" w:rsidP="00CA7098">
      <w:pPr>
        <w:spacing w:before="120" w:after="120" w:line="240" w:lineRule="auto"/>
        <w:rPr>
          <w:rFonts w:cs="Arial"/>
          <w:b/>
        </w:rPr>
      </w:pPr>
      <w:r w:rsidRPr="00CA7098">
        <w:rPr>
          <w:rFonts w:cs="Arial"/>
          <w:b/>
        </w:rPr>
        <w:t>Fase: Implantação</w:t>
      </w:r>
    </w:p>
    <w:p w:rsidR="007A4FD2" w:rsidRPr="006920CA" w:rsidRDefault="007A4FD2" w:rsidP="004904F8">
      <w:pPr>
        <w:spacing w:before="120" w:after="120" w:line="240" w:lineRule="auto"/>
        <w:rPr>
          <w:rFonts w:cs="Arial"/>
        </w:rPr>
      </w:pPr>
      <w:r w:rsidRPr="006920CA">
        <w:rPr>
          <w:rFonts w:cs="Arial"/>
        </w:rPr>
        <w:t>Na fase de implantação da</w:t>
      </w:r>
      <w:r>
        <w:rPr>
          <w:rFonts w:cs="Arial"/>
        </w:rPr>
        <w:t>s barragens, esse impacto pode ocorrer devido ao l</w:t>
      </w:r>
      <w:r w:rsidRPr="006920CA">
        <w:rPr>
          <w:rFonts w:cs="Arial"/>
        </w:rPr>
        <w:t>ançamento de efluentes líquidos sanitários e oleosos decorrentes das obras</w:t>
      </w:r>
      <w:r>
        <w:rPr>
          <w:rFonts w:cs="Arial"/>
        </w:rPr>
        <w:t>,</w:t>
      </w:r>
      <w:r w:rsidRPr="006920CA">
        <w:rPr>
          <w:rFonts w:cs="Arial"/>
        </w:rPr>
        <w:t xml:space="preserve"> sem atender aos padrões de lançamento estipulados na legislação.</w:t>
      </w:r>
    </w:p>
    <w:p w:rsidR="007A4FD2" w:rsidRPr="006920CA" w:rsidRDefault="007A4FD2" w:rsidP="004904F8">
      <w:pPr>
        <w:spacing w:before="120" w:after="120" w:line="240" w:lineRule="auto"/>
        <w:rPr>
          <w:rFonts w:cs="Arial"/>
        </w:rPr>
      </w:pPr>
      <w:r>
        <w:rPr>
          <w:rFonts w:cs="Arial"/>
        </w:rPr>
        <w:t>S</w:t>
      </w:r>
      <w:r w:rsidRPr="006920CA">
        <w:rPr>
          <w:rFonts w:cs="Arial"/>
        </w:rPr>
        <w:t xml:space="preserve">e não forem adequadamente coletados e tratados </w:t>
      </w:r>
      <w:r>
        <w:rPr>
          <w:rFonts w:cs="Arial"/>
        </w:rPr>
        <w:t>os efluentes</w:t>
      </w:r>
      <w:r w:rsidRPr="006920CA">
        <w:rPr>
          <w:rFonts w:cs="Arial"/>
        </w:rPr>
        <w:t xml:space="preserve"> acabarão sendo infiltrados no solo ou lançados em corpos hídricos, alterando sua qualidade.</w:t>
      </w:r>
    </w:p>
    <w:p w:rsidR="007A4FD2" w:rsidRDefault="007A4FD2" w:rsidP="007A4FD2">
      <w:pPr>
        <w:spacing w:before="120" w:after="120" w:line="240" w:lineRule="auto"/>
        <w:rPr>
          <w:rFonts w:cs="Arial"/>
        </w:rPr>
      </w:pPr>
      <w:r w:rsidRPr="006920CA">
        <w:rPr>
          <w:rFonts w:cs="Arial"/>
        </w:rPr>
        <w:t xml:space="preserve">Os efluentes a serem gerados nos canteiros de obras são de dois tipos: efluentes sanitários e efluentes de oficinas de manutenção oleosos. O uso de água para consumo e higiene nos canteiros de obras é responsável pela geração de efluente sanitário. Caso tais efluentes eventualmente alcancem os cursos d’água sem o devido tratamento, a qualidade das águas poderá ser comprometida através da contaminação por bactérias, principalmente por coliformes fecais presentes nas fezes humanas, responsáveis pela ocorrência de </w:t>
      </w:r>
      <w:r w:rsidR="00AE11B8" w:rsidRPr="006920CA">
        <w:rPr>
          <w:rFonts w:cs="Arial"/>
        </w:rPr>
        <w:t>diarreia</w:t>
      </w:r>
      <w:r w:rsidRPr="006920CA">
        <w:rPr>
          <w:rFonts w:cs="Arial"/>
        </w:rPr>
        <w:t xml:space="preserve"> e infecções mais graves.</w:t>
      </w:r>
      <w:r>
        <w:rPr>
          <w:rFonts w:cs="Arial"/>
        </w:rPr>
        <w:t xml:space="preserve"> </w:t>
      </w:r>
      <w:r w:rsidRPr="006920CA">
        <w:rPr>
          <w:rFonts w:cs="Arial"/>
        </w:rPr>
        <w:t>Já os efluentes oleosos provenientes da oficina e manutenção de máquinas deverão ser</w:t>
      </w:r>
      <w:r>
        <w:rPr>
          <w:rFonts w:cs="Arial"/>
        </w:rPr>
        <w:t xml:space="preserve"> </w:t>
      </w:r>
      <w:r w:rsidRPr="006920CA">
        <w:rPr>
          <w:rFonts w:cs="Arial"/>
        </w:rPr>
        <w:t>direcionados para um Separador Água e Óleo – SAO</w:t>
      </w:r>
      <w:r>
        <w:rPr>
          <w:rFonts w:cs="Arial"/>
        </w:rPr>
        <w:t>,</w:t>
      </w:r>
      <w:r w:rsidRPr="006920CA">
        <w:rPr>
          <w:rFonts w:cs="Arial"/>
        </w:rPr>
        <w:t xml:space="preserve"> onde serão tratados e destinados corretamente para não contaminar o solo e as águas superficiais e subterrâneas.</w:t>
      </w:r>
    </w:p>
    <w:p w:rsidR="007A4FD2" w:rsidRDefault="007A4FD2" w:rsidP="007A4FD2">
      <w:pPr>
        <w:spacing w:before="120" w:after="120" w:line="240" w:lineRule="auto"/>
      </w:pPr>
      <w:r>
        <w:t xml:space="preserve">Trata-se de um impacto negativo, mitigável, desde que tomadas as precauções devidas, direto, localizado nas áreas dos canteiros e afins, temporário, a durar durantes as obras, de curto prazo e reversível e sua magnitude é média. </w:t>
      </w:r>
    </w:p>
    <w:p w:rsidR="007D5D4F" w:rsidRDefault="007D5D4F" w:rsidP="007A4FD2">
      <w:pPr>
        <w:spacing w:before="120" w:after="120" w:line="240" w:lineRule="auto"/>
      </w:pPr>
      <w:r>
        <w:br w:type="page"/>
      </w:r>
    </w:p>
    <w:p w:rsidR="007A4FD2" w:rsidRPr="007D5D4F" w:rsidRDefault="00402E81" w:rsidP="007D5D4F">
      <w:pPr>
        <w:pStyle w:val="Legenda"/>
        <w:spacing w:line="240" w:lineRule="auto"/>
        <w:jc w:val="center"/>
        <w:rPr>
          <w:rFonts w:cs="Arial"/>
          <w:b w:val="0"/>
          <w:bCs/>
          <w:i w:val="0"/>
        </w:rPr>
      </w:pPr>
      <w:bookmarkStart w:id="412" w:name="_Toc420316534"/>
      <w:r w:rsidRPr="007D5D4F">
        <w:rPr>
          <w:i w:val="0"/>
        </w:rPr>
        <w:t xml:space="preserve">Quadro </w:t>
      </w:r>
      <w:r w:rsidR="00B80A05" w:rsidRPr="007D5D4F">
        <w:rPr>
          <w:i w:val="0"/>
        </w:rPr>
        <w:fldChar w:fldCharType="begin"/>
      </w:r>
      <w:r w:rsidRPr="007D5D4F">
        <w:rPr>
          <w:i w:val="0"/>
        </w:rPr>
        <w:instrText xml:space="preserve"> STYLEREF 2 \s </w:instrText>
      </w:r>
      <w:r w:rsidR="00B80A05" w:rsidRPr="007D5D4F">
        <w:rPr>
          <w:i w:val="0"/>
        </w:rPr>
        <w:fldChar w:fldCharType="separate"/>
      </w:r>
      <w:r w:rsidR="00316060">
        <w:rPr>
          <w:i w:val="0"/>
          <w:noProof/>
        </w:rPr>
        <w:t>1.3</w:t>
      </w:r>
      <w:r w:rsidR="00B80A05" w:rsidRPr="007D5D4F">
        <w:rPr>
          <w:i w:val="0"/>
        </w:rPr>
        <w:fldChar w:fldCharType="end"/>
      </w:r>
      <w:r w:rsidRPr="007D5D4F">
        <w:rPr>
          <w:i w:val="0"/>
        </w:rPr>
        <w:t>.</w:t>
      </w:r>
      <w:r w:rsidR="00B80A05" w:rsidRPr="007D5D4F">
        <w:rPr>
          <w:i w:val="0"/>
        </w:rPr>
        <w:fldChar w:fldCharType="begin"/>
      </w:r>
      <w:r w:rsidRPr="007D5D4F">
        <w:rPr>
          <w:i w:val="0"/>
        </w:rPr>
        <w:instrText xml:space="preserve"> SEQ Quadro \* ARABIC \s 2 </w:instrText>
      </w:r>
      <w:r w:rsidR="00B80A05" w:rsidRPr="007D5D4F">
        <w:rPr>
          <w:i w:val="0"/>
        </w:rPr>
        <w:fldChar w:fldCharType="separate"/>
      </w:r>
      <w:r w:rsidR="00316060">
        <w:rPr>
          <w:i w:val="0"/>
          <w:noProof/>
        </w:rPr>
        <w:t>91</w:t>
      </w:r>
      <w:r w:rsidR="00B80A05" w:rsidRPr="007D5D4F">
        <w:rPr>
          <w:i w:val="0"/>
        </w:rPr>
        <w:fldChar w:fldCharType="end"/>
      </w:r>
      <w:r w:rsidR="007D5D4F" w:rsidRPr="007D5D4F">
        <w:rPr>
          <w:i w:val="0"/>
        </w:rPr>
        <w:t>.</w:t>
      </w:r>
      <w:r w:rsidR="007D5D4F" w:rsidRPr="007D5D4F">
        <w:rPr>
          <w:b w:val="0"/>
          <w:i w:val="0"/>
        </w:rPr>
        <w:t xml:space="preserve"> - </w:t>
      </w:r>
      <w:r w:rsidR="007A4FD2" w:rsidRPr="007D5D4F">
        <w:rPr>
          <w:rFonts w:cs="Arial"/>
          <w:b w:val="0"/>
          <w:bCs/>
          <w:i w:val="0"/>
        </w:rPr>
        <w:t xml:space="preserve">Caracterização do Impacto – </w:t>
      </w:r>
      <w:r w:rsidR="007A4FD2" w:rsidRPr="007D5D4F">
        <w:rPr>
          <w:rFonts w:cs="Arial"/>
          <w:b w:val="0"/>
          <w:i w:val="0"/>
        </w:rPr>
        <w:t xml:space="preserve">Incômodos </w:t>
      </w:r>
      <w:r w:rsidR="007A4FD2" w:rsidRPr="007D5D4F">
        <w:rPr>
          <w:b w:val="0"/>
          <w:i w:val="0"/>
        </w:rPr>
        <w:t xml:space="preserve">devido </w:t>
      </w:r>
      <w:r w:rsidR="002A725A" w:rsidRPr="007D5D4F">
        <w:rPr>
          <w:b w:val="0"/>
          <w:i w:val="0"/>
        </w:rPr>
        <w:t>ao</w:t>
      </w:r>
      <w:r w:rsidR="007A4FD2" w:rsidRPr="007D5D4F">
        <w:rPr>
          <w:b w:val="0"/>
          <w:i w:val="0"/>
        </w:rPr>
        <w:t xml:space="preserve"> </w:t>
      </w:r>
      <w:r w:rsidR="002A725A" w:rsidRPr="007D5D4F">
        <w:rPr>
          <w:rFonts w:cs="Arial"/>
          <w:b w:val="0"/>
          <w:i w:val="0"/>
        </w:rPr>
        <w:t>L</w:t>
      </w:r>
      <w:r w:rsidR="007A4FD2" w:rsidRPr="007D5D4F">
        <w:rPr>
          <w:rFonts w:cs="Arial"/>
          <w:b w:val="0"/>
          <w:i w:val="0"/>
        </w:rPr>
        <w:t xml:space="preserve">ançamento de </w:t>
      </w:r>
      <w:r w:rsidR="002A725A" w:rsidRPr="007D5D4F">
        <w:rPr>
          <w:rFonts w:cs="Arial"/>
          <w:b w:val="0"/>
          <w:i w:val="0"/>
        </w:rPr>
        <w:t>E</w:t>
      </w:r>
      <w:r w:rsidR="007A4FD2" w:rsidRPr="007D5D4F">
        <w:rPr>
          <w:rFonts w:cs="Arial"/>
          <w:b w:val="0"/>
          <w:i w:val="0"/>
        </w:rPr>
        <w:t xml:space="preserve">fluentes </w:t>
      </w:r>
      <w:r w:rsidR="002A725A" w:rsidRPr="007D5D4F">
        <w:rPr>
          <w:rFonts w:cs="Arial"/>
          <w:b w:val="0"/>
          <w:i w:val="0"/>
        </w:rPr>
        <w:t>L</w:t>
      </w:r>
      <w:r w:rsidR="007A4FD2" w:rsidRPr="007D5D4F">
        <w:rPr>
          <w:rFonts w:cs="Arial"/>
          <w:b w:val="0"/>
          <w:i w:val="0"/>
        </w:rPr>
        <w:t xml:space="preserve">íquidos </w:t>
      </w:r>
      <w:r w:rsidR="002A725A" w:rsidRPr="007D5D4F">
        <w:rPr>
          <w:rFonts w:cs="Arial"/>
          <w:b w:val="0"/>
          <w:i w:val="0"/>
        </w:rPr>
        <w:t>N</w:t>
      </w:r>
      <w:r w:rsidR="007A4FD2" w:rsidRPr="007D5D4F">
        <w:rPr>
          <w:rFonts w:cs="Arial"/>
          <w:b w:val="0"/>
          <w:i w:val="0"/>
        </w:rPr>
        <w:t xml:space="preserve">efastos </w:t>
      </w:r>
      <w:r w:rsidR="007A4FD2" w:rsidRPr="007D5D4F">
        <w:rPr>
          <w:rFonts w:cs="Arial"/>
          <w:b w:val="0"/>
          <w:bCs/>
          <w:i w:val="0"/>
        </w:rPr>
        <w:t xml:space="preserve">— </w:t>
      </w:r>
      <w:r w:rsidR="007A4FD2" w:rsidRPr="007D5D4F">
        <w:rPr>
          <w:b w:val="0"/>
          <w:i w:val="0"/>
        </w:rPr>
        <w:t>Barragens Pedreira e Duas Pontes</w:t>
      </w:r>
      <w:bookmarkEnd w:id="412"/>
    </w:p>
    <w:tbl>
      <w:tblPr>
        <w:tblW w:w="0" w:type="auto"/>
        <w:jc w:val="center"/>
        <w:tblInd w:w="-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2"/>
        <w:gridCol w:w="1772"/>
        <w:gridCol w:w="1772"/>
        <w:gridCol w:w="1772"/>
        <w:gridCol w:w="1773"/>
      </w:tblGrid>
      <w:tr w:rsidR="007A4FD2" w:rsidRPr="00A43380" w:rsidTr="008204B6">
        <w:trPr>
          <w:trHeight w:val="514"/>
          <w:jc w:val="center"/>
        </w:trPr>
        <w:tc>
          <w:tcPr>
            <w:tcW w:w="1772" w:type="dxa"/>
            <w:shd w:val="clear" w:color="auto" w:fill="D9D9D9" w:themeFill="background1" w:themeFillShade="D9"/>
            <w:vAlign w:val="center"/>
          </w:tcPr>
          <w:p w:rsidR="007A4FD2" w:rsidRPr="00A43380" w:rsidRDefault="007A4FD2" w:rsidP="00AE11B8">
            <w:pPr>
              <w:autoSpaceDE w:val="0"/>
              <w:autoSpaceDN w:val="0"/>
              <w:adjustRightInd w:val="0"/>
              <w:spacing w:line="240" w:lineRule="auto"/>
              <w:jc w:val="center"/>
              <w:rPr>
                <w:rFonts w:cs="Arial"/>
                <w:b/>
                <w:sz w:val="20"/>
              </w:rPr>
            </w:pPr>
            <w:r w:rsidRPr="00A43380">
              <w:rPr>
                <w:rFonts w:cs="Arial"/>
                <w:b/>
                <w:sz w:val="20"/>
              </w:rPr>
              <w:t>Natureza</w:t>
            </w:r>
          </w:p>
        </w:tc>
        <w:tc>
          <w:tcPr>
            <w:tcW w:w="1772" w:type="dxa"/>
            <w:shd w:val="clear" w:color="auto" w:fill="D9D9D9" w:themeFill="background1" w:themeFillShade="D9"/>
            <w:vAlign w:val="center"/>
          </w:tcPr>
          <w:p w:rsidR="007A4FD2" w:rsidRPr="00A43380" w:rsidRDefault="007A4FD2" w:rsidP="00AE11B8">
            <w:pPr>
              <w:autoSpaceDE w:val="0"/>
              <w:autoSpaceDN w:val="0"/>
              <w:adjustRightInd w:val="0"/>
              <w:spacing w:line="240" w:lineRule="auto"/>
              <w:jc w:val="center"/>
              <w:rPr>
                <w:rFonts w:cs="Arial"/>
                <w:b/>
                <w:sz w:val="20"/>
              </w:rPr>
            </w:pPr>
            <w:r w:rsidRPr="00A43380">
              <w:rPr>
                <w:rFonts w:cs="Arial"/>
                <w:b/>
                <w:sz w:val="20"/>
              </w:rPr>
              <w:t>Ordem</w:t>
            </w:r>
          </w:p>
        </w:tc>
        <w:tc>
          <w:tcPr>
            <w:tcW w:w="1772" w:type="dxa"/>
            <w:shd w:val="clear" w:color="auto" w:fill="D9D9D9" w:themeFill="background1" w:themeFillShade="D9"/>
            <w:vAlign w:val="center"/>
          </w:tcPr>
          <w:p w:rsidR="007A4FD2" w:rsidRPr="00A43380" w:rsidRDefault="007A4FD2" w:rsidP="00AE11B8">
            <w:pPr>
              <w:autoSpaceDE w:val="0"/>
              <w:autoSpaceDN w:val="0"/>
              <w:adjustRightInd w:val="0"/>
              <w:spacing w:line="240" w:lineRule="auto"/>
              <w:jc w:val="center"/>
              <w:rPr>
                <w:rFonts w:cs="Arial"/>
                <w:b/>
                <w:sz w:val="20"/>
              </w:rPr>
            </w:pPr>
            <w:r w:rsidRPr="00A43380">
              <w:rPr>
                <w:rFonts w:cs="Arial"/>
                <w:b/>
                <w:sz w:val="20"/>
              </w:rPr>
              <w:t>Abrangência</w:t>
            </w:r>
          </w:p>
        </w:tc>
        <w:tc>
          <w:tcPr>
            <w:tcW w:w="1772" w:type="dxa"/>
            <w:shd w:val="clear" w:color="auto" w:fill="D9D9D9" w:themeFill="background1" w:themeFillShade="D9"/>
            <w:vAlign w:val="center"/>
          </w:tcPr>
          <w:p w:rsidR="007A4FD2" w:rsidRPr="00A43380" w:rsidRDefault="007A4FD2" w:rsidP="00AE11B8">
            <w:pPr>
              <w:autoSpaceDE w:val="0"/>
              <w:autoSpaceDN w:val="0"/>
              <w:adjustRightInd w:val="0"/>
              <w:spacing w:line="240" w:lineRule="auto"/>
              <w:jc w:val="center"/>
              <w:rPr>
                <w:rFonts w:cs="Arial"/>
                <w:b/>
                <w:sz w:val="20"/>
              </w:rPr>
            </w:pPr>
            <w:r w:rsidRPr="00A43380">
              <w:rPr>
                <w:rFonts w:cs="Arial"/>
                <w:b/>
                <w:sz w:val="20"/>
              </w:rPr>
              <w:t>Duração</w:t>
            </w:r>
          </w:p>
        </w:tc>
        <w:tc>
          <w:tcPr>
            <w:tcW w:w="1773" w:type="dxa"/>
            <w:shd w:val="clear" w:color="auto" w:fill="D9D9D9" w:themeFill="background1" w:themeFillShade="D9"/>
            <w:vAlign w:val="center"/>
          </w:tcPr>
          <w:p w:rsidR="007A4FD2" w:rsidRPr="00A43380" w:rsidRDefault="007A4FD2" w:rsidP="00AE11B8">
            <w:pPr>
              <w:autoSpaceDE w:val="0"/>
              <w:autoSpaceDN w:val="0"/>
              <w:adjustRightInd w:val="0"/>
              <w:spacing w:line="240" w:lineRule="auto"/>
              <w:jc w:val="center"/>
              <w:rPr>
                <w:rFonts w:cs="Arial"/>
                <w:b/>
                <w:sz w:val="20"/>
              </w:rPr>
            </w:pPr>
            <w:r w:rsidRPr="00A43380">
              <w:rPr>
                <w:rFonts w:cs="Arial"/>
                <w:b/>
                <w:sz w:val="20"/>
              </w:rPr>
              <w:t>Probabilidade de Ocorrência</w:t>
            </w:r>
          </w:p>
        </w:tc>
      </w:tr>
      <w:tr w:rsidR="007A4FD2" w:rsidRPr="00A43380" w:rsidTr="007A4FD2">
        <w:trPr>
          <w:trHeight w:val="477"/>
          <w:jc w:val="center"/>
        </w:trPr>
        <w:tc>
          <w:tcPr>
            <w:tcW w:w="1772" w:type="dxa"/>
            <w:shd w:val="clear" w:color="auto" w:fill="auto"/>
            <w:vAlign w:val="center"/>
          </w:tcPr>
          <w:p w:rsidR="007A4FD2" w:rsidRPr="00D412A7" w:rsidRDefault="007A4FD2" w:rsidP="00AE11B8">
            <w:pPr>
              <w:autoSpaceDE w:val="0"/>
              <w:autoSpaceDN w:val="0"/>
              <w:adjustRightInd w:val="0"/>
              <w:spacing w:line="240" w:lineRule="auto"/>
              <w:jc w:val="center"/>
              <w:rPr>
                <w:rFonts w:cs="Arial"/>
                <w:sz w:val="20"/>
              </w:rPr>
            </w:pPr>
            <w:r>
              <w:rPr>
                <w:rFonts w:cs="Arial"/>
                <w:sz w:val="20"/>
              </w:rPr>
              <w:t>Negativo</w:t>
            </w:r>
          </w:p>
        </w:tc>
        <w:tc>
          <w:tcPr>
            <w:tcW w:w="1772" w:type="dxa"/>
            <w:shd w:val="clear" w:color="auto" w:fill="auto"/>
            <w:vAlign w:val="center"/>
          </w:tcPr>
          <w:p w:rsidR="007A4FD2" w:rsidRPr="00D412A7" w:rsidRDefault="007A4FD2" w:rsidP="00AE11B8">
            <w:pPr>
              <w:autoSpaceDE w:val="0"/>
              <w:autoSpaceDN w:val="0"/>
              <w:adjustRightInd w:val="0"/>
              <w:spacing w:line="240" w:lineRule="auto"/>
              <w:jc w:val="center"/>
              <w:rPr>
                <w:rFonts w:cs="Arial"/>
                <w:sz w:val="20"/>
              </w:rPr>
            </w:pPr>
            <w:r>
              <w:rPr>
                <w:rFonts w:cs="Arial"/>
                <w:sz w:val="20"/>
              </w:rPr>
              <w:t>Direto</w:t>
            </w:r>
          </w:p>
        </w:tc>
        <w:tc>
          <w:tcPr>
            <w:tcW w:w="1772" w:type="dxa"/>
            <w:shd w:val="clear" w:color="auto" w:fill="auto"/>
            <w:vAlign w:val="center"/>
          </w:tcPr>
          <w:p w:rsidR="007A4FD2" w:rsidRPr="00D412A7" w:rsidRDefault="007A4FD2" w:rsidP="00AE11B8">
            <w:pPr>
              <w:autoSpaceDE w:val="0"/>
              <w:autoSpaceDN w:val="0"/>
              <w:adjustRightInd w:val="0"/>
              <w:spacing w:line="240" w:lineRule="auto"/>
              <w:jc w:val="center"/>
              <w:rPr>
                <w:rFonts w:cs="Arial"/>
                <w:sz w:val="20"/>
              </w:rPr>
            </w:pPr>
            <w:r>
              <w:rPr>
                <w:rFonts w:cs="Arial"/>
                <w:sz w:val="20"/>
              </w:rPr>
              <w:t>Local</w:t>
            </w:r>
          </w:p>
        </w:tc>
        <w:tc>
          <w:tcPr>
            <w:tcW w:w="1772" w:type="dxa"/>
            <w:shd w:val="clear" w:color="auto" w:fill="auto"/>
            <w:vAlign w:val="center"/>
          </w:tcPr>
          <w:p w:rsidR="007A4FD2" w:rsidRPr="00D412A7" w:rsidRDefault="007A4FD2" w:rsidP="00AE11B8">
            <w:pPr>
              <w:autoSpaceDE w:val="0"/>
              <w:autoSpaceDN w:val="0"/>
              <w:adjustRightInd w:val="0"/>
              <w:spacing w:line="240" w:lineRule="auto"/>
              <w:jc w:val="center"/>
              <w:rPr>
                <w:rFonts w:cs="Arial"/>
                <w:sz w:val="20"/>
              </w:rPr>
            </w:pPr>
            <w:r>
              <w:rPr>
                <w:rFonts w:cs="Arial"/>
                <w:sz w:val="20"/>
              </w:rPr>
              <w:t>Temporário</w:t>
            </w:r>
          </w:p>
        </w:tc>
        <w:tc>
          <w:tcPr>
            <w:tcW w:w="1773" w:type="dxa"/>
            <w:shd w:val="clear" w:color="auto" w:fill="auto"/>
            <w:vAlign w:val="center"/>
          </w:tcPr>
          <w:p w:rsidR="007A4FD2" w:rsidRPr="00D412A7" w:rsidRDefault="007A4FD2" w:rsidP="00AE11B8">
            <w:pPr>
              <w:autoSpaceDE w:val="0"/>
              <w:autoSpaceDN w:val="0"/>
              <w:adjustRightInd w:val="0"/>
              <w:spacing w:line="240" w:lineRule="auto"/>
              <w:jc w:val="center"/>
              <w:rPr>
                <w:rFonts w:cs="Arial"/>
                <w:sz w:val="20"/>
              </w:rPr>
            </w:pPr>
            <w:r>
              <w:rPr>
                <w:rFonts w:cs="Arial"/>
                <w:sz w:val="20"/>
              </w:rPr>
              <w:t>Provável</w:t>
            </w:r>
          </w:p>
        </w:tc>
      </w:tr>
    </w:tbl>
    <w:p w:rsidR="007A4FD2" w:rsidRPr="00A43380" w:rsidRDefault="007A4FD2" w:rsidP="00AE11B8">
      <w:pPr>
        <w:autoSpaceDE w:val="0"/>
        <w:autoSpaceDN w:val="0"/>
        <w:adjustRightInd w:val="0"/>
        <w:spacing w:line="240" w:lineRule="auto"/>
        <w:jc w:val="center"/>
        <w:rPr>
          <w:rFonts w:cs="Arial"/>
          <w:sz w:val="20"/>
        </w:rPr>
      </w:pPr>
    </w:p>
    <w:tbl>
      <w:tblPr>
        <w:tblW w:w="0" w:type="auto"/>
        <w:jc w:val="center"/>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4"/>
        <w:gridCol w:w="1775"/>
        <w:gridCol w:w="1774"/>
        <w:gridCol w:w="1775"/>
        <w:gridCol w:w="1775"/>
      </w:tblGrid>
      <w:tr w:rsidR="007A4FD2" w:rsidRPr="00A43380" w:rsidTr="008204B6">
        <w:trPr>
          <w:trHeight w:val="397"/>
          <w:jc w:val="center"/>
        </w:trPr>
        <w:tc>
          <w:tcPr>
            <w:tcW w:w="1774" w:type="dxa"/>
            <w:shd w:val="clear" w:color="auto" w:fill="D9D9D9" w:themeFill="background1" w:themeFillShade="D9"/>
            <w:vAlign w:val="center"/>
          </w:tcPr>
          <w:p w:rsidR="007A4FD2" w:rsidRPr="00A43380" w:rsidRDefault="007A4FD2" w:rsidP="00AE11B8">
            <w:pPr>
              <w:autoSpaceDE w:val="0"/>
              <w:autoSpaceDN w:val="0"/>
              <w:adjustRightInd w:val="0"/>
              <w:spacing w:line="240" w:lineRule="auto"/>
              <w:jc w:val="center"/>
              <w:rPr>
                <w:rFonts w:cs="Arial"/>
                <w:b/>
                <w:sz w:val="20"/>
              </w:rPr>
            </w:pPr>
            <w:r w:rsidRPr="00A43380">
              <w:rPr>
                <w:rFonts w:cs="Arial"/>
                <w:b/>
                <w:sz w:val="20"/>
              </w:rPr>
              <w:t>Época de Ocorrência</w:t>
            </w:r>
          </w:p>
        </w:tc>
        <w:tc>
          <w:tcPr>
            <w:tcW w:w="1775" w:type="dxa"/>
            <w:shd w:val="clear" w:color="auto" w:fill="D9D9D9" w:themeFill="background1" w:themeFillShade="D9"/>
            <w:vAlign w:val="center"/>
          </w:tcPr>
          <w:p w:rsidR="007A4FD2" w:rsidRPr="00A43380" w:rsidRDefault="007A4FD2" w:rsidP="00AE11B8">
            <w:pPr>
              <w:autoSpaceDE w:val="0"/>
              <w:autoSpaceDN w:val="0"/>
              <w:adjustRightInd w:val="0"/>
              <w:spacing w:line="240" w:lineRule="auto"/>
              <w:jc w:val="center"/>
              <w:rPr>
                <w:rFonts w:cs="Arial"/>
                <w:b/>
                <w:sz w:val="20"/>
              </w:rPr>
            </w:pPr>
            <w:r w:rsidRPr="00A43380">
              <w:rPr>
                <w:rFonts w:cs="Arial"/>
                <w:b/>
                <w:sz w:val="20"/>
              </w:rPr>
              <w:t>Reversibilidade</w:t>
            </w:r>
          </w:p>
        </w:tc>
        <w:tc>
          <w:tcPr>
            <w:tcW w:w="1774" w:type="dxa"/>
            <w:shd w:val="clear" w:color="auto" w:fill="D9D9D9" w:themeFill="background1" w:themeFillShade="D9"/>
            <w:vAlign w:val="center"/>
          </w:tcPr>
          <w:p w:rsidR="007A4FD2" w:rsidRPr="00A43380" w:rsidRDefault="007A4FD2" w:rsidP="00AE11B8">
            <w:pPr>
              <w:autoSpaceDE w:val="0"/>
              <w:autoSpaceDN w:val="0"/>
              <w:adjustRightInd w:val="0"/>
              <w:spacing w:line="240" w:lineRule="auto"/>
              <w:jc w:val="center"/>
              <w:rPr>
                <w:rFonts w:cs="Arial"/>
                <w:b/>
                <w:sz w:val="20"/>
              </w:rPr>
            </w:pPr>
            <w:r w:rsidRPr="00A43380">
              <w:rPr>
                <w:rFonts w:cs="Arial"/>
                <w:b/>
                <w:sz w:val="20"/>
              </w:rPr>
              <w:t>Magnitude</w:t>
            </w:r>
          </w:p>
        </w:tc>
        <w:tc>
          <w:tcPr>
            <w:tcW w:w="1775" w:type="dxa"/>
            <w:shd w:val="clear" w:color="auto" w:fill="D9D9D9" w:themeFill="background1" w:themeFillShade="D9"/>
            <w:vAlign w:val="center"/>
          </w:tcPr>
          <w:p w:rsidR="007A4FD2" w:rsidRPr="00A43380" w:rsidRDefault="007A4FD2" w:rsidP="00AE11B8">
            <w:pPr>
              <w:autoSpaceDE w:val="0"/>
              <w:autoSpaceDN w:val="0"/>
              <w:adjustRightInd w:val="0"/>
              <w:spacing w:line="240" w:lineRule="auto"/>
              <w:jc w:val="center"/>
              <w:rPr>
                <w:rFonts w:cs="Arial"/>
                <w:b/>
                <w:sz w:val="20"/>
              </w:rPr>
            </w:pPr>
            <w:r w:rsidRPr="00A43380">
              <w:rPr>
                <w:rFonts w:cs="Arial"/>
                <w:b/>
                <w:sz w:val="20"/>
              </w:rPr>
              <w:t>Importância</w:t>
            </w:r>
          </w:p>
        </w:tc>
        <w:tc>
          <w:tcPr>
            <w:tcW w:w="1775" w:type="dxa"/>
            <w:shd w:val="clear" w:color="auto" w:fill="D9D9D9" w:themeFill="background1" w:themeFillShade="D9"/>
            <w:vAlign w:val="center"/>
          </w:tcPr>
          <w:p w:rsidR="007A4FD2" w:rsidRPr="00A43380" w:rsidRDefault="007A4FD2" w:rsidP="00AE11B8">
            <w:pPr>
              <w:autoSpaceDE w:val="0"/>
              <w:autoSpaceDN w:val="0"/>
              <w:adjustRightInd w:val="0"/>
              <w:spacing w:line="240" w:lineRule="auto"/>
              <w:jc w:val="center"/>
              <w:rPr>
                <w:rFonts w:cs="Arial"/>
                <w:b/>
                <w:sz w:val="20"/>
              </w:rPr>
            </w:pPr>
            <w:r w:rsidRPr="00A43380">
              <w:rPr>
                <w:rFonts w:cs="Arial"/>
                <w:b/>
                <w:sz w:val="20"/>
              </w:rPr>
              <w:t>Mitigação</w:t>
            </w:r>
          </w:p>
        </w:tc>
      </w:tr>
      <w:tr w:rsidR="007A4FD2" w:rsidRPr="00A43380" w:rsidTr="007A4FD2">
        <w:trPr>
          <w:trHeight w:val="423"/>
          <w:jc w:val="center"/>
        </w:trPr>
        <w:tc>
          <w:tcPr>
            <w:tcW w:w="1774" w:type="dxa"/>
            <w:shd w:val="clear" w:color="auto" w:fill="auto"/>
            <w:vAlign w:val="center"/>
          </w:tcPr>
          <w:p w:rsidR="007A4FD2" w:rsidRPr="00D412A7" w:rsidRDefault="007A4FD2" w:rsidP="00AE11B8">
            <w:pPr>
              <w:autoSpaceDE w:val="0"/>
              <w:autoSpaceDN w:val="0"/>
              <w:adjustRightInd w:val="0"/>
              <w:spacing w:line="240" w:lineRule="auto"/>
              <w:jc w:val="center"/>
              <w:rPr>
                <w:rFonts w:cs="Arial"/>
                <w:sz w:val="20"/>
              </w:rPr>
            </w:pPr>
            <w:r>
              <w:rPr>
                <w:rFonts w:cs="Arial"/>
                <w:sz w:val="20"/>
              </w:rPr>
              <w:t>Curto Prazo</w:t>
            </w:r>
          </w:p>
        </w:tc>
        <w:tc>
          <w:tcPr>
            <w:tcW w:w="1775" w:type="dxa"/>
            <w:shd w:val="clear" w:color="auto" w:fill="auto"/>
            <w:vAlign w:val="center"/>
          </w:tcPr>
          <w:p w:rsidR="007A4FD2" w:rsidRPr="00D412A7" w:rsidRDefault="007A4FD2" w:rsidP="00AE11B8">
            <w:pPr>
              <w:autoSpaceDE w:val="0"/>
              <w:autoSpaceDN w:val="0"/>
              <w:adjustRightInd w:val="0"/>
              <w:spacing w:line="240" w:lineRule="auto"/>
              <w:jc w:val="center"/>
              <w:rPr>
                <w:rFonts w:cs="Arial"/>
                <w:sz w:val="20"/>
              </w:rPr>
            </w:pPr>
            <w:r>
              <w:rPr>
                <w:rFonts w:cs="Arial"/>
                <w:sz w:val="20"/>
              </w:rPr>
              <w:t>Reversível</w:t>
            </w:r>
          </w:p>
        </w:tc>
        <w:tc>
          <w:tcPr>
            <w:tcW w:w="1774" w:type="dxa"/>
            <w:shd w:val="clear" w:color="auto" w:fill="auto"/>
            <w:vAlign w:val="center"/>
          </w:tcPr>
          <w:p w:rsidR="007A4FD2" w:rsidRPr="00535D8B" w:rsidRDefault="007A4FD2" w:rsidP="00AE11B8">
            <w:pPr>
              <w:autoSpaceDE w:val="0"/>
              <w:autoSpaceDN w:val="0"/>
              <w:adjustRightInd w:val="0"/>
              <w:spacing w:line="240" w:lineRule="auto"/>
              <w:jc w:val="center"/>
              <w:rPr>
                <w:rFonts w:cs="Arial"/>
                <w:sz w:val="20"/>
              </w:rPr>
            </w:pPr>
            <w:r>
              <w:rPr>
                <w:rFonts w:cs="Arial"/>
                <w:sz w:val="20"/>
              </w:rPr>
              <w:t>Média</w:t>
            </w:r>
          </w:p>
        </w:tc>
        <w:tc>
          <w:tcPr>
            <w:tcW w:w="1775" w:type="dxa"/>
            <w:shd w:val="clear" w:color="auto" w:fill="auto"/>
            <w:vAlign w:val="center"/>
          </w:tcPr>
          <w:p w:rsidR="007A4FD2" w:rsidRPr="00535D8B" w:rsidRDefault="007A4FD2" w:rsidP="00AE11B8">
            <w:pPr>
              <w:autoSpaceDE w:val="0"/>
              <w:autoSpaceDN w:val="0"/>
              <w:adjustRightInd w:val="0"/>
              <w:spacing w:line="240" w:lineRule="auto"/>
              <w:jc w:val="center"/>
              <w:rPr>
                <w:rFonts w:cs="Arial"/>
                <w:sz w:val="20"/>
              </w:rPr>
            </w:pPr>
            <w:r>
              <w:rPr>
                <w:rFonts w:cs="Arial"/>
                <w:sz w:val="20"/>
              </w:rPr>
              <w:t>Média</w:t>
            </w:r>
          </w:p>
        </w:tc>
        <w:tc>
          <w:tcPr>
            <w:tcW w:w="1775" w:type="dxa"/>
            <w:shd w:val="clear" w:color="auto" w:fill="auto"/>
            <w:vAlign w:val="center"/>
          </w:tcPr>
          <w:p w:rsidR="007A4FD2" w:rsidRPr="00535D8B" w:rsidRDefault="007A4FD2" w:rsidP="00AE11B8">
            <w:pPr>
              <w:autoSpaceDE w:val="0"/>
              <w:autoSpaceDN w:val="0"/>
              <w:adjustRightInd w:val="0"/>
              <w:spacing w:line="240" w:lineRule="auto"/>
              <w:jc w:val="center"/>
              <w:rPr>
                <w:rFonts w:cs="Arial"/>
                <w:sz w:val="20"/>
              </w:rPr>
            </w:pPr>
            <w:r>
              <w:rPr>
                <w:rFonts w:cs="Arial"/>
                <w:sz w:val="20"/>
              </w:rPr>
              <w:t>Mitigável</w:t>
            </w:r>
          </w:p>
        </w:tc>
      </w:tr>
    </w:tbl>
    <w:p w:rsidR="007A4FD2" w:rsidRDefault="007A4FD2" w:rsidP="007A4FD2"/>
    <w:p w:rsidR="007A4FD2" w:rsidRPr="00683EFB" w:rsidRDefault="007A4FD2" w:rsidP="000C6484">
      <w:pPr>
        <w:rPr>
          <w:b/>
        </w:rPr>
      </w:pPr>
      <w:r w:rsidRPr="00683EFB">
        <w:rPr>
          <w:b/>
        </w:rPr>
        <w:t>Ações Ambientais Propostas</w:t>
      </w:r>
    </w:p>
    <w:p w:rsidR="007A4FD2" w:rsidRPr="006920CA" w:rsidRDefault="007A4FD2" w:rsidP="00AE11B8">
      <w:pPr>
        <w:spacing w:before="120" w:after="120" w:line="240" w:lineRule="auto"/>
        <w:rPr>
          <w:rFonts w:cs="Arial"/>
        </w:rPr>
      </w:pPr>
      <w:r w:rsidRPr="006920CA">
        <w:rPr>
          <w:rFonts w:cs="Arial"/>
        </w:rPr>
        <w:t>O empreendedor deverá exigir da empreiteira contratada</w:t>
      </w:r>
      <w:r>
        <w:rPr>
          <w:rFonts w:cs="Arial"/>
        </w:rPr>
        <w:t>:</w:t>
      </w:r>
      <w:r w:rsidRPr="006920CA">
        <w:rPr>
          <w:rFonts w:cs="Arial"/>
        </w:rPr>
        <w:t xml:space="preserve"> a implantação </w:t>
      </w:r>
      <w:r>
        <w:rPr>
          <w:rFonts w:cs="Arial"/>
        </w:rPr>
        <w:t>de</w:t>
      </w:r>
      <w:r w:rsidRPr="006920CA">
        <w:rPr>
          <w:rFonts w:cs="Arial"/>
        </w:rPr>
        <w:t xml:space="preserve"> </w:t>
      </w:r>
      <w:r>
        <w:rPr>
          <w:rFonts w:cs="Arial"/>
        </w:rPr>
        <w:t>i</w:t>
      </w:r>
      <w:r w:rsidRPr="006920CA">
        <w:rPr>
          <w:rFonts w:cs="Arial"/>
        </w:rPr>
        <w:t xml:space="preserve">nstalações sanitárias com seu </w:t>
      </w:r>
      <w:r>
        <w:rPr>
          <w:rFonts w:cs="Arial"/>
        </w:rPr>
        <w:t>adequado</w:t>
      </w:r>
      <w:r w:rsidRPr="006920CA">
        <w:rPr>
          <w:rFonts w:cs="Arial"/>
        </w:rPr>
        <w:t xml:space="preserve"> sistema de tratamento;</w:t>
      </w:r>
      <w:r>
        <w:rPr>
          <w:rFonts w:cs="Arial"/>
        </w:rPr>
        <w:t xml:space="preserve"> estrito a</w:t>
      </w:r>
      <w:r w:rsidRPr="006920CA">
        <w:rPr>
          <w:rFonts w:cs="Arial"/>
        </w:rPr>
        <w:t>tendimento aos padrões de lançamento;</w:t>
      </w:r>
      <w:r>
        <w:rPr>
          <w:rFonts w:cs="Arial"/>
        </w:rPr>
        <w:t xml:space="preserve"> e s</w:t>
      </w:r>
      <w:r w:rsidRPr="006920CA">
        <w:rPr>
          <w:rFonts w:cs="Arial"/>
        </w:rPr>
        <w:t>istema de controle ambiental para tratamento dos efluentes oleosos (SAO)</w:t>
      </w:r>
      <w:r>
        <w:rPr>
          <w:rFonts w:cs="Arial"/>
        </w:rPr>
        <w:t>.</w:t>
      </w:r>
    </w:p>
    <w:p w:rsidR="00973BCF" w:rsidRPr="008204B6" w:rsidRDefault="00CD6D82" w:rsidP="008204B6">
      <w:pPr>
        <w:pStyle w:val="Ttulo3"/>
        <w:rPr>
          <w:rFonts w:ascii="Arial Negrito" w:hAnsi="Arial Negrito"/>
          <w:bCs/>
        </w:rPr>
      </w:pPr>
      <w:bookmarkStart w:id="413" w:name="_Toc418758260"/>
      <w:bookmarkStart w:id="414" w:name="_Toc418758862"/>
      <w:bookmarkStart w:id="415" w:name="_Toc419813622"/>
      <w:r w:rsidRPr="008204B6">
        <w:rPr>
          <w:rFonts w:ascii="Arial Negrito" w:hAnsi="Arial Negrito"/>
          <w:bCs/>
        </w:rPr>
        <w:t xml:space="preserve">1.3.3.13. </w:t>
      </w:r>
      <w:r w:rsidR="00973BCF" w:rsidRPr="008204B6">
        <w:rPr>
          <w:rFonts w:ascii="Arial Negrito" w:hAnsi="Arial Negrito"/>
          <w:bCs/>
        </w:rPr>
        <w:t>Interferências com Infraestruturas Existentes</w:t>
      </w:r>
      <w:bookmarkEnd w:id="413"/>
      <w:bookmarkEnd w:id="414"/>
      <w:bookmarkEnd w:id="415"/>
    </w:p>
    <w:p w:rsidR="00F83100" w:rsidRDefault="008C15C3" w:rsidP="001168F3">
      <w:pPr>
        <w:spacing w:before="120" w:after="120" w:line="240" w:lineRule="auto"/>
      </w:pPr>
      <w:r>
        <w:t xml:space="preserve">A região de inserção das </w:t>
      </w:r>
      <w:r w:rsidR="002A725A">
        <w:t>B</w:t>
      </w:r>
      <w:r>
        <w:t>arragens</w:t>
      </w:r>
      <w:r w:rsidR="00F83100">
        <w:t xml:space="preserve"> Pedreira e Duas Pontes é de ocupação antiga, possuindo uma extensa rede viária formada por rodovias estaduais e estradas municipais, como também uma adequada infraestrutura de distribuição de energia elétrica na área rural.</w:t>
      </w:r>
    </w:p>
    <w:p w:rsidR="00F83100" w:rsidRPr="00307561" w:rsidRDefault="00F83100" w:rsidP="001168F3">
      <w:pPr>
        <w:spacing w:before="120" w:after="120" w:line="240" w:lineRule="auto"/>
        <w:rPr>
          <w:b/>
        </w:rPr>
      </w:pPr>
      <w:r w:rsidRPr="00307561">
        <w:rPr>
          <w:b/>
        </w:rPr>
        <w:t>Fase: Implantação</w:t>
      </w:r>
    </w:p>
    <w:p w:rsidR="00BD17DB" w:rsidRDefault="00BD17DB" w:rsidP="00431A97">
      <w:pPr>
        <w:numPr>
          <w:ilvl w:val="0"/>
          <w:numId w:val="66"/>
        </w:numPr>
        <w:spacing w:before="120" w:after="120" w:line="240" w:lineRule="auto"/>
        <w:ind w:left="567" w:hanging="567"/>
        <w:rPr>
          <w:b/>
        </w:rPr>
      </w:pPr>
      <w:r>
        <w:rPr>
          <w:b/>
        </w:rPr>
        <w:t>Interferências com Infraestrutura Viária</w:t>
      </w:r>
    </w:p>
    <w:p w:rsidR="00F83100" w:rsidRDefault="00F83100" w:rsidP="001168F3">
      <w:pPr>
        <w:spacing w:before="120" w:after="120" w:line="240" w:lineRule="auto"/>
      </w:pPr>
      <w:r>
        <w:t xml:space="preserve">As interferências sobre a infraestrutura viária devem ocorrer principalmente durante a fase de implantação dos empreendimentos, seja pelo aumento da movimentação de veículos (impacto temporário) e pela formação do reservatório, quando estradas e caminhos serão inundados (impacto permanente). </w:t>
      </w:r>
      <w:r w:rsidRPr="00627F87">
        <w:t>O impacto provocado pelo aumento</w:t>
      </w:r>
      <w:r>
        <w:t xml:space="preserve"> da movimentação de veículos será tratado no Impacto – Pressão na Infraestrutura Viária.</w:t>
      </w:r>
    </w:p>
    <w:p w:rsidR="00F83100" w:rsidRDefault="00F83100" w:rsidP="001168F3">
      <w:pPr>
        <w:spacing w:before="120" w:after="120" w:line="240" w:lineRule="auto"/>
      </w:pPr>
      <w:r>
        <w:t>Na fase de operação não devem ocorrer interferências, já que a movimentação de veículos por conta dos empreendimentos é mínima, consistindo no acesso dos operadores da barragem e das equipes de inspeção e manutenção, estes dois últimos grupos com visitas esporádicas.</w:t>
      </w:r>
    </w:p>
    <w:p w:rsidR="00BD17DB" w:rsidRPr="002E29E3" w:rsidRDefault="00F83100" w:rsidP="002E29E3">
      <w:pPr>
        <w:pStyle w:val="Item-Trainho"/>
        <w:rPr>
          <w:b/>
        </w:rPr>
      </w:pPr>
      <w:r w:rsidRPr="002E29E3">
        <w:rPr>
          <w:b/>
        </w:rPr>
        <w:t>Pedreira</w:t>
      </w:r>
    </w:p>
    <w:p w:rsidR="00F83100" w:rsidRDefault="008C15C3" w:rsidP="001168F3">
      <w:pPr>
        <w:spacing w:before="120" w:after="120" w:line="240" w:lineRule="auto"/>
      </w:pPr>
      <w:r>
        <w:t>A Barragem</w:t>
      </w:r>
      <w:r w:rsidR="00F83100">
        <w:t xml:space="preserve"> Pedreira, e o respectivo reservatório, encontram-se localizados nos municípios de Pedreira e Campinas, situados na margem direita e esquerda do rio Jaguari, respectivamente. O principal acesso ao local de implantação do barramento é </w:t>
      </w:r>
      <w:r w:rsidR="000C6484">
        <w:t xml:space="preserve">a partir da cidade de Pedreira, </w:t>
      </w:r>
      <w:r w:rsidR="007E2795">
        <w:t xml:space="preserve">pela estrada vicinal (PED-030), </w:t>
      </w:r>
      <w:r w:rsidR="00F83100">
        <w:t xml:space="preserve">Estrada da Ingatuba - continuação da </w:t>
      </w:r>
      <w:r w:rsidR="00F83100" w:rsidRPr="00EC1410">
        <w:t>rua Padre Alexandrino de Barros/Padre Francisco Salvino</w:t>
      </w:r>
      <w:r w:rsidR="00F83100">
        <w:t>. C</w:t>
      </w:r>
      <w:r w:rsidR="00F83100" w:rsidRPr="00EC1410">
        <w:t>om traçad</w:t>
      </w:r>
      <w:r w:rsidR="00F83100">
        <w:t xml:space="preserve">o na margem direita do rio Jaguari, a estrada permite o acesso às propriedades rurais da área, como também alcançar o setor do município denominado Núcleo Represa, que abrange os loteamentos Basílio e Jardim Náutico, já nas margens da PCH Jaguari. </w:t>
      </w:r>
    </w:p>
    <w:p w:rsidR="00F83100" w:rsidRDefault="00F83100" w:rsidP="001168F3">
      <w:pPr>
        <w:spacing w:before="120" w:after="120" w:line="240" w:lineRule="auto"/>
      </w:pPr>
      <w:r>
        <w:t>O eixo do barramento encontra-se a aproximadamente 2</w:t>
      </w:r>
      <w:r w:rsidRPr="00EC1410">
        <w:t>,1 km do início da área urbana da cidade de Pedreira, sendo que o trecho asfaltado da estrada termina a 1,3 km do local do eixo.</w:t>
      </w:r>
      <w:r>
        <w:t xml:space="preserve"> </w:t>
      </w:r>
    </w:p>
    <w:p w:rsidR="00F83100" w:rsidRDefault="00F83100" w:rsidP="001168F3">
      <w:pPr>
        <w:spacing w:before="120" w:after="120" w:line="240" w:lineRule="auto"/>
      </w:pPr>
      <w:r>
        <w:t xml:space="preserve">Na parte intermediária do futuro reservatório </w:t>
      </w:r>
      <w:r w:rsidR="008C15C3">
        <w:t>da Barragem</w:t>
      </w:r>
      <w:r>
        <w:t xml:space="preserve"> Pedreira</w:t>
      </w:r>
      <w:r w:rsidRPr="000C4777">
        <w:t xml:space="preserve"> </w:t>
      </w:r>
      <w:r>
        <w:t xml:space="preserve">se acessa a margem esquerda do rio Jaguari </w:t>
      </w:r>
      <w:r w:rsidR="007E2795">
        <w:t xml:space="preserve">utilizando </w:t>
      </w:r>
      <w:r>
        <w:t>a ponte de concreto,</w:t>
      </w:r>
      <w:r w:rsidR="007E2795">
        <w:t xml:space="preserve"> a qual</w:t>
      </w:r>
      <w:r>
        <w:t xml:space="preserve"> deve ser afetada pela formação do reservatório. Na outra margem, </w:t>
      </w:r>
      <w:r w:rsidR="007E2795">
        <w:t xml:space="preserve">já no município de Campinas, se localiza </w:t>
      </w:r>
      <w:r>
        <w:t>o Bairro Bom Retiro, pode</w:t>
      </w:r>
      <w:r w:rsidR="007E2795">
        <w:t>ndo</w:t>
      </w:r>
      <w:r>
        <w:t xml:space="preserve">-se acessar os estabelecimentos rurais, como também, </w:t>
      </w:r>
      <w:r w:rsidR="008A212D">
        <w:t xml:space="preserve">a </w:t>
      </w:r>
      <w:r>
        <w:t xml:space="preserve">PCH Macaco Branco. </w:t>
      </w:r>
      <w:r w:rsidR="008A212D">
        <w:t>A estrada, denominada CAM-010</w:t>
      </w:r>
      <w:r w:rsidR="00741AA4">
        <w:t xml:space="preserve"> (Rua Mario Garne</w:t>
      </w:r>
      <w:r w:rsidR="009A58CA">
        <w:t>r</w:t>
      </w:r>
      <w:r w:rsidR="00741AA4">
        <w:t>o)</w:t>
      </w:r>
      <w:r w:rsidR="008A212D">
        <w:t xml:space="preserve"> permite, também, o acesso à cidade de Campinas.</w:t>
      </w:r>
      <w:r>
        <w:t xml:space="preserve"> A formação do reservatório da </w:t>
      </w:r>
      <w:r w:rsidR="005E3672">
        <w:t>Barragem</w:t>
      </w:r>
      <w:r>
        <w:t xml:space="preserve"> Pedreira devera provocar a perda de parte dessas estradas e caminhos numa extensão de 16,4, km </w:t>
      </w:r>
      <w:r w:rsidRPr="00F83100">
        <w:t>(Desenho 7188-45-GL-810-DE-00159</w:t>
      </w:r>
      <w:r w:rsidR="006E430C">
        <w:t>, apresentado no final deste Volume</w:t>
      </w:r>
      <w:r w:rsidRPr="00F83100">
        <w:t>).</w:t>
      </w:r>
    </w:p>
    <w:p w:rsidR="007E2795" w:rsidRDefault="00F83100" w:rsidP="001168F3">
      <w:pPr>
        <w:spacing w:before="120" w:after="120" w:line="240" w:lineRule="auto"/>
      </w:pPr>
      <w:r>
        <w:t xml:space="preserve">As vias a serem inundadas deverão ser recompostas de modo a manter as ligações dos estabelecimentos rurais com as cidades, principalmente com Pedreira, a mais próxima. </w:t>
      </w:r>
    </w:p>
    <w:p w:rsidR="00F83100" w:rsidRDefault="00F83100" w:rsidP="001168F3">
      <w:pPr>
        <w:spacing w:before="120" w:after="120" w:line="240" w:lineRule="auto"/>
      </w:pPr>
      <w:r>
        <w:t xml:space="preserve">Visando manter </w:t>
      </w:r>
      <w:r w:rsidRPr="00A75066">
        <w:t xml:space="preserve">os </w:t>
      </w:r>
      <w:r>
        <w:t xml:space="preserve">fluxos </w:t>
      </w:r>
      <w:r w:rsidRPr="00A75066">
        <w:t xml:space="preserve">e garantir </w:t>
      </w:r>
      <w:r>
        <w:t xml:space="preserve">o </w:t>
      </w:r>
      <w:r w:rsidRPr="00A75066">
        <w:t xml:space="preserve">acesso </w:t>
      </w:r>
      <w:r>
        <w:t>às</w:t>
      </w:r>
      <w:r w:rsidRPr="00A75066">
        <w:t xml:space="preserve"> propriedades da região, será necessária a </w:t>
      </w:r>
      <w:r w:rsidRPr="00211392">
        <w:t xml:space="preserve">construção de </w:t>
      </w:r>
      <w:r w:rsidR="00C622F4" w:rsidRPr="00211392">
        <w:t xml:space="preserve">aproximadamente </w:t>
      </w:r>
      <w:r w:rsidR="00714125">
        <w:t>14,6</w:t>
      </w:r>
      <w:r w:rsidRPr="00211392">
        <w:t xml:space="preserve"> km de novas estradas de terra, </w:t>
      </w:r>
      <w:r w:rsidR="00741AA4" w:rsidRPr="00211392">
        <w:t>combinando a implantação de trechos novos</w:t>
      </w:r>
      <w:r w:rsidR="00C622F4" w:rsidRPr="00211392">
        <w:t xml:space="preserve"> </w:t>
      </w:r>
      <w:r w:rsidR="00741AA4" w:rsidRPr="00211392">
        <w:t>com a adequação de caminhos existentes,</w:t>
      </w:r>
      <w:r w:rsidR="00741AA4">
        <w:t xml:space="preserve"> </w:t>
      </w:r>
      <w:r w:rsidRPr="00A75066">
        <w:t>conforme mostrado no</w:t>
      </w:r>
      <w:r>
        <w:t xml:space="preserve"> </w:t>
      </w:r>
      <w:r w:rsidR="00402E81">
        <w:t>D</w:t>
      </w:r>
      <w:r w:rsidRPr="00714125">
        <w:t xml:space="preserve">esenho </w:t>
      </w:r>
      <w:r w:rsidR="00402E81">
        <w:t>n</w:t>
      </w:r>
      <w:r w:rsidR="00402E81" w:rsidRPr="00402E81">
        <w:rPr>
          <w:u w:val="single"/>
          <w:vertAlign w:val="superscript"/>
        </w:rPr>
        <w:t>o</w:t>
      </w:r>
      <w:r w:rsidR="00402E81">
        <w:t xml:space="preserve"> </w:t>
      </w:r>
      <w:r w:rsidRPr="00714125">
        <w:t>7188-45-GL-810-DE-00159</w:t>
      </w:r>
      <w:r w:rsidR="006E430C">
        <w:t xml:space="preserve"> </w:t>
      </w:r>
      <w:r w:rsidRPr="00714125">
        <w:t>.</w:t>
      </w:r>
    </w:p>
    <w:p w:rsidR="00F83100" w:rsidRDefault="00F83100" w:rsidP="001168F3">
      <w:pPr>
        <w:spacing w:before="120" w:after="120" w:line="240" w:lineRule="auto"/>
      </w:pPr>
      <w:r w:rsidRPr="003E73D7">
        <w:t>Pode-se n</w:t>
      </w:r>
      <w:r w:rsidR="007E2795">
        <w:t xml:space="preserve">otar uma diferença </w:t>
      </w:r>
      <w:r w:rsidRPr="003E73D7">
        <w:t xml:space="preserve">entre a extensão de vias </w:t>
      </w:r>
      <w:r w:rsidR="007E2795">
        <w:t>afetadas com as a serem</w:t>
      </w:r>
      <w:r w:rsidRPr="003E73D7">
        <w:t xml:space="preserve"> implantad</w:t>
      </w:r>
      <w:r w:rsidR="007E2795">
        <w:t>as. Isso ocorre</w:t>
      </w:r>
      <w:r w:rsidRPr="003E73D7">
        <w:t xml:space="preserve"> devido a</w:t>
      </w:r>
      <w:r w:rsidR="007E2795">
        <w:t xml:space="preserve"> que a </w:t>
      </w:r>
      <w:r w:rsidRPr="003E73D7">
        <w:t xml:space="preserve">proposta de recomposição visou aproveitar ao máximo </w:t>
      </w:r>
      <w:r w:rsidR="007E2795">
        <w:t>os traçados de vias existentes, ainda que precárias, m</w:t>
      </w:r>
      <w:r w:rsidRPr="003E73D7">
        <w:t xml:space="preserve">inimizando assim a </w:t>
      </w:r>
      <w:r w:rsidR="007E2795">
        <w:t>execução</w:t>
      </w:r>
      <w:r w:rsidRPr="003E73D7">
        <w:t xml:space="preserve"> de </w:t>
      </w:r>
      <w:r w:rsidR="007E2795">
        <w:t>traçados</w:t>
      </w:r>
      <w:r w:rsidRPr="003E73D7">
        <w:t xml:space="preserve"> </w:t>
      </w:r>
      <w:r w:rsidR="007E2795">
        <w:t xml:space="preserve">novos, procurando reduzir as interferências com o terreno e propriedades. </w:t>
      </w:r>
    </w:p>
    <w:p w:rsidR="00BD17DB" w:rsidRPr="002E29E3" w:rsidRDefault="00F83100" w:rsidP="002E29E3">
      <w:pPr>
        <w:pStyle w:val="Item-Trainho"/>
        <w:rPr>
          <w:b/>
        </w:rPr>
      </w:pPr>
      <w:r w:rsidRPr="002E29E3">
        <w:rPr>
          <w:b/>
        </w:rPr>
        <w:t>Duas Pontes</w:t>
      </w:r>
    </w:p>
    <w:p w:rsidR="00F83100" w:rsidRDefault="000B1E7D" w:rsidP="001168F3">
      <w:pPr>
        <w:spacing w:before="120" w:after="120" w:line="240" w:lineRule="auto"/>
      </w:pPr>
      <w:r>
        <w:t>A Barragem</w:t>
      </w:r>
      <w:r w:rsidR="00F83100">
        <w:t xml:space="preserve"> Duas Pontes, e o seu reservatório, encontra-se integralmente dentro do município de Amparo. O acesso principal ao local do barramento é pela rodovia estadual SP-107, conhecida também como Rodovia Prefeito Aziz Lian, que liga o Distrito de Arcadas (Município de Amparo) com a cidade de Santo Antônio de Posse. Vindo de Arcadas se atravessa a ponte sobre o rio Camanducaia, e cerca de 200 m à frente, se entra a direita na estrada de terra que conduz ao bairro Pantaleão. Após percorrer 1,7 km se </w:t>
      </w:r>
      <w:r w:rsidR="000E1A66">
        <w:t>alcança o</w:t>
      </w:r>
      <w:r w:rsidR="00F83100">
        <w:t xml:space="preserve"> local do eixo.</w:t>
      </w:r>
    </w:p>
    <w:p w:rsidR="00F83100" w:rsidRDefault="00F83100" w:rsidP="001168F3">
      <w:pPr>
        <w:spacing w:before="120" w:after="120" w:line="240" w:lineRule="auto"/>
      </w:pPr>
      <w:r>
        <w:t>A</w:t>
      </w:r>
      <w:r w:rsidRPr="00A16CC7">
        <w:t xml:space="preserve"> estrada atende às propriedades rurais da área a ser ocupada pelo empreendimento </w:t>
      </w:r>
      <w:r>
        <w:t xml:space="preserve">e do seu entorno, como também permite o acesso </w:t>
      </w:r>
      <w:r w:rsidRPr="00A16CC7">
        <w:t>às localidades Jaborandi, Bairro do Cardoso, Dobrada e Pantaleão.</w:t>
      </w:r>
    </w:p>
    <w:p w:rsidR="008523D5" w:rsidRDefault="00F83100" w:rsidP="001168F3">
      <w:pPr>
        <w:spacing w:before="120" w:after="120" w:line="240" w:lineRule="auto"/>
      </w:pPr>
      <w:r>
        <w:t>N</w:t>
      </w:r>
      <w:r w:rsidRPr="00FE3846">
        <w:t>o momento da formação do reservatório</w:t>
      </w:r>
      <w:r>
        <w:t xml:space="preserve"> deverão ser </w:t>
      </w:r>
      <w:r w:rsidRPr="00FE3846">
        <w:t>inundados 46,8 km de est</w:t>
      </w:r>
      <w:r>
        <w:t>radas de terras e caminhos (</w:t>
      </w:r>
      <w:r w:rsidRPr="00FE3846">
        <w:t xml:space="preserve">Desenho </w:t>
      </w:r>
      <w:r w:rsidR="00402E81">
        <w:t>n</w:t>
      </w:r>
      <w:r w:rsidR="00402E81" w:rsidRPr="00402E81">
        <w:rPr>
          <w:u w:val="single"/>
          <w:vertAlign w:val="superscript"/>
        </w:rPr>
        <w:t>o</w:t>
      </w:r>
      <w:r w:rsidR="00402E81" w:rsidRPr="00714125">
        <w:t xml:space="preserve"> </w:t>
      </w:r>
      <w:r w:rsidRPr="00714125">
        <w:t>7188-45-GL-810-DE-00160</w:t>
      </w:r>
      <w:r w:rsidR="00AB7576">
        <w:t>, apresentado no final deste documento</w:t>
      </w:r>
      <w:r w:rsidRPr="00714125">
        <w:t>).</w:t>
      </w:r>
      <w:r w:rsidRPr="00FE3846">
        <w:t xml:space="preserve"> </w:t>
      </w:r>
      <w:r w:rsidR="008523D5" w:rsidRPr="00FE3846">
        <w:t xml:space="preserve">Parte </w:t>
      </w:r>
      <w:r w:rsidR="008523D5">
        <w:t xml:space="preserve">significativa </w:t>
      </w:r>
      <w:r w:rsidR="008523D5" w:rsidRPr="00FE3846">
        <w:t xml:space="preserve">desses caminhos </w:t>
      </w:r>
      <w:r w:rsidR="008523D5">
        <w:t>é</w:t>
      </w:r>
      <w:r>
        <w:t xml:space="preserve"> de uso </w:t>
      </w:r>
      <w:r w:rsidRPr="00FE3846">
        <w:t>intern</w:t>
      </w:r>
      <w:r>
        <w:t>o</w:t>
      </w:r>
      <w:r w:rsidRPr="00FE3846">
        <w:t xml:space="preserve"> de propriedades </w:t>
      </w:r>
      <w:r>
        <w:t xml:space="preserve">rurais, </w:t>
      </w:r>
      <w:r w:rsidRPr="00FE3846">
        <w:t>as quais serão também inundadas</w:t>
      </w:r>
      <w:r w:rsidR="008523D5">
        <w:t>. N</w:t>
      </w:r>
      <w:r w:rsidRPr="00FE3846">
        <w:t xml:space="preserve">esses casos não se faz necessária a sua recomposição. </w:t>
      </w:r>
    </w:p>
    <w:p w:rsidR="006241E2" w:rsidRDefault="00F83100" w:rsidP="006241E2">
      <w:pPr>
        <w:spacing w:before="120" w:after="120" w:line="240" w:lineRule="auto"/>
      </w:pPr>
      <w:r w:rsidRPr="00FE3846">
        <w:t xml:space="preserve">O mesmo não ocorre com estradas vicinais de uso coletivo </w:t>
      </w:r>
      <w:r w:rsidR="000E1A66">
        <w:t xml:space="preserve">dos moradores da </w:t>
      </w:r>
      <w:r w:rsidRPr="00FE3846">
        <w:t xml:space="preserve">localidade, </w:t>
      </w:r>
      <w:r w:rsidR="008523D5">
        <w:t>nas quais se faz</w:t>
      </w:r>
      <w:r>
        <w:t xml:space="preserve"> necessário </w:t>
      </w:r>
      <w:r w:rsidRPr="00FE3846">
        <w:t>manter ativos os acessos</w:t>
      </w:r>
      <w:r w:rsidR="000E1A66">
        <w:t xml:space="preserve"> a suas propriedades</w:t>
      </w:r>
      <w:r w:rsidRPr="00FE3846">
        <w:t xml:space="preserve">. </w:t>
      </w:r>
      <w:r w:rsidR="008523D5">
        <w:t>A principal delas é a</w:t>
      </w:r>
      <w:r w:rsidR="006241E2">
        <w:t xml:space="preserve"> estrada de acesso às localidades </w:t>
      </w:r>
      <w:r w:rsidR="006241E2" w:rsidRPr="00A16CC7">
        <w:t xml:space="preserve">Jaborandi, Bairro </w:t>
      </w:r>
      <w:r w:rsidR="006241E2">
        <w:t xml:space="preserve">do Cardoso, Dobrada e Pantaleão, </w:t>
      </w:r>
      <w:r w:rsidR="008523D5">
        <w:t xml:space="preserve">que </w:t>
      </w:r>
      <w:r w:rsidR="006241E2">
        <w:t xml:space="preserve">deverá ser afetada </w:t>
      </w:r>
      <w:r w:rsidR="008523D5">
        <w:t xml:space="preserve">pela implantação do eixo e formação do reservatório </w:t>
      </w:r>
      <w:r w:rsidR="006241E2">
        <w:t xml:space="preserve">no trecho que acompanha o córrego Boa Vista. No </w:t>
      </w:r>
      <w:r w:rsidR="008523D5">
        <w:t xml:space="preserve">entanto, este trecho </w:t>
      </w:r>
      <w:r w:rsidR="006241E2">
        <w:t xml:space="preserve">é substituído </w:t>
      </w:r>
      <w:r w:rsidR="008523D5">
        <w:t xml:space="preserve">por outra estrada vicinal próxima, com início </w:t>
      </w:r>
      <w:r w:rsidR="006241E2">
        <w:t xml:space="preserve">na SP-107, cerca de 1,0 km da estrada de acesso </w:t>
      </w:r>
      <w:r w:rsidR="00DD675F">
        <w:t>ao eixo, descrita anteriormente</w:t>
      </w:r>
      <w:r w:rsidR="006241E2">
        <w:t>, em direção a cidade de Santo Antônio de Posse.</w:t>
      </w:r>
    </w:p>
    <w:p w:rsidR="006241E2" w:rsidRPr="00FE3846" w:rsidRDefault="008523D5" w:rsidP="001168F3">
      <w:pPr>
        <w:spacing w:before="120" w:after="120" w:line="240" w:lineRule="auto"/>
      </w:pPr>
      <w:r w:rsidRPr="008523D5">
        <w:t xml:space="preserve">Visando manter todos os movimentos existentes e garantir acesso às propriedades da região, será preciso construir </w:t>
      </w:r>
      <w:r w:rsidR="00ED3CA3" w:rsidRPr="009A58CA">
        <w:t xml:space="preserve">4,8 </w:t>
      </w:r>
      <w:r w:rsidRPr="009A58CA">
        <w:t>km</w:t>
      </w:r>
      <w:r w:rsidRPr="008523D5">
        <w:t xml:space="preserve"> de novas estradas de terra</w:t>
      </w:r>
      <w:r>
        <w:t>, interligando estradas locais</w:t>
      </w:r>
      <w:r w:rsidRPr="008523D5">
        <w:t xml:space="preserve">, conforme </w:t>
      </w:r>
      <w:r w:rsidRPr="00714125">
        <w:t xml:space="preserve">mostrado no </w:t>
      </w:r>
      <w:r w:rsidR="00402E81">
        <w:t>D</w:t>
      </w:r>
      <w:r w:rsidRPr="00714125">
        <w:t xml:space="preserve">esenho </w:t>
      </w:r>
      <w:r w:rsidR="00402E81">
        <w:t>n</w:t>
      </w:r>
      <w:r w:rsidR="00402E81" w:rsidRPr="00402E81">
        <w:rPr>
          <w:u w:val="single"/>
          <w:vertAlign w:val="superscript"/>
        </w:rPr>
        <w:t>o</w:t>
      </w:r>
      <w:r w:rsidR="00402E81" w:rsidRPr="00714125">
        <w:t xml:space="preserve"> </w:t>
      </w:r>
      <w:r w:rsidRPr="00714125">
        <w:t>7188-45-GL-810-DE-00160</w:t>
      </w:r>
      <w:r w:rsidR="00AB7576">
        <w:t>, neste documento</w:t>
      </w:r>
      <w:r w:rsidRPr="00714125">
        <w:rPr>
          <w:color w:val="FF0000"/>
        </w:rPr>
        <w:t>.</w:t>
      </w:r>
    </w:p>
    <w:p w:rsidR="00F83100" w:rsidRPr="00F83100" w:rsidRDefault="00F83100" w:rsidP="001168F3">
      <w:pPr>
        <w:spacing w:before="120" w:after="120" w:line="240" w:lineRule="auto"/>
      </w:pPr>
      <w:r w:rsidRPr="00F83100">
        <w:t xml:space="preserve">Do ponto de vista da interferência com a infraestrutura viária pela formação do reservatório, a interferência é considerada de natureza negativa, direta, com abrangência na ADA, de duração temporária, considerando a ação de recomposição das estradas, com probabilidade de ocorrência certa. </w:t>
      </w:r>
    </w:p>
    <w:p w:rsidR="00F83100" w:rsidRDefault="00F83100" w:rsidP="001168F3">
      <w:pPr>
        <w:spacing w:before="120" w:after="120" w:line="240" w:lineRule="auto"/>
      </w:pPr>
      <w:r w:rsidRPr="00F83100">
        <w:t xml:space="preserve">O impacto deve ocorrer no curto prazo, no momento do enchimento do reservatório; e considerado reversível e mitigável, já que as estradas serão recompostas; sendo estimado que </w:t>
      </w:r>
      <w:r w:rsidR="00DD675F" w:rsidRPr="00F83100">
        <w:t>possua</w:t>
      </w:r>
      <w:r w:rsidRPr="00F83100">
        <w:t xml:space="preserve"> magnitude média e importância alta.</w:t>
      </w:r>
    </w:p>
    <w:p w:rsidR="006B687D" w:rsidRDefault="006B687D" w:rsidP="001168F3">
      <w:pPr>
        <w:spacing w:before="120" w:after="120" w:line="240" w:lineRule="auto"/>
      </w:pPr>
      <w:r>
        <w:br w:type="page"/>
      </w:r>
    </w:p>
    <w:p w:rsidR="00F83100" w:rsidRPr="006B687D" w:rsidRDefault="00402E81" w:rsidP="006B687D">
      <w:pPr>
        <w:pStyle w:val="Legenda"/>
        <w:spacing w:line="240" w:lineRule="auto"/>
        <w:jc w:val="center"/>
        <w:rPr>
          <w:b w:val="0"/>
          <w:i w:val="0"/>
        </w:rPr>
      </w:pPr>
      <w:bookmarkStart w:id="416" w:name="_Toc420316535"/>
      <w:r w:rsidRPr="006B687D">
        <w:rPr>
          <w:i w:val="0"/>
        </w:rPr>
        <w:t xml:space="preserve">Quadro </w:t>
      </w:r>
      <w:r w:rsidR="00B80A05" w:rsidRPr="006B687D">
        <w:rPr>
          <w:i w:val="0"/>
        </w:rPr>
        <w:fldChar w:fldCharType="begin"/>
      </w:r>
      <w:r w:rsidRPr="006B687D">
        <w:rPr>
          <w:i w:val="0"/>
        </w:rPr>
        <w:instrText xml:space="preserve"> STYLEREF 2 \s </w:instrText>
      </w:r>
      <w:r w:rsidR="00B80A05" w:rsidRPr="006B687D">
        <w:rPr>
          <w:i w:val="0"/>
        </w:rPr>
        <w:fldChar w:fldCharType="separate"/>
      </w:r>
      <w:r w:rsidR="00316060">
        <w:rPr>
          <w:i w:val="0"/>
          <w:noProof/>
        </w:rPr>
        <w:t>1.3</w:t>
      </w:r>
      <w:r w:rsidR="00B80A05" w:rsidRPr="006B687D">
        <w:rPr>
          <w:i w:val="0"/>
        </w:rPr>
        <w:fldChar w:fldCharType="end"/>
      </w:r>
      <w:r w:rsidRPr="006B687D">
        <w:rPr>
          <w:i w:val="0"/>
        </w:rPr>
        <w:t>.</w:t>
      </w:r>
      <w:r w:rsidR="00B80A05" w:rsidRPr="006B687D">
        <w:rPr>
          <w:i w:val="0"/>
        </w:rPr>
        <w:fldChar w:fldCharType="begin"/>
      </w:r>
      <w:r w:rsidRPr="006B687D">
        <w:rPr>
          <w:i w:val="0"/>
        </w:rPr>
        <w:instrText xml:space="preserve"> SEQ Quadro \* ARABIC \s 2 </w:instrText>
      </w:r>
      <w:r w:rsidR="00B80A05" w:rsidRPr="006B687D">
        <w:rPr>
          <w:i w:val="0"/>
        </w:rPr>
        <w:fldChar w:fldCharType="separate"/>
      </w:r>
      <w:r w:rsidR="00316060">
        <w:rPr>
          <w:i w:val="0"/>
          <w:noProof/>
        </w:rPr>
        <w:t>92</w:t>
      </w:r>
      <w:r w:rsidR="00B80A05" w:rsidRPr="006B687D">
        <w:rPr>
          <w:i w:val="0"/>
        </w:rPr>
        <w:fldChar w:fldCharType="end"/>
      </w:r>
      <w:r w:rsidR="006B687D" w:rsidRPr="006B687D">
        <w:rPr>
          <w:i w:val="0"/>
        </w:rPr>
        <w:t>.</w:t>
      </w:r>
      <w:r w:rsidR="006B687D" w:rsidRPr="006B687D">
        <w:rPr>
          <w:b w:val="0"/>
          <w:i w:val="0"/>
        </w:rPr>
        <w:t xml:space="preserve"> - </w:t>
      </w:r>
      <w:r w:rsidR="00F83100" w:rsidRPr="006B687D">
        <w:rPr>
          <w:b w:val="0"/>
          <w:i w:val="0"/>
        </w:rPr>
        <w:t xml:space="preserve">Caracterização do Impacto - Interferências com </w:t>
      </w:r>
      <w:r w:rsidR="00AE11B8" w:rsidRPr="006B687D">
        <w:rPr>
          <w:b w:val="0"/>
          <w:i w:val="0"/>
        </w:rPr>
        <w:t>a Infraestrutura V</w:t>
      </w:r>
      <w:r w:rsidR="00F83100" w:rsidRPr="006B687D">
        <w:rPr>
          <w:b w:val="0"/>
          <w:i w:val="0"/>
        </w:rPr>
        <w:t>i</w:t>
      </w:r>
      <w:r w:rsidR="00BD17DB" w:rsidRPr="006B687D">
        <w:rPr>
          <w:b w:val="0"/>
          <w:i w:val="0"/>
        </w:rPr>
        <w:t>á</w:t>
      </w:r>
      <w:r w:rsidR="00F83100" w:rsidRPr="006B687D">
        <w:rPr>
          <w:b w:val="0"/>
          <w:i w:val="0"/>
        </w:rPr>
        <w:t>ria</w:t>
      </w:r>
      <w:r w:rsidR="00AE11B8" w:rsidRPr="006B687D">
        <w:rPr>
          <w:b w:val="0"/>
          <w:i w:val="0"/>
        </w:rPr>
        <w:t xml:space="preserve"> – Barragens Pedreira e Duas Pontes</w:t>
      </w:r>
      <w:bookmarkEnd w:id="416"/>
    </w:p>
    <w:tbl>
      <w:tblPr>
        <w:tblW w:w="8900" w:type="dxa"/>
        <w:jc w:val="center"/>
        <w:tblInd w:w="-1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70" w:type="dxa"/>
          <w:right w:w="70" w:type="dxa"/>
        </w:tblCellMar>
        <w:tblLook w:val="0000" w:firstRow="0" w:lastRow="0" w:firstColumn="0" w:lastColumn="0" w:noHBand="0" w:noVBand="0"/>
      </w:tblPr>
      <w:tblGrid>
        <w:gridCol w:w="1233"/>
        <w:gridCol w:w="1234"/>
        <w:gridCol w:w="1842"/>
        <w:gridCol w:w="1701"/>
        <w:gridCol w:w="2890"/>
      </w:tblGrid>
      <w:tr w:rsidR="00F83100" w:rsidRPr="00B56BF9" w:rsidTr="008204B6">
        <w:trPr>
          <w:jc w:val="center"/>
        </w:trPr>
        <w:tc>
          <w:tcPr>
            <w:tcW w:w="1233" w:type="dxa"/>
            <w:shd w:val="clear" w:color="auto" w:fill="D9D9D9" w:themeFill="background1" w:themeFillShade="D9"/>
            <w:vAlign w:val="center"/>
          </w:tcPr>
          <w:p w:rsidR="00F83100" w:rsidRPr="009D13EB" w:rsidRDefault="00F83100" w:rsidP="001168F3">
            <w:pPr>
              <w:pStyle w:val="Corpodetexto"/>
              <w:spacing w:before="60" w:after="60"/>
              <w:jc w:val="center"/>
              <w:rPr>
                <w:b/>
                <w:sz w:val="20"/>
              </w:rPr>
            </w:pPr>
            <w:r w:rsidRPr="009D13EB">
              <w:rPr>
                <w:b/>
                <w:sz w:val="20"/>
              </w:rPr>
              <w:t>Natureza</w:t>
            </w:r>
          </w:p>
        </w:tc>
        <w:tc>
          <w:tcPr>
            <w:tcW w:w="1234" w:type="dxa"/>
            <w:shd w:val="clear" w:color="auto" w:fill="D9D9D9" w:themeFill="background1" w:themeFillShade="D9"/>
            <w:vAlign w:val="center"/>
          </w:tcPr>
          <w:p w:rsidR="00F83100" w:rsidRPr="009D13EB" w:rsidRDefault="00F83100" w:rsidP="001168F3">
            <w:pPr>
              <w:pStyle w:val="Corpodetexto"/>
              <w:spacing w:before="60" w:after="60"/>
              <w:jc w:val="center"/>
              <w:rPr>
                <w:b/>
                <w:sz w:val="20"/>
              </w:rPr>
            </w:pPr>
            <w:r w:rsidRPr="009D13EB">
              <w:rPr>
                <w:b/>
                <w:sz w:val="20"/>
              </w:rPr>
              <w:t>Ordem</w:t>
            </w:r>
          </w:p>
        </w:tc>
        <w:tc>
          <w:tcPr>
            <w:tcW w:w="1842" w:type="dxa"/>
            <w:shd w:val="clear" w:color="auto" w:fill="D9D9D9" w:themeFill="background1" w:themeFillShade="D9"/>
            <w:vAlign w:val="center"/>
          </w:tcPr>
          <w:p w:rsidR="00F83100" w:rsidRPr="009D13EB" w:rsidRDefault="00F83100" w:rsidP="001168F3">
            <w:pPr>
              <w:pStyle w:val="Corpodetexto"/>
              <w:spacing w:before="60" w:after="60"/>
              <w:jc w:val="center"/>
              <w:rPr>
                <w:b/>
                <w:sz w:val="20"/>
              </w:rPr>
            </w:pPr>
            <w:r w:rsidRPr="009D13EB">
              <w:rPr>
                <w:b/>
                <w:sz w:val="20"/>
              </w:rPr>
              <w:t>Abrangência</w:t>
            </w:r>
          </w:p>
        </w:tc>
        <w:tc>
          <w:tcPr>
            <w:tcW w:w="1701" w:type="dxa"/>
            <w:shd w:val="clear" w:color="auto" w:fill="D9D9D9" w:themeFill="background1" w:themeFillShade="D9"/>
            <w:vAlign w:val="center"/>
          </w:tcPr>
          <w:p w:rsidR="00F83100" w:rsidRPr="009D13EB" w:rsidRDefault="00F83100" w:rsidP="001168F3">
            <w:pPr>
              <w:pStyle w:val="Corpodetexto"/>
              <w:spacing w:before="60" w:after="60"/>
              <w:jc w:val="center"/>
              <w:rPr>
                <w:b/>
                <w:sz w:val="20"/>
              </w:rPr>
            </w:pPr>
            <w:r w:rsidRPr="009D13EB">
              <w:rPr>
                <w:b/>
                <w:sz w:val="20"/>
              </w:rPr>
              <w:t>Duração</w:t>
            </w:r>
          </w:p>
        </w:tc>
        <w:tc>
          <w:tcPr>
            <w:tcW w:w="2890" w:type="dxa"/>
            <w:shd w:val="clear" w:color="auto" w:fill="D9D9D9" w:themeFill="background1" w:themeFillShade="D9"/>
            <w:vAlign w:val="center"/>
          </w:tcPr>
          <w:p w:rsidR="00F83100" w:rsidRPr="009D13EB" w:rsidRDefault="00F83100" w:rsidP="001168F3">
            <w:pPr>
              <w:pStyle w:val="Corpodetexto"/>
              <w:spacing w:before="60" w:after="60"/>
              <w:jc w:val="center"/>
              <w:rPr>
                <w:b/>
                <w:sz w:val="20"/>
              </w:rPr>
            </w:pPr>
            <w:r w:rsidRPr="009D13EB">
              <w:rPr>
                <w:b/>
                <w:sz w:val="20"/>
              </w:rPr>
              <w:t>Probabilidade de Ocorrência</w:t>
            </w:r>
          </w:p>
        </w:tc>
      </w:tr>
      <w:tr w:rsidR="00F83100" w:rsidRPr="00B56BF9" w:rsidTr="003A422E">
        <w:trPr>
          <w:jc w:val="center"/>
        </w:trPr>
        <w:tc>
          <w:tcPr>
            <w:tcW w:w="1233" w:type="dxa"/>
            <w:shd w:val="clear" w:color="auto" w:fill="auto"/>
            <w:vAlign w:val="center"/>
          </w:tcPr>
          <w:p w:rsidR="00F83100" w:rsidRPr="009D13EB" w:rsidRDefault="00F83100" w:rsidP="001168F3">
            <w:pPr>
              <w:pStyle w:val="Corpodetexto"/>
              <w:spacing w:before="60" w:after="60"/>
              <w:jc w:val="center"/>
              <w:rPr>
                <w:sz w:val="20"/>
              </w:rPr>
            </w:pPr>
            <w:r w:rsidRPr="009D13EB">
              <w:rPr>
                <w:sz w:val="20"/>
              </w:rPr>
              <w:t>Negativa</w:t>
            </w:r>
          </w:p>
        </w:tc>
        <w:tc>
          <w:tcPr>
            <w:tcW w:w="1234" w:type="dxa"/>
            <w:shd w:val="clear" w:color="auto" w:fill="auto"/>
            <w:vAlign w:val="center"/>
          </w:tcPr>
          <w:p w:rsidR="00F83100" w:rsidRPr="009D13EB" w:rsidRDefault="00F83100" w:rsidP="001168F3">
            <w:pPr>
              <w:pStyle w:val="Corpodetexto"/>
              <w:spacing w:before="60" w:after="60"/>
              <w:jc w:val="center"/>
              <w:rPr>
                <w:sz w:val="20"/>
              </w:rPr>
            </w:pPr>
            <w:r w:rsidRPr="009D13EB">
              <w:rPr>
                <w:sz w:val="20"/>
              </w:rPr>
              <w:t>Direta</w:t>
            </w:r>
          </w:p>
        </w:tc>
        <w:tc>
          <w:tcPr>
            <w:tcW w:w="1842" w:type="dxa"/>
            <w:shd w:val="clear" w:color="auto" w:fill="auto"/>
            <w:vAlign w:val="center"/>
          </w:tcPr>
          <w:p w:rsidR="00F83100" w:rsidRPr="009D13EB" w:rsidRDefault="00F83100" w:rsidP="001168F3">
            <w:pPr>
              <w:pStyle w:val="Corpodetexto"/>
              <w:spacing w:before="60" w:after="60"/>
              <w:jc w:val="center"/>
              <w:rPr>
                <w:sz w:val="20"/>
              </w:rPr>
            </w:pPr>
            <w:r w:rsidRPr="009D13EB">
              <w:rPr>
                <w:sz w:val="20"/>
              </w:rPr>
              <w:t>ADA</w:t>
            </w:r>
          </w:p>
        </w:tc>
        <w:tc>
          <w:tcPr>
            <w:tcW w:w="1701" w:type="dxa"/>
            <w:shd w:val="clear" w:color="auto" w:fill="auto"/>
            <w:vAlign w:val="center"/>
          </w:tcPr>
          <w:p w:rsidR="00F83100" w:rsidRPr="009D13EB" w:rsidRDefault="00F83100" w:rsidP="001168F3">
            <w:pPr>
              <w:pStyle w:val="Corpodetexto"/>
              <w:spacing w:before="60" w:after="60"/>
              <w:jc w:val="center"/>
              <w:rPr>
                <w:sz w:val="20"/>
              </w:rPr>
            </w:pPr>
            <w:r w:rsidRPr="009D13EB">
              <w:rPr>
                <w:sz w:val="20"/>
              </w:rPr>
              <w:t>Temporária/ Permanente</w:t>
            </w:r>
          </w:p>
        </w:tc>
        <w:tc>
          <w:tcPr>
            <w:tcW w:w="2890" w:type="dxa"/>
            <w:shd w:val="clear" w:color="auto" w:fill="auto"/>
            <w:vAlign w:val="center"/>
          </w:tcPr>
          <w:p w:rsidR="00F83100" w:rsidRPr="009D13EB" w:rsidRDefault="00F83100" w:rsidP="001168F3">
            <w:pPr>
              <w:pStyle w:val="Corpodetexto"/>
              <w:spacing w:before="60" w:after="60"/>
              <w:jc w:val="center"/>
              <w:rPr>
                <w:sz w:val="20"/>
              </w:rPr>
            </w:pPr>
            <w:r w:rsidRPr="009D13EB">
              <w:rPr>
                <w:sz w:val="20"/>
              </w:rPr>
              <w:t>Certa</w:t>
            </w:r>
          </w:p>
        </w:tc>
      </w:tr>
    </w:tbl>
    <w:p w:rsidR="00F83100" w:rsidRPr="00B56BF9" w:rsidRDefault="00F83100" w:rsidP="001168F3">
      <w:pPr>
        <w:pStyle w:val="Corpodetexto"/>
        <w:spacing w:before="0" w:after="0"/>
        <w:rPr>
          <w:sz w:val="20"/>
        </w:rPr>
      </w:pPr>
    </w:p>
    <w:tbl>
      <w:tblPr>
        <w:tblW w:w="8977" w:type="dxa"/>
        <w:jc w:val="center"/>
        <w:tblInd w:w="-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70" w:type="dxa"/>
          <w:right w:w="70" w:type="dxa"/>
        </w:tblCellMar>
        <w:tblLook w:val="0000" w:firstRow="0" w:lastRow="0" w:firstColumn="0" w:lastColumn="0" w:noHBand="0" w:noVBand="0"/>
      </w:tblPr>
      <w:tblGrid>
        <w:gridCol w:w="2505"/>
        <w:gridCol w:w="1842"/>
        <w:gridCol w:w="1701"/>
        <w:gridCol w:w="1464"/>
        <w:gridCol w:w="1465"/>
      </w:tblGrid>
      <w:tr w:rsidR="00F83100" w:rsidRPr="00B56BF9" w:rsidTr="008204B6">
        <w:trPr>
          <w:jc w:val="center"/>
        </w:trPr>
        <w:tc>
          <w:tcPr>
            <w:tcW w:w="2505" w:type="dxa"/>
            <w:shd w:val="clear" w:color="auto" w:fill="D9D9D9" w:themeFill="background1" w:themeFillShade="D9"/>
            <w:vAlign w:val="center"/>
          </w:tcPr>
          <w:p w:rsidR="00F83100" w:rsidRPr="009D13EB" w:rsidRDefault="00F83100" w:rsidP="001168F3">
            <w:pPr>
              <w:pStyle w:val="Corpodetexto"/>
              <w:jc w:val="center"/>
              <w:rPr>
                <w:b/>
                <w:sz w:val="20"/>
              </w:rPr>
            </w:pPr>
            <w:r w:rsidRPr="009D13EB">
              <w:rPr>
                <w:b/>
                <w:sz w:val="20"/>
              </w:rPr>
              <w:t>Época de Ocorrência</w:t>
            </w:r>
          </w:p>
        </w:tc>
        <w:tc>
          <w:tcPr>
            <w:tcW w:w="1842" w:type="dxa"/>
            <w:shd w:val="clear" w:color="auto" w:fill="D9D9D9" w:themeFill="background1" w:themeFillShade="D9"/>
            <w:vAlign w:val="center"/>
          </w:tcPr>
          <w:p w:rsidR="00F83100" w:rsidRPr="009D13EB" w:rsidRDefault="00F83100" w:rsidP="001168F3">
            <w:pPr>
              <w:pStyle w:val="Corpodetexto"/>
              <w:jc w:val="center"/>
              <w:rPr>
                <w:b/>
                <w:sz w:val="20"/>
              </w:rPr>
            </w:pPr>
            <w:r w:rsidRPr="009D13EB">
              <w:rPr>
                <w:b/>
                <w:sz w:val="20"/>
              </w:rPr>
              <w:t>Reversibilidade</w:t>
            </w:r>
          </w:p>
        </w:tc>
        <w:tc>
          <w:tcPr>
            <w:tcW w:w="1701" w:type="dxa"/>
            <w:shd w:val="clear" w:color="auto" w:fill="D9D9D9" w:themeFill="background1" w:themeFillShade="D9"/>
            <w:vAlign w:val="center"/>
          </w:tcPr>
          <w:p w:rsidR="00F83100" w:rsidRPr="009D13EB" w:rsidRDefault="00F83100" w:rsidP="001168F3">
            <w:pPr>
              <w:pStyle w:val="Corpodetexto"/>
              <w:jc w:val="center"/>
              <w:rPr>
                <w:b/>
                <w:sz w:val="20"/>
              </w:rPr>
            </w:pPr>
            <w:r w:rsidRPr="009D13EB">
              <w:rPr>
                <w:b/>
                <w:sz w:val="20"/>
              </w:rPr>
              <w:t>Magnitude</w:t>
            </w:r>
          </w:p>
        </w:tc>
        <w:tc>
          <w:tcPr>
            <w:tcW w:w="1464" w:type="dxa"/>
            <w:shd w:val="clear" w:color="auto" w:fill="D9D9D9" w:themeFill="background1" w:themeFillShade="D9"/>
            <w:vAlign w:val="center"/>
          </w:tcPr>
          <w:p w:rsidR="00F83100" w:rsidRPr="009D13EB" w:rsidRDefault="00F83100" w:rsidP="001168F3">
            <w:pPr>
              <w:pStyle w:val="Corpodetexto"/>
              <w:jc w:val="center"/>
              <w:rPr>
                <w:b/>
                <w:sz w:val="20"/>
              </w:rPr>
            </w:pPr>
            <w:r w:rsidRPr="009D13EB">
              <w:rPr>
                <w:b/>
                <w:sz w:val="20"/>
              </w:rPr>
              <w:t>Importância</w:t>
            </w:r>
          </w:p>
        </w:tc>
        <w:tc>
          <w:tcPr>
            <w:tcW w:w="1465" w:type="dxa"/>
            <w:shd w:val="clear" w:color="auto" w:fill="D9D9D9" w:themeFill="background1" w:themeFillShade="D9"/>
            <w:vAlign w:val="center"/>
          </w:tcPr>
          <w:p w:rsidR="00F83100" w:rsidRPr="009D13EB" w:rsidRDefault="00F83100" w:rsidP="001168F3">
            <w:pPr>
              <w:pStyle w:val="Corpodetexto"/>
              <w:jc w:val="center"/>
              <w:rPr>
                <w:b/>
                <w:sz w:val="20"/>
              </w:rPr>
            </w:pPr>
            <w:r w:rsidRPr="009D13EB">
              <w:rPr>
                <w:b/>
                <w:sz w:val="20"/>
              </w:rPr>
              <w:t>Mitigação</w:t>
            </w:r>
          </w:p>
        </w:tc>
      </w:tr>
      <w:tr w:rsidR="00F83100" w:rsidRPr="00B56BF9" w:rsidTr="003A422E">
        <w:trPr>
          <w:trHeight w:val="421"/>
          <w:jc w:val="center"/>
        </w:trPr>
        <w:tc>
          <w:tcPr>
            <w:tcW w:w="2505" w:type="dxa"/>
            <w:shd w:val="clear" w:color="auto" w:fill="auto"/>
            <w:vAlign w:val="center"/>
          </w:tcPr>
          <w:p w:rsidR="00F83100" w:rsidRPr="001168F3" w:rsidRDefault="00F83100" w:rsidP="001168F3">
            <w:pPr>
              <w:pStyle w:val="Corpodetexto"/>
              <w:spacing w:before="60" w:after="60"/>
              <w:jc w:val="center"/>
              <w:rPr>
                <w:sz w:val="20"/>
              </w:rPr>
            </w:pPr>
            <w:r w:rsidRPr="001168F3">
              <w:rPr>
                <w:sz w:val="20"/>
              </w:rPr>
              <w:t>Curto Prazo</w:t>
            </w:r>
          </w:p>
        </w:tc>
        <w:tc>
          <w:tcPr>
            <w:tcW w:w="1842" w:type="dxa"/>
            <w:vAlign w:val="center"/>
          </w:tcPr>
          <w:p w:rsidR="00F83100" w:rsidRPr="001168F3" w:rsidRDefault="00F83100" w:rsidP="001168F3">
            <w:pPr>
              <w:pStyle w:val="Corpodetexto"/>
              <w:spacing w:before="60" w:after="60"/>
              <w:jc w:val="center"/>
              <w:rPr>
                <w:sz w:val="20"/>
              </w:rPr>
            </w:pPr>
            <w:r w:rsidRPr="001168F3">
              <w:rPr>
                <w:sz w:val="20"/>
              </w:rPr>
              <w:t>Reversível</w:t>
            </w:r>
          </w:p>
        </w:tc>
        <w:tc>
          <w:tcPr>
            <w:tcW w:w="1701" w:type="dxa"/>
            <w:shd w:val="clear" w:color="auto" w:fill="auto"/>
            <w:vAlign w:val="center"/>
          </w:tcPr>
          <w:p w:rsidR="00F83100" w:rsidRPr="001168F3" w:rsidRDefault="00F83100" w:rsidP="001168F3">
            <w:pPr>
              <w:pStyle w:val="Corpodetexto"/>
              <w:spacing w:before="60" w:after="60"/>
              <w:jc w:val="center"/>
              <w:rPr>
                <w:sz w:val="20"/>
              </w:rPr>
            </w:pPr>
            <w:r w:rsidRPr="001168F3">
              <w:rPr>
                <w:sz w:val="20"/>
              </w:rPr>
              <w:t>Média</w:t>
            </w:r>
          </w:p>
        </w:tc>
        <w:tc>
          <w:tcPr>
            <w:tcW w:w="1464" w:type="dxa"/>
            <w:shd w:val="clear" w:color="auto" w:fill="auto"/>
            <w:vAlign w:val="center"/>
          </w:tcPr>
          <w:p w:rsidR="00F83100" w:rsidRPr="001168F3" w:rsidRDefault="00F83100" w:rsidP="001168F3">
            <w:pPr>
              <w:pStyle w:val="Corpodetexto"/>
              <w:spacing w:before="60" w:after="60"/>
              <w:jc w:val="center"/>
              <w:rPr>
                <w:sz w:val="20"/>
              </w:rPr>
            </w:pPr>
            <w:r w:rsidRPr="001168F3">
              <w:rPr>
                <w:sz w:val="20"/>
              </w:rPr>
              <w:t>Alta</w:t>
            </w:r>
          </w:p>
        </w:tc>
        <w:tc>
          <w:tcPr>
            <w:tcW w:w="1465" w:type="dxa"/>
            <w:shd w:val="clear" w:color="auto" w:fill="auto"/>
            <w:vAlign w:val="center"/>
          </w:tcPr>
          <w:p w:rsidR="00F83100" w:rsidRPr="001168F3" w:rsidRDefault="00F83100" w:rsidP="001168F3">
            <w:pPr>
              <w:pStyle w:val="Corpodetexto"/>
              <w:spacing w:before="60" w:after="60"/>
              <w:jc w:val="center"/>
              <w:rPr>
                <w:sz w:val="20"/>
              </w:rPr>
            </w:pPr>
            <w:r w:rsidRPr="001168F3">
              <w:rPr>
                <w:sz w:val="20"/>
              </w:rPr>
              <w:t>Mitigável</w:t>
            </w:r>
          </w:p>
        </w:tc>
      </w:tr>
    </w:tbl>
    <w:p w:rsidR="00F711E8" w:rsidRPr="001168F3" w:rsidRDefault="00F711E8" w:rsidP="00DE3A6F">
      <w:pPr>
        <w:spacing w:before="120" w:after="120" w:line="240" w:lineRule="auto"/>
      </w:pPr>
    </w:p>
    <w:p w:rsidR="00F83100" w:rsidRPr="00B34FCD" w:rsidRDefault="00BD17DB" w:rsidP="00DE3A6F">
      <w:pPr>
        <w:spacing w:before="120" w:after="120" w:line="240" w:lineRule="auto"/>
        <w:rPr>
          <w:b/>
        </w:rPr>
      </w:pPr>
      <w:r>
        <w:rPr>
          <w:b/>
        </w:rPr>
        <w:t xml:space="preserve">b) Interferências com </w:t>
      </w:r>
      <w:r w:rsidR="00F83100" w:rsidRPr="00B34FCD">
        <w:rPr>
          <w:b/>
        </w:rPr>
        <w:t>Linhas de Transmissão</w:t>
      </w:r>
      <w:r w:rsidR="00F83100">
        <w:rPr>
          <w:b/>
        </w:rPr>
        <w:t xml:space="preserve"> e</w:t>
      </w:r>
      <w:r w:rsidR="00F83100" w:rsidRPr="00B34FCD">
        <w:rPr>
          <w:b/>
        </w:rPr>
        <w:t xml:space="preserve"> </w:t>
      </w:r>
      <w:r>
        <w:rPr>
          <w:b/>
        </w:rPr>
        <w:t xml:space="preserve">Rede </w:t>
      </w:r>
      <w:r w:rsidR="00F83100" w:rsidRPr="00B34FCD">
        <w:rPr>
          <w:b/>
        </w:rPr>
        <w:t xml:space="preserve">de </w:t>
      </w:r>
      <w:r>
        <w:rPr>
          <w:b/>
        </w:rPr>
        <w:t>D</w:t>
      </w:r>
      <w:r w:rsidR="00F83100" w:rsidRPr="00B34FCD">
        <w:rPr>
          <w:b/>
        </w:rPr>
        <w:t xml:space="preserve">istribuição de </w:t>
      </w:r>
      <w:r>
        <w:rPr>
          <w:b/>
        </w:rPr>
        <w:t>E</w:t>
      </w:r>
      <w:r w:rsidR="00F83100" w:rsidRPr="00B34FCD">
        <w:rPr>
          <w:b/>
        </w:rPr>
        <w:t xml:space="preserve">nergia </w:t>
      </w:r>
      <w:r>
        <w:rPr>
          <w:b/>
        </w:rPr>
        <w:t>E</w:t>
      </w:r>
      <w:r w:rsidR="00F83100" w:rsidRPr="00B34FCD">
        <w:rPr>
          <w:b/>
        </w:rPr>
        <w:t>létrica</w:t>
      </w:r>
    </w:p>
    <w:p w:rsidR="00F83100" w:rsidRPr="00307561" w:rsidRDefault="00F83100" w:rsidP="00DE3A6F">
      <w:pPr>
        <w:spacing w:before="120" w:after="120" w:line="240" w:lineRule="auto"/>
        <w:rPr>
          <w:b/>
        </w:rPr>
      </w:pPr>
      <w:r w:rsidRPr="00307561">
        <w:rPr>
          <w:b/>
        </w:rPr>
        <w:t>Fase: Implantação</w:t>
      </w:r>
    </w:p>
    <w:p w:rsidR="00F83100" w:rsidRPr="00DE3A6F" w:rsidRDefault="008C15C3" w:rsidP="00F83100">
      <w:pPr>
        <w:spacing w:before="120" w:after="120" w:line="240" w:lineRule="auto"/>
        <w:rPr>
          <w:b/>
        </w:rPr>
      </w:pPr>
      <w:r>
        <w:rPr>
          <w:b/>
        </w:rPr>
        <w:t>Pedreira</w:t>
      </w:r>
    </w:p>
    <w:p w:rsidR="00F83100" w:rsidRDefault="00F83100" w:rsidP="00F83100">
      <w:pPr>
        <w:spacing w:before="120" w:after="120" w:line="240" w:lineRule="auto"/>
      </w:pPr>
      <w:r>
        <w:t>Na região do reservatório d</w:t>
      </w:r>
      <w:r w:rsidR="008C15C3">
        <w:t xml:space="preserve">a </w:t>
      </w:r>
      <w:r w:rsidR="00BD17DB">
        <w:t>B</w:t>
      </w:r>
      <w:r w:rsidR="008C15C3">
        <w:t>arragem</w:t>
      </w:r>
      <w:r>
        <w:t xml:space="preserve"> Pedreira existem somente redes de baixa/média tensão as quais devem ser afetadas pela </w:t>
      </w:r>
      <w:r w:rsidRPr="006B687D">
        <w:t>formação do reservatório. Essas redes são composta</w:t>
      </w:r>
      <w:r w:rsidR="00DB0C26" w:rsidRPr="006B687D">
        <w:t>s tanto por postes de concreto como de</w:t>
      </w:r>
      <w:r w:rsidRPr="006B687D">
        <w:t xml:space="preserve"> madeira (Fotos 1 e 2), a maior</w:t>
      </w:r>
      <w:r>
        <w:t xml:space="preserve"> parte deles junto a estrada vicinal que acompanha a margem direita do rio Jaguari, dentro da Área Diretamente Afetada. </w:t>
      </w:r>
    </w:p>
    <w:p w:rsidR="00F83100" w:rsidRDefault="00F83100" w:rsidP="00F83100"/>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16"/>
        <w:gridCol w:w="4086"/>
      </w:tblGrid>
      <w:tr w:rsidR="00F83100" w:rsidTr="00A35CF3">
        <w:trPr>
          <w:jc w:val="center"/>
        </w:trPr>
        <w:tc>
          <w:tcPr>
            <w:tcW w:w="4308" w:type="dxa"/>
            <w:shd w:val="clear" w:color="auto" w:fill="auto"/>
          </w:tcPr>
          <w:p w:rsidR="00F83100" w:rsidRDefault="00F74075" w:rsidP="00A35CF3">
            <w:pPr>
              <w:spacing w:before="120" w:after="120"/>
            </w:pPr>
            <w:r>
              <w:rPr>
                <w:noProof/>
              </w:rPr>
              <w:drawing>
                <wp:inline distT="0" distB="0" distL="0" distR="0" wp14:anchorId="2F5B0EF1" wp14:editId="5358F004">
                  <wp:extent cx="2638425" cy="1647825"/>
                  <wp:effectExtent l="19050" t="0" r="9525" b="0"/>
                  <wp:docPr id="6"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2"/>
                          <pic:cNvPicPr>
                            <a:picLocks noChangeAspect="1" noChangeArrowheads="1"/>
                          </pic:cNvPicPr>
                        </pic:nvPicPr>
                        <pic:blipFill>
                          <a:blip r:embed="rId32" cstate="print"/>
                          <a:srcRect/>
                          <a:stretch>
                            <a:fillRect/>
                          </a:stretch>
                        </pic:blipFill>
                        <pic:spPr bwMode="auto">
                          <a:xfrm>
                            <a:off x="0" y="0"/>
                            <a:ext cx="2638425" cy="1647825"/>
                          </a:xfrm>
                          <a:prstGeom prst="rect">
                            <a:avLst/>
                          </a:prstGeom>
                          <a:noFill/>
                          <a:ln w="9525">
                            <a:noFill/>
                            <a:miter lim="800000"/>
                            <a:headEnd/>
                            <a:tailEnd/>
                          </a:ln>
                        </pic:spPr>
                      </pic:pic>
                    </a:graphicData>
                  </a:graphic>
                </wp:inline>
              </w:drawing>
            </w:r>
          </w:p>
        </w:tc>
        <w:tc>
          <w:tcPr>
            <w:tcW w:w="4063" w:type="dxa"/>
            <w:shd w:val="clear" w:color="auto" w:fill="auto"/>
          </w:tcPr>
          <w:p w:rsidR="00F83100" w:rsidRDefault="00F74075" w:rsidP="00A35CF3">
            <w:pPr>
              <w:spacing w:before="120" w:after="120"/>
            </w:pPr>
            <w:r>
              <w:rPr>
                <w:noProof/>
              </w:rPr>
              <w:drawing>
                <wp:inline distT="0" distB="0" distL="0" distR="0" wp14:anchorId="15FCB9B3" wp14:editId="1B6CBF41">
                  <wp:extent cx="2438400" cy="1647825"/>
                  <wp:effectExtent l="19050" t="0" r="0" b="0"/>
                  <wp:docPr id="7" name="Imagem 2" descr="G:\FOTOS\Fotos_Ricardo\DSC03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G:\FOTOS\Fotos_Ricardo\DSC03640.JPG"/>
                          <pic:cNvPicPr>
                            <a:picLocks noChangeAspect="1" noChangeArrowheads="1"/>
                          </pic:cNvPicPr>
                        </pic:nvPicPr>
                        <pic:blipFill>
                          <a:blip r:embed="rId33" cstate="print"/>
                          <a:srcRect/>
                          <a:stretch>
                            <a:fillRect/>
                          </a:stretch>
                        </pic:blipFill>
                        <pic:spPr bwMode="auto">
                          <a:xfrm>
                            <a:off x="0" y="0"/>
                            <a:ext cx="2438400" cy="1647825"/>
                          </a:xfrm>
                          <a:prstGeom prst="rect">
                            <a:avLst/>
                          </a:prstGeom>
                          <a:noFill/>
                          <a:ln w="9525">
                            <a:noFill/>
                            <a:miter lim="800000"/>
                            <a:headEnd/>
                            <a:tailEnd/>
                          </a:ln>
                        </pic:spPr>
                      </pic:pic>
                    </a:graphicData>
                  </a:graphic>
                </wp:inline>
              </w:drawing>
            </w:r>
          </w:p>
        </w:tc>
      </w:tr>
    </w:tbl>
    <w:p w:rsidR="00F83100" w:rsidRPr="004468BB" w:rsidRDefault="00F83100" w:rsidP="00DE3A6F">
      <w:pPr>
        <w:spacing w:before="120" w:after="120" w:line="240" w:lineRule="auto"/>
        <w:rPr>
          <w:szCs w:val="22"/>
        </w:rPr>
      </w:pPr>
      <w:r w:rsidRPr="006B687D">
        <w:rPr>
          <w:b/>
          <w:szCs w:val="22"/>
        </w:rPr>
        <w:t>Fotos 1 e 2</w:t>
      </w:r>
      <w:r w:rsidRPr="006B687D">
        <w:rPr>
          <w:szCs w:val="22"/>
        </w:rPr>
        <w:t xml:space="preserve"> - Rede de distribuição de energia na área rural, com utilização de postes de</w:t>
      </w:r>
      <w:r w:rsidRPr="004468BB">
        <w:rPr>
          <w:szCs w:val="22"/>
        </w:rPr>
        <w:t xml:space="preserve"> concreto (a esquerda) e de madeira (a direita)</w:t>
      </w:r>
      <w:r>
        <w:rPr>
          <w:szCs w:val="22"/>
        </w:rPr>
        <w:t>.</w:t>
      </w:r>
    </w:p>
    <w:p w:rsidR="00F83100" w:rsidRDefault="00DE3A6F" w:rsidP="00DE3A6F">
      <w:pPr>
        <w:spacing w:before="120" w:after="120" w:line="240" w:lineRule="auto"/>
      </w:pPr>
      <w:r>
        <w:t xml:space="preserve">Na área do futuro reservatório foram identificados </w:t>
      </w:r>
      <w:r w:rsidR="00F83100">
        <w:t xml:space="preserve">12,1 km de linhas de baixa/média tensão as quais deverão ser removidas. </w:t>
      </w:r>
    </w:p>
    <w:p w:rsidR="00F83100" w:rsidRDefault="00F83100" w:rsidP="00DE3A6F">
      <w:pPr>
        <w:spacing w:before="120" w:after="120" w:line="240" w:lineRule="auto"/>
      </w:pPr>
      <w:r>
        <w:t xml:space="preserve">Visando garantir o abastecimento energético da região, será necessária a construção de aproximadamente 7,3km de novas redes de baixa/média tensão, conforme indicado no </w:t>
      </w:r>
      <w:r w:rsidR="00714125">
        <w:t>D</w:t>
      </w:r>
      <w:r>
        <w:t xml:space="preserve">esenho </w:t>
      </w:r>
      <w:r w:rsidR="00E155C0">
        <w:rPr>
          <w:rFonts w:eastAsia="Batang"/>
          <w:lang w:eastAsia="en-US"/>
        </w:rPr>
        <w:t>n</w:t>
      </w:r>
      <w:r w:rsidR="00E155C0">
        <w:rPr>
          <w:rFonts w:eastAsia="Batang"/>
          <w:u w:val="single"/>
          <w:vertAlign w:val="superscript"/>
          <w:lang w:eastAsia="en-US"/>
        </w:rPr>
        <w:t>o</w:t>
      </w:r>
      <w:r w:rsidR="00E155C0" w:rsidRPr="00E155C0">
        <w:rPr>
          <w:rFonts w:eastAsia="Batang"/>
          <w:vertAlign w:val="superscript"/>
          <w:lang w:eastAsia="en-US"/>
        </w:rPr>
        <w:t xml:space="preserve"> </w:t>
      </w:r>
      <w:r w:rsidRPr="008F7C9E">
        <w:t>7188-45-GL-810-DE-00161</w:t>
      </w:r>
      <w:r w:rsidR="00AB7576">
        <w:t>, apresentado no final deste documento</w:t>
      </w:r>
      <w:r w:rsidRPr="008F7C9E">
        <w:t>.</w:t>
      </w:r>
    </w:p>
    <w:p w:rsidR="001168F3" w:rsidRDefault="00F83100" w:rsidP="00AE11B8">
      <w:pPr>
        <w:spacing w:before="120" w:after="120" w:line="240" w:lineRule="auto"/>
      </w:pPr>
      <w:r>
        <w:t>Cabe destacar que a extensão das linhas de média e baixa tensão propostas para recomposição</w:t>
      </w:r>
      <w:r w:rsidR="00FC11E5">
        <w:t>,</w:t>
      </w:r>
      <w:r>
        <w:t xml:space="preserve"> nesta fase do estudo, pode ser alterada na fase final de implantação da obra, em função das definições de relocação da população. </w:t>
      </w:r>
    </w:p>
    <w:p w:rsidR="00F83100" w:rsidRPr="002E29E3" w:rsidRDefault="00F83100" w:rsidP="002E29E3">
      <w:pPr>
        <w:pStyle w:val="Item-Trainho"/>
        <w:rPr>
          <w:b/>
        </w:rPr>
      </w:pPr>
      <w:r w:rsidRPr="002E29E3">
        <w:rPr>
          <w:b/>
        </w:rPr>
        <w:t xml:space="preserve">Duas Pontes </w:t>
      </w:r>
    </w:p>
    <w:p w:rsidR="00F83100" w:rsidRDefault="008C15C3" w:rsidP="00DE3A6F">
      <w:pPr>
        <w:spacing w:before="120" w:after="120" w:line="240" w:lineRule="auto"/>
      </w:pPr>
      <w:r>
        <w:t>Na região do reservatório da barragem</w:t>
      </w:r>
      <w:r w:rsidR="00F83100">
        <w:t xml:space="preserve"> Duas Pontes existem tanto redes de baixa/média tensão quanto duas Linhas de Transmissão (LT) de alta tensão, a LT SE Campinas (SP) - SE Poços de Caldas (MG), de 345 kV, </w:t>
      </w:r>
      <w:r w:rsidR="00F83100" w:rsidRPr="0052032E">
        <w:t>pertence a FURNAS</w:t>
      </w:r>
      <w:r w:rsidR="00F83100">
        <w:t xml:space="preserve"> Centrais Elétricas S.A., e a LT SE Mogi Mirim II – SE Bragança Paulista, de 138 kV, da CTEEP – Companhia de Transmissão de Energia Elétrica Paulista. Destas linhas somente a LT SE Campinas – SE Poços de Caldas deverá ser afetada.</w:t>
      </w:r>
    </w:p>
    <w:p w:rsidR="00F83100" w:rsidRDefault="00F83100" w:rsidP="00DE3A6F">
      <w:pPr>
        <w:spacing w:before="120" w:after="120" w:line="240" w:lineRule="auto"/>
      </w:pPr>
      <w:r>
        <w:t>As redes de baixa/média tensão são compostas por postes de concreto e estão presentes na grande maioria das estradas da Área Diretamente Afetada do empreendimento. Destas, cerca de 14,1 km de linhas devem ser removidas.</w:t>
      </w:r>
    </w:p>
    <w:p w:rsidR="00F83100" w:rsidRDefault="00F83100" w:rsidP="00DE3A6F">
      <w:pPr>
        <w:spacing w:before="120" w:after="120" w:line="240" w:lineRule="auto"/>
      </w:pPr>
      <w:r>
        <w:t>Visando garantir o abastecimento energético da região, será necessária a construção de 4,1km de novas redes, conforme indicado no desenho n</w:t>
      </w:r>
      <w:r w:rsidRPr="008F7C9E">
        <w:t>° 7188-45-GL-810-DE-00162</w:t>
      </w:r>
      <w:r w:rsidR="00AB7576">
        <w:t>, apresentado no final deste documento</w:t>
      </w:r>
      <w:r w:rsidRPr="008F7C9E">
        <w:t>.</w:t>
      </w:r>
    </w:p>
    <w:p w:rsidR="00F83100" w:rsidRDefault="00F83100" w:rsidP="00DE3A6F">
      <w:pPr>
        <w:spacing w:before="120" w:after="120" w:line="240" w:lineRule="auto"/>
      </w:pPr>
      <w:r>
        <w:t xml:space="preserve">Em relação à Linha de Transmissão Campinas - Poços de Caldas, de 345kV, localizada na margem esquerda do córrego Pantaleão, o reservatório a ser formado interferira em cinco de suas torres, e como essas torres não podem ficar inundadas, parte da linha deverá ser remanejada. </w:t>
      </w:r>
    </w:p>
    <w:p w:rsidR="00F83100" w:rsidRDefault="00F83100" w:rsidP="00DE3A6F">
      <w:pPr>
        <w:spacing w:before="120" w:after="120" w:line="240" w:lineRule="auto"/>
      </w:pPr>
      <w:r w:rsidRPr="004B0405">
        <w:t xml:space="preserve">Como </w:t>
      </w:r>
      <w:r>
        <w:t xml:space="preserve">a operação de uma linha de transmissão desse porte não pode ser interrompida, será necessária a construção de 5 novas torres paralelas ao trecho da linha que sofre interferências com o futuro reservatório e uma nova linha de cerca de 2,7km deverá ser instalada, conforme mostrado no </w:t>
      </w:r>
      <w:r w:rsidR="00934068">
        <w:t>D</w:t>
      </w:r>
      <w:r w:rsidRPr="008F7C9E">
        <w:t xml:space="preserve">esenho </w:t>
      </w:r>
      <w:r w:rsidR="00934068">
        <w:t>n</w:t>
      </w:r>
      <w:r w:rsidR="00934068" w:rsidRPr="00934068">
        <w:rPr>
          <w:u w:val="single"/>
          <w:vertAlign w:val="superscript"/>
        </w:rPr>
        <w:t>o</w:t>
      </w:r>
      <w:r w:rsidRPr="008F7C9E">
        <w:t xml:space="preserve"> 7188-45-GL-810-DE-</w:t>
      </w:r>
      <w:r w:rsidRPr="006B687D">
        <w:t xml:space="preserve">00162 </w:t>
      </w:r>
      <w:r w:rsidR="00AB7576">
        <w:t xml:space="preserve">(neste documento) </w:t>
      </w:r>
      <w:r w:rsidRPr="006B687D">
        <w:t xml:space="preserve">e Foto </w:t>
      </w:r>
      <w:r w:rsidR="00FC11E5" w:rsidRPr="006B687D">
        <w:t>3</w:t>
      </w:r>
      <w:r w:rsidRPr="006B687D">
        <w:t>.</w:t>
      </w:r>
    </w:p>
    <w:p w:rsidR="00934068" w:rsidRPr="004B0405" w:rsidRDefault="00F83100" w:rsidP="00714125">
      <w:pPr>
        <w:spacing w:before="120" w:after="120" w:line="240" w:lineRule="auto"/>
      </w:pPr>
      <w:r>
        <w:t>Após a construção desse novo trecho da Linha de Transmissão e das 5 novas torres, será feita a ligação com a linha existente e a remoção do trecho que deve sofrer interfer</w:t>
      </w:r>
      <w:r w:rsidR="00FC11E5">
        <w:t>ência com o futuro reservatório.</w:t>
      </w:r>
    </w:p>
    <w:tbl>
      <w:tblPr>
        <w:tblW w:w="0" w:type="auto"/>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tblGrid>
      <w:tr w:rsidR="00F83100" w:rsidTr="00A35CF3">
        <w:trPr>
          <w:trHeight w:val="3064"/>
        </w:trPr>
        <w:tc>
          <w:tcPr>
            <w:tcW w:w="4678" w:type="dxa"/>
            <w:shd w:val="clear" w:color="auto" w:fill="auto"/>
          </w:tcPr>
          <w:p w:rsidR="00F83100" w:rsidRDefault="00F74075" w:rsidP="00A35CF3">
            <w:pPr>
              <w:spacing w:before="120" w:after="120"/>
              <w:jc w:val="center"/>
            </w:pPr>
            <w:r>
              <w:rPr>
                <w:noProof/>
              </w:rPr>
              <w:drawing>
                <wp:inline distT="0" distB="0" distL="0" distR="0" wp14:anchorId="35F1CF12" wp14:editId="18A1B0B2">
                  <wp:extent cx="2800350" cy="2876550"/>
                  <wp:effectExtent l="19050" t="0" r="0" b="0"/>
                  <wp:docPr id="8"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0"/>
                          <pic:cNvPicPr>
                            <a:picLocks noChangeAspect="1" noChangeArrowheads="1"/>
                          </pic:cNvPicPr>
                        </pic:nvPicPr>
                        <pic:blipFill>
                          <a:blip r:embed="rId34" cstate="print"/>
                          <a:srcRect/>
                          <a:stretch>
                            <a:fillRect/>
                          </a:stretch>
                        </pic:blipFill>
                        <pic:spPr bwMode="auto">
                          <a:xfrm>
                            <a:off x="0" y="0"/>
                            <a:ext cx="2800350" cy="2876550"/>
                          </a:xfrm>
                          <a:prstGeom prst="rect">
                            <a:avLst/>
                          </a:prstGeom>
                          <a:noFill/>
                          <a:ln w="9525">
                            <a:noFill/>
                            <a:miter lim="800000"/>
                            <a:headEnd/>
                            <a:tailEnd/>
                          </a:ln>
                        </pic:spPr>
                      </pic:pic>
                    </a:graphicData>
                  </a:graphic>
                </wp:inline>
              </w:drawing>
            </w:r>
          </w:p>
        </w:tc>
      </w:tr>
    </w:tbl>
    <w:p w:rsidR="00F83100" w:rsidRDefault="00F83100" w:rsidP="00F83100">
      <w:pPr>
        <w:spacing w:before="120" w:after="120"/>
        <w:jc w:val="center"/>
        <w:rPr>
          <w:szCs w:val="22"/>
        </w:rPr>
      </w:pPr>
      <w:r w:rsidRPr="006B687D">
        <w:rPr>
          <w:b/>
          <w:szCs w:val="22"/>
        </w:rPr>
        <w:t>Foto 3</w:t>
      </w:r>
      <w:r w:rsidRPr="006B687D">
        <w:rPr>
          <w:szCs w:val="22"/>
        </w:rPr>
        <w:t xml:space="preserve"> – Linha</w:t>
      </w:r>
      <w:r>
        <w:rPr>
          <w:szCs w:val="22"/>
        </w:rPr>
        <w:t xml:space="preserve"> de Transmissão </w:t>
      </w:r>
      <w:r w:rsidRPr="003E73D7">
        <w:rPr>
          <w:szCs w:val="22"/>
        </w:rPr>
        <w:t>Campinas - Poços de Caldas</w:t>
      </w:r>
      <w:r>
        <w:rPr>
          <w:szCs w:val="22"/>
        </w:rPr>
        <w:t xml:space="preserve"> -</w:t>
      </w:r>
      <w:r w:rsidRPr="003E73D7">
        <w:rPr>
          <w:szCs w:val="22"/>
        </w:rPr>
        <w:t xml:space="preserve"> 345kV</w:t>
      </w:r>
    </w:p>
    <w:p w:rsidR="00FC11E5" w:rsidRDefault="00FC11E5" w:rsidP="00F83100">
      <w:pPr>
        <w:pStyle w:val="Corpodetexto"/>
        <w:rPr>
          <w:rFonts w:eastAsia="Calibri"/>
          <w:lang w:eastAsia="en-US"/>
        </w:rPr>
      </w:pPr>
    </w:p>
    <w:p w:rsidR="00F83100" w:rsidRDefault="00F83100" w:rsidP="00F83100">
      <w:pPr>
        <w:pStyle w:val="Corpodetexto"/>
        <w:rPr>
          <w:rFonts w:eastAsia="Calibri"/>
          <w:lang w:eastAsia="en-US"/>
        </w:rPr>
      </w:pPr>
      <w:r>
        <w:rPr>
          <w:rFonts w:eastAsia="Calibri"/>
          <w:lang w:eastAsia="en-US"/>
        </w:rPr>
        <w:t>Em relação às Linhas de Transmissão (LT) e a rede de distribuição de energia de média/baixa tensão</w:t>
      </w:r>
      <w:r w:rsidRPr="00B34FCD">
        <w:rPr>
          <w:rFonts w:eastAsia="Calibri"/>
          <w:lang w:eastAsia="en-US"/>
        </w:rPr>
        <w:t>, considerando-se</w:t>
      </w:r>
      <w:r>
        <w:rPr>
          <w:rFonts w:eastAsia="Calibri"/>
          <w:lang w:eastAsia="en-US"/>
        </w:rPr>
        <w:t xml:space="preserve"> um impacto</w:t>
      </w:r>
      <w:r w:rsidRPr="00B34FCD">
        <w:rPr>
          <w:rFonts w:eastAsia="Calibri"/>
          <w:lang w:eastAsia="en-US"/>
        </w:rPr>
        <w:t xml:space="preserve"> negativ</w:t>
      </w:r>
      <w:r>
        <w:rPr>
          <w:rFonts w:eastAsia="Calibri"/>
          <w:lang w:eastAsia="en-US"/>
        </w:rPr>
        <w:t xml:space="preserve">o, </w:t>
      </w:r>
      <w:r w:rsidRPr="00B34FCD">
        <w:rPr>
          <w:rFonts w:eastAsia="Calibri"/>
          <w:lang w:eastAsia="en-US"/>
        </w:rPr>
        <w:t>de ordem direta, de ocorrência na ADA</w:t>
      </w:r>
      <w:r>
        <w:rPr>
          <w:rFonts w:eastAsia="Calibri"/>
          <w:lang w:eastAsia="en-US"/>
        </w:rPr>
        <w:t>, temporário, considerando que as linhas de transmissão e distribuição serão recompostas; sendo a</w:t>
      </w:r>
      <w:r w:rsidRPr="00B34FCD">
        <w:rPr>
          <w:rFonts w:eastAsia="Calibri"/>
          <w:lang w:eastAsia="en-US"/>
        </w:rPr>
        <w:t xml:space="preserve"> probabilidade de ocorrência certa. </w:t>
      </w:r>
      <w:r>
        <w:rPr>
          <w:rFonts w:eastAsia="Calibri"/>
          <w:lang w:eastAsia="en-US"/>
        </w:rPr>
        <w:t>As i</w:t>
      </w:r>
      <w:r w:rsidRPr="00B34FCD">
        <w:rPr>
          <w:rFonts w:eastAsia="Calibri"/>
          <w:lang w:eastAsia="en-US"/>
        </w:rPr>
        <w:t xml:space="preserve">nterferências ocorrem </w:t>
      </w:r>
      <w:r>
        <w:rPr>
          <w:rFonts w:eastAsia="Calibri"/>
          <w:lang w:eastAsia="en-US"/>
        </w:rPr>
        <w:t xml:space="preserve">a </w:t>
      </w:r>
      <w:r w:rsidRPr="00B34FCD">
        <w:rPr>
          <w:rFonts w:eastAsia="Calibri"/>
          <w:lang w:eastAsia="en-US"/>
        </w:rPr>
        <w:t>formação</w:t>
      </w:r>
      <w:r>
        <w:rPr>
          <w:rFonts w:eastAsia="Calibri"/>
          <w:lang w:eastAsia="en-US"/>
        </w:rPr>
        <w:t xml:space="preserve"> do reservatório (curto prazo); sendo</w:t>
      </w:r>
      <w:r w:rsidRPr="00B34FCD">
        <w:rPr>
          <w:rFonts w:eastAsia="Calibri"/>
          <w:lang w:eastAsia="en-US"/>
        </w:rPr>
        <w:t xml:space="preserve"> reversível em função da </w:t>
      </w:r>
      <w:r>
        <w:rPr>
          <w:rFonts w:eastAsia="Calibri"/>
          <w:lang w:eastAsia="en-US"/>
        </w:rPr>
        <w:t>recomposição das linhas de transmissão e de distribuição afetadas, sendo estimado de</w:t>
      </w:r>
      <w:r w:rsidRPr="00B34FCD">
        <w:rPr>
          <w:rFonts w:eastAsia="Calibri"/>
          <w:lang w:eastAsia="en-US"/>
        </w:rPr>
        <w:t xml:space="preserve"> </w:t>
      </w:r>
      <w:r>
        <w:rPr>
          <w:rFonts w:eastAsia="Calibri"/>
          <w:lang w:eastAsia="en-US"/>
        </w:rPr>
        <w:t xml:space="preserve">pequena </w:t>
      </w:r>
      <w:r w:rsidRPr="00B34FCD">
        <w:rPr>
          <w:rFonts w:eastAsia="Calibri"/>
          <w:lang w:eastAsia="en-US"/>
        </w:rPr>
        <w:t xml:space="preserve">magnitude </w:t>
      </w:r>
      <w:r>
        <w:rPr>
          <w:rFonts w:eastAsia="Calibri"/>
          <w:lang w:eastAsia="en-US"/>
        </w:rPr>
        <w:t xml:space="preserve">e baixa </w:t>
      </w:r>
      <w:r w:rsidRPr="00B34FCD">
        <w:rPr>
          <w:rFonts w:eastAsia="Calibri"/>
          <w:lang w:eastAsia="en-US"/>
        </w:rPr>
        <w:t>importância</w:t>
      </w:r>
      <w:r>
        <w:rPr>
          <w:rFonts w:eastAsia="Calibri"/>
          <w:lang w:eastAsia="en-US"/>
        </w:rPr>
        <w:t>.</w:t>
      </w:r>
    </w:p>
    <w:p w:rsidR="003C4386" w:rsidRDefault="003C4386" w:rsidP="00F83100">
      <w:pPr>
        <w:pStyle w:val="Corpodetexto"/>
        <w:rPr>
          <w:rFonts w:eastAsia="Calibri"/>
          <w:lang w:eastAsia="en-US"/>
        </w:rPr>
      </w:pPr>
    </w:p>
    <w:p w:rsidR="00F83100" w:rsidRPr="006B687D" w:rsidRDefault="00402E81" w:rsidP="006B687D">
      <w:pPr>
        <w:pStyle w:val="Legenda"/>
        <w:spacing w:line="240" w:lineRule="auto"/>
        <w:jc w:val="center"/>
        <w:rPr>
          <w:b w:val="0"/>
          <w:i w:val="0"/>
        </w:rPr>
      </w:pPr>
      <w:bookmarkStart w:id="417" w:name="_Toc420316536"/>
      <w:r w:rsidRPr="006B687D">
        <w:rPr>
          <w:i w:val="0"/>
        </w:rPr>
        <w:t xml:space="preserve">Quadro </w:t>
      </w:r>
      <w:r w:rsidR="00B80A05" w:rsidRPr="006B687D">
        <w:rPr>
          <w:i w:val="0"/>
        </w:rPr>
        <w:fldChar w:fldCharType="begin"/>
      </w:r>
      <w:r w:rsidRPr="006B687D">
        <w:rPr>
          <w:i w:val="0"/>
        </w:rPr>
        <w:instrText xml:space="preserve"> STYLEREF 2 \s </w:instrText>
      </w:r>
      <w:r w:rsidR="00B80A05" w:rsidRPr="006B687D">
        <w:rPr>
          <w:i w:val="0"/>
        </w:rPr>
        <w:fldChar w:fldCharType="separate"/>
      </w:r>
      <w:r w:rsidR="00316060">
        <w:rPr>
          <w:i w:val="0"/>
          <w:noProof/>
        </w:rPr>
        <w:t>1.3</w:t>
      </w:r>
      <w:r w:rsidR="00B80A05" w:rsidRPr="006B687D">
        <w:rPr>
          <w:i w:val="0"/>
        </w:rPr>
        <w:fldChar w:fldCharType="end"/>
      </w:r>
      <w:r w:rsidRPr="006B687D">
        <w:rPr>
          <w:i w:val="0"/>
        </w:rPr>
        <w:t>.</w:t>
      </w:r>
      <w:r w:rsidR="00B80A05" w:rsidRPr="006B687D">
        <w:rPr>
          <w:i w:val="0"/>
        </w:rPr>
        <w:fldChar w:fldCharType="begin"/>
      </w:r>
      <w:r w:rsidRPr="006B687D">
        <w:rPr>
          <w:i w:val="0"/>
        </w:rPr>
        <w:instrText xml:space="preserve"> SEQ Quadro \* ARABIC \s 2 </w:instrText>
      </w:r>
      <w:r w:rsidR="00B80A05" w:rsidRPr="006B687D">
        <w:rPr>
          <w:i w:val="0"/>
        </w:rPr>
        <w:fldChar w:fldCharType="separate"/>
      </w:r>
      <w:r w:rsidR="00316060">
        <w:rPr>
          <w:i w:val="0"/>
          <w:noProof/>
        </w:rPr>
        <w:t>93</w:t>
      </w:r>
      <w:r w:rsidR="00B80A05" w:rsidRPr="006B687D">
        <w:rPr>
          <w:i w:val="0"/>
        </w:rPr>
        <w:fldChar w:fldCharType="end"/>
      </w:r>
      <w:r w:rsidR="006B687D" w:rsidRPr="006B687D">
        <w:rPr>
          <w:i w:val="0"/>
        </w:rPr>
        <w:t>.</w:t>
      </w:r>
      <w:r w:rsidR="006B687D" w:rsidRPr="006B687D">
        <w:rPr>
          <w:b w:val="0"/>
          <w:i w:val="0"/>
        </w:rPr>
        <w:t xml:space="preserve"> - </w:t>
      </w:r>
      <w:r w:rsidR="00F83100" w:rsidRPr="006B687D">
        <w:rPr>
          <w:b w:val="0"/>
          <w:i w:val="0"/>
        </w:rPr>
        <w:t>Caracterização do Impacto - Interferências com Linhas de Transmissão e Rede de Distribuição de Energia Elétrica</w:t>
      </w:r>
      <w:r w:rsidR="00AE11B8" w:rsidRPr="006B687D">
        <w:rPr>
          <w:b w:val="0"/>
          <w:i w:val="0"/>
        </w:rPr>
        <w:t xml:space="preserve"> – Barragens Pedreira e Duas Pontes</w:t>
      </w:r>
      <w:bookmarkEnd w:id="417"/>
    </w:p>
    <w:tbl>
      <w:tblPr>
        <w:tblW w:w="8949" w:type="dxa"/>
        <w:jc w:val="center"/>
        <w:tblInd w:w="-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70" w:type="dxa"/>
          <w:right w:w="70" w:type="dxa"/>
        </w:tblCellMar>
        <w:tblLook w:val="0000" w:firstRow="0" w:lastRow="0" w:firstColumn="0" w:lastColumn="0" w:noHBand="0" w:noVBand="0"/>
      </w:tblPr>
      <w:tblGrid>
        <w:gridCol w:w="1245"/>
        <w:gridCol w:w="1246"/>
        <w:gridCol w:w="1842"/>
        <w:gridCol w:w="1560"/>
        <w:gridCol w:w="3056"/>
      </w:tblGrid>
      <w:tr w:rsidR="00F83100" w:rsidRPr="00B56BF9" w:rsidTr="00934068">
        <w:trPr>
          <w:jc w:val="center"/>
        </w:trPr>
        <w:tc>
          <w:tcPr>
            <w:tcW w:w="1245" w:type="dxa"/>
            <w:shd w:val="clear" w:color="auto" w:fill="D9D9D9" w:themeFill="background1" w:themeFillShade="D9"/>
            <w:vAlign w:val="center"/>
          </w:tcPr>
          <w:p w:rsidR="00F83100" w:rsidRPr="009D13EB" w:rsidRDefault="00F83100" w:rsidP="00F711E8">
            <w:pPr>
              <w:pStyle w:val="Corpodetexto"/>
              <w:jc w:val="center"/>
              <w:rPr>
                <w:b/>
                <w:sz w:val="20"/>
              </w:rPr>
            </w:pPr>
            <w:r w:rsidRPr="009D13EB">
              <w:rPr>
                <w:b/>
                <w:sz w:val="20"/>
              </w:rPr>
              <w:t>Natureza</w:t>
            </w:r>
          </w:p>
        </w:tc>
        <w:tc>
          <w:tcPr>
            <w:tcW w:w="1246" w:type="dxa"/>
            <w:shd w:val="clear" w:color="auto" w:fill="D9D9D9" w:themeFill="background1" w:themeFillShade="D9"/>
            <w:vAlign w:val="center"/>
          </w:tcPr>
          <w:p w:rsidR="00F83100" w:rsidRPr="009D13EB" w:rsidRDefault="00F83100" w:rsidP="00F711E8">
            <w:pPr>
              <w:pStyle w:val="Corpodetexto"/>
              <w:jc w:val="center"/>
              <w:rPr>
                <w:b/>
                <w:sz w:val="20"/>
              </w:rPr>
            </w:pPr>
            <w:r w:rsidRPr="009D13EB">
              <w:rPr>
                <w:b/>
                <w:sz w:val="20"/>
              </w:rPr>
              <w:t>Ordem</w:t>
            </w:r>
          </w:p>
        </w:tc>
        <w:tc>
          <w:tcPr>
            <w:tcW w:w="1842" w:type="dxa"/>
            <w:shd w:val="clear" w:color="auto" w:fill="D9D9D9" w:themeFill="background1" w:themeFillShade="D9"/>
            <w:vAlign w:val="center"/>
          </w:tcPr>
          <w:p w:rsidR="00F83100" w:rsidRPr="009D13EB" w:rsidRDefault="00F83100" w:rsidP="00F711E8">
            <w:pPr>
              <w:pStyle w:val="Corpodetexto"/>
              <w:jc w:val="center"/>
              <w:rPr>
                <w:b/>
                <w:sz w:val="20"/>
              </w:rPr>
            </w:pPr>
            <w:r w:rsidRPr="009D13EB">
              <w:rPr>
                <w:b/>
                <w:sz w:val="20"/>
              </w:rPr>
              <w:t>Abrangência</w:t>
            </w:r>
          </w:p>
        </w:tc>
        <w:tc>
          <w:tcPr>
            <w:tcW w:w="1560" w:type="dxa"/>
            <w:shd w:val="clear" w:color="auto" w:fill="D9D9D9" w:themeFill="background1" w:themeFillShade="D9"/>
            <w:vAlign w:val="center"/>
          </w:tcPr>
          <w:p w:rsidR="00F83100" w:rsidRPr="009D13EB" w:rsidRDefault="00F83100" w:rsidP="00F711E8">
            <w:pPr>
              <w:pStyle w:val="Corpodetexto"/>
              <w:jc w:val="center"/>
              <w:rPr>
                <w:b/>
                <w:sz w:val="20"/>
              </w:rPr>
            </w:pPr>
            <w:r w:rsidRPr="009D13EB">
              <w:rPr>
                <w:b/>
                <w:sz w:val="20"/>
              </w:rPr>
              <w:t>Duração</w:t>
            </w:r>
          </w:p>
        </w:tc>
        <w:tc>
          <w:tcPr>
            <w:tcW w:w="3056" w:type="dxa"/>
            <w:shd w:val="clear" w:color="auto" w:fill="D9D9D9" w:themeFill="background1" w:themeFillShade="D9"/>
            <w:vAlign w:val="center"/>
          </w:tcPr>
          <w:p w:rsidR="00F83100" w:rsidRPr="009D13EB" w:rsidRDefault="00F83100" w:rsidP="00F711E8">
            <w:pPr>
              <w:pStyle w:val="Corpodetexto"/>
              <w:jc w:val="center"/>
              <w:rPr>
                <w:b/>
                <w:sz w:val="20"/>
              </w:rPr>
            </w:pPr>
            <w:r w:rsidRPr="009D13EB">
              <w:rPr>
                <w:b/>
                <w:sz w:val="20"/>
              </w:rPr>
              <w:t>Probabilidade de Ocorrência</w:t>
            </w:r>
          </w:p>
        </w:tc>
      </w:tr>
      <w:tr w:rsidR="00F83100" w:rsidRPr="00B56BF9" w:rsidTr="007A3816">
        <w:trPr>
          <w:jc w:val="center"/>
        </w:trPr>
        <w:tc>
          <w:tcPr>
            <w:tcW w:w="1245" w:type="dxa"/>
            <w:shd w:val="clear" w:color="auto" w:fill="auto"/>
            <w:vAlign w:val="center"/>
          </w:tcPr>
          <w:p w:rsidR="00F83100" w:rsidRPr="009D13EB" w:rsidRDefault="00F83100" w:rsidP="00F711E8">
            <w:pPr>
              <w:pStyle w:val="Corpodetexto"/>
              <w:jc w:val="center"/>
              <w:rPr>
                <w:sz w:val="20"/>
              </w:rPr>
            </w:pPr>
            <w:r w:rsidRPr="009D13EB">
              <w:rPr>
                <w:sz w:val="20"/>
              </w:rPr>
              <w:t>Negativa</w:t>
            </w:r>
          </w:p>
        </w:tc>
        <w:tc>
          <w:tcPr>
            <w:tcW w:w="1246" w:type="dxa"/>
            <w:shd w:val="clear" w:color="auto" w:fill="auto"/>
            <w:vAlign w:val="center"/>
          </w:tcPr>
          <w:p w:rsidR="00F83100" w:rsidRPr="009D13EB" w:rsidRDefault="00F83100" w:rsidP="00F711E8">
            <w:pPr>
              <w:pStyle w:val="Corpodetexto"/>
              <w:jc w:val="center"/>
              <w:rPr>
                <w:sz w:val="20"/>
              </w:rPr>
            </w:pPr>
            <w:r w:rsidRPr="009D13EB">
              <w:rPr>
                <w:sz w:val="20"/>
              </w:rPr>
              <w:t>Direta</w:t>
            </w:r>
          </w:p>
        </w:tc>
        <w:tc>
          <w:tcPr>
            <w:tcW w:w="1842" w:type="dxa"/>
            <w:shd w:val="clear" w:color="auto" w:fill="auto"/>
            <w:vAlign w:val="center"/>
          </w:tcPr>
          <w:p w:rsidR="00F83100" w:rsidRPr="009D13EB" w:rsidRDefault="00F83100" w:rsidP="00F711E8">
            <w:pPr>
              <w:pStyle w:val="Corpodetexto"/>
              <w:jc w:val="center"/>
              <w:rPr>
                <w:sz w:val="20"/>
              </w:rPr>
            </w:pPr>
            <w:r w:rsidRPr="009D13EB">
              <w:rPr>
                <w:sz w:val="20"/>
              </w:rPr>
              <w:t>ADA</w:t>
            </w:r>
          </w:p>
        </w:tc>
        <w:tc>
          <w:tcPr>
            <w:tcW w:w="1560" w:type="dxa"/>
            <w:shd w:val="clear" w:color="auto" w:fill="auto"/>
            <w:vAlign w:val="center"/>
          </w:tcPr>
          <w:p w:rsidR="00F83100" w:rsidRPr="009D13EB" w:rsidRDefault="00F83100" w:rsidP="00F711E8">
            <w:pPr>
              <w:pStyle w:val="Corpodetexto"/>
              <w:jc w:val="center"/>
              <w:rPr>
                <w:sz w:val="20"/>
              </w:rPr>
            </w:pPr>
            <w:r w:rsidRPr="009D13EB">
              <w:rPr>
                <w:sz w:val="20"/>
              </w:rPr>
              <w:t>Temporário</w:t>
            </w:r>
          </w:p>
        </w:tc>
        <w:tc>
          <w:tcPr>
            <w:tcW w:w="3056" w:type="dxa"/>
            <w:shd w:val="clear" w:color="auto" w:fill="auto"/>
            <w:vAlign w:val="center"/>
          </w:tcPr>
          <w:p w:rsidR="00F83100" w:rsidRPr="009D13EB" w:rsidRDefault="00F83100" w:rsidP="00F711E8">
            <w:pPr>
              <w:pStyle w:val="Corpodetexto"/>
              <w:jc w:val="center"/>
              <w:rPr>
                <w:sz w:val="20"/>
              </w:rPr>
            </w:pPr>
            <w:r w:rsidRPr="009D13EB">
              <w:rPr>
                <w:sz w:val="20"/>
              </w:rPr>
              <w:t>Certa</w:t>
            </w:r>
          </w:p>
        </w:tc>
      </w:tr>
    </w:tbl>
    <w:p w:rsidR="00F83100" w:rsidRPr="00B56BF9" w:rsidRDefault="00F83100" w:rsidP="00F83100">
      <w:pPr>
        <w:pStyle w:val="Corpodetexto"/>
        <w:spacing w:before="0" w:after="0"/>
        <w:rPr>
          <w:sz w:val="20"/>
        </w:rPr>
      </w:pPr>
    </w:p>
    <w:tbl>
      <w:tblPr>
        <w:tblW w:w="8954" w:type="dxa"/>
        <w:jc w:val="center"/>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70" w:type="dxa"/>
          <w:right w:w="70" w:type="dxa"/>
        </w:tblCellMar>
        <w:tblLook w:val="0000" w:firstRow="0" w:lastRow="0" w:firstColumn="0" w:lastColumn="0" w:noHBand="0" w:noVBand="0"/>
      </w:tblPr>
      <w:tblGrid>
        <w:gridCol w:w="2474"/>
        <w:gridCol w:w="1843"/>
        <w:gridCol w:w="1559"/>
        <w:gridCol w:w="1418"/>
        <w:gridCol w:w="1660"/>
      </w:tblGrid>
      <w:tr w:rsidR="00F83100" w:rsidRPr="00B56BF9" w:rsidTr="00934068">
        <w:trPr>
          <w:jc w:val="center"/>
        </w:trPr>
        <w:tc>
          <w:tcPr>
            <w:tcW w:w="2474" w:type="dxa"/>
            <w:shd w:val="clear" w:color="auto" w:fill="D9D9D9" w:themeFill="background1" w:themeFillShade="D9"/>
            <w:vAlign w:val="center"/>
          </w:tcPr>
          <w:p w:rsidR="00F83100" w:rsidRPr="009D13EB" w:rsidRDefault="00F83100" w:rsidP="00F711E8">
            <w:pPr>
              <w:pStyle w:val="Corpodetexto"/>
              <w:jc w:val="center"/>
              <w:rPr>
                <w:b/>
                <w:sz w:val="20"/>
              </w:rPr>
            </w:pPr>
            <w:r w:rsidRPr="009D13EB">
              <w:rPr>
                <w:b/>
                <w:sz w:val="20"/>
              </w:rPr>
              <w:t>Época de Ocorrência</w:t>
            </w:r>
          </w:p>
        </w:tc>
        <w:tc>
          <w:tcPr>
            <w:tcW w:w="1843" w:type="dxa"/>
            <w:shd w:val="clear" w:color="auto" w:fill="D9D9D9" w:themeFill="background1" w:themeFillShade="D9"/>
            <w:vAlign w:val="center"/>
          </w:tcPr>
          <w:p w:rsidR="00F83100" w:rsidRPr="009D13EB" w:rsidRDefault="00F83100" w:rsidP="00F711E8">
            <w:pPr>
              <w:pStyle w:val="Corpodetexto"/>
              <w:jc w:val="center"/>
              <w:rPr>
                <w:b/>
                <w:sz w:val="20"/>
              </w:rPr>
            </w:pPr>
            <w:r w:rsidRPr="009D13EB">
              <w:rPr>
                <w:b/>
                <w:sz w:val="20"/>
              </w:rPr>
              <w:t>Reversibilidade</w:t>
            </w:r>
          </w:p>
        </w:tc>
        <w:tc>
          <w:tcPr>
            <w:tcW w:w="1559" w:type="dxa"/>
            <w:shd w:val="clear" w:color="auto" w:fill="D9D9D9" w:themeFill="background1" w:themeFillShade="D9"/>
            <w:vAlign w:val="center"/>
          </w:tcPr>
          <w:p w:rsidR="00F83100" w:rsidRPr="009D13EB" w:rsidRDefault="00F83100" w:rsidP="00F711E8">
            <w:pPr>
              <w:pStyle w:val="Corpodetexto"/>
              <w:jc w:val="center"/>
              <w:rPr>
                <w:b/>
                <w:sz w:val="20"/>
              </w:rPr>
            </w:pPr>
            <w:r w:rsidRPr="009D13EB">
              <w:rPr>
                <w:b/>
                <w:sz w:val="20"/>
              </w:rPr>
              <w:t>Magnitude</w:t>
            </w:r>
          </w:p>
        </w:tc>
        <w:tc>
          <w:tcPr>
            <w:tcW w:w="1418" w:type="dxa"/>
            <w:shd w:val="clear" w:color="auto" w:fill="D9D9D9" w:themeFill="background1" w:themeFillShade="D9"/>
            <w:vAlign w:val="center"/>
          </w:tcPr>
          <w:p w:rsidR="00F83100" w:rsidRPr="009D13EB" w:rsidRDefault="00F83100" w:rsidP="00F711E8">
            <w:pPr>
              <w:pStyle w:val="Corpodetexto"/>
              <w:jc w:val="center"/>
              <w:rPr>
                <w:b/>
                <w:sz w:val="20"/>
              </w:rPr>
            </w:pPr>
            <w:r w:rsidRPr="009D13EB">
              <w:rPr>
                <w:b/>
                <w:sz w:val="20"/>
              </w:rPr>
              <w:t>Importância</w:t>
            </w:r>
          </w:p>
        </w:tc>
        <w:tc>
          <w:tcPr>
            <w:tcW w:w="1660" w:type="dxa"/>
            <w:shd w:val="clear" w:color="auto" w:fill="D9D9D9" w:themeFill="background1" w:themeFillShade="D9"/>
            <w:vAlign w:val="center"/>
          </w:tcPr>
          <w:p w:rsidR="00F83100" w:rsidRPr="009D13EB" w:rsidRDefault="00F83100" w:rsidP="00F711E8">
            <w:pPr>
              <w:pStyle w:val="Corpodetexto"/>
              <w:jc w:val="center"/>
              <w:rPr>
                <w:b/>
                <w:sz w:val="20"/>
              </w:rPr>
            </w:pPr>
            <w:r w:rsidRPr="009D13EB">
              <w:rPr>
                <w:b/>
                <w:sz w:val="20"/>
              </w:rPr>
              <w:t>Mitigação</w:t>
            </w:r>
          </w:p>
        </w:tc>
      </w:tr>
      <w:tr w:rsidR="00F83100" w:rsidRPr="00B56BF9" w:rsidTr="007A3816">
        <w:trPr>
          <w:jc w:val="center"/>
        </w:trPr>
        <w:tc>
          <w:tcPr>
            <w:tcW w:w="2474" w:type="dxa"/>
            <w:shd w:val="clear" w:color="auto" w:fill="auto"/>
            <w:vAlign w:val="center"/>
          </w:tcPr>
          <w:p w:rsidR="00F83100" w:rsidRPr="009D13EB" w:rsidRDefault="00F83100" w:rsidP="001168F3">
            <w:pPr>
              <w:pStyle w:val="Corpodetexto"/>
              <w:jc w:val="center"/>
              <w:rPr>
                <w:sz w:val="20"/>
              </w:rPr>
            </w:pPr>
            <w:r w:rsidRPr="009D13EB">
              <w:rPr>
                <w:sz w:val="20"/>
              </w:rPr>
              <w:t>Curto Prazo</w:t>
            </w:r>
          </w:p>
        </w:tc>
        <w:tc>
          <w:tcPr>
            <w:tcW w:w="1843" w:type="dxa"/>
            <w:vAlign w:val="center"/>
          </w:tcPr>
          <w:p w:rsidR="00F83100" w:rsidRPr="009D13EB" w:rsidRDefault="00F83100" w:rsidP="001168F3">
            <w:pPr>
              <w:pStyle w:val="Corpodetexto"/>
              <w:jc w:val="center"/>
              <w:rPr>
                <w:sz w:val="20"/>
              </w:rPr>
            </w:pPr>
            <w:r w:rsidRPr="009D13EB">
              <w:rPr>
                <w:sz w:val="20"/>
              </w:rPr>
              <w:t>Reversível</w:t>
            </w:r>
          </w:p>
        </w:tc>
        <w:tc>
          <w:tcPr>
            <w:tcW w:w="1559" w:type="dxa"/>
            <w:shd w:val="clear" w:color="auto" w:fill="auto"/>
            <w:vAlign w:val="center"/>
          </w:tcPr>
          <w:p w:rsidR="00F83100" w:rsidRPr="009D13EB" w:rsidRDefault="00F83100" w:rsidP="001168F3">
            <w:pPr>
              <w:pStyle w:val="Corpodetexto"/>
              <w:jc w:val="center"/>
              <w:rPr>
                <w:sz w:val="20"/>
              </w:rPr>
            </w:pPr>
            <w:r w:rsidRPr="009D13EB">
              <w:rPr>
                <w:sz w:val="20"/>
              </w:rPr>
              <w:t>Pequena</w:t>
            </w:r>
          </w:p>
        </w:tc>
        <w:tc>
          <w:tcPr>
            <w:tcW w:w="1418" w:type="dxa"/>
            <w:shd w:val="clear" w:color="auto" w:fill="auto"/>
            <w:vAlign w:val="center"/>
          </w:tcPr>
          <w:p w:rsidR="00F83100" w:rsidRPr="009D13EB" w:rsidRDefault="00F83100" w:rsidP="001168F3">
            <w:pPr>
              <w:pStyle w:val="Corpodetexto"/>
              <w:jc w:val="center"/>
              <w:rPr>
                <w:sz w:val="20"/>
              </w:rPr>
            </w:pPr>
            <w:r w:rsidRPr="009D13EB">
              <w:rPr>
                <w:sz w:val="20"/>
              </w:rPr>
              <w:t>Baixa</w:t>
            </w:r>
          </w:p>
        </w:tc>
        <w:tc>
          <w:tcPr>
            <w:tcW w:w="1660" w:type="dxa"/>
            <w:shd w:val="clear" w:color="auto" w:fill="auto"/>
            <w:vAlign w:val="center"/>
          </w:tcPr>
          <w:p w:rsidR="00F83100" w:rsidRPr="009D13EB" w:rsidRDefault="00F83100" w:rsidP="001168F3">
            <w:pPr>
              <w:pStyle w:val="Corpodetexto"/>
              <w:jc w:val="center"/>
              <w:rPr>
                <w:sz w:val="20"/>
              </w:rPr>
            </w:pPr>
            <w:r w:rsidRPr="009D13EB">
              <w:rPr>
                <w:sz w:val="20"/>
              </w:rPr>
              <w:t>Mitigável</w:t>
            </w:r>
          </w:p>
        </w:tc>
      </w:tr>
    </w:tbl>
    <w:p w:rsidR="00F83100" w:rsidRDefault="00F83100" w:rsidP="00AE11B8">
      <w:pPr>
        <w:spacing w:line="240" w:lineRule="auto"/>
      </w:pPr>
    </w:p>
    <w:p w:rsidR="00F83100" w:rsidRPr="007C5C21" w:rsidRDefault="00F83100" w:rsidP="00AE11B8">
      <w:pPr>
        <w:autoSpaceDE w:val="0"/>
        <w:autoSpaceDN w:val="0"/>
        <w:adjustRightInd w:val="0"/>
        <w:spacing w:before="120" w:after="120" w:line="240" w:lineRule="auto"/>
        <w:rPr>
          <w:rFonts w:cs="Arial"/>
          <w:b/>
        </w:rPr>
      </w:pPr>
      <w:r w:rsidRPr="007C5C21">
        <w:rPr>
          <w:rFonts w:cs="Arial"/>
          <w:b/>
        </w:rPr>
        <w:t>Ações Ambientais Propostas</w:t>
      </w:r>
    </w:p>
    <w:p w:rsidR="00F83100" w:rsidRDefault="00F83100" w:rsidP="00DE3A6F">
      <w:pPr>
        <w:pStyle w:val="Corpodetexto"/>
        <w:rPr>
          <w:rFonts w:eastAsia="Calibri"/>
          <w:lang w:eastAsia="en-US"/>
        </w:rPr>
      </w:pPr>
      <w:r w:rsidRPr="00DE3A6F">
        <w:rPr>
          <w:rFonts w:eastAsia="Calibri"/>
          <w:lang w:eastAsia="en-US"/>
        </w:rPr>
        <w:t xml:space="preserve">As medidas a serem adotadas para mitigar o impacto farão parte do Programa de Recomposição da Infraestrutura (Estradas, Linhas de Transmissão e de Distribuição de Energia Elétrica); do Programa de Controle Ambiental das Obras e do Programa de </w:t>
      </w:r>
      <w:r w:rsidR="00D225D5">
        <w:rPr>
          <w:rFonts w:eastAsia="Calibri"/>
          <w:lang w:eastAsia="en-US"/>
        </w:rPr>
        <w:t>Comunicação e Interação Social</w:t>
      </w:r>
      <w:r w:rsidRPr="00DE3A6F">
        <w:rPr>
          <w:rFonts w:eastAsia="Calibri"/>
          <w:lang w:eastAsia="en-US"/>
        </w:rPr>
        <w:t xml:space="preserve"> e de Educação Ambiental.</w:t>
      </w:r>
    </w:p>
    <w:p w:rsidR="00973BCF" w:rsidRPr="00934068" w:rsidRDefault="00CD6D82" w:rsidP="00934068">
      <w:pPr>
        <w:pStyle w:val="Ttulo3"/>
        <w:rPr>
          <w:rFonts w:ascii="Arial Negrito" w:hAnsi="Arial Negrito"/>
          <w:bCs/>
        </w:rPr>
      </w:pPr>
      <w:bookmarkStart w:id="418" w:name="_Toc418758261"/>
      <w:bookmarkStart w:id="419" w:name="_Toc418758863"/>
      <w:bookmarkStart w:id="420" w:name="_Toc419813623"/>
      <w:r w:rsidRPr="00934068">
        <w:rPr>
          <w:rFonts w:ascii="Arial Negrito" w:hAnsi="Arial Negrito"/>
          <w:bCs/>
        </w:rPr>
        <w:t>1.3.3.14.</w:t>
      </w:r>
      <w:r w:rsidR="00973BCF" w:rsidRPr="00934068">
        <w:rPr>
          <w:rFonts w:ascii="Arial Negrito" w:hAnsi="Arial Negrito"/>
          <w:bCs/>
        </w:rPr>
        <w:t xml:space="preserve"> Pressão na Infraestrutura Viária</w:t>
      </w:r>
      <w:bookmarkEnd w:id="418"/>
      <w:bookmarkEnd w:id="419"/>
      <w:bookmarkEnd w:id="420"/>
      <w:r w:rsidR="00DE3A6F" w:rsidRPr="00934068">
        <w:rPr>
          <w:rFonts w:ascii="Arial Negrito" w:hAnsi="Arial Negrito"/>
          <w:bCs/>
        </w:rPr>
        <w:t xml:space="preserve"> </w:t>
      </w:r>
    </w:p>
    <w:p w:rsidR="00DE3A6F" w:rsidRPr="00DE3A6F" w:rsidRDefault="00DE3A6F" w:rsidP="00DE3A6F">
      <w:pPr>
        <w:spacing w:before="120" w:after="120" w:line="240" w:lineRule="auto"/>
        <w:rPr>
          <w:rFonts w:eastAsia="Calibri"/>
          <w:b/>
          <w:szCs w:val="22"/>
          <w:lang w:eastAsia="en-US"/>
        </w:rPr>
      </w:pPr>
      <w:r w:rsidRPr="00DE3A6F">
        <w:rPr>
          <w:rFonts w:eastAsia="Calibri"/>
          <w:b/>
          <w:szCs w:val="22"/>
          <w:lang w:eastAsia="en-US"/>
        </w:rPr>
        <w:t>Fase</w:t>
      </w:r>
      <w:r w:rsidR="00FC11E5">
        <w:rPr>
          <w:rFonts w:eastAsia="Calibri"/>
          <w:b/>
          <w:szCs w:val="22"/>
          <w:lang w:eastAsia="en-US"/>
        </w:rPr>
        <w:t>:</w:t>
      </w:r>
      <w:r w:rsidRPr="00DE3A6F">
        <w:rPr>
          <w:rFonts w:eastAsia="Calibri"/>
          <w:b/>
          <w:szCs w:val="22"/>
          <w:lang w:eastAsia="en-US"/>
        </w:rPr>
        <w:t xml:space="preserve"> Implantação</w:t>
      </w:r>
    </w:p>
    <w:p w:rsidR="00DE3A6F" w:rsidRPr="00DE3A6F" w:rsidRDefault="00DE3A6F" w:rsidP="00DE3A6F">
      <w:pPr>
        <w:spacing w:before="120" w:after="120" w:line="240" w:lineRule="auto"/>
        <w:rPr>
          <w:rFonts w:eastAsia="Calibri"/>
          <w:szCs w:val="22"/>
          <w:lang w:eastAsia="en-US"/>
        </w:rPr>
      </w:pPr>
      <w:r w:rsidRPr="00DE3A6F">
        <w:rPr>
          <w:rFonts w:eastAsia="Calibri"/>
          <w:szCs w:val="22"/>
          <w:lang w:eastAsia="en-US"/>
        </w:rPr>
        <w:t xml:space="preserve">Os municípios de Amparo, Pedreira e Campinas, e a região do entorno, possuem uma densa rede viária, composta por estradas estaduais e municipais, na sua maior parte, em bom estado de conservação, permitindo uma rápida conexão com os municípios vizinhos e ligação com os principais centros urbanos regionais e estaduais. </w:t>
      </w:r>
    </w:p>
    <w:p w:rsidR="00DE3A6F" w:rsidRPr="00DE3A6F" w:rsidRDefault="00DE3A6F" w:rsidP="00DE3A6F">
      <w:pPr>
        <w:spacing w:before="120" w:after="120" w:line="240" w:lineRule="auto"/>
        <w:rPr>
          <w:rFonts w:eastAsia="Calibri"/>
          <w:szCs w:val="22"/>
          <w:lang w:eastAsia="en-US"/>
        </w:rPr>
      </w:pPr>
      <w:r w:rsidRPr="00DE3A6F">
        <w:rPr>
          <w:rFonts w:eastAsia="Calibri"/>
          <w:szCs w:val="22"/>
          <w:lang w:eastAsia="en-US"/>
        </w:rPr>
        <w:t xml:space="preserve">De acordo com o apresentado no Mapa Rodoviário do Estado de São Paulo (DER / 2013) as principais rodovias da região de </w:t>
      </w:r>
      <w:r w:rsidR="00D84473">
        <w:rPr>
          <w:rFonts w:eastAsia="Calibri"/>
          <w:szCs w:val="22"/>
          <w:lang w:eastAsia="en-US"/>
        </w:rPr>
        <w:t>inserção dos barramentos seriam (Desenho 7188-46-GL-830-DE-00341</w:t>
      </w:r>
      <w:r w:rsidR="00AB7576">
        <w:rPr>
          <w:rFonts w:eastAsia="Calibri"/>
          <w:szCs w:val="22"/>
          <w:lang w:eastAsia="en-US"/>
        </w:rPr>
        <w:t>, apresentado neste documento</w:t>
      </w:r>
      <w:r w:rsidR="00D84473">
        <w:rPr>
          <w:rFonts w:eastAsia="Calibri"/>
          <w:szCs w:val="22"/>
          <w:lang w:eastAsia="en-US"/>
        </w:rPr>
        <w:t>):</w:t>
      </w:r>
    </w:p>
    <w:p w:rsidR="00DE3A6F" w:rsidRPr="00DE3A6F" w:rsidRDefault="00DE3A6F" w:rsidP="00934068">
      <w:pPr>
        <w:pStyle w:val="Item-Trainho"/>
        <w:rPr>
          <w:rFonts w:eastAsia="Calibri"/>
          <w:lang w:eastAsia="en-US"/>
        </w:rPr>
      </w:pPr>
      <w:r w:rsidRPr="00DE3A6F">
        <w:rPr>
          <w:rFonts w:eastAsia="Calibri"/>
          <w:b/>
          <w:lang w:eastAsia="en-US"/>
        </w:rPr>
        <w:t>SP-340:</w:t>
      </w:r>
      <w:r w:rsidRPr="00DE3A6F">
        <w:rPr>
          <w:rFonts w:eastAsia="Calibri"/>
          <w:lang w:eastAsia="en-US"/>
        </w:rPr>
        <w:t xml:space="preserve"> Conhecida também como Governador Doutor Ademar Pereira de Barros a estrada estadual possui pista dupla e traçado em sentido norte/sul. Interliga as cidades de Campinas e Mogi-Mirim, passando ao oeste dos municípios de inserção dos barramentos. </w:t>
      </w:r>
    </w:p>
    <w:p w:rsidR="00DE3A6F" w:rsidRPr="00DE3A6F" w:rsidRDefault="00DE3A6F" w:rsidP="00934068">
      <w:pPr>
        <w:pStyle w:val="Item-Trainho"/>
        <w:rPr>
          <w:rFonts w:eastAsia="Calibri"/>
          <w:lang w:eastAsia="en-US"/>
        </w:rPr>
      </w:pPr>
      <w:r w:rsidRPr="00DE3A6F">
        <w:rPr>
          <w:rFonts w:eastAsia="Calibri"/>
          <w:b/>
          <w:lang w:eastAsia="en-US"/>
        </w:rPr>
        <w:t>SP-065:</w:t>
      </w:r>
      <w:r w:rsidRPr="00DE3A6F">
        <w:rPr>
          <w:rFonts w:eastAsia="Calibri"/>
          <w:lang w:eastAsia="en-US"/>
        </w:rPr>
        <w:t xml:space="preserve"> Estrada estadual de pista dupla, conhecida também como Rodovia Dom Pedro I, interliga as cidades de Campinas com Atibaia e </w:t>
      </w:r>
      <w:r w:rsidR="00F9371A" w:rsidRPr="00DE3A6F">
        <w:rPr>
          <w:rFonts w:eastAsia="Calibri"/>
          <w:lang w:eastAsia="en-US"/>
        </w:rPr>
        <w:t>Jacareí</w:t>
      </w:r>
      <w:r w:rsidRPr="00DE3A6F">
        <w:rPr>
          <w:rFonts w:eastAsia="Calibri"/>
          <w:lang w:eastAsia="en-US"/>
        </w:rPr>
        <w:t>. Com traçado em sentido sudeste/noroeste, encontra-se localizada ao sul dos municípios de Pedreira e Amparo.</w:t>
      </w:r>
    </w:p>
    <w:p w:rsidR="00DE3A6F" w:rsidRPr="00DE3A6F" w:rsidRDefault="00DE3A6F" w:rsidP="00934068">
      <w:pPr>
        <w:pStyle w:val="Item-Trainho"/>
        <w:rPr>
          <w:rFonts w:eastAsia="Calibri"/>
          <w:lang w:eastAsia="en-US"/>
        </w:rPr>
      </w:pPr>
      <w:r w:rsidRPr="00DE3A6F">
        <w:rPr>
          <w:rFonts w:eastAsia="Calibri"/>
          <w:b/>
          <w:lang w:eastAsia="en-US"/>
        </w:rPr>
        <w:t>SP-330 e SP-348:</w:t>
      </w:r>
      <w:r w:rsidRPr="00DE3A6F">
        <w:rPr>
          <w:rFonts w:eastAsia="Calibri"/>
          <w:lang w:eastAsia="en-US"/>
        </w:rPr>
        <w:t xml:space="preserve"> conhecidas, respectivamente, como rodovia Anhanguera e rodovia dos Bandeirantes, ambas de pista dupla, se constituem nas principais vias da região, interligando a cidade de Campinas (principal polo regional), com a cidade de São Paulo, capital do Estado. </w:t>
      </w:r>
    </w:p>
    <w:p w:rsidR="00DE3A6F" w:rsidRPr="00DE3A6F" w:rsidRDefault="00DE3A6F" w:rsidP="00934068">
      <w:pPr>
        <w:pStyle w:val="Item-Trainho"/>
        <w:numPr>
          <w:ilvl w:val="0"/>
          <w:numId w:val="0"/>
        </w:numPr>
        <w:rPr>
          <w:rFonts w:eastAsia="Calibri"/>
          <w:lang w:eastAsia="en-US"/>
        </w:rPr>
      </w:pPr>
      <w:r w:rsidRPr="00DE3A6F">
        <w:rPr>
          <w:rFonts w:eastAsia="Calibri"/>
          <w:lang w:eastAsia="en-US"/>
        </w:rPr>
        <w:t>Num outro nível viário, se encontram as rodovias estaduais citadas a seguir:</w:t>
      </w:r>
    </w:p>
    <w:p w:rsidR="00DE3A6F" w:rsidRPr="00DE3A6F" w:rsidRDefault="00DE3A6F" w:rsidP="00934068">
      <w:pPr>
        <w:pStyle w:val="Item-Trainho"/>
        <w:rPr>
          <w:rFonts w:eastAsia="Calibri"/>
          <w:lang w:eastAsia="en-US"/>
        </w:rPr>
      </w:pPr>
      <w:r w:rsidRPr="00DE3A6F">
        <w:rPr>
          <w:rFonts w:eastAsia="Calibri"/>
          <w:b/>
          <w:lang w:eastAsia="en-US"/>
        </w:rPr>
        <w:t>SP-095:</w:t>
      </w:r>
      <w:r w:rsidRPr="00DE3A6F">
        <w:rPr>
          <w:rFonts w:eastAsia="Calibri"/>
          <w:lang w:eastAsia="en-US"/>
        </w:rPr>
        <w:t xml:space="preserve"> Conhecida também como rodovia João Beira tem início na SP-340, interligando a cidade de </w:t>
      </w:r>
      <w:r w:rsidR="00F9371A" w:rsidRPr="00DE3A6F">
        <w:rPr>
          <w:rFonts w:eastAsia="Calibri"/>
          <w:lang w:eastAsia="en-US"/>
        </w:rPr>
        <w:t>Jaguariúna</w:t>
      </w:r>
      <w:r w:rsidRPr="00DE3A6F">
        <w:rPr>
          <w:rFonts w:eastAsia="Calibri"/>
          <w:lang w:eastAsia="en-US"/>
        </w:rPr>
        <w:t xml:space="preserve"> com as cidades de Pedreira e Amparo, em cujos municípios serão construídos os barramentos em estudo. </w:t>
      </w:r>
    </w:p>
    <w:p w:rsidR="00DE3A6F" w:rsidRPr="00DE3A6F" w:rsidRDefault="00DE3A6F" w:rsidP="00934068">
      <w:pPr>
        <w:pStyle w:val="Item-Trainho"/>
        <w:rPr>
          <w:rFonts w:eastAsia="Calibri"/>
          <w:lang w:eastAsia="en-US"/>
        </w:rPr>
      </w:pPr>
      <w:r w:rsidRPr="00DE3A6F">
        <w:rPr>
          <w:rFonts w:eastAsia="Calibri"/>
          <w:b/>
          <w:lang w:eastAsia="en-US"/>
        </w:rPr>
        <w:t>SP-107:</w:t>
      </w:r>
      <w:r w:rsidRPr="00DE3A6F">
        <w:rPr>
          <w:rFonts w:eastAsia="Calibri"/>
          <w:lang w:eastAsia="en-US"/>
        </w:rPr>
        <w:t xml:space="preserve"> Conhecida como Rodovia Prefeito Aziz Lian, com traçado norte/sul, a estrada interliga Arcadas (distrito de Amparo), com a cidade de Santo Antônio de Posse, permitindo o acesso ao local do barramento Duas Pontes.</w:t>
      </w:r>
    </w:p>
    <w:p w:rsidR="00DE3A6F" w:rsidRPr="00DE3A6F" w:rsidRDefault="00DE3A6F" w:rsidP="00934068">
      <w:pPr>
        <w:pStyle w:val="Item-Trainho"/>
        <w:rPr>
          <w:rFonts w:eastAsia="Calibri"/>
          <w:lang w:eastAsia="en-US"/>
        </w:rPr>
      </w:pPr>
      <w:r w:rsidRPr="00DE3A6F">
        <w:rPr>
          <w:rFonts w:eastAsia="Calibri"/>
          <w:b/>
          <w:lang w:eastAsia="en-US"/>
        </w:rPr>
        <w:t>SP-360:</w:t>
      </w:r>
      <w:r w:rsidRPr="00DE3A6F">
        <w:rPr>
          <w:rFonts w:eastAsia="Calibri"/>
          <w:lang w:eastAsia="en-US"/>
        </w:rPr>
        <w:t xml:space="preserve"> Conhecida como Rodovia Engenheiro Constâncio Cintra, tem início na cidade de Amparo, possibilitando o acesso as cidades de Morungaba e Itatiba, esta última na rodovia Dom Pedro I (SP-065). </w:t>
      </w:r>
    </w:p>
    <w:p w:rsidR="00DE3A6F" w:rsidRPr="00DE3A6F" w:rsidRDefault="000B1E7D" w:rsidP="00DE3A6F">
      <w:pPr>
        <w:spacing w:before="120" w:after="120" w:line="240" w:lineRule="auto"/>
        <w:rPr>
          <w:rFonts w:eastAsia="Calibri"/>
          <w:szCs w:val="22"/>
          <w:lang w:eastAsia="en-US"/>
        </w:rPr>
      </w:pPr>
      <w:r>
        <w:rPr>
          <w:rFonts w:eastAsia="Calibri"/>
          <w:szCs w:val="22"/>
          <w:lang w:eastAsia="en-US"/>
        </w:rPr>
        <w:t>Na Barragem</w:t>
      </w:r>
      <w:r w:rsidR="00DE3A6F" w:rsidRPr="00DE3A6F">
        <w:rPr>
          <w:rFonts w:eastAsia="Calibri"/>
          <w:szCs w:val="22"/>
          <w:lang w:eastAsia="en-US"/>
        </w:rPr>
        <w:t xml:space="preserve"> Pedreira o acesso final aos empreendimentos ocorre a partir da área urbana da cidade de Pedreira, utilizando a Rua Padre Alexandrino de Barros que mais adiante muda para Rua Padre Francisco Salvino, ambas localizadas junto a margem direita do rio Jaguari. Continuando rio acima, se acessa a estrada municipal (PED-030), conhecida também como estrada da Ingatuba, de pista simples e com leito de terra, que permite alcançar o local do eixo da </w:t>
      </w:r>
      <w:r w:rsidR="005E3672">
        <w:rPr>
          <w:rFonts w:eastAsia="Calibri"/>
          <w:szCs w:val="22"/>
          <w:lang w:eastAsia="en-US"/>
        </w:rPr>
        <w:t>Barragem</w:t>
      </w:r>
      <w:r w:rsidR="00DE3A6F" w:rsidRPr="00DE3A6F">
        <w:rPr>
          <w:rFonts w:eastAsia="Calibri"/>
          <w:szCs w:val="22"/>
          <w:lang w:eastAsia="en-US"/>
        </w:rPr>
        <w:t xml:space="preserve"> Pedreira, distante cerca de 2,0 km.</w:t>
      </w:r>
    </w:p>
    <w:p w:rsidR="00DE3A6F" w:rsidRPr="00DE3A6F" w:rsidRDefault="000B1E7D" w:rsidP="00DE3A6F">
      <w:pPr>
        <w:spacing w:before="120" w:after="120" w:line="240" w:lineRule="auto"/>
        <w:rPr>
          <w:rFonts w:eastAsia="Calibri"/>
          <w:szCs w:val="22"/>
          <w:lang w:eastAsia="en-US"/>
        </w:rPr>
      </w:pPr>
      <w:r>
        <w:rPr>
          <w:rFonts w:eastAsia="Calibri"/>
          <w:szCs w:val="22"/>
          <w:lang w:eastAsia="en-US"/>
        </w:rPr>
        <w:t>Na Barragem</w:t>
      </w:r>
      <w:r w:rsidR="00DE3A6F" w:rsidRPr="00DE3A6F">
        <w:rPr>
          <w:rFonts w:eastAsia="Calibri"/>
          <w:szCs w:val="22"/>
          <w:lang w:eastAsia="en-US"/>
        </w:rPr>
        <w:t xml:space="preserve"> Duas Pontes o acesso ao local do eixo pode ser realizado a partir da rodovia João Beira (SP-095), no Distrito de Arcadas, município de Amparo, seguindo pela rodovia Prefeito Aziz Lian (SP-107). Após percorrer 5,6 km, e cerca de 200m após a ponte sobre o rio Camanducaia, se entra em estrada vicinal, de pista simples com leito de terra, percorrendo 2,1 km até o local do eixo do barramento. </w:t>
      </w:r>
    </w:p>
    <w:p w:rsidR="00DE3A6F" w:rsidRPr="00DE3A6F" w:rsidRDefault="00DE3A6F" w:rsidP="00DE3A6F">
      <w:pPr>
        <w:spacing w:before="120" w:after="120" w:line="240" w:lineRule="auto"/>
        <w:rPr>
          <w:rFonts w:eastAsia="Calibri"/>
          <w:szCs w:val="22"/>
          <w:lang w:eastAsia="en-US"/>
        </w:rPr>
      </w:pPr>
      <w:r w:rsidRPr="00DE3A6F">
        <w:rPr>
          <w:rFonts w:eastAsia="Calibri"/>
          <w:szCs w:val="22"/>
          <w:lang w:eastAsia="en-US"/>
        </w:rPr>
        <w:t xml:space="preserve">De acordo com os dados do Departamento de Estradas de Rodagem da Secretaria de Logística e Transportes do Estado de São Paulo, observa-se que o volume de circulação de veículos é maior nas estradas que se constituem em eixos de ligação da cidade de São Paulo com o interior do Estado, como as rodovias Anhanguera (SP-330) e Bandeirante (SP-348). No ano 2013 o Volume Diário Médio de Veículos (VDM) correspondia a 23.621 e 37.618 veículos </w:t>
      </w:r>
      <w:r w:rsidRPr="006B687D">
        <w:rPr>
          <w:rFonts w:eastAsia="Calibri"/>
          <w:szCs w:val="22"/>
          <w:lang w:eastAsia="en-US"/>
        </w:rPr>
        <w:t xml:space="preserve">respectivamente (Quadro </w:t>
      </w:r>
      <w:r w:rsidR="00D866D8" w:rsidRPr="006B687D">
        <w:rPr>
          <w:rFonts w:eastAsia="Calibri"/>
          <w:szCs w:val="22"/>
          <w:lang w:eastAsia="en-US"/>
        </w:rPr>
        <w:t>1.3.93)</w:t>
      </w:r>
      <w:r w:rsidRPr="006B687D">
        <w:rPr>
          <w:rFonts w:eastAsia="Calibri"/>
          <w:szCs w:val="22"/>
          <w:lang w:eastAsia="en-US"/>
        </w:rPr>
        <w:t>.</w:t>
      </w:r>
    </w:p>
    <w:p w:rsidR="00DE3A6F" w:rsidRDefault="00DE3A6F" w:rsidP="00DE3A6F">
      <w:pPr>
        <w:spacing w:before="120" w:after="120" w:line="240" w:lineRule="auto"/>
        <w:rPr>
          <w:rFonts w:eastAsia="Calibri"/>
          <w:szCs w:val="22"/>
          <w:lang w:eastAsia="en-US"/>
        </w:rPr>
      </w:pPr>
      <w:r w:rsidRPr="00DE3A6F">
        <w:rPr>
          <w:rFonts w:eastAsia="Calibri"/>
          <w:szCs w:val="22"/>
          <w:lang w:eastAsia="en-US"/>
        </w:rPr>
        <w:t xml:space="preserve">Outro eixo viário importante é a rodovia Governador Doutor Ademar Pereira de Barros (SP-340) que, a partir da cidade de Campinas, permite o acesso ao nordeste do Estado de São Paulo como também a diversos municípios do sul do Estado de Minas Gerais, com um VDM de 20.959 veículos. Em situação similar se encontra a Rodovia Dom Pedro I (SP-065) que interliga duas regiões importantes, do ponto de vista de desenvolvimento socioeconômico, a região do entorno de Campinas e o vale do Rio Paraíba do Sul, região que conta com o eixo viário Rio – São Paulo. Em 2013 a SP-065 possuía um VDM de 16.379 veículos. </w:t>
      </w:r>
    </w:p>
    <w:p w:rsidR="00DE3A6F" w:rsidRPr="006B687D" w:rsidRDefault="00402E81" w:rsidP="008F4A45">
      <w:pPr>
        <w:pStyle w:val="Legenda"/>
        <w:spacing w:line="240" w:lineRule="auto"/>
        <w:jc w:val="center"/>
        <w:rPr>
          <w:rFonts w:eastAsia="Calibri"/>
          <w:b w:val="0"/>
          <w:i w:val="0"/>
          <w:szCs w:val="22"/>
          <w:lang w:eastAsia="en-US"/>
        </w:rPr>
      </w:pPr>
      <w:bookmarkStart w:id="421" w:name="_Toc420316537"/>
      <w:r w:rsidRPr="006B687D">
        <w:rPr>
          <w:i w:val="0"/>
        </w:rPr>
        <w:t xml:space="preserve">Quadro </w:t>
      </w:r>
      <w:r w:rsidR="00B80A05" w:rsidRPr="006B687D">
        <w:rPr>
          <w:i w:val="0"/>
        </w:rPr>
        <w:fldChar w:fldCharType="begin"/>
      </w:r>
      <w:r w:rsidRPr="006B687D">
        <w:rPr>
          <w:i w:val="0"/>
        </w:rPr>
        <w:instrText xml:space="preserve"> STYLEREF 2 \s </w:instrText>
      </w:r>
      <w:r w:rsidR="00B80A05" w:rsidRPr="006B687D">
        <w:rPr>
          <w:i w:val="0"/>
        </w:rPr>
        <w:fldChar w:fldCharType="separate"/>
      </w:r>
      <w:r w:rsidR="00316060">
        <w:rPr>
          <w:i w:val="0"/>
          <w:noProof/>
        </w:rPr>
        <w:t>1.3</w:t>
      </w:r>
      <w:r w:rsidR="00B80A05" w:rsidRPr="006B687D">
        <w:rPr>
          <w:i w:val="0"/>
        </w:rPr>
        <w:fldChar w:fldCharType="end"/>
      </w:r>
      <w:r w:rsidRPr="006B687D">
        <w:rPr>
          <w:i w:val="0"/>
        </w:rPr>
        <w:t>.</w:t>
      </w:r>
      <w:r w:rsidR="00B80A05" w:rsidRPr="006B687D">
        <w:rPr>
          <w:i w:val="0"/>
        </w:rPr>
        <w:fldChar w:fldCharType="begin"/>
      </w:r>
      <w:r w:rsidRPr="006B687D">
        <w:rPr>
          <w:i w:val="0"/>
        </w:rPr>
        <w:instrText xml:space="preserve"> SEQ Quadro \* ARABIC \s 2 </w:instrText>
      </w:r>
      <w:r w:rsidR="00B80A05" w:rsidRPr="006B687D">
        <w:rPr>
          <w:i w:val="0"/>
        </w:rPr>
        <w:fldChar w:fldCharType="separate"/>
      </w:r>
      <w:r w:rsidR="00316060">
        <w:rPr>
          <w:i w:val="0"/>
          <w:noProof/>
        </w:rPr>
        <w:t>94</w:t>
      </w:r>
      <w:r w:rsidR="00B80A05" w:rsidRPr="006B687D">
        <w:rPr>
          <w:i w:val="0"/>
        </w:rPr>
        <w:fldChar w:fldCharType="end"/>
      </w:r>
      <w:r w:rsidR="006B687D" w:rsidRPr="006B687D">
        <w:rPr>
          <w:i w:val="0"/>
        </w:rPr>
        <w:t>.</w:t>
      </w:r>
      <w:r w:rsidR="006B687D" w:rsidRPr="006B687D">
        <w:rPr>
          <w:b w:val="0"/>
          <w:i w:val="0"/>
        </w:rPr>
        <w:t xml:space="preserve"> - </w:t>
      </w:r>
      <w:r w:rsidR="00DE3A6F" w:rsidRPr="006B687D">
        <w:rPr>
          <w:rFonts w:eastAsia="Calibri"/>
          <w:b w:val="0"/>
          <w:i w:val="0"/>
          <w:szCs w:val="22"/>
          <w:lang w:eastAsia="en-US"/>
        </w:rPr>
        <w:t>Tráfego das principais rodovias da região de Pedreira e Amparo</w:t>
      </w:r>
      <w:bookmarkEnd w:id="421"/>
    </w:p>
    <w:tbl>
      <w:tblPr>
        <w:tblW w:w="0" w:type="auto"/>
        <w:jc w:val="center"/>
        <w:tblInd w:w="-3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9"/>
        <w:gridCol w:w="1086"/>
        <w:gridCol w:w="1275"/>
        <w:gridCol w:w="1280"/>
        <w:gridCol w:w="1276"/>
      </w:tblGrid>
      <w:tr w:rsidR="00DE3A6F" w:rsidRPr="00A35CF3" w:rsidTr="008F4A45">
        <w:trPr>
          <w:jc w:val="center"/>
        </w:trPr>
        <w:tc>
          <w:tcPr>
            <w:tcW w:w="4069" w:type="dxa"/>
            <w:vMerge w:val="restart"/>
            <w:shd w:val="clear" w:color="auto" w:fill="D9D9D9" w:themeFill="background1" w:themeFillShade="D9"/>
            <w:vAlign w:val="center"/>
          </w:tcPr>
          <w:p w:rsidR="00DE3A6F" w:rsidRPr="00A35CF3" w:rsidRDefault="00DE3A6F" w:rsidP="00A35CF3">
            <w:pPr>
              <w:spacing w:line="240" w:lineRule="auto"/>
              <w:jc w:val="center"/>
              <w:rPr>
                <w:rFonts w:eastAsia="Calibri"/>
                <w:szCs w:val="22"/>
                <w:lang w:eastAsia="en-US"/>
              </w:rPr>
            </w:pPr>
            <w:r w:rsidRPr="00A35CF3">
              <w:rPr>
                <w:rFonts w:eastAsia="Calibri"/>
                <w:b/>
                <w:szCs w:val="22"/>
                <w:lang w:eastAsia="en-US"/>
              </w:rPr>
              <w:t>Rodovia</w:t>
            </w:r>
          </w:p>
        </w:tc>
        <w:tc>
          <w:tcPr>
            <w:tcW w:w="1086" w:type="dxa"/>
            <w:vMerge w:val="restart"/>
            <w:shd w:val="clear" w:color="auto" w:fill="D9D9D9" w:themeFill="background1" w:themeFillShade="D9"/>
            <w:vAlign w:val="center"/>
          </w:tcPr>
          <w:p w:rsidR="00DE3A6F" w:rsidRPr="00A35CF3" w:rsidRDefault="00DE3A6F" w:rsidP="00A35CF3">
            <w:pPr>
              <w:spacing w:line="240" w:lineRule="auto"/>
              <w:jc w:val="center"/>
              <w:rPr>
                <w:rFonts w:eastAsia="Calibri"/>
                <w:szCs w:val="22"/>
                <w:lang w:eastAsia="en-US"/>
              </w:rPr>
            </w:pPr>
            <w:r w:rsidRPr="00A35CF3">
              <w:rPr>
                <w:rFonts w:eastAsia="Calibri"/>
                <w:b/>
                <w:szCs w:val="22"/>
                <w:lang w:eastAsia="en-US"/>
              </w:rPr>
              <w:t>Km</w:t>
            </w:r>
            <w:r w:rsidR="006C36C3">
              <w:rPr>
                <w:rFonts w:eastAsia="Calibri"/>
                <w:b/>
                <w:szCs w:val="22"/>
                <w:lang w:eastAsia="en-US"/>
              </w:rPr>
              <w:t xml:space="preserve"> </w:t>
            </w:r>
            <w:r w:rsidR="00FC42B4" w:rsidRPr="00FC42B4">
              <w:rPr>
                <w:rFonts w:eastAsia="Calibri"/>
                <w:b/>
                <w:sz w:val="18"/>
                <w:szCs w:val="18"/>
                <w:lang w:eastAsia="en-US"/>
              </w:rPr>
              <w:t>(1)</w:t>
            </w:r>
          </w:p>
        </w:tc>
        <w:tc>
          <w:tcPr>
            <w:tcW w:w="3831" w:type="dxa"/>
            <w:gridSpan w:val="3"/>
            <w:shd w:val="clear" w:color="auto" w:fill="D9D9D9" w:themeFill="background1" w:themeFillShade="D9"/>
            <w:vAlign w:val="center"/>
          </w:tcPr>
          <w:p w:rsidR="00DE3A6F" w:rsidRPr="00A35CF3" w:rsidRDefault="00DE3A6F" w:rsidP="00A35CF3">
            <w:pPr>
              <w:spacing w:line="240" w:lineRule="auto"/>
              <w:jc w:val="center"/>
              <w:rPr>
                <w:rFonts w:eastAsia="Calibri"/>
                <w:b/>
                <w:szCs w:val="22"/>
                <w:lang w:eastAsia="en-US"/>
              </w:rPr>
            </w:pPr>
            <w:r w:rsidRPr="00A35CF3">
              <w:rPr>
                <w:rFonts w:eastAsia="Calibri"/>
                <w:b/>
                <w:szCs w:val="22"/>
                <w:lang w:eastAsia="en-US"/>
              </w:rPr>
              <w:t>Volume Diário Médio - 2013</w:t>
            </w:r>
          </w:p>
        </w:tc>
      </w:tr>
      <w:tr w:rsidR="00DE3A6F" w:rsidRPr="00A35CF3" w:rsidTr="008F4A45">
        <w:trPr>
          <w:jc w:val="center"/>
        </w:trPr>
        <w:tc>
          <w:tcPr>
            <w:tcW w:w="4069" w:type="dxa"/>
            <w:vMerge/>
            <w:shd w:val="clear" w:color="auto" w:fill="auto"/>
            <w:vAlign w:val="center"/>
          </w:tcPr>
          <w:p w:rsidR="00DE3A6F" w:rsidRPr="00A35CF3" w:rsidRDefault="00DE3A6F" w:rsidP="00A35CF3">
            <w:pPr>
              <w:spacing w:line="240" w:lineRule="auto"/>
              <w:jc w:val="center"/>
              <w:rPr>
                <w:rFonts w:eastAsia="Calibri"/>
                <w:b/>
                <w:szCs w:val="22"/>
                <w:lang w:eastAsia="en-US"/>
              </w:rPr>
            </w:pPr>
          </w:p>
        </w:tc>
        <w:tc>
          <w:tcPr>
            <w:tcW w:w="1086" w:type="dxa"/>
            <w:vMerge/>
            <w:shd w:val="clear" w:color="auto" w:fill="auto"/>
            <w:vAlign w:val="center"/>
          </w:tcPr>
          <w:p w:rsidR="00DE3A6F" w:rsidRPr="00A35CF3" w:rsidRDefault="00DE3A6F" w:rsidP="00A35CF3">
            <w:pPr>
              <w:spacing w:line="240" w:lineRule="auto"/>
              <w:jc w:val="center"/>
              <w:rPr>
                <w:rFonts w:eastAsia="Calibri"/>
                <w:b/>
                <w:szCs w:val="22"/>
                <w:lang w:eastAsia="en-US"/>
              </w:rPr>
            </w:pPr>
          </w:p>
        </w:tc>
        <w:tc>
          <w:tcPr>
            <w:tcW w:w="1275" w:type="dxa"/>
            <w:shd w:val="clear" w:color="auto" w:fill="D9D9D9" w:themeFill="background1" w:themeFillShade="D9"/>
            <w:vAlign w:val="center"/>
          </w:tcPr>
          <w:p w:rsidR="00DE3A6F" w:rsidRPr="00A35CF3" w:rsidRDefault="00DE3A6F" w:rsidP="00A35CF3">
            <w:pPr>
              <w:spacing w:before="40" w:after="20" w:line="240" w:lineRule="auto"/>
              <w:jc w:val="center"/>
              <w:rPr>
                <w:rFonts w:eastAsia="Calibri"/>
                <w:b/>
                <w:szCs w:val="22"/>
                <w:lang w:eastAsia="en-US"/>
              </w:rPr>
            </w:pPr>
            <w:r w:rsidRPr="00A35CF3">
              <w:rPr>
                <w:rFonts w:eastAsia="Calibri"/>
                <w:b/>
                <w:szCs w:val="22"/>
                <w:lang w:eastAsia="en-US"/>
              </w:rPr>
              <w:t>Passeio</w:t>
            </w:r>
          </w:p>
        </w:tc>
        <w:tc>
          <w:tcPr>
            <w:tcW w:w="1280" w:type="dxa"/>
            <w:shd w:val="clear" w:color="auto" w:fill="D9D9D9" w:themeFill="background1" w:themeFillShade="D9"/>
            <w:vAlign w:val="center"/>
          </w:tcPr>
          <w:p w:rsidR="00DE3A6F" w:rsidRPr="00A35CF3" w:rsidRDefault="00DE3A6F" w:rsidP="00A35CF3">
            <w:pPr>
              <w:spacing w:before="40" w:after="20" w:line="240" w:lineRule="auto"/>
              <w:jc w:val="center"/>
              <w:rPr>
                <w:rFonts w:eastAsia="Calibri"/>
                <w:b/>
                <w:szCs w:val="22"/>
                <w:lang w:eastAsia="en-US"/>
              </w:rPr>
            </w:pPr>
            <w:r w:rsidRPr="00A35CF3">
              <w:rPr>
                <w:rFonts w:eastAsia="Calibri"/>
                <w:b/>
                <w:szCs w:val="22"/>
                <w:lang w:eastAsia="en-US"/>
              </w:rPr>
              <w:t>Comercial</w:t>
            </w:r>
          </w:p>
        </w:tc>
        <w:tc>
          <w:tcPr>
            <w:tcW w:w="1276" w:type="dxa"/>
            <w:shd w:val="clear" w:color="auto" w:fill="D9D9D9" w:themeFill="background1" w:themeFillShade="D9"/>
            <w:vAlign w:val="center"/>
          </w:tcPr>
          <w:p w:rsidR="00DE3A6F" w:rsidRPr="00A35CF3" w:rsidRDefault="00DE3A6F" w:rsidP="00A35CF3">
            <w:pPr>
              <w:spacing w:before="40" w:after="20" w:line="240" w:lineRule="auto"/>
              <w:jc w:val="center"/>
              <w:rPr>
                <w:rFonts w:eastAsia="Calibri"/>
                <w:b/>
                <w:szCs w:val="22"/>
                <w:lang w:eastAsia="en-US"/>
              </w:rPr>
            </w:pPr>
            <w:r w:rsidRPr="00A35CF3">
              <w:rPr>
                <w:rFonts w:eastAsia="Calibri"/>
                <w:b/>
                <w:szCs w:val="22"/>
                <w:lang w:eastAsia="en-US"/>
              </w:rPr>
              <w:t>Total</w:t>
            </w:r>
          </w:p>
        </w:tc>
      </w:tr>
      <w:tr w:rsidR="00DE3A6F" w:rsidRPr="00A35CF3" w:rsidTr="008F4A45">
        <w:trPr>
          <w:jc w:val="center"/>
        </w:trPr>
        <w:tc>
          <w:tcPr>
            <w:tcW w:w="4069" w:type="dxa"/>
            <w:shd w:val="clear" w:color="auto" w:fill="auto"/>
            <w:vAlign w:val="center"/>
          </w:tcPr>
          <w:p w:rsidR="00DE3A6F" w:rsidRPr="00A35CF3" w:rsidRDefault="00DE3A6F" w:rsidP="00A35CF3">
            <w:pPr>
              <w:spacing w:line="240" w:lineRule="auto"/>
              <w:jc w:val="left"/>
              <w:rPr>
                <w:rFonts w:eastAsia="Calibri"/>
                <w:sz w:val="20"/>
                <w:szCs w:val="22"/>
                <w:lang w:eastAsia="en-US"/>
              </w:rPr>
            </w:pPr>
            <w:r w:rsidRPr="00A35CF3">
              <w:rPr>
                <w:rFonts w:eastAsia="Calibri"/>
                <w:sz w:val="20"/>
                <w:szCs w:val="22"/>
                <w:lang w:eastAsia="en-US"/>
              </w:rPr>
              <w:t>SP-330 Rodovia Anhanguera (*)</w:t>
            </w:r>
          </w:p>
        </w:tc>
        <w:tc>
          <w:tcPr>
            <w:tcW w:w="1086" w:type="dxa"/>
            <w:shd w:val="clear" w:color="auto" w:fill="auto"/>
            <w:vAlign w:val="center"/>
          </w:tcPr>
          <w:p w:rsidR="00DE3A6F" w:rsidRPr="00A35CF3" w:rsidRDefault="00DE3A6F" w:rsidP="00A35CF3">
            <w:pPr>
              <w:spacing w:line="240" w:lineRule="auto"/>
              <w:jc w:val="right"/>
              <w:rPr>
                <w:rFonts w:eastAsia="Calibri"/>
                <w:szCs w:val="22"/>
                <w:lang w:eastAsia="en-US"/>
              </w:rPr>
            </w:pPr>
          </w:p>
        </w:tc>
        <w:tc>
          <w:tcPr>
            <w:tcW w:w="1275" w:type="dxa"/>
            <w:shd w:val="clear" w:color="auto" w:fill="auto"/>
            <w:vAlign w:val="center"/>
          </w:tcPr>
          <w:p w:rsidR="00DE3A6F" w:rsidRPr="00A35CF3" w:rsidRDefault="00DE3A6F" w:rsidP="00A35CF3">
            <w:pPr>
              <w:spacing w:before="40" w:after="20" w:line="240" w:lineRule="auto"/>
              <w:jc w:val="center"/>
              <w:rPr>
                <w:rFonts w:eastAsia="Calibri"/>
                <w:szCs w:val="22"/>
                <w:lang w:eastAsia="en-US"/>
              </w:rPr>
            </w:pPr>
            <w:r w:rsidRPr="00A35CF3">
              <w:rPr>
                <w:rFonts w:eastAsia="Calibri"/>
                <w:szCs w:val="22"/>
                <w:lang w:eastAsia="en-US"/>
              </w:rPr>
              <w:t>17.875</w:t>
            </w:r>
          </w:p>
        </w:tc>
        <w:tc>
          <w:tcPr>
            <w:tcW w:w="1280" w:type="dxa"/>
            <w:shd w:val="clear" w:color="auto" w:fill="auto"/>
            <w:vAlign w:val="center"/>
          </w:tcPr>
          <w:p w:rsidR="00DE3A6F" w:rsidRPr="00A35CF3" w:rsidRDefault="00DE3A6F" w:rsidP="00A35CF3">
            <w:pPr>
              <w:spacing w:before="40" w:after="20" w:line="240" w:lineRule="auto"/>
              <w:jc w:val="center"/>
              <w:rPr>
                <w:rFonts w:eastAsia="Calibri"/>
                <w:szCs w:val="22"/>
                <w:lang w:eastAsia="en-US"/>
              </w:rPr>
            </w:pPr>
            <w:r w:rsidRPr="00A35CF3">
              <w:rPr>
                <w:rFonts w:eastAsia="Calibri"/>
                <w:szCs w:val="22"/>
                <w:lang w:eastAsia="en-US"/>
              </w:rPr>
              <w:t>5.746</w:t>
            </w:r>
          </w:p>
        </w:tc>
        <w:tc>
          <w:tcPr>
            <w:tcW w:w="1276" w:type="dxa"/>
            <w:shd w:val="clear" w:color="auto" w:fill="auto"/>
            <w:vAlign w:val="center"/>
          </w:tcPr>
          <w:p w:rsidR="00DE3A6F" w:rsidRPr="00A35CF3" w:rsidRDefault="00DE3A6F" w:rsidP="00A35CF3">
            <w:pPr>
              <w:spacing w:before="40" w:after="20" w:line="240" w:lineRule="auto"/>
              <w:jc w:val="center"/>
              <w:rPr>
                <w:rFonts w:eastAsia="Calibri"/>
                <w:szCs w:val="22"/>
                <w:lang w:eastAsia="en-US"/>
              </w:rPr>
            </w:pPr>
            <w:r w:rsidRPr="00A35CF3">
              <w:rPr>
                <w:rFonts w:eastAsia="Calibri"/>
                <w:szCs w:val="22"/>
                <w:lang w:eastAsia="en-US"/>
              </w:rPr>
              <w:t>23.621</w:t>
            </w:r>
          </w:p>
        </w:tc>
      </w:tr>
      <w:tr w:rsidR="00DE3A6F" w:rsidRPr="00A35CF3" w:rsidTr="008F4A45">
        <w:trPr>
          <w:jc w:val="center"/>
        </w:trPr>
        <w:tc>
          <w:tcPr>
            <w:tcW w:w="4069" w:type="dxa"/>
            <w:shd w:val="clear" w:color="auto" w:fill="auto"/>
            <w:vAlign w:val="center"/>
          </w:tcPr>
          <w:p w:rsidR="00DE3A6F" w:rsidRPr="00A35CF3" w:rsidRDefault="00DE3A6F" w:rsidP="00A35CF3">
            <w:pPr>
              <w:spacing w:line="240" w:lineRule="auto"/>
              <w:jc w:val="left"/>
              <w:rPr>
                <w:rFonts w:eastAsia="Calibri"/>
                <w:sz w:val="20"/>
                <w:szCs w:val="22"/>
                <w:lang w:eastAsia="en-US"/>
              </w:rPr>
            </w:pPr>
            <w:r w:rsidRPr="00A35CF3">
              <w:rPr>
                <w:rFonts w:eastAsia="Calibri"/>
                <w:sz w:val="20"/>
                <w:szCs w:val="22"/>
                <w:lang w:eastAsia="en-US"/>
              </w:rPr>
              <w:t>SP-348 Rodovia Bandeirante (*)</w:t>
            </w:r>
          </w:p>
        </w:tc>
        <w:tc>
          <w:tcPr>
            <w:tcW w:w="1086" w:type="dxa"/>
            <w:shd w:val="clear" w:color="auto" w:fill="auto"/>
            <w:vAlign w:val="center"/>
          </w:tcPr>
          <w:p w:rsidR="00DE3A6F" w:rsidRPr="00A35CF3" w:rsidRDefault="00DE3A6F" w:rsidP="00A35CF3">
            <w:pPr>
              <w:spacing w:line="240" w:lineRule="auto"/>
              <w:jc w:val="right"/>
              <w:rPr>
                <w:rFonts w:eastAsia="Calibri"/>
                <w:szCs w:val="22"/>
                <w:lang w:eastAsia="en-US"/>
              </w:rPr>
            </w:pPr>
          </w:p>
        </w:tc>
        <w:tc>
          <w:tcPr>
            <w:tcW w:w="1275" w:type="dxa"/>
            <w:shd w:val="clear" w:color="auto" w:fill="auto"/>
            <w:vAlign w:val="center"/>
          </w:tcPr>
          <w:p w:rsidR="00DE3A6F" w:rsidRPr="00A35CF3" w:rsidRDefault="00DE3A6F" w:rsidP="00A35CF3">
            <w:pPr>
              <w:spacing w:before="40" w:after="20" w:line="240" w:lineRule="auto"/>
              <w:jc w:val="center"/>
              <w:rPr>
                <w:rFonts w:eastAsia="Calibri"/>
                <w:szCs w:val="22"/>
                <w:lang w:eastAsia="en-US"/>
              </w:rPr>
            </w:pPr>
            <w:r w:rsidRPr="00A35CF3">
              <w:rPr>
                <w:rFonts w:eastAsia="Calibri"/>
                <w:szCs w:val="22"/>
                <w:lang w:eastAsia="en-US"/>
              </w:rPr>
              <w:t>27.621</w:t>
            </w:r>
          </w:p>
        </w:tc>
        <w:tc>
          <w:tcPr>
            <w:tcW w:w="1280" w:type="dxa"/>
            <w:shd w:val="clear" w:color="auto" w:fill="auto"/>
            <w:vAlign w:val="center"/>
          </w:tcPr>
          <w:p w:rsidR="00DE3A6F" w:rsidRPr="00A35CF3" w:rsidRDefault="00DE3A6F" w:rsidP="00A35CF3">
            <w:pPr>
              <w:spacing w:before="40" w:after="20" w:line="240" w:lineRule="auto"/>
              <w:jc w:val="center"/>
              <w:rPr>
                <w:rFonts w:eastAsia="Calibri"/>
                <w:szCs w:val="22"/>
                <w:lang w:eastAsia="en-US"/>
              </w:rPr>
            </w:pPr>
            <w:r w:rsidRPr="00A35CF3">
              <w:rPr>
                <w:rFonts w:eastAsia="Calibri"/>
                <w:szCs w:val="22"/>
                <w:lang w:eastAsia="en-US"/>
              </w:rPr>
              <w:t>9.997</w:t>
            </w:r>
          </w:p>
        </w:tc>
        <w:tc>
          <w:tcPr>
            <w:tcW w:w="1276" w:type="dxa"/>
            <w:shd w:val="clear" w:color="auto" w:fill="auto"/>
            <w:vAlign w:val="center"/>
          </w:tcPr>
          <w:p w:rsidR="00DE3A6F" w:rsidRPr="00A35CF3" w:rsidRDefault="00DE3A6F" w:rsidP="00A35CF3">
            <w:pPr>
              <w:spacing w:before="40" w:after="20" w:line="240" w:lineRule="auto"/>
              <w:jc w:val="center"/>
              <w:rPr>
                <w:rFonts w:eastAsia="Calibri"/>
                <w:szCs w:val="22"/>
                <w:lang w:eastAsia="en-US"/>
              </w:rPr>
            </w:pPr>
            <w:r w:rsidRPr="00A35CF3">
              <w:rPr>
                <w:rFonts w:eastAsia="Calibri"/>
                <w:szCs w:val="22"/>
                <w:lang w:eastAsia="en-US"/>
              </w:rPr>
              <w:t>37.618</w:t>
            </w:r>
          </w:p>
        </w:tc>
      </w:tr>
      <w:tr w:rsidR="00DE3A6F" w:rsidRPr="00A35CF3" w:rsidTr="008F4A45">
        <w:trPr>
          <w:jc w:val="center"/>
        </w:trPr>
        <w:tc>
          <w:tcPr>
            <w:tcW w:w="4069" w:type="dxa"/>
            <w:shd w:val="clear" w:color="auto" w:fill="auto"/>
            <w:vAlign w:val="center"/>
          </w:tcPr>
          <w:p w:rsidR="00DE3A6F" w:rsidRPr="00A35CF3" w:rsidRDefault="00DE3A6F" w:rsidP="00A35CF3">
            <w:pPr>
              <w:spacing w:before="60" w:after="40" w:line="240" w:lineRule="auto"/>
              <w:jc w:val="left"/>
              <w:rPr>
                <w:rFonts w:eastAsia="Calibri"/>
                <w:szCs w:val="22"/>
                <w:lang w:eastAsia="en-US"/>
              </w:rPr>
            </w:pPr>
            <w:r w:rsidRPr="00A35CF3">
              <w:rPr>
                <w:rFonts w:eastAsia="Calibri"/>
                <w:sz w:val="20"/>
                <w:szCs w:val="22"/>
                <w:lang w:eastAsia="en-US"/>
              </w:rPr>
              <w:t>SP-340</w:t>
            </w:r>
            <w:r w:rsidRPr="00A35CF3">
              <w:rPr>
                <w:rFonts w:eastAsia="Calibri"/>
                <w:szCs w:val="22"/>
                <w:lang w:eastAsia="en-US"/>
              </w:rPr>
              <w:t xml:space="preserve"> </w:t>
            </w:r>
            <w:r w:rsidRPr="00A35CF3">
              <w:rPr>
                <w:rFonts w:eastAsia="Calibri"/>
                <w:sz w:val="20"/>
                <w:szCs w:val="22"/>
                <w:lang w:eastAsia="en-US"/>
              </w:rPr>
              <w:t>Gov. A. de Barros (*)</w:t>
            </w:r>
          </w:p>
        </w:tc>
        <w:tc>
          <w:tcPr>
            <w:tcW w:w="1086" w:type="dxa"/>
            <w:shd w:val="clear" w:color="auto" w:fill="auto"/>
            <w:vAlign w:val="center"/>
          </w:tcPr>
          <w:p w:rsidR="00DE3A6F" w:rsidRPr="00A35CF3" w:rsidRDefault="00DE3A6F" w:rsidP="00A35CF3">
            <w:pPr>
              <w:spacing w:before="60" w:after="40" w:line="240" w:lineRule="auto"/>
              <w:jc w:val="right"/>
              <w:rPr>
                <w:rFonts w:eastAsia="Calibri"/>
                <w:szCs w:val="22"/>
                <w:lang w:eastAsia="en-US"/>
              </w:rPr>
            </w:pPr>
          </w:p>
        </w:tc>
        <w:tc>
          <w:tcPr>
            <w:tcW w:w="1275"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17.015</w:t>
            </w:r>
          </w:p>
        </w:tc>
        <w:tc>
          <w:tcPr>
            <w:tcW w:w="1280"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3.944</w:t>
            </w:r>
          </w:p>
        </w:tc>
        <w:tc>
          <w:tcPr>
            <w:tcW w:w="1276"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20.959</w:t>
            </w:r>
          </w:p>
        </w:tc>
      </w:tr>
      <w:tr w:rsidR="00DE3A6F" w:rsidRPr="00A35CF3" w:rsidTr="008F4A45">
        <w:trPr>
          <w:jc w:val="center"/>
        </w:trPr>
        <w:tc>
          <w:tcPr>
            <w:tcW w:w="4069" w:type="dxa"/>
            <w:shd w:val="clear" w:color="auto" w:fill="auto"/>
            <w:vAlign w:val="center"/>
          </w:tcPr>
          <w:p w:rsidR="00DE3A6F" w:rsidRPr="00A35CF3" w:rsidRDefault="00DE3A6F" w:rsidP="00A35CF3">
            <w:pPr>
              <w:spacing w:before="60" w:after="40" w:line="240" w:lineRule="auto"/>
              <w:jc w:val="left"/>
              <w:rPr>
                <w:rFonts w:eastAsia="Calibri"/>
                <w:sz w:val="20"/>
                <w:szCs w:val="22"/>
                <w:lang w:eastAsia="en-US"/>
              </w:rPr>
            </w:pPr>
            <w:r w:rsidRPr="00A35CF3">
              <w:rPr>
                <w:rFonts w:eastAsia="Calibri"/>
                <w:sz w:val="20"/>
                <w:szCs w:val="22"/>
                <w:lang w:eastAsia="en-US"/>
              </w:rPr>
              <w:t>SP-065 D. Pedro I (*)</w:t>
            </w:r>
          </w:p>
        </w:tc>
        <w:tc>
          <w:tcPr>
            <w:tcW w:w="1086" w:type="dxa"/>
            <w:shd w:val="clear" w:color="auto" w:fill="auto"/>
            <w:vAlign w:val="center"/>
          </w:tcPr>
          <w:p w:rsidR="00DE3A6F" w:rsidRPr="00A35CF3" w:rsidRDefault="00DE3A6F" w:rsidP="00A35CF3">
            <w:pPr>
              <w:spacing w:before="60" w:after="40" w:line="240" w:lineRule="auto"/>
              <w:jc w:val="right"/>
              <w:rPr>
                <w:rFonts w:eastAsia="Calibri"/>
                <w:szCs w:val="22"/>
                <w:lang w:eastAsia="en-US"/>
              </w:rPr>
            </w:pPr>
          </w:p>
        </w:tc>
        <w:tc>
          <w:tcPr>
            <w:tcW w:w="1275"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11.187</w:t>
            </w:r>
          </w:p>
        </w:tc>
        <w:tc>
          <w:tcPr>
            <w:tcW w:w="1280"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5.192</w:t>
            </w:r>
          </w:p>
        </w:tc>
        <w:tc>
          <w:tcPr>
            <w:tcW w:w="1276"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16.379</w:t>
            </w:r>
          </w:p>
        </w:tc>
      </w:tr>
      <w:tr w:rsidR="00DE3A6F" w:rsidRPr="00A35CF3" w:rsidTr="008F4A45">
        <w:trPr>
          <w:jc w:val="center"/>
        </w:trPr>
        <w:tc>
          <w:tcPr>
            <w:tcW w:w="4069" w:type="dxa"/>
            <w:shd w:val="clear" w:color="auto" w:fill="auto"/>
            <w:vAlign w:val="center"/>
          </w:tcPr>
          <w:p w:rsidR="00DE3A6F" w:rsidRPr="00A35CF3" w:rsidRDefault="00DE3A6F" w:rsidP="00A35CF3">
            <w:pPr>
              <w:spacing w:before="60" w:after="40" w:line="240" w:lineRule="auto"/>
              <w:jc w:val="left"/>
              <w:rPr>
                <w:rFonts w:eastAsia="Calibri"/>
                <w:sz w:val="20"/>
                <w:szCs w:val="22"/>
                <w:lang w:eastAsia="en-US"/>
              </w:rPr>
            </w:pPr>
            <w:r w:rsidRPr="00A35CF3">
              <w:rPr>
                <w:rFonts w:eastAsia="Calibri"/>
                <w:sz w:val="20"/>
                <w:szCs w:val="22"/>
                <w:lang w:eastAsia="en-US"/>
              </w:rPr>
              <w:t>SP-095 Amparo/ Pedreira</w:t>
            </w:r>
          </w:p>
        </w:tc>
        <w:tc>
          <w:tcPr>
            <w:tcW w:w="1086" w:type="dxa"/>
            <w:shd w:val="clear" w:color="auto" w:fill="auto"/>
            <w:vAlign w:val="center"/>
          </w:tcPr>
          <w:p w:rsidR="00DE3A6F" w:rsidRPr="00A35CF3" w:rsidRDefault="00DE3A6F" w:rsidP="00A35CF3">
            <w:pPr>
              <w:spacing w:before="60" w:after="40" w:line="240" w:lineRule="auto"/>
              <w:jc w:val="right"/>
              <w:rPr>
                <w:rFonts w:eastAsia="Calibri"/>
                <w:szCs w:val="22"/>
                <w:lang w:eastAsia="en-US"/>
              </w:rPr>
            </w:pPr>
            <w:r w:rsidRPr="00A35CF3">
              <w:rPr>
                <w:rFonts w:eastAsia="Calibri"/>
                <w:szCs w:val="22"/>
                <w:lang w:eastAsia="en-US"/>
              </w:rPr>
              <w:t>54,0</w:t>
            </w:r>
          </w:p>
        </w:tc>
        <w:tc>
          <w:tcPr>
            <w:tcW w:w="1275"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11.281</w:t>
            </w:r>
          </w:p>
        </w:tc>
        <w:tc>
          <w:tcPr>
            <w:tcW w:w="1280"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1.849</w:t>
            </w:r>
          </w:p>
        </w:tc>
        <w:tc>
          <w:tcPr>
            <w:tcW w:w="1276"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13.130</w:t>
            </w:r>
          </w:p>
        </w:tc>
      </w:tr>
      <w:tr w:rsidR="00DE3A6F" w:rsidRPr="00A35CF3" w:rsidTr="008F4A45">
        <w:trPr>
          <w:jc w:val="center"/>
        </w:trPr>
        <w:tc>
          <w:tcPr>
            <w:tcW w:w="4069" w:type="dxa"/>
            <w:shd w:val="clear" w:color="auto" w:fill="auto"/>
            <w:vAlign w:val="center"/>
          </w:tcPr>
          <w:p w:rsidR="00DE3A6F" w:rsidRPr="00A35CF3" w:rsidRDefault="00DE3A6F" w:rsidP="00A35CF3">
            <w:pPr>
              <w:spacing w:before="60" w:after="40" w:line="240" w:lineRule="auto"/>
              <w:jc w:val="left"/>
              <w:rPr>
                <w:rFonts w:eastAsia="Calibri"/>
                <w:sz w:val="20"/>
                <w:szCs w:val="22"/>
                <w:lang w:eastAsia="en-US"/>
              </w:rPr>
            </w:pPr>
            <w:r w:rsidRPr="00A35CF3">
              <w:rPr>
                <w:rFonts w:eastAsia="Calibri"/>
                <w:sz w:val="20"/>
                <w:szCs w:val="22"/>
                <w:lang w:eastAsia="en-US"/>
              </w:rPr>
              <w:t>SP-095 Pedreira/ Jaguariuna</w:t>
            </w:r>
          </w:p>
        </w:tc>
        <w:tc>
          <w:tcPr>
            <w:tcW w:w="1086" w:type="dxa"/>
            <w:shd w:val="clear" w:color="auto" w:fill="auto"/>
            <w:vAlign w:val="center"/>
          </w:tcPr>
          <w:p w:rsidR="00DE3A6F" w:rsidRPr="00A35CF3" w:rsidRDefault="00DE3A6F" w:rsidP="00A35CF3">
            <w:pPr>
              <w:spacing w:before="60" w:after="40" w:line="240" w:lineRule="auto"/>
              <w:jc w:val="right"/>
              <w:rPr>
                <w:rFonts w:eastAsia="Calibri"/>
                <w:szCs w:val="22"/>
                <w:lang w:eastAsia="en-US"/>
              </w:rPr>
            </w:pPr>
            <w:r w:rsidRPr="00A35CF3">
              <w:rPr>
                <w:rFonts w:eastAsia="Calibri"/>
                <w:szCs w:val="22"/>
                <w:lang w:eastAsia="en-US"/>
              </w:rPr>
              <w:t>66,0</w:t>
            </w:r>
          </w:p>
        </w:tc>
        <w:tc>
          <w:tcPr>
            <w:tcW w:w="1275"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10.119</w:t>
            </w:r>
          </w:p>
        </w:tc>
        <w:tc>
          <w:tcPr>
            <w:tcW w:w="1280"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1.563</w:t>
            </w:r>
          </w:p>
        </w:tc>
        <w:tc>
          <w:tcPr>
            <w:tcW w:w="1276"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11.682</w:t>
            </w:r>
          </w:p>
        </w:tc>
      </w:tr>
      <w:tr w:rsidR="00DE3A6F" w:rsidRPr="00A35CF3" w:rsidTr="008F4A45">
        <w:trPr>
          <w:jc w:val="center"/>
        </w:trPr>
        <w:tc>
          <w:tcPr>
            <w:tcW w:w="4069" w:type="dxa"/>
            <w:shd w:val="clear" w:color="auto" w:fill="auto"/>
            <w:vAlign w:val="center"/>
          </w:tcPr>
          <w:p w:rsidR="00DE3A6F" w:rsidRPr="00A35CF3" w:rsidRDefault="00DE3A6F" w:rsidP="00A35CF3">
            <w:pPr>
              <w:spacing w:before="60" w:after="40" w:line="240" w:lineRule="auto"/>
              <w:jc w:val="left"/>
              <w:rPr>
                <w:rFonts w:eastAsia="Calibri"/>
                <w:sz w:val="20"/>
                <w:szCs w:val="22"/>
                <w:lang w:eastAsia="en-US"/>
              </w:rPr>
            </w:pPr>
            <w:r w:rsidRPr="00A35CF3">
              <w:rPr>
                <w:rFonts w:eastAsia="Calibri"/>
                <w:sz w:val="20"/>
                <w:szCs w:val="22"/>
                <w:lang w:eastAsia="en-US"/>
              </w:rPr>
              <w:t>SP-360 Eng.º C. Cintra (Amparo - Itatiba)</w:t>
            </w:r>
          </w:p>
        </w:tc>
        <w:tc>
          <w:tcPr>
            <w:tcW w:w="1086" w:type="dxa"/>
            <w:shd w:val="clear" w:color="auto" w:fill="auto"/>
            <w:vAlign w:val="center"/>
          </w:tcPr>
          <w:p w:rsidR="00DE3A6F" w:rsidRPr="00A35CF3" w:rsidRDefault="00DE3A6F" w:rsidP="00A35CF3">
            <w:pPr>
              <w:spacing w:before="60" w:after="40" w:line="240" w:lineRule="auto"/>
              <w:jc w:val="right"/>
              <w:rPr>
                <w:rFonts w:eastAsia="Calibri"/>
                <w:szCs w:val="22"/>
                <w:lang w:eastAsia="en-US"/>
              </w:rPr>
            </w:pPr>
            <w:r w:rsidRPr="00A35CF3">
              <w:rPr>
                <w:rFonts w:eastAsia="Calibri"/>
                <w:szCs w:val="22"/>
                <w:lang w:eastAsia="en-US"/>
              </w:rPr>
              <w:t>106,0</w:t>
            </w:r>
          </w:p>
        </w:tc>
        <w:tc>
          <w:tcPr>
            <w:tcW w:w="1275"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5.050</w:t>
            </w:r>
          </w:p>
        </w:tc>
        <w:tc>
          <w:tcPr>
            <w:tcW w:w="1280"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1.398</w:t>
            </w:r>
          </w:p>
        </w:tc>
        <w:tc>
          <w:tcPr>
            <w:tcW w:w="1276"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6.448</w:t>
            </w:r>
          </w:p>
        </w:tc>
      </w:tr>
      <w:tr w:rsidR="00DE3A6F" w:rsidRPr="00A35CF3" w:rsidTr="008F4A45">
        <w:trPr>
          <w:jc w:val="center"/>
        </w:trPr>
        <w:tc>
          <w:tcPr>
            <w:tcW w:w="4069" w:type="dxa"/>
            <w:shd w:val="clear" w:color="auto" w:fill="auto"/>
            <w:vAlign w:val="center"/>
          </w:tcPr>
          <w:p w:rsidR="00DE3A6F" w:rsidRPr="00A35CF3" w:rsidRDefault="00DE3A6F" w:rsidP="00A35CF3">
            <w:pPr>
              <w:spacing w:before="60" w:after="40" w:line="240" w:lineRule="auto"/>
              <w:jc w:val="left"/>
              <w:rPr>
                <w:rFonts w:eastAsia="Calibri"/>
                <w:sz w:val="20"/>
                <w:szCs w:val="22"/>
                <w:lang w:eastAsia="en-US"/>
              </w:rPr>
            </w:pPr>
            <w:r w:rsidRPr="00A35CF3">
              <w:rPr>
                <w:rFonts w:eastAsia="Calibri"/>
                <w:sz w:val="20"/>
                <w:szCs w:val="22"/>
                <w:lang w:eastAsia="en-US"/>
              </w:rPr>
              <w:t xml:space="preserve">SP-107 Santo Antônio de Posse/ Arcadas </w:t>
            </w:r>
          </w:p>
        </w:tc>
        <w:tc>
          <w:tcPr>
            <w:tcW w:w="1086" w:type="dxa"/>
            <w:shd w:val="clear" w:color="auto" w:fill="auto"/>
            <w:vAlign w:val="center"/>
          </w:tcPr>
          <w:p w:rsidR="00DE3A6F" w:rsidRPr="00A35CF3" w:rsidRDefault="00DE3A6F" w:rsidP="00A35CF3">
            <w:pPr>
              <w:spacing w:before="60" w:after="40" w:line="240" w:lineRule="auto"/>
              <w:jc w:val="right"/>
              <w:rPr>
                <w:rFonts w:eastAsia="Calibri"/>
                <w:szCs w:val="22"/>
                <w:lang w:eastAsia="en-US"/>
              </w:rPr>
            </w:pPr>
            <w:r w:rsidRPr="00A35CF3">
              <w:rPr>
                <w:rFonts w:eastAsia="Calibri"/>
                <w:szCs w:val="22"/>
                <w:lang w:eastAsia="en-US"/>
              </w:rPr>
              <w:t>9,0</w:t>
            </w:r>
          </w:p>
        </w:tc>
        <w:tc>
          <w:tcPr>
            <w:tcW w:w="1275"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1.654</w:t>
            </w:r>
          </w:p>
        </w:tc>
        <w:tc>
          <w:tcPr>
            <w:tcW w:w="1280"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596</w:t>
            </w:r>
          </w:p>
        </w:tc>
        <w:tc>
          <w:tcPr>
            <w:tcW w:w="1276" w:type="dxa"/>
            <w:shd w:val="clear" w:color="auto" w:fill="auto"/>
            <w:vAlign w:val="center"/>
          </w:tcPr>
          <w:p w:rsidR="00DE3A6F" w:rsidRPr="00A35CF3" w:rsidRDefault="00DE3A6F" w:rsidP="00A35CF3">
            <w:pPr>
              <w:spacing w:before="60" w:after="40" w:line="240" w:lineRule="auto"/>
              <w:jc w:val="center"/>
              <w:rPr>
                <w:rFonts w:eastAsia="Calibri"/>
                <w:szCs w:val="22"/>
                <w:lang w:eastAsia="en-US"/>
              </w:rPr>
            </w:pPr>
            <w:r w:rsidRPr="00A35CF3">
              <w:rPr>
                <w:rFonts w:eastAsia="Calibri"/>
                <w:szCs w:val="22"/>
                <w:lang w:eastAsia="en-US"/>
              </w:rPr>
              <w:t>2.250</w:t>
            </w:r>
          </w:p>
        </w:tc>
      </w:tr>
    </w:tbl>
    <w:p w:rsidR="00DE3A6F" w:rsidRPr="00DE3A6F" w:rsidRDefault="00DE3A6F" w:rsidP="00D866D8">
      <w:pPr>
        <w:spacing w:line="240" w:lineRule="auto"/>
        <w:ind w:left="284"/>
        <w:rPr>
          <w:rFonts w:eastAsia="Calibri"/>
          <w:sz w:val="20"/>
          <w:lang w:eastAsia="en-US"/>
        </w:rPr>
      </w:pPr>
      <w:r w:rsidRPr="00DE3A6F">
        <w:rPr>
          <w:rFonts w:eastAsia="Calibri"/>
          <w:sz w:val="20"/>
          <w:lang w:eastAsia="en-US"/>
        </w:rPr>
        <w:t xml:space="preserve">Fonte: DER – Estatística de Tráfego, Volume Diário Médio de Tráfego de veículos (VDM). </w:t>
      </w:r>
    </w:p>
    <w:p w:rsidR="00DE3A6F" w:rsidRPr="00DE3A6F" w:rsidRDefault="00DE3A6F" w:rsidP="00D866D8">
      <w:pPr>
        <w:spacing w:line="240" w:lineRule="auto"/>
        <w:ind w:left="284"/>
        <w:rPr>
          <w:rFonts w:eastAsia="Calibri"/>
          <w:sz w:val="20"/>
          <w:lang w:eastAsia="en-US"/>
        </w:rPr>
      </w:pPr>
      <w:r w:rsidRPr="00DE3A6F">
        <w:rPr>
          <w:rFonts w:eastAsia="Calibri"/>
          <w:sz w:val="20"/>
          <w:lang w:eastAsia="en-US"/>
        </w:rPr>
        <w:t>(*) Rodovias sob concessão. VDM no sentido norte.</w:t>
      </w:r>
      <w:r w:rsidR="00FC42B4">
        <w:rPr>
          <w:rFonts w:eastAsia="Calibri"/>
          <w:sz w:val="20"/>
          <w:lang w:eastAsia="en-US"/>
        </w:rPr>
        <w:t xml:space="preserve"> (1) Km de localização do posto - DER</w:t>
      </w:r>
    </w:p>
    <w:p w:rsidR="00DE3A6F" w:rsidRPr="00DE3A6F" w:rsidRDefault="00DE3A6F" w:rsidP="00DE3A6F">
      <w:pPr>
        <w:spacing w:before="120" w:after="120" w:line="240" w:lineRule="auto"/>
        <w:rPr>
          <w:rFonts w:eastAsia="Calibri"/>
          <w:szCs w:val="22"/>
          <w:lang w:eastAsia="en-US"/>
        </w:rPr>
      </w:pPr>
    </w:p>
    <w:p w:rsidR="00DE3A6F" w:rsidRPr="00DE3A6F" w:rsidRDefault="00DE3A6F" w:rsidP="00DE3A6F">
      <w:pPr>
        <w:spacing w:before="120" w:after="120" w:line="240" w:lineRule="auto"/>
        <w:rPr>
          <w:rFonts w:eastAsia="Calibri"/>
          <w:szCs w:val="22"/>
          <w:lang w:eastAsia="en-US"/>
        </w:rPr>
      </w:pPr>
      <w:r w:rsidRPr="00DE3A6F">
        <w:rPr>
          <w:rFonts w:eastAsia="Calibri"/>
          <w:szCs w:val="22"/>
          <w:lang w:eastAsia="en-US"/>
        </w:rPr>
        <w:t xml:space="preserve">As estradas mais próximas aos municípios de inserção dos empreendimentos, Pedreira e Amparo, cumprem uma função diferenciada das estradas citadas acima, atendendo preferencialmente a circulação local como também, às necessidades de ligação intermunicipal e de acesso aos centros urbanos de influência regional, centralizado na cidade de Campinas. </w:t>
      </w:r>
    </w:p>
    <w:p w:rsidR="00DE3A6F" w:rsidRPr="00DE3A6F" w:rsidRDefault="000B1E7D" w:rsidP="00DE3A6F">
      <w:pPr>
        <w:spacing w:before="120" w:after="120" w:line="240" w:lineRule="auto"/>
        <w:rPr>
          <w:rFonts w:eastAsia="Calibri"/>
          <w:szCs w:val="22"/>
          <w:lang w:eastAsia="en-US"/>
        </w:rPr>
      </w:pPr>
      <w:r>
        <w:rPr>
          <w:rFonts w:eastAsia="Calibri"/>
          <w:szCs w:val="22"/>
          <w:lang w:eastAsia="en-US"/>
        </w:rPr>
        <w:t>Ness</w:t>
      </w:r>
      <w:r w:rsidR="00DE3A6F" w:rsidRPr="00DE3A6F">
        <w:rPr>
          <w:rFonts w:eastAsia="Calibri"/>
          <w:szCs w:val="22"/>
          <w:lang w:eastAsia="en-US"/>
        </w:rPr>
        <w:t xml:space="preserve">a situação se encontram as estradas que interligam as cidades de </w:t>
      </w:r>
      <w:r w:rsidR="00F9371A" w:rsidRPr="00DE3A6F">
        <w:rPr>
          <w:rFonts w:eastAsia="Calibri"/>
          <w:szCs w:val="22"/>
          <w:lang w:eastAsia="en-US"/>
        </w:rPr>
        <w:t>Jaguariúna</w:t>
      </w:r>
      <w:r w:rsidR="00DE3A6F" w:rsidRPr="00DE3A6F">
        <w:rPr>
          <w:rFonts w:eastAsia="Calibri"/>
          <w:szCs w:val="22"/>
          <w:lang w:eastAsia="en-US"/>
        </w:rPr>
        <w:t xml:space="preserve">, Pedreira e Amparo (SP-095); Itatiba e Amparo (SP-360), e Amparo (Distrito de Arcadas) e Santo Antônio de Posse (SP-107), sendo estas as estradas que permitirão o acesso aos locais de implantação dos barramentos e, portanto, o transporte dos insumos, máquinas e equipamentos a serem utilizados na construção das barragens e das obras civis, como também a circulação dos trabalhadores responsáveis pela sua construção. </w:t>
      </w:r>
    </w:p>
    <w:p w:rsidR="00DE3A6F" w:rsidRPr="00DE3A6F" w:rsidRDefault="00DE3A6F" w:rsidP="00DE3A6F">
      <w:pPr>
        <w:spacing w:before="120" w:after="120" w:line="240" w:lineRule="auto"/>
        <w:rPr>
          <w:rFonts w:eastAsia="Calibri"/>
          <w:szCs w:val="22"/>
          <w:lang w:eastAsia="en-US"/>
        </w:rPr>
      </w:pPr>
      <w:r w:rsidRPr="00DE3A6F">
        <w:rPr>
          <w:rFonts w:eastAsia="Calibri"/>
          <w:szCs w:val="22"/>
          <w:lang w:eastAsia="en-US"/>
        </w:rPr>
        <w:t>Os insumos mais volumosos, que demandarão um transporte mais intenso, como o caso de solo, rochas e areia, material necessário para a formação das barragens, serão extraídos das áreas de empréstimo localizadas logo a montante dos barramentos, pelo que a distância de transporte será reduzida e realizada por estrada vicinal, principalmente no caso do Barramento Pedreira. No caso do Barramento Duas Pontes, o fornecimento de areia pode ser obtido a partir de jazida existente próxima à obra. Nesse caso o material seria transportado pela SP-107.</w:t>
      </w:r>
    </w:p>
    <w:p w:rsidR="00DE3A6F" w:rsidRPr="00DE3A6F" w:rsidRDefault="00DE3A6F" w:rsidP="00DE3A6F">
      <w:pPr>
        <w:spacing w:before="120" w:after="120" w:line="240" w:lineRule="auto"/>
        <w:rPr>
          <w:rFonts w:eastAsia="Calibri"/>
          <w:szCs w:val="22"/>
          <w:lang w:eastAsia="en-US"/>
        </w:rPr>
      </w:pPr>
      <w:r w:rsidRPr="00DE3A6F">
        <w:rPr>
          <w:rFonts w:eastAsia="Calibri"/>
          <w:szCs w:val="22"/>
          <w:lang w:eastAsia="en-US"/>
        </w:rPr>
        <w:t xml:space="preserve">Insumos como cimento, aço e equipamentos eletromecânicos são fornecidos por fábricas localizadas distantes dos barramentos, assim, o seu transporte até a obra deverá ser realizado tanto pelas estradas de maior porte (Anhanguera, Bandeirante e Gov. Doutor Ademar Pereira de Barros) como também pelas estradas de aproximação às obras (Estrada </w:t>
      </w:r>
      <w:r w:rsidR="00F9371A" w:rsidRPr="00DE3A6F">
        <w:rPr>
          <w:rFonts w:eastAsia="Calibri"/>
          <w:szCs w:val="22"/>
          <w:lang w:eastAsia="en-US"/>
        </w:rPr>
        <w:t>Jaguariúna</w:t>
      </w:r>
      <w:r w:rsidRPr="00DE3A6F">
        <w:rPr>
          <w:rFonts w:eastAsia="Calibri"/>
          <w:szCs w:val="22"/>
          <w:lang w:eastAsia="en-US"/>
        </w:rPr>
        <w:t xml:space="preserve"> a Pedreira e Amparo (SP-095); Itatiba a Amparo (SP-360), e Distrito de Arcadas (Amparo) a Santo Antônio de Posse (SP-107).</w:t>
      </w:r>
    </w:p>
    <w:p w:rsidR="00DE3A6F" w:rsidRPr="00DE3A6F" w:rsidRDefault="00DE3A6F" w:rsidP="00DE3A6F">
      <w:pPr>
        <w:spacing w:before="120" w:after="120" w:line="240" w:lineRule="auto"/>
        <w:rPr>
          <w:rFonts w:eastAsia="Calibri"/>
          <w:szCs w:val="22"/>
          <w:lang w:eastAsia="en-US"/>
        </w:rPr>
      </w:pPr>
      <w:r w:rsidRPr="000E1D69">
        <w:rPr>
          <w:rFonts w:eastAsia="Calibri"/>
          <w:szCs w:val="22"/>
          <w:lang w:eastAsia="en-US"/>
        </w:rPr>
        <w:t>Estima-se que o fornecimento de insumos e equipamentos às obras provocará um aumento do tráfego de veículos nas rod</w:t>
      </w:r>
      <w:r w:rsidR="008C15C3">
        <w:rPr>
          <w:rFonts w:eastAsia="Calibri"/>
          <w:szCs w:val="22"/>
          <w:lang w:eastAsia="en-US"/>
        </w:rPr>
        <w:t>ovias da região de inserção das barragens</w:t>
      </w:r>
      <w:r w:rsidRPr="000E1D69">
        <w:rPr>
          <w:rFonts w:eastAsia="Calibri"/>
          <w:szCs w:val="22"/>
          <w:lang w:eastAsia="en-US"/>
        </w:rPr>
        <w:t xml:space="preserve"> Pedreira e Duas Pontes, sendo esse aumento considerado mais significativo nas estradas de ligação entre os municípios, as SP-095, SP-360 e SP-107, onde o VDM de circulação é menor, que no caso das rodovias de maior porte, como Anhanguera e Bandeirantes. No entanto, pelas características e condições das estradas, observadas em 2014, e as </w:t>
      </w:r>
      <w:r w:rsidR="00F217AF">
        <w:rPr>
          <w:rFonts w:eastAsia="Calibri"/>
          <w:szCs w:val="22"/>
          <w:lang w:eastAsia="en-US"/>
        </w:rPr>
        <w:t>quantidades</w:t>
      </w:r>
      <w:r w:rsidRPr="000E1D69">
        <w:rPr>
          <w:rFonts w:eastAsia="Calibri"/>
          <w:szCs w:val="22"/>
          <w:lang w:eastAsia="en-US"/>
        </w:rPr>
        <w:t xml:space="preserve"> de </w:t>
      </w:r>
      <w:r w:rsidRPr="00F217AF">
        <w:rPr>
          <w:rFonts w:eastAsia="Calibri"/>
          <w:szCs w:val="22"/>
          <w:lang w:eastAsia="en-US"/>
        </w:rPr>
        <w:t xml:space="preserve">veículos </w:t>
      </w:r>
      <w:r w:rsidR="00EE17E4" w:rsidRPr="00F217AF">
        <w:rPr>
          <w:rFonts w:eastAsia="Calibri"/>
          <w:szCs w:val="22"/>
          <w:lang w:eastAsia="en-US"/>
        </w:rPr>
        <w:t xml:space="preserve">a serem acrescidas pelas obras, </w:t>
      </w:r>
      <w:r w:rsidRPr="00F217AF">
        <w:rPr>
          <w:rFonts w:eastAsia="Calibri"/>
          <w:szCs w:val="22"/>
          <w:lang w:eastAsia="en-US"/>
        </w:rPr>
        <w:t>considera-se que as estradas têm condições de absorv</w:t>
      </w:r>
      <w:r w:rsidRPr="000E1D69">
        <w:rPr>
          <w:rFonts w:eastAsia="Calibri"/>
          <w:szCs w:val="22"/>
          <w:lang w:eastAsia="en-US"/>
        </w:rPr>
        <w:t>er à nova demanda, tomando-se as medidas preventivas e educativas a serem sugeridas no Programa de Controle Ambiental da Obra</w:t>
      </w:r>
      <w:r w:rsidR="000E1D69" w:rsidRPr="000E1D69">
        <w:rPr>
          <w:rFonts w:eastAsia="Calibri"/>
          <w:szCs w:val="22"/>
          <w:lang w:eastAsia="en-US"/>
        </w:rPr>
        <w:t xml:space="preserve"> (</w:t>
      </w:r>
      <w:r w:rsidR="000E1D69" w:rsidRPr="000E1D69">
        <w:rPr>
          <w:rFonts w:eastAsia="Calibri" w:cs="Arial"/>
        </w:rPr>
        <w:t>Controle do Tráfego de Veículos e de Máquinas Durante as Obras).</w:t>
      </w:r>
    </w:p>
    <w:p w:rsidR="00DE3A6F" w:rsidRPr="00DE3A6F" w:rsidRDefault="00DE3A6F" w:rsidP="00DE3A6F">
      <w:pPr>
        <w:spacing w:before="120" w:after="120" w:line="240" w:lineRule="auto"/>
        <w:rPr>
          <w:rFonts w:eastAsia="Calibri"/>
          <w:szCs w:val="22"/>
          <w:lang w:eastAsia="en-US"/>
        </w:rPr>
      </w:pPr>
      <w:r w:rsidRPr="00DE3A6F">
        <w:rPr>
          <w:rFonts w:eastAsia="Calibri"/>
          <w:szCs w:val="22"/>
          <w:lang w:eastAsia="en-US"/>
        </w:rPr>
        <w:t xml:space="preserve">Considerando que as estradas a serem utilizadas para o fornecimento de insumos à obra são também as estradas que a população dos municípios de Pedreira e Amparo utiliza para circulação local como, também, para acessar os municípios vizinhos, e considerando que o movimento de veículos deverá aumentar durante as obras, o impacto foi considerado negativo, de ordem direta, de abrangência regional, e com probabilidade de ocorrência certa. </w:t>
      </w:r>
    </w:p>
    <w:p w:rsidR="00DE3A6F" w:rsidRDefault="00DE3A6F" w:rsidP="00DE3A6F">
      <w:pPr>
        <w:spacing w:before="120" w:after="120" w:line="240" w:lineRule="auto"/>
        <w:rPr>
          <w:rFonts w:eastAsia="Calibri"/>
          <w:szCs w:val="22"/>
          <w:lang w:eastAsia="en-US"/>
        </w:rPr>
      </w:pPr>
      <w:r w:rsidRPr="00DE3A6F">
        <w:rPr>
          <w:rFonts w:eastAsia="Calibri"/>
          <w:szCs w:val="22"/>
          <w:lang w:eastAsia="en-US"/>
        </w:rPr>
        <w:t>O Impacto deve ocorrer com o início dos trabalhos e permanecer durante o andamento das obras, sendo por isso considerado de ocorrência no curto prazo e reversível, já que terminará com o fim das obras. Pela quantidade de veículos que transitarão a mais pelas estradas em função das obras, foi considerado um impacto de magnitude e importância médias, sendo mitigável com a adoção de medidas de aviso aos usuários e controle do trafego.</w:t>
      </w:r>
    </w:p>
    <w:p w:rsidR="00E4056B" w:rsidRDefault="00E4056B" w:rsidP="00DE3A6F">
      <w:pPr>
        <w:spacing w:before="120" w:after="120" w:line="240" w:lineRule="auto"/>
        <w:rPr>
          <w:rFonts w:eastAsia="Calibri"/>
          <w:szCs w:val="22"/>
          <w:lang w:eastAsia="en-US"/>
        </w:rPr>
      </w:pPr>
    </w:p>
    <w:p w:rsidR="00D866D8" w:rsidRPr="00C50DD2" w:rsidRDefault="00402E81" w:rsidP="00E4056B">
      <w:pPr>
        <w:pStyle w:val="Legenda"/>
        <w:spacing w:before="0" w:after="0" w:line="240" w:lineRule="auto"/>
        <w:jc w:val="center"/>
        <w:rPr>
          <w:rFonts w:eastAsia="Calibri" w:cs="Arial"/>
          <w:b w:val="0"/>
          <w:bCs/>
          <w:i w:val="0"/>
          <w:szCs w:val="22"/>
          <w:lang w:eastAsia="en-US"/>
        </w:rPr>
      </w:pPr>
      <w:bookmarkStart w:id="422" w:name="_Toc420316538"/>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95</w:t>
      </w:r>
      <w:r w:rsidR="00B80A05" w:rsidRPr="00C50DD2">
        <w:rPr>
          <w:i w:val="0"/>
          <w:noProof/>
        </w:rPr>
        <w:fldChar w:fldCharType="end"/>
      </w:r>
      <w:r w:rsidR="00C50DD2" w:rsidRPr="00C50DD2">
        <w:rPr>
          <w:i w:val="0"/>
          <w:noProof/>
        </w:rPr>
        <w:t>.</w:t>
      </w:r>
      <w:r w:rsidR="00C50DD2" w:rsidRPr="00C50DD2">
        <w:rPr>
          <w:b w:val="0"/>
          <w:i w:val="0"/>
          <w:noProof/>
        </w:rPr>
        <w:t xml:space="preserve"> - </w:t>
      </w:r>
      <w:r w:rsidR="00DE3A6F" w:rsidRPr="00C50DD2">
        <w:rPr>
          <w:rFonts w:eastAsia="Calibri" w:cs="Arial"/>
          <w:b w:val="0"/>
          <w:bCs/>
          <w:i w:val="0"/>
          <w:szCs w:val="22"/>
          <w:lang w:eastAsia="en-US"/>
        </w:rPr>
        <w:t>Caracterização do Impacto – Pressão na Infraestrutura Viária</w:t>
      </w:r>
      <w:bookmarkEnd w:id="422"/>
      <w:r w:rsidR="00DE3A6F" w:rsidRPr="00C50DD2">
        <w:rPr>
          <w:rFonts w:eastAsia="Calibri" w:cs="Arial"/>
          <w:b w:val="0"/>
          <w:bCs/>
          <w:i w:val="0"/>
          <w:szCs w:val="22"/>
          <w:lang w:eastAsia="en-US"/>
        </w:rPr>
        <w:t xml:space="preserve"> </w:t>
      </w:r>
    </w:p>
    <w:p w:rsidR="00DE3A6F" w:rsidRPr="00C50DD2" w:rsidRDefault="00AE11B8" w:rsidP="00E4056B">
      <w:pPr>
        <w:autoSpaceDE w:val="0"/>
        <w:autoSpaceDN w:val="0"/>
        <w:adjustRightInd w:val="0"/>
        <w:spacing w:line="240" w:lineRule="auto"/>
        <w:jc w:val="center"/>
        <w:rPr>
          <w:rFonts w:eastAsia="Calibri" w:cs="Arial"/>
          <w:bCs/>
          <w:szCs w:val="22"/>
          <w:lang w:eastAsia="en-US"/>
        </w:rPr>
      </w:pPr>
      <w:r w:rsidRPr="00C50DD2">
        <w:rPr>
          <w:rFonts w:eastAsia="Calibri" w:cs="Arial"/>
          <w:bCs/>
          <w:szCs w:val="22"/>
          <w:lang w:eastAsia="en-US"/>
        </w:rPr>
        <w:t>Barragens Pedreira e Duas Pontes</w:t>
      </w:r>
    </w:p>
    <w:tbl>
      <w:tblPr>
        <w:tblW w:w="0" w:type="auto"/>
        <w:jc w:val="center"/>
        <w:tblInd w:w="-6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23"/>
        <w:gridCol w:w="1224"/>
        <w:gridCol w:w="1701"/>
        <w:gridCol w:w="1701"/>
        <w:gridCol w:w="3011"/>
      </w:tblGrid>
      <w:tr w:rsidR="00DE3A6F" w:rsidRPr="00DE3A6F" w:rsidTr="007A3816">
        <w:trPr>
          <w:trHeight w:val="518"/>
          <w:jc w:val="center"/>
        </w:trPr>
        <w:tc>
          <w:tcPr>
            <w:tcW w:w="1223" w:type="dxa"/>
            <w:shd w:val="clear" w:color="auto" w:fill="D9D9D9"/>
            <w:vAlign w:val="center"/>
          </w:tcPr>
          <w:p w:rsidR="00DE3A6F" w:rsidRPr="00DE3A6F" w:rsidRDefault="00DE3A6F" w:rsidP="00DE3A6F">
            <w:pPr>
              <w:autoSpaceDE w:val="0"/>
              <w:autoSpaceDN w:val="0"/>
              <w:adjustRightInd w:val="0"/>
              <w:spacing w:before="120" w:after="120" w:line="240" w:lineRule="auto"/>
              <w:jc w:val="center"/>
              <w:rPr>
                <w:rFonts w:eastAsia="Calibri" w:cs="Arial"/>
                <w:b/>
                <w:sz w:val="20"/>
                <w:szCs w:val="22"/>
                <w:lang w:eastAsia="en-US"/>
              </w:rPr>
            </w:pPr>
            <w:r w:rsidRPr="00DE3A6F">
              <w:rPr>
                <w:rFonts w:eastAsia="Calibri" w:cs="Arial"/>
                <w:b/>
                <w:sz w:val="20"/>
                <w:szCs w:val="22"/>
                <w:lang w:eastAsia="en-US"/>
              </w:rPr>
              <w:t>Natureza</w:t>
            </w:r>
          </w:p>
        </w:tc>
        <w:tc>
          <w:tcPr>
            <w:tcW w:w="1224" w:type="dxa"/>
            <w:shd w:val="clear" w:color="auto" w:fill="D9D9D9"/>
            <w:vAlign w:val="center"/>
          </w:tcPr>
          <w:p w:rsidR="00DE3A6F" w:rsidRPr="00DE3A6F" w:rsidRDefault="00DE3A6F" w:rsidP="00DE3A6F">
            <w:pPr>
              <w:autoSpaceDE w:val="0"/>
              <w:autoSpaceDN w:val="0"/>
              <w:adjustRightInd w:val="0"/>
              <w:spacing w:before="120" w:after="120" w:line="240" w:lineRule="auto"/>
              <w:jc w:val="center"/>
              <w:rPr>
                <w:rFonts w:eastAsia="Calibri" w:cs="Arial"/>
                <w:b/>
                <w:sz w:val="20"/>
                <w:szCs w:val="22"/>
                <w:lang w:eastAsia="en-US"/>
              </w:rPr>
            </w:pPr>
            <w:r w:rsidRPr="00DE3A6F">
              <w:rPr>
                <w:rFonts w:eastAsia="Calibri" w:cs="Arial"/>
                <w:b/>
                <w:sz w:val="20"/>
                <w:szCs w:val="22"/>
                <w:lang w:eastAsia="en-US"/>
              </w:rPr>
              <w:t>Ordem</w:t>
            </w:r>
          </w:p>
        </w:tc>
        <w:tc>
          <w:tcPr>
            <w:tcW w:w="1701" w:type="dxa"/>
            <w:shd w:val="clear" w:color="auto" w:fill="D9D9D9"/>
            <w:vAlign w:val="center"/>
          </w:tcPr>
          <w:p w:rsidR="00DE3A6F" w:rsidRPr="00DE3A6F" w:rsidRDefault="00DE3A6F" w:rsidP="00DE3A6F">
            <w:pPr>
              <w:autoSpaceDE w:val="0"/>
              <w:autoSpaceDN w:val="0"/>
              <w:adjustRightInd w:val="0"/>
              <w:spacing w:before="120" w:after="120" w:line="240" w:lineRule="auto"/>
              <w:jc w:val="center"/>
              <w:rPr>
                <w:rFonts w:eastAsia="Calibri" w:cs="Arial"/>
                <w:b/>
                <w:sz w:val="20"/>
                <w:szCs w:val="22"/>
                <w:lang w:eastAsia="en-US"/>
              </w:rPr>
            </w:pPr>
            <w:r w:rsidRPr="00DE3A6F">
              <w:rPr>
                <w:rFonts w:eastAsia="Calibri" w:cs="Arial"/>
                <w:b/>
                <w:sz w:val="20"/>
                <w:szCs w:val="22"/>
                <w:lang w:eastAsia="en-US"/>
              </w:rPr>
              <w:t>Abrangência</w:t>
            </w:r>
          </w:p>
        </w:tc>
        <w:tc>
          <w:tcPr>
            <w:tcW w:w="1701" w:type="dxa"/>
            <w:shd w:val="clear" w:color="auto" w:fill="D9D9D9"/>
            <w:vAlign w:val="center"/>
          </w:tcPr>
          <w:p w:rsidR="00DE3A6F" w:rsidRPr="00DE3A6F" w:rsidRDefault="00DE3A6F" w:rsidP="00DE3A6F">
            <w:pPr>
              <w:autoSpaceDE w:val="0"/>
              <w:autoSpaceDN w:val="0"/>
              <w:adjustRightInd w:val="0"/>
              <w:spacing w:before="120" w:after="120" w:line="240" w:lineRule="auto"/>
              <w:jc w:val="center"/>
              <w:rPr>
                <w:rFonts w:eastAsia="Calibri" w:cs="Arial"/>
                <w:b/>
                <w:sz w:val="20"/>
                <w:szCs w:val="22"/>
                <w:lang w:eastAsia="en-US"/>
              </w:rPr>
            </w:pPr>
            <w:r w:rsidRPr="00DE3A6F">
              <w:rPr>
                <w:rFonts w:eastAsia="Calibri" w:cs="Arial"/>
                <w:b/>
                <w:sz w:val="20"/>
                <w:szCs w:val="22"/>
                <w:lang w:eastAsia="en-US"/>
              </w:rPr>
              <w:t>Duração</w:t>
            </w:r>
          </w:p>
        </w:tc>
        <w:tc>
          <w:tcPr>
            <w:tcW w:w="3011" w:type="dxa"/>
            <w:shd w:val="clear" w:color="auto" w:fill="D9D9D9"/>
            <w:vAlign w:val="center"/>
          </w:tcPr>
          <w:p w:rsidR="00DE3A6F" w:rsidRPr="00DE3A6F" w:rsidRDefault="00DE3A6F" w:rsidP="00DE3A6F">
            <w:pPr>
              <w:autoSpaceDE w:val="0"/>
              <w:autoSpaceDN w:val="0"/>
              <w:adjustRightInd w:val="0"/>
              <w:spacing w:before="120" w:after="120" w:line="240" w:lineRule="auto"/>
              <w:jc w:val="center"/>
              <w:rPr>
                <w:rFonts w:eastAsia="Calibri" w:cs="Arial"/>
                <w:b/>
                <w:sz w:val="20"/>
                <w:szCs w:val="22"/>
                <w:lang w:eastAsia="en-US"/>
              </w:rPr>
            </w:pPr>
            <w:r w:rsidRPr="00DE3A6F">
              <w:rPr>
                <w:rFonts w:eastAsia="Calibri" w:cs="Arial"/>
                <w:b/>
                <w:sz w:val="20"/>
                <w:szCs w:val="22"/>
                <w:lang w:eastAsia="en-US"/>
              </w:rPr>
              <w:t>Probabilidade de Ocorrência</w:t>
            </w:r>
          </w:p>
        </w:tc>
      </w:tr>
      <w:tr w:rsidR="00DE3A6F" w:rsidRPr="00DE3A6F" w:rsidTr="007A3816">
        <w:trPr>
          <w:trHeight w:val="273"/>
          <w:jc w:val="center"/>
        </w:trPr>
        <w:tc>
          <w:tcPr>
            <w:tcW w:w="1223" w:type="dxa"/>
            <w:shd w:val="clear" w:color="auto" w:fill="auto"/>
            <w:vAlign w:val="center"/>
          </w:tcPr>
          <w:p w:rsidR="00DE3A6F" w:rsidRPr="00DE3A6F" w:rsidRDefault="00DE3A6F" w:rsidP="00DE3A6F">
            <w:pPr>
              <w:autoSpaceDE w:val="0"/>
              <w:autoSpaceDN w:val="0"/>
              <w:adjustRightInd w:val="0"/>
              <w:spacing w:before="120" w:after="120" w:line="240" w:lineRule="auto"/>
              <w:jc w:val="center"/>
              <w:rPr>
                <w:rFonts w:eastAsia="Calibri" w:cs="Arial"/>
                <w:sz w:val="20"/>
                <w:szCs w:val="22"/>
                <w:lang w:eastAsia="en-US"/>
              </w:rPr>
            </w:pPr>
            <w:r w:rsidRPr="00DE3A6F">
              <w:rPr>
                <w:rFonts w:eastAsia="Calibri" w:cs="Arial"/>
                <w:sz w:val="20"/>
                <w:szCs w:val="22"/>
                <w:lang w:eastAsia="en-US"/>
              </w:rPr>
              <w:t>Negativa</w:t>
            </w:r>
          </w:p>
        </w:tc>
        <w:tc>
          <w:tcPr>
            <w:tcW w:w="1224" w:type="dxa"/>
            <w:shd w:val="clear" w:color="auto" w:fill="auto"/>
            <w:vAlign w:val="center"/>
          </w:tcPr>
          <w:p w:rsidR="00DE3A6F" w:rsidRPr="00DE3A6F" w:rsidRDefault="00DE3A6F" w:rsidP="00DE3A6F">
            <w:pPr>
              <w:autoSpaceDE w:val="0"/>
              <w:autoSpaceDN w:val="0"/>
              <w:adjustRightInd w:val="0"/>
              <w:spacing w:before="120" w:after="120" w:line="240" w:lineRule="auto"/>
              <w:jc w:val="center"/>
              <w:rPr>
                <w:rFonts w:eastAsia="Calibri" w:cs="Arial"/>
                <w:sz w:val="20"/>
                <w:szCs w:val="22"/>
                <w:lang w:eastAsia="en-US"/>
              </w:rPr>
            </w:pPr>
            <w:r w:rsidRPr="00DE3A6F">
              <w:rPr>
                <w:rFonts w:eastAsia="Calibri" w:cs="Arial"/>
                <w:sz w:val="20"/>
                <w:szCs w:val="22"/>
                <w:lang w:eastAsia="en-US"/>
              </w:rPr>
              <w:t>Direta</w:t>
            </w:r>
          </w:p>
        </w:tc>
        <w:tc>
          <w:tcPr>
            <w:tcW w:w="1701" w:type="dxa"/>
            <w:shd w:val="clear" w:color="auto" w:fill="auto"/>
            <w:vAlign w:val="center"/>
          </w:tcPr>
          <w:p w:rsidR="00DE3A6F" w:rsidRPr="00DE3A6F" w:rsidRDefault="00DE3A6F" w:rsidP="00DE3A6F">
            <w:pPr>
              <w:autoSpaceDE w:val="0"/>
              <w:autoSpaceDN w:val="0"/>
              <w:adjustRightInd w:val="0"/>
              <w:spacing w:before="120" w:after="120" w:line="240" w:lineRule="auto"/>
              <w:jc w:val="center"/>
              <w:rPr>
                <w:rFonts w:eastAsia="Calibri" w:cs="Arial"/>
                <w:sz w:val="20"/>
                <w:szCs w:val="22"/>
                <w:lang w:eastAsia="en-US"/>
              </w:rPr>
            </w:pPr>
            <w:r w:rsidRPr="00DE3A6F">
              <w:rPr>
                <w:rFonts w:eastAsia="Calibri" w:cs="Arial"/>
                <w:sz w:val="20"/>
                <w:szCs w:val="22"/>
                <w:lang w:eastAsia="en-US"/>
              </w:rPr>
              <w:t>Local/Regional</w:t>
            </w:r>
          </w:p>
        </w:tc>
        <w:tc>
          <w:tcPr>
            <w:tcW w:w="1701" w:type="dxa"/>
            <w:shd w:val="clear" w:color="auto" w:fill="auto"/>
            <w:vAlign w:val="center"/>
          </w:tcPr>
          <w:p w:rsidR="00DE3A6F" w:rsidRPr="00DE3A6F" w:rsidRDefault="00DE3A6F" w:rsidP="00DE3A6F">
            <w:pPr>
              <w:autoSpaceDE w:val="0"/>
              <w:autoSpaceDN w:val="0"/>
              <w:adjustRightInd w:val="0"/>
              <w:spacing w:before="120" w:after="120" w:line="240" w:lineRule="auto"/>
              <w:jc w:val="center"/>
              <w:rPr>
                <w:rFonts w:eastAsia="Calibri" w:cs="Arial"/>
                <w:sz w:val="20"/>
                <w:szCs w:val="22"/>
                <w:lang w:eastAsia="en-US"/>
              </w:rPr>
            </w:pPr>
            <w:r w:rsidRPr="00DE3A6F">
              <w:rPr>
                <w:rFonts w:eastAsia="Calibri" w:cs="Arial"/>
                <w:sz w:val="20"/>
                <w:szCs w:val="22"/>
                <w:lang w:eastAsia="en-US"/>
              </w:rPr>
              <w:t>Temporária</w:t>
            </w:r>
          </w:p>
        </w:tc>
        <w:tc>
          <w:tcPr>
            <w:tcW w:w="3011" w:type="dxa"/>
            <w:shd w:val="clear" w:color="auto" w:fill="auto"/>
            <w:vAlign w:val="center"/>
          </w:tcPr>
          <w:p w:rsidR="00DE3A6F" w:rsidRPr="00DE3A6F" w:rsidRDefault="00DE3A6F" w:rsidP="00DE3A6F">
            <w:pPr>
              <w:autoSpaceDE w:val="0"/>
              <w:autoSpaceDN w:val="0"/>
              <w:adjustRightInd w:val="0"/>
              <w:spacing w:before="120" w:after="120" w:line="240" w:lineRule="auto"/>
              <w:jc w:val="center"/>
              <w:rPr>
                <w:rFonts w:eastAsia="Calibri" w:cs="Arial"/>
                <w:sz w:val="20"/>
                <w:szCs w:val="22"/>
                <w:lang w:eastAsia="en-US"/>
              </w:rPr>
            </w:pPr>
            <w:r w:rsidRPr="00DE3A6F">
              <w:rPr>
                <w:rFonts w:eastAsia="Calibri" w:cs="Arial"/>
                <w:sz w:val="20"/>
                <w:szCs w:val="22"/>
                <w:lang w:eastAsia="en-US"/>
              </w:rPr>
              <w:t>Certa</w:t>
            </w:r>
          </w:p>
        </w:tc>
      </w:tr>
    </w:tbl>
    <w:p w:rsidR="00DE3A6F" w:rsidRPr="00DE3A6F" w:rsidRDefault="00DE3A6F" w:rsidP="00DE3A6F">
      <w:pPr>
        <w:autoSpaceDE w:val="0"/>
        <w:autoSpaceDN w:val="0"/>
        <w:adjustRightInd w:val="0"/>
        <w:spacing w:line="240" w:lineRule="auto"/>
        <w:jc w:val="center"/>
        <w:rPr>
          <w:rFonts w:eastAsia="Calibri" w:cs="Arial"/>
          <w:sz w:val="20"/>
          <w:szCs w:val="22"/>
          <w:lang w:eastAsia="en-US"/>
        </w:rPr>
      </w:pPr>
    </w:p>
    <w:tbl>
      <w:tblPr>
        <w:tblW w:w="0" w:type="auto"/>
        <w:jc w:val="center"/>
        <w:tblInd w:w="-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4"/>
        <w:gridCol w:w="1701"/>
        <w:gridCol w:w="1701"/>
        <w:gridCol w:w="1484"/>
        <w:gridCol w:w="1485"/>
      </w:tblGrid>
      <w:tr w:rsidR="00DE3A6F" w:rsidRPr="00DE3A6F" w:rsidTr="007A3816">
        <w:trPr>
          <w:trHeight w:val="397"/>
          <w:jc w:val="center"/>
        </w:trPr>
        <w:tc>
          <w:tcPr>
            <w:tcW w:w="2404" w:type="dxa"/>
            <w:shd w:val="clear" w:color="auto" w:fill="D9D9D9"/>
            <w:vAlign w:val="center"/>
          </w:tcPr>
          <w:p w:rsidR="00DE3A6F" w:rsidRPr="00DE3A6F" w:rsidRDefault="00DE3A6F" w:rsidP="00DE3A6F">
            <w:pPr>
              <w:autoSpaceDE w:val="0"/>
              <w:autoSpaceDN w:val="0"/>
              <w:adjustRightInd w:val="0"/>
              <w:spacing w:before="120" w:after="120" w:line="240" w:lineRule="auto"/>
              <w:jc w:val="center"/>
              <w:rPr>
                <w:rFonts w:eastAsia="Calibri" w:cs="Arial"/>
                <w:b/>
                <w:sz w:val="20"/>
                <w:szCs w:val="22"/>
                <w:lang w:eastAsia="en-US"/>
              </w:rPr>
            </w:pPr>
            <w:r w:rsidRPr="00DE3A6F">
              <w:rPr>
                <w:rFonts w:eastAsia="Calibri" w:cs="Arial"/>
                <w:b/>
                <w:sz w:val="20"/>
                <w:szCs w:val="22"/>
                <w:lang w:eastAsia="en-US"/>
              </w:rPr>
              <w:t>Época de Ocorrência</w:t>
            </w:r>
          </w:p>
        </w:tc>
        <w:tc>
          <w:tcPr>
            <w:tcW w:w="1701" w:type="dxa"/>
            <w:shd w:val="clear" w:color="auto" w:fill="D9D9D9"/>
            <w:vAlign w:val="center"/>
          </w:tcPr>
          <w:p w:rsidR="00DE3A6F" w:rsidRPr="00DE3A6F" w:rsidRDefault="00DE3A6F" w:rsidP="00DE3A6F">
            <w:pPr>
              <w:autoSpaceDE w:val="0"/>
              <w:autoSpaceDN w:val="0"/>
              <w:adjustRightInd w:val="0"/>
              <w:spacing w:before="120" w:after="120" w:line="240" w:lineRule="auto"/>
              <w:jc w:val="center"/>
              <w:rPr>
                <w:rFonts w:eastAsia="Calibri" w:cs="Arial"/>
                <w:b/>
                <w:sz w:val="20"/>
                <w:szCs w:val="22"/>
                <w:lang w:eastAsia="en-US"/>
              </w:rPr>
            </w:pPr>
            <w:r w:rsidRPr="00DE3A6F">
              <w:rPr>
                <w:rFonts w:eastAsia="Calibri" w:cs="Arial"/>
                <w:b/>
                <w:sz w:val="20"/>
                <w:szCs w:val="22"/>
                <w:lang w:eastAsia="en-US"/>
              </w:rPr>
              <w:t>Reversibilidade</w:t>
            </w:r>
          </w:p>
        </w:tc>
        <w:tc>
          <w:tcPr>
            <w:tcW w:w="1701" w:type="dxa"/>
            <w:shd w:val="clear" w:color="auto" w:fill="D9D9D9"/>
            <w:vAlign w:val="center"/>
          </w:tcPr>
          <w:p w:rsidR="00DE3A6F" w:rsidRPr="00DE3A6F" w:rsidRDefault="00DE3A6F" w:rsidP="00DE3A6F">
            <w:pPr>
              <w:autoSpaceDE w:val="0"/>
              <w:autoSpaceDN w:val="0"/>
              <w:adjustRightInd w:val="0"/>
              <w:spacing w:before="120" w:after="120" w:line="240" w:lineRule="auto"/>
              <w:jc w:val="center"/>
              <w:rPr>
                <w:rFonts w:eastAsia="Calibri" w:cs="Arial"/>
                <w:b/>
                <w:sz w:val="20"/>
                <w:szCs w:val="22"/>
                <w:lang w:eastAsia="en-US"/>
              </w:rPr>
            </w:pPr>
            <w:r w:rsidRPr="00DE3A6F">
              <w:rPr>
                <w:rFonts w:eastAsia="Calibri" w:cs="Arial"/>
                <w:b/>
                <w:sz w:val="20"/>
                <w:szCs w:val="22"/>
                <w:lang w:eastAsia="en-US"/>
              </w:rPr>
              <w:t>Magnitude</w:t>
            </w:r>
          </w:p>
        </w:tc>
        <w:tc>
          <w:tcPr>
            <w:tcW w:w="1484" w:type="dxa"/>
            <w:shd w:val="clear" w:color="auto" w:fill="D9D9D9"/>
            <w:vAlign w:val="center"/>
          </w:tcPr>
          <w:p w:rsidR="00DE3A6F" w:rsidRPr="00DE3A6F" w:rsidRDefault="00DE3A6F" w:rsidP="00DE3A6F">
            <w:pPr>
              <w:autoSpaceDE w:val="0"/>
              <w:autoSpaceDN w:val="0"/>
              <w:adjustRightInd w:val="0"/>
              <w:spacing w:before="120" w:after="120" w:line="240" w:lineRule="auto"/>
              <w:jc w:val="center"/>
              <w:rPr>
                <w:rFonts w:eastAsia="Calibri" w:cs="Arial"/>
                <w:b/>
                <w:sz w:val="20"/>
                <w:szCs w:val="22"/>
                <w:lang w:eastAsia="en-US"/>
              </w:rPr>
            </w:pPr>
            <w:r w:rsidRPr="00DE3A6F">
              <w:rPr>
                <w:rFonts w:eastAsia="Calibri" w:cs="Arial"/>
                <w:b/>
                <w:sz w:val="20"/>
                <w:szCs w:val="22"/>
                <w:lang w:eastAsia="en-US"/>
              </w:rPr>
              <w:t>Importância</w:t>
            </w:r>
          </w:p>
        </w:tc>
        <w:tc>
          <w:tcPr>
            <w:tcW w:w="1485" w:type="dxa"/>
            <w:shd w:val="clear" w:color="auto" w:fill="D9D9D9"/>
            <w:vAlign w:val="center"/>
          </w:tcPr>
          <w:p w:rsidR="00DE3A6F" w:rsidRPr="00DE3A6F" w:rsidRDefault="00DE3A6F" w:rsidP="00DE3A6F">
            <w:pPr>
              <w:autoSpaceDE w:val="0"/>
              <w:autoSpaceDN w:val="0"/>
              <w:adjustRightInd w:val="0"/>
              <w:spacing w:before="120" w:after="120" w:line="240" w:lineRule="auto"/>
              <w:jc w:val="center"/>
              <w:rPr>
                <w:rFonts w:eastAsia="Calibri" w:cs="Arial"/>
                <w:b/>
                <w:sz w:val="20"/>
                <w:szCs w:val="22"/>
                <w:lang w:eastAsia="en-US"/>
              </w:rPr>
            </w:pPr>
            <w:r w:rsidRPr="00DE3A6F">
              <w:rPr>
                <w:rFonts w:eastAsia="Calibri" w:cs="Arial"/>
                <w:b/>
                <w:sz w:val="20"/>
                <w:szCs w:val="22"/>
                <w:lang w:eastAsia="en-US"/>
              </w:rPr>
              <w:t>Mitigação</w:t>
            </w:r>
          </w:p>
        </w:tc>
      </w:tr>
      <w:tr w:rsidR="00DE3A6F" w:rsidRPr="00DE3A6F" w:rsidTr="007A3816">
        <w:trPr>
          <w:trHeight w:val="344"/>
          <w:jc w:val="center"/>
        </w:trPr>
        <w:tc>
          <w:tcPr>
            <w:tcW w:w="2404" w:type="dxa"/>
            <w:shd w:val="clear" w:color="auto" w:fill="auto"/>
            <w:vAlign w:val="center"/>
          </w:tcPr>
          <w:p w:rsidR="00DE3A6F" w:rsidRPr="00DE3A6F" w:rsidRDefault="00DE3A6F" w:rsidP="00DE3A6F">
            <w:pPr>
              <w:autoSpaceDE w:val="0"/>
              <w:autoSpaceDN w:val="0"/>
              <w:adjustRightInd w:val="0"/>
              <w:spacing w:before="120" w:after="120" w:line="240" w:lineRule="auto"/>
              <w:jc w:val="center"/>
              <w:rPr>
                <w:rFonts w:eastAsia="Calibri" w:cs="Arial"/>
                <w:sz w:val="20"/>
                <w:szCs w:val="22"/>
                <w:lang w:eastAsia="en-US"/>
              </w:rPr>
            </w:pPr>
            <w:r w:rsidRPr="00DE3A6F">
              <w:rPr>
                <w:rFonts w:eastAsia="Calibri" w:cs="Arial"/>
                <w:sz w:val="20"/>
                <w:szCs w:val="22"/>
                <w:lang w:eastAsia="en-US"/>
              </w:rPr>
              <w:t>Curto Prazo</w:t>
            </w:r>
          </w:p>
        </w:tc>
        <w:tc>
          <w:tcPr>
            <w:tcW w:w="1701" w:type="dxa"/>
            <w:shd w:val="clear" w:color="auto" w:fill="auto"/>
            <w:vAlign w:val="center"/>
          </w:tcPr>
          <w:p w:rsidR="00DE3A6F" w:rsidRPr="00DE3A6F" w:rsidRDefault="00DE3A6F" w:rsidP="00DE3A6F">
            <w:pPr>
              <w:autoSpaceDE w:val="0"/>
              <w:autoSpaceDN w:val="0"/>
              <w:adjustRightInd w:val="0"/>
              <w:spacing w:before="120" w:after="120" w:line="240" w:lineRule="auto"/>
              <w:jc w:val="center"/>
              <w:rPr>
                <w:rFonts w:eastAsia="Calibri" w:cs="Arial"/>
                <w:sz w:val="20"/>
                <w:szCs w:val="22"/>
                <w:lang w:eastAsia="en-US"/>
              </w:rPr>
            </w:pPr>
            <w:r w:rsidRPr="00DE3A6F">
              <w:rPr>
                <w:rFonts w:eastAsia="Calibri" w:cs="Arial"/>
                <w:sz w:val="20"/>
                <w:szCs w:val="22"/>
                <w:lang w:eastAsia="en-US"/>
              </w:rPr>
              <w:t>Reversível</w:t>
            </w:r>
          </w:p>
        </w:tc>
        <w:tc>
          <w:tcPr>
            <w:tcW w:w="1701" w:type="dxa"/>
            <w:shd w:val="clear" w:color="auto" w:fill="auto"/>
            <w:vAlign w:val="center"/>
          </w:tcPr>
          <w:p w:rsidR="00DE3A6F" w:rsidRPr="00DE3A6F" w:rsidRDefault="00DE3A6F" w:rsidP="00DE3A6F">
            <w:pPr>
              <w:autoSpaceDE w:val="0"/>
              <w:autoSpaceDN w:val="0"/>
              <w:adjustRightInd w:val="0"/>
              <w:spacing w:before="120" w:after="120" w:line="240" w:lineRule="auto"/>
              <w:jc w:val="center"/>
              <w:rPr>
                <w:rFonts w:eastAsia="Calibri" w:cs="Arial"/>
                <w:sz w:val="20"/>
                <w:szCs w:val="22"/>
                <w:lang w:eastAsia="en-US"/>
              </w:rPr>
            </w:pPr>
            <w:r w:rsidRPr="00DE3A6F">
              <w:rPr>
                <w:rFonts w:eastAsia="Calibri" w:cs="Arial"/>
                <w:sz w:val="20"/>
                <w:szCs w:val="22"/>
                <w:lang w:eastAsia="en-US"/>
              </w:rPr>
              <w:t>Média</w:t>
            </w:r>
          </w:p>
        </w:tc>
        <w:tc>
          <w:tcPr>
            <w:tcW w:w="1484" w:type="dxa"/>
            <w:shd w:val="clear" w:color="auto" w:fill="auto"/>
            <w:vAlign w:val="center"/>
          </w:tcPr>
          <w:p w:rsidR="00DE3A6F" w:rsidRPr="00DE3A6F" w:rsidRDefault="00DE3A6F" w:rsidP="00DE3A6F">
            <w:pPr>
              <w:autoSpaceDE w:val="0"/>
              <w:autoSpaceDN w:val="0"/>
              <w:adjustRightInd w:val="0"/>
              <w:spacing w:before="120" w:after="120" w:line="240" w:lineRule="auto"/>
              <w:jc w:val="center"/>
              <w:rPr>
                <w:rFonts w:eastAsia="Calibri" w:cs="Arial"/>
                <w:sz w:val="20"/>
                <w:szCs w:val="22"/>
                <w:lang w:eastAsia="en-US"/>
              </w:rPr>
            </w:pPr>
            <w:r w:rsidRPr="00DE3A6F">
              <w:rPr>
                <w:rFonts w:eastAsia="Calibri" w:cs="Arial"/>
                <w:sz w:val="20"/>
                <w:szCs w:val="22"/>
                <w:lang w:eastAsia="en-US"/>
              </w:rPr>
              <w:t>Média</w:t>
            </w:r>
          </w:p>
        </w:tc>
        <w:tc>
          <w:tcPr>
            <w:tcW w:w="1485" w:type="dxa"/>
            <w:shd w:val="clear" w:color="auto" w:fill="auto"/>
            <w:vAlign w:val="center"/>
          </w:tcPr>
          <w:p w:rsidR="00DE3A6F" w:rsidRPr="00DE3A6F" w:rsidRDefault="00DE3A6F" w:rsidP="00DE3A6F">
            <w:pPr>
              <w:autoSpaceDE w:val="0"/>
              <w:autoSpaceDN w:val="0"/>
              <w:adjustRightInd w:val="0"/>
              <w:spacing w:before="120" w:after="120" w:line="240" w:lineRule="auto"/>
              <w:jc w:val="center"/>
              <w:rPr>
                <w:rFonts w:eastAsia="Calibri" w:cs="Arial"/>
                <w:sz w:val="20"/>
                <w:szCs w:val="22"/>
                <w:lang w:eastAsia="en-US"/>
              </w:rPr>
            </w:pPr>
            <w:r w:rsidRPr="00DE3A6F">
              <w:rPr>
                <w:rFonts w:eastAsia="Calibri" w:cs="Arial"/>
                <w:sz w:val="20"/>
                <w:szCs w:val="22"/>
                <w:lang w:eastAsia="en-US"/>
              </w:rPr>
              <w:t>Mitigável</w:t>
            </w:r>
          </w:p>
        </w:tc>
      </w:tr>
    </w:tbl>
    <w:p w:rsidR="00C50DD2" w:rsidRDefault="00C50DD2" w:rsidP="00DE3A6F">
      <w:pPr>
        <w:spacing w:line="240" w:lineRule="auto"/>
        <w:rPr>
          <w:rFonts w:eastAsia="Calibri"/>
          <w:sz w:val="20"/>
          <w:lang w:eastAsia="en-US"/>
        </w:rPr>
      </w:pPr>
      <w:r>
        <w:rPr>
          <w:rFonts w:eastAsia="Calibri"/>
          <w:sz w:val="20"/>
          <w:lang w:eastAsia="en-US"/>
        </w:rPr>
        <w:br w:type="page"/>
      </w:r>
    </w:p>
    <w:p w:rsidR="00DE3A6F" w:rsidRPr="00DE3A6F" w:rsidRDefault="00DE3A6F" w:rsidP="00DE3A6F">
      <w:pPr>
        <w:autoSpaceDE w:val="0"/>
        <w:autoSpaceDN w:val="0"/>
        <w:adjustRightInd w:val="0"/>
        <w:spacing w:before="120" w:after="120" w:line="240" w:lineRule="auto"/>
        <w:rPr>
          <w:rFonts w:eastAsia="Calibri" w:cs="Arial"/>
          <w:b/>
          <w:szCs w:val="22"/>
          <w:lang w:eastAsia="en-US"/>
        </w:rPr>
      </w:pPr>
      <w:r w:rsidRPr="00DE3A6F">
        <w:rPr>
          <w:rFonts w:eastAsia="Calibri" w:cs="Arial"/>
          <w:b/>
          <w:szCs w:val="22"/>
          <w:lang w:eastAsia="en-US"/>
        </w:rPr>
        <w:t>Ações Ambientais Propostas</w:t>
      </w:r>
    </w:p>
    <w:p w:rsidR="00DE3A6F" w:rsidRPr="00DE3A6F" w:rsidRDefault="00DE3A6F" w:rsidP="00DE3A6F">
      <w:pPr>
        <w:spacing w:before="120" w:after="120" w:line="240" w:lineRule="auto"/>
        <w:rPr>
          <w:rFonts w:eastAsia="Calibri"/>
          <w:szCs w:val="22"/>
          <w:lang w:eastAsia="en-US"/>
        </w:rPr>
      </w:pPr>
      <w:r w:rsidRPr="00DE3A6F">
        <w:rPr>
          <w:rFonts w:eastAsia="Calibri"/>
          <w:szCs w:val="22"/>
          <w:lang w:eastAsia="en-US"/>
        </w:rPr>
        <w:t xml:space="preserve">As medidas a serem adotadas para mitigar o impacto farão parte dos Programas de Controle Ambiental das Obras, do Programa de </w:t>
      </w:r>
      <w:r w:rsidR="00D225D5">
        <w:rPr>
          <w:rFonts w:eastAsia="Calibri"/>
          <w:szCs w:val="22"/>
          <w:lang w:eastAsia="en-US"/>
        </w:rPr>
        <w:t>Comunicação e Interação Social</w:t>
      </w:r>
      <w:r w:rsidRPr="00DE3A6F">
        <w:rPr>
          <w:rFonts w:eastAsia="Calibri"/>
          <w:szCs w:val="22"/>
          <w:lang w:eastAsia="en-US"/>
        </w:rPr>
        <w:t xml:space="preserve"> e de Educação Ambiental.</w:t>
      </w:r>
    </w:p>
    <w:p w:rsidR="00DE3A6F" w:rsidRPr="00DE3A6F" w:rsidRDefault="00DE3A6F" w:rsidP="00DE3A6F">
      <w:pPr>
        <w:spacing w:before="120" w:after="120" w:line="240" w:lineRule="auto"/>
        <w:rPr>
          <w:rFonts w:eastAsia="Calibri" w:cs="Arial"/>
          <w:spacing w:val="-4"/>
          <w:szCs w:val="22"/>
          <w:lang w:eastAsia="en-US"/>
        </w:rPr>
      </w:pPr>
      <w:r w:rsidRPr="00DE3A6F">
        <w:rPr>
          <w:rFonts w:eastAsia="Calibri" w:cs="Arial"/>
          <w:spacing w:val="-4"/>
          <w:szCs w:val="22"/>
          <w:lang w:eastAsia="en-US"/>
        </w:rPr>
        <w:t>O fornecimento de maquinário, equipamentos e insumos à obra obedece a um estudo de logística de fornecimento e planejamento de transporte, de forma a atender a demanda no tempo adequado às atividades desenvolvidas na obra, como também no volume requerido. Desse modo a análise do sistema viário se faz necessária, propondo adequações nas rodovias e no cronograma de fornecimento, caso assim exigido.</w:t>
      </w:r>
    </w:p>
    <w:p w:rsidR="00DE3A6F" w:rsidRDefault="00DE3A6F" w:rsidP="002766BC">
      <w:pPr>
        <w:spacing w:before="120" w:after="120" w:line="240" w:lineRule="auto"/>
        <w:rPr>
          <w:rFonts w:eastAsia="Calibri" w:cs="Arial"/>
          <w:spacing w:val="-4"/>
          <w:szCs w:val="22"/>
          <w:lang w:eastAsia="en-US"/>
        </w:rPr>
      </w:pPr>
      <w:r w:rsidRPr="00DE3A6F">
        <w:rPr>
          <w:rFonts w:eastAsia="Calibri" w:cs="Arial"/>
          <w:spacing w:val="-4"/>
          <w:szCs w:val="22"/>
          <w:lang w:eastAsia="en-US"/>
        </w:rPr>
        <w:t xml:space="preserve">A mitigação do impacto terá como base a adoção de medidas de planejamento viário, como também preparar medidas educativas e de orientação para os motoristas ligados à obra, como também dos prestadores de serviços, visando uma direção mais segura e, por tanto, reduzir o risco de acidentes. Complementarmente, deverá ser intensificada a fiscalização e o sistema de sinalização das estradas. </w:t>
      </w:r>
    </w:p>
    <w:p w:rsidR="00973BCF" w:rsidRPr="00934068" w:rsidRDefault="00CD6D82" w:rsidP="00934068">
      <w:pPr>
        <w:pStyle w:val="Ttulo3"/>
        <w:rPr>
          <w:rFonts w:ascii="Arial Negrito" w:hAnsi="Arial Negrito"/>
          <w:bCs/>
        </w:rPr>
      </w:pPr>
      <w:bookmarkStart w:id="423" w:name="_Toc418758262"/>
      <w:bookmarkStart w:id="424" w:name="_Toc418758864"/>
      <w:bookmarkStart w:id="425" w:name="_Toc419813624"/>
      <w:r w:rsidRPr="00934068">
        <w:rPr>
          <w:rFonts w:ascii="Arial Negrito" w:hAnsi="Arial Negrito"/>
          <w:bCs/>
        </w:rPr>
        <w:t xml:space="preserve">1.3.3.15. </w:t>
      </w:r>
      <w:r w:rsidR="00973BCF" w:rsidRPr="00934068">
        <w:rPr>
          <w:rFonts w:ascii="Arial Negrito" w:hAnsi="Arial Negrito"/>
          <w:bCs/>
        </w:rPr>
        <w:t xml:space="preserve">Interferências </w:t>
      </w:r>
      <w:r w:rsidR="00FF5296" w:rsidRPr="00934068">
        <w:rPr>
          <w:rFonts w:ascii="Arial Negrito" w:hAnsi="Arial Negrito"/>
          <w:bCs/>
        </w:rPr>
        <w:t xml:space="preserve">nos Usos Múltiplos </w:t>
      </w:r>
      <w:r w:rsidR="00973BCF" w:rsidRPr="00934068">
        <w:rPr>
          <w:rFonts w:ascii="Arial Negrito" w:hAnsi="Arial Negrito"/>
          <w:bCs/>
        </w:rPr>
        <w:t xml:space="preserve">da </w:t>
      </w:r>
      <w:r w:rsidR="00FB5E6D" w:rsidRPr="00934068">
        <w:rPr>
          <w:rFonts w:ascii="Arial Negrito" w:hAnsi="Arial Negrito"/>
          <w:bCs/>
        </w:rPr>
        <w:t>Á</w:t>
      </w:r>
      <w:r w:rsidR="00973BCF" w:rsidRPr="00934068">
        <w:rPr>
          <w:rFonts w:ascii="Arial Negrito" w:hAnsi="Arial Negrito"/>
          <w:bCs/>
        </w:rPr>
        <w:t>gua</w:t>
      </w:r>
      <w:bookmarkEnd w:id="423"/>
      <w:bookmarkEnd w:id="424"/>
      <w:bookmarkEnd w:id="425"/>
    </w:p>
    <w:p w:rsidR="00AC32C6" w:rsidRPr="00AC32C6" w:rsidRDefault="00AC32C6" w:rsidP="00AC32C6">
      <w:pPr>
        <w:shd w:val="clear" w:color="auto" w:fill="FFFFFF"/>
        <w:spacing w:before="120" w:after="120" w:line="240" w:lineRule="auto"/>
        <w:rPr>
          <w:rFonts w:cs="Arial"/>
          <w:szCs w:val="22"/>
        </w:rPr>
      </w:pPr>
      <w:r w:rsidRPr="00AC32C6">
        <w:rPr>
          <w:rFonts w:cs="Arial"/>
          <w:szCs w:val="22"/>
        </w:rPr>
        <w:t xml:space="preserve">Conforme prevê a </w:t>
      </w:r>
      <w:r w:rsidRPr="00AC32C6">
        <w:rPr>
          <w:rFonts w:cs="Arial"/>
          <w:szCs w:val="22"/>
          <w:bdr w:val="none" w:sz="0" w:space="0" w:color="auto" w:frame="1"/>
        </w:rPr>
        <w:t>Lei nº 9.433</w:t>
      </w:r>
      <w:r w:rsidRPr="00AC32C6">
        <w:rPr>
          <w:rFonts w:cs="Arial"/>
          <w:szCs w:val="22"/>
        </w:rPr>
        <w:t xml:space="preserve">, a gestão dos recursos hídricos deve sempre proporcionar o uso múltiplo das águas, tendo em vista que todos os setores usuários têm igual direito de acesso ao uso dos recursos hídricos, salvo em situações de escassez quando os usos prioritários da água passam a ser o consumo humano e a dessedentação de animais. Dentre os usos múltiplos existentes em um corpo d´água podemos citar: Abastecimento (Urbano e Rural), Geração de Energia Elétrica, Mineração, Pesca, Navegação, Lazer e Recreação. </w:t>
      </w:r>
    </w:p>
    <w:p w:rsidR="00AC32C6" w:rsidRPr="00AC32C6" w:rsidRDefault="00AC32C6" w:rsidP="00AC32C6">
      <w:pPr>
        <w:shd w:val="clear" w:color="auto" w:fill="FFFFFF"/>
        <w:spacing w:before="120" w:after="120" w:line="240" w:lineRule="auto"/>
        <w:rPr>
          <w:rFonts w:cs="Arial"/>
          <w:szCs w:val="22"/>
        </w:rPr>
      </w:pPr>
      <w:r w:rsidRPr="00AC32C6">
        <w:rPr>
          <w:rFonts w:cs="Arial"/>
          <w:szCs w:val="22"/>
        </w:rPr>
        <w:t xml:space="preserve">Conforme apontado pelo Diagnóstico Ambiental, dentre os principais usos da água identificados nos rios Jaguari e Camanducaia, destacam-se: </w:t>
      </w:r>
      <w:hyperlink r:id="rId35" w:history="1">
        <w:r w:rsidRPr="00AC32C6">
          <w:rPr>
            <w:rFonts w:cs="Arial"/>
            <w:szCs w:val="22"/>
            <w:bdr w:val="none" w:sz="0" w:space="0" w:color="auto" w:frame="1"/>
          </w:rPr>
          <w:t>Abastecimento Público</w:t>
        </w:r>
      </w:hyperlink>
      <w:r w:rsidRPr="00AC32C6">
        <w:rPr>
          <w:rFonts w:cs="Arial"/>
          <w:szCs w:val="22"/>
        </w:rPr>
        <w:t xml:space="preserve">; </w:t>
      </w:r>
      <w:hyperlink r:id="rId36" w:history="1">
        <w:r w:rsidRPr="00AC32C6">
          <w:rPr>
            <w:rFonts w:cs="Arial"/>
            <w:szCs w:val="22"/>
            <w:bdr w:val="none" w:sz="0" w:space="0" w:color="auto" w:frame="1"/>
          </w:rPr>
          <w:t>Geração de Energia</w:t>
        </w:r>
      </w:hyperlink>
      <w:r w:rsidRPr="00AC32C6">
        <w:rPr>
          <w:rFonts w:cs="Arial"/>
          <w:szCs w:val="22"/>
        </w:rPr>
        <w:t xml:space="preserve">; Lazer e Recreação; e, Pesca Recreativa e Turística. Outros usos como irrigação e navegação não são praticados, no trecho em estudo. </w:t>
      </w:r>
    </w:p>
    <w:p w:rsidR="00AC32C6" w:rsidRPr="00AC32C6" w:rsidRDefault="00AC32C6" w:rsidP="00AC32C6">
      <w:pPr>
        <w:shd w:val="clear" w:color="auto" w:fill="FFFFFF"/>
        <w:spacing w:before="120" w:after="120" w:line="240" w:lineRule="auto"/>
        <w:rPr>
          <w:rFonts w:cs="Arial"/>
          <w:szCs w:val="22"/>
        </w:rPr>
      </w:pPr>
      <w:r w:rsidRPr="00AC32C6">
        <w:rPr>
          <w:rFonts w:cs="Arial"/>
          <w:szCs w:val="22"/>
        </w:rPr>
        <w:t xml:space="preserve">Nesse sentido, a construção das barragens Pedreira e Duas Pontes, e a consequente formação dos respectivos reservatórios, acarretará em interferências e potenciais alterações na característica das atividades relacionadas aos recursos hídricos existentes nas áreas do entorno dos principais cursos d’água afetados. </w:t>
      </w:r>
    </w:p>
    <w:p w:rsidR="00AC32C6" w:rsidRDefault="00AC32C6" w:rsidP="00AC32C6">
      <w:pPr>
        <w:shd w:val="clear" w:color="auto" w:fill="FFFFFF"/>
        <w:spacing w:before="120" w:after="120" w:line="240" w:lineRule="auto"/>
        <w:rPr>
          <w:rFonts w:cs="Arial"/>
          <w:szCs w:val="22"/>
        </w:rPr>
      </w:pPr>
      <w:r w:rsidRPr="00AC32C6">
        <w:rPr>
          <w:rFonts w:cs="Arial"/>
          <w:szCs w:val="22"/>
        </w:rPr>
        <w:t>Porém, tendo em vista que os reservatórios planejados têm como objetivo prioritário o abastecimento público, o Impacto nos Usos Múltiplos das Águas poderá ser avaliado como positivo ou negativo dependendo das restrições e das permissões planejadas para cada atividade relacionada aos usos múlt</w:t>
      </w:r>
      <w:r w:rsidR="002766BC">
        <w:rPr>
          <w:rFonts w:cs="Arial"/>
          <w:szCs w:val="22"/>
        </w:rPr>
        <w:t xml:space="preserve">iplos nos novos reservatórios. </w:t>
      </w:r>
    </w:p>
    <w:p w:rsidR="00AC32C6" w:rsidRPr="00AC32C6" w:rsidRDefault="00AC32C6" w:rsidP="00934068">
      <w:pPr>
        <w:spacing w:before="240" w:after="240" w:line="240" w:lineRule="auto"/>
        <w:jc w:val="left"/>
        <w:rPr>
          <w:rFonts w:eastAsia="Calibri" w:cs="Arial"/>
          <w:b/>
          <w:szCs w:val="22"/>
        </w:rPr>
      </w:pPr>
      <w:r w:rsidRPr="00AC32C6">
        <w:rPr>
          <w:rFonts w:eastAsia="Calibri" w:cs="Arial"/>
          <w:b/>
          <w:szCs w:val="22"/>
        </w:rPr>
        <w:t>Fase: Implantação e Operação</w:t>
      </w:r>
    </w:p>
    <w:p w:rsidR="00AC32C6" w:rsidRPr="002E29E3" w:rsidRDefault="00AC32C6" w:rsidP="002E29E3">
      <w:pPr>
        <w:pStyle w:val="Item-Trainho"/>
        <w:rPr>
          <w:rFonts w:eastAsia="Calibri"/>
          <w:b/>
        </w:rPr>
      </w:pPr>
      <w:r w:rsidRPr="002E29E3">
        <w:rPr>
          <w:rFonts w:eastAsia="Calibri"/>
          <w:b/>
        </w:rPr>
        <w:t xml:space="preserve">Barragem Pedreira </w:t>
      </w:r>
    </w:p>
    <w:p w:rsidR="00AC32C6" w:rsidRPr="00AC32C6" w:rsidRDefault="00AC32C6" w:rsidP="00AC32C6">
      <w:pPr>
        <w:spacing w:before="120" w:after="120" w:line="240" w:lineRule="auto"/>
        <w:rPr>
          <w:rFonts w:eastAsia="Calibri" w:cs="Arial"/>
          <w:szCs w:val="22"/>
        </w:rPr>
      </w:pPr>
      <w:r w:rsidRPr="003163E4">
        <w:rPr>
          <w:rFonts w:eastAsia="Calibri" w:cs="Arial"/>
          <w:szCs w:val="22"/>
        </w:rPr>
        <w:t>Na Área Diretamente Afetada da Barragem Pedreira os atuais usos da água restringem-se ao abastecimento urbano, as atividades recreativas e de lazer da população local, e a geração de energia elétrica por meio da PCH Macaco Branco. Outros usos como, por exemplo, a pesca não adquire coeficientes significativos, sendo realizada como atividade recreativa, sem finalidades comerciais ou de subsistência.</w:t>
      </w:r>
    </w:p>
    <w:p w:rsidR="00AC32C6" w:rsidRPr="00AC32C6" w:rsidRDefault="00AC32C6" w:rsidP="00AC32C6">
      <w:pPr>
        <w:spacing w:before="120" w:after="120" w:line="240" w:lineRule="auto"/>
        <w:rPr>
          <w:rFonts w:eastAsia="Calibri" w:cs="Arial"/>
          <w:szCs w:val="22"/>
        </w:rPr>
      </w:pPr>
      <w:r w:rsidRPr="00AC32C6">
        <w:rPr>
          <w:rFonts w:eastAsia="Calibri" w:cs="Arial"/>
          <w:szCs w:val="22"/>
        </w:rPr>
        <w:t xml:space="preserve">Dentre os impactos negativos considera-se: a perda de geração de energia proveniente da PCH Macaco Branco, que será tratada como </w:t>
      </w:r>
      <w:r w:rsidR="003163E4">
        <w:rPr>
          <w:rFonts w:eastAsia="Calibri" w:cs="Arial"/>
          <w:szCs w:val="22"/>
        </w:rPr>
        <w:t>Interferência na</w:t>
      </w:r>
      <w:r w:rsidRPr="00AC32C6">
        <w:rPr>
          <w:rFonts w:eastAsia="Calibri" w:cs="Arial"/>
          <w:szCs w:val="22"/>
        </w:rPr>
        <w:t xml:space="preserve"> Geração de Energia Elétrica </w:t>
      </w:r>
      <w:r w:rsidRPr="003163E4">
        <w:rPr>
          <w:rFonts w:eastAsia="Calibri" w:cs="Arial"/>
          <w:szCs w:val="22"/>
        </w:rPr>
        <w:t>(item 1.3.3.21.);</w:t>
      </w:r>
      <w:r w:rsidRPr="00AC32C6">
        <w:rPr>
          <w:rFonts w:eastAsia="Calibri" w:cs="Arial"/>
          <w:szCs w:val="22"/>
        </w:rPr>
        <w:t xml:space="preserve"> e, a perda de áreas de lazer. Em relação a perda de áreas de lazer, é considerado um impacto negativo, de ocorrência certa, causado diretamente pelo empreendimento, de caráter permanente, a ocorrer no curto prazo, irreversível e de abrangência local, sendo considerado de magnitude e importância média, embora mitigável. </w:t>
      </w:r>
    </w:p>
    <w:p w:rsidR="00402E81" w:rsidRDefault="00AC32C6" w:rsidP="00C50DD2">
      <w:pPr>
        <w:spacing w:before="120" w:after="120" w:line="240" w:lineRule="auto"/>
      </w:pPr>
      <w:r w:rsidRPr="00AC32C6">
        <w:rPr>
          <w:rFonts w:eastAsia="Calibri" w:cs="Arial"/>
          <w:szCs w:val="22"/>
        </w:rPr>
        <w:t>Dentre os impactos positivos, pode-se dizer que o reservatório irá proporcionar um incremento aos Usos Múltiplos existentes, promovendo: maior capacidade de abastecimento público; regularização de enchentes; possibilidade de gerar energia elétrica, caso instalada a casa de força; incremento as atividades turísticas; favorecimento/ampliação d</w:t>
      </w:r>
      <w:r w:rsidR="008F7C9E">
        <w:rPr>
          <w:rFonts w:eastAsia="Calibri" w:cs="Arial"/>
          <w:szCs w:val="22"/>
        </w:rPr>
        <w:t>e áreas recreativas e de lazer.</w:t>
      </w:r>
    </w:p>
    <w:p w:rsidR="00D866D8" w:rsidRPr="00C50DD2" w:rsidRDefault="00402E81" w:rsidP="00C50DD2">
      <w:pPr>
        <w:pStyle w:val="Legenda"/>
        <w:spacing w:before="0" w:after="0" w:line="240" w:lineRule="auto"/>
        <w:jc w:val="center"/>
        <w:rPr>
          <w:rFonts w:eastAsia="Calibri" w:cs="Arial"/>
          <w:b w:val="0"/>
          <w:bCs/>
          <w:i w:val="0"/>
          <w:szCs w:val="22"/>
        </w:rPr>
      </w:pPr>
      <w:bookmarkStart w:id="426" w:name="_Toc420316539"/>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96</w:t>
      </w:r>
      <w:r w:rsidR="00B80A05" w:rsidRPr="00C50DD2">
        <w:rPr>
          <w:i w:val="0"/>
          <w:noProof/>
        </w:rPr>
        <w:fldChar w:fldCharType="end"/>
      </w:r>
      <w:r w:rsidR="00C50DD2" w:rsidRPr="00C50DD2">
        <w:rPr>
          <w:i w:val="0"/>
          <w:noProof/>
        </w:rPr>
        <w:t>.</w:t>
      </w:r>
      <w:r w:rsidR="00C50DD2" w:rsidRPr="00C50DD2">
        <w:rPr>
          <w:b w:val="0"/>
          <w:i w:val="0"/>
          <w:noProof/>
        </w:rPr>
        <w:t xml:space="preserve"> - </w:t>
      </w:r>
      <w:r w:rsidR="00AC32C6" w:rsidRPr="00C50DD2">
        <w:rPr>
          <w:rFonts w:eastAsia="Calibri" w:cs="Arial"/>
          <w:b w:val="0"/>
          <w:bCs/>
          <w:i w:val="0"/>
          <w:szCs w:val="22"/>
        </w:rPr>
        <w:t xml:space="preserve">Caracterização do Impacto – Interferências nos </w:t>
      </w:r>
      <w:r w:rsidR="00FB5E6D" w:rsidRPr="00C50DD2">
        <w:rPr>
          <w:rFonts w:eastAsia="Calibri" w:cs="Arial"/>
          <w:b w:val="0"/>
          <w:bCs/>
          <w:i w:val="0"/>
          <w:szCs w:val="22"/>
        </w:rPr>
        <w:t>U</w:t>
      </w:r>
      <w:r w:rsidR="00AC32C6" w:rsidRPr="00C50DD2">
        <w:rPr>
          <w:rFonts w:eastAsia="Calibri" w:cs="Arial"/>
          <w:b w:val="0"/>
          <w:bCs/>
          <w:i w:val="0"/>
          <w:szCs w:val="22"/>
        </w:rPr>
        <w:t xml:space="preserve">sos </w:t>
      </w:r>
      <w:r w:rsidR="00FB5E6D" w:rsidRPr="00C50DD2">
        <w:rPr>
          <w:rFonts w:eastAsia="Calibri" w:cs="Arial"/>
          <w:b w:val="0"/>
          <w:bCs/>
          <w:i w:val="0"/>
          <w:szCs w:val="22"/>
        </w:rPr>
        <w:t>M</w:t>
      </w:r>
      <w:r w:rsidR="00AC32C6" w:rsidRPr="00C50DD2">
        <w:rPr>
          <w:rFonts w:eastAsia="Calibri" w:cs="Arial"/>
          <w:b w:val="0"/>
          <w:bCs/>
          <w:i w:val="0"/>
          <w:szCs w:val="22"/>
        </w:rPr>
        <w:t xml:space="preserve">últiplos da </w:t>
      </w:r>
      <w:r w:rsidR="00FB5E6D" w:rsidRPr="00C50DD2">
        <w:rPr>
          <w:rFonts w:eastAsia="Calibri" w:cs="Arial"/>
          <w:b w:val="0"/>
          <w:bCs/>
          <w:i w:val="0"/>
          <w:szCs w:val="22"/>
        </w:rPr>
        <w:t>Á</w:t>
      </w:r>
      <w:r w:rsidR="00AC32C6" w:rsidRPr="00C50DD2">
        <w:rPr>
          <w:rFonts w:eastAsia="Calibri" w:cs="Arial"/>
          <w:b w:val="0"/>
          <w:bCs/>
          <w:i w:val="0"/>
          <w:szCs w:val="22"/>
        </w:rPr>
        <w:t>gua</w:t>
      </w:r>
      <w:bookmarkEnd w:id="426"/>
      <w:r w:rsidR="002766BC" w:rsidRPr="00C50DD2">
        <w:rPr>
          <w:rFonts w:eastAsia="Calibri" w:cs="Arial"/>
          <w:b w:val="0"/>
          <w:bCs/>
          <w:i w:val="0"/>
          <w:szCs w:val="22"/>
        </w:rPr>
        <w:t xml:space="preserve"> </w:t>
      </w:r>
    </w:p>
    <w:p w:rsidR="00AC32C6" w:rsidRPr="00C50DD2" w:rsidRDefault="002766BC" w:rsidP="00C50DD2">
      <w:pPr>
        <w:spacing w:line="240" w:lineRule="auto"/>
        <w:jc w:val="center"/>
        <w:rPr>
          <w:rFonts w:eastAsia="Calibri" w:cs="Arial"/>
          <w:bCs/>
          <w:szCs w:val="22"/>
        </w:rPr>
      </w:pPr>
      <w:r w:rsidRPr="00C50DD2">
        <w:rPr>
          <w:rFonts w:eastAsia="Calibri" w:cs="Arial"/>
          <w:bCs/>
          <w:szCs w:val="22"/>
        </w:rPr>
        <w:t>Barragem Pedreira</w:t>
      </w:r>
    </w:p>
    <w:tbl>
      <w:tblPr>
        <w:tblW w:w="0" w:type="auto"/>
        <w:jc w:val="center"/>
        <w:tblInd w:w="-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8"/>
        <w:gridCol w:w="1229"/>
        <w:gridCol w:w="1781"/>
        <w:gridCol w:w="1621"/>
        <w:gridCol w:w="3022"/>
      </w:tblGrid>
      <w:tr w:rsidR="00AC32C6" w:rsidRPr="00AC32C6" w:rsidTr="00FC6E0F">
        <w:trPr>
          <w:trHeight w:val="459"/>
          <w:jc w:val="center"/>
        </w:trPr>
        <w:tc>
          <w:tcPr>
            <w:tcW w:w="1228"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Natureza</w:t>
            </w:r>
          </w:p>
        </w:tc>
        <w:tc>
          <w:tcPr>
            <w:tcW w:w="1229"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Ordem</w:t>
            </w:r>
          </w:p>
        </w:tc>
        <w:tc>
          <w:tcPr>
            <w:tcW w:w="1781"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Abrangência</w:t>
            </w:r>
          </w:p>
        </w:tc>
        <w:tc>
          <w:tcPr>
            <w:tcW w:w="1621"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Duração</w:t>
            </w:r>
          </w:p>
        </w:tc>
        <w:tc>
          <w:tcPr>
            <w:tcW w:w="3022"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Probabilidade de Ocorrência</w:t>
            </w:r>
          </w:p>
        </w:tc>
      </w:tr>
      <w:tr w:rsidR="00AC32C6" w:rsidRPr="00AC32C6" w:rsidTr="00FC6E0F">
        <w:trPr>
          <w:trHeight w:val="480"/>
          <w:jc w:val="center"/>
        </w:trPr>
        <w:tc>
          <w:tcPr>
            <w:tcW w:w="1228" w:type="dxa"/>
            <w:shd w:val="clear" w:color="auto" w:fill="auto"/>
            <w:vAlign w:val="center"/>
          </w:tcPr>
          <w:p w:rsidR="00AC32C6" w:rsidRPr="00AC32C6" w:rsidRDefault="00AC32C6" w:rsidP="00FF529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Negativa</w:t>
            </w:r>
          </w:p>
        </w:tc>
        <w:tc>
          <w:tcPr>
            <w:tcW w:w="1229"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Direta</w:t>
            </w:r>
          </w:p>
        </w:tc>
        <w:tc>
          <w:tcPr>
            <w:tcW w:w="1781"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Local (AID)</w:t>
            </w:r>
          </w:p>
        </w:tc>
        <w:tc>
          <w:tcPr>
            <w:tcW w:w="1621"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Permanente</w:t>
            </w:r>
          </w:p>
        </w:tc>
        <w:tc>
          <w:tcPr>
            <w:tcW w:w="3022"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Certa</w:t>
            </w:r>
          </w:p>
        </w:tc>
      </w:tr>
    </w:tbl>
    <w:p w:rsidR="00AC32C6" w:rsidRPr="00AC32C6" w:rsidRDefault="00AC32C6" w:rsidP="00A1509C">
      <w:pPr>
        <w:spacing w:line="240" w:lineRule="auto"/>
        <w:jc w:val="left"/>
        <w:rPr>
          <w:rFonts w:eastAsia="Calibri" w:cs="Arial"/>
          <w:sz w:val="20"/>
          <w:szCs w:val="22"/>
        </w:rPr>
      </w:pPr>
    </w:p>
    <w:tbl>
      <w:tblPr>
        <w:tblW w:w="0" w:type="auto"/>
        <w:jc w:val="center"/>
        <w:tblInd w:w="-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60"/>
        <w:gridCol w:w="1771"/>
        <w:gridCol w:w="1631"/>
        <w:gridCol w:w="1512"/>
        <w:gridCol w:w="1513"/>
      </w:tblGrid>
      <w:tr w:rsidR="00AC32C6" w:rsidRPr="00AC32C6" w:rsidTr="00FC6E0F">
        <w:trPr>
          <w:trHeight w:val="505"/>
          <w:jc w:val="center"/>
        </w:trPr>
        <w:tc>
          <w:tcPr>
            <w:tcW w:w="2460"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Época de Ocorrência</w:t>
            </w:r>
          </w:p>
        </w:tc>
        <w:tc>
          <w:tcPr>
            <w:tcW w:w="1771"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Reversibilidade</w:t>
            </w:r>
          </w:p>
        </w:tc>
        <w:tc>
          <w:tcPr>
            <w:tcW w:w="1631"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Magnitude</w:t>
            </w:r>
          </w:p>
        </w:tc>
        <w:tc>
          <w:tcPr>
            <w:tcW w:w="1512"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Importância</w:t>
            </w:r>
          </w:p>
        </w:tc>
        <w:tc>
          <w:tcPr>
            <w:tcW w:w="1513"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Mitigação</w:t>
            </w:r>
          </w:p>
        </w:tc>
      </w:tr>
      <w:tr w:rsidR="00AC32C6" w:rsidRPr="00AC32C6" w:rsidTr="00FC6E0F">
        <w:trPr>
          <w:trHeight w:val="437"/>
          <w:jc w:val="center"/>
        </w:trPr>
        <w:tc>
          <w:tcPr>
            <w:tcW w:w="2460"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Curto Prazo</w:t>
            </w:r>
          </w:p>
        </w:tc>
        <w:tc>
          <w:tcPr>
            <w:tcW w:w="1771"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Irreversível</w:t>
            </w:r>
          </w:p>
        </w:tc>
        <w:tc>
          <w:tcPr>
            <w:tcW w:w="1631"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Média</w:t>
            </w:r>
          </w:p>
        </w:tc>
        <w:tc>
          <w:tcPr>
            <w:tcW w:w="1512"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Média</w:t>
            </w:r>
          </w:p>
        </w:tc>
        <w:tc>
          <w:tcPr>
            <w:tcW w:w="1513"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Mitigável</w:t>
            </w:r>
          </w:p>
        </w:tc>
      </w:tr>
    </w:tbl>
    <w:p w:rsidR="00C50DD2" w:rsidRDefault="00C50DD2" w:rsidP="00C50DD2">
      <w:pPr>
        <w:pStyle w:val="Legenda"/>
        <w:spacing w:before="0" w:after="0" w:line="240" w:lineRule="auto"/>
        <w:jc w:val="center"/>
        <w:rPr>
          <w:b w:val="0"/>
          <w:i w:val="0"/>
        </w:rPr>
      </w:pPr>
    </w:p>
    <w:p w:rsidR="00C50DD2" w:rsidRPr="00C50DD2" w:rsidRDefault="00C50DD2" w:rsidP="00C50DD2"/>
    <w:p w:rsidR="00D866D8" w:rsidRPr="00C50DD2" w:rsidRDefault="00402E81" w:rsidP="00C50DD2">
      <w:pPr>
        <w:pStyle w:val="Legenda"/>
        <w:spacing w:before="0" w:after="0" w:line="240" w:lineRule="auto"/>
        <w:jc w:val="center"/>
        <w:rPr>
          <w:rFonts w:eastAsia="Calibri" w:cs="Arial"/>
          <w:b w:val="0"/>
          <w:bCs/>
          <w:i w:val="0"/>
          <w:szCs w:val="22"/>
        </w:rPr>
      </w:pPr>
      <w:bookmarkStart w:id="427" w:name="_Toc420316540"/>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97</w:t>
      </w:r>
      <w:r w:rsidR="00B80A05" w:rsidRPr="00C50DD2">
        <w:rPr>
          <w:i w:val="0"/>
          <w:noProof/>
        </w:rPr>
        <w:fldChar w:fldCharType="end"/>
      </w:r>
      <w:r w:rsidR="00C50DD2" w:rsidRPr="00C50DD2">
        <w:rPr>
          <w:i w:val="0"/>
          <w:noProof/>
        </w:rPr>
        <w:t>.</w:t>
      </w:r>
      <w:r w:rsidR="00C50DD2" w:rsidRPr="00C50DD2">
        <w:rPr>
          <w:b w:val="0"/>
          <w:i w:val="0"/>
          <w:noProof/>
        </w:rPr>
        <w:t xml:space="preserve"> - </w:t>
      </w:r>
      <w:r w:rsidR="00AC32C6" w:rsidRPr="00C50DD2">
        <w:rPr>
          <w:rFonts w:eastAsia="Calibri" w:cs="Arial"/>
          <w:b w:val="0"/>
          <w:bCs/>
          <w:i w:val="0"/>
          <w:szCs w:val="22"/>
        </w:rPr>
        <w:t>Caracterização do Impacto – Incremento dos Usos Múltiplos</w:t>
      </w:r>
      <w:r w:rsidR="00FB5E6D" w:rsidRPr="00C50DD2">
        <w:rPr>
          <w:rFonts w:eastAsia="Calibri" w:cs="Arial"/>
          <w:b w:val="0"/>
          <w:bCs/>
          <w:i w:val="0"/>
          <w:szCs w:val="22"/>
        </w:rPr>
        <w:t xml:space="preserve"> da Água</w:t>
      </w:r>
      <w:bookmarkEnd w:id="427"/>
      <w:r w:rsidR="00AC32C6" w:rsidRPr="00C50DD2">
        <w:rPr>
          <w:rFonts w:eastAsia="Calibri" w:cs="Arial"/>
          <w:b w:val="0"/>
          <w:bCs/>
          <w:i w:val="0"/>
          <w:szCs w:val="22"/>
        </w:rPr>
        <w:t xml:space="preserve"> </w:t>
      </w:r>
    </w:p>
    <w:p w:rsidR="00AC32C6" w:rsidRPr="00C50DD2" w:rsidRDefault="002766BC" w:rsidP="00C50DD2">
      <w:pPr>
        <w:autoSpaceDE w:val="0"/>
        <w:autoSpaceDN w:val="0"/>
        <w:adjustRightInd w:val="0"/>
        <w:spacing w:line="240" w:lineRule="auto"/>
        <w:jc w:val="center"/>
        <w:rPr>
          <w:rFonts w:eastAsia="Calibri" w:cs="Arial"/>
          <w:bCs/>
          <w:szCs w:val="22"/>
        </w:rPr>
      </w:pPr>
      <w:r w:rsidRPr="00C50DD2">
        <w:rPr>
          <w:rFonts w:eastAsia="Calibri" w:cs="Arial"/>
          <w:bCs/>
          <w:szCs w:val="22"/>
        </w:rPr>
        <w:t xml:space="preserve">Barragem </w:t>
      </w:r>
      <w:r w:rsidR="00FF5296" w:rsidRPr="00C50DD2">
        <w:rPr>
          <w:rFonts w:eastAsia="Calibri" w:cs="Arial"/>
          <w:bCs/>
          <w:szCs w:val="22"/>
        </w:rPr>
        <w:t>Pedreira</w:t>
      </w:r>
    </w:p>
    <w:tbl>
      <w:tblPr>
        <w:tblW w:w="0" w:type="auto"/>
        <w:jc w:val="center"/>
        <w:tblInd w:w="-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8"/>
        <w:gridCol w:w="1229"/>
        <w:gridCol w:w="1781"/>
        <w:gridCol w:w="1621"/>
        <w:gridCol w:w="3022"/>
      </w:tblGrid>
      <w:tr w:rsidR="00AC32C6" w:rsidRPr="00AC32C6" w:rsidTr="00FC6E0F">
        <w:trPr>
          <w:trHeight w:val="459"/>
          <w:jc w:val="center"/>
        </w:trPr>
        <w:tc>
          <w:tcPr>
            <w:tcW w:w="1228"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Natureza</w:t>
            </w:r>
          </w:p>
        </w:tc>
        <w:tc>
          <w:tcPr>
            <w:tcW w:w="1229"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Ordem</w:t>
            </w:r>
          </w:p>
        </w:tc>
        <w:tc>
          <w:tcPr>
            <w:tcW w:w="1781"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Abrangência</w:t>
            </w:r>
          </w:p>
        </w:tc>
        <w:tc>
          <w:tcPr>
            <w:tcW w:w="1621"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Duração</w:t>
            </w:r>
          </w:p>
        </w:tc>
        <w:tc>
          <w:tcPr>
            <w:tcW w:w="3022"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Probabilidade de Ocorrência</w:t>
            </w:r>
          </w:p>
        </w:tc>
      </w:tr>
      <w:tr w:rsidR="00AC32C6" w:rsidRPr="00AC32C6" w:rsidTr="00FC6E0F">
        <w:trPr>
          <w:trHeight w:val="480"/>
          <w:jc w:val="center"/>
        </w:trPr>
        <w:tc>
          <w:tcPr>
            <w:tcW w:w="1228"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Positiva</w:t>
            </w:r>
          </w:p>
        </w:tc>
        <w:tc>
          <w:tcPr>
            <w:tcW w:w="1229"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Direta</w:t>
            </w:r>
          </w:p>
        </w:tc>
        <w:tc>
          <w:tcPr>
            <w:tcW w:w="1781"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Local (AID)</w:t>
            </w:r>
          </w:p>
        </w:tc>
        <w:tc>
          <w:tcPr>
            <w:tcW w:w="1621"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Permanente</w:t>
            </w:r>
          </w:p>
        </w:tc>
        <w:tc>
          <w:tcPr>
            <w:tcW w:w="3022"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Certa</w:t>
            </w:r>
          </w:p>
        </w:tc>
      </w:tr>
    </w:tbl>
    <w:p w:rsidR="00AC32C6" w:rsidRPr="00AC32C6" w:rsidRDefault="00AC32C6" w:rsidP="00A1509C">
      <w:pPr>
        <w:spacing w:line="240" w:lineRule="auto"/>
        <w:jc w:val="left"/>
        <w:rPr>
          <w:rFonts w:eastAsia="Calibri" w:cs="Arial"/>
          <w:sz w:val="20"/>
          <w:szCs w:val="22"/>
        </w:rPr>
      </w:pPr>
    </w:p>
    <w:tbl>
      <w:tblPr>
        <w:tblW w:w="0" w:type="auto"/>
        <w:jc w:val="center"/>
        <w:tblInd w:w="-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60"/>
        <w:gridCol w:w="1771"/>
        <w:gridCol w:w="1631"/>
        <w:gridCol w:w="1512"/>
        <w:gridCol w:w="1513"/>
      </w:tblGrid>
      <w:tr w:rsidR="00AC32C6" w:rsidRPr="00AC32C6" w:rsidTr="00FC6E0F">
        <w:trPr>
          <w:trHeight w:val="505"/>
          <w:jc w:val="center"/>
        </w:trPr>
        <w:tc>
          <w:tcPr>
            <w:tcW w:w="2460"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Época de Ocorrência</w:t>
            </w:r>
          </w:p>
        </w:tc>
        <w:tc>
          <w:tcPr>
            <w:tcW w:w="1771"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Reversibilidade</w:t>
            </w:r>
          </w:p>
        </w:tc>
        <w:tc>
          <w:tcPr>
            <w:tcW w:w="1631"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Magnitude</w:t>
            </w:r>
          </w:p>
        </w:tc>
        <w:tc>
          <w:tcPr>
            <w:tcW w:w="1512"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Importância</w:t>
            </w:r>
          </w:p>
        </w:tc>
        <w:tc>
          <w:tcPr>
            <w:tcW w:w="1513" w:type="dxa"/>
            <w:shd w:val="clear" w:color="auto" w:fill="D9D9D9"/>
            <w:vAlign w:val="center"/>
          </w:tcPr>
          <w:p w:rsidR="00AC32C6" w:rsidRPr="00AC32C6" w:rsidRDefault="00AC32C6" w:rsidP="00AC32C6">
            <w:pPr>
              <w:autoSpaceDE w:val="0"/>
              <w:autoSpaceDN w:val="0"/>
              <w:adjustRightInd w:val="0"/>
              <w:spacing w:before="120" w:after="120" w:line="240" w:lineRule="auto"/>
              <w:jc w:val="center"/>
              <w:rPr>
                <w:rFonts w:eastAsia="Calibri" w:cs="Arial"/>
                <w:b/>
                <w:sz w:val="20"/>
                <w:szCs w:val="22"/>
              </w:rPr>
            </w:pPr>
            <w:r w:rsidRPr="00AC32C6">
              <w:rPr>
                <w:rFonts w:eastAsia="Calibri" w:cs="Arial"/>
                <w:b/>
                <w:sz w:val="20"/>
                <w:szCs w:val="22"/>
              </w:rPr>
              <w:t>Mitigação</w:t>
            </w:r>
          </w:p>
        </w:tc>
      </w:tr>
      <w:tr w:rsidR="00AC32C6" w:rsidRPr="00AC32C6" w:rsidTr="00FC6E0F">
        <w:trPr>
          <w:trHeight w:val="437"/>
          <w:jc w:val="center"/>
        </w:trPr>
        <w:tc>
          <w:tcPr>
            <w:tcW w:w="2460"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Curto e Médio Prazo</w:t>
            </w:r>
          </w:p>
        </w:tc>
        <w:tc>
          <w:tcPr>
            <w:tcW w:w="1771"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Irreversível</w:t>
            </w:r>
          </w:p>
        </w:tc>
        <w:tc>
          <w:tcPr>
            <w:tcW w:w="1631"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Grande</w:t>
            </w:r>
          </w:p>
        </w:tc>
        <w:tc>
          <w:tcPr>
            <w:tcW w:w="1512"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Alta</w:t>
            </w:r>
          </w:p>
        </w:tc>
        <w:tc>
          <w:tcPr>
            <w:tcW w:w="1513" w:type="dxa"/>
            <w:shd w:val="clear" w:color="auto" w:fill="auto"/>
            <w:vAlign w:val="center"/>
          </w:tcPr>
          <w:p w:rsidR="00AC32C6" w:rsidRPr="00AC32C6" w:rsidRDefault="00AC32C6" w:rsidP="00AC32C6">
            <w:pPr>
              <w:autoSpaceDE w:val="0"/>
              <w:autoSpaceDN w:val="0"/>
              <w:adjustRightInd w:val="0"/>
              <w:spacing w:before="120" w:after="120" w:line="240" w:lineRule="auto"/>
              <w:jc w:val="center"/>
              <w:rPr>
                <w:rFonts w:eastAsia="Calibri" w:cs="Arial"/>
                <w:sz w:val="20"/>
                <w:szCs w:val="22"/>
              </w:rPr>
            </w:pPr>
            <w:r w:rsidRPr="00AC32C6">
              <w:rPr>
                <w:rFonts w:eastAsia="Calibri" w:cs="Arial"/>
                <w:sz w:val="20"/>
                <w:szCs w:val="22"/>
              </w:rPr>
              <w:t>-</w:t>
            </w:r>
            <w:r w:rsidR="00535BBB">
              <w:rPr>
                <w:rFonts w:eastAsia="Calibri" w:cs="Arial"/>
                <w:sz w:val="20"/>
                <w:szCs w:val="22"/>
              </w:rPr>
              <w:t>--</w:t>
            </w:r>
          </w:p>
        </w:tc>
      </w:tr>
    </w:tbl>
    <w:p w:rsidR="00714125" w:rsidRPr="00AC32C6" w:rsidRDefault="00714125" w:rsidP="002766BC">
      <w:pPr>
        <w:spacing w:before="120" w:after="120" w:line="240" w:lineRule="auto"/>
        <w:jc w:val="left"/>
        <w:rPr>
          <w:rFonts w:eastAsia="Calibri" w:cs="Arial"/>
          <w:b/>
          <w:szCs w:val="22"/>
        </w:rPr>
      </w:pPr>
    </w:p>
    <w:p w:rsidR="00AC32C6" w:rsidRPr="002E29E3" w:rsidRDefault="00AC32C6" w:rsidP="002E29E3">
      <w:pPr>
        <w:pStyle w:val="Item-Trainho"/>
        <w:rPr>
          <w:rFonts w:eastAsia="Calibri"/>
          <w:b/>
        </w:rPr>
      </w:pPr>
      <w:r w:rsidRPr="002E29E3">
        <w:rPr>
          <w:rFonts w:eastAsia="Calibri"/>
          <w:b/>
        </w:rPr>
        <w:t>Barragem Duas Pontes</w:t>
      </w:r>
    </w:p>
    <w:p w:rsidR="00AC32C6" w:rsidRPr="00AC32C6" w:rsidRDefault="00AC32C6" w:rsidP="00AC32C6">
      <w:pPr>
        <w:spacing w:before="120" w:after="120" w:line="240" w:lineRule="auto"/>
        <w:rPr>
          <w:rFonts w:eastAsia="Calibri" w:cs="Arial"/>
          <w:szCs w:val="22"/>
        </w:rPr>
      </w:pPr>
      <w:r w:rsidRPr="00AC32C6">
        <w:rPr>
          <w:rFonts w:eastAsia="Calibri" w:cs="Arial"/>
          <w:szCs w:val="22"/>
        </w:rPr>
        <w:t>Na Área Diretamente Afetada os atuais usos da água restringem-se ao abastecimento urbano, a geração de energia elétrica por meio da PCH Feixos. Outros usos como, por exemplo, a pesca não adquire coeficientes significativos, sendo realizada como atividade recreativa, sem finalidades comerciais ou de subsistência, bem como as atividades recreativas, principalmente pela poluição da água. A baixa utilização do rio Camanducaia no trecho afetado deve-se, também, a que o curso do rio percorre o interior de propriedades particulares, o que limita o acesso às suas margens, quando comparada com aquela observada para o rio Jaguari, embora em alguns trechos o rio seja utilizado pela população residente no seu entorno.</w:t>
      </w:r>
    </w:p>
    <w:p w:rsidR="00AC32C6" w:rsidRPr="00AC32C6" w:rsidRDefault="00AC32C6" w:rsidP="00AC32C6">
      <w:pPr>
        <w:spacing w:before="120" w:after="120" w:line="240" w:lineRule="auto"/>
        <w:rPr>
          <w:rFonts w:eastAsia="Calibri" w:cs="Arial"/>
          <w:szCs w:val="22"/>
        </w:rPr>
      </w:pPr>
      <w:r w:rsidRPr="00AC32C6">
        <w:rPr>
          <w:rFonts w:eastAsia="Calibri" w:cs="Arial"/>
          <w:szCs w:val="22"/>
        </w:rPr>
        <w:t xml:space="preserve">Sendo assim, pode-se dizer que o empreendimento acarretará em impactos positivos e negativos. Dentre os impactos negativos considera-se: a perda de geração de energia proveniente da PCH Feixos, que será tratada como </w:t>
      </w:r>
      <w:r w:rsidR="003163E4">
        <w:rPr>
          <w:rFonts w:eastAsia="Calibri" w:cs="Arial"/>
          <w:szCs w:val="22"/>
        </w:rPr>
        <w:t>Interferência na</w:t>
      </w:r>
      <w:r w:rsidRPr="00AC32C6">
        <w:rPr>
          <w:rFonts w:eastAsia="Calibri" w:cs="Arial"/>
          <w:szCs w:val="22"/>
        </w:rPr>
        <w:t xml:space="preserve"> Geração de Energia Elétrica </w:t>
      </w:r>
      <w:r w:rsidRPr="003163E4">
        <w:rPr>
          <w:rFonts w:eastAsia="Calibri" w:cs="Arial"/>
          <w:szCs w:val="22"/>
        </w:rPr>
        <w:t>(item 1.3.3.21.). Em</w:t>
      </w:r>
      <w:r w:rsidRPr="00AC32C6">
        <w:rPr>
          <w:rFonts w:eastAsia="Calibri" w:cs="Arial"/>
          <w:szCs w:val="22"/>
        </w:rPr>
        <w:t xml:space="preserve"> relação à perda de áreas de lazer, é considerado um impacto negativo, de ocorrência certa, causado diretamente pelo empreendimento, de caráter permanente ou temporário, a ocorrer no curto e médio prazo, irreversível e de abrangência local, sendo considerado de pequena magnitude e baixa importância, embora mitigável.</w:t>
      </w:r>
    </w:p>
    <w:p w:rsidR="00AC32C6" w:rsidRDefault="00AC32C6" w:rsidP="00AC32C6">
      <w:pPr>
        <w:spacing w:before="120" w:after="120" w:line="240" w:lineRule="auto"/>
        <w:rPr>
          <w:rFonts w:eastAsia="Calibri" w:cs="Arial"/>
          <w:szCs w:val="22"/>
        </w:rPr>
      </w:pPr>
      <w:r w:rsidRPr="00AC32C6">
        <w:rPr>
          <w:rFonts w:eastAsia="Calibri" w:cs="Arial"/>
          <w:szCs w:val="22"/>
        </w:rPr>
        <w:t>Dentre os impactos positivos, pode-se dizer que o reservatório irá proporcionar um incremento aos Usos Múltiplos existentes, promovendo: maior capacidade de abastecimento; regularização de enchentes; possibilidade de gerar energia elétrica, caso instalada a casa de força; incremento as atividades turísticas; favorecimento/ampliação d</w:t>
      </w:r>
      <w:r w:rsidR="00A1509C">
        <w:rPr>
          <w:rFonts w:eastAsia="Calibri" w:cs="Arial"/>
          <w:szCs w:val="22"/>
        </w:rPr>
        <w:t>e áreas recreativas e de lazer.</w:t>
      </w:r>
    </w:p>
    <w:p w:rsidR="00FC59A6" w:rsidRDefault="00FC59A6" w:rsidP="00FC59A6">
      <w:pPr>
        <w:pStyle w:val="Legenda"/>
        <w:spacing w:before="0" w:after="0" w:line="240" w:lineRule="auto"/>
        <w:jc w:val="left"/>
        <w:rPr>
          <w:i w:val="0"/>
        </w:rPr>
      </w:pPr>
      <w:r>
        <w:rPr>
          <w:i w:val="0"/>
        </w:rPr>
        <w:br w:type="page"/>
      </w:r>
    </w:p>
    <w:p w:rsidR="00D866D8" w:rsidRPr="00C50DD2" w:rsidRDefault="00402E81" w:rsidP="00C50DD2">
      <w:pPr>
        <w:pStyle w:val="Legenda"/>
        <w:spacing w:before="0" w:after="0" w:line="240" w:lineRule="auto"/>
        <w:jc w:val="center"/>
        <w:rPr>
          <w:rFonts w:eastAsia="Calibri" w:cs="Arial"/>
          <w:b w:val="0"/>
          <w:bCs/>
          <w:i w:val="0"/>
          <w:szCs w:val="22"/>
        </w:rPr>
      </w:pPr>
      <w:bookmarkStart w:id="428" w:name="_Toc420316541"/>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98</w:t>
      </w:r>
      <w:r w:rsidR="00B80A05" w:rsidRPr="00C50DD2">
        <w:rPr>
          <w:i w:val="0"/>
          <w:noProof/>
        </w:rPr>
        <w:fldChar w:fldCharType="end"/>
      </w:r>
      <w:r w:rsidR="00C50DD2" w:rsidRPr="00C50DD2">
        <w:rPr>
          <w:i w:val="0"/>
          <w:noProof/>
        </w:rPr>
        <w:t>.</w:t>
      </w:r>
      <w:r w:rsidR="00C50DD2" w:rsidRPr="00C50DD2">
        <w:rPr>
          <w:b w:val="0"/>
          <w:i w:val="0"/>
          <w:noProof/>
        </w:rPr>
        <w:t xml:space="preserve"> - </w:t>
      </w:r>
      <w:r w:rsidR="00AC32C6" w:rsidRPr="00C50DD2">
        <w:rPr>
          <w:rFonts w:eastAsia="Calibri" w:cs="Arial"/>
          <w:b w:val="0"/>
          <w:bCs/>
          <w:i w:val="0"/>
          <w:szCs w:val="22"/>
        </w:rPr>
        <w:t xml:space="preserve">Caracterização do Impacto – Interferências nos </w:t>
      </w:r>
      <w:r w:rsidR="00FB5E6D" w:rsidRPr="00C50DD2">
        <w:rPr>
          <w:rFonts w:eastAsia="Calibri" w:cs="Arial"/>
          <w:b w:val="0"/>
          <w:bCs/>
          <w:i w:val="0"/>
          <w:szCs w:val="22"/>
        </w:rPr>
        <w:t>U</w:t>
      </w:r>
      <w:r w:rsidR="00AC32C6" w:rsidRPr="00C50DD2">
        <w:rPr>
          <w:rFonts w:eastAsia="Calibri" w:cs="Arial"/>
          <w:b w:val="0"/>
          <w:bCs/>
          <w:i w:val="0"/>
          <w:szCs w:val="22"/>
        </w:rPr>
        <w:t xml:space="preserve">sos </w:t>
      </w:r>
      <w:r w:rsidR="00FB5E6D" w:rsidRPr="00C50DD2">
        <w:rPr>
          <w:rFonts w:eastAsia="Calibri" w:cs="Arial"/>
          <w:b w:val="0"/>
          <w:bCs/>
          <w:i w:val="0"/>
          <w:szCs w:val="22"/>
        </w:rPr>
        <w:t>M</w:t>
      </w:r>
      <w:r w:rsidR="00AC32C6" w:rsidRPr="00C50DD2">
        <w:rPr>
          <w:rFonts w:eastAsia="Calibri" w:cs="Arial"/>
          <w:b w:val="0"/>
          <w:bCs/>
          <w:i w:val="0"/>
          <w:szCs w:val="22"/>
        </w:rPr>
        <w:t xml:space="preserve">últiplos da </w:t>
      </w:r>
      <w:r w:rsidR="00FB5E6D" w:rsidRPr="00C50DD2">
        <w:rPr>
          <w:rFonts w:eastAsia="Calibri" w:cs="Arial"/>
          <w:b w:val="0"/>
          <w:bCs/>
          <w:i w:val="0"/>
          <w:szCs w:val="22"/>
        </w:rPr>
        <w:t>Á</w:t>
      </w:r>
      <w:r w:rsidR="00AC32C6" w:rsidRPr="00C50DD2">
        <w:rPr>
          <w:rFonts w:eastAsia="Calibri" w:cs="Arial"/>
          <w:b w:val="0"/>
          <w:bCs/>
          <w:i w:val="0"/>
          <w:szCs w:val="22"/>
        </w:rPr>
        <w:t>gua</w:t>
      </w:r>
      <w:bookmarkEnd w:id="428"/>
      <w:r w:rsidR="002766BC" w:rsidRPr="00C50DD2">
        <w:rPr>
          <w:rFonts w:eastAsia="Calibri" w:cs="Arial"/>
          <w:b w:val="0"/>
          <w:bCs/>
          <w:i w:val="0"/>
          <w:szCs w:val="22"/>
        </w:rPr>
        <w:t xml:space="preserve"> </w:t>
      </w:r>
    </w:p>
    <w:p w:rsidR="00C50DD2" w:rsidRPr="00C50DD2" w:rsidRDefault="002766BC" w:rsidP="00C50DD2">
      <w:pPr>
        <w:autoSpaceDE w:val="0"/>
        <w:autoSpaceDN w:val="0"/>
        <w:adjustRightInd w:val="0"/>
        <w:spacing w:line="240" w:lineRule="auto"/>
        <w:jc w:val="center"/>
        <w:rPr>
          <w:rFonts w:eastAsia="Calibri" w:cs="Arial"/>
          <w:bCs/>
          <w:szCs w:val="22"/>
        </w:rPr>
      </w:pPr>
      <w:r w:rsidRPr="00C50DD2">
        <w:rPr>
          <w:rFonts w:eastAsia="Calibri" w:cs="Arial"/>
          <w:bCs/>
          <w:szCs w:val="22"/>
        </w:rPr>
        <w:t>Barragem Duas Pontes</w:t>
      </w:r>
    </w:p>
    <w:tbl>
      <w:tblPr>
        <w:tblW w:w="0" w:type="auto"/>
        <w:jc w:val="center"/>
        <w:tblInd w:w="-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8"/>
        <w:gridCol w:w="1229"/>
        <w:gridCol w:w="1781"/>
        <w:gridCol w:w="1621"/>
        <w:gridCol w:w="3022"/>
      </w:tblGrid>
      <w:tr w:rsidR="00AC32C6" w:rsidRPr="00AC32C6" w:rsidTr="00FC6E0F">
        <w:trPr>
          <w:trHeight w:val="459"/>
          <w:jc w:val="center"/>
        </w:trPr>
        <w:tc>
          <w:tcPr>
            <w:tcW w:w="1228"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Natureza</w:t>
            </w:r>
          </w:p>
        </w:tc>
        <w:tc>
          <w:tcPr>
            <w:tcW w:w="1229"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Ordem</w:t>
            </w:r>
          </w:p>
        </w:tc>
        <w:tc>
          <w:tcPr>
            <w:tcW w:w="1781"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Abrangência</w:t>
            </w:r>
          </w:p>
        </w:tc>
        <w:tc>
          <w:tcPr>
            <w:tcW w:w="1621"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Duração</w:t>
            </w:r>
          </w:p>
        </w:tc>
        <w:tc>
          <w:tcPr>
            <w:tcW w:w="3022"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Probabilidade de Ocorrência</w:t>
            </w:r>
          </w:p>
        </w:tc>
      </w:tr>
      <w:tr w:rsidR="00AC32C6" w:rsidRPr="00AC32C6" w:rsidTr="00FC6E0F">
        <w:trPr>
          <w:trHeight w:val="480"/>
          <w:jc w:val="center"/>
        </w:trPr>
        <w:tc>
          <w:tcPr>
            <w:tcW w:w="1228"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Negativa</w:t>
            </w:r>
          </w:p>
        </w:tc>
        <w:tc>
          <w:tcPr>
            <w:tcW w:w="1229"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Direta</w:t>
            </w:r>
          </w:p>
        </w:tc>
        <w:tc>
          <w:tcPr>
            <w:tcW w:w="1781"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Local (AID)</w:t>
            </w:r>
          </w:p>
        </w:tc>
        <w:tc>
          <w:tcPr>
            <w:tcW w:w="1621"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Permanente</w:t>
            </w:r>
          </w:p>
        </w:tc>
        <w:tc>
          <w:tcPr>
            <w:tcW w:w="3022"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Certa</w:t>
            </w:r>
          </w:p>
        </w:tc>
      </w:tr>
    </w:tbl>
    <w:p w:rsidR="00AC32C6" w:rsidRPr="00AC32C6" w:rsidRDefault="00AC32C6" w:rsidP="002766BC">
      <w:pPr>
        <w:spacing w:line="240" w:lineRule="auto"/>
        <w:jc w:val="left"/>
        <w:rPr>
          <w:rFonts w:eastAsia="Calibri" w:cs="Arial"/>
          <w:szCs w:val="22"/>
        </w:rPr>
      </w:pPr>
    </w:p>
    <w:tbl>
      <w:tblPr>
        <w:tblW w:w="0" w:type="auto"/>
        <w:jc w:val="center"/>
        <w:tblInd w:w="-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60"/>
        <w:gridCol w:w="1771"/>
        <w:gridCol w:w="1631"/>
        <w:gridCol w:w="1512"/>
        <w:gridCol w:w="1513"/>
      </w:tblGrid>
      <w:tr w:rsidR="00AC32C6" w:rsidRPr="00AC32C6" w:rsidTr="00FC6E0F">
        <w:trPr>
          <w:trHeight w:val="505"/>
          <w:jc w:val="center"/>
        </w:trPr>
        <w:tc>
          <w:tcPr>
            <w:tcW w:w="2460"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Época de Ocorrência</w:t>
            </w:r>
          </w:p>
        </w:tc>
        <w:tc>
          <w:tcPr>
            <w:tcW w:w="1771"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Reversibilidade</w:t>
            </w:r>
          </w:p>
        </w:tc>
        <w:tc>
          <w:tcPr>
            <w:tcW w:w="1631"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Magnitude</w:t>
            </w:r>
          </w:p>
        </w:tc>
        <w:tc>
          <w:tcPr>
            <w:tcW w:w="1512"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Importância</w:t>
            </w:r>
          </w:p>
        </w:tc>
        <w:tc>
          <w:tcPr>
            <w:tcW w:w="1513"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Mitigação</w:t>
            </w:r>
          </w:p>
        </w:tc>
      </w:tr>
      <w:tr w:rsidR="00AC32C6" w:rsidRPr="00AC32C6" w:rsidTr="00FC6E0F">
        <w:trPr>
          <w:trHeight w:val="437"/>
          <w:jc w:val="center"/>
        </w:trPr>
        <w:tc>
          <w:tcPr>
            <w:tcW w:w="2460"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Curto Prazo</w:t>
            </w:r>
          </w:p>
        </w:tc>
        <w:tc>
          <w:tcPr>
            <w:tcW w:w="1771"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Irreversível</w:t>
            </w:r>
          </w:p>
        </w:tc>
        <w:tc>
          <w:tcPr>
            <w:tcW w:w="1631"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Pequena</w:t>
            </w:r>
          </w:p>
        </w:tc>
        <w:tc>
          <w:tcPr>
            <w:tcW w:w="1512"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Baixa</w:t>
            </w:r>
          </w:p>
        </w:tc>
        <w:tc>
          <w:tcPr>
            <w:tcW w:w="1513"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Mitigável</w:t>
            </w:r>
          </w:p>
        </w:tc>
      </w:tr>
    </w:tbl>
    <w:p w:rsidR="00C50DD2" w:rsidRDefault="00C50DD2" w:rsidP="00C50DD2">
      <w:pPr>
        <w:pStyle w:val="Legenda"/>
        <w:spacing w:before="0" w:after="0" w:line="240" w:lineRule="auto"/>
        <w:jc w:val="left"/>
        <w:rPr>
          <w:b w:val="0"/>
          <w:i w:val="0"/>
        </w:rPr>
      </w:pPr>
    </w:p>
    <w:p w:rsidR="00C50DD2" w:rsidRPr="00C50DD2" w:rsidRDefault="00C50DD2" w:rsidP="00C50DD2"/>
    <w:p w:rsidR="00D866D8" w:rsidRPr="00C50DD2" w:rsidRDefault="00402E81" w:rsidP="00C50DD2">
      <w:pPr>
        <w:pStyle w:val="Legenda"/>
        <w:spacing w:before="0" w:after="0" w:line="240" w:lineRule="auto"/>
        <w:jc w:val="center"/>
        <w:rPr>
          <w:rFonts w:eastAsia="Calibri" w:cs="Arial"/>
          <w:b w:val="0"/>
          <w:bCs/>
          <w:i w:val="0"/>
          <w:szCs w:val="22"/>
        </w:rPr>
      </w:pPr>
      <w:bookmarkStart w:id="429" w:name="_Toc420316542"/>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99</w:t>
      </w:r>
      <w:r w:rsidR="00B80A05" w:rsidRPr="00C50DD2">
        <w:rPr>
          <w:i w:val="0"/>
          <w:noProof/>
        </w:rPr>
        <w:fldChar w:fldCharType="end"/>
      </w:r>
      <w:r w:rsidR="00C50DD2" w:rsidRPr="00C50DD2">
        <w:rPr>
          <w:b w:val="0"/>
          <w:i w:val="0"/>
          <w:noProof/>
        </w:rPr>
        <w:t xml:space="preserve">. - </w:t>
      </w:r>
      <w:r w:rsidR="00AC32C6" w:rsidRPr="00C50DD2">
        <w:rPr>
          <w:rFonts w:eastAsia="Calibri" w:cs="Arial"/>
          <w:b w:val="0"/>
          <w:bCs/>
          <w:i w:val="0"/>
          <w:szCs w:val="22"/>
        </w:rPr>
        <w:t>Caracterização do Impacto – Incremento dos Usos Múltiplos</w:t>
      </w:r>
      <w:r w:rsidR="00FB5E6D" w:rsidRPr="00C50DD2">
        <w:rPr>
          <w:rFonts w:eastAsia="Calibri" w:cs="Arial"/>
          <w:b w:val="0"/>
          <w:bCs/>
          <w:i w:val="0"/>
          <w:szCs w:val="22"/>
        </w:rPr>
        <w:t xml:space="preserve"> da Água</w:t>
      </w:r>
      <w:bookmarkEnd w:id="429"/>
      <w:r w:rsidR="00AC32C6" w:rsidRPr="00C50DD2">
        <w:rPr>
          <w:rFonts w:eastAsia="Calibri" w:cs="Arial"/>
          <w:b w:val="0"/>
          <w:bCs/>
          <w:i w:val="0"/>
          <w:szCs w:val="22"/>
        </w:rPr>
        <w:t xml:space="preserve"> </w:t>
      </w:r>
    </w:p>
    <w:p w:rsidR="00AC32C6" w:rsidRPr="00C50DD2" w:rsidRDefault="002766BC" w:rsidP="00C50DD2">
      <w:pPr>
        <w:autoSpaceDE w:val="0"/>
        <w:autoSpaceDN w:val="0"/>
        <w:adjustRightInd w:val="0"/>
        <w:spacing w:line="240" w:lineRule="auto"/>
        <w:jc w:val="center"/>
        <w:rPr>
          <w:rFonts w:eastAsia="Calibri" w:cs="Arial"/>
          <w:bCs/>
          <w:szCs w:val="22"/>
        </w:rPr>
      </w:pPr>
      <w:r w:rsidRPr="00C50DD2">
        <w:rPr>
          <w:rFonts w:eastAsia="Calibri" w:cs="Arial"/>
          <w:bCs/>
          <w:szCs w:val="22"/>
        </w:rPr>
        <w:t>Barragem Duas Pontes</w:t>
      </w:r>
    </w:p>
    <w:tbl>
      <w:tblPr>
        <w:tblW w:w="0" w:type="auto"/>
        <w:jc w:val="center"/>
        <w:tblInd w:w="-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8"/>
        <w:gridCol w:w="1229"/>
        <w:gridCol w:w="1781"/>
        <w:gridCol w:w="1621"/>
        <w:gridCol w:w="3022"/>
      </w:tblGrid>
      <w:tr w:rsidR="00AC32C6" w:rsidRPr="00AC32C6" w:rsidTr="00FC6E0F">
        <w:trPr>
          <w:trHeight w:val="459"/>
          <w:jc w:val="center"/>
        </w:trPr>
        <w:tc>
          <w:tcPr>
            <w:tcW w:w="1228"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Natureza</w:t>
            </w:r>
          </w:p>
        </w:tc>
        <w:tc>
          <w:tcPr>
            <w:tcW w:w="1229"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Ordem</w:t>
            </w:r>
          </w:p>
        </w:tc>
        <w:tc>
          <w:tcPr>
            <w:tcW w:w="1781"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Abrangência</w:t>
            </w:r>
          </w:p>
        </w:tc>
        <w:tc>
          <w:tcPr>
            <w:tcW w:w="1621"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Duração</w:t>
            </w:r>
          </w:p>
        </w:tc>
        <w:tc>
          <w:tcPr>
            <w:tcW w:w="3022"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Probabilidade de Ocorrência</w:t>
            </w:r>
          </w:p>
        </w:tc>
      </w:tr>
      <w:tr w:rsidR="00AC32C6" w:rsidRPr="00AC32C6" w:rsidTr="00FC6E0F">
        <w:trPr>
          <w:trHeight w:val="480"/>
          <w:jc w:val="center"/>
        </w:trPr>
        <w:tc>
          <w:tcPr>
            <w:tcW w:w="1228"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Positiva</w:t>
            </w:r>
          </w:p>
        </w:tc>
        <w:tc>
          <w:tcPr>
            <w:tcW w:w="1229"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Direta</w:t>
            </w:r>
          </w:p>
        </w:tc>
        <w:tc>
          <w:tcPr>
            <w:tcW w:w="1781"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Local (AID)</w:t>
            </w:r>
          </w:p>
        </w:tc>
        <w:tc>
          <w:tcPr>
            <w:tcW w:w="1621"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Permanente</w:t>
            </w:r>
          </w:p>
        </w:tc>
        <w:tc>
          <w:tcPr>
            <w:tcW w:w="3022"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Certa</w:t>
            </w:r>
          </w:p>
        </w:tc>
      </w:tr>
    </w:tbl>
    <w:p w:rsidR="00AC32C6" w:rsidRPr="00AC32C6" w:rsidRDefault="00AC32C6" w:rsidP="002766BC">
      <w:pPr>
        <w:spacing w:line="240" w:lineRule="auto"/>
        <w:jc w:val="left"/>
        <w:rPr>
          <w:rFonts w:eastAsia="Calibri" w:cs="Arial"/>
          <w:sz w:val="20"/>
          <w:szCs w:val="22"/>
        </w:rPr>
      </w:pPr>
    </w:p>
    <w:tbl>
      <w:tblPr>
        <w:tblW w:w="0" w:type="auto"/>
        <w:jc w:val="center"/>
        <w:tblInd w:w="-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60"/>
        <w:gridCol w:w="1771"/>
        <w:gridCol w:w="1631"/>
        <w:gridCol w:w="1512"/>
        <w:gridCol w:w="1513"/>
      </w:tblGrid>
      <w:tr w:rsidR="00AC32C6" w:rsidRPr="00AC32C6" w:rsidTr="00FC6E0F">
        <w:trPr>
          <w:trHeight w:val="505"/>
          <w:jc w:val="center"/>
        </w:trPr>
        <w:tc>
          <w:tcPr>
            <w:tcW w:w="2460"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Época de Ocorrência</w:t>
            </w:r>
          </w:p>
        </w:tc>
        <w:tc>
          <w:tcPr>
            <w:tcW w:w="1771"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Reversibilidade</w:t>
            </w:r>
          </w:p>
        </w:tc>
        <w:tc>
          <w:tcPr>
            <w:tcW w:w="1631"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Magnitude</w:t>
            </w:r>
          </w:p>
        </w:tc>
        <w:tc>
          <w:tcPr>
            <w:tcW w:w="1512"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Importância</w:t>
            </w:r>
          </w:p>
        </w:tc>
        <w:tc>
          <w:tcPr>
            <w:tcW w:w="1513" w:type="dxa"/>
            <w:shd w:val="clear" w:color="auto" w:fill="D9D9D9"/>
            <w:vAlign w:val="center"/>
          </w:tcPr>
          <w:p w:rsidR="00AC32C6" w:rsidRPr="00AC32C6" w:rsidRDefault="00AC32C6" w:rsidP="002766BC">
            <w:pPr>
              <w:autoSpaceDE w:val="0"/>
              <w:autoSpaceDN w:val="0"/>
              <w:adjustRightInd w:val="0"/>
              <w:spacing w:line="240" w:lineRule="auto"/>
              <w:jc w:val="center"/>
              <w:rPr>
                <w:rFonts w:eastAsia="Calibri" w:cs="Arial"/>
                <w:b/>
                <w:sz w:val="20"/>
                <w:szCs w:val="22"/>
              </w:rPr>
            </w:pPr>
            <w:r w:rsidRPr="00AC32C6">
              <w:rPr>
                <w:rFonts w:eastAsia="Calibri" w:cs="Arial"/>
                <w:b/>
                <w:sz w:val="20"/>
                <w:szCs w:val="22"/>
              </w:rPr>
              <w:t>Mitigação</w:t>
            </w:r>
          </w:p>
        </w:tc>
      </w:tr>
      <w:tr w:rsidR="00AC32C6" w:rsidRPr="00AC32C6" w:rsidTr="00FC6E0F">
        <w:trPr>
          <w:trHeight w:val="437"/>
          <w:jc w:val="center"/>
        </w:trPr>
        <w:tc>
          <w:tcPr>
            <w:tcW w:w="2460"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Curto e Médio Prazo</w:t>
            </w:r>
          </w:p>
        </w:tc>
        <w:tc>
          <w:tcPr>
            <w:tcW w:w="1771"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Irreversível</w:t>
            </w:r>
          </w:p>
        </w:tc>
        <w:tc>
          <w:tcPr>
            <w:tcW w:w="1631"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Grande</w:t>
            </w:r>
          </w:p>
        </w:tc>
        <w:tc>
          <w:tcPr>
            <w:tcW w:w="1512"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Alta</w:t>
            </w:r>
          </w:p>
        </w:tc>
        <w:tc>
          <w:tcPr>
            <w:tcW w:w="1513" w:type="dxa"/>
            <w:shd w:val="clear" w:color="auto" w:fill="auto"/>
            <w:vAlign w:val="center"/>
          </w:tcPr>
          <w:p w:rsidR="00AC32C6" w:rsidRPr="00AC32C6" w:rsidRDefault="00AC32C6" w:rsidP="002766BC">
            <w:pPr>
              <w:autoSpaceDE w:val="0"/>
              <w:autoSpaceDN w:val="0"/>
              <w:adjustRightInd w:val="0"/>
              <w:spacing w:line="240" w:lineRule="auto"/>
              <w:jc w:val="center"/>
              <w:rPr>
                <w:rFonts w:eastAsia="Calibri" w:cs="Arial"/>
                <w:sz w:val="20"/>
                <w:szCs w:val="22"/>
              </w:rPr>
            </w:pPr>
            <w:r w:rsidRPr="00AC32C6">
              <w:rPr>
                <w:rFonts w:eastAsia="Calibri" w:cs="Arial"/>
                <w:sz w:val="20"/>
                <w:szCs w:val="22"/>
              </w:rPr>
              <w:t>-</w:t>
            </w:r>
            <w:r w:rsidR="00535BBB">
              <w:rPr>
                <w:rFonts w:eastAsia="Calibri" w:cs="Arial"/>
                <w:sz w:val="20"/>
                <w:szCs w:val="22"/>
              </w:rPr>
              <w:t>--</w:t>
            </w:r>
          </w:p>
        </w:tc>
      </w:tr>
    </w:tbl>
    <w:p w:rsidR="00AC32C6" w:rsidRPr="00AC32C6" w:rsidRDefault="00AC32C6" w:rsidP="002766BC">
      <w:pPr>
        <w:autoSpaceDE w:val="0"/>
        <w:autoSpaceDN w:val="0"/>
        <w:adjustRightInd w:val="0"/>
        <w:spacing w:before="120" w:after="120" w:line="240" w:lineRule="auto"/>
        <w:jc w:val="left"/>
        <w:rPr>
          <w:rFonts w:eastAsia="Calibri" w:cs="Arial"/>
          <w:szCs w:val="22"/>
          <w:highlight w:val="yellow"/>
        </w:rPr>
      </w:pPr>
    </w:p>
    <w:p w:rsidR="00AC32C6" w:rsidRPr="00AC32C6" w:rsidRDefault="00AC32C6" w:rsidP="00AC32C6">
      <w:pPr>
        <w:autoSpaceDE w:val="0"/>
        <w:autoSpaceDN w:val="0"/>
        <w:adjustRightInd w:val="0"/>
        <w:spacing w:before="120" w:after="120" w:line="240" w:lineRule="auto"/>
        <w:rPr>
          <w:rFonts w:eastAsia="Calibri" w:cs="Arial"/>
          <w:b/>
          <w:szCs w:val="22"/>
          <w:lang w:eastAsia="en-US"/>
        </w:rPr>
      </w:pPr>
      <w:r w:rsidRPr="00AC32C6">
        <w:rPr>
          <w:rFonts w:eastAsia="Calibri" w:cs="Arial"/>
          <w:b/>
          <w:szCs w:val="22"/>
          <w:lang w:eastAsia="en-US"/>
        </w:rPr>
        <w:t>Ações Ambientais Propostas</w:t>
      </w:r>
    </w:p>
    <w:p w:rsidR="00AC32C6" w:rsidRPr="00AC32C6" w:rsidRDefault="00AC32C6" w:rsidP="00AC32C6">
      <w:pPr>
        <w:autoSpaceDE w:val="0"/>
        <w:autoSpaceDN w:val="0"/>
        <w:adjustRightInd w:val="0"/>
        <w:spacing w:before="120" w:after="120" w:line="240" w:lineRule="auto"/>
        <w:rPr>
          <w:rFonts w:eastAsia="Calibri" w:cs="Arial"/>
          <w:szCs w:val="22"/>
          <w:lang w:eastAsia="en-US"/>
        </w:rPr>
      </w:pPr>
      <w:r w:rsidRPr="00AC32C6">
        <w:rPr>
          <w:rFonts w:eastAsia="Calibri" w:cs="Arial"/>
          <w:szCs w:val="22"/>
          <w:lang w:eastAsia="en-US"/>
        </w:rPr>
        <w:t xml:space="preserve">As interferências nos usos múltiplos da água, principalmente no referente aos usos recreativos e de lazer, são em parte mitigáveis com a formação dos reservatórios, quando as atividades recreativas e de lazer poderão ser continuadas. Os locais para o exercício dessas atividades, como também dos outros usos, deverão ser definidos ao longo do processo de licenciamento ambiental do empreendimento, com a elaboração do Plano Ambiental de Conservação e Uso do Entorno do Reservatório, a ser concluído antes da emissão da Licença de Operação. </w:t>
      </w:r>
    </w:p>
    <w:p w:rsidR="00AC32C6" w:rsidRPr="00AC32C6" w:rsidRDefault="00AC32C6" w:rsidP="00AC32C6">
      <w:pPr>
        <w:autoSpaceDE w:val="0"/>
        <w:autoSpaceDN w:val="0"/>
        <w:adjustRightInd w:val="0"/>
        <w:spacing w:before="120" w:after="120" w:line="240" w:lineRule="auto"/>
        <w:rPr>
          <w:rFonts w:eastAsia="Calibri" w:cs="Arial"/>
          <w:szCs w:val="22"/>
          <w:lang w:eastAsia="en-US"/>
        </w:rPr>
      </w:pPr>
      <w:r w:rsidRPr="00AC32C6">
        <w:rPr>
          <w:rFonts w:eastAsia="Calibri" w:cs="Arial"/>
          <w:szCs w:val="22"/>
          <w:lang w:eastAsia="en-US"/>
        </w:rPr>
        <w:t xml:space="preserve">As questões relativas a este impacto devem ser divulgadas através do Programa de </w:t>
      </w:r>
      <w:r w:rsidR="00D225D5">
        <w:rPr>
          <w:rFonts w:eastAsia="Calibri" w:cs="Arial"/>
          <w:szCs w:val="22"/>
          <w:lang w:eastAsia="en-US"/>
        </w:rPr>
        <w:t>Comunicação e Interação Social</w:t>
      </w:r>
      <w:r w:rsidRPr="00AC32C6">
        <w:rPr>
          <w:rFonts w:eastAsia="Calibri" w:cs="Arial"/>
          <w:szCs w:val="22"/>
          <w:lang w:eastAsia="en-US"/>
        </w:rPr>
        <w:t>, e incluídas no Programa de Educação Ambiental.</w:t>
      </w:r>
    </w:p>
    <w:p w:rsidR="00973BCF" w:rsidRPr="00934068" w:rsidRDefault="00CD6D82" w:rsidP="00934068">
      <w:pPr>
        <w:pStyle w:val="Ttulo3"/>
        <w:rPr>
          <w:rFonts w:ascii="Arial Negrito" w:hAnsi="Arial Negrito"/>
          <w:bCs/>
        </w:rPr>
      </w:pPr>
      <w:bookmarkStart w:id="430" w:name="_Toc418758263"/>
      <w:bookmarkStart w:id="431" w:name="_Toc418758865"/>
      <w:bookmarkStart w:id="432" w:name="_Toc419813625"/>
      <w:r w:rsidRPr="00934068">
        <w:rPr>
          <w:rFonts w:ascii="Arial Negrito" w:hAnsi="Arial Negrito"/>
          <w:bCs/>
        </w:rPr>
        <w:t xml:space="preserve">1.3.3.16. </w:t>
      </w:r>
      <w:r w:rsidR="00973BCF" w:rsidRPr="00934068">
        <w:rPr>
          <w:rFonts w:ascii="Arial Negrito" w:hAnsi="Arial Negrito"/>
          <w:bCs/>
        </w:rPr>
        <w:t>Aumento/Retração da Oferta de Emprego e Renda em função das obras de implantação das barragens</w:t>
      </w:r>
      <w:bookmarkEnd w:id="430"/>
      <w:bookmarkEnd w:id="431"/>
      <w:bookmarkEnd w:id="432"/>
    </w:p>
    <w:p w:rsidR="009C6A8B" w:rsidRDefault="009C6A8B" w:rsidP="00BB0521">
      <w:pPr>
        <w:pStyle w:val="PargrafodaLista"/>
        <w:spacing w:before="120" w:after="120" w:line="240" w:lineRule="auto"/>
        <w:ind w:left="0"/>
        <w:jc w:val="both"/>
      </w:pPr>
      <w:r w:rsidRPr="009C6A8B">
        <w:rPr>
          <w:rFonts w:ascii="Arial" w:hAnsi="Arial" w:cs="Arial"/>
          <w:b/>
        </w:rPr>
        <w:t>Fase</w:t>
      </w:r>
      <w:r w:rsidR="00BB0521">
        <w:rPr>
          <w:rFonts w:ascii="Arial" w:hAnsi="Arial" w:cs="Arial"/>
          <w:b/>
        </w:rPr>
        <w:t>:</w:t>
      </w:r>
      <w:r w:rsidRPr="009C6A8B">
        <w:rPr>
          <w:rFonts w:ascii="Arial" w:hAnsi="Arial" w:cs="Arial"/>
          <w:b/>
        </w:rPr>
        <w:t xml:space="preserve"> Instalação</w:t>
      </w:r>
    </w:p>
    <w:p w:rsidR="002766BC" w:rsidRDefault="002766BC" w:rsidP="002766BC">
      <w:pPr>
        <w:spacing w:before="120" w:after="120" w:line="240" w:lineRule="auto"/>
      </w:pPr>
      <w:r>
        <w:t>O incremento da oferta de empregos localmente durante a fase de instalação das barragens Pedreira e Duas Pontes</w:t>
      </w:r>
      <w:r w:rsidR="00F217AF">
        <w:t>,</w:t>
      </w:r>
      <w:r>
        <w:t xml:space="preserve"> decorrerá da </w:t>
      </w:r>
      <w:r w:rsidRPr="00200155">
        <w:t xml:space="preserve">inevitável contratação temporária de mão de obra para a construção civil – </w:t>
      </w:r>
      <w:r w:rsidR="00F217AF">
        <w:t xml:space="preserve">da ordem de 920 </w:t>
      </w:r>
      <w:r w:rsidRPr="00200155">
        <w:t>empregos diretos</w:t>
      </w:r>
      <w:r w:rsidR="00F217AF">
        <w:t xml:space="preserve"> em cada empreendimento </w:t>
      </w:r>
      <w:r w:rsidRPr="00200155">
        <w:t>–, como também da necessidade criada por maior demanda por bens e serviços nos municípios da</w:t>
      </w:r>
      <w:r>
        <w:t xml:space="preserve"> AID. Essa demanda é decorrente da necessidade de aquisição de produtos e serviços para a construção (</w:t>
      </w:r>
      <w:r w:rsidR="00F217AF">
        <w:t xml:space="preserve">material de construção, </w:t>
      </w:r>
      <w:r>
        <w:t xml:space="preserve">combustível, alimentação, hotelaria, transportes etc.) e também de bens e serviços para atender os trabalhadores, o que incrementará os setores de alimentação, vestuário e outros. </w:t>
      </w:r>
    </w:p>
    <w:p w:rsidR="002766BC" w:rsidRDefault="002766BC" w:rsidP="002766BC">
      <w:pPr>
        <w:spacing w:before="120" w:after="120" w:line="240" w:lineRule="auto"/>
      </w:pPr>
      <w:r>
        <w:t xml:space="preserve">Assim, além dos empregos diretos gerados com a construção das Barragens, tem-se também </w:t>
      </w:r>
      <w:r w:rsidRPr="00802AE0">
        <w:t xml:space="preserve">a geração de empregos indiretos nesses outros setores </w:t>
      </w:r>
      <w:r>
        <w:t>e</w:t>
      </w:r>
      <w:r w:rsidRPr="00802AE0">
        <w:t xml:space="preserve"> </w:t>
      </w:r>
      <w:r>
        <w:t>a</w:t>
      </w:r>
      <w:r w:rsidRPr="00802AE0">
        <w:t xml:space="preserve">mbos os movimentos provocarão um aumento do nível de atividades da economia local, </w:t>
      </w:r>
      <w:r>
        <w:t>levando a</w:t>
      </w:r>
      <w:r w:rsidRPr="00802AE0">
        <w:t xml:space="preserve"> um aumento da renda ou do produto (PIB) municipal.</w:t>
      </w:r>
    </w:p>
    <w:p w:rsidR="002766BC" w:rsidRDefault="002766BC" w:rsidP="002766BC">
      <w:pPr>
        <w:spacing w:before="120" w:after="120" w:line="240" w:lineRule="auto"/>
      </w:pPr>
      <w:r>
        <w:t xml:space="preserve">Para a construção das barragens em questão serão necessários </w:t>
      </w:r>
      <w:r w:rsidR="00455ED9">
        <w:t>1.837</w:t>
      </w:r>
      <w:r>
        <w:t xml:space="preserve"> </w:t>
      </w:r>
      <w:r w:rsidRPr="00C14E1D">
        <w:t>postos de trabalho</w:t>
      </w:r>
      <w:r>
        <w:t xml:space="preserve"> ao longo do período das obras, </w:t>
      </w:r>
      <w:r w:rsidR="00455ED9">
        <w:t xml:space="preserve">em torno de 920 postos para cada empreendimento, </w:t>
      </w:r>
      <w:r w:rsidRPr="006443B3">
        <w:t>na sua maioria temporários e pouco qualificados</w:t>
      </w:r>
      <w:r>
        <w:t xml:space="preserve">, embora empregos de nível médio, técnico e superior sejam significativos e tenham peso no impacto que causará na AID. </w:t>
      </w:r>
    </w:p>
    <w:p w:rsidR="002766BC" w:rsidRDefault="002766BC" w:rsidP="002766BC">
      <w:pPr>
        <w:spacing w:before="120" w:after="120" w:line="240" w:lineRule="auto"/>
      </w:pPr>
      <w:r>
        <w:t xml:space="preserve">O empreendedor e as empresas responsáveis pelas obras e infraestrutura deverão buscar prioritariamente mão de obra na AID, inclusive pelo fato destes não provocarem demanda de infraestrutura, e provavelmente irão encontrar trabalhadores em todos os níveis de qualificação, em função de que os municípios que abrigarão as duas barragens têm um considerável grau de desenvolvimento. </w:t>
      </w:r>
    </w:p>
    <w:p w:rsidR="002766BC" w:rsidRDefault="002766BC" w:rsidP="002766BC">
      <w:pPr>
        <w:spacing w:before="120" w:after="120" w:line="240" w:lineRule="auto"/>
      </w:pPr>
      <w:r>
        <w:t xml:space="preserve">De modo que, sob o ponto de vista da renda da população regional, haverá um pico nesses </w:t>
      </w:r>
      <w:r w:rsidRPr="00F217AF">
        <w:t>meses, que, além da melhoria da qualidade de vida das famílias empregadas nas obras dos barramentos, os municípios poderão colher os frutos desse processo, na forma de aumento da arrecadação de</w:t>
      </w:r>
      <w:r w:rsidR="00F217AF" w:rsidRPr="00F217AF">
        <w:t xml:space="preserve"> impostos.</w:t>
      </w:r>
    </w:p>
    <w:p w:rsidR="002766BC" w:rsidRDefault="002766BC" w:rsidP="002766BC">
      <w:pPr>
        <w:spacing w:before="120" w:after="120" w:line="240" w:lineRule="auto"/>
      </w:pPr>
      <w:r>
        <w:t xml:space="preserve">Ainda assim, a informação da instalação de empreendimento desse porte é rápida e difusa, o que faz prever que é certo que haverá </w:t>
      </w:r>
      <w:r w:rsidRPr="006443B3">
        <w:t xml:space="preserve">um fluxo </w:t>
      </w:r>
      <w:r>
        <w:t xml:space="preserve">grande </w:t>
      </w:r>
      <w:r w:rsidRPr="006443B3">
        <w:t>de pessoas</w:t>
      </w:r>
      <w:r>
        <w:t xml:space="preserve"> vindas de regiões </w:t>
      </w:r>
      <w:r w:rsidR="009C6A8B">
        <w:t>de</w:t>
      </w:r>
      <w:r>
        <w:t xml:space="preserve"> além da AID, acompanhadas ou não por sua famílias,</w:t>
      </w:r>
      <w:r w:rsidRPr="006443B3">
        <w:t xml:space="preserve"> em busca de empregos e de melhores oportunidades de vida</w:t>
      </w:r>
      <w:r>
        <w:t xml:space="preserve">, ainda que </w:t>
      </w:r>
      <w:r w:rsidRPr="00666A9B">
        <w:t xml:space="preserve">os municípios </w:t>
      </w:r>
      <w:r>
        <w:t>onde serão instalados os canteiros de obra</w:t>
      </w:r>
      <w:r w:rsidRPr="00666A9B">
        <w:t xml:space="preserve"> possam oferecer mão de obra condizente com a demanda gerada</w:t>
      </w:r>
      <w:r>
        <w:t>.</w:t>
      </w:r>
    </w:p>
    <w:p w:rsidR="002766BC" w:rsidRDefault="002766BC" w:rsidP="002766BC">
      <w:pPr>
        <w:spacing w:before="120" w:after="120" w:line="240" w:lineRule="auto"/>
      </w:pPr>
      <w:r>
        <w:t xml:space="preserve">O lado negativo desse fenômeno revela que </w:t>
      </w:r>
      <w:r w:rsidRPr="00666A9B">
        <w:t>um excesso de migrantes, se não absorvidos pela oferta de empregos nesses municípios,</w:t>
      </w:r>
      <w:r w:rsidRPr="00F92C70">
        <w:t xml:space="preserve"> </w:t>
      </w:r>
      <w:r w:rsidRPr="00666A9B">
        <w:t>poderá trazer efeitos perniciosos sobre a estrutura das cidades e o ritmo de vidas dos moradores, como marginalidade, violência, desorganização urbana, entre outros.</w:t>
      </w:r>
      <w:r>
        <w:t xml:space="preserve"> Fatores constantes e determinantes da qualidade de vida urbana, como habitação, infraestrutura na saúde, na educação, transporte adequado ao número de habitantes, comércio diversificado e acessível, entre outros, seguramente terão de se adequar ao novo contingente de trabalhadores e suas famílias, sob pena de os municípios da AID-vizinhança verem decair os níveis de qualidade de vida, qu</w:t>
      </w:r>
      <w:r w:rsidR="00F217AF">
        <w:t>e são razoáveis no conjunto do E</w:t>
      </w:r>
      <w:r>
        <w:t>stado de São Paulo</w:t>
      </w:r>
      <w:r w:rsidR="009C6A8B">
        <w:t>.</w:t>
      </w:r>
      <w:r>
        <w:t xml:space="preserve"> </w:t>
      </w:r>
    </w:p>
    <w:p w:rsidR="002766BC" w:rsidRDefault="002766BC" w:rsidP="002766BC">
      <w:pPr>
        <w:spacing w:before="120" w:after="120" w:line="240" w:lineRule="auto"/>
      </w:pPr>
      <w:r>
        <w:t xml:space="preserve">O impacto de aumento do emprego e da renda na AID-vizinhança, do ponto de vista do inchaço das cidades-sede, principalmente, é certo e negativo. Porém, torna-se positivo caso o empreendedor, as empresas responsáveis pelas obras, os governos locais e outras esferas da sociedade civil se adiantarem em adequar a infraestrutura local para receber esses trabalhadores, ao passo em que tomam medidas de contenção da migração, com informações de médio a grande alcance, no âmbito regional, atingindo minimamente os municípios da AID-operação, além de municípios a montante dos barramentos. </w:t>
      </w:r>
    </w:p>
    <w:p w:rsidR="002766BC" w:rsidRDefault="002766BC" w:rsidP="002766BC">
      <w:pPr>
        <w:spacing w:before="120" w:after="120" w:line="240" w:lineRule="auto"/>
      </w:pPr>
      <w:r>
        <w:t xml:space="preserve">Nesse caso, o impacto pode ser considerado positivo, certo e localizado nos municípios da AID-vizinhança, principalmente Amparo e Pedreira, podendo rebater em Jaguariúna. É de médio prazo, reversível e temporário, </w:t>
      </w:r>
      <w:r w:rsidRPr="00666A9B">
        <w:t xml:space="preserve">desde que </w:t>
      </w:r>
      <w:r>
        <w:t>haja</w:t>
      </w:r>
      <w:r w:rsidRPr="00666A9B">
        <w:t xml:space="preserve"> medidas para sua prevenção.</w:t>
      </w:r>
      <w:r>
        <w:t xml:space="preserve"> Sua magnitude é qualitativamente grande, importância média e mitigável</w:t>
      </w:r>
      <w:r w:rsidR="008F7C9E">
        <w:t>.</w:t>
      </w:r>
    </w:p>
    <w:p w:rsidR="00C50DD2" w:rsidRDefault="00402E81" w:rsidP="00C50DD2">
      <w:pPr>
        <w:pStyle w:val="Legenda"/>
        <w:spacing w:before="0" w:after="0" w:line="240" w:lineRule="auto"/>
        <w:jc w:val="center"/>
        <w:rPr>
          <w:rFonts w:cs="Arial"/>
          <w:b w:val="0"/>
          <w:i w:val="0"/>
          <w:szCs w:val="22"/>
        </w:rPr>
      </w:pPr>
      <w:bookmarkStart w:id="433" w:name="_Toc420316543"/>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100</w:t>
      </w:r>
      <w:r w:rsidR="00B80A05" w:rsidRPr="00C50DD2">
        <w:rPr>
          <w:i w:val="0"/>
          <w:noProof/>
        </w:rPr>
        <w:fldChar w:fldCharType="end"/>
      </w:r>
      <w:r w:rsidR="00C50DD2" w:rsidRPr="00C50DD2">
        <w:rPr>
          <w:i w:val="0"/>
          <w:noProof/>
        </w:rPr>
        <w:t>.</w:t>
      </w:r>
      <w:r w:rsidR="00C50DD2" w:rsidRPr="00C50DD2">
        <w:rPr>
          <w:b w:val="0"/>
          <w:i w:val="0"/>
          <w:noProof/>
        </w:rPr>
        <w:t xml:space="preserve"> - </w:t>
      </w:r>
      <w:r w:rsidR="002766BC" w:rsidRPr="00C50DD2">
        <w:rPr>
          <w:rFonts w:cs="Arial"/>
          <w:b w:val="0"/>
          <w:bCs/>
          <w:i w:val="0"/>
        </w:rPr>
        <w:t xml:space="preserve">Caracterização do Impacto </w:t>
      </w:r>
      <w:r w:rsidR="00C55FEC" w:rsidRPr="00C50DD2">
        <w:rPr>
          <w:rFonts w:cs="Arial"/>
          <w:b w:val="0"/>
          <w:i w:val="0"/>
          <w:szCs w:val="22"/>
        </w:rPr>
        <w:t>Aumento/Retração da Oferta de Emprego e Renda em função das obras de implantação das barragens</w:t>
      </w:r>
      <w:bookmarkEnd w:id="433"/>
    </w:p>
    <w:p w:rsidR="002766BC" w:rsidRPr="00C50DD2" w:rsidRDefault="009C6A8B" w:rsidP="00C50DD2">
      <w:pPr>
        <w:pStyle w:val="Legenda"/>
        <w:spacing w:before="0" w:after="0" w:line="240" w:lineRule="auto"/>
        <w:jc w:val="center"/>
        <w:rPr>
          <w:rFonts w:cs="Arial"/>
          <w:b w:val="0"/>
          <w:bCs/>
          <w:i w:val="0"/>
        </w:rPr>
      </w:pPr>
      <w:r w:rsidRPr="00C50DD2">
        <w:rPr>
          <w:rFonts w:cs="Arial"/>
          <w:b w:val="0"/>
          <w:bCs/>
          <w:i w:val="0"/>
        </w:rPr>
        <w:t>Barragens Pedreira e Duas Pontes</w:t>
      </w:r>
    </w:p>
    <w:tbl>
      <w:tblPr>
        <w:tblW w:w="0" w:type="auto"/>
        <w:jc w:val="center"/>
        <w:tblInd w:w="-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2"/>
        <w:gridCol w:w="1772"/>
        <w:gridCol w:w="1772"/>
        <w:gridCol w:w="1772"/>
        <w:gridCol w:w="1773"/>
      </w:tblGrid>
      <w:tr w:rsidR="002766BC" w:rsidRPr="00A43380" w:rsidTr="002E29E3">
        <w:trPr>
          <w:trHeight w:val="514"/>
          <w:jc w:val="center"/>
        </w:trPr>
        <w:tc>
          <w:tcPr>
            <w:tcW w:w="1772" w:type="dxa"/>
            <w:shd w:val="clear" w:color="auto" w:fill="D9D9D9" w:themeFill="background1" w:themeFillShade="D9"/>
            <w:vAlign w:val="center"/>
          </w:tcPr>
          <w:p w:rsidR="002766BC" w:rsidRPr="00A43380" w:rsidRDefault="002766BC" w:rsidP="009C6A8B">
            <w:pPr>
              <w:autoSpaceDE w:val="0"/>
              <w:autoSpaceDN w:val="0"/>
              <w:adjustRightInd w:val="0"/>
              <w:spacing w:line="240" w:lineRule="auto"/>
              <w:jc w:val="center"/>
              <w:rPr>
                <w:rFonts w:cs="Arial"/>
                <w:b/>
                <w:sz w:val="20"/>
              </w:rPr>
            </w:pPr>
            <w:r w:rsidRPr="00A43380">
              <w:rPr>
                <w:rFonts w:cs="Arial"/>
                <w:b/>
                <w:sz w:val="20"/>
              </w:rPr>
              <w:t>Natureza</w:t>
            </w:r>
          </w:p>
        </w:tc>
        <w:tc>
          <w:tcPr>
            <w:tcW w:w="1772" w:type="dxa"/>
            <w:shd w:val="clear" w:color="auto" w:fill="D9D9D9" w:themeFill="background1" w:themeFillShade="D9"/>
            <w:vAlign w:val="center"/>
          </w:tcPr>
          <w:p w:rsidR="002766BC" w:rsidRPr="00A43380" w:rsidRDefault="002766BC" w:rsidP="009C6A8B">
            <w:pPr>
              <w:autoSpaceDE w:val="0"/>
              <w:autoSpaceDN w:val="0"/>
              <w:adjustRightInd w:val="0"/>
              <w:spacing w:line="240" w:lineRule="auto"/>
              <w:jc w:val="center"/>
              <w:rPr>
                <w:rFonts w:cs="Arial"/>
                <w:b/>
                <w:sz w:val="20"/>
              </w:rPr>
            </w:pPr>
            <w:r w:rsidRPr="00A43380">
              <w:rPr>
                <w:rFonts w:cs="Arial"/>
                <w:b/>
                <w:sz w:val="20"/>
              </w:rPr>
              <w:t>Ordem</w:t>
            </w:r>
          </w:p>
        </w:tc>
        <w:tc>
          <w:tcPr>
            <w:tcW w:w="1772" w:type="dxa"/>
            <w:shd w:val="clear" w:color="auto" w:fill="D9D9D9" w:themeFill="background1" w:themeFillShade="D9"/>
            <w:vAlign w:val="center"/>
          </w:tcPr>
          <w:p w:rsidR="002766BC" w:rsidRPr="00A43380" w:rsidRDefault="002766BC" w:rsidP="009C6A8B">
            <w:pPr>
              <w:autoSpaceDE w:val="0"/>
              <w:autoSpaceDN w:val="0"/>
              <w:adjustRightInd w:val="0"/>
              <w:spacing w:line="240" w:lineRule="auto"/>
              <w:jc w:val="center"/>
              <w:rPr>
                <w:rFonts w:cs="Arial"/>
                <w:b/>
                <w:sz w:val="20"/>
              </w:rPr>
            </w:pPr>
            <w:r w:rsidRPr="00A43380">
              <w:rPr>
                <w:rFonts w:cs="Arial"/>
                <w:b/>
                <w:sz w:val="20"/>
              </w:rPr>
              <w:t>Abrangência</w:t>
            </w:r>
          </w:p>
        </w:tc>
        <w:tc>
          <w:tcPr>
            <w:tcW w:w="1772" w:type="dxa"/>
            <w:shd w:val="clear" w:color="auto" w:fill="D9D9D9" w:themeFill="background1" w:themeFillShade="D9"/>
            <w:vAlign w:val="center"/>
          </w:tcPr>
          <w:p w:rsidR="002766BC" w:rsidRPr="00A43380" w:rsidRDefault="002766BC" w:rsidP="009C6A8B">
            <w:pPr>
              <w:autoSpaceDE w:val="0"/>
              <w:autoSpaceDN w:val="0"/>
              <w:adjustRightInd w:val="0"/>
              <w:spacing w:line="240" w:lineRule="auto"/>
              <w:jc w:val="center"/>
              <w:rPr>
                <w:rFonts w:cs="Arial"/>
                <w:b/>
                <w:sz w:val="20"/>
              </w:rPr>
            </w:pPr>
            <w:r w:rsidRPr="00A43380">
              <w:rPr>
                <w:rFonts w:cs="Arial"/>
                <w:b/>
                <w:sz w:val="20"/>
              </w:rPr>
              <w:t>Duração</w:t>
            </w:r>
          </w:p>
        </w:tc>
        <w:tc>
          <w:tcPr>
            <w:tcW w:w="1773" w:type="dxa"/>
            <w:shd w:val="clear" w:color="auto" w:fill="D9D9D9" w:themeFill="background1" w:themeFillShade="D9"/>
            <w:vAlign w:val="center"/>
          </w:tcPr>
          <w:p w:rsidR="002766BC" w:rsidRPr="00A43380" w:rsidRDefault="002766BC" w:rsidP="009C6A8B">
            <w:pPr>
              <w:autoSpaceDE w:val="0"/>
              <w:autoSpaceDN w:val="0"/>
              <w:adjustRightInd w:val="0"/>
              <w:spacing w:line="240" w:lineRule="auto"/>
              <w:jc w:val="center"/>
              <w:rPr>
                <w:rFonts w:cs="Arial"/>
                <w:b/>
                <w:sz w:val="20"/>
              </w:rPr>
            </w:pPr>
            <w:r w:rsidRPr="00A43380">
              <w:rPr>
                <w:rFonts w:cs="Arial"/>
                <w:b/>
                <w:sz w:val="20"/>
              </w:rPr>
              <w:t>Probabilidade de Ocorrência</w:t>
            </w:r>
          </w:p>
        </w:tc>
      </w:tr>
      <w:tr w:rsidR="002766BC" w:rsidRPr="00A43380" w:rsidTr="007441F1">
        <w:trPr>
          <w:trHeight w:val="273"/>
          <w:jc w:val="center"/>
        </w:trPr>
        <w:tc>
          <w:tcPr>
            <w:tcW w:w="1772" w:type="dxa"/>
            <w:shd w:val="clear" w:color="auto" w:fill="auto"/>
            <w:vAlign w:val="center"/>
          </w:tcPr>
          <w:p w:rsidR="002766BC" w:rsidRPr="00D412A7" w:rsidRDefault="002766BC" w:rsidP="009C6A8B">
            <w:pPr>
              <w:autoSpaceDE w:val="0"/>
              <w:autoSpaceDN w:val="0"/>
              <w:adjustRightInd w:val="0"/>
              <w:spacing w:line="240" w:lineRule="auto"/>
              <w:jc w:val="center"/>
              <w:rPr>
                <w:rFonts w:cs="Arial"/>
                <w:sz w:val="20"/>
              </w:rPr>
            </w:pPr>
            <w:r>
              <w:rPr>
                <w:rFonts w:cs="Arial"/>
                <w:sz w:val="20"/>
              </w:rPr>
              <w:t>Positivo</w:t>
            </w:r>
            <w:r w:rsidR="007072C2">
              <w:rPr>
                <w:rFonts w:cs="Arial"/>
                <w:sz w:val="20"/>
              </w:rPr>
              <w:t>/Negativo</w:t>
            </w:r>
          </w:p>
        </w:tc>
        <w:tc>
          <w:tcPr>
            <w:tcW w:w="1772" w:type="dxa"/>
            <w:shd w:val="clear" w:color="auto" w:fill="auto"/>
            <w:vAlign w:val="center"/>
          </w:tcPr>
          <w:p w:rsidR="002766BC" w:rsidRPr="00D412A7" w:rsidRDefault="002766BC" w:rsidP="009C6A8B">
            <w:pPr>
              <w:autoSpaceDE w:val="0"/>
              <w:autoSpaceDN w:val="0"/>
              <w:adjustRightInd w:val="0"/>
              <w:spacing w:line="240" w:lineRule="auto"/>
              <w:jc w:val="center"/>
              <w:rPr>
                <w:rFonts w:cs="Arial"/>
                <w:sz w:val="20"/>
              </w:rPr>
            </w:pPr>
            <w:r>
              <w:rPr>
                <w:rFonts w:cs="Arial"/>
                <w:sz w:val="20"/>
              </w:rPr>
              <w:t>Direto</w:t>
            </w:r>
          </w:p>
        </w:tc>
        <w:tc>
          <w:tcPr>
            <w:tcW w:w="1772" w:type="dxa"/>
            <w:shd w:val="clear" w:color="auto" w:fill="auto"/>
            <w:vAlign w:val="center"/>
          </w:tcPr>
          <w:p w:rsidR="002766BC" w:rsidRPr="00D412A7" w:rsidRDefault="002766BC" w:rsidP="009C6A8B">
            <w:pPr>
              <w:autoSpaceDE w:val="0"/>
              <w:autoSpaceDN w:val="0"/>
              <w:adjustRightInd w:val="0"/>
              <w:spacing w:line="240" w:lineRule="auto"/>
              <w:jc w:val="center"/>
              <w:rPr>
                <w:rFonts w:cs="Arial"/>
                <w:sz w:val="20"/>
              </w:rPr>
            </w:pPr>
            <w:r>
              <w:rPr>
                <w:rFonts w:cs="Arial"/>
                <w:sz w:val="20"/>
              </w:rPr>
              <w:t>Localizado</w:t>
            </w:r>
          </w:p>
        </w:tc>
        <w:tc>
          <w:tcPr>
            <w:tcW w:w="1772" w:type="dxa"/>
            <w:shd w:val="clear" w:color="auto" w:fill="auto"/>
            <w:vAlign w:val="center"/>
          </w:tcPr>
          <w:p w:rsidR="002766BC" w:rsidRPr="00D412A7" w:rsidRDefault="002766BC" w:rsidP="009C6A8B">
            <w:pPr>
              <w:autoSpaceDE w:val="0"/>
              <w:autoSpaceDN w:val="0"/>
              <w:adjustRightInd w:val="0"/>
              <w:spacing w:line="240" w:lineRule="auto"/>
              <w:jc w:val="center"/>
              <w:rPr>
                <w:rFonts w:cs="Arial"/>
                <w:sz w:val="20"/>
              </w:rPr>
            </w:pPr>
            <w:r>
              <w:rPr>
                <w:rFonts w:cs="Arial"/>
                <w:sz w:val="20"/>
              </w:rPr>
              <w:t>Temporário</w:t>
            </w:r>
          </w:p>
        </w:tc>
        <w:tc>
          <w:tcPr>
            <w:tcW w:w="1773" w:type="dxa"/>
            <w:shd w:val="clear" w:color="auto" w:fill="auto"/>
            <w:vAlign w:val="center"/>
          </w:tcPr>
          <w:p w:rsidR="002766BC" w:rsidRPr="00D412A7" w:rsidRDefault="002766BC" w:rsidP="009C6A8B">
            <w:pPr>
              <w:autoSpaceDE w:val="0"/>
              <w:autoSpaceDN w:val="0"/>
              <w:adjustRightInd w:val="0"/>
              <w:spacing w:line="240" w:lineRule="auto"/>
              <w:jc w:val="center"/>
              <w:rPr>
                <w:rFonts w:cs="Arial"/>
                <w:sz w:val="20"/>
              </w:rPr>
            </w:pPr>
            <w:r>
              <w:rPr>
                <w:rFonts w:cs="Arial"/>
                <w:sz w:val="20"/>
              </w:rPr>
              <w:t>Certo</w:t>
            </w:r>
          </w:p>
        </w:tc>
      </w:tr>
    </w:tbl>
    <w:p w:rsidR="002766BC" w:rsidRPr="00A43380" w:rsidRDefault="002766BC" w:rsidP="009C6A8B">
      <w:pPr>
        <w:autoSpaceDE w:val="0"/>
        <w:autoSpaceDN w:val="0"/>
        <w:adjustRightInd w:val="0"/>
        <w:spacing w:line="240" w:lineRule="auto"/>
        <w:jc w:val="center"/>
        <w:rPr>
          <w:rFonts w:cs="Arial"/>
          <w:sz w:val="20"/>
        </w:rPr>
      </w:pPr>
    </w:p>
    <w:tbl>
      <w:tblPr>
        <w:tblW w:w="0" w:type="auto"/>
        <w:jc w:val="center"/>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4"/>
        <w:gridCol w:w="1775"/>
        <w:gridCol w:w="1774"/>
        <w:gridCol w:w="1775"/>
        <w:gridCol w:w="1775"/>
      </w:tblGrid>
      <w:tr w:rsidR="002766BC" w:rsidRPr="00A43380" w:rsidTr="002E29E3">
        <w:trPr>
          <w:trHeight w:val="397"/>
          <w:jc w:val="center"/>
        </w:trPr>
        <w:tc>
          <w:tcPr>
            <w:tcW w:w="1774" w:type="dxa"/>
            <w:shd w:val="clear" w:color="auto" w:fill="D9D9D9" w:themeFill="background1" w:themeFillShade="D9"/>
            <w:vAlign w:val="center"/>
          </w:tcPr>
          <w:p w:rsidR="002766BC" w:rsidRPr="00A43380" w:rsidRDefault="002766BC" w:rsidP="009C6A8B">
            <w:pPr>
              <w:autoSpaceDE w:val="0"/>
              <w:autoSpaceDN w:val="0"/>
              <w:adjustRightInd w:val="0"/>
              <w:spacing w:line="240" w:lineRule="auto"/>
              <w:jc w:val="center"/>
              <w:rPr>
                <w:rFonts w:cs="Arial"/>
                <w:b/>
                <w:sz w:val="20"/>
              </w:rPr>
            </w:pPr>
            <w:r w:rsidRPr="00A43380">
              <w:rPr>
                <w:rFonts w:cs="Arial"/>
                <w:b/>
                <w:sz w:val="20"/>
              </w:rPr>
              <w:t>Época de Ocorrência</w:t>
            </w:r>
          </w:p>
        </w:tc>
        <w:tc>
          <w:tcPr>
            <w:tcW w:w="1775" w:type="dxa"/>
            <w:shd w:val="clear" w:color="auto" w:fill="D9D9D9" w:themeFill="background1" w:themeFillShade="D9"/>
            <w:vAlign w:val="center"/>
          </w:tcPr>
          <w:p w:rsidR="002766BC" w:rsidRPr="00A43380" w:rsidRDefault="002766BC" w:rsidP="009C6A8B">
            <w:pPr>
              <w:autoSpaceDE w:val="0"/>
              <w:autoSpaceDN w:val="0"/>
              <w:adjustRightInd w:val="0"/>
              <w:spacing w:line="240" w:lineRule="auto"/>
              <w:jc w:val="center"/>
              <w:rPr>
                <w:rFonts w:cs="Arial"/>
                <w:b/>
                <w:sz w:val="20"/>
              </w:rPr>
            </w:pPr>
            <w:r w:rsidRPr="00A43380">
              <w:rPr>
                <w:rFonts w:cs="Arial"/>
                <w:b/>
                <w:sz w:val="20"/>
              </w:rPr>
              <w:t>Reversibilidade</w:t>
            </w:r>
          </w:p>
        </w:tc>
        <w:tc>
          <w:tcPr>
            <w:tcW w:w="1774" w:type="dxa"/>
            <w:shd w:val="clear" w:color="auto" w:fill="D9D9D9" w:themeFill="background1" w:themeFillShade="D9"/>
            <w:vAlign w:val="center"/>
          </w:tcPr>
          <w:p w:rsidR="002766BC" w:rsidRPr="00A43380" w:rsidRDefault="002766BC" w:rsidP="009C6A8B">
            <w:pPr>
              <w:autoSpaceDE w:val="0"/>
              <w:autoSpaceDN w:val="0"/>
              <w:adjustRightInd w:val="0"/>
              <w:spacing w:line="240" w:lineRule="auto"/>
              <w:jc w:val="center"/>
              <w:rPr>
                <w:rFonts w:cs="Arial"/>
                <w:b/>
                <w:sz w:val="20"/>
              </w:rPr>
            </w:pPr>
            <w:r w:rsidRPr="00A43380">
              <w:rPr>
                <w:rFonts w:cs="Arial"/>
                <w:b/>
                <w:sz w:val="20"/>
              </w:rPr>
              <w:t>Magnitude</w:t>
            </w:r>
          </w:p>
        </w:tc>
        <w:tc>
          <w:tcPr>
            <w:tcW w:w="1775" w:type="dxa"/>
            <w:shd w:val="clear" w:color="auto" w:fill="D9D9D9" w:themeFill="background1" w:themeFillShade="D9"/>
            <w:vAlign w:val="center"/>
          </w:tcPr>
          <w:p w:rsidR="002766BC" w:rsidRPr="00A43380" w:rsidRDefault="002766BC" w:rsidP="009C6A8B">
            <w:pPr>
              <w:autoSpaceDE w:val="0"/>
              <w:autoSpaceDN w:val="0"/>
              <w:adjustRightInd w:val="0"/>
              <w:spacing w:line="240" w:lineRule="auto"/>
              <w:jc w:val="center"/>
              <w:rPr>
                <w:rFonts w:cs="Arial"/>
                <w:b/>
                <w:sz w:val="20"/>
              </w:rPr>
            </w:pPr>
            <w:r w:rsidRPr="00A43380">
              <w:rPr>
                <w:rFonts w:cs="Arial"/>
                <w:b/>
                <w:sz w:val="20"/>
              </w:rPr>
              <w:t>Importância</w:t>
            </w:r>
          </w:p>
        </w:tc>
        <w:tc>
          <w:tcPr>
            <w:tcW w:w="1775" w:type="dxa"/>
            <w:shd w:val="clear" w:color="auto" w:fill="D9D9D9" w:themeFill="background1" w:themeFillShade="D9"/>
            <w:vAlign w:val="center"/>
          </w:tcPr>
          <w:p w:rsidR="002766BC" w:rsidRPr="00A43380" w:rsidRDefault="002766BC" w:rsidP="009C6A8B">
            <w:pPr>
              <w:autoSpaceDE w:val="0"/>
              <w:autoSpaceDN w:val="0"/>
              <w:adjustRightInd w:val="0"/>
              <w:spacing w:line="240" w:lineRule="auto"/>
              <w:jc w:val="center"/>
              <w:rPr>
                <w:rFonts w:cs="Arial"/>
                <w:b/>
                <w:sz w:val="20"/>
              </w:rPr>
            </w:pPr>
            <w:r w:rsidRPr="00A43380">
              <w:rPr>
                <w:rFonts w:cs="Arial"/>
                <w:b/>
                <w:sz w:val="20"/>
              </w:rPr>
              <w:t>Mitigação</w:t>
            </w:r>
          </w:p>
        </w:tc>
      </w:tr>
      <w:tr w:rsidR="002766BC" w:rsidRPr="00A43380" w:rsidTr="007441F1">
        <w:trPr>
          <w:trHeight w:val="344"/>
          <w:jc w:val="center"/>
        </w:trPr>
        <w:tc>
          <w:tcPr>
            <w:tcW w:w="1774" w:type="dxa"/>
            <w:shd w:val="clear" w:color="auto" w:fill="auto"/>
            <w:vAlign w:val="center"/>
          </w:tcPr>
          <w:p w:rsidR="002766BC" w:rsidRPr="00D412A7" w:rsidRDefault="002766BC" w:rsidP="009C6A8B">
            <w:pPr>
              <w:autoSpaceDE w:val="0"/>
              <w:autoSpaceDN w:val="0"/>
              <w:adjustRightInd w:val="0"/>
              <w:spacing w:line="240" w:lineRule="auto"/>
              <w:jc w:val="center"/>
              <w:rPr>
                <w:rFonts w:cs="Arial"/>
                <w:sz w:val="20"/>
              </w:rPr>
            </w:pPr>
            <w:r>
              <w:rPr>
                <w:rFonts w:cs="Arial"/>
                <w:sz w:val="20"/>
              </w:rPr>
              <w:t>Médio</w:t>
            </w:r>
            <w:r w:rsidRPr="00D412A7">
              <w:rPr>
                <w:rFonts w:cs="Arial"/>
                <w:sz w:val="20"/>
              </w:rPr>
              <w:t xml:space="preserve"> Prazo</w:t>
            </w:r>
          </w:p>
        </w:tc>
        <w:tc>
          <w:tcPr>
            <w:tcW w:w="1775" w:type="dxa"/>
            <w:shd w:val="clear" w:color="auto" w:fill="auto"/>
            <w:vAlign w:val="center"/>
          </w:tcPr>
          <w:p w:rsidR="002766BC" w:rsidRPr="00D412A7" w:rsidRDefault="002766BC" w:rsidP="009C6A8B">
            <w:pPr>
              <w:autoSpaceDE w:val="0"/>
              <w:autoSpaceDN w:val="0"/>
              <w:adjustRightInd w:val="0"/>
              <w:spacing w:line="240" w:lineRule="auto"/>
              <w:jc w:val="center"/>
              <w:rPr>
                <w:rFonts w:cs="Arial"/>
                <w:sz w:val="20"/>
              </w:rPr>
            </w:pPr>
            <w:r>
              <w:rPr>
                <w:rFonts w:cs="Arial"/>
                <w:sz w:val="20"/>
              </w:rPr>
              <w:t>R</w:t>
            </w:r>
            <w:r w:rsidRPr="00D412A7">
              <w:rPr>
                <w:rFonts w:cs="Arial"/>
                <w:sz w:val="20"/>
              </w:rPr>
              <w:t>eversível</w:t>
            </w:r>
          </w:p>
        </w:tc>
        <w:tc>
          <w:tcPr>
            <w:tcW w:w="1774" w:type="dxa"/>
            <w:shd w:val="clear" w:color="auto" w:fill="auto"/>
            <w:vAlign w:val="center"/>
          </w:tcPr>
          <w:p w:rsidR="002766BC" w:rsidRPr="00535D8B" w:rsidRDefault="002766BC" w:rsidP="009C6A8B">
            <w:pPr>
              <w:autoSpaceDE w:val="0"/>
              <w:autoSpaceDN w:val="0"/>
              <w:adjustRightInd w:val="0"/>
              <w:spacing w:line="240" w:lineRule="auto"/>
              <w:jc w:val="center"/>
              <w:rPr>
                <w:rFonts w:cs="Arial"/>
                <w:sz w:val="20"/>
              </w:rPr>
            </w:pPr>
            <w:r>
              <w:rPr>
                <w:rFonts w:cs="Arial"/>
                <w:sz w:val="20"/>
              </w:rPr>
              <w:t>Grande</w:t>
            </w:r>
          </w:p>
        </w:tc>
        <w:tc>
          <w:tcPr>
            <w:tcW w:w="1775" w:type="dxa"/>
            <w:shd w:val="clear" w:color="auto" w:fill="auto"/>
            <w:vAlign w:val="center"/>
          </w:tcPr>
          <w:p w:rsidR="002766BC" w:rsidRPr="00535D8B" w:rsidRDefault="002766BC" w:rsidP="009C6A8B">
            <w:pPr>
              <w:autoSpaceDE w:val="0"/>
              <w:autoSpaceDN w:val="0"/>
              <w:adjustRightInd w:val="0"/>
              <w:spacing w:line="240" w:lineRule="auto"/>
              <w:jc w:val="center"/>
              <w:rPr>
                <w:rFonts w:cs="Arial"/>
                <w:sz w:val="20"/>
              </w:rPr>
            </w:pPr>
            <w:r>
              <w:rPr>
                <w:rFonts w:cs="Arial"/>
                <w:sz w:val="20"/>
              </w:rPr>
              <w:t>Média</w:t>
            </w:r>
          </w:p>
        </w:tc>
        <w:tc>
          <w:tcPr>
            <w:tcW w:w="1775" w:type="dxa"/>
            <w:shd w:val="clear" w:color="auto" w:fill="auto"/>
            <w:vAlign w:val="center"/>
          </w:tcPr>
          <w:p w:rsidR="002766BC" w:rsidRPr="00535D8B" w:rsidRDefault="00535BBB" w:rsidP="009C6A8B">
            <w:pPr>
              <w:autoSpaceDE w:val="0"/>
              <w:autoSpaceDN w:val="0"/>
              <w:adjustRightInd w:val="0"/>
              <w:spacing w:line="240" w:lineRule="auto"/>
              <w:jc w:val="center"/>
              <w:rPr>
                <w:rFonts w:cs="Arial"/>
                <w:sz w:val="20"/>
              </w:rPr>
            </w:pPr>
            <w:r>
              <w:rPr>
                <w:rFonts w:cs="Arial"/>
                <w:sz w:val="20"/>
              </w:rPr>
              <w:t>Mitigável</w:t>
            </w:r>
          </w:p>
        </w:tc>
      </w:tr>
    </w:tbl>
    <w:p w:rsidR="00FC59A6" w:rsidRDefault="00FC59A6" w:rsidP="003C4386">
      <w:pPr>
        <w:jc w:val="left"/>
        <w:rPr>
          <w:b/>
        </w:rPr>
      </w:pPr>
      <w:r>
        <w:rPr>
          <w:b/>
        </w:rPr>
        <w:br w:type="page"/>
      </w:r>
    </w:p>
    <w:p w:rsidR="002766BC" w:rsidRPr="00683EFB" w:rsidRDefault="002766BC" w:rsidP="003C4386">
      <w:pPr>
        <w:jc w:val="left"/>
        <w:rPr>
          <w:b/>
        </w:rPr>
      </w:pPr>
      <w:r w:rsidRPr="00683EFB">
        <w:rPr>
          <w:b/>
        </w:rPr>
        <w:t>Ações Ambientais Propostas</w:t>
      </w:r>
    </w:p>
    <w:p w:rsidR="002766BC" w:rsidRPr="00666A9B" w:rsidRDefault="002766BC" w:rsidP="009C6A8B">
      <w:pPr>
        <w:spacing w:before="120" w:after="120" w:line="240" w:lineRule="auto"/>
      </w:pPr>
      <w:r>
        <w:t>A</w:t>
      </w:r>
      <w:r w:rsidRPr="00666A9B">
        <w:t xml:space="preserve">ções de controle dos aspectos relacionados a esse impacto </w:t>
      </w:r>
      <w:r>
        <w:t>devem ser</w:t>
      </w:r>
      <w:r w:rsidRPr="00666A9B">
        <w:t xml:space="preserve"> contempladas pelo Programa de </w:t>
      </w:r>
      <w:r w:rsidR="00D225D5">
        <w:t>Comunicação e Interação Social</w:t>
      </w:r>
      <w:r w:rsidRPr="00666A9B">
        <w:t xml:space="preserve">, destacando-se </w:t>
      </w:r>
      <w:r>
        <w:t>disposições</w:t>
      </w:r>
      <w:r w:rsidRPr="00666A9B">
        <w:t xml:space="preserve"> como a implementação continuada de ações informativas relativas a: número de empregos a serem criados, tipo de formação profissional exigida e em que prazo, entre outras informações relevantes.</w:t>
      </w:r>
    </w:p>
    <w:p w:rsidR="002766BC" w:rsidRDefault="002766BC" w:rsidP="009C6A8B">
      <w:pPr>
        <w:spacing w:before="120" w:after="120" w:line="240" w:lineRule="auto"/>
      </w:pPr>
      <w:r w:rsidRPr="008F7C9E">
        <w:t>Ainda, o Programa de Gestão Ambiental</w:t>
      </w:r>
      <w:r w:rsidR="008F7C9E" w:rsidRPr="008F7C9E">
        <w:t xml:space="preserve"> da Obra</w:t>
      </w:r>
      <w:r w:rsidRPr="00666A9B">
        <w:t xml:space="preserve"> conta</w:t>
      </w:r>
      <w:r>
        <w:t>rá</w:t>
      </w:r>
      <w:r w:rsidRPr="00666A9B">
        <w:t xml:space="preserve"> com diretrizes e ações destinadas à mobilização de mão de obra, com prioridade à utilização de mão de obra local, isto é, envolvendo a contratação direta de trabalhadores locais e de terceirização de empresas localizadas nos municípios</w:t>
      </w:r>
      <w:r>
        <w:t xml:space="preserve"> da AID-vizinhança</w:t>
      </w:r>
      <w:r w:rsidRPr="00666A9B">
        <w:t xml:space="preserve">. </w:t>
      </w:r>
      <w:r>
        <w:t>Ações im</w:t>
      </w:r>
      <w:r w:rsidRPr="00666A9B">
        <w:t>portante</w:t>
      </w:r>
      <w:r>
        <w:t>s</w:t>
      </w:r>
      <w:r w:rsidRPr="00666A9B">
        <w:t xml:space="preserve"> </w:t>
      </w:r>
      <w:r>
        <w:t>visando</w:t>
      </w:r>
      <w:r w:rsidRPr="00666A9B">
        <w:t xml:space="preserve"> priorizar a mão de obra</w:t>
      </w:r>
      <w:r>
        <w:t xml:space="preserve"> local podem ser: </w:t>
      </w:r>
    </w:p>
    <w:p w:rsidR="002766BC" w:rsidRPr="009C6A8B" w:rsidRDefault="002766BC" w:rsidP="00934068">
      <w:pPr>
        <w:pStyle w:val="Item-Bolinha"/>
      </w:pPr>
      <w:r w:rsidRPr="009C6A8B">
        <w:t xml:space="preserve">Divulgação regional do perfil das vagas e das oportunidades para prestadores de serviços e fornecedores de equipamentos e insumos; </w:t>
      </w:r>
    </w:p>
    <w:p w:rsidR="002766BC" w:rsidRPr="009C6A8B" w:rsidRDefault="002766BC" w:rsidP="00934068">
      <w:pPr>
        <w:pStyle w:val="Item-Bolinha"/>
      </w:pPr>
      <w:r w:rsidRPr="009C6A8B">
        <w:t>Cadastramento de mão de obra, por exemplo, através de estabelecimento de acordos e convênios com empresas de recolocação profissional para que realizem os contatos prévios, alimentem os bancos de dados e realizem as etapas preliminares de seleção.</w:t>
      </w:r>
    </w:p>
    <w:p w:rsidR="002766BC" w:rsidRPr="007072C2" w:rsidRDefault="002766BC" w:rsidP="00934068">
      <w:pPr>
        <w:pStyle w:val="Item-Bolinha"/>
      </w:pPr>
      <w:r w:rsidRPr="009C6A8B">
        <w:t>Seleção e contratação: consiste a seleção da mão de obra para preenchimento das vagas, a partir do banco de dados. Para algumas funções, o local de residência (proximidade dos canteiros e bases de apoio) pode ser critério prioritário de seleção.</w:t>
      </w:r>
    </w:p>
    <w:p w:rsidR="00973BCF" w:rsidRPr="00934068" w:rsidRDefault="00CD6D82" w:rsidP="00934068">
      <w:pPr>
        <w:pStyle w:val="Ttulo3"/>
        <w:rPr>
          <w:rFonts w:ascii="Arial Negrito" w:hAnsi="Arial Negrito"/>
          <w:bCs/>
        </w:rPr>
      </w:pPr>
      <w:bookmarkStart w:id="434" w:name="_Toc418758264"/>
      <w:bookmarkStart w:id="435" w:name="_Toc418758866"/>
      <w:bookmarkStart w:id="436" w:name="_Toc419813626"/>
      <w:r w:rsidRPr="00934068">
        <w:rPr>
          <w:rFonts w:ascii="Arial Negrito" w:hAnsi="Arial Negrito"/>
          <w:bCs/>
        </w:rPr>
        <w:t>1.3.3.17</w:t>
      </w:r>
      <w:r w:rsidR="00973BCF" w:rsidRPr="00934068">
        <w:rPr>
          <w:rFonts w:ascii="Arial Negrito" w:hAnsi="Arial Negrito"/>
          <w:bCs/>
        </w:rPr>
        <w:t>. Aumento da Arrecadação Financeira nos Municípios da AID</w:t>
      </w:r>
      <w:bookmarkEnd w:id="434"/>
      <w:bookmarkEnd w:id="435"/>
      <w:bookmarkEnd w:id="436"/>
    </w:p>
    <w:p w:rsidR="00DA178B" w:rsidRPr="00DA178B" w:rsidRDefault="00DA178B" w:rsidP="00934068">
      <w:pPr>
        <w:pStyle w:val="PargrafodaLista"/>
        <w:spacing w:before="240" w:after="240" w:line="240" w:lineRule="auto"/>
        <w:ind w:left="0"/>
        <w:jc w:val="both"/>
        <w:rPr>
          <w:rFonts w:ascii="Arial" w:hAnsi="Arial" w:cs="Arial"/>
          <w:b/>
        </w:rPr>
      </w:pPr>
      <w:r>
        <w:rPr>
          <w:rFonts w:ascii="Arial" w:hAnsi="Arial" w:cs="Arial"/>
          <w:b/>
        </w:rPr>
        <w:t xml:space="preserve">a) </w:t>
      </w:r>
      <w:r w:rsidRPr="00DA178B">
        <w:rPr>
          <w:rFonts w:ascii="Arial" w:hAnsi="Arial" w:cs="Arial"/>
          <w:b/>
        </w:rPr>
        <w:t xml:space="preserve">Fase de Implantação </w:t>
      </w:r>
    </w:p>
    <w:p w:rsidR="00DA178B" w:rsidRPr="00DA178B" w:rsidRDefault="00DA178B" w:rsidP="00934068">
      <w:pPr>
        <w:pStyle w:val="Item-Bolinha"/>
      </w:pPr>
      <w:r w:rsidRPr="00DA178B">
        <w:t>Devido à instalação dos canteiros de obra e outros pontos de apoio</w:t>
      </w:r>
    </w:p>
    <w:p w:rsidR="00DA178B" w:rsidRPr="00DA178B" w:rsidRDefault="00DA178B" w:rsidP="00DA178B">
      <w:pPr>
        <w:spacing w:before="120" w:after="120" w:line="240" w:lineRule="auto"/>
        <w:rPr>
          <w:rFonts w:cs="Arial"/>
        </w:rPr>
      </w:pPr>
      <w:r w:rsidRPr="00DA178B">
        <w:rPr>
          <w:rFonts w:cs="Arial"/>
        </w:rPr>
        <w:t>A instalação dos canteiros de obra e outros pontos de apoio e, posteriormente sua operação, proporciona incremento na receita dos municípios que sediarão as obras, Amparo e Pedreira</w:t>
      </w:r>
      <w:r>
        <w:rPr>
          <w:rFonts w:cs="Arial"/>
        </w:rPr>
        <w:t>.</w:t>
      </w:r>
      <w:r w:rsidRPr="00DA178B">
        <w:rPr>
          <w:rFonts w:cs="Arial"/>
        </w:rPr>
        <w:t xml:space="preserve"> </w:t>
      </w:r>
    </w:p>
    <w:p w:rsidR="00DA178B" w:rsidRPr="00DA178B" w:rsidRDefault="00DA178B" w:rsidP="00DA178B">
      <w:pPr>
        <w:spacing w:before="120" w:after="120" w:line="240" w:lineRule="auto"/>
        <w:rPr>
          <w:rFonts w:cs="Arial"/>
        </w:rPr>
      </w:pPr>
      <w:r w:rsidRPr="00DA178B">
        <w:rPr>
          <w:rFonts w:cs="Arial"/>
        </w:rPr>
        <w:t xml:space="preserve">O modo como esse processo ocorre é complexo e se relaciona ao quanto todos esses eventos, quer episódicos, quer com frequência determinada, bem como os processos de natureza permanente, irão provocar o que se denomina </w:t>
      </w:r>
      <w:r w:rsidRPr="00DA178B">
        <w:rPr>
          <w:rFonts w:cs="Arial"/>
          <w:i/>
        </w:rPr>
        <w:t>fato gerador de arrecadação</w:t>
      </w:r>
      <w:r w:rsidRPr="00DA178B">
        <w:rPr>
          <w:rFonts w:cs="Arial"/>
        </w:rPr>
        <w:t>, no âmbito dos tributos municipais e aumento das transferências estaduais (quota parte municipal do ICMS, quota parte municipal do IPVA) ou federal (Fundo de Participação dos Municípios (FPM), SUS, Fundef entre outros).</w:t>
      </w:r>
    </w:p>
    <w:p w:rsidR="00DA178B" w:rsidRPr="00DA178B" w:rsidRDefault="00DA178B" w:rsidP="00DA178B">
      <w:pPr>
        <w:spacing w:before="120" w:after="120" w:line="240" w:lineRule="auto"/>
        <w:rPr>
          <w:rFonts w:cs="Arial"/>
        </w:rPr>
      </w:pPr>
      <w:r w:rsidRPr="00DA178B">
        <w:rPr>
          <w:rFonts w:cs="Arial"/>
        </w:rPr>
        <w:t xml:space="preserve">Para uma avaliação básica daqueles que são de fato significativos, costuma-se dividir essa análise em duas etapas: os fatos geradores que normalmente ocorrem durante a instalação; e os fatores geradores presentes após a construção (operação) dos barramentos, a serem tratados mais adiante. </w:t>
      </w:r>
    </w:p>
    <w:p w:rsidR="00DA178B" w:rsidRPr="00DA178B" w:rsidRDefault="00DA178B" w:rsidP="00DA178B">
      <w:pPr>
        <w:spacing w:before="120" w:after="120" w:line="240" w:lineRule="auto"/>
        <w:rPr>
          <w:rFonts w:cs="Arial"/>
        </w:rPr>
      </w:pPr>
      <w:r w:rsidRPr="00DA178B">
        <w:rPr>
          <w:rFonts w:cs="Arial"/>
        </w:rPr>
        <w:t xml:space="preserve">Posto isso, na fase de implantação, entre os fatos geradores possíveis, considerando os impostos e taxas municipais (IPTU, ISSQN, ITBI) e os mecanismos instituídos nas transferências, cabe destaque ao incremento da arrecadação do Imposto Sobre Serviços de Qualquer Natureza (ISSQN) como sendo de fato relevante. Sendo que, nesse caso, o serviço praticado que mais se destaca é aquele associado à engenharia e construção civil. </w:t>
      </w:r>
    </w:p>
    <w:p w:rsidR="00DA178B" w:rsidRPr="00DA178B" w:rsidRDefault="00DA178B" w:rsidP="00DA178B">
      <w:pPr>
        <w:spacing w:before="120" w:after="120" w:line="240" w:lineRule="auto"/>
        <w:rPr>
          <w:rFonts w:cs="Arial"/>
        </w:rPr>
      </w:pPr>
      <w:r w:rsidRPr="00DA178B">
        <w:rPr>
          <w:rFonts w:cs="Arial"/>
        </w:rPr>
        <w:t>Esse tributo é devido no local onde se realiza a obra e a legislação relacionada à base de cálculo, alíquota etc. Portanto, saber cobrá-lo devidamente é prerrogativa das administrações municipais sedes dos barramentos</w:t>
      </w:r>
      <w:r w:rsidR="00F71737">
        <w:rPr>
          <w:rFonts w:cs="Arial"/>
        </w:rPr>
        <w:t>.</w:t>
      </w:r>
      <w:r w:rsidRPr="00DA178B">
        <w:rPr>
          <w:rFonts w:cs="Arial"/>
        </w:rPr>
        <w:t xml:space="preserve"> Assim, pode-se obter uma aproximação dos possíveis impactos na arrecadação do ISS. </w:t>
      </w:r>
    </w:p>
    <w:p w:rsidR="00DA178B" w:rsidRPr="00DA178B" w:rsidRDefault="00DA178B" w:rsidP="00DA178B">
      <w:pPr>
        <w:spacing w:before="120" w:after="120" w:line="240" w:lineRule="auto"/>
        <w:rPr>
          <w:rFonts w:cs="Arial"/>
        </w:rPr>
      </w:pPr>
      <w:r w:rsidRPr="00DA178B">
        <w:rPr>
          <w:rFonts w:cs="Arial"/>
        </w:rPr>
        <w:t>Dito de outro modo, quanto maior for o porte econômico e o desenvolvimento do setor de serviços do município menos impactos significativos ocorrerá na receita proveniente desse imposto, assim como, ao contrário, os municípios de menor porte e base de serviços pouco consistente terão elevações em suas receitas de ISS de maior significado.</w:t>
      </w:r>
    </w:p>
    <w:p w:rsidR="00DA178B" w:rsidRDefault="00DA178B" w:rsidP="00DA178B">
      <w:pPr>
        <w:spacing w:before="120" w:after="120" w:line="240" w:lineRule="auto"/>
        <w:rPr>
          <w:rFonts w:cs="Arial"/>
        </w:rPr>
      </w:pPr>
      <w:r w:rsidRPr="00DA178B">
        <w:rPr>
          <w:rFonts w:cs="Arial"/>
        </w:rPr>
        <w:t xml:space="preserve">O impacto é considerado positivo, certo de ocorrer, de abrangência local, reversível e de curto prazo, finalizando ao término da obra, resultando em magnitude média. É também qualificado como temporário, com incidência direta, não mitigável e de importância média. </w:t>
      </w:r>
    </w:p>
    <w:p w:rsidR="00DA178B" w:rsidRPr="00C50DD2" w:rsidRDefault="00402E81" w:rsidP="00FC59A6">
      <w:pPr>
        <w:pStyle w:val="Legenda"/>
        <w:spacing w:before="0" w:after="0" w:line="240" w:lineRule="auto"/>
        <w:jc w:val="center"/>
        <w:rPr>
          <w:rFonts w:cs="Arial"/>
          <w:b w:val="0"/>
          <w:bCs/>
          <w:i w:val="0"/>
        </w:rPr>
      </w:pPr>
      <w:bookmarkStart w:id="437" w:name="_Toc420316544"/>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101</w:t>
      </w:r>
      <w:r w:rsidR="00B80A05" w:rsidRPr="00C50DD2">
        <w:rPr>
          <w:i w:val="0"/>
          <w:noProof/>
        </w:rPr>
        <w:fldChar w:fldCharType="end"/>
      </w:r>
      <w:r w:rsidR="00C50DD2" w:rsidRPr="00C50DD2">
        <w:rPr>
          <w:i w:val="0"/>
          <w:noProof/>
        </w:rPr>
        <w:t>.</w:t>
      </w:r>
      <w:r w:rsidR="00C50DD2" w:rsidRPr="00C50DD2">
        <w:rPr>
          <w:b w:val="0"/>
          <w:i w:val="0"/>
          <w:noProof/>
        </w:rPr>
        <w:t xml:space="preserve"> - </w:t>
      </w:r>
      <w:r w:rsidR="00DA178B" w:rsidRPr="00C50DD2">
        <w:rPr>
          <w:rFonts w:cs="Arial"/>
          <w:b w:val="0"/>
          <w:bCs/>
          <w:i w:val="0"/>
        </w:rPr>
        <w:t xml:space="preserve">Caracterização do Impacto – </w:t>
      </w:r>
      <w:r w:rsidR="00C55FEC" w:rsidRPr="00C50DD2">
        <w:rPr>
          <w:rFonts w:cs="Arial"/>
          <w:b w:val="0"/>
          <w:i w:val="0"/>
          <w:szCs w:val="22"/>
        </w:rPr>
        <w:t>Aumento da Arrecadação Financeira nos Municípios da AID</w:t>
      </w:r>
      <w:r w:rsidR="00C55FEC" w:rsidRPr="00C50DD2">
        <w:rPr>
          <w:rFonts w:cs="Arial"/>
          <w:b w:val="0"/>
          <w:bCs/>
          <w:i w:val="0"/>
        </w:rPr>
        <w:t xml:space="preserve"> </w:t>
      </w:r>
      <w:r w:rsidR="00DA178B" w:rsidRPr="00C50DD2">
        <w:rPr>
          <w:rFonts w:cs="Arial"/>
          <w:b w:val="0"/>
          <w:bCs/>
          <w:i w:val="0"/>
        </w:rPr>
        <w:t>— Fase de Implantação</w:t>
      </w:r>
      <w:r w:rsidR="00F71737" w:rsidRPr="00C50DD2">
        <w:rPr>
          <w:rFonts w:cs="Arial"/>
          <w:b w:val="0"/>
          <w:bCs/>
          <w:i w:val="0"/>
        </w:rPr>
        <w:t xml:space="preserve"> – Barragens Pedreira e Duas Pontes</w:t>
      </w:r>
      <w:bookmarkEnd w:id="43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2"/>
        <w:gridCol w:w="1772"/>
        <w:gridCol w:w="1772"/>
        <w:gridCol w:w="1772"/>
        <w:gridCol w:w="1772"/>
      </w:tblGrid>
      <w:tr w:rsidR="00DA178B" w:rsidRPr="00DE3A6F" w:rsidTr="00934068">
        <w:trPr>
          <w:trHeight w:val="518"/>
          <w:jc w:val="center"/>
        </w:trPr>
        <w:tc>
          <w:tcPr>
            <w:tcW w:w="1772" w:type="dxa"/>
            <w:shd w:val="clear" w:color="auto" w:fill="D9D9D9" w:themeFill="background1" w:themeFillShade="D9"/>
            <w:vAlign w:val="center"/>
          </w:tcPr>
          <w:p w:rsidR="00DA178B" w:rsidRPr="00DE3A6F" w:rsidRDefault="00DA178B" w:rsidP="00267805">
            <w:pPr>
              <w:autoSpaceDE w:val="0"/>
              <w:autoSpaceDN w:val="0"/>
              <w:adjustRightInd w:val="0"/>
              <w:spacing w:line="240" w:lineRule="auto"/>
              <w:jc w:val="center"/>
              <w:rPr>
                <w:rFonts w:cs="Arial"/>
                <w:b/>
                <w:sz w:val="20"/>
              </w:rPr>
            </w:pPr>
            <w:r w:rsidRPr="00DE3A6F">
              <w:rPr>
                <w:rFonts w:cs="Arial"/>
                <w:b/>
                <w:sz w:val="20"/>
              </w:rPr>
              <w:t>Natureza</w:t>
            </w:r>
          </w:p>
        </w:tc>
        <w:tc>
          <w:tcPr>
            <w:tcW w:w="1772" w:type="dxa"/>
            <w:shd w:val="clear" w:color="auto" w:fill="D9D9D9" w:themeFill="background1" w:themeFillShade="D9"/>
            <w:vAlign w:val="center"/>
          </w:tcPr>
          <w:p w:rsidR="00DA178B" w:rsidRPr="00DE3A6F" w:rsidRDefault="00DA178B" w:rsidP="00267805">
            <w:pPr>
              <w:autoSpaceDE w:val="0"/>
              <w:autoSpaceDN w:val="0"/>
              <w:adjustRightInd w:val="0"/>
              <w:spacing w:line="240" w:lineRule="auto"/>
              <w:jc w:val="center"/>
              <w:rPr>
                <w:rFonts w:cs="Arial"/>
                <w:b/>
                <w:sz w:val="20"/>
              </w:rPr>
            </w:pPr>
            <w:r w:rsidRPr="00DE3A6F">
              <w:rPr>
                <w:rFonts w:cs="Arial"/>
                <w:b/>
                <w:sz w:val="20"/>
              </w:rPr>
              <w:t>Ordem</w:t>
            </w:r>
          </w:p>
        </w:tc>
        <w:tc>
          <w:tcPr>
            <w:tcW w:w="1772" w:type="dxa"/>
            <w:shd w:val="clear" w:color="auto" w:fill="D9D9D9" w:themeFill="background1" w:themeFillShade="D9"/>
            <w:vAlign w:val="center"/>
          </w:tcPr>
          <w:p w:rsidR="00DA178B" w:rsidRPr="00DE3A6F" w:rsidRDefault="00DA178B" w:rsidP="00267805">
            <w:pPr>
              <w:autoSpaceDE w:val="0"/>
              <w:autoSpaceDN w:val="0"/>
              <w:adjustRightInd w:val="0"/>
              <w:spacing w:line="240" w:lineRule="auto"/>
              <w:jc w:val="center"/>
              <w:rPr>
                <w:rFonts w:cs="Arial"/>
                <w:b/>
                <w:sz w:val="20"/>
              </w:rPr>
            </w:pPr>
            <w:r w:rsidRPr="00DE3A6F">
              <w:rPr>
                <w:rFonts w:cs="Arial"/>
                <w:b/>
                <w:sz w:val="20"/>
              </w:rPr>
              <w:t>Abrangência</w:t>
            </w:r>
          </w:p>
        </w:tc>
        <w:tc>
          <w:tcPr>
            <w:tcW w:w="1772" w:type="dxa"/>
            <w:shd w:val="clear" w:color="auto" w:fill="D9D9D9" w:themeFill="background1" w:themeFillShade="D9"/>
            <w:vAlign w:val="center"/>
          </w:tcPr>
          <w:p w:rsidR="00DA178B" w:rsidRPr="00DE3A6F" w:rsidRDefault="00DA178B" w:rsidP="00267805">
            <w:pPr>
              <w:autoSpaceDE w:val="0"/>
              <w:autoSpaceDN w:val="0"/>
              <w:adjustRightInd w:val="0"/>
              <w:spacing w:line="240" w:lineRule="auto"/>
              <w:jc w:val="center"/>
              <w:rPr>
                <w:rFonts w:cs="Arial"/>
                <w:b/>
                <w:sz w:val="20"/>
              </w:rPr>
            </w:pPr>
            <w:r w:rsidRPr="00DE3A6F">
              <w:rPr>
                <w:rFonts w:cs="Arial"/>
                <w:b/>
                <w:sz w:val="20"/>
              </w:rPr>
              <w:t>Duração</w:t>
            </w:r>
          </w:p>
        </w:tc>
        <w:tc>
          <w:tcPr>
            <w:tcW w:w="1772" w:type="dxa"/>
            <w:shd w:val="clear" w:color="auto" w:fill="D9D9D9" w:themeFill="background1" w:themeFillShade="D9"/>
            <w:vAlign w:val="center"/>
          </w:tcPr>
          <w:p w:rsidR="00DA178B" w:rsidRPr="00DE3A6F" w:rsidRDefault="00DA178B" w:rsidP="00267805">
            <w:pPr>
              <w:autoSpaceDE w:val="0"/>
              <w:autoSpaceDN w:val="0"/>
              <w:adjustRightInd w:val="0"/>
              <w:spacing w:line="240" w:lineRule="auto"/>
              <w:jc w:val="center"/>
              <w:rPr>
                <w:rFonts w:cs="Arial"/>
                <w:b/>
                <w:sz w:val="20"/>
              </w:rPr>
            </w:pPr>
            <w:r w:rsidRPr="00DE3A6F">
              <w:rPr>
                <w:rFonts w:cs="Arial"/>
                <w:b/>
                <w:sz w:val="20"/>
              </w:rPr>
              <w:t>Probabilidade de Ocorrência</w:t>
            </w:r>
          </w:p>
        </w:tc>
      </w:tr>
      <w:tr w:rsidR="00DA178B" w:rsidRPr="00DE3A6F" w:rsidTr="007441F1">
        <w:trPr>
          <w:trHeight w:val="273"/>
          <w:jc w:val="center"/>
        </w:trPr>
        <w:tc>
          <w:tcPr>
            <w:tcW w:w="1772" w:type="dxa"/>
            <w:shd w:val="clear" w:color="auto" w:fill="auto"/>
            <w:vAlign w:val="center"/>
          </w:tcPr>
          <w:p w:rsidR="00DA178B" w:rsidRPr="00DE3A6F" w:rsidRDefault="00DA178B" w:rsidP="007441F1">
            <w:pPr>
              <w:autoSpaceDE w:val="0"/>
              <w:autoSpaceDN w:val="0"/>
              <w:adjustRightInd w:val="0"/>
              <w:jc w:val="center"/>
              <w:rPr>
                <w:rFonts w:cs="Arial"/>
                <w:sz w:val="20"/>
              </w:rPr>
            </w:pPr>
            <w:r>
              <w:rPr>
                <w:rFonts w:cs="Arial"/>
                <w:sz w:val="20"/>
              </w:rPr>
              <w:t>Positivo</w:t>
            </w:r>
          </w:p>
        </w:tc>
        <w:tc>
          <w:tcPr>
            <w:tcW w:w="1772" w:type="dxa"/>
            <w:shd w:val="clear" w:color="auto" w:fill="auto"/>
            <w:vAlign w:val="center"/>
          </w:tcPr>
          <w:p w:rsidR="00DA178B" w:rsidRPr="00DE3A6F" w:rsidRDefault="00DA178B" w:rsidP="007441F1">
            <w:pPr>
              <w:autoSpaceDE w:val="0"/>
              <w:autoSpaceDN w:val="0"/>
              <w:adjustRightInd w:val="0"/>
              <w:jc w:val="center"/>
              <w:rPr>
                <w:rFonts w:cs="Arial"/>
                <w:sz w:val="20"/>
              </w:rPr>
            </w:pPr>
            <w:r>
              <w:rPr>
                <w:rFonts w:cs="Arial"/>
                <w:sz w:val="20"/>
              </w:rPr>
              <w:t>Direto</w:t>
            </w:r>
          </w:p>
        </w:tc>
        <w:tc>
          <w:tcPr>
            <w:tcW w:w="1772" w:type="dxa"/>
            <w:shd w:val="clear" w:color="auto" w:fill="auto"/>
            <w:vAlign w:val="center"/>
          </w:tcPr>
          <w:p w:rsidR="00DA178B" w:rsidRPr="00DE3A6F" w:rsidRDefault="00DA178B" w:rsidP="007441F1">
            <w:pPr>
              <w:autoSpaceDE w:val="0"/>
              <w:autoSpaceDN w:val="0"/>
              <w:adjustRightInd w:val="0"/>
              <w:jc w:val="center"/>
              <w:rPr>
                <w:rFonts w:cs="Arial"/>
                <w:sz w:val="20"/>
              </w:rPr>
            </w:pPr>
            <w:r>
              <w:rPr>
                <w:rFonts w:cs="Arial"/>
                <w:sz w:val="20"/>
              </w:rPr>
              <w:t>Local</w:t>
            </w:r>
          </w:p>
        </w:tc>
        <w:tc>
          <w:tcPr>
            <w:tcW w:w="1772" w:type="dxa"/>
            <w:shd w:val="clear" w:color="auto" w:fill="auto"/>
            <w:vAlign w:val="center"/>
          </w:tcPr>
          <w:p w:rsidR="00DA178B" w:rsidRPr="00DE3A6F" w:rsidRDefault="00DA178B" w:rsidP="007441F1">
            <w:pPr>
              <w:autoSpaceDE w:val="0"/>
              <w:autoSpaceDN w:val="0"/>
              <w:adjustRightInd w:val="0"/>
              <w:jc w:val="center"/>
              <w:rPr>
                <w:rFonts w:cs="Arial"/>
                <w:sz w:val="20"/>
              </w:rPr>
            </w:pPr>
            <w:r>
              <w:rPr>
                <w:rFonts w:cs="Arial"/>
                <w:sz w:val="20"/>
              </w:rPr>
              <w:t>Temporário</w:t>
            </w:r>
          </w:p>
        </w:tc>
        <w:tc>
          <w:tcPr>
            <w:tcW w:w="1772" w:type="dxa"/>
            <w:shd w:val="clear" w:color="auto" w:fill="auto"/>
            <w:vAlign w:val="center"/>
          </w:tcPr>
          <w:p w:rsidR="00DA178B" w:rsidRPr="00DE3A6F" w:rsidRDefault="00DA178B" w:rsidP="007441F1">
            <w:pPr>
              <w:autoSpaceDE w:val="0"/>
              <w:autoSpaceDN w:val="0"/>
              <w:adjustRightInd w:val="0"/>
              <w:jc w:val="center"/>
              <w:rPr>
                <w:rFonts w:cs="Arial"/>
                <w:sz w:val="20"/>
              </w:rPr>
            </w:pPr>
            <w:r>
              <w:rPr>
                <w:rFonts w:cs="Arial"/>
                <w:sz w:val="20"/>
              </w:rPr>
              <w:t>Certo</w:t>
            </w:r>
          </w:p>
        </w:tc>
      </w:tr>
    </w:tbl>
    <w:p w:rsidR="00DA178B" w:rsidRPr="00DE3A6F" w:rsidRDefault="00DA178B" w:rsidP="00DA178B">
      <w:pPr>
        <w:autoSpaceDE w:val="0"/>
        <w:autoSpaceDN w:val="0"/>
        <w:adjustRightInd w:val="0"/>
        <w:jc w:val="center"/>
        <w:rPr>
          <w:rFonts w:cs="Arial"/>
          <w:sz w:val="20"/>
        </w:rPr>
      </w:pPr>
    </w:p>
    <w:tbl>
      <w:tblPr>
        <w:tblW w:w="0" w:type="auto"/>
        <w:jc w:val="center"/>
        <w:tblInd w:w="-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55"/>
        <w:gridCol w:w="1755"/>
        <w:gridCol w:w="1755"/>
        <w:gridCol w:w="1755"/>
        <w:gridCol w:w="1755"/>
      </w:tblGrid>
      <w:tr w:rsidR="00DA178B" w:rsidRPr="00DE3A6F" w:rsidTr="00934068">
        <w:trPr>
          <w:trHeight w:val="397"/>
          <w:jc w:val="center"/>
        </w:trPr>
        <w:tc>
          <w:tcPr>
            <w:tcW w:w="1755" w:type="dxa"/>
            <w:shd w:val="clear" w:color="auto" w:fill="D9D9D9" w:themeFill="background1" w:themeFillShade="D9"/>
            <w:vAlign w:val="center"/>
          </w:tcPr>
          <w:p w:rsidR="00DA178B" w:rsidRPr="00DE3A6F" w:rsidRDefault="00DA178B" w:rsidP="00267805">
            <w:pPr>
              <w:autoSpaceDE w:val="0"/>
              <w:autoSpaceDN w:val="0"/>
              <w:adjustRightInd w:val="0"/>
              <w:spacing w:line="240" w:lineRule="auto"/>
              <w:jc w:val="center"/>
              <w:rPr>
                <w:rFonts w:cs="Arial"/>
                <w:b/>
                <w:sz w:val="20"/>
              </w:rPr>
            </w:pPr>
            <w:r w:rsidRPr="00DE3A6F">
              <w:rPr>
                <w:rFonts w:cs="Arial"/>
                <w:b/>
                <w:sz w:val="20"/>
              </w:rPr>
              <w:t>Época de Ocorrência</w:t>
            </w:r>
          </w:p>
        </w:tc>
        <w:tc>
          <w:tcPr>
            <w:tcW w:w="1755" w:type="dxa"/>
            <w:shd w:val="clear" w:color="auto" w:fill="D9D9D9" w:themeFill="background1" w:themeFillShade="D9"/>
            <w:vAlign w:val="center"/>
          </w:tcPr>
          <w:p w:rsidR="00DA178B" w:rsidRPr="00DE3A6F" w:rsidRDefault="00DA178B" w:rsidP="00267805">
            <w:pPr>
              <w:autoSpaceDE w:val="0"/>
              <w:autoSpaceDN w:val="0"/>
              <w:adjustRightInd w:val="0"/>
              <w:spacing w:line="240" w:lineRule="auto"/>
              <w:jc w:val="center"/>
              <w:rPr>
                <w:rFonts w:cs="Arial"/>
                <w:b/>
                <w:sz w:val="20"/>
              </w:rPr>
            </w:pPr>
            <w:r w:rsidRPr="00DE3A6F">
              <w:rPr>
                <w:rFonts w:cs="Arial"/>
                <w:b/>
                <w:sz w:val="20"/>
              </w:rPr>
              <w:t>Reversibilidade</w:t>
            </w:r>
          </w:p>
        </w:tc>
        <w:tc>
          <w:tcPr>
            <w:tcW w:w="1755" w:type="dxa"/>
            <w:shd w:val="clear" w:color="auto" w:fill="D9D9D9" w:themeFill="background1" w:themeFillShade="D9"/>
            <w:vAlign w:val="center"/>
          </w:tcPr>
          <w:p w:rsidR="00DA178B" w:rsidRPr="00DE3A6F" w:rsidRDefault="00DA178B" w:rsidP="00267805">
            <w:pPr>
              <w:autoSpaceDE w:val="0"/>
              <w:autoSpaceDN w:val="0"/>
              <w:adjustRightInd w:val="0"/>
              <w:spacing w:line="240" w:lineRule="auto"/>
              <w:jc w:val="center"/>
              <w:rPr>
                <w:rFonts w:cs="Arial"/>
                <w:b/>
                <w:sz w:val="20"/>
              </w:rPr>
            </w:pPr>
            <w:r w:rsidRPr="00DE3A6F">
              <w:rPr>
                <w:rFonts w:cs="Arial"/>
                <w:b/>
                <w:sz w:val="20"/>
              </w:rPr>
              <w:t>Magnitude</w:t>
            </w:r>
          </w:p>
        </w:tc>
        <w:tc>
          <w:tcPr>
            <w:tcW w:w="1755" w:type="dxa"/>
            <w:shd w:val="clear" w:color="auto" w:fill="D9D9D9" w:themeFill="background1" w:themeFillShade="D9"/>
            <w:vAlign w:val="center"/>
          </w:tcPr>
          <w:p w:rsidR="00DA178B" w:rsidRPr="00DE3A6F" w:rsidRDefault="00DA178B" w:rsidP="00267805">
            <w:pPr>
              <w:autoSpaceDE w:val="0"/>
              <w:autoSpaceDN w:val="0"/>
              <w:adjustRightInd w:val="0"/>
              <w:spacing w:line="240" w:lineRule="auto"/>
              <w:jc w:val="center"/>
              <w:rPr>
                <w:rFonts w:cs="Arial"/>
                <w:b/>
                <w:sz w:val="20"/>
              </w:rPr>
            </w:pPr>
            <w:r w:rsidRPr="00DE3A6F">
              <w:rPr>
                <w:rFonts w:cs="Arial"/>
                <w:b/>
                <w:sz w:val="20"/>
              </w:rPr>
              <w:t>Importância</w:t>
            </w:r>
          </w:p>
        </w:tc>
        <w:tc>
          <w:tcPr>
            <w:tcW w:w="1755" w:type="dxa"/>
            <w:shd w:val="clear" w:color="auto" w:fill="D9D9D9" w:themeFill="background1" w:themeFillShade="D9"/>
            <w:vAlign w:val="center"/>
          </w:tcPr>
          <w:p w:rsidR="00DA178B" w:rsidRPr="00DE3A6F" w:rsidRDefault="00DA178B" w:rsidP="00267805">
            <w:pPr>
              <w:autoSpaceDE w:val="0"/>
              <w:autoSpaceDN w:val="0"/>
              <w:adjustRightInd w:val="0"/>
              <w:spacing w:line="240" w:lineRule="auto"/>
              <w:jc w:val="center"/>
              <w:rPr>
                <w:rFonts w:cs="Arial"/>
                <w:b/>
                <w:sz w:val="20"/>
              </w:rPr>
            </w:pPr>
            <w:r w:rsidRPr="00DE3A6F">
              <w:rPr>
                <w:rFonts w:cs="Arial"/>
                <w:b/>
                <w:sz w:val="20"/>
              </w:rPr>
              <w:t>Mitigação</w:t>
            </w:r>
          </w:p>
        </w:tc>
      </w:tr>
      <w:tr w:rsidR="00DA178B" w:rsidRPr="00DE3A6F" w:rsidTr="007441F1">
        <w:trPr>
          <w:trHeight w:val="344"/>
          <w:jc w:val="center"/>
        </w:trPr>
        <w:tc>
          <w:tcPr>
            <w:tcW w:w="1755" w:type="dxa"/>
            <w:shd w:val="clear" w:color="auto" w:fill="auto"/>
            <w:vAlign w:val="center"/>
          </w:tcPr>
          <w:p w:rsidR="00DA178B" w:rsidRPr="00DE3A6F" w:rsidRDefault="00DA178B" w:rsidP="007441F1">
            <w:pPr>
              <w:autoSpaceDE w:val="0"/>
              <w:autoSpaceDN w:val="0"/>
              <w:adjustRightInd w:val="0"/>
              <w:jc w:val="center"/>
              <w:rPr>
                <w:rFonts w:cs="Arial"/>
                <w:sz w:val="20"/>
              </w:rPr>
            </w:pPr>
            <w:r>
              <w:rPr>
                <w:rFonts w:cs="Arial"/>
                <w:sz w:val="20"/>
              </w:rPr>
              <w:t>Curto</w:t>
            </w:r>
            <w:r w:rsidR="00535BBB">
              <w:rPr>
                <w:rFonts w:cs="Arial"/>
                <w:sz w:val="20"/>
              </w:rPr>
              <w:t xml:space="preserve"> Prazo</w:t>
            </w:r>
          </w:p>
        </w:tc>
        <w:tc>
          <w:tcPr>
            <w:tcW w:w="1755" w:type="dxa"/>
            <w:shd w:val="clear" w:color="auto" w:fill="auto"/>
            <w:vAlign w:val="center"/>
          </w:tcPr>
          <w:p w:rsidR="00DA178B" w:rsidRPr="00DE3A6F" w:rsidRDefault="00DA178B" w:rsidP="007441F1">
            <w:pPr>
              <w:autoSpaceDE w:val="0"/>
              <w:autoSpaceDN w:val="0"/>
              <w:adjustRightInd w:val="0"/>
              <w:jc w:val="center"/>
              <w:rPr>
                <w:rFonts w:cs="Arial"/>
                <w:sz w:val="20"/>
              </w:rPr>
            </w:pPr>
            <w:r>
              <w:rPr>
                <w:rFonts w:cs="Arial"/>
                <w:sz w:val="20"/>
              </w:rPr>
              <w:t>Reversível</w:t>
            </w:r>
          </w:p>
        </w:tc>
        <w:tc>
          <w:tcPr>
            <w:tcW w:w="1755" w:type="dxa"/>
            <w:shd w:val="clear" w:color="auto" w:fill="auto"/>
            <w:vAlign w:val="center"/>
          </w:tcPr>
          <w:p w:rsidR="00DA178B" w:rsidRPr="00DE3A6F" w:rsidRDefault="00DA178B" w:rsidP="007441F1">
            <w:pPr>
              <w:autoSpaceDE w:val="0"/>
              <w:autoSpaceDN w:val="0"/>
              <w:adjustRightInd w:val="0"/>
              <w:jc w:val="center"/>
              <w:rPr>
                <w:rFonts w:cs="Arial"/>
                <w:sz w:val="20"/>
              </w:rPr>
            </w:pPr>
            <w:r>
              <w:rPr>
                <w:rFonts w:cs="Arial"/>
                <w:sz w:val="20"/>
              </w:rPr>
              <w:t>Média</w:t>
            </w:r>
          </w:p>
        </w:tc>
        <w:tc>
          <w:tcPr>
            <w:tcW w:w="1755" w:type="dxa"/>
            <w:shd w:val="clear" w:color="auto" w:fill="auto"/>
            <w:vAlign w:val="center"/>
          </w:tcPr>
          <w:p w:rsidR="00DA178B" w:rsidRPr="00DE3A6F" w:rsidRDefault="00DA178B" w:rsidP="007441F1">
            <w:pPr>
              <w:autoSpaceDE w:val="0"/>
              <w:autoSpaceDN w:val="0"/>
              <w:adjustRightInd w:val="0"/>
              <w:jc w:val="center"/>
              <w:rPr>
                <w:rFonts w:cs="Arial"/>
                <w:sz w:val="20"/>
              </w:rPr>
            </w:pPr>
            <w:r>
              <w:rPr>
                <w:rFonts w:cs="Arial"/>
                <w:sz w:val="20"/>
              </w:rPr>
              <w:t>Média</w:t>
            </w:r>
          </w:p>
        </w:tc>
        <w:tc>
          <w:tcPr>
            <w:tcW w:w="1755" w:type="dxa"/>
            <w:shd w:val="clear" w:color="auto" w:fill="auto"/>
            <w:vAlign w:val="center"/>
          </w:tcPr>
          <w:p w:rsidR="00DA178B" w:rsidRPr="00DE3A6F" w:rsidRDefault="00575207" w:rsidP="007441F1">
            <w:pPr>
              <w:autoSpaceDE w:val="0"/>
              <w:autoSpaceDN w:val="0"/>
              <w:adjustRightInd w:val="0"/>
              <w:jc w:val="center"/>
              <w:rPr>
                <w:rFonts w:cs="Arial"/>
                <w:sz w:val="20"/>
              </w:rPr>
            </w:pPr>
            <w:r>
              <w:rPr>
                <w:rFonts w:cs="Arial"/>
                <w:sz w:val="20"/>
              </w:rPr>
              <w:t>---</w:t>
            </w:r>
          </w:p>
        </w:tc>
      </w:tr>
    </w:tbl>
    <w:p w:rsidR="00FC59A6" w:rsidRDefault="00FC59A6" w:rsidP="003C4386">
      <w:pPr>
        <w:autoSpaceDE w:val="0"/>
        <w:autoSpaceDN w:val="0"/>
        <w:adjustRightInd w:val="0"/>
        <w:rPr>
          <w:rFonts w:cs="Arial"/>
          <w:b/>
        </w:rPr>
      </w:pPr>
    </w:p>
    <w:p w:rsidR="00DA178B" w:rsidRPr="00AC32C6" w:rsidRDefault="00DA178B" w:rsidP="003C4386">
      <w:pPr>
        <w:autoSpaceDE w:val="0"/>
        <w:autoSpaceDN w:val="0"/>
        <w:adjustRightInd w:val="0"/>
        <w:rPr>
          <w:rFonts w:cs="Arial"/>
          <w:b/>
        </w:rPr>
      </w:pPr>
      <w:r w:rsidRPr="00AC32C6">
        <w:rPr>
          <w:rFonts w:cs="Arial"/>
          <w:b/>
        </w:rPr>
        <w:t>Ações Ambientais Propostas</w:t>
      </w:r>
    </w:p>
    <w:p w:rsidR="00DA178B" w:rsidRPr="00666A9B" w:rsidRDefault="00DA178B" w:rsidP="00F71737">
      <w:pPr>
        <w:spacing w:before="120" w:after="120" w:line="240" w:lineRule="auto"/>
      </w:pPr>
      <w:r w:rsidRPr="00666A9B">
        <w:rPr>
          <w:rStyle w:val="NormalPargrafoChar"/>
          <w:rFonts w:eastAsia="Calibri"/>
        </w:rPr>
        <w:t xml:space="preserve">Não cabem medidas, porém, é importante observar que essas receitas serão temporárias, </w:t>
      </w:r>
      <w:r>
        <w:rPr>
          <w:rStyle w:val="NormalPargrafoChar"/>
          <w:rFonts w:eastAsia="Calibri"/>
        </w:rPr>
        <w:t xml:space="preserve">e </w:t>
      </w:r>
      <w:r w:rsidRPr="00666A9B">
        <w:rPr>
          <w:rStyle w:val="NormalPargrafoChar"/>
          <w:rFonts w:eastAsia="Calibri"/>
        </w:rPr>
        <w:t>as administrações locais</w:t>
      </w:r>
      <w:r>
        <w:rPr>
          <w:rStyle w:val="NormalPargrafoChar"/>
          <w:rFonts w:eastAsia="Calibri"/>
        </w:rPr>
        <w:t>, para se beneficiarem de fato,</w:t>
      </w:r>
      <w:r w:rsidRPr="00666A9B">
        <w:rPr>
          <w:rStyle w:val="NormalPargrafoChar"/>
          <w:rFonts w:eastAsia="Calibri"/>
        </w:rPr>
        <w:t xml:space="preserve"> deverão atuar de modo planejado, </w:t>
      </w:r>
      <w:r>
        <w:rPr>
          <w:rStyle w:val="NormalPargrafoChar"/>
          <w:rFonts w:eastAsia="Calibri"/>
        </w:rPr>
        <w:t>a fim de</w:t>
      </w:r>
      <w:r w:rsidRPr="00666A9B">
        <w:rPr>
          <w:rStyle w:val="NormalPargrafoChar"/>
          <w:rFonts w:eastAsia="Calibri"/>
        </w:rPr>
        <w:t xml:space="preserve"> não elevar as despesas municipais de forma continuada, o que implicaria desequilíbrios orçamentários no futuro</w:t>
      </w:r>
      <w:r w:rsidRPr="00666A9B">
        <w:t>.</w:t>
      </w:r>
    </w:p>
    <w:p w:rsidR="00DA178B" w:rsidRPr="00F71737" w:rsidRDefault="00F71737" w:rsidP="00934068">
      <w:pPr>
        <w:pStyle w:val="PargrafodaLista"/>
        <w:spacing w:before="240" w:after="240" w:line="240" w:lineRule="auto"/>
        <w:ind w:left="0"/>
        <w:jc w:val="both"/>
        <w:rPr>
          <w:rFonts w:ascii="Arial" w:hAnsi="Arial" w:cs="Arial"/>
          <w:b/>
        </w:rPr>
      </w:pPr>
      <w:r>
        <w:rPr>
          <w:rFonts w:ascii="Arial" w:hAnsi="Arial" w:cs="Arial"/>
          <w:b/>
        </w:rPr>
        <w:t xml:space="preserve">b) </w:t>
      </w:r>
      <w:r w:rsidR="00DA178B" w:rsidRPr="00F71737">
        <w:rPr>
          <w:rFonts w:ascii="Arial" w:hAnsi="Arial" w:cs="Arial"/>
          <w:b/>
        </w:rPr>
        <w:t xml:space="preserve">Fase de Operação </w:t>
      </w:r>
    </w:p>
    <w:p w:rsidR="00DA178B" w:rsidRPr="00F71737" w:rsidRDefault="00DA178B" w:rsidP="00934068">
      <w:pPr>
        <w:pStyle w:val="Item-Bolinha"/>
        <w:spacing w:before="240" w:after="240"/>
      </w:pPr>
      <w:r w:rsidRPr="00F71737">
        <w:t>Devido incremento na arrecadação de ICMS</w:t>
      </w:r>
    </w:p>
    <w:p w:rsidR="00DA178B" w:rsidRDefault="00F46D6D" w:rsidP="00F71737">
      <w:pPr>
        <w:spacing w:before="120" w:after="120" w:line="240" w:lineRule="auto"/>
        <w:rPr>
          <w:rFonts w:cs="Arial"/>
        </w:rPr>
      </w:pPr>
      <w:r>
        <w:rPr>
          <w:shd w:val="clear" w:color="auto" w:fill="FFFFFF"/>
        </w:rPr>
        <w:t>Os</w:t>
      </w:r>
      <w:r w:rsidR="00DA178B" w:rsidRPr="00F978BC">
        <w:rPr>
          <w:shd w:val="clear" w:color="auto" w:fill="FFFFFF"/>
        </w:rPr>
        <w:t xml:space="preserve"> projeto</w:t>
      </w:r>
      <w:r>
        <w:rPr>
          <w:shd w:val="clear" w:color="auto" w:fill="FFFFFF"/>
        </w:rPr>
        <w:t>s</w:t>
      </w:r>
      <w:r w:rsidR="00DA178B" w:rsidRPr="00F978BC">
        <w:rPr>
          <w:shd w:val="clear" w:color="auto" w:fill="FFFFFF"/>
        </w:rPr>
        <w:t xml:space="preserve"> das Barragens </w:t>
      </w:r>
      <w:r w:rsidR="00F71737">
        <w:rPr>
          <w:shd w:val="clear" w:color="auto" w:fill="FFFFFF"/>
        </w:rPr>
        <w:t>Pedreira e</w:t>
      </w:r>
      <w:r w:rsidR="00DA178B" w:rsidRPr="00F978BC">
        <w:rPr>
          <w:shd w:val="clear" w:color="auto" w:fill="FFFFFF"/>
        </w:rPr>
        <w:t xml:space="preserve"> Duas Pontes não preveem</w:t>
      </w:r>
      <w:r w:rsidR="00DA178B">
        <w:rPr>
          <w:shd w:val="clear" w:color="auto" w:fill="FFFFFF"/>
        </w:rPr>
        <w:t xml:space="preserve"> a constituição de sistema produtor de energia</w:t>
      </w:r>
      <w:r>
        <w:rPr>
          <w:shd w:val="clear" w:color="auto" w:fill="FFFFFF"/>
        </w:rPr>
        <w:t xml:space="preserve"> na fase inicial da operação das barragens</w:t>
      </w:r>
      <w:r w:rsidR="00DA178B">
        <w:rPr>
          <w:shd w:val="clear" w:color="auto" w:fill="FFFFFF"/>
        </w:rPr>
        <w:t xml:space="preserve">, caso em que passaria a gerar um </w:t>
      </w:r>
      <w:r w:rsidR="00DA178B" w:rsidRPr="002D18CF">
        <w:rPr>
          <w:rFonts w:cs="Arial"/>
        </w:rPr>
        <w:t>aumento da quota parte municipal do ICMS</w:t>
      </w:r>
      <w:r w:rsidR="00DA178B">
        <w:rPr>
          <w:rFonts w:cs="Arial"/>
        </w:rPr>
        <w:t xml:space="preserve"> específica, em função do produto energia </w:t>
      </w:r>
      <w:r>
        <w:rPr>
          <w:rFonts w:cs="Arial"/>
        </w:rPr>
        <w:t>hidrelétrica</w:t>
      </w:r>
      <w:r w:rsidR="00DA178B">
        <w:rPr>
          <w:rFonts w:cs="Arial"/>
        </w:rPr>
        <w:t xml:space="preserve">. </w:t>
      </w:r>
    </w:p>
    <w:p w:rsidR="00DA178B" w:rsidRPr="002D18CF" w:rsidRDefault="00DA178B" w:rsidP="00F71737">
      <w:pPr>
        <w:spacing w:before="120" w:after="120" w:line="240" w:lineRule="auto"/>
        <w:rPr>
          <w:rFonts w:cs="Arial"/>
        </w:rPr>
      </w:pPr>
      <w:r>
        <w:rPr>
          <w:rFonts w:cs="Arial"/>
        </w:rPr>
        <w:t xml:space="preserve">Todavia, em caso dessa possibilidade se tornar realidade, analogamente à fase de instalação, ter-se-ia </w:t>
      </w:r>
      <w:r w:rsidRPr="002D18CF">
        <w:rPr>
          <w:rFonts w:cs="Arial"/>
        </w:rPr>
        <w:t>para o período de operação da usina</w:t>
      </w:r>
      <w:r>
        <w:rPr>
          <w:rFonts w:cs="Arial"/>
        </w:rPr>
        <w:t xml:space="preserve"> um impacto decorrente do </w:t>
      </w:r>
      <w:r w:rsidRPr="002D18CF">
        <w:rPr>
          <w:rFonts w:cs="Arial"/>
        </w:rPr>
        <w:t>aumento da quota parte municipal do ICMS</w:t>
      </w:r>
      <w:r>
        <w:rPr>
          <w:rFonts w:cs="Arial"/>
        </w:rPr>
        <w:t>, pois</w:t>
      </w:r>
      <w:r w:rsidRPr="002D18CF">
        <w:rPr>
          <w:rFonts w:cs="Arial"/>
        </w:rPr>
        <w:t>, ao produzir e vender energia, gerar</w:t>
      </w:r>
      <w:r>
        <w:rPr>
          <w:rFonts w:cs="Arial"/>
        </w:rPr>
        <w:t>ia</w:t>
      </w:r>
      <w:r w:rsidRPr="002D18CF">
        <w:rPr>
          <w:rFonts w:cs="Arial"/>
        </w:rPr>
        <w:t xml:space="preserve"> um determinado valor adicionado para o município em que est</w:t>
      </w:r>
      <w:r>
        <w:rPr>
          <w:rFonts w:cs="Arial"/>
        </w:rPr>
        <w:t>ará</w:t>
      </w:r>
      <w:r w:rsidRPr="002D18CF">
        <w:rPr>
          <w:rFonts w:cs="Arial"/>
        </w:rPr>
        <w:t xml:space="preserve"> instalada a sua Casa de Força, o que incrementará o valor adicionado total do município.</w:t>
      </w:r>
    </w:p>
    <w:p w:rsidR="00DA178B" w:rsidRDefault="00DA178B" w:rsidP="00F71737">
      <w:pPr>
        <w:spacing w:before="120" w:after="120" w:line="240" w:lineRule="auto"/>
        <w:rPr>
          <w:rFonts w:cs="Arial"/>
        </w:rPr>
      </w:pPr>
      <w:r w:rsidRPr="002D18CF">
        <w:rPr>
          <w:rFonts w:cs="Arial"/>
        </w:rPr>
        <w:t>O valor adicionado do município é mensurado pela Secretaria da Fazenda do Estado para efeito de elaboração do Índice de Participação do Município (IPM), com o qual se determina a quota parte municipal do ICMS.</w:t>
      </w:r>
      <w:r>
        <w:rPr>
          <w:rFonts w:cs="Arial"/>
        </w:rPr>
        <w:t xml:space="preserve"> </w:t>
      </w:r>
    </w:p>
    <w:p w:rsidR="00DA178B" w:rsidRPr="00271D69" w:rsidRDefault="00DA178B" w:rsidP="006C40A6">
      <w:pPr>
        <w:spacing w:before="120" w:line="240" w:lineRule="auto"/>
        <w:rPr>
          <w:rFonts w:cs="Arial"/>
        </w:rPr>
      </w:pPr>
      <w:r w:rsidRPr="00271D69">
        <w:rPr>
          <w:rFonts w:cs="Arial"/>
        </w:rPr>
        <w:t>Nas condições apontadas, avali</w:t>
      </w:r>
      <w:r>
        <w:rPr>
          <w:rFonts w:cs="Arial"/>
        </w:rPr>
        <w:t>a-se esse impacto como impacto benéfico de mé</w:t>
      </w:r>
      <w:r w:rsidRPr="00271D69">
        <w:rPr>
          <w:rFonts w:cs="Arial"/>
        </w:rPr>
        <w:t xml:space="preserve">dia magnitude, de ocorrência certa. </w:t>
      </w:r>
    </w:p>
    <w:p w:rsidR="00DA178B" w:rsidRPr="00C50DD2" w:rsidRDefault="00402E81" w:rsidP="00FC59A6">
      <w:pPr>
        <w:pStyle w:val="Legenda"/>
        <w:spacing w:before="0" w:after="0" w:line="240" w:lineRule="auto"/>
        <w:jc w:val="center"/>
        <w:rPr>
          <w:rFonts w:cs="Arial"/>
          <w:b w:val="0"/>
          <w:bCs/>
          <w:i w:val="0"/>
        </w:rPr>
      </w:pPr>
      <w:bookmarkStart w:id="438" w:name="_Toc420316545"/>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102</w:t>
      </w:r>
      <w:r w:rsidR="00B80A05" w:rsidRPr="00C50DD2">
        <w:rPr>
          <w:i w:val="0"/>
          <w:noProof/>
        </w:rPr>
        <w:fldChar w:fldCharType="end"/>
      </w:r>
      <w:r w:rsidR="00C50DD2" w:rsidRPr="00C50DD2">
        <w:rPr>
          <w:i w:val="0"/>
          <w:noProof/>
        </w:rPr>
        <w:t>.</w:t>
      </w:r>
      <w:r w:rsidR="00C50DD2" w:rsidRPr="00C50DD2">
        <w:rPr>
          <w:b w:val="0"/>
          <w:i w:val="0"/>
          <w:noProof/>
        </w:rPr>
        <w:t xml:space="preserve"> - </w:t>
      </w:r>
      <w:r w:rsidR="00DA178B" w:rsidRPr="00C50DD2">
        <w:rPr>
          <w:rFonts w:cs="Arial"/>
          <w:b w:val="0"/>
          <w:bCs/>
          <w:i w:val="0"/>
        </w:rPr>
        <w:t xml:space="preserve">Caracterização do Impacto – </w:t>
      </w:r>
      <w:r w:rsidR="00C55FEC" w:rsidRPr="00C50DD2">
        <w:rPr>
          <w:rFonts w:cs="Arial"/>
          <w:b w:val="0"/>
          <w:i w:val="0"/>
          <w:szCs w:val="22"/>
        </w:rPr>
        <w:t>Aumento da Arrecadação Financeira nos Municípios da AID</w:t>
      </w:r>
      <w:r w:rsidR="00C55FEC" w:rsidRPr="00C50DD2">
        <w:rPr>
          <w:rFonts w:cs="Arial"/>
          <w:b w:val="0"/>
          <w:bCs/>
          <w:i w:val="0"/>
        </w:rPr>
        <w:t xml:space="preserve"> – Fase Operação </w:t>
      </w:r>
      <w:r w:rsidR="00DA178B" w:rsidRPr="00C50DD2">
        <w:rPr>
          <w:rFonts w:cs="Arial"/>
          <w:b w:val="0"/>
          <w:bCs/>
          <w:i w:val="0"/>
        </w:rPr>
        <w:t xml:space="preserve">— </w:t>
      </w:r>
      <w:r w:rsidR="00F46D6D" w:rsidRPr="00C50DD2">
        <w:rPr>
          <w:rFonts w:cs="Arial"/>
          <w:b w:val="0"/>
          <w:bCs/>
          <w:i w:val="0"/>
        </w:rPr>
        <w:t>Barragens Pedreira e Duas Pontes</w:t>
      </w:r>
      <w:bookmarkEnd w:id="438"/>
      <w:r w:rsidR="00DA178B" w:rsidRPr="00C50DD2">
        <w:rPr>
          <w:rFonts w:cs="Arial"/>
          <w:b w:val="0"/>
          <w:bCs/>
          <w:i w:val="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2"/>
        <w:gridCol w:w="1772"/>
        <w:gridCol w:w="1772"/>
        <w:gridCol w:w="1772"/>
        <w:gridCol w:w="1772"/>
      </w:tblGrid>
      <w:tr w:rsidR="00DA178B" w:rsidRPr="00DE3A6F" w:rsidTr="00934068">
        <w:trPr>
          <w:trHeight w:val="518"/>
          <w:jc w:val="center"/>
        </w:trPr>
        <w:tc>
          <w:tcPr>
            <w:tcW w:w="1772" w:type="dxa"/>
            <w:shd w:val="clear" w:color="auto" w:fill="D9D9D9" w:themeFill="background1" w:themeFillShade="D9"/>
            <w:vAlign w:val="center"/>
          </w:tcPr>
          <w:p w:rsidR="00DA178B" w:rsidRPr="00DE3A6F" w:rsidRDefault="00DA178B" w:rsidP="00F46D6D">
            <w:pPr>
              <w:autoSpaceDE w:val="0"/>
              <w:autoSpaceDN w:val="0"/>
              <w:adjustRightInd w:val="0"/>
              <w:spacing w:line="240" w:lineRule="auto"/>
              <w:jc w:val="center"/>
              <w:rPr>
                <w:rFonts w:cs="Arial"/>
                <w:b/>
                <w:sz w:val="20"/>
              </w:rPr>
            </w:pPr>
            <w:r w:rsidRPr="00DE3A6F">
              <w:rPr>
                <w:rFonts w:cs="Arial"/>
                <w:b/>
                <w:sz w:val="20"/>
              </w:rPr>
              <w:t>Natureza</w:t>
            </w:r>
          </w:p>
        </w:tc>
        <w:tc>
          <w:tcPr>
            <w:tcW w:w="1772" w:type="dxa"/>
            <w:shd w:val="clear" w:color="auto" w:fill="D9D9D9" w:themeFill="background1" w:themeFillShade="D9"/>
            <w:vAlign w:val="center"/>
          </w:tcPr>
          <w:p w:rsidR="00DA178B" w:rsidRPr="00DE3A6F" w:rsidRDefault="00DA178B" w:rsidP="00F46D6D">
            <w:pPr>
              <w:autoSpaceDE w:val="0"/>
              <w:autoSpaceDN w:val="0"/>
              <w:adjustRightInd w:val="0"/>
              <w:spacing w:line="240" w:lineRule="auto"/>
              <w:jc w:val="center"/>
              <w:rPr>
                <w:rFonts w:cs="Arial"/>
                <w:b/>
                <w:sz w:val="20"/>
              </w:rPr>
            </w:pPr>
            <w:r w:rsidRPr="00DE3A6F">
              <w:rPr>
                <w:rFonts w:cs="Arial"/>
                <w:b/>
                <w:sz w:val="20"/>
              </w:rPr>
              <w:t>Ordem</w:t>
            </w:r>
          </w:p>
        </w:tc>
        <w:tc>
          <w:tcPr>
            <w:tcW w:w="1772" w:type="dxa"/>
            <w:shd w:val="clear" w:color="auto" w:fill="D9D9D9" w:themeFill="background1" w:themeFillShade="D9"/>
            <w:vAlign w:val="center"/>
          </w:tcPr>
          <w:p w:rsidR="00DA178B" w:rsidRPr="00DE3A6F" w:rsidRDefault="00DA178B" w:rsidP="00F46D6D">
            <w:pPr>
              <w:autoSpaceDE w:val="0"/>
              <w:autoSpaceDN w:val="0"/>
              <w:adjustRightInd w:val="0"/>
              <w:spacing w:line="240" w:lineRule="auto"/>
              <w:jc w:val="center"/>
              <w:rPr>
                <w:rFonts w:cs="Arial"/>
                <w:b/>
                <w:sz w:val="20"/>
              </w:rPr>
            </w:pPr>
            <w:r w:rsidRPr="00DE3A6F">
              <w:rPr>
                <w:rFonts w:cs="Arial"/>
                <w:b/>
                <w:sz w:val="20"/>
              </w:rPr>
              <w:t>Abrangência</w:t>
            </w:r>
          </w:p>
        </w:tc>
        <w:tc>
          <w:tcPr>
            <w:tcW w:w="1772" w:type="dxa"/>
            <w:shd w:val="clear" w:color="auto" w:fill="D9D9D9" w:themeFill="background1" w:themeFillShade="D9"/>
            <w:vAlign w:val="center"/>
          </w:tcPr>
          <w:p w:rsidR="00DA178B" w:rsidRPr="00DE3A6F" w:rsidRDefault="00DA178B" w:rsidP="00F46D6D">
            <w:pPr>
              <w:autoSpaceDE w:val="0"/>
              <w:autoSpaceDN w:val="0"/>
              <w:adjustRightInd w:val="0"/>
              <w:spacing w:line="240" w:lineRule="auto"/>
              <w:jc w:val="center"/>
              <w:rPr>
                <w:rFonts w:cs="Arial"/>
                <w:b/>
                <w:sz w:val="20"/>
              </w:rPr>
            </w:pPr>
            <w:r w:rsidRPr="00DE3A6F">
              <w:rPr>
                <w:rFonts w:cs="Arial"/>
                <w:b/>
                <w:sz w:val="20"/>
              </w:rPr>
              <w:t>Duração</w:t>
            </w:r>
          </w:p>
        </w:tc>
        <w:tc>
          <w:tcPr>
            <w:tcW w:w="1772" w:type="dxa"/>
            <w:shd w:val="clear" w:color="auto" w:fill="D9D9D9" w:themeFill="background1" w:themeFillShade="D9"/>
            <w:vAlign w:val="center"/>
          </w:tcPr>
          <w:p w:rsidR="00DA178B" w:rsidRPr="00DE3A6F" w:rsidRDefault="00DA178B" w:rsidP="00F46D6D">
            <w:pPr>
              <w:autoSpaceDE w:val="0"/>
              <w:autoSpaceDN w:val="0"/>
              <w:adjustRightInd w:val="0"/>
              <w:spacing w:line="240" w:lineRule="auto"/>
              <w:jc w:val="center"/>
              <w:rPr>
                <w:rFonts w:cs="Arial"/>
                <w:b/>
                <w:sz w:val="20"/>
              </w:rPr>
            </w:pPr>
            <w:r w:rsidRPr="00DE3A6F">
              <w:rPr>
                <w:rFonts w:cs="Arial"/>
                <w:b/>
                <w:sz w:val="20"/>
              </w:rPr>
              <w:t>Probabilidade de Ocorrência</w:t>
            </w:r>
          </w:p>
        </w:tc>
      </w:tr>
      <w:tr w:rsidR="00DA178B" w:rsidRPr="00DE3A6F" w:rsidTr="007441F1">
        <w:trPr>
          <w:trHeight w:val="273"/>
          <w:jc w:val="center"/>
        </w:trPr>
        <w:tc>
          <w:tcPr>
            <w:tcW w:w="1772" w:type="dxa"/>
            <w:shd w:val="clear" w:color="auto" w:fill="auto"/>
            <w:vAlign w:val="center"/>
          </w:tcPr>
          <w:p w:rsidR="00DA178B" w:rsidRPr="00DE3A6F" w:rsidRDefault="00DA178B" w:rsidP="00F46D6D">
            <w:pPr>
              <w:autoSpaceDE w:val="0"/>
              <w:autoSpaceDN w:val="0"/>
              <w:adjustRightInd w:val="0"/>
              <w:spacing w:line="240" w:lineRule="auto"/>
              <w:jc w:val="center"/>
              <w:rPr>
                <w:rFonts w:cs="Arial"/>
                <w:sz w:val="20"/>
              </w:rPr>
            </w:pPr>
            <w:r>
              <w:rPr>
                <w:rFonts w:cs="Arial"/>
                <w:sz w:val="20"/>
              </w:rPr>
              <w:t>Positivo</w:t>
            </w:r>
          </w:p>
        </w:tc>
        <w:tc>
          <w:tcPr>
            <w:tcW w:w="1772" w:type="dxa"/>
            <w:shd w:val="clear" w:color="auto" w:fill="auto"/>
            <w:vAlign w:val="center"/>
          </w:tcPr>
          <w:p w:rsidR="00DA178B" w:rsidRPr="00DE3A6F" w:rsidRDefault="00DA178B" w:rsidP="00F46D6D">
            <w:pPr>
              <w:autoSpaceDE w:val="0"/>
              <w:autoSpaceDN w:val="0"/>
              <w:adjustRightInd w:val="0"/>
              <w:spacing w:line="240" w:lineRule="auto"/>
              <w:jc w:val="center"/>
              <w:rPr>
                <w:rFonts w:cs="Arial"/>
                <w:sz w:val="20"/>
              </w:rPr>
            </w:pPr>
            <w:r>
              <w:rPr>
                <w:rFonts w:cs="Arial"/>
                <w:sz w:val="20"/>
              </w:rPr>
              <w:t>Direto</w:t>
            </w:r>
          </w:p>
        </w:tc>
        <w:tc>
          <w:tcPr>
            <w:tcW w:w="1772" w:type="dxa"/>
            <w:shd w:val="clear" w:color="auto" w:fill="auto"/>
            <w:vAlign w:val="center"/>
          </w:tcPr>
          <w:p w:rsidR="00DA178B" w:rsidRPr="00DE3A6F" w:rsidRDefault="00DA178B" w:rsidP="00F46D6D">
            <w:pPr>
              <w:autoSpaceDE w:val="0"/>
              <w:autoSpaceDN w:val="0"/>
              <w:adjustRightInd w:val="0"/>
              <w:spacing w:line="240" w:lineRule="auto"/>
              <w:jc w:val="center"/>
              <w:rPr>
                <w:rFonts w:cs="Arial"/>
                <w:sz w:val="20"/>
              </w:rPr>
            </w:pPr>
            <w:r>
              <w:rPr>
                <w:rFonts w:cs="Arial"/>
                <w:sz w:val="20"/>
              </w:rPr>
              <w:t>Local</w:t>
            </w:r>
          </w:p>
        </w:tc>
        <w:tc>
          <w:tcPr>
            <w:tcW w:w="1772" w:type="dxa"/>
            <w:shd w:val="clear" w:color="auto" w:fill="auto"/>
            <w:vAlign w:val="center"/>
          </w:tcPr>
          <w:p w:rsidR="00DA178B" w:rsidRPr="00DE3A6F" w:rsidRDefault="00DA178B" w:rsidP="00F46D6D">
            <w:pPr>
              <w:autoSpaceDE w:val="0"/>
              <w:autoSpaceDN w:val="0"/>
              <w:adjustRightInd w:val="0"/>
              <w:spacing w:line="240" w:lineRule="auto"/>
              <w:jc w:val="center"/>
              <w:rPr>
                <w:rFonts w:cs="Arial"/>
                <w:sz w:val="20"/>
              </w:rPr>
            </w:pPr>
            <w:r>
              <w:rPr>
                <w:rFonts w:cs="Arial"/>
                <w:sz w:val="20"/>
              </w:rPr>
              <w:t>Permanente</w:t>
            </w:r>
          </w:p>
        </w:tc>
        <w:tc>
          <w:tcPr>
            <w:tcW w:w="1772" w:type="dxa"/>
            <w:shd w:val="clear" w:color="auto" w:fill="auto"/>
            <w:vAlign w:val="center"/>
          </w:tcPr>
          <w:p w:rsidR="00DA178B" w:rsidRPr="00DE3A6F" w:rsidRDefault="00DA178B" w:rsidP="00F46D6D">
            <w:pPr>
              <w:autoSpaceDE w:val="0"/>
              <w:autoSpaceDN w:val="0"/>
              <w:adjustRightInd w:val="0"/>
              <w:spacing w:line="240" w:lineRule="auto"/>
              <w:jc w:val="center"/>
              <w:rPr>
                <w:rFonts w:cs="Arial"/>
                <w:sz w:val="20"/>
              </w:rPr>
            </w:pPr>
            <w:r>
              <w:rPr>
                <w:rFonts w:cs="Arial"/>
                <w:sz w:val="20"/>
              </w:rPr>
              <w:t>Certa</w:t>
            </w:r>
          </w:p>
        </w:tc>
      </w:tr>
    </w:tbl>
    <w:p w:rsidR="00DA178B" w:rsidRPr="00DE3A6F" w:rsidRDefault="00DA178B" w:rsidP="00F46D6D">
      <w:pPr>
        <w:autoSpaceDE w:val="0"/>
        <w:autoSpaceDN w:val="0"/>
        <w:adjustRightInd w:val="0"/>
        <w:spacing w:line="240" w:lineRule="auto"/>
        <w:jc w:val="center"/>
        <w:rPr>
          <w:rFonts w:cs="Arial"/>
          <w:sz w:val="20"/>
        </w:rPr>
      </w:pPr>
    </w:p>
    <w:tbl>
      <w:tblPr>
        <w:tblW w:w="0" w:type="auto"/>
        <w:jc w:val="center"/>
        <w:tblInd w:w="-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55"/>
        <w:gridCol w:w="1755"/>
        <w:gridCol w:w="1755"/>
        <w:gridCol w:w="1755"/>
        <w:gridCol w:w="1755"/>
      </w:tblGrid>
      <w:tr w:rsidR="00DA178B" w:rsidRPr="00DE3A6F" w:rsidTr="00934068">
        <w:trPr>
          <w:trHeight w:val="397"/>
          <w:jc w:val="center"/>
        </w:trPr>
        <w:tc>
          <w:tcPr>
            <w:tcW w:w="1755" w:type="dxa"/>
            <w:shd w:val="clear" w:color="auto" w:fill="D9D9D9" w:themeFill="background1" w:themeFillShade="D9"/>
            <w:vAlign w:val="center"/>
          </w:tcPr>
          <w:p w:rsidR="00DA178B" w:rsidRPr="00DE3A6F" w:rsidRDefault="00DA178B" w:rsidP="00F46D6D">
            <w:pPr>
              <w:autoSpaceDE w:val="0"/>
              <w:autoSpaceDN w:val="0"/>
              <w:adjustRightInd w:val="0"/>
              <w:spacing w:line="240" w:lineRule="auto"/>
              <w:jc w:val="center"/>
              <w:rPr>
                <w:rFonts w:cs="Arial"/>
                <w:b/>
                <w:sz w:val="20"/>
              </w:rPr>
            </w:pPr>
            <w:r w:rsidRPr="00DE3A6F">
              <w:rPr>
                <w:rFonts w:cs="Arial"/>
                <w:b/>
                <w:sz w:val="20"/>
              </w:rPr>
              <w:t>Época de Ocorrência</w:t>
            </w:r>
          </w:p>
        </w:tc>
        <w:tc>
          <w:tcPr>
            <w:tcW w:w="1755" w:type="dxa"/>
            <w:shd w:val="clear" w:color="auto" w:fill="D9D9D9" w:themeFill="background1" w:themeFillShade="D9"/>
            <w:vAlign w:val="center"/>
          </w:tcPr>
          <w:p w:rsidR="00DA178B" w:rsidRPr="00DE3A6F" w:rsidRDefault="00DA178B" w:rsidP="00F46D6D">
            <w:pPr>
              <w:autoSpaceDE w:val="0"/>
              <w:autoSpaceDN w:val="0"/>
              <w:adjustRightInd w:val="0"/>
              <w:spacing w:line="240" w:lineRule="auto"/>
              <w:jc w:val="center"/>
              <w:rPr>
                <w:rFonts w:cs="Arial"/>
                <w:b/>
                <w:sz w:val="20"/>
              </w:rPr>
            </w:pPr>
            <w:r w:rsidRPr="00DE3A6F">
              <w:rPr>
                <w:rFonts w:cs="Arial"/>
                <w:b/>
                <w:sz w:val="20"/>
              </w:rPr>
              <w:t>Reversibilidade</w:t>
            </w:r>
          </w:p>
        </w:tc>
        <w:tc>
          <w:tcPr>
            <w:tcW w:w="1755" w:type="dxa"/>
            <w:shd w:val="clear" w:color="auto" w:fill="D9D9D9" w:themeFill="background1" w:themeFillShade="D9"/>
            <w:vAlign w:val="center"/>
          </w:tcPr>
          <w:p w:rsidR="00DA178B" w:rsidRPr="00DE3A6F" w:rsidRDefault="00DA178B" w:rsidP="00F46D6D">
            <w:pPr>
              <w:autoSpaceDE w:val="0"/>
              <w:autoSpaceDN w:val="0"/>
              <w:adjustRightInd w:val="0"/>
              <w:spacing w:line="240" w:lineRule="auto"/>
              <w:jc w:val="center"/>
              <w:rPr>
                <w:rFonts w:cs="Arial"/>
                <w:b/>
                <w:sz w:val="20"/>
              </w:rPr>
            </w:pPr>
            <w:r w:rsidRPr="00DE3A6F">
              <w:rPr>
                <w:rFonts w:cs="Arial"/>
                <w:b/>
                <w:sz w:val="20"/>
              </w:rPr>
              <w:t>Magnitude</w:t>
            </w:r>
          </w:p>
        </w:tc>
        <w:tc>
          <w:tcPr>
            <w:tcW w:w="1755" w:type="dxa"/>
            <w:shd w:val="clear" w:color="auto" w:fill="D9D9D9" w:themeFill="background1" w:themeFillShade="D9"/>
            <w:vAlign w:val="center"/>
          </w:tcPr>
          <w:p w:rsidR="00DA178B" w:rsidRPr="00DE3A6F" w:rsidRDefault="00DA178B" w:rsidP="00F46D6D">
            <w:pPr>
              <w:autoSpaceDE w:val="0"/>
              <w:autoSpaceDN w:val="0"/>
              <w:adjustRightInd w:val="0"/>
              <w:spacing w:line="240" w:lineRule="auto"/>
              <w:jc w:val="center"/>
              <w:rPr>
                <w:rFonts w:cs="Arial"/>
                <w:b/>
                <w:sz w:val="20"/>
              </w:rPr>
            </w:pPr>
            <w:r w:rsidRPr="00DE3A6F">
              <w:rPr>
                <w:rFonts w:cs="Arial"/>
                <w:b/>
                <w:sz w:val="20"/>
              </w:rPr>
              <w:t>Importância</w:t>
            </w:r>
          </w:p>
        </w:tc>
        <w:tc>
          <w:tcPr>
            <w:tcW w:w="1755" w:type="dxa"/>
            <w:shd w:val="clear" w:color="auto" w:fill="D9D9D9" w:themeFill="background1" w:themeFillShade="D9"/>
            <w:vAlign w:val="center"/>
          </w:tcPr>
          <w:p w:rsidR="00DA178B" w:rsidRPr="00DE3A6F" w:rsidRDefault="00DA178B" w:rsidP="00F46D6D">
            <w:pPr>
              <w:autoSpaceDE w:val="0"/>
              <w:autoSpaceDN w:val="0"/>
              <w:adjustRightInd w:val="0"/>
              <w:spacing w:line="240" w:lineRule="auto"/>
              <w:jc w:val="center"/>
              <w:rPr>
                <w:rFonts w:cs="Arial"/>
                <w:b/>
                <w:sz w:val="20"/>
              </w:rPr>
            </w:pPr>
            <w:r w:rsidRPr="00DE3A6F">
              <w:rPr>
                <w:rFonts w:cs="Arial"/>
                <w:b/>
                <w:sz w:val="20"/>
              </w:rPr>
              <w:t>Mitigação</w:t>
            </w:r>
          </w:p>
        </w:tc>
      </w:tr>
      <w:tr w:rsidR="00DA178B" w:rsidRPr="00DE3A6F" w:rsidTr="007441F1">
        <w:trPr>
          <w:trHeight w:val="344"/>
          <w:jc w:val="center"/>
        </w:trPr>
        <w:tc>
          <w:tcPr>
            <w:tcW w:w="1755" w:type="dxa"/>
            <w:shd w:val="clear" w:color="auto" w:fill="auto"/>
            <w:vAlign w:val="center"/>
          </w:tcPr>
          <w:p w:rsidR="00DA178B" w:rsidRPr="00DE3A6F" w:rsidRDefault="00DA178B" w:rsidP="00F46D6D">
            <w:pPr>
              <w:autoSpaceDE w:val="0"/>
              <w:autoSpaceDN w:val="0"/>
              <w:adjustRightInd w:val="0"/>
              <w:spacing w:line="240" w:lineRule="auto"/>
              <w:jc w:val="center"/>
              <w:rPr>
                <w:rFonts w:cs="Arial"/>
                <w:sz w:val="20"/>
              </w:rPr>
            </w:pPr>
            <w:r>
              <w:rPr>
                <w:rFonts w:cs="Arial"/>
                <w:sz w:val="20"/>
              </w:rPr>
              <w:t>Longo prazo</w:t>
            </w:r>
          </w:p>
        </w:tc>
        <w:tc>
          <w:tcPr>
            <w:tcW w:w="1755" w:type="dxa"/>
            <w:shd w:val="clear" w:color="auto" w:fill="auto"/>
            <w:vAlign w:val="center"/>
          </w:tcPr>
          <w:p w:rsidR="00DA178B" w:rsidRPr="00DE3A6F" w:rsidRDefault="00DA178B" w:rsidP="00F46D6D">
            <w:pPr>
              <w:autoSpaceDE w:val="0"/>
              <w:autoSpaceDN w:val="0"/>
              <w:adjustRightInd w:val="0"/>
              <w:spacing w:line="240" w:lineRule="auto"/>
              <w:jc w:val="center"/>
              <w:rPr>
                <w:rFonts w:cs="Arial"/>
                <w:sz w:val="20"/>
              </w:rPr>
            </w:pPr>
            <w:r>
              <w:rPr>
                <w:rFonts w:cs="Arial"/>
                <w:sz w:val="20"/>
              </w:rPr>
              <w:t>Irreversível</w:t>
            </w:r>
          </w:p>
        </w:tc>
        <w:tc>
          <w:tcPr>
            <w:tcW w:w="1755" w:type="dxa"/>
            <w:shd w:val="clear" w:color="auto" w:fill="auto"/>
            <w:vAlign w:val="center"/>
          </w:tcPr>
          <w:p w:rsidR="00DA178B" w:rsidRPr="00DE3A6F" w:rsidRDefault="00DA178B" w:rsidP="00F46D6D">
            <w:pPr>
              <w:autoSpaceDE w:val="0"/>
              <w:autoSpaceDN w:val="0"/>
              <w:adjustRightInd w:val="0"/>
              <w:spacing w:line="240" w:lineRule="auto"/>
              <w:jc w:val="center"/>
              <w:rPr>
                <w:rFonts w:cs="Arial"/>
                <w:sz w:val="20"/>
              </w:rPr>
            </w:pPr>
            <w:r>
              <w:rPr>
                <w:rFonts w:cs="Arial"/>
                <w:sz w:val="20"/>
              </w:rPr>
              <w:t>Média</w:t>
            </w:r>
          </w:p>
        </w:tc>
        <w:tc>
          <w:tcPr>
            <w:tcW w:w="1755" w:type="dxa"/>
            <w:shd w:val="clear" w:color="auto" w:fill="auto"/>
            <w:vAlign w:val="center"/>
          </w:tcPr>
          <w:p w:rsidR="00DA178B" w:rsidRPr="00DE3A6F" w:rsidRDefault="00DA178B" w:rsidP="00F46D6D">
            <w:pPr>
              <w:autoSpaceDE w:val="0"/>
              <w:autoSpaceDN w:val="0"/>
              <w:adjustRightInd w:val="0"/>
              <w:spacing w:line="240" w:lineRule="auto"/>
              <w:jc w:val="center"/>
              <w:rPr>
                <w:rFonts w:cs="Arial"/>
                <w:sz w:val="20"/>
              </w:rPr>
            </w:pPr>
            <w:r>
              <w:rPr>
                <w:rFonts w:cs="Arial"/>
                <w:sz w:val="20"/>
              </w:rPr>
              <w:t>Média</w:t>
            </w:r>
          </w:p>
        </w:tc>
        <w:tc>
          <w:tcPr>
            <w:tcW w:w="1755" w:type="dxa"/>
            <w:shd w:val="clear" w:color="auto" w:fill="auto"/>
            <w:vAlign w:val="center"/>
          </w:tcPr>
          <w:p w:rsidR="00DA178B" w:rsidRPr="00DE3A6F" w:rsidRDefault="00575207" w:rsidP="00F46D6D">
            <w:pPr>
              <w:autoSpaceDE w:val="0"/>
              <w:autoSpaceDN w:val="0"/>
              <w:adjustRightInd w:val="0"/>
              <w:spacing w:line="240" w:lineRule="auto"/>
              <w:jc w:val="center"/>
              <w:rPr>
                <w:rFonts w:cs="Arial"/>
                <w:sz w:val="20"/>
              </w:rPr>
            </w:pPr>
            <w:r>
              <w:rPr>
                <w:rFonts w:cs="Arial"/>
                <w:sz w:val="20"/>
              </w:rPr>
              <w:t>---</w:t>
            </w:r>
          </w:p>
        </w:tc>
      </w:tr>
    </w:tbl>
    <w:p w:rsidR="00DA178B" w:rsidRPr="00DE3A6F" w:rsidRDefault="00DA178B" w:rsidP="00DA178B">
      <w:pPr>
        <w:rPr>
          <w:sz w:val="20"/>
        </w:rPr>
      </w:pPr>
    </w:p>
    <w:p w:rsidR="00DA178B" w:rsidRPr="00DE3A6F" w:rsidRDefault="00DA178B" w:rsidP="003C4386">
      <w:pPr>
        <w:autoSpaceDE w:val="0"/>
        <w:autoSpaceDN w:val="0"/>
        <w:adjustRightInd w:val="0"/>
        <w:rPr>
          <w:rFonts w:cs="Arial"/>
          <w:b/>
        </w:rPr>
      </w:pPr>
      <w:r w:rsidRPr="00DE3A6F">
        <w:rPr>
          <w:rFonts w:cs="Arial"/>
          <w:b/>
        </w:rPr>
        <w:t>Ações Ambientais Propostas</w:t>
      </w:r>
    </w:p>
    <w:p w:rsidR="00DA178B" w:rsidRPr="00CC2094" w:rsidRDefault="00DA178B" w:rsidP="00DA178B">
      <w:pPr>
        <w:rPr>
          <w:rFonts w:cs="Arial"/>
        </w:rPr>
      </w:pPr>
      <w:r w:rsidRPr="00CC2094">
        <w:rPr>
          <w:rFonts w:cs="Arial"/>
        </w:rPr>
        <w:t>Não há medidas para a sua potencialização.</w:t>
      </w:r>
    </w:p>
    <w:p w:rsidR="00973BCF" w:rsidRPr="00934068" w:rsidRDefault="00CD6D82" w:rsidP="00934068">
      <w:pPr>
        <w:pStyle w:val="Ttulo3"/>
        <w:rPr>
          <w:rFonts w:ascii="Arial Negrito" w:hAnsi="Arial Negrito"/>
          <w:bCs/>
        </w:rPr>
      </w:pPr>
      <w:bookmarkStart w:id="439" w:name="_Toc418758265"/>
      <w:bookmarkStart w:id="440" w:name="_Toc418758867"/>
      <w:bookmarkStart w:id="441" w:name="_Toc419813627"/>
      <w:r w:rsidRPr="00934068">
        <w:rPr>
          <w:rFonts w:ascii="Arial Negrito" w:hAnsi="Arial Negrito"/>
          <w:bCs/>
        </w:rPr>
        <w:t xml:space="preserve">1.3.3.18. </w:t>
      </w:r>
      <w:r w:rsidR="00973BCF" w:rsidRPr="00934068">
        <w:rPr>
          <w:rFonts w:ascii="Arial Negrito" w:hAnsi="Arial Negrito"/>
          <w:bCs/>
        </w:rPr>
        <w:t>Contribuição ao Desenvolvimento Econômico</w:t>
      </w:r>
      <w:r w:rsidR="003822AE" w:rsidRPr="00934068">
        <w:rPr>
          <w:rFonts w:ascii="Arial Negrito" w:hAnsi="Arial Negrito"/>
          <w:bCs/>
        </w:rPr>
        <w:t xml:space="preserve"> e Social</w:t>
      </w:r>
      <w:r w:rsidR="00973BCF" w:rsidRPr="00934068">
        <w:rPr>
          <w:rFonts w:ascii="Arial Negrito" w:hAnsi="Arial Negrito"/>
          <w:bCs/>
        </w:rPr>
        <w:t xml:space="preserve"> Regional</w:t>
      </w:r>
      <w:bookmarkEnd w:id="439"/>
      <w:bookmarkEnd w:id="440"/>
      <w:bookmarkEnd w:id="441"/>
    </w:p>
    <w:p w:rsidR="003177DF" w:rsidRDefault="003177DF" w:rsidP="003177DF">
      <w:pPr>
        <w:spacing w:before="120" w:after="120" w:line="240" w:lineRule="auto"/>
      </w:pPr>
      <w:r>
        <w:t xml:space="preserve">A implantação </w:t>
      </w:r>
      <w:r w:rsidR="008C15C3">
        <w:t>das Barragens</w:t>
      </w:r>
      <w:r>
        <w:t xml:space="preserve"> Pedreira e Duas Pontes devem contribuir no desenvolvimento econômico e social regional em dois momentos, na Fase de Implantação e na Fase de Operação.</w:t>
      </w:r>
    </w:p>
    <w:p w:rsidR="003177DF" w:rsidRPr="00AC0F23" w:rsidRDefault="003177DF" w:rsidP="00934068">
      <w:pPr>
        <w:spacing w:before="240" w:after="240" w:line="240" w:lineRule="auto"/>
        <w:rPr>
          <w:b/>
        </w:rPr>
      </w:pPr>
      <w:r w:rsidRPr="00AC0F23">
        <w:rPr>
          <w:b/>
        </w:rPr>
        <w:t>a) Fase de Implantação</w:t>
      </w:r>
    </w:p>
    <w:p w:rsidR="003177DF" w:rsidRDefault="003177DF" w:rsidP="00985197">
      <w:pPr>
        <w:spacing w:before="120" w:after="120" w:line="240" w:lineRule="auto"/>
      </w:pPr>
      <w:r>
        <w:t xml:space="preserve">A implantação </w:t>
      </w:r>
      <w:r w:rsidR="008C15C3">
        <w:t>das duas barragens</w:t>
      </w:r>
      <w:r>
        <w:t xml:space="preserve">, Pedreira e Duas Pontes, deverão criar cerca </w:t>
      </w:r>
      <w:r w:rsidRPr="006C40A6">
        <w:t xml:space="preserve">de </w:t>
      </w:r>
      <w:r w:rsidR="006C40A6" w:rsidRPr="006C40A6">
        <w:t>1.840 empregos (920 na Barragem Pedreira e 917 na Barragem</w:t>
      </w:r>
      <w:r w:rsidRPr="006C40A6">
        <w:t xml:space="preserve"> Duas Pontes) no</w:t>
      </w:r>
      <w:r>
        <w:t xml:space="preserve"> pico da obra. Embora temporários, os empregos deverão contribuir para o aumento da massa salarial em circulação</w:t>
      </w:r>
      <w:r w:rsidRPr="00CA735E">
        <w:t xml:space="preserve"> </w:t>
      </w:r>
      <w:r>
        <w:t>provocando animação econômica e fortalecimento do comércio dos núcleos urbanos, em espe</w:t>
      </w:r>
      <w:r w:rsidR="006C40A6">
        <w:t>cial em</w:t>
      </w:r>
      <w:r>
        <w:t xml:space="preserve"> Pedreira e Amparo, cidades em cujos municípios se localizam as obras, e que devem atender às demandas por bens e serviços de primeira necessidade dos trabalhadores e prestadores de serviços que participarão nas obras. Municípios vizinhos próximos, como Santo Antônio de Posse e Jaguariúna, poderão também atender parte dessa demanda.</w:t>
      </w:r>
    </w:p>
    <w:p w:rsidR="003177DF" w:rsidRDefault="003177DF" w:rsidP="00985197">
      <w:pPr>
        <w:spacing w:before="120" w:after="120" w:line="240" w:lineRule="auto"/>
      </w:pPr>
      <w:r>
        <w:t xml:space="preserve">Por outro lado, a implantação das obras deverá contribuir, também, com o aumento da arrecadação municipal ao gerar impostos tais como o Imposto sobre Serviços (ISS), que serem pagos pelas empresas construtoras e prestadoras de serviços às prefeituras de Pedreira e Amparo. Considerando que as demandas da população por serviços municipais são crescentes e os recursos disponíveis pelas prefeituras limitados, o aumento da arrecadação servirá para reforçar as despesas de custeio dos municípios, como também disponibilizar recursos para investimentos em obras para o atendimento da população municipal. </w:t>
      </w:r>
    </w:p>
    <w:p w:rsidR="003177DF" w:rsidRDefault="003177DF" w:rsidP="00985197">
      <w:pPr>
        <w:spacing w:before="120" w:after="120" w:line="240" w:lineRule="auto"/>
      </w:pPr>
      <w:r>
        <w:t xml:space="preserve">Dessa forma a contribuição dos empreendimentos ao desenvolvimento econômico e social regional na Fase de Implantação </w:t>
      </w:r>
      <w:r w:rsidR="00BB0521">
        <w:t xml:space="preserve">foi </w:t>
      </w:r>
      <w:r>
        <w:t xml:space="preserve">considerado um impacto </w:t>
      </w:r>
      <w:r w:rsidRPr="003B78B8">
        <w:t>certo, positivo, direto, de curto prazo, temporário, reversível, de abrangência local/</w:t>
      </w:r>
      <w:r w:rsidRPr="00AC0F23">
        <w:t>regional, de média magnitude e importância.</w:t>
      </w:r>
    </w:p>
    <w:p w:rsidR="00FC59A6" w:rsidRDefault="00FC59A6" w:rsidP="00985197">
      <w:pPr>
        <w:spacing w:before="120" w:after="120" w:line="240" w:lineRule="auto"/>
      </w:pPr>
    </w:p>
    <w:p w:rsidR="003177DF" w:rsidRPr="00C50DD2" w:rsidRDefault="00402E81" w:rsidP="00C50DD2">
      <w:pPr>
        <w:pStyle w:val="Legenda"/>
        <w:spacing w:line="240" w:lineRule="auto"/>
        <w:jc w:val="center"/>
        <w:rPr>
          <w:b w:val="0"/>
          <w:i w:val="0"/>
        </w:rPr>
      </w:pPr>
      <w:bookmarkStart w:id="442" w:name="_Toc420316546"/>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103</w:t>
      </w:r>
      <w:r w:rsidR="00B80A05" w:rsidRPr="00C50DD2">
        <w:rPr>
          <w:i w:val="0"/>
          <w:noProof/>
        </w:rPr>
        <w:fldChar w:fldCharType="end"/>
      </w:r>
      <w:r w:rsidR="00C50DD2" w:rsidRPr="00C50DD2">
        <w:rPr>
          <w:i w:val="0"/>
          <w:noProof/>
        </w:rPr>
        <w:t>.</w:t>
      </w:r>
      <w:r w:rsidR="00C50DD2" w:rsidRPr="00C50DD2">
        <w:rPr>
          <w:b w:val="0"/>
          <w:i w:val="0"/>
          <w:noProof/>
        </w:rPr>
        <w:t xml:space="preserve"> - </w:t>
      </w:r>
      <w:r w:rsidR="003177DF" w:rsidRPr="00C50DD2">
        <w:rPr>
          <w:b w:val="0"/>
          <w:i w:val="0"/>
        </w:rPr>
        <w:t>Caracterização do Impacto –</w:t>
      </w:r>
      <w:r w:rsidR="00BB0521" w:rsidRPr="00C50DD2">
        <w:rPr>
          <w:b w:val="0"/>
          <w:i w:val="0"/>
        </w:rPr>
        <w:t xml:space="preserve"> </w:t>
      </w:r>
      <w:r w:rsidR="003177DF" w:rsidRPr="00C50DD2">
        <w:rPr>
          <w:b w:val="0"/>
          <w:i w:val="0"/>
        </w:rPr>
        <w:t>Contribuição ao Desenvolvimento Econômico e Social Regional</w:t>
      </w:r>
      <w:r w:rsidR="00F46D6D" w:rsidRPr="00C50DD2">
        <w:rPr>
          <w:b w:val="0"/>
          <w:i w:val="0"/>
        </w:rPr>
        <w:t xml:space="preserve"> - </w:t>
      </w:r>
      <w:r w:rsidR="00BB0521" w:rsidRPr="00C50DD2">
        <w:rPr>
          <w:b w:val="0"/>
          <w:i w:val="0"/>
        </w:rPr>
        <w:t>Fase Implantação -</w:t>
      </w:r>
      <w:r w:rsidR="00F46D6D" w:rsidRPr="00C50DD2">
        <w:rPr>
          <w:b w:val="0"/>
          <w:i w:val="0"/>
        </w:rPr>
        <w:t xml:space="preserve"> Barragens Pedreira e Duas Pontes</w:t>
      </w:r>
      <w:bookmarkEnd w:id="442"/>
    </w:p>
    <w:tbl>
      <w:tblPr>
        <w:tblW w:w="0" w:type="auto"/>
        <w:jc w:val="center"/>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1"/>
        <w:gridCol w:w="1171"/>
        <w:gridCol w:w="1701"/>
        <w:gridCol w:w="1559"/>
        <w:gridCol w:w="3048"/>
      </w:tblGrid>
      <w:tr w:rsidR="003177DF" w:rsidRPr="00A43380" w:rsidTr="007A3816">
        <w:trPr>
          <w:trHeight w:val="518"/>
          <w:jc w:val="center"/>
        </w:trPr>
        <w:tc>
          <w:tcPr>
            <w:tcW w:w="1171" w:type="dxa"/>
            <w:shd w:val="clear" w:color="auto" w:fill="D9D9D9"/>
            <w:vAlign w:val="center"/>
          </w:tcPr>
          <w:p w:rsidR="003177DF" w:rsidRPr="00A43380" w:rsidRDefault="003177DF" w:rsidP="00F46D6D">
            <w:pPr>
              <w:autoSpaceDE w:val="0"/>
              <w:autoSpaceDN w:val="0"/>
              <w:adjustRightInd w:val="0"/>
              <w:spacing w:line="240" w:lineRule="auto"/>
              <w:jc w:val="center"/>
              <w:rPr>
                <w:rFonts w:cs="Arial"/>
                <w:b/>
                <w:sz w:val="20"/>
              </w:rPr>
            </w:pPr>
            <w:r w:rsidRPr="00A43380">
              <w:rPr>
                <w:rFonts w:cs="Arial"/>
                <w:b/>
                <w:sz w:val="20"/>
              </w:rPr>
              <w:t>Natureza</w:t>
            </w:r>
          </w:p>
        </w:tc>
        <w:tc>
          <w:tcPr>
            <w:tcW w:w="1171" w:type="dxa"/>
            <w:shd w:val="clear" w:color="auto" w:fill="D9D9D9"/>
            <w:vAlign w:val="center"/>
          </w:tcPr>
          <w:p w:rsidR="003177DF" w:rsidRPr="00A43380" w:rsidRDefault="003177DF" w:rsidP="00F46D6D">
            <w:pPr>
              <w:autoSpaceDE w:val="0"/>
              <w:autoSpaceDN w:val="0"/>
              <w:adjustRightInd w:val="0"/>
              <w:spacing w:line="240" w:lineRule="auto"/>
              <w:jc w:val="center"/>
              <w:rPr>
                <w:rFonts w:cs="Arial"/>
                <w:b/>
                <w:sz w:val="20"/>
              </w:rPr>
            </w:pPr>
            <w:r w:rsidRPr="00A43380">
              <w:rPr>
                <w:rFonts w:cs="Arial"/>
                <w:b/>
                <w:sz w:val="20"/>
              </w:rPr>
              <w:t>Ordem</w:t>
            </w:r>
          </w:p>
        </w:tc>
        <w:tc>
          <w:tcPr>
            <w:tcW w:w="1701" w:type="dxa"/>
            <w:shd w:val="clear" w:color="auto" w:fill="D9D9D9"/>
            <w:vAlign w:val="center"/>
          </w:tcPr>
          <w:p w:rsidR="003177DF" w:rsidRPr="00A43380" w:rsidRDefault="003177DF" w:rsidP="00F46D6D">
            <w:pPr>
              <w:autoSpaceDE w:val="0"/>
              <w:autoSpaceDN w:val="0"/>
              <w:adjustRightInd w:val="0"/>
              <w:spacing w:line="240" w:lineRule="auto"/>
              <w:jc w:val="center"/>
              <w:rPr>
                <w:rFonts w:cs="Arial"/>
                <w:b/>
                <w:sz w:val="20"/>
              </w:rPr>
            </w:pPr>
            <w:r w:rsidRPr="00A43380">
              <w:rPr>
                <w:rFonts w:cs="Arial"/>
                <w:b/>
                <w:sz w:val="20"/>
              </w:rPr>
              <w:t>Abrangência</w:t>
            </w:r>
          </w:p>
        </w:tc>
        <w:tc>
          <w:tcPr>
            <w:tcW w:w="1559" w:type="dxa"/>
            <w:shd w:val="clear" w:color="auto" w:fill="D9D9D9"/>
            <w:vAlign w:val="center"/>
          </w:tcPr>
          <w:p w:rsidR="003177DF" w:rsidRPr="00A43380" w:rsidRDefault="003177DF" w:rsidP="00F46D6D">
            <w:pPr>
              <w:autoSpaceDE w:val="0"/>
              <w:autoSpaceDN w:val="0"/>
              <w:adjustRightInd w:val="0"/>
              <w:spacing w:line="240" w:lineRule="auto"/>
              <w:jc w:val="center"/>
              <w:rPr>
                <w:rFonts w:cs="Arial"/>
                <w:b/>
                <w:sz w:val="20"/>
              </w:rPr>
            </w:pPr>
            <w:r w:rsidRPr="00A43380">
              <w:rPr>
                <w:rFonts w:cs="Arial"/>
                <w:b/>
                <w:sz w:val="20"/>
              </w:rPr>
              <w:t>Duração</w:t>
            </w:r>
          </w:p>
        </w:tc>
        <w:tc>
          <w:tcPr>
            <w:tcW w:w="3048" w:type="dxa"/>
            <w:shd w:val="clear" w:color="auto" w:fill="D9D9D9"/>
            <w:vAlign w:val="center"/>
          </w:tcPr>
          <w:p w:rsidR="003177DF" w:rsidRPr="00A43380" w:rsidRDefault="003177DF" w:rsidP="00F46D6D">
            <w:pPr>
              <w:autoSpaceDE w:val="0"/>
              <w:autoSpaceDN w:val="0"/>
              <w:adjustRightInd w:val="0"/>
              <w:spacing w:line="240" w:lineRule="auto"/>
              <w:jc w:val="center"/>
              <w:rPr>
                <w:rFonts w:cs="Arial"/>
                <w:b/>
                <w:sz w:val="20"/>
              </w:rPr>
            </w:pPr>
            <w:r w:rsidRPr="00A43380">
              <w:rPr>
                <w:rFonts w:cs="Arial"/>
                <w:b/>
                <w:sz w:val="20"/>
              </w:rPr>
              <w:t>Probabilidade de Ocorrência</w:t>
            </w:r>
          </w:p>
        </w:tc>
      </w:tr>
      <w:tr w:rsidR="003177DF" w:rsidRPr="00A43380" w:rsidTr="007A3816">
        <w:trPr>
          <w:trHeight w:val="426"/>
          <w:jc w:val="center"/>
        </w:trPr>
        <w:tc>
          <w:tcPr>
            <w:tcW w:w="1171" w:type="dxa"/>
            <w:shd w:val="clear" w:color="auto" w:fill="auto"/>
            <w:vAlign w:val="center"/>
          </w:tcPr>
          <w:p w:rsidR="003177DF" w:rsidRPr="00AC0F23" w:rsidRDefault="003177DF" w:rsidP="00F46D6D">
            <w:pPr>
              <w:autoSpaceDE w:val="0"/>
              <w:autoSpaceDN w:val="0"/>
              <w:adjustRightInd w:val="0"/>
              <w:spacing w:line="240" w:lineRule="auto"/>
              <w:jc w:val="center"/>
              <w:rPr>
                <w:rFonts w:cs="Arial"/>
                <w:sz w:val="20"/>
              </w:rPr>
            </w:pPr>
            <w:r w:rsidRPr="00AC0F23">
              <w:rPr>
                <w:rFonts w:cs="Arial"/>
                <w:sz w:val="20"/>
              </w:rPr>
              <w:t>Positivo</w:t>
            </w:r>
          </w:p>
        </w:tc>
        <w:tc>
          <w:tcPr>
            <w:tcW w:w="1171" w:type="dxa"/>
            <w:shd w:val="clear" w:color="auto" w:fill="auto"/>
            <w:vAlign w:val="center"/>
          </w:tcPr>
          <w:p w:rsidR="003177DF" w:rsidRPr="00AC0F23" w:rsidRDefault="003177DF" w:rsidP="00F46D6D">
            <w:pPr>
              <w:autoSpaceDE w:val="0"/>
              <w:autoSpaceDN w:val="0"/>
              <w:adjustRightInd w:val="0"/>
              <w:spacing w:line="240" w:lineRule="auto"/>
              <w:jc w:val="center"/>
              <w:rPr>
                <w:rFonts w:cs="Arial"/>
                <w:sz w:val="20"/>
              </w:rPr>
            </w:pPr>
            <w:r w:rsidRPr="00AC0F23">
              <w:rPr>
                <w:rFonts w:cs="Arial"/>
                <w:sz w:val="20"/>
              </w:rPr>
              <w:t>Direto</w:t>
            </w:r>
          </w:p>
        </w:tc>
        <w:tc>
          <w:tcPr>
            <w:tcW w:w="1701" w:type="dxa"/>
            <w:shd w:val="clear" w:color="auto" w:fill="auto"/>
            <w:vAlign w:val="center"/>
          </w:tcPr>
          <w:p w:rsidR="003177DF" w:rsidRPr="00AC0F23" w:rsidRDefault="003177DF" w:rsidP="00F46D6D">
            <w:pPr>
              <w:autoSpaceDE w:val="0"/>
              <w:autoSpaceDN w:val="0"/>
              <w:adjustRightInd w:val="0"/>
              <w:spacing w:line="240" w:lineRule="auto"/>
              <w:jc w:val="center"/>
              <w:rPr>
                <w:rFonts w:cs="Arial"/>
                <w:sz w:val="20"/>
              </w:rPr>
            </w:pPr>
            <w:r w:rsidRPr="00AC0F23">
              <w:rPr>
                <w:rFonts w:cs="Arial"/>
                <w:sz w:val="20"/>
              </w:rPr>
              <w:t>Local/Regional</w:t>
            </w:r>
          </w:p>
        </w:tc>
        <w:tc>
          <w:tcPr>
            <w:tcW w:w="1559" w:type="dxa"/>
            <w:shd w:val="clear" w:color="auto" w:fill="auto"/>
            <w:vAlign w:val="center"/>
          </w:tcPr>
          <w:p w:rsidR="003177DF" w:rsidRPr="00AC0F23" w:rsidRDefault="003177DF" w:rsidP="00F46D6D">
            <w:pPr>
              <w:autoSpaceDE w:val="0"/>
              <w:autoSpaceDN w:val="0"/>
              <w:adjustRightInd w:val="0"/>
              <w:spacing w:line="240" w:lineRule="auto"/>
              <w:jc w:val="center"/>
              <w:rPr>
                <w:rFonts w:cs="Arial"/>
                <w:sz w:val="20"/>
              </w:rPr>
            </w:pPr>
            <w:r w:rsidRPr="00AC0F23">
              <w:rPr>
                <w:rFonts w:cs="Arial"/>
                <w:sz w:val="20"/>
              </w:rPr>
              <w:t>Temporária</w:t>
            </w:r>
          </w:p>
        </w:tc>
        <w:tc>
          <w:tcPr>
            <w:tcW w:w="3048" w:type="dxa"/>
            <w:shd w:val="clear" w:color="auto" w:fill="auto"/>
            <w:vAlign w:val="center"/>
          </w:tcPr>
          <w:p w:rsidR="003177DF" w:rsidRPr="00AC0F23" w:rsidRDefault="003177DF" w:rsidP="00F46D6D">
            <w:pPr>
              <w:autoSpaceDE w:val="0"/>
              <w:autoSpaceDN w:val="0"/>
              <w:adjustRightInd w:val="0"/>
              <w:spacing w:line="240" w:lineRule="auto"/>
              <w:jc w:val="center"/>
              <w:rPr>
                <w:rFonts w:cs="Arial"/>
                <w:sz w:val="20"/>
              </w:rPr>
            </w:pPr>
            <w:r w:rsidRPr="00AC0F23">
              <w:rPr>
                <w:rFonts w:cs="Arial"/>
                <w:sz w:val="20"/>
              </w:rPr>
              <w:t>Certa</w:t>
            </w:r>
          </w:p>
        </w:tc>
      </w:tr>
    </w:tbl>
    <w:p w:rsidR="003177DF" w:rsidRPr="00A43380" w:rsidRDefault="003177DF" w:rsidP="00F46D6D">
      <w:pPr>
        <w:autoSpaceDE w:val="0"/>
        <w:autoSpaceDN w:val="0"/>
        <w:adjustRightInd w:val="0"/>
        <w:spacing w:line="240" w:lineRule="auto"/>
        <w:jc w:val="center"/>
        <w:rPr>
          <w:rFonts w:cs="Arial"/>
          <w:sz w:val="20"/>
        </w:rPr>
      </w:pPr>
    </w:p>
    <w:tbl>
      <w:tblPr>
        <w:tblW w:w="0" w:type="auto"/>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3"/>
        <w:gridCol w:w="1701"/>
        <w:gridCol w:w="1559"/>
        <w:gridCol w:w="1520"/>
        <w:gridCol w:w="1520"/>
      </w:tblGrid>
      <w:tr w:rsidR="003177DF" w:rsidRPr="00A43380" w:rsidTr="007A3816">
        <w:trPr>
          <w:trHeight w:val="397"/>
          <w:jc w:val="center"/>
        </w:trPr>
        <w:tc>
          <w:tcPr>
            <w:tcW w:w="2333" w:type="dxa"/>
            <w:shd w:val="clear" w:color="auto" w:fill="D9D9D9"/>
            <w:vAlign w:val="center"/>
          </w:tcPr>
          <w:p w:rsidR="003177DF" w:rsidRPr="00A43380" w:rsidRDefault="003177DF" w:rsidP="00F46D6D">
            <w:pPr>
              <w:autoSpaceDE w:val="0"/>
              <w:autoSpaceDN w:val="0"/>
              <w:adjustRightInd w:val="0"/>
              <w:spacing w:line="240" w:lineRule="auto"/>
              <w:jc w:val="center"/>
              <w:rPr>
                <w:rFonts w:cs="Arial"/>
                <w:b/>
                <w:sz w:val="20"/>
              </w:rPr>
            </w:pPr>
            <w:r w:rsidRPr="00A43380">
              <w:rPr>
                <w:rFonts w:cs="Arial"/>
                <w:b/>
                <w:sz w:val="20"/>
              </w:rPr>
              <w:t>Época de Ocorrência</w:t>
            </w:r>
          </w:p>
        </w:tc>
        <w:tc>
          <w:tcPr>
            <w:tcW w:w="1701" w:type="dxa"/>
            <w:shd w:val="clear" w:color="auto" w:fill="D9D9D9"/>
            <w:vAlign w:val="center"/>
          </w:tcPr>
          <w:p w:rsidR="003177DF" w:rsidRPr="00A43380" w:rsidRDefault="003177DF" w:rsidP="00F46D6D">
            <w:pPr>
              <w:autoSpaceDE w:val="0"/>
              <w:autoSpaceDN w:val="0"/>
              <w:adjustRightInd w:val="0"/>
              <w:spacing w:line="240" w:lineRule="auto"/>
              <w:jc w:val="center"/>
              <w:rPr>
                <w:rFonts w:cs="Arial"/>
                <w:b/>
                <w:sz w:val="20"/>
              </w:rPr>
            </w:pPr>
            <w:r w:rsidRPr="00A43380">
              <w:rPr>
                <w:rFonts w:cs="Arial"/>
                <w:b/>
                <w:sz w:val="20"/>
              </w:rPr>
              <w:t>Reversibilidade</w:t>
            </w:r>
          </w:p>
        </w:tc>
        <w:tc>
          <w:tcPr>
            <w:tcW w:w="1559" w:type="dxa"/>
            <w:shd w:val="clear" w:color="auto" w:fill="D9D9D9"/>
            <w:vAlign w:val="center"/>
          </w:tcPr>
          <w:p w:rsidR="003177DF" w:rsidRPr="00A43380" w:rsidRDefault="003177DF" w:rsidP="00F46D6D">
            <w:pPr>
              <w:autoSpaceDE w:val="0"/>
              <w:autoSpaceDN w:val="0"/>
              <w:adjustRightInd w:val="0"/>
              <w:spacing w:line="240" w:lineRule="auto"/>
              <w:jc w:val="center"/>
              <w:rPr>
                <w:rFonts w:cs="Arial"/>
                <w:b/>
                <w:sz w:val="20"/>
              </w:rPr>
            </w:pPr>
            <w:r w:rsidRPr="00A43380">
              <w:rPr>
                <w:rFonts w:cs="Arial"/>
                <w:b/>
                <w:sz w:val="20"/>
              </w:rPr>
              <w:t>Magnitude</w:t>
            </w:r>
          </w:p>
        </w:tc>
        <w:tc>
          <w:tcPr>
            <w:tcW w:w="1520" w:type="dxa"/>
            <w:shd w:val="clear" w:color="auto" w:fill="D9D9D9"/>
            <w:vAlign w:val="center"/>
          </w:tcPr>
          <w:p w:rsidR="003177DF" w:rsidRPr="00A43380" w:rsidRDefault="003177DF" w:rsidP="00F46D6D">
            <w:pPr>
              <w:autoSpaceDE w:val="0"/>
              <w:autoSpaceDN w:val="0"/>
              <w:adjustRightInd w:val="0"/>
              <w:spacing w:line="240" w:lineRule="auto"/>
              <w:jc w:val="center"/>
              <w:rPr>
                <w:rFonts w:cs="Arial"/>
                <w:b/>
                <w:sz w:val="20"/>
              </w:rPr>
            </w:pPr>
            <w:r w:rsidRPr="00A43380">
              <w:rPr>
                <w:rFonts w:cs="Arial"/>
                <w:b/>
                <w:sz w:val="20"/>
              </w:rPr>
              <w:t>Importância</w:t>
            </w:r>
          </w:p>
        </w:tc>
        <w:tc>
          <w:tcPr>
            <w:tcW w:w="1520" w:type="dxa"/>
            <w:shd w:val="clear" w:color="auto" w:fill="D9D9D9"/>
            <w:vAlign w:val="center"/>
          </w:tcPr>
          <w:p w:rsidR="003177DF" w:rsidRPr="00A43380" w:rsidRDefault="003177DF" w:rsidP="00F46D6D">
            <w:pPr>
              <w:autoSpaceDE w:val="0"/>
              <w:autoSpaceDN w:val="0"/>
              <w:adjustRightInd w:val="0"/>
              <w:spacing w:line="240" w:lineRule="auto"/>
              <w:jc w:val="center"/>
              <w:rPr>
                <w:rFonts w:cs="Arial"/>
                <w:b/>
                <w:sz w:val="20"/>
              </w:rPr>
            </w:pPr>
            <w:r w:rsidRPr="00A43380">
              <w:rPr>
                <w:rFonts w:cs="Arial"/>
                <w:b/>
                <w:sz w:val="20"/>
              </w:rPr>
              <w:t>Mitigação</w:t>
            </w:r>
          </w:p>
        </w:tc>
      </w:tr>
      <w:tr w:rsidR="003177DF" w:rsidRPr="00A43380" w:rsidTr="007A3816">
        <w:trPr>
          <w:trHeight w:val="470"/>
          <w:jc w:val="center"/>
        </w:trPr>
        <w:tc>
          <w:tcPr>
            <w:tcW w:w="2333" w:type="dxa"/>
            <w:shd w:val="clear" w:color="auto" w:fill="auto"/>
            <w:vAlign w:val="center"/>
          </w:tcPr>
          <w:p w:rsidR="003177DF" w:rsidRPr="00AC0F23" w:rsidRDefault="003177DF" w:rsidP="00F46D6D">
            <w:pPr>
              <w:autoSpaceDE w:val="0"/>
              <w:autoSpaceDN w:val="0"/>
              <w:adjustRightInd w:val="0"/>
              <w:spacing w:line="240" w:lineRule="auto"/>
              <w:jc w:val="center"/>
              <w:rPr>
                <w:rFonts w:cs="Arial"/>
                <w:sz w:val="20"/>
              </w:rPr>
            </w:pPr>
            <w:r w:rsidRPr="00AC0F23">
              <w:rPr>
                <w:rFonts w:cs="Arial"/>
                <w:sz w:val="20"/>
              </w:rPr>
              <w:t>Curto Prazo</w:t>
            </w:r>
          </w:p>
        </w:tc>
        <w:tc>
          <w:tcPr>
            <w:tcW w:w="1701" w:type="dxa"/>
            <w:shd w:val="clear" w:color="auto" w:fill="auto"/>
            <w:vAlign w:val="center"/>
          </w:tcPr>
          <w:p w:rsidR="003177DF" w:rsidRPr="00AC0F23" w:rsidRDefault="003177DF" w:rsidP="00F46D6D">
            <w:pPr>
              <w:autoSpaceDE w:val="0"/>
              <w:autoSpaceDN w:val="0"/>
              <w:adjustRightInd w:val="0"/>
              <w:spacing w:line="240" w:lineRule="auto"/>
              <w:jc w:val="center"/>
              <w:rPr>
                <w:rFonts w:cs="Arial"/>
                <w:sz w:val="20"/>
              </w:rPr>
            </w:pPr>
            <w:r w:rsidRPr="00AC0F23">
              <w:rPr>
                <w:rFonts w:cs="Arial"/>
                <w:sz w:val="20"/>
              </w:rPr>
              <w:t>Reversível</w:t>
            </w:r>
          </w:p>
        </w:tc>
        <w:tc>
          <w:tcPr>
            <w:tcW w:w="1559" w:type="dxa"/>
            <w:shd w:val="clear" w:color="auto" w:fill="auto"/>
            <w:vAlign w:val="center"/>
          </w:tcPr>
          <w:p w:rsidR="003177DF" w:rsidRPr="00A43380" w:rsidRDefault="003177DF" w:rsidP="00F46D6D">
            <w:pPr>
              <w:autoSpaceDE w:val="0"/>
              <w:autoSpaceDN w:val="0"/>
              <w:adjustRightInd w:val="0"/>
              <w:spacing w:line="240" w:lineRule="auto"/>
              <w:jc w:val="center"/>
              <w:rPr>
                <w:rFonts w:cs="Arial"/>
                <w:sz w:val="20"/>
              </w:rPr>
            </w:pPr>
            <w:r>
              <w:rPr>
                <w:rFonts w:cs="Arial"/>
                <w:sz w:val="20"/>
              </w:rPr>
              <w:t>Média</w:t>
            </w:r>
          </w:p>
        </w:tc>
        <w:tc>
          <w:tcPr>
            <w:tcW w:w="1520" w:type="dxa"/>
            <w:shd w:val="clear" w:color="auto" w:fill="auto"/>
            <w:vAlign w:val="center"/>
          </w:tcPr>
          <w:p w:rsidR="003177DF" w:rsidRPr="00A43380" w:rsidRDefault="003177DF" w:rsidP="00F46D6D">
            <w:pPr>
              <w:autoSpaceDE w:val="0"/>
              <w:autoSpaceDN w:val="0"/>
              <w:adjustRightInd w:val="0"/>
              <w:spacing w:line="240" w:lineRule="auto"/>
              <w:jc w:val="center"/>
              <w:rPr>
                <w:rFonts w:cs="Arial"/>
                <w:sz w:val="20"/>
              </w:rPr>
            </w:pPr>
            <w:r>
              <w:rPr>
                <w:rFonts w:cs="Arial"/>
                <w:sz w:val="20"/>
              </w:rPr>
              <w:t>Média</w:t>
            </w:r>
          </w:p>
        </w:tc>
        <w:tc>
          <w:tcPr>
            <w:tcW w:w="1520" w:type="dxa"/>
            <w:shd w:val="clear" w:color="auto" w:fill="auto"/>
            <w:vAlign w:val="center"/>
          </w:tcPr>
          <w:p w:rsidR="003177DF" w:rsidRPr="00A43380" w:rsidRDefault="003177DF" w:rsidP="00F46D6D">
            <w:pPr>
              <w:autoSpaceDE w:val="0"/>
              <w:autoSpaceDN w:val="0"/>
              <w:adjustRightInd w:val="0"/>
              <w:spacing w:line="240" w:lineRule="auto"/>
              <w:jc w:val="center"/>
              <w:rPr>
                <w:rFonts w:cs="Arial"/>
                <w:sz w:val="20"/>
              </w:rPr>
            </w:pPr>
            <w:r>
              <w:rPr>
                <w:rFonts w:cs="Arial"/>
                <w:sz w:val="20"/>
              </w:rPr>
              <w:t>---</w:t>
            </w:r>
          </w:p>
        </w:tc>
      </w:tr>
    </w:tbl>
    <w:p w:rsidR="003177DF" w:rsidRDefault="003177DF" w:rsidP="00B42047">
      <w:pPr>
        <w:spacing w:before="240" w:after="240"/>
        <w:rPr>
          <w:b/>
        </w:rPr>
      </w:pPr>
      <w:r>
        <w:rPr>
          <w:b/>
        </w:rPr>
        <w:t>b</w:t>
      </w:r>
      <w:r w:rsidRPr="00AC0F23">
        <w:rPr>
          <w:b/>
        </w:rPr>
        <w:t xml:space="preserve">) Fase de </w:t>
      </w:r>
      <w:r>
        <w:rPr>
          <w:b/>
        </w:rPr>
        <w:t>Operação</w:t>
      </w:r>
    </w:p>
    <w:p w:rsidR="003177DF" w:rsidRDefault="003177DF" w:rsidP="00985197">
      <w:pPr>
        <w:spacing w:before="120" w:after="120" w:line="240" w:lineRule="auto"/>
      </w:pPr>
      <w:r>
        <w:t xml:space="preserve">Na fase de operação </w:t>
      </w:r>
      <w:r w:rsidR="008C15C3">
        <w:t>das Barragens</w:t>
      </w:r>
      <w:r>
        <w:t xml:space="preserve"> Pedreira e Duas Pontes devem contribuir no desenvolvimento econômico e social regional pelos benefícios gerados pela segurança hídrica que os aproveitamentos proporcionarão à região, tanto pelo aumento do volume de água como pela garantia de uso pela sociedade, água que beneficiará o conforto humano e o desenvolvimento das atividades econômicas.</w:t>
      </w:r>
    </w:p>
    <w:p w:rsidR="003177DF" w:rsidRDefault="008C15C3" w:rsidP="00985197">
      <w:pPr>
        <w:spacing w:before="120" w:after="120" w:line="240" w:lineRule="auto"/>
      </w:pPr>
      <w:r>
        <w:t>As barragens</w:t>
      </w:r>
      <w:r w:rsidR="003177DF">
        <w:t xml:space="preserve"> Pedreira e Duas Pontes devem aumentar a vazão mínima média mensal de 8,2 m³/s </w:t>
      </w:r>
      <w:r w:rsidR="0026694B">
        <w:rPr>
          <w:rStyle w:val="Refdenotaderodap"/>
        </w:rPr>
        <w:footnoteReference w:id="3"/>
      </w:r>
      <w:r w:rsidR="003177DF">
        <w:t xml:space="preserve"> para 17,2 m³/s (com 98% de garantia), proporcionando um ganho de 9,0 m³/s na bacia do rio Jaguari, sendo 3,7 m³/s proporcionados pela Barragem Pedreira, e 5,3 m³/s pela Barragem Duas Pontes, no local dos respectivos barramentos. </w:t>
      </w:r>
    </w:p>
    <w:p w:rsidR="003177DF" w:rsidRDefault="003177DF" w:rsidP="00985197">
      <w:pPr>
        <w:spacing w:before="120" w:after="120" w:line="240" w:lineRule="auto"/>
        <w:rPr>
          <w:rFonts w:eastAsia="Calibri" w:cs="Arial"/>
          <w:szCs w:val="22"/>
          <w:lang w:eastAsia="en-US"/>
        </w:rPr>
      </w:pPr>
      <w:r>
        <w:t xml:space="preserve">Este aporte é significativo em relação à disponibilidade hídrica atual na bacia dos rios PCJ. Independente da situação crítica observada no período 2014/2015, o consumo de água na bacia hidrográfica PCJ está se aproximando da disponibilidade hídrica superficial existente. </w:t>
      </w:r>
      <w:r>
        <w:rPr>
          <w:rFonts w:eastAsia="Calibri" w:cs="Arial"/>
          <w:szCs w:val="22"/>
          <w:lang w:eastAsia="en-US"/>
        </w:rPr>
        <w:t xml:space="preserve">Segundo as estimativas do </w:t>
      </w:r>
      <w:r w:rsidRPr="00417384">
        <w:rPr>
          <w:rFonts w:eastAsia="Calibri" w:cs="Arial"/>
          <w:szCs w:val="22"/>
          <w:lang w:eastAsia="en-US"/>
        </w:rPr>
        <w:t>Plano de Bacia</w:t>
      </w:r>
      <w:r>
        <w:rPr>
          <w:rFonts w:eastAsia="Calibri" w:cs="Arial"/>
          <w:szCs w:val="22"/>
          <w:lang w:eastAsia="en-US"/>
        </w:rPr>
        <w:t>s PCJ (2010-2020)</w:t>
      </w:r>
      <w:r w:rsidRPr="00BF132F">
        <w:rPr>
          <w:rStyle w:val="Refdenotaderodap"/>
          <w:sz w:val="20"/>
        </w:rPr>
        <w:t xml:space="preserve"> </w:t>
      </w:r>
      <w:r>
        <w:rPr>
          <w:rFonts w:eastAsia="Calibri" w:cs="Arial"/>
          <w:szCs w:val="22"/>
          <w:lang w:eastAsia="en-US"/>
        </w:rPr>
        <w:t xml:space="preserve">as </w:t>
      </w:r>
      <w:r w:rsidRPr="0026694B">
        <w:rPr>
          <w:rFonts w:eastAsia="Calibri" w:cs="Arial"/>
          <w:szCs w:val="22"/>
          <w:lang w:eastAsia="en-US"/>
        </w:rPr>
        <w:t>captações totais</w:t>
      </w:r>
      <w:r w:rsidRPr="0026694B">
        <w:rPr>
          <w:rStyle w:val="Refdenotaderodap"/>
          <w:rFonts w:eastAsia="Calibri" w:cs="Arial"/>
          <w:szCs w:val="22"/>
          <w:lang w:eastAsia="en-US"/>
        </w:rPr>
        <w:footnoteReference w:id="4"/>
      </w:r>
      <w:r w:rsidRPr="0026694B">
        <w:rPr>
          <w:rFonts w:eastAsia="Calibri" w:cs="Arial"/>
          <w:szCs w:val="22"/>
          <w:lang w:eastAsia="en-US"/>
        </w:rPr>
        <w:t xml:space="preserve"> foram</w:t>
      </w:r>
      <w:r>
        <w:rPr>
          <w:rFonts w:eastAsia="Calibri" w:cs="Arial"/>
          <w:szCs w:val="22"/>
          <w:lang w:eastAsia="en-US"/>
        </w:rPr>
        <w:t xml:space="preserve"> estimadas em 36,92 </w:t>
      </w:r>
      <w:r w:rsidRPr="004E5F01">
        <w:rPr>
          <w:rFonts w:eastAsia="Calibri" w:cs="Arial"/>
          <w:szCs w:val="22"/>
          <w:lang w:eastAsia="en-US"/>
        </w:rPr>
        <w:t>m³/s</w:t>
      </w:r>
      <w:r>
        <w:rPr>
          <w:rFonts w:eastAsia="Calibri" w:cs="Arial"/>
          <w:szCs w:val="22"/>
          <w:lang w:eastAsia="en-US"/>
        </w:rPr>
        <w:t xml:space="preserve"> em 2014</w:t>
      </w:r>
      <w:r w:rsidRPr="004E5F01">
        <w:rPr>
          <w:rFonts w:eastAsia="Calibri" w:cs="Arial"/>
          <w:szCs w:val="22"/>
          <w:lang w:eastAsia="en-US"/>
        </w:rPr>
        <w:t xml:space="preserve">, </w:t>
      </w:r>
      <w:r>
        <w:rPr>
          <w:rFonts w:eastAsia="Calibri" w:cs="Arial"/>
          <w:szCs w:val="22"/>
          <w:lang w:eastAsia="en-US"/>
        </w:rPr>
        <w:t>isto é, 98%</w:t>
      </w:r>
      <w:r w:rsidRPr="004E5F01">
        <w:rPr>
          <w:rFonts w:eastAsia="Calibri" w:cs="Arial"/>
          <w:szCs w:val="22"/>
          <w:lang w:eastAsia="en-US"/>
        </w:rPr>
        <w:t xml:space="preserve"> da disponibilidade</w:t>
      </w:r>
      <w:r>
        <w:rPr>
          <w:rFonts w:eastAsia="Calibri" w:cs="Arial"/>
          <w:szCs w:val="22"/>
          <w:lang w:eastAsia="en-US"/>
        </w:rPr>
        <w:t xml:space="preserve"> hídrica superficial. </w:t>
      </w:r>
      <w:r w:rsidR="00A31EB8">
        <w:rPr>
          <w:rFonts w:eastAsia="Calibri" w:cs="Arial"/>
          <w:szCs w:val="22"/>
          <w:lang w:eastAsia="en-US"/>
        </w:rPr>
        <w:t>Por outro lado há um aporte de</w:t>
      </w:r>
      <w:r w:rsidR="00A31EB8" w:rsidRPr="00A31EB8">
        <w:rPr>
          <w:rFonts w:eastAsia="Calibri" w:cs="Arial"/>
          <w:szCs w:val="22"/>
          <w:lang w:eastAsia="en-US"/>
        </w:rPr>
        <w:t xml:space="preserve"> 20,61 m³/s referentes aos lançamentos estimados em 2014, </w:t>
      </w:r>
      <w:r w:rsidR="00A31EB8">
        <w:rPr>
          <w:rFonts w:eastAsia="Calibri" w:cs="Arial"/>
          <w:szCs w:val="22"/>
          <w:lang w:eastAsia="en-US"/>
        </w:rPr>
        <w:t xml:space="preserve">que </w:t>
      </w:r>
      <w:r w:rsidR="00A31EB8" w:rsidRPr="00A31EB8">
        <w:rPr>
          <w:rFonts w:eastAsia="Calibri" w:cs="Arial"/>
          <w:szCs w:val="22"/>
          <w:lang w:eastAsia="en-US"/>
        </w:rPr>
        <w:t xml:space="preserve">correspondem a 58% do volume captado. </w:t>
      </w:r>
      <w:r>
        <w:rPr>
          <w:rFonts w:eastAsia="Calibri" w:cs="Arial"/>
          <w:szCs w:val="22"/>
          <w:lang w:eastAsia="en-US"/>
        </w:rPr>
        <w:t xml:space="preserve">O Plano estima que </w:t>
      </w:r>
      <w:r w:rsidRPr="006D76A3">
        <w:rPr>
          <w:rFonts w:eastAsia="Calibri" w:cs="Arial"/>
          <w:szCs w:val="22"/>
          <w:lang w:eastAsia="en-US"/>
        </w:rPr>
        <w:t xml:space="preserve">em 2020, </w:t>
      </w:r>
      <w:r>
        <w:rPr>
          <w:rFonts w:eastAsia="Calibri" w:cs="Arial"/>
          <w:szCs w:val="22"/>
          <w:lang w:eastAsia="en-US"/>
        </w:rPr>
        <w:t xml:space="preserve">a situação da bacia será ainda mais crítica, </w:t>
      </w:r>
      <w:r w:rsidRPr="006D76A3">
        <w:rPr>
          <w:rFonts w:eastAsia="Calibri" w:cs="Arial"/>
          <w:szCs w:val="22"/>
          <w:lang w:eastAsia="en-US"/>
        </w:rPr>
        <w:t xml:space="preserve">uma vez que </w:t>
      </w:r>
      <w:r>
        <w:rPr>
          <w:rFonts w:eastAsia="Calibri" w:cs="Arial"/>
          <w:szCs w:val="22"/>
          <w:lang w:eastAsia="en-US"/>
        </w:rPr>
        <w:t xml:space="preserve">as captações poderão superar a disponibilidade total. </w:t>
      </w:r>
    </w:p>
    <w:p w:rsidR="003177DF" w:rsidRPr="002B0C4A" w:rsidRDefault="003177DF" w:rsidP="00985197">
      <w:pPr>
        <w:spacing w:before="120" w:after="120" w:line="240" w:lineRule="auto"/>
      </w:pPr>
      <w:r>
        <w:t xml:space="preserve">Estima-se que as restrições hídricas da bacia, se estas virem a se constituir em eventos frequentes, devam provocar transtornos cada vez maiores à população residente, exigindo a adoção de diversas medidas para manter o suprimento de água para a população. Do mesmo modo, a indisponibilidade de água pode vir a restringir </w:t>
      </w:r>
      <w:r w:rsidRPr="002B0C4A">
        <w:t>o desenvolvimento regional</w:t>
      </w:r>
      <w:r>
        <w:t>,</w:t>
      </w:r>
      <w:r w:rsidRPr="002B0C4A">
        <w:t xml:space="preserve"> </w:t>
      </w:r>
      <w:r>
        <w:t xml:space="preserve">configurando-se como uma região </w:t>
      </w:r>
      <w:r w:rsidRPr="002B0C4A">
        <w:t>pouco atrativa para no</w:t>
      </w:r>
      <w:r>
        <w:t xml:space="preserve">vos investimentos empresariais onde a água seja parte importante do </w:t>
      </w:r>
      <w:r w:rsidRPr="002B0C4A">
        <w:t xml:space="preserve">processo produtivo, resultando também na diminuição das oportunidades regionais para a população economicamente ativa. </w:t>
      </w:r>
    </w:p>
    <w:p w:rsidR="003177DF" w:rsidRDefault="003177DF" w:rsidP="00985197">
      <w:pPr>
        <w:spacing w:before="120" w:after="120" w:line="240" w:lineRule="auto"/>
        <w:rPr>
          <w:rFonts w:eastAsia="Calibri" w:cs="Arial"/>
          <w:szCs w:val="22"/>
          <w:lang w:eastAsia="en-US"/>
        </w:rPr>
      </w:pPr>
      <w:r>
        <w:rPr>
          <w:rFonts w:eastAsia="Calibri" w:cs="Arial"/>
          <w:szCs w:val="22"/>
          <w:lang w:eastAsia="en-US"/>
        </w:rPr>
        <w:t xml:space="preserve">Em síntese, os reservatórios podem reverter em grande parte o quadro de criticidade da bacia do rio Piracicaba nos próximos anos, pela disponibilização de novas vazões, de forma que não apenas os municípios à jusante, mas outros municípios nesta região possam se beneficiar com aduções ou </w:t>
      </w:r>
      <w:r w:rsidRPr="003F4FB7">
        <w:rPr>
          <w:rFonts w:eastAsia="Calibri" w:cs="Arial"/>
          <w:szCs w:val="22"/>
          <w:lang w:eastAsia="en-US"/>
        </w:rPr>
        <w:t>sistemas integrados de captação ou, até mesmo, de distribuição</w:t>
      </w:r>
      <w:r>
        <w:rPr>
          <w:rFonts w:eastAsia="Calibri" w:cs="Arial"/>
          <w:szCs w:val="22"/>
          <w:lang w:eastAsia="en-US"/>
        </w:rPr>
        <w:t xml:space="preserve"> de água. </w:t>
      </w:r>
    </w:p>
    <w:p w:rsidR="003177DF" w:rsidRDefault="003177DF" w:rsidP="00985197">
      <w:pPr>
        <w:spacing w:before="120" w:after="120" w:line="240" w:lineRule="auto"/>
        <w:rPr>
          <w:rFonts w:eastAsia="Calibri" w:cs="Arial"/>
          <w:szCs w:val="22"/>
          <w:lang w:eastAsia="en-US"/>
        </w:rPr>
      </w:pPr>
      <w:r>
        <w:rPr>
          <w:rFonts w:eastAsia="Calibri" w:cs="Arial"/>
          <w:szCs w:val="22"/>
          <w:lang w:eastAsia="en-US"/>
        </w:rPr>
        <w:t>O aumento em 9,0 m³/s nas vazões mínimas médias mensais</w:t>
      </w:r>
      <w:r w:rsidRPr="00102D74">
        <w:rPr>
          <w:rFonts w:eastAsia="Calibri" w:cs="Arial"/>
          <w:szCs w:val="22"/>
          <w:lang w:eastAsia="en-US"/>
        </w:rPr>
        <w:t xml:space="preserve"> </w:t>
      </w:r>
      <w:r>
        <w:rPr>
          <w:rFonts w:eastAsia="Calibri" w:cs="Arial"/>
          <w:szCs w:val="22"/>
          <w:lang w:eastAsia="en-US"/>
        </w:rPr>
        <w:t xml:space="preserve">na bacia do rio Jaguari, com </w:t>
      </w:r>
      <w:r w:rsidRPr="00102D74">
        <w:rPr>
          <w:rFonts w:eastAsia="Calibri" w:cs="Arial"/>
          <w:szCs w:val="22"/>
          <w:lang w:eastAsia="en-US"/>
        </w:rPr>
        <w:t xml:space="preserve">98% de garantia, </w:t>
      </w:r>
      <w:r>
        <w:rPr>
          <w:rFonts w:eastAsia="Calibri" w:cs="Arial"/>
          <w:szCs w:val="22"/>
          <w:lang w:eastAsia="en-US"/>
        </w:rPr>
        <w:t>permitira atender um novo contingente de população, da ordem de 3,1 milhões de habitantes considerando um consumo médio de 200 l/habitante/dia e 80% de eficiência na distribuição da água.</w:t>
      </w:r>
    </w:p>
    <w:p w:rsidR="001168F3" w:rsidRDefault="003177DF" w:rsidP="00985197">
      <w:pPr>
        <w:pStyle w:val="Corpodetexto"/>
      </w:pPr>
      <w:r>
        <w:t xml:space="preserve">Dessa forma a contribuição dos empreendimentos ao desenvolvimento econômico e social regional na Fase de Operação será considerado um </w:t>
      </w:r>
      <w:r w:rsidRPr="00423171">
        <w:t>impacto certo, positivo, indireto, de médio/longo prazo, permanente, irreversível, de abrangência regional/estratégica, de grande magnitude e alta importância.</w:t>
      </w:r>
      <w:r>
        <w:t xml:space="preserve"> </w:t>
      </w:r>
    </w:p>
    <w:p w:rsidR="00C50DD2" w:rsidRDefault="00C50DD2" w:rsidP="00C50DD2">
      <w:pPr>
        <w:pStyle w:val="Legenda"/>
        <w:spacing w:before="0" w:after="0" w:line="240" w:lineRule="auto"/>
        <w:jc w:val="center"/>
        <w:rPr>
          <w:i w:val="0"/>
        </w:rPr>
      </w:pPr>
    </w:p>
    <w:p w:rsidR="003177DF" w:rsidRDefault="00402E81" w:rsidP="00C50DD2">
      <w:pPr>
        <w:pStyle w:val="Legenda"/>
        <w:spacing w:before="0" w:after="0" w:line="240" w:lineRule="auto"/>
        <w:jc w:val="center"/>
        <w:rPr>
          <w:rFonts w:cs="Arial"/>
          <w:b w:val="0"/>
          <w:bCs/>
          <w:i w:val="0"/>
        </w:rPr>
      </w:pPr>
      <w:bookmarkStart w:id="443" w:name="_Toc420316547"/>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104</w:t>
      </w:r>
      <w:r w:rsidR="00B80A05" w:rsidRPr="00C50DD2">
        <w:rPr>
          <w:i w:val="0"/>
          <w:noProof/>
        </w:rPr>
        <w:fldChar w:fldCharType="end"/>
      </w:r>
      <w:r w:rsidR="00C50DD2" w:rsidRPr="00C50DD2">
        <w:rPr>
          <w:i w:val="0"/>
          <w:noProof/>
        </w:rPr>
        <w:t>.</w:t>
      </w:r>
      <w:r w:rsidR="00C50DD2" w:rsidRPr="00C50DD2">
        <w:rPr>
          <w:b w:val="0"/>
          <w:i w:val="0"/>
          <w:noProof/>
        </w:rPr>
        <w:t xml:space="preserve"> - </w:t>
      </w:r>
      <w:r w:rsidR="003177DF" w:rsidRPr="00C50DD2">
        <w:rPr>
          <w:rFonts w:cs="Arial"/>
          <w:b w:val="0"/>
          <w:bCs/>
          <w:i w:val="0"/>
        </w:rPr>
        <w:t>Caracterização do Impacto –</w:t>
      </w:r>
      <w:r w:rsidR="00545B96" w:rsidRPr="00C50DD2">
        <w:rPr>
          <w:rFonts w:cs="Arial"/>
          <w:b w:val="0"/>
          <w:bCs/>
          <w:i w:val="0"/>
        </w:rPr>
        <w:t xml:space="preserve"> </w:t>
      </w:r>
      <w:r w:rsidR="003177DF" w:rsidRPr="00C50DD2">
        <w:rPr>
          <w:rFonts w:cs="Arial"/>
          <w:b w:val="0"/>
          <w:bCs/>
          <w:i w:val="0"/>
        </w:rPr>
        <w:t>Contribuição ao Desenvolvimento Econômico e Social Regional</w:t>
      </w:r>
      <w:r w:rsidR="00BB0521" w:rsidRPr="00C50DD2">
        <w:rPr>
          <w:rFonts w:cs="Arial"/>
          <w:b w:val="0"/>
          <w:bCs/>
          <w:i w:val="0"/>
        </w:rPr>
        <w:t xml:space="preserve"> Fase Operação – Barragens Pedreira e Duas Pontes</w:t>
      </w:r>
      <w:bookmarkEnd w:id="443"/>
    </w:p>
    <w:tbl>
      <w:tblPr>
        <w:tblW w:w="0" w:type="auto"/>
        <w:jc w:val="center"/>
        <w:tblInd w:w="-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6"/>
        <w:gridCol w:w="1237"/>
        <w:gridCol w:w="1701"/>
        <w:gridCol w:w="1701"/>
        <w:gridCol w:w="3037"/>
      </w:tblGrid>
      <w:tr w:rsidR="003177DF" w:rsidRPr="00A43380" w:rsidTr="007A3816">
        <w:trPr>
          <w:trHeight w:val="518"/>
          <w:jc w:val="center"/>
        </w:trPr>
        <w:tc>
          <w:tcPr>
            <w:tcW w:w="1236" w:type="dxa"/>
            <w:shd w:val="clear" w:color="auto" w:fill="D9D9D9"/>
            <w:vAlign w:val="center"/>
          </w:tcPr>
          <w:p w:rsidR="003177DF" w:rsidRPr="00A43380" w:rsidRDefault="003177DF" w:rsidP="00985197">
            <w:pPr>
              <w:autoSpaceDE w:val="0"/>
              <w:autoSpaceDN w:val="0"/>
              <w:adjustRightInd w:val="0"/>
              <w:spacing w:line="240" w:lineRule="auto"/>
              <w:jc w:val="center"/>
              <w:rPr>
                <w:rFonts w:cs="Arial"/>
                <w:b/>
                <w:sz w:val="20"/>
              </w:rPr>
            </w:pPr>
            <w:r w:rsidRPr="00A43380">
              <w:rPr>
                <w:rFonts w:cs="Arial"/>
                <w:b/>
                <w:sz w:val="20"/>
              </w:rPr>
              <w:t>Natureza</w:t>
            </w:r>
          </w:p>
        </w:tc>
        <w:tc>
          <w:tcPr>
            <w:tcW w:w="1237" w:type="dxa"/>
            <w:shd w:val="clear" w:color="auto" w:fill="D9D9D9"/>
            <w:vAlign w:val="center"/>
          </w:tcPr>
          <w:p w:rsidR="003177DF" w:rsidRPr="00A43380" w:rsidRDefault="003177DF" w:rsidP="00985197">
            <w:pPr>
              <w:autoSpaceDE w:val="0"/>
              <w:autoSpaceDN w:val="0"/>
              <w:adjustRightInd w:val="0"/>
              <w:spacing w:line="240" w:lineRule="auto"/>
              <w:jc w:val="center"/>
              <w:rPr>
                <w:rFonts w:cs="Arial"/>
                <w:b/>
                <w:sz w:val="20"/>
              </w:rPr>
            </w:pPr>
            <w:r w:rsidRPr="00A43380">
              <w:rPr>
                <w:rFonts w:cs="Arial"/>
                <w:b/>
                <w:sz w:val="20"/>
              </w:rPr>
              <w:t>Ordem</w:t>
            </w:r>
          </w:p>
        </w:tc>
        <w:tc>
          <w:tcPr>
            <w:tcW w:w="1701" w:type="dxa"/>
            <w:shd w:val="clear" w:color="auto" w:fill="D9D9D9"/>
            <w:vAlign w:val="center"/>
          </w:tcPr>
          <w:p w:rsidR="003177DF" w:rsidRPr="00A43380" w:rsidRDefault="003177DF" w:rsidP="00985197">
            <w:pPr>
              <w:autoSpaceDE w:val="0"/>
              <w:autoSpaceDN w:val="0"/>
              <w:adjustRightInd w:val="0"/>
              <w:spacing w:line="240" w:lineRule="auto"/>
              <w:jc w:val="center"/>
              <w:rPr>
                <w:rFonts w:cs="Arial"/>
                <w:b/>
                <w:sz w:val="20"/>
              </w:rPr>
            </w:pPr>
            <w:r w:rsidRPr="00A43380">
              <w:rPr>
                <w:rFonts w:cs="Arial"/>
                <w:b/>
                <w:sz w:val="20"/>
              </w:rPr>
              <w:t>Abrangência</w:t>
            </w:r>
          </w:p>
        </w:tc>
        <w:tc>
          <w:tcPr>
            <w:tcW w:w="1701" w:type="dxa"/>
            <w:shd w:val="clear" w:color="auto" w:fill="D9D9D9"/>
            <w:vAlign w:val="center"/>
          </w:tcPr>
          <w:p w:rsidR="003177DF" w:rsidRPr="00A43380" w:rsidRDefault="003177DF" w:rsidP="00985197">
            <w:pPr>
              <w:autoSpaceDE w:val="0"/>
              <w:autoSpaceDN w:val="0"/>
              <w:adjustRightInd w:val="0"/>
              <w:spacing w:line="240" w:lineRule="auto"/>
              <w:jc w:val="center"/>
              <w:rPr>
                <w:rFonts w:cs="Arial"/>
                <w:b/>
                <w:sz w:val="20"/>
              </w:rPr>
            </w:pPr>
            <w:r w:rsidRPr="00A43380">
              <w:rPr>
                <w:rFonts w:cs="Arial"/>
                <w:b/>
                <w:sz w:val="20"/>
              </w:rPr>
              <w:t>Duração</w:t>
            </w:r>
          </w:p>
        </w:tc>
        <w:tc>
          <w:tcPr>
            <w:tcW w:w="3037" w:type="dxa"/>
            <w:shd w:val="clear" w:color="auto" w:fill="D9D9D9"/>
            <w:vAlign w:val="center"/>
          </w:tcPr>
          <w:p w:rsidR="003177DF" w:rsidRPr="00A43380" w:rsidRDefault="003177DF" w:rsidP="00985197">
            <w:pPr>
              <w:autoSpaceDE w:val="0"/>
              <w:autoSpaceDN w:val="0"/>
              <w:adjustRightInd w:val="0"/>
              <w:spacing w:line="240" w:lineRule="auto"/>
              <w:jc w:val="center"/>
              <w:rPr>
                <w:rFonts w:cs="Arial"/>
                <w:b/>
                <w:sz w:val="20"/>
              </w:rPr>
            </w:pPr>
            <w:r w:rsidRPr="00A43380">
              <w:rPr>
                <w:rFonts w:cs="Arial"/>
                <w:b/>
                <w:sz w:val="20"/>
              </w:rPr>
              <w:t>Probabilidade de Ocorrência</w:t>
            </w:r>
          </w:p>
        </w:tc>
      </w:tr>
      <w:tr w:rsidR="003177DF" w:rsidRPr="00A43380" w:rsidTr="007A3816">
        <w:trPr>
          <w:trHeight w:val="273"/>
          <w:jc w:val="center"/>
        </w:trPr>
        <w:tc>
          <w:tcPr>
            <w:tcW w:w="1236" w:type="dxa"/>
            <w:shd w:val="clear" w:color="auto" w:fill="auto"/>
            <w:vAlign w:val="center"/>
          </w:tcPr>
          <w:p w:rsidR="003177DF" w:rsidRPr="00423171" w:rsidRDefault="003177DF" w:rsidP="00985197">
            <w:pPr>
              <w:autoSpaceDE w:val="0"/>
              <w:autoSpaceDN w:val="0"/>
              <w:adjustRightInd w:val="0"/>
              <w:spacing w:line="240" w:lineRule="auto"/>
              <w:jc w:val="center"/>
              <w:rPr>
                <w:rFonts w:cs="Arial"/>
                <w:sz w:val="20"/>
              </w:rPr>
            </w:pPr>
            <w:r w:rsidRPr="00423171">
              <w:rPr>
                <w:rFonts w:cs="Arial"/>
                <w:sz w:val="20"/>
              </w:rPr>
              <w:t>Positivo</w:t>
            </w:r>
          </w:p>
        </w:tc>
        <w:tc>
          <w:tcPr>
            <w:tcW w:w="1237" w:type="dxa"/>
            <w:shd w:val="clear" w:color="auto" w:fill="auto"/>
            <w:vAlign w:val="center"/>
          </w:tcPr>
          <w:p w:rsidR="003177DF" w:rsidRPr="00423171" w:rsidRDefault="003177DF" w:rsidP="00985197">
            <w:pPr>
              <w:autoSpaceDE w:val="0"/>
              <w:autoSpaceDN w:val="0"/>
              <w:adjustRightInd w:val="0"/>
              <w:spacing w:line="240" w:lineRule="auto"/>
              <w:jc w:val="center"/>
              <w:rPr>
                <w:rFonts w:cs="Arial"/>
                <w:sz w:val="20"/>
              </w:rPr>
            </w:pPr>
            <w:r w:rsidRPr="00423171">
              <w:rPr>
                <w:rFonts w:cs="Arial"/>
                <w:sz w:val="20"/>
              </w:rPr>
              <w:t>Indireto</w:t>
            </w:r>
          </w:p>
        </w:tc>
        <w:tc>
          <w:tcPr>
            <w:tcW w:w="1701" w:type="dxa"/>
            <w:shd w:val="clear" w:color="auto" w:fill="auto"/>
            <w:vAlign w:val="center"/>
          </w:tcPr>
          <w:p w:rsidR="003177DF" w:rsidRPr="00423171" w:rsidRDefault="003177DF" w:rsidP="00985197">
            <w:pPr>
              <w:autoSpaceDE w:val="0"/>
              <w:autoSpaceDN w:val="0"/>
              <w:adjustRightInd w:val="0"/>
              <w:spacing w:line="240" w:lineRule="auto"/>
              <w:jc w:val="center"/>
              <w:rPr>
                <w:rFonts w:cs="Arial"/>
                <w:sz w:val="20"/>
              </w:rPr>
            </w:pPr>
            <w:r w:rsidRPr="00423171">
              <w:rPr>
                <w:rFonts w:cs="Arial"/>
                <w:sz w:val="20"/>
              </w:rPr>
              <w:t>Regional/ Estratégica</w:t>
            </w:r>
          </w:p>
        </w:tc>
        <w:tc>
          <w:tcPr>
            <w:tcW w:w="1701" w:type="dxa"/>
            <w:shd w:val="clear" w:color="auto" w:fill="auto"/>
            <w:vAlign w:val="center"/>
          </w:tcPr>
          <w:p w:rsidR="003177DF" w:rsidRPr="00423171" w:rsidRDefault="003177DF" w:rsidP="00985197">
            <w:pPr>
              <w:autoSpaceDE w:val="0"/>
              <w:autoSpaceDN w:val="0"/>
              <w:adjustRightInd w:val="0"/>
              <w:spacing w:line="240" w:lineRule="auto"/>
              <w:jc w:val="center"/>
              <w:rPr>
                <w:rFonts w:cs="Arial"/>
                <w:sz w:val="20"/>
              </w:rPr>
            </w:pPr>
            <w:r w:rsidRPr="00423171">
              <w:rPr>
                <w:rFonts w:cs="Arial"/>
                <w:sz w:val="20"/>
              </w:rPr>
              <w:t>Permanente</w:t>
            </w:r>
          </w:p>
        </w:tc>
        <w:tc>
          <w:tcPr>
            <w:tcW w:w="3037" w:type="dxa"/>
            <w:shd w:val="clear" w:color="auto" w:fill="auto"/>
            <w:vAlign w:val="center"/>
          </w:tcPr>
          <w:p w:rsidR="003177DF" w:rsidRPr="00423171" w:rsidRDefault="003177DF" w:rsidP="00985197">
            <w:pPr>
              <w:autoSpaceDE w:val="0"/>
              <w:autoSpaceDN w:val="0"/>
              <w:adjustRightInd w:val="0"/>
              <w:spacing w:line="240" w:lineRule="auto"/>
              <w:jc w:val="center"/>
              <w:rPr>
                <w:rFonts w:cs="Arial"/>
                <w:sz w:val="20"/>
              </w:rPr>
            </w:pPr>
            <w:r w:rsidRPr="00423171">
              <w:rPr>
                <w:rFonts w:cs="Arial"/>
                <w:sz w:val="20"/>
              </w:rPr>
              <w:t>Certa</w:t>
            </w:r>
          </w:p>
        </w:tc>
      </w:tr>
    </w:tbl>
    <w:p w:rsidR="003177DF" w:rsidRPr="00A43380" w:rsidRDefault="003177DF" w:rsidP="00985197">
      <w:pPr>
        <w:autoSpaceDE w:val="0"/>
        <w:autoSpaceDN w:val="0"/>
        <w:adjustRightInd w:val="0"/>
        <w:spacing w:line="240" w:lineRule="auto"/>
        <w:jc w:val="center"/>
        <w:rPr>
          <w:rFonts w:cs="Arial"/>
          <w:sz w:val="20"/>
        </w:rPr>
      </w:pPr>
    </w:p>
    <w:tbl>
      <w:tblPr>
        <w:tblW w:w="0" w:type="auto"/>
        <w:jc w:val="center"/>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6"/>
        <w:gridCol w:w="1701"/>
        <w:gridCol w:w="1701"/>
        <w:gridCol w:w="1500"/>
        <w:gridCol w:w="1500"/>
      </w:tblGrid>
      <w:tr w:rsidR="003177DF" w:rsidRPr="00A43380" w:rsidTr="007A3816">
        <w:trPr>
          <w:trHeight w:val="397"/>
          <w:jc w:val="center"/>
        </w:trPr>
        <w:tc>
          <w:tcPr>
            <w:tcW w:w="2436" w:type="dxa"/>
            <w:shd w:val="clear" w:color="auto" w:fill="D9D9D9"/>
            <w:vAlign w:val="center"/>
          </w:tcPr>
          <w:p w:rsidR="003177DF" w:rsidRPr="00A43380" w:rsidRDefault="003177DF" w:rsidP="00985197">
            <w:pPr>
              <w:autoSpaceDE w:val="0"/>
              <w:autoSpaceDN w:val="0"/>
              <w:adjustRightInd w:val="0"/>
              <w:spacing w:line="240" w:lineRule="auto"/>
              <w:jc w:val="center"/>
              <w:rPr>
                <w:rFonts w:cs="Arial"/>
                <w:b/>
                <w:sz w:val="20"/>
              </w:rPr>
            </w:pPr>
            <w:r w:rsidRPr="00A43380">
              <w:rPr>
                <w:rFonts w:cs="Arial"/>
                <w:b/>
                <w:sz w:val="20"/>
              </w:rPr>
              <w:t>Época de Ocorrência</w:t>
            </w:r>
          </w:p>
        </w:tc>
        <w:tc>
          <w:tcPr>
            <w:tcW w:w="1701" w:type="dxa"/>
            <w:shd w:val="clear" w:color="auto" w:fill="D9D9D9"/>
            <w:vAlign w:val="center"/>
          </w:tcPr>
          <w:p w:rsidR="003177DF" w:rsidRPr="00A43380" w:rsidRDefault="003177DF" w:rsidP="00985197">
            <w:pPr>
              <w:autoSpaceDE w:val="0"/>
              <w:autoSpaceDN w:val="0"/>
              <w:adjustRightInd w:val="0"/>
              <w:spacing w:line="240" w:lineRule="auto"/>
              <w:jc w:val="center"/>
              <w:rPr>
                <w:rFonts w:cs="Arial"/>
                <w:b/>
                <w:sz w:val="20"/>
              </w:rPr>
            </w:pPr>
            <w:r w:rsidRPr="00A43380">
              <w:rPr>
                <w:rFonts w:cs="Arial"/>
                <w:b/>
                <w:sz w:val="20"/>
              </w:rPr>
              <w:t>Reversibilidade</w:t>
            </w:r>
          </w:p>
        </w:tc>
        <w:tc>
          <w:tcPr>
            <w:tcW w:w="1701" w:type="dxa"/>
            <w:shd w:val="clear" w:color="auto" w:fill="D9D9D9"/>
            <w:vAlign w:val="center"/>
          </w:tcPr>
          <w:p w:rsidR="003177DF" w:rsidRPr="00A43380" w:rsidRDefault="003177DF" w:rsidP="00985197">
            <w:pPr>
              <w:autoSpaceDE w:val="0"/>
              <w:autoSpaceDN w:val="0"/>
              <w:adjustRightInd w:val="0"/>
              <w:spacing w:line="240" w:lineRule="auto"/>
              <w:jc w:val="center"/>
              <w:rPr>
                <w:rFonts w:cs="Arial"/>
                <w:b/>
                <w:sz w:val="20"/>
              </w:rPr>
            </w:pPr>
            <w:r w:rsidRPr="00A43380">
              <w:rPr>
                <w:rFonts w:cs="Arial"/>
                <w:b/>
                <w:sz w:val="20"/>
              </w:rPr>
              <w:t>Magnitude</w:t>
            </w:r>
          </w:p>
        </w:tc>
        <w:tc>
          <w:tcPr>
            <w:tcW w:w="1500" w:type="dxa"/>
            <w:shd w:val="clear" w:color="auto" w:fill="D9D9D9"/>
            <w:vAlign w:val="center"/>
          </w:tcPr>
          <w:p w:rsidR="003177DF" w:rsidRPr="00A43380" w:rsidRDefault="003177DF" w:rsidP="00985197">
            <w:pPr>
              <w:autoSpaceDE w:val="0"/>
              <w:autoSpaceDN w:val="0"/>
              <w:adjustRightInd w:val="0"/>
              <w:spacing w:line="240" w:lineRule="auto"/>
              <w:jc w:val="center"/>
              <w:rPr>
                <w:rFonts w:cs="Arial"/>
                <w:b/>
                <w:sz w:val="20"/>
              </w:rPr>
            </w:pPr>
            <w:r w:rsidRPr="00A43380">
              <w:rPr>
                <w:rFonts w:cs="Arial"/>
                <w:b/>
                <w:sz w:val="20"/>
              </w:rPr>
              <w:t>Importância</w:t>
            </w:r>
          </w:p>
        </w:tc>
        <w:tc>
          <w:tcPr>
            <w:tcW w:w="1500" w:type="dxa"/>
            <w:shd w:val="clear" w:color="auto" w:fill="D9D9D9"/>
            <w:vAlign w:val="center"/>
          </w:tcPr>
          <w:p w:rsidR="003177DF" w:rsidRPr="00A43380" w:rsidRDefault="003177DF" w:rsidP="00985197">
            <w:pPr>
              <w:autoSpaceDE w:val="0"/>
              <w:autoSpaceDN w:val="0"/>
              <w:adjustRightInd w:val="0"/>
              <w:spacing w:line="240" w:lineRule="auto"/>
              <w:jc w:val="center"/>
              <w:rPr>
                <w:rFonts w:cs="Arial"/>
                <w:b/>
                <w:sz w:val="20"/>
              </w:rPr>
            </w:pPr>
            <w:r w:rsidRPr="00A43380">
              <w:rPr>
                <w:rFonts w:cs="Arial"/>
                <w:b/>
                <w:sz w:val="20"/>
              </w:rPr>
              <w:t>Mitigação</w:t>
            </w:r>
          </w:p>
        </w:tc>
      </w:tr>
      <w:tr w:rsidR="003177DF" w:rsidRPr="00A43380" w:rsidTr="007A3816">
        <w:trPr>
          <w:trHeight w:val="344"/>
          <w:jc w:val="center"/>
        </w:trPr>
        <w:tc>
          <w:tcPr>
            <w:tcW w:w="2436" w:type="dxa"/>
            <w:shd w:val="clear" w:color="auto" w:fill="auto"/>
            <w:vAlign w:val="center"/>
          </w:tcPr>
          <w:p w:rsidR="003177DF" w:rsidRPr="00423171" w:rsidRDefault="003177DF" w:rsidP="00985197">
            <w:pPr>
              <w:autoSpaceDE w:val="0"/>
              <w:autoSpaceDN w:val="0"/>
              <w:adjustRightInd w:val="0"/>
              <w:spacing w:line="240" w:lineRule="auto"/>
              <w:jc w:val="center"/>
              <w:rPr>
                <w:rFonts w:cs="Arial"/>
                <w:sz w:val="20"/>
              </w:rPr>
            </w:pPr>
            <w:r w:rsidRPr="00423171">
              <w:rPr>
                <w:rFonts w:cs="Arial"/>
                <w:sz w:val="20"/>
              </w:rPr>
              <w:t>Médio/Longo Prazo</w:t>
            </w:r>
          </w:p>
        </w:tc>
        <w:tc>
          <w:tcPr>
            <w:tcW w:w="1701" w:type="dxa"/>
            <w:shd w:val="clear" w:color="auto" w:fill="auto"/>
            <w:vAlign w:val="center"/>
          </w:tcPr>
          <w:p w:rsidR="003177DF" w:rsidRPr="00423171" w:rsidRDefault="003177DF" w:rsidP="00985197">
            <w:pPr>
              <w:autoSpaceDE w:val="0"/>
              <w:autoSpaceDN w:val="0"/>
              <w:adjustRightInd w:val="0"/>
              <w:spacing w:line="240" w:lineRule="auto"/>
              <w:jc w:val="center"/>
              <w:rPr>
                <w:rFonts w:cs="Arial"/>
                <w:sz w:val="20"/>
              </w:rPr>
            </w:pPr>
            <w:r w:rsidRPr="00423171">
              <w:rPr>
                <w:rFonts w:cs="Arial"/>
                <w:sz w:val="20"/>
              </w:rPr>
              <w:t>Irreversível</w:t>
            </w:r>
          </w:p>
        </w:tc>
        <w:tc>
          <w:tcPr>
            <w:tcW w:w="1701" w:type="dxa"/>
            <w:shd w:val="clear" w:color="auto" w:fill="auto"/>
            <w:vAlign w:val="center"/>
          </w:tcPr>
          <w:p w:rsidR="003177DF" w:rsidRPr="00423171" w:rsidRDefault="003177DF" w:rsidP="00985197">
            <w:pPr>
              <w:autoSpaceDE w:val="0"/>
              <w:autoSpaceDN w:val="0"/>
              <w:adjustRightInd w:val="0"/>
              <w:spacing w:line="240" w:lineRule="auto"/>
              <w:jc w:val="center"/>
              <w:rPr>
                <w:rFonts w:cs="Arial"/>
                <w:sz w:val="20"/>
              </w:rPr>
            </w:pPr>
            <w:r w:rsidRPr="00423171">
              <w:rPr>
                <w:rFonts w:cs="Arial"/>
                <w:sz w:val="20"/>
              </w:rPr>
              <w:t>Grande</w:t>
            </w:r>
          </w:p>
        </w:tc>
        <w:tc>
          <w:tcPr>
            <w:tcW w:w="1500" w:type="dxa"/>
            <w:shd w:val="clear" w:color="auto" w:fill="auto"/>
            <w:vAlign w:val="center"/>
          </w:tcPr>
          <w:p w:rsidR="003177DF" w:rsidRPr="00423171" w:rsidRDefault="003177DF" w:rsidP="00985197">
            <w:pPr>
              <w:autoSpaceDE w:val="0"/>
              <w:autoSpaceDN w:val="0"/>
              <w:adjustRightInd w:val="0"/>
              <w:spacing w:line="240" w:lineRule="auto"/>
              <w:jc w:val="center"/>
              <w:rPr>
                <w:rFonts w:cs="Arial"/>
                <w:sz w:val="20"/>
              </w:rPr>
            </w:pPr>
            <w:r w:rsidRPr="00423171">
              <w:rPr>
                <w:rFonts w:cs="Arial"/>
                <w:sz w:val="20"/>
              </w:rPr>
              <w:t>Alta</w:t>
            </w:r>
          </w:p>
        </w:tc>
        <w:tc>
          <w:tcPr>
            <w:tcW w:w="1500" w:type="dxa"/>
            <w:shd w:val="clear" w:color="auto" w:fill="auto"/>
            <w:vAlign w:val="center"/>
          </w:tcPr>
          <w:p w:rsidR="003177DF" w:rsidRPr="00A43380" w:rsidRDefault="003177DF" w:rsidP="00985197">
            <w:pPr>
              <w:autoSpaceDE w:val="0"/>
              <w:autoSpaceDN w:val="0"/>
              <w:adjustRightInd w:val="0"/>
              <w:spacing w:line="240" w:lineRule="auto"/>
              <w:jc w:val="center"/>
              <w:rPr>
                <w:rFonts w:cs="Arial"/>
                <w:sz w:val="20"/>
              </w:rPr>
            </w:pPr>
            <w:r>
              <w:rPr>
                <w:rFonts w:cs="Arial"/>
                <w:sz w:val="20"/>
              </w:rPr>
              <w:t>---</w:t>
            </w:r>
          </w:p>
        </w:tc>
      </w:tr>
    </w:tbl>
    <w:p w:rsidR="00E61020" w:rsidRDefault="00E61020" w:rsidP="003822AE">
      <w:pPr>
        <w:autoSpaceDE w:val="0"/>
        <w:autoSpaceDN w:val="0"/>
        <w:adjustRightInd w:val="0"/>
        <w:spacing w:line="240" w:lineRule="auto"/>
        <w:rPr>
          <w:rFonts w:cs="Arial"/>
        </w:rPr>
      </w:pPr>
    </w:p>
    <w:p w:rsidR="00FC59A6" w:rsidRDefault="00FC59A6" w:rsidP="003822AE">
      <w:pPr>
        <w:autoSpaceDE w:val="0"/>
        <w:autoSpaceDN w:val="0"/>
        <w:adjustRightInd w:val="0"/>
        <w:spacing w:line="240" w:lineRule="auto"/>
        <w:rPr>
          <w:rFonts w:cs="Arial"/>
        </w:rPr>
      </w:pPr>
      <w:r>
        <w:rPr>
          <w:rFonts w:cs="Arial"/>
        </w:rPr>
        <w:br w:type="page"/>
      </w:r>
    </w:p>
    <w:p w:rsidR="00FC59A6" w:rsidRDefault="00FC59A6" w:rsidP="003822AE">
      <w:pPr>
        <w:autoSpaceDE w:val="0"/>
        <w:autoSpaceDN w:val="0"/>
        <w:adjustRightInd w:val="0"/>
        <w:spacing w:line="240" w:lineRule="auto"/>
        <w:rPr>
          <w:rFonts w:cs="Arial"/>
        </w:rPr>
      </w:pPr>
    </w:p>
    <w:p w:rsidR="009F3AD4" w:rsidRPr="007C5C21" w:rsidRDefault="009F3AD4" w:rsidP="003822AE">
      <w:pPr>
        <w:autoSpaceDE w:val="0"/>
        <w:autoSpaceDN w:val="0"/>
        <w:adjustRightInd w:val="0"/>
        <w:spacing w:before="120" w:after="120" w:line="240" w:lineRule="auto"/>
        <w:rPr>
          <w:rFonts w:cs="Arial"/>
          <w:b/>
        </w:rPr>
      </w:pPr>
      <w:r w:rsidRPr="000B347D">
        <w:rPr>
          <w:rFonts w:cs="Arial"/>
          <w:b/>
        </w:rPr>
        <w:t>Ações Ambientais Propostas</w:t>
      </w:r>
    </w:p>
    <w:p w:rsidR="000B347D" w:rsidRPr="00B93772" w:rsidRDefault="000B347D" w:rsidP="003822AE">
      <w:pPr>
        <w:autoSpaceDE w:val="0"/>
        <w:autoSpaceDN w:val="0"/>
        <w:adjustRightInd w:val="0"/>
        <w:spacing w:before="120" w:after="120" w:line="240" w:lineRule="auto"/>
        <w:rPr>
          <w:rFonts w:eastAsia="Calibri" w:cs="Arial"/>
          <w:szCs w:val="22"/>
          <w:lang w:eastAsia="en-US"/>
        </w:rPr>
      </w:pPr>
      <w:r w:rsidRPr="00B93772">
        <w:rPr>
          <w:rFonts w:eastAsia="Calibri" w:cs="Arial"/>
          <w:szCs w:val="22"/>
          <w:lang w:eastAsia="en-US"/>
        </w:rPr>
        <w:t xml:space="preserve">As questões relativas a este impacto devem ser divulgadas através do Programa de </w:t>
      </w:r>
      <w:r w:rsidR="00D225D5">
        <w:rPr>
          <w:rFonts w:eastAsia="Calibri" w:cs="Arial"/>
          <w:szCs w:val="22"/>
          <w:lang w:eastAsia="en-US"/>
        </w:rPr>
        <w:t>Comunicação e Interação Social</w:t>
      </w:r>
      <w:r w:rsidRPr="00B93772">
        <w:rPr>
          <w:rFonts w:eastAsia="Calibri" w:cs="Arial"/>
          <w:szCs w:val="22"/>
          <w:lang w:eastAsia="en-US"/>
        </w:rPr>
        <w:t>, e incluídas no Programa de Educação Ambiental.</w:t>
      </w:r>
    </w:p>
    <w:p w:rsidR="00973BCF" w:rsidRPr="00934068" w:rsidRDefault="00CD6D82" w:rsidP="00B42047">
      <w:pPr>
        <w:pStyle w:val="Ttulo3"/>
        <w:spacing w:after="240"/>
        <w:rPr>
          <w:rFonts w:ascii="Arial Negrito" w:hAnsi="Arial Negrito"/>
          <w:bCs/>
        </w:rPr>
      </w:pPr>
      <w:bookmarkStart w:id="444" w:name="_Toc418758266"/>
      <w:bookmarkStart w:id="445" w:name="_Toc418758868"/>
      <w:bookmarkStart w:id="446" w:name="_Toc419813628"/>
      <w:r w:rsidRPr="00934068">
        <w:rPr>
          <w:rFonts w:ascii="Arial Negrito" w:hAnsi="Arial Negrito"/>
          <w:bCs/>
        </w:rPr>
        <w:t xml:space="preserve">1.3.3.19. </w:t>
      </w:r>
      <w:r w:rsidR="00973BCF" w:rsidRPr="00934068">
        <w:rPr>
          <w:rFonts w:ascii="Arial Negrito" w:hAnsi="Arial Negrito"/>
          <w:bCs/>
        </w:rPr>
        <w:t>Interferência com o Patrimônio Histórico, Cultural e Arqueológico</w:t>
      </w:r>
      <w:bookmarkEnd w:id="444"/>
      <w:bookmarkEnd w:id="445"/>
      <w:bookmarkEnd w:id="446"/>
    </w:p>
    <w:p w:rsidR="00007DA4" w:rsidRPr="002712BB" w:rsidRDefault="00007DA4" w:rsidP="00007DA4">
      <w:pPr>
        <w:rPr>
          <w:rFonts w:cs="Arial"/>
        </w:rPr>
      </w:pPr>
      <w:r w:rsidRPr="002712BB">
        <w:rPr>
          <w:rFonts w:cs="Arial"/>
          <w:b/>
        </w:rPr>
        <w:t>a) Fase: Implantação</w:t>
      </w:r>
    </w:p>
    <w:p w:rsidR="00007DA4" w:rsidRPr="002712BB" w:rsidRDefault="00007DA4" w:rsidP="00007DA4">
      <w:pPr>
        <w:spacing w:before="120" w:after="120" w:line="240" w:lineRule="auto"/>
        <w:rPr>
          <w:rFonts w:eastAsia="Calibri" w:cs="Arial"/>
        </w:rPr>
      </w:pPr>
      <w:r w:rsidRPr="002712BB">
        <w:rPr>
          <w:rFonts w:cs="Arial"/>
        </w:rPr>
        <w:t xml:space="preserve">As ações necessárias à implantação do empreendimento - acessos, canteiros e instalações provisórias, abertura e exploração de áreas de empréstimo e bota foras, construção das estruturas e formação do reservatório, poderão interferir em </w:t>
      </w:r>
      <w:r w:rsidRPr="002712BB">
        <w:rPr>
          <w:rFonts w:eastAsia="Calibri"/>
        </w:rPr>
        <w:t>diversos tipos de vestígios de atividades humanas que se desenvolveram na área, ao longo do tempo.</w:t>
      </w:r>
    </w:p>
    <w:p w:rsidR="00007DA4" w:rsidRPr="002712BB" w:rsidRDefault="00007DA4" w:rsidP="003C4386">
      <w:pPr>
        <w:spacing w:before="100" w:after="100" w:line="240" w:lineRule="auto"/>
        <w:rPr>
          <w:rFonts w:cs="Arial"/>
        </w:rPr>
      </w:pPr>
      <w:r w:rsidRPr="00C50DD2">
        <w:rPr>
          <w:rFonts w:cs="Arial"/>
        </w:rPr>
        <w:t>Os Quadro</w:t>
      </w:r>
      <w:r w:rsidR="00B42047" w:rsidRPr="00C50DD2">
        <w:rPr>
          <w:rFonts w:cs="Arial"/>
        </w:rPr>
        <w:t>s</w:t>
      </w:r>
      <w:r w:rsidRPr="00C50DD2">
        <w:rPr>
          <w:rFonts w:cs="Arial"/>
        </w:rPr>
        <w:t xml:space="preserve"> 1.3.</w:t>
      </w:r>
      <w:r w:rsidR="00D866D8" w:rsidRPr="00C50DD2">
        <w:rPr>
          <w:rFonts w:cs="Arial"/>
        </w:rPr>
        <w:t>104</w:t>
      </w:r>
      <w:r w:rsidRPr="00C50DD2">
        <w:rPr>
          <w:rFonts w:cs="Arial"/>
        </w:rPr>
        <w:t xml:space="preserve"> e 1.3.</w:t>
      </w:r>
      <w:r w:rsidR="00D866D8" w:rsidRPr="00C50DD2">
        <w:rPr>
          <w:rFonts w:cs="Arial"/>
        </w:rPr>
        <w:t>105</w:t>
      </w:r>
      <w:r w:rsidRPr="00C50DD2">
        <w:rPr>
          <w:rFonts w:cs="Arial"/>
        </w:rPr>
        <w:t xml:space="preserve"> apresentam os bens culturais que deverão ser impactados com</w:t>
      </w:r>
      <w:r>
        <w:rPr>
          <w:rFonts w:cs="Arial"/>
        </w:rPr>
        <w:t xml:space="preserve"> a </w:t>
      </w:r>
      <w:r w:rsidRPr="003163E4">
        <w:rPr>
          <w:rFonts w:cs="Arial"/>
        </w:rPr>
        <w:t>implantação das barragens Pedreira e Duas Pontes</w:t>
      </w:r>
      <w:r w:rsidRPr="002712BB">
        <w:rPr>
          <w:rFonts w:cs="Arial"/>
        </w:rPr>
        <w:t xml:space="preserve">, identificados durante os trabalhos realizados no âmbito do </w:t>
      </w:r>
      <w:r w:rsidRPr="002712BB">
        <w:rPr>
          <w:rFonts w:cs="Arial"/>
          <w:bCs/>
          <w:iCs/>
        </w:rPr>
        <w:t xml:space="preserve">Programa de Diagnóstico Arqueológico Interventivo para </w:t>
      </w:r>
      <w:r>
        <w:rPr>
          <w:rFonts w:cs="Arial"/>
          <w:bCs/>
          <w:iCs/>
        </w:rPr>
        <w:t>a Implantação das Barragens Pedreira e Duas Pontes</w:t>
      </w:r>
      <w:r w:rsidRPr="002712BB">
        <w:rPr>
          <w:rFonts w:cs="Arial"/>
        </w:rPr>
        <w:t>, cujos resultados estão apresentados no Volume IV – Diagnóstico do Meio Socioeconômico</w:t>
      </w:r>
      <w:r w:rsidR="003163E4">
        <w:rPr>
          <w:rFonts w:cs="Arial"/>
        </w:rPr>
        <w:t xml:space="preserve"> e Análise Integrada</w:t>
      </w:r>
      <w:r w:rsidRPr="003163E4">
        <w:rPr>
          <w:rFonts w:cs="Arial"/>
        </w:rPr>
        <w:t xml:space="preserve">, Capitulo </w:t>
      </w:r>
      <w:r w:rsidR="003163E4" w:rsidRPr="003163E4">
        <w:rPr>
          <w:rFonts w:cs="Arial"/>
        </w:rPr>
        <w:t>5</w:t>
      </w:r>
      <w:r w:rsidR="003163E4">
        <w:rPr>
          <w:rFonts w:cs="Arial"/>
        </w:rPr>
        <w:t xml:space="preserve"> </w:t>
      </w:r>
      <w:r w:rsidRPr="002712BB">
        <w:rPr>
          <w:rFonts w:cs="Arial"/>
        </w:rPr>
        <w:t xml:space="preserve">- </w:t>
      </w:r>
      <w:r w:rsidR="003163E4">
        <w:rPr>
          <w:rFonts w:cs="Arial"/>
        </w:rPr>
        <w:t>Arqueologia</w:t>
      </w:r>
      <w:r w:rsidRPr="002712BB">
        <w:rPr>
          <w:rFonts w:cs="Arial"/>
        </w:rPr>
        <w:t>.</w:t>
      </w:r>
    </w:p>
    <w:p w:rsidR="00007DA4" w:rsidRDefault="00007DA4" w:rsidP="00007DA4">
      <w:pPr>
        <w:autoSpaceDE w:val="0"/>
        <w:autoSpaceDN w:val="0"/>
        <w:adjustRightInd w:val="0"/>
        <w:spacing w:before="120" w:after="120" w:line="240" w:lineRule="auto"/>
        <w:rPr>
          <w:rFonts w:eastAsia="Calibri" w:cs="Arial"/>
        </w:rPr>
      </w:pPr>
      <w:r w:rsidRPr="0008766F">
        <w:rPr>
          <w:rFonts w:eastAsia="Calibri" w:cs="Arial"/>
        </w:rPr>
        <w:t>Obser</w:t>
      </w:r>
      <w:r w:rsidR="0008766F" w:rsidRPr="0008766F">
        <w:rPr>
          <w:rFonts w:eastAsia="Calibri" w:cs="Arial"/>
        </w:rPr>
        <w:t xml:space="preserve">ve-se que consultas realizadas à FUNAI </w:t>
      </w:r>
      <w:r w:rsidRPr="0008766F">
        <w:rPr>
          <w:rFonts w:eastAsia="Calibri" w:cs="Arial"/>
        </w:rPr>
        <w:t>verificou-se que não há terras indígenas na área.</w:t>
      </w:r>
      <w:r w:rsidRPr="002712BB">
        <w:rPr>
          <w:rFonts w:eastAsia="Calibri" w:cs="Arial"/>
        </w:rPr>
        <w:t xml:space="preserve"> O mesmo ocorre com as de comunidades quilombolas na ADA, conforme declarado no Ofício </w:t>
      </w:r>
      <w:r w:rsidR="00B42047">
        <w:rPr>
          <w:rFonts w:eastAsia="Calibri" w:cs="Arial"/>
        </w:rPr>
        <w:t>n</w:t>
      </w:r>
      <w:r w:rsidR="00B42047" w:rsidRPr="00B42047">
        <w:rPr>
          <w:rFonts w:eastAsia="Calibri" w:cs="Arial"/>
          <w:u w:val="single"/>
          <w:vertAlign w:val="superscript"/>
        </w:rPr>
        <w:t>o</w:t>
      </w:r>
      <w:r w:rsidRPr="002712BB">
        <w:rPr>
          <w:rFonts w:eastAsia="Calibri" w:cs="Arial"/>
          <w:vertAlign w:val="superscript"/>
        </w:rPr>
        <w:t xml:space="preserve"> </w:t>
      </w:r>
      <w:r w:rsidRPr="002712BB">
        <w:rPr>
          <w:rFonts w:eastAsia="Calibri" w:cs="Arial"/>
        </w:rPr>
        <w:t>387 da Fundação Palmares, de 9 de julho de 2013. A manifestaç</w:t>
      </w:r>
      <w:r>
        <w:rPr>
          <w:rFonts w:eastAsia="Calibri" w:cs="Arial"/>
        </w:rPr>
        <w:t>ão</w:t>
      </w:r>
      <w:r w:rsidRPr="002712BB">
        <w:rPr>
          <w:rFonts w:eastAsia="Calibri" w:cs="Arial"/>
        </w:rPr>
        <w:t xml:space="preserve"> da Fundação Palmares </w:t>
      </w:r>
      <w:r>
        <w:rPr>
          <w:rFonts w:eastAsia="Calibri" w:cs="Arial"/>
        </w:rPr>
        <w:t>é apresentada n</w:t>
      </w:r>
      <w:r w:rsidRPr="002712BB">
        <w:rPr>
          <w:rFonts w:eastAsia="Calibri" w:cs="Arial"/>
        </w:rPr>
        <w:t xml:space="preserve">o Volume </w:t>
      </w:r>
      <w:r>
        <w:rPr>
          <w:rFonts w:eastAsia="Calibri" w:cs="Arial"/>
        </w:rPr>
        <w:t>I</w:t>
      </w:r>
      <w:r w:rsidRPr="002712BB">
        <w:rPr>
          <w:rFonts w:eastAsia="Calibri" w:cs="Arial"/>
        </w:rPr>
        <w:t xml:space="preserve"> – </w:t>
      </w:r>
      <w:r>
        <w:rPr>
          <w:rFonts w:eastAsia="Calibri" w:cs="Arial"/>
        </w:rPr>
        <w:t>Informações Gerais, Justificativas e Caracterização do Empreendimento</w:t>
      </w:r>
      <w:r w:rsidRPr="002712BB">
        <w:rPr>
          <w:rFonts w:eastAsia="Calibri" w:cs="Arial"/>
        </w:rPr>
        <w:t>.</w:t>
      </w:r>
    </w:p>
    <w:p w:rsidR="00FC59A6" w:rsidRDefault="00FC59A6" w:rsidP="00007DA4">
      <w:pPr>
        <w:autoSpaceDE w:val="0"/>
        <w:autoSpaceDN w:val="0"/>
        <w:adjustRightInd w:val="0"/>
        <w:spacing w:before="120" w:after="120" w:line="240" w:lineRule="auto"/>
        <w:rPr>
          <w:rFonts w:eastAsia="Calibri" w:cs="Arial"/>
        </w:rPr>
      </w:pPr>
      <w:r>
        <w:rPr>
          <w:rFonts w:eastAsia="Calibri" w:cs="Arial"/>
        </w:rPr>
        <w:br w:type="page"/>
      </w:r>
    </w:p>
    <w:p w:rsidR="00FC59A6" w:rsidRDefault="00FC59A6" w:rsidP="00007DA4">
      <w:pPr>
        <w:autoSpaceDE w:val="0"/>
        <w:autoSpaceDN w:val="0"/>
        <w:adjustRightInd w:val="0"/>
        <w:spacing w:before="120" w:after="120" w:line="240" w:lineRule="auto"/>
        <w:rPr>
          <w:rFonts w:eastAsia="Calibri" w:cs="Arial"/>
        </w:rPr>
      </w:pPr>
    </w:p>
    <w:p w:rsidR="00007DA4" w:rsidRPr="00C50DD2" w:rsidRDefault="00402E81" w:rsidP="00C50DD2">
      <w:pPr>
        <w:pStyle w:val="Legenda"/>
        <w:jc w:val="center"/>
        <w:rPr>
          <w:rFonts w:cs="Arial"/>
          <w:b w:val="0"/>
          <w:i w:val="0"/>
        </w:rPr>
      </w:pPr>
      <w:bookmarkStart w:id="447" w:name="_Toc370897862"/>
      <w:bookmarkStart w:id="448" w:name="_Toc420316548"/>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105</w:t>
      </w:r>
      <w:r w:rsidR="00B80A05" w:rsidRPr="00C50DD2">
        <w:rPr>
          <w:i w:val="0"/>
          <w:noProof/>
        </w:rPr>
        <w:fldChar w:fldCharType="end"/>
      </w:r>
      <w:r w:rsidR="00C50DD2" w:rsidRPr="00C50DD2">
        <w:rPr>
          <w:i w:val="0"/>
          <w:noProof/>
        </w:rPr>
        <w:t>.</w:t>
      </w:r>
      <w:r w:rsidR="00C50DD2" w:rsidRPr="00C50DD2">
        <w:rPr>
          <w:b w:val="0"/>
          <w:i w:val="0"/>
          <w:noProof/>
        </w:rPr>
        <w:t xml:space="preserve"> - </w:t>
      </w:r>
      <w:r w:rsidR="00007DA4" w:rsidRPr="00C50DD2">
        <w:rPr>
          <w:rFonts w:cs="Arial"/>
          <w:b w:val="0"/>
          <w:i w:val="0"/>
        </w:rPr>
        <w:t>Bens Culturais a serem Impactados</w:t>
      </w:r>
      <w:bookmarkEnd w:id="447"/>
      <w:r w:rsidR="00007DA4" w:rsidRPr="00C50DD2">
        <w:rPr>
          <w:rFonts w:cs="Arial"/>
          <w:b w:val="0"/>
          <w:i w:val="0"/>
        </w:rPr>
        <w:t xml:space="preserve"> pela Barragem Pedreira</w:t>
      </w:r>
      <w:bookmarkEnd w:id="448"/>
    </w:p>
    <w:tbl>
      <w:tblPr>
        <w:tblW w:w="0" w:type="auto"/>
        <w:jc w:val="center"/>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5"/>
        <w:gridCol w:w="5205"/>
        <w:gridCol w:w="1635"/>
      </w:tblGrid>
      <w:tr w:rsidR="00007DA4" w:rsidRPr="002712BB" w:rsidTr="003C4386">
        <w:trPr>
          <w:trHeight w:val="70"/>
          <w:jc w:val="center"/>
        </w:trPr>
        <w:tc>
          <w:tcPr>
            <w:tcW w:w="2305" w:type="dxa"/>
            <w:shd w:val="clear" w:color="auto" w:fill="D9D9D9"/>
          </w:tcPr>
          <w:p w:rsidR="00007DA4" w:rsidRPr="002712BB" w:rsidRDefault="00007DA4" w:rsidP="00F472D0">
            <w:pPr>
              <w:autoSpaceDE w:val="0"/>
              <w:autoSpaceDN w:val="0"/>
              <w:adjustRightInd w:val="0"/>
              <w:spacing w:before="60" w:after="20" w:line="240" w:lineRule="auto"/>
              <w:jc w:val="center"/>
              <w:rPr>
                <w:rFonts w:cs="Arial"/>
                <w:b/>
                <w:sz w:val="20"/>
              </w:rPr>
            </w:pPr>
            <w:r w:rsidRPr="002712BB">
              <w:rPr>
                <w:rFonts w:cs="Arial"/>
                <w:b/>
                <w:sz w:val="20"/>
              </w:rPr>
              <w:t>Bem</w:t>
            </w:r>
          </w:p>
        </w:tc>
        <w:tc>
          <w:tcPr>
            <w:tcW w:w="5205" w:type="dxa"/>
            <w:shd w:val="clear" w:color="auto" w:fill="D9D9D9"/>
          </w:tcPr>
          <w:p w:rsidR="00007DA4" w:rsidRPr="002712BB" w:rsidRDefault="00007DA4" w:rsidP="00F472D0">
            <w:pPr>
              <w:autoSpaceDE w:val="0"/>
              <w:autoSpaceDN w:val="0"/>
              <w:adjustRightInd w:val="0"/>
              <w:spacing w:before="60" w:after="20" w:line="240" w:lineRule="auto"/>
              <w:jc w:val="center"/>
              <w:rPr>
                <w:rFonts w:cs="Arial"/>
                <w:b/>
                <w:sz w:val="20"/>
              </w:rPr>
            </w:pPr>
            <w:r w:rsidRPr="002712BB">
              <w:rPr>
                <w:rFonts w:cs="Arial"/>
                <w:b/>
                <w:sz w:val="20"/>
              </w:rPr>
              <w:t>Descrição</w:t>
            </w:r>
          </w:p>
        </w:tc>
        <w:tc>
          <w:tcPr>
            <w:tcW w:w="1635" w:type="dxa"/>
            <w:shd w:val="clear" w:color="auto" w:fill="D9D9D9"/>
          </w:tcPr>
          <w:p w:rsidR="00007DA4" w:rsidRPr="002712BB" w:rsidRDefault="00007DA4" w:rsidP="00F472D0">
            <w:pPr>
              <w:autoSpaceDE w:val="0"/>
              <w:autoSpaceDN w:val="0"/>
              <w:adjustRightInd w:val="0"/>
              <w:spacing w:before="60" w:after="20" w:line="240" w:lineRule="auto"/>
              <w:jc w:val="center"/>
              <w:rPr>
                <w:rFonts w:cs="Arial"/>
                <w:b/>
                <w:sz w:val="20"/>
              </w:rPr>
            </w:pPr>
            <w:r w:rsidRPr="002712BB">
              <w:rPr>
                <w:rFonts w:cs="Arial"/>
                <w:b/>
                <w:sz w:val="20"/>
              </w:rPr>
              <w:t>Integridade</w:t>
            </w:r>
          </w:p>
        </w:tc>
      </w:tr>
      <w:tr w:rsidR="00007DA4" w:rsidRPr="002712BB" w:rsidTr="002E29E3">
        <w:trPr>
          <w:trHeight w:val="622"/>
          <w:jc w:val="center"/>
        </w:trPr>
        <w:tc>
          <w:tcPr>
            <w:tcW w:w="9145" w:type="dxa"/>
            <w:gridSpan w:val="3"/>
            <w:shd w:val="clear" w:color="auto" w:fill="F2F2F2"/>
            <w:vAlign w:val="center"/>
          </w:tcPr>
          <w:p w:rsidR="00007DA4" w:rsidRPr="002712BB" w:rsidRDefault="00007DA4" w:rsidP="00F472D0">
            <w:pPr>
              <w:spacing w:before="60" w:after="20" w:line="240" w:lineRule="auto"/>
              <w:jc w:val="center"/>
              <w:rPr>
                <w:rFonts w:cs="Arial"/>
                <w:b/>
                <w:sz w:val="20"/>
              </w:rPr>
            </w:pPr>
            <w:r w:rsidRPr="002712BB">
              <w:rPr>
                <w:rFonts w:cs="Arial"/>
                <w:b/>
                <w:sz w:val="20"/>
              </w:rPr>
              <w:t>Sítios Arqueológicos</w:t>
            </w:r>
          </w:p>
        </w:tc>
      </w:tr>
      <w:tr w:rsidR="00007DA4" w:rsidRPr="002712BB" w:rsidTr="003C4386">
        <w:trPr>
          <w:trHeight w:val="470"/>
          <w:jc w:val="center"/>
        </w:trPr>
        <w:tc>
          <w:tcPr>
            <w:tcW w:w="2305" w:type="dxa"/>
            <w:shd w:val="clear" w:color="auto" w:fill="auto"/>
            <w:vAlign w:val="center"/>
          </w:tcPr>
          <w:p w:rsidR="00007DA4" w:rsidRPr="006E76D7" w:rsidRDefault="00007DA4" w:rsidP="00F472D0">
            <w:pPr>
              <w:spacing w:line="240" w:lineRule="auto"/>
              <w:jc w:val="center"/>
              <w:rPr>
                <w:b/>
                <w:bCs/>
                <w:sz w:val="20"/>
              </w:rPr>
            </w:pPr>
            <w:r w:rsidRPr="006E76D7">
              <w:rPr>
                <w:b/>
                <w:bCs/>
                <w:sz w:val="20"/>
              </w:rPr>
              <w:t xml:space="preserve">Sítio Arqueológico Fazenda </w:t>
            </w:r>
            <w:r>
              <w:rPr>
                <w:b/>
                <w:bCs/>
                <w:sz w:val="20"/>
              </w:rPr>
              <w:t>Ingatuba</w:t>
            </w:r>
          </w:p>
        </w:tc>
        <w:tc>
          <w:tcPr>
            <w:tcW w:w="5205" w:type="dxa"/>
            <w:shd w:val="clear" w:color="auto" w:fill="auto"/>
          </w:tcPr>
          <w:p w:rsidR="00007DA4" w:rsidRPr="00C7768D" w:rsidRDefault="00007DA4" w:rsidP="00007DA4">
            <w:pPr>
              <w:spacing w:line="240" w:lineRule="auto"/>
              <w:rPr>
                <w:rFonts w:cs="Arial"/>
                <w:sz w:val="20"/>
              </w:rPr>
            </w:pPr>
            <w:r w:rsidRPr="00C7768D">
              <w:rPr>
                <w:rFonts w:cs="Arial"/>
                <w:sz w:val="20"/>
              </w:rPr>
              <w:t xml:space="preserve">Refere-se a um sítio histórico constituído por um complexo construtivo de antiga fazenda, relacionada ao início do século XX. É composto por conjuntos de edificações de diversas funções: habitacionais, laborais e lúdicas, definidos em </w:t>
            </w:r>
            <w:r w:rsidRPr="00C7768D">
              <w:rPr>
                <w:rFonts w:cs="Arial"/>
                <w:b/>
                <w:sz w:val="20"/>
              </w:rPr>
              <w:t>4 áreas</w:t>
            </w:r>
            <w:r w:rsidRPr="00C7768D">
              <w:rPr>
                <w:rFonts w:cs="Arial"/>
                <w:sz w:val="20"/>
              </w:rPr>
              <w:t>. As conexões dessas áreas ao contexto da antiga Fazenda Ingatuba foram obtidas através da oralidade de moradores locais.</w:t>
            </w:r>
          </w:p>
        </w:tc>
        <w:tc>
          <w:tcPr>
            <w:tcW w:w="1635" w:type="dxa"/>
            <w:shd w:val="clear" w:color="auto" w:fill="auto"/>
          </w:tcPr>
          <w:p w:rsidR="00007DA4" w:rsidRPr="002712BB" w:rsidRDefault="00007DA4" w:rsidP="00F472D0">
            <w:pPr>
              <w:spacing w:before="120" w:line="240" w:lineRule="auto"/>
              <w:jc w:val="center"/>
              <w:rPr>
                <w:rFonts w:cs="Arial"/>
                <w:sz w:val="20"/>
              </w:rPr>
            </w:pPr>
            <w:r w:rsidRPr="002712BB">
              <w:rPr>
                <w:rFonts w:cs="Arial"/>
                <w:sz w:val="20"/>
              </w:rPr>
              <w:t>Entre 25 e 75%</w:t>
            </w:r>
          </w:p>
        </w:tc>
      </w:tr>
      <w:tr w:rsidR="00007DA4" w:rsidRPr="002712BB" w:rsidTr="003C4386">
        <w:trPr>
          <w:jc w:val="center"/>
        </w:trPr>
        <w:tc>
          <w:tcPr>
            <w:tcW w:w="2305" w:type="dxa"/>
            <w:shd w:val="clear" w:color="auto" w:fill="auto"/>
            <w:vAlign w:val="center"/>
          </w:tcPr>
          <w:p w:rsidR="00007DA4" w:rsidRPr="002712BB" w:rsidRDefault="00007DA4" w:rsidP="00F472D0">
            <w:pPr>
              <w:autoSpaceDE w:val="0"/>
              <w:autoSpaceDN w:val="0"/>
              <w:adjustRightInd w:val="0"/>
              <w:spacing w:line="240" w:lineRule="auto"/>
              <w:jc w:val="center"/>
              <w:rPr>
                <w:rFonts w:cs="Arial"/>
                <w:b/>
                <w:sz w:val="20"/>
              </w:rPr>
            </w:pPr>
            <w:r w:rsidRPr="002712BB">
              <w:rPr>
                <w:rFonts w:cs="Arial"/>
                <w:b/>
                <w:sz w:val="20"/>
              </w:rPr>
              <w:t xml:space="preserve">Sitio </w:t>
            </w:r>
            <w:r>
              <w:rPr>
                <w:rFonts w:cs="Arial"/>
                <w:b/>
                <w:sz w:val="20"/>
              </w:rPr>
              <w:t>Arqueológico Fazenda Roseira</w:t>
            </w:r>
          </w:p>
        </w:tc>
        <w:tc>
          <w:tcPr>
            <w:tcW w:w="5205" w:type="dxa"/>
            <w:shd w:val="clear" w:color="auto" w:fill="auto"/>
          </w:tcPr>
          <w:p w:rsidR="00007DA4" w:rsidRPr="00C7768D" w:rsidRDefault="00007DA4" w:rsidP="00007DA4">
            <w:pPr>
              <w:spacing w:line="240" w:lineRule="auto"/>
              <w:rPr>
                <w:rFonts w:cs="Arial"/>
                <w:sz w:val="20"/>
              </w:rPr>
            </w:pPr>
            <w:r w:rsidRPr="00C7768D">
              <w:rPr>
                <w:rFonts w:cs="Arial"/>
                <w:sz w:val="20"/>
              </w:rPr>
              <w:t>Refere-se a um sítio histórico constituído por uma fazenda fundada no século XIX. Teve suas atividades econômicas concentradas na produção de café, dedicando-se após a crise de 1929, a outras atividades como o cultivo do eucalipto. Em meados da década de 1980, a fazenda encerrou suas atividades, retomadas em 2006, período na qual foi comprada e restaurada pelo incentivo dos proprietários atuais.</w:t>
            </w:r>
          </w:p>
          <w:p w:rsidR="00007DA4" w:rsidRPr="00C7768D" w:rsidRDefault="00007DA4" w:rsidP="00007DA4">
            <w:pPr>
              <w:spacing w:line="240" w:lineRule="auto"/>
              <w:rPr>
                <w:rFonts w:cs="Arial"/>
                <w:sz w:val="20"/>
              </w:rPr>
            </w:pPr>
            <w:r w:rsidRPr="00C7768D">
              <w:rPr>
                <w:rFonts w:cs="Arial"/>
                <w:sz w:val="20"/>
              </w:rPr>
              <w:t>Além da casa sede, também foram analisadas e registradas a localização e materialidades relativas a produção cafeeira (pátio de secagem e maquinário), bem como antigas residências de funcionários da fazenda, localizadas a aproximadamente 150 metros da sede, no sopé da colina</w:t>
            </w:r>
          </w:p>
        </w:tc>
        <w:tc>
          <w:tcPr>
            <w:tcW w:w="1635" w:type="dxa"/>
            <w:shd w:val="clear" w:color="auto" w:fill="auto"/>
          </w:tcPr>
          <w:p w:rsidR="00007DA4" w:rsidRPr="002712BB" w:rsidRDefault="00007DA4" w:rsidP="00F472D0">
            <w:pPr>
              <w:spacing w:before="120" w:line="240" w:lineRule="auto"/>
              <w:jc w:val="center"/>
              <w:rPr>
                <w:rFonts w:cs="Arial"/>
                <w:sz w:val="20"/>
              </w:rPr>
            </w:pPr>
            <w:r w:rsidRPr="002712BB">
              <w:rPr>
                <w:rFonts w:cs="Arial"/>
                <w:sz w:val="20"/>
              </w:rPr>
              <w:t>Entre 25 e 75%</w:t>
            </w:r>
          </w:p>
        </w:tc>
      </w:tr>
      <w:tr w:rsidR="00007DA4" w:rsidRPr="002712BB" w:rsidTr="002E29E3">
        <w:trPr>
          <w:trHeight w:val="1120"/>
          <w:jc w:val="center"/>
        </w:trPr>
        <w:tc>
          <w:tcPr>
            <w:tcW w:w="2305" w:type="dxa"/>
            <w:shd w:val="clear" w:color="auto" w:fill="auto"/>
            <w:vAlign w:val="center"/>
          </w:tcPr>
          <w:p w:rsidR="00007DA4" w:rsidRDefault="00007DA4" w:rsidP="00F472D0">
            <w:pPr>
              <w:autoSpaceDE w:val="0"/>
              <w:autoSpaceDN w:val="0"/>
              <w:adjustRightInd w:val="0"/>
              <w:spacing w:line="240" w:lineRule="auto"/>
              <w:jc w:val="center"/>
              <w:rPr>
                <w:rFonts w:cs="Arial"/>
                <w:b/>
                <w:sz w:val="20"/>
              </w:rPr>
            </w:pPr>
            <w:r w:rsidRPr="002712BB">
              <w:rPr>
                <w:rFonts w:cs="Arial"/>
                <w:b/>
                <w:sz w:val="20"/>
              </w:rPr>
              <w:t xml:space="preserve">Sitio </w:t>
            </w:r>
            <w:r>
              <w:rPr>
                <w:rFonts w:cs="Arial"/>
                <w:b/>
                <w:sz w:val="20"/>
              </w:rPr>
              <w:t>Arqueológico Fazenda Pirajá</w:t>
            </w:r>
          </w:p>
        </w:tc>
        <w:tc>
          <w:tcPr>
            <w:tcW w:w="5205" w:type="dxa"/>
            <w:shd w:val="clear" w:color="auto" w:fill="auto"/>
          </w:tcPr>
          <w:p w:rsidR="00007DA4" w:rsidRPr="00C7768D" w:rsidRDefault="00007DA4" w:rsidP="00007DA4">
            <w:pPr>
              <w:spacing w:line="240" w:lineRule="auto"/>
              <w:rPr>
                <w:rFonts w:cs="Arial"/>
                <w:sz w:val="20"/>
              </w:rPr>
            </w:pPr>
            <w:r>
              <w:rPr>
                <w:rFonts w:cs="Arial"/>
                <w:sz w:val="20"/>
              </w:rPr>
              <w:t>O acesso ao local não foi permitido pelos proprietários, entretanto foi possível observar que se trata de estrutura de fazenda edificada em taipa de pilão, provavelmente relacionada ao final do século XIX</w:t>
            </w:r>
          </w:p>
        </w:tc>
        <w:tc>
          <w:tcPr>
            <w:tcW w:w="1635" w:type="dxa"/>
            <w:shd w:val="clear" w:color="auto" w:fill="auto"/>
          </w:tcPr>
          <w:p w:rsidR="00007DA4" w:rsidRPr="002712BB" w:rsidRDefault="00007DA4" w:rsidP="00F472D0">
            <w:pPr>
              <w:spacing w:before="120" w:line="240" w:lineRule="auto"/>
              <w:jc w:val="center"/>
              <w:rPr>
                <w:rFonts w:cs="Arial"/>
                <w:sz w:val="20"/>
              </w:rPr>
            </w:pPr>
            <w:r w:rsidRPr="002712BB">
              <w:rPr>
                <w:rFonts w:cs="Arial"/>
                <w:sz w:val="20"/>
              </w:rPr>
              <w:t>Entre 25 e 75%</w:t>
            </w:r>
          </w:p>
        </w:tc>
      </w:tr>
      <w:tr w:rsidR="00007DA4" w:rsidRPr="002712BB" w:rsidTr="002E29E3">
        <w:trPr>
          <w:trHeight w:val="609"/>
          <w:jc w:val="center"/>
        </w:trPr>
        <w:tc>
          <w:tcPr>
            <w:tcW w:w="9145" w:type="dxa"/>
            <w:gridSpan w:val="3"/>
            <w:shd w:val="clear" w:color="auto" w:fill="F2F2F2"/>
            <w:vAlign w:val="center"/>
          </w:tcPr>
          <w:p w:rsidR="00007DA4" w:rsidRPr="002712BB" w:rsidRDefault="00007DA4" w:rsidP="002E29E3">
            <w:pPr>
              <w:spacing w:line="240" w:lineRule="auto"/>
              <w:jc w:val="center"/>
              <w:rPr>
                <w:rFonts w:cs="Arial"/>
              </w:rPr>
            </w:pPr>
            <w:r w:rsidRPr="002712BB">
              <w:rPr>
                <w:rFonts w:cs="Arial"/>
                <w:b/>
              </w:rPr>
              <w:t xml:space="preserve">Áreas de Interesse Histórico </w:t>
            </w:r>
            <w:r>
              <w:rPr>
                <w:rFonts w:cs="Arial"/>
                <w:b/>
              </w:rPr>
              <w:t>Arqueológico</w:t>
            </w:r>
            <w:r w:rsidRPr="002712BB">
              <w:rPr>
                <w:rFonts w:cs="Arial"/>
                <w:b/>
              </w:rPr>
              <w:t xml:space="preserve"> (AIH</w:t>
            </w:r>
            <w:r>
              <w:rPr>
                <w:rFonts w:cs="Arial"/>
                <w:b/>
              </w:rPr>
              <w:t>A</w:t>
            </w:r>
            <w:r w:rsidRPr="002712BB">
              <w:rPr>
                <w:rFonts w:cs="Arial"/>
                <w:b/>
              </w:rPr>
              <w:t>)</w:t>
            </w:r>
          </w:p>
        </w:tc>
      </w:tr>
      <w:tr w:rsidR="00007DA4" w:rsidRPr="002712BB" w:rsidTr="003C4386">
        <w:trPr>
          <w:jc w:val="center"/>
        </w:trPr>
        <w:tc>
          <w:tcPr>
            <w:tcW w:w="2305" w:type="dxa"/>
            <w:shd w:val="clear" w:color="auto" w:fill="auto"/>
            <w:vAlign w:val="center"/>
          </w:tcPr>
          <w:p w:rsidR="00007DA4" w:rsidRPr="008F31CD" w:rsidRDefault="00007DA4" w:rsidP="00F472D0">
            <w:pPr>
              <w:autoSpaceDE w:val="0"/>
              <w:autoSpaceDN w:val="0"/>
              <w:adjustRightInd w:val="0"/>
              <w:spacing w:line="240" w:lineRule="auto"/>
              <w:jc w:val="center"/>
              <w:rPr>
                <w:rFonts w:cs="Arial"/>
                <w:b/>
                <w:sz w:val="20"/>
              </w:rPr>
            </w:pPr>
            <w:r w:rsidRPr="008F31CD">
              <w:rPr>
                <w:rFonts w:cs="Arial"/>
                <w:b/>
                <w:sz w:val="20"/>
              </w:rPr>
              <w:t>AIHA Fazenda Quitandinha 01</w:t>
            </w:r>
          </w:p>
        </w:tc>
        <w:tc>
          <w:tcPr>
            <w:tcW w:w="5205" w:type="dxa"/>
            <w:shd w:val="clear" w:color="auto" w:fill="auto"/>
          </w:tcPr>
          <w:p w:rsidR="00007DA4" w:rsidRDefault="00007DA4" w:rsidP="00007DA4">
            <w:pPr>
              <w:spacing w:line="240" w:lineRule="auto"/>
              <w:rPr>
                <w:rFonts w:cs="Arial"/>
                <w:sz w:val="20"/>
              </w:rPr>
            </w:pPr>
            <w:r w:rsidRPr="008F31CD">
              <w:rPr>
                <w:rFonts w:cs="Arial"/>
                <w:sz w:val="20"/>
              </w:rPr>
              <w:t>Refere-se a um conjunto de edificações de origem novecentista, referentes a antigo clube de recreação abandonado. No entanto, não foi permitido o acesso à seu perímetro. A inclusão deste patrimônio como AIHA deu-se em caráter cautelar, passível de estudos aprofundados em etapas posteriores de licenciamento</w:t>
            </w:r>
            <w:r w:rsidRPr="009A7191">
              <w:rPr>
                <w:rFonts w:cs="Arial"/>
                <w:szCs w:val="24"/>
              </w:rPr>
              <w:t>.</w:t>
            </w:r>
          </w:p>
        </w:tc>
        <w:tc>
          <w:tcPr>
            <w:tcW w:w="1635" w:type="dxa"/>
            <w:shd w:val="clear" w:color="auto" w:fill="auto"/>
          </w:tcPr>
          <w:p w:rsidR="00007DA4" w:rsidRPr="002712BB" w:rsidRDefault="00007DA4" w:rsidP="00F472D0">
            <w:pPr>
              <w:spacing w:before="120" w:line="240" w:lineRule="auto"/>
              <w:jc w:val="center"/>
              <w:rPr>
                <w:rFonts w:cs="Arial"/>
                <w:sz w:val="20"/>
              </w:rPr>
            </w:pPr>
            <w:r w:rsidRPr="002712BB">
              <w:rPr>
                <w:rFonts w:cs="Arial"/>
                <w:sz w:val="20"/>
              </w:rPr>
              <w:t>Entre 25 e 75%</w:t>
            </w:r>
          </w:p>
        </w:tc>
      </w:tr>
      <w:tr w:rsidR="00007DA4" w:rsidRPr="002712BB" w:rsidTr="003C4386">
        <w:trPr>
          <w:jc w:val="center"/>
        </w:trPr>
        <w:tc>
          <w:tcPr>
            <w:tcW w:w="2305" w:type="dxa"/>
            <w:shd w:val="clear" w:color="auto" w:fill="auto"/>
            <w:vAlign w:val="center"/>
          </w:tcPr>
          <w:p w:rsidR="00007DA4" w:rsidRPr="008F31CD" w:rsidRDefault="00007DA4" w:rsidP="00F472D0">
            <w:pPr>
              <w:autoSpaceDE w:val="0"/>
              <w:autoSpaceDN w:val="0"/>
              <w:adjustRightInd w:val="0"/>
              <w:spacing w:line="240" w:lineRule="auto"/>
              <w:jc w:val="center"/>
              <w:rPr>
                <w:rFonts w:cs="Arial"/>
                <w:b/>
                <w:sz w:val="20"/>
              </w:rPr>
            </w:pPr>
            <w:r w:rsidRPr="008F31CD">
              <w:rPr>
                <w:rFonts w:cs="Arial"/>
                <w:b/>
                <w:sz w:val="20"/>
              </w:rPr>
              <w:t>AIHA Usina Macaco Branco</w:t>
            </w:r>
          </w:p>
        </w:tc>
        <w:tc>
          <w:tcPr>
            <w:tcW w:w="5205" w:type="dxa"/>
            <w:shd w:val="clear" w:color="auto" w:fill="auto"/>
          </w:tcPr>
          <w:p w:rsidR="00007DA4" w:rsidRPr="008F31CD" w:rsidRDefault="00007DA4" w:rsidP="00007DA4">
            <w:pPr>
              <w:spacing w:line="240" w:lineRule="auto"/>
              <w:rPr>
                <w:rFonts w:cs="Arial"/>
                <w:sz w:val="20"/>
              </w:rPr>
            </w:pPr>
            <w:r>
              <w:rPr>
                <w:sz w:val="18"/>
                <w:szCs w:val="18"/>
              </w:rPr>
              <w:t>Refere-se a uma a</w:t>
            </w:r>
            <w:r w:rsidRPr="009A7191">
              <w:rPr>
                <w:sz w:val="18"/>
                <w:szCs w:val="18"/>
              </w:rPr>
              <w:t>ntiga Usina Hidrelétrica do início do séc XX. Contém uma pequena vila de antigos ope</w:t>
            </w:r>
            <w:r>
              <w:rPr>
                <w:sz w:val="18"/>
                <w:szCs w:val="18"/>
              </w:rPr>
              <w:t>rários, bem como edificações de</w:t>
            </w:r>
            <w:r w:rsidRPr="009A7191">
              <w:rPr>
                <w:sz w:val="18"/>
                <w:szCs w:val="18"/>
              </w:rPr>
              <w:t xml:space="preserve"> uso técnico</w:t>
            </w:r>
            <w:r>
              <w:rPr>
                <w:sz w:val="18"/>
                <w:szCs w:val="18"/>
              </w:rPr>
              <w:t xml:space="preserve">. </w:t>
            </w:r>
            <w:r w:rsidRPr="001A0F90">
              <w:rPr>
                <w:rFonts w:cs="Arial"/>
                <w:sz w:val="20"/>
              </w:rPr>
              <w:t>Inaugurada em 1912, a sua construção se deu sob a iniciativa de Silvio de Aguiar Maya e sua família, detentora de diversos empreendimentos no município de Pedreira</w:t>
            </w:r>
            <w:r>
              <w:rPr>
                <w:rFonts w:cs="Arial"/>
                <w:sz w:val="20"/>
              </w:rPr>
              <w:t>.</w:t>
            </w:r>
          </w:p>
        </w:tc>
        <w:tc>
          <w:tcPr>
            <w:tcW w:w="1635" w:type="dxa"/>
            <w:shd w:val="clear" w:color="auto" w:fill="auto"/>
          </w:tcPr>
          <w:p w:rsidR="00007DA4" w:rsidRPr="002712BB" w:rsidRDefault="00007DA4" w:rsidP="00F472D0">
            <w:pPr>
              <w:spacing w:before="120" w:line="240" w:lineRule="auto"/>
              <w:jc w:val="center"/>
              <w:rPr>
                <w:rFonts w:cs="Arial"/>
                <w:sz w:val="20"/>
              </w:rPr>
            </w:pPr>
            <w:r w:rsidRPr="002712BB">
              <w:rPr>
                <w:rFonts w:cs="Arial"/>
                <w:sz w:val="20"/>
              </w:rPr>
              <w:t>Entre 25 e 75%</w:t>
            </w:r>
          </w:p>
        </w:tc>
      </w:tr>
    </w:tbl>
    <w:p w:rsidR="00B42047" w:rsidRDefault="00B42047" w:rsidP="00007DA4">
      <w:pPr>
        <w:widowControl w:val="0"/>
        <w:autoSpaceDE w:val="0"/>
        <w:autoSpaceDN w:val="0"/>
        <w:adjustRightInd w:val="0"/>
        <w:spacing w:before="120" w:after="120" w:line="240" w:lineRule="auto"/>
        <w:jc w:val="center"/>
        <w:rPr>
          <w:b/>
          <w:highlight w:val="yellow"/>
        </w:rPr>
      </w:pPr>
      <w:r>
        <w:rPr>
          <w:b/>
          <w:highlight w:val="yellow"/>
        </w:rPr>
        <w:br w:type="page"/>
      </w:r>
    </w:p>
    <w:p w:rsidR="00007DA4" w:rsidRPr="00C50DD2" w:rsidRDefault="00402E81" w:rsidP="00C50DD2">
      <w:pPr>
        <w:pStyle w:val="Legenda"/>
        <w:jc w:val="center"/>
        <w:rPr>
          <w:rFonts w:cs="Arial"/>
          <w:b w:val="0"/>
          <w:i w:val="0"/>
        </w:rPr>
      </w:pPr>
      <w:bookmarkStart w:id="449" w:name="_Toc420316549"/>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106</w:t>
      </w:r>
      <w:r w:rsidR="00B80A05" w:rsidRPr="00C50DD2">
        <w:rPr>
          <w:i w:val="0"/>
          <w:noProof/>
        </w:rPr>
        <w:fldChar w:fldCharType="end"/>
      </w:r>
      <w:r w:rsidR="00C50DD2" w:rsidRPr="00C50DD2">
        <w:rPr>
          <w:i w:val="0"/>
          <w:noProof/>
        </w:rPr>
        <w:t>.</w:t>
      </w:r>
      <w:r w:rsidR="00C50DD2" w:rsidRPr="00C50DD2">
        <w:rPr>
          <w:b w:val="0"/>
          <w:i w:val="0"/>
          <w:noProof/>
        </w:rPr>
        <w:t xml:space="preserve"> - </w:t>
      </w:r>
      <w:r w:rsidR="00007DA4" w:rsidRPr="00C50DD2">
        <w:rPr>
          <w:rFonts w:cs="Arial"/>
          <w:b w:val="0"/>
          <w:i w:val="0"/>
        </w:rPr>
        <w:t>Bens Culturais a serem Impactados pela Barragem Duas Pontes</w:t>
      </w:r>
      <w:bookmarkEnd w:id="449"/>
    </w:p>
    <w:tbl>
      <w:tblPr>
        <w:tblW w:w="0" w:type="auto"/>
        <w:jc w:val="center"/>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7"/>
        <w:gridCol w:w="5063"/>
        <w:gridCol w:w="1635"/>
      </w:tblGrid>
      <w:tr w:rsidR="00007DA4" w:rsidRPr="002712BB" w:rsidTr="00007DA4">
        <w:trPr>
          <w:trHeight w:val="70"/>
          <w:jc w:val="center"/>
        </w:trPr>
        <w:tc>
          <w:tcPr>
            <w:tcW w:w="2447" w:type="dxa"/>
            <w:shd w:val="clear" w:color="auto" w:fill="D9D9D9"/>
          </w:tcPr>
          <w:p w:rsidR="00007DA4" w:rsidRPr="002712BB" w:rsidRDefault="00007DA4" w:rsidP="00F472D0">
            <w:pPr>
              <w:autoSpaceDE w:val="0"/>
              <w:autoSpaceDN w:val="0"/>
              <w:adjustRightInd w:val="0"/>
              <w:spacing w:before="60" w:after="20" w:line="240" w:lineRule="auto"/>
              <w:jc w:val="center"/>
              <w:rPr>
                <w:rFonts w:cs="Arial"/>
                <w:b/>
                <w:sz w:val="20"/>
              </w:rPr>
            </w:pPr>
            <w:r w:rsidRPr="002712BB">
              <w:rPr>
                <w:rFonts w:cs="Arial"/>
                <w:b/>
                <w:sz w:val="20"/>
              </w:rPr>
              <w:t>Bem</w:t>
            </w:r>
          </w:p>
        </w:tc>
        <w:tc>
          <w:tcPr>
            <w:tcW w:w="5063" w:type="dxa"/>
            <w:shd w:val="clear" w:color="auto" w:fill="D9D9D9"/>
          </w:tcPr>
          <w:p w:rsidR="00007DA4" w:rsidRPr="002712BB" w:rsidRDefault="00007DA4" w:rsidP="00F472D0">
            <w:pPr>
              <w:autoSpaceDE w:val="0"/>
              <w:autoSpaceDN w:val="0"/>
              <w:adjustRightInd w:val="0"/>
              <w:spacing w:before="60" w:after="20" w:line="240" w:lineRule="auto"/>
              <w:jc w:val="center"/>
              <w:rPr>
                <w:rFonts w:cs="Arial"/>
                <w:b/>
                <w:sz w:val="20"/>
              </w:rPr>
            </w:pPr>
            <w:r w:rsidRPr="002712BB">
              <w:rPr>
                <w:rFonts w:cs="Arial"/>
                <w:b/>
                <w:sz w:val="20"/>
              </w:rPr>
              <w:t>Descrição</w:t>
            </w:r>
          </w:p>
        </w:tc>
        <w:tc>
          <w:tcPr>
            <w:tcW w:w="1635" w:type="dxa"/>
            <w:shd w:val="clear" w:color="auto" w:fill="D9D9D9"/>
          </w:tcPr>
          <w:p w:rsidR="00007DA4" w:rsidRPr="002712BB" w:rsidRDefault="00007DA4" w:rsidP="00F472D0">
            <w:pPr>
              <w:autoSpaceDE w:val="0"/>
              <w:autoSpaceDN w:val="0"/>
              <w:adjustRightInd w:val="0"/>
              <w:spacing w:before="60" w:after="20" w:line="240" w:lineRule="auto"/>
              <w:jc w:val="center"/>
              <w:rPr>
                <w:rFonts w:cs="Arial"/>
                <w:b/>
                <w:sz w:val="20"/>
              </w:rPr>
            </w:pPr>
            <w:r w:rsidRPr="002712BB">
              <w:rPr>
                <w:rFonts w:cs="Arial"/>
                <w:b/>
                <w:sz w:val="20"/>
              </w:rPr>
              <w:t>Integridade</w:t>
            </w:r>
          </w:p>
        </w:tc>
      </w:tr>
      <w:tr w:rsidR="00007DA4" w:rsidRPr="002712BB" w:rsidTr="002E29E3">
        <w:trPr>
          <w:trHeight w:val="494"/>
          <w:jc w:val="center"/>
        </w:trPr>
        <w:tc>
          <w:tcPr>
            <w:tcW w:w="9145" w:type="dxa"/>
            <w:gridSpan w:val="3"/>
            <w:shd w:val="clear" w:color="auto" w:fill="F2F2F2"/>
            <w:vAlign w:val="center"/>
          </w:tcPr>
          <w:p w:rsidR="00007DA4" w:rsidRPr="002712BB" w:rsidRDefault="00007DA4" w:rsidP="00F472D0">
            <w:pPr>
              <w:spacing w:before="60" w:after="20" w:line="240" w:lineRule="auto"/>
              <w:jc w:val="center"/>
              <w:rPr>
                <w:rFonts w:cs="Arial"/>
                <w:b/>
                <w:sz w:val="20"/>
              </w:rPr>
            </w:pPr>
            <w:r w:rsidRPr="002712BB">
              <w:rPr>
                <w:rFonts w:cs="Arial"/>
                <w:b/>
                <w:sz w:val="20"/>
              </w:rPr>
              <w:t>Sítios Arqueológicos</w:t>
            </w:r>
          </w:p>
        </w:tc>
      </w:tr>
      <w:tr w:rsidR="00007DA4" w:rsidRPr="002712BB" w:rsidTr="00007DA4">
        <w:trPr>
          <w:trHeight w:val="1245"/>
          <w:jc w:val="center"/>
        </w:trPr>
        <w:tc>
          <w:tcPr>
            <w:tcW w:w="2447" w:type="dxa"/>
            <w:shd w:val="clear" w:color="auto" w:fill="auto"/>
            <w:vAlign w:val="center"/>
          </w:tcPr>
          <w:p w:rsidR="00007DA4" w:rsidRPr="006E76D7" w:rsidRDefault="00007DA4" w:rsidP="00F472D0">
            <w:pPr>
              <w:spacing w:line="240" w:lineRule="auto"/>
              <w:jc w:val="left"/>
              <w:rPr>
                <w:b/>
                <w:bCs/>
                <w:sz w:val="20"/>
              </w:rPr>
            </w:pPr>
            <w:r w:rsidRPr="006E76D7">
              <w:rPr>
                <w:b/>
                <w:bCs/>
                <w:sz w:val="20"/>
              </w:rPr>
              <w:t>Sítio Arqueológico Fazenda Palmares 01</w:t>
            </w:r>
          </w:p>
        </w:tc>
        <w:tc>
          <w:tcPr>
            <w:tcW w:w="5063" w:type="dxa"/>
            <w:shd w:val="clear" w:color="auto" w:fill="auto"/>
          </w:tcPr>
          <w:p w:rsidR="00007DA4" w:rsidRPr="006E76D7" w:rsidRDefault="00007DA4" w:rsidP="00007DA4">
            <w:pPr>
              <w:spacing w:before="120" w:line="240" w:lineRule="auto"/>
              <w:jc w:val="center"/>
              <w:rPr>
                <w:rFonts w:cs="Arial"/>
                <w:sz w:val="20"/>
              </w:rPr>
            </w:pPr>
            <w:r w:rsidRPr="006E76D7">
              <w:rPr>
                <w:rFonts w:cs="Arial"/>
                <w:sz w:val="20"/>
              </w:rPr>
              <w:t>Refere-se a um sítio histórico constituído por um complexo arquitetônico composto por casa sede, vila de operários, estruturas edificadas destinadas às atividades de trabalho e pátios de café.</w:t>
            </w:r>
          </w:p>
        </w:tc>
        <w:tc>
          <w:tcPr>
            <w:tcW w:w="1635" w:type="dxa"/>
            <w:shd w:val="clear" w:color="auto" w:fill="auto"/>
          </w:tcPr>
          <w:p w:rsidR="00007DA4" w:rsidRPr="002712BB" w:rsidRDefault="00007DA4" w:rsidP="00F472D0">
            <w:pPr>
              <w:spacing w:before="120" w:line="240" w:lineRule="auto"/>
              <w:jc w:val="center"/>
              <w:rPr>
                <w:rFonts w:cs="Arial"/>
                <w:sz w:val="20"/>
              </w:rPr>
            </w:pPr>
            <w:r w:rsidRPr="002712BB">
              <w:rPr>
                <w:rFonts w:cs="Arial"/>
                <w:sz w:val="20"/>
              </w:rPr>
              <w:t>Entre 25 e 75%</w:t>
            </w:r>
          </w:p>
        </w:tc>
      </w:tr>
      <w:tr w:rsidR="00007DA4" w:rsidRPr="002712BB" w:rsidTr="00007DA4">
        <w:trPr>
          <w:trHeight w:val="1532"/>
          <w:jc w:val="center"/>
        </w:trPr>
        <w:tc>
          <w:tcPr>
            <w:tcW w:w="2447" w:type="dxa"/>
            <w:shd w:val="clear" w:color="auto" w:fill="auto"/>
          </w:tcPr>
          <w:p w:rsidR="00007DA4" w:rsidRDefault="00007DA4" w:rsidP="00F472D0">
            <w:pPr>
              <w:autoSpaceDE w:val="0"/>
              <w:autoSpaceDN w:val="0"/>
              <w:adjustRightInd w:val="0"/>
              <w:spacing w:line="240" w:lineRule="auto"/>
              <w:jc w:val="center"/>
              <w:rPr>
                <w:rFonts w:cs="Arial"/>
                <w:b/>
                <w:sz w:val="20"/>
              </w:rPr>
            </w:pPr>
          </w:p>
          <w:p w:rsidR="00007DA4" w:rsidRPr="002712BB" w:rsidRDefault="00007DA4" w:rsidP="00F472D0">
            <w:pPr>
              <w:autoSpaceDE w:val="0"/>
              <w:autoSpaceDN w:val="0"/>
              <w:adjustRightInd w:val="0"/>
              <w:spacing w:line="240" w:lineRule="auto"/>
              <w:jc w:val="center"/>
              <w:rPr>
                <w:rFonts w:cs="Arial"/>
                <w:b/>
                <w:sz w:val="20"/>
              </w:rPr>
            </w:pPr>
            <w:r w:rsidRPr="002712BB">
              <w:rPr>
                <w:rFonts w:cs="Arial"/>
                <w:b/>
                <w:sz w:val="20"/>
              </w:rPr>
              <w:t xml:space="preserve">Sitio </w:t>
            </w:r>
            <w:r>
              <w:rPr>
                <w:rFonts w:cs="Arial"/>
                <w:b/>
                <w:sz w:val="20"/>
              </w:rPr>
              <w:t>Arqueológico Fazenda Cachoeira 01</w:t>
            </w:r>
          </w:p>
        </w:tc>
        <w:tc>
          <w:tcPr>
            <w:tcW w:w="5063" w:type="dxa"/>
            <w:shd w:val="clear" w:color="auto" w:fill="auto"/>
          </w:tcPr>
          <w:p w:rsidR="00007DA4" w:rsidRPr="006E76D7" w:rsidRDefault="00007DA4" w:rsidP="00007DA4">
            <w:pPr>
              <w:spacing w:before="120" w:line="240" w:lineRule="auto"/>
              <w:jc w:val="center"/>
              <w:rPr>
                <w:rFonts w:cs="Arial"/>
                <w:sz w:val="20"/>
              </w:rPr>
            </w:pPr>
            <w:r w:rsidRPr="006E76D7">
              <w:rPr>
                <w:rFonts w:cs="Arial"/>
                <w:sz w:val="20"/>
              </w:rPr>
              <w:t>Refere-se a um sítio histórico constituído por um complexo de fazenda oriundo da primeira metade do século XX, composto por casa sede, unidades de utilidade laboral, algumas unidades habitacionais destinadas a moradia de funcionários, entre outros</w:t>
            </w:r>
          </w:p>
        </w:tc>
        <w:tc>
          <w:tcPr>
            <w:tcW w:w="1635" w:type="dxa"/>
            <w:shd w:val="clear" w:color="auto" w:fill="auto"/>
          </w:tcPr>
          <w:p w:rsidR="00007DA4" w:rsidRPr="002712BB" w:rsidRDefault="00007DA4" w:rsidP="00F472D0">
            <w:pPr>
              <w:spacing w:before="120" w:line="240" w:lineRule="auto"/>
              <w:jc w:val="center"/>
              <w:rPr>
                <w:rFonts w:cs="Arial"/>
                <w:sz w:val="20"/>
              </w:rPr>
            </w:pPr>
            <w:r w:rsidRPr="002712BB">
              <w:rPr>
                <w:rFonts w:cs="Arial"/>
                <w:sz w:val="20"/>
              </w:rPr>
              <w:t>Entre 25 e 75%</w:t>
            </w:r>
          </w:p>
        </w:tc>
      </w:tr>
    </w:tbl>
    <w:p w:rsidR="00007DA4" w:rsidRDefault="00007DA4" w:rsidP="002E29E3">
      <w:pPr>
        <w:spacing w:before="120" w:after="120" w:line="240" w:lineRule="auto"/>
        <w:jc w:val="left"/>
        <w:rPr>
          <w:b/>
        </w:rPr>
      </w:pPr>
    </w:p>
    <w:p w:rsidR="00007DA4" w:rsidRDefault="00007DA4" w:rsidP="00007DA4">
      <w:pPr>
        <w:widowControl w:val="0"/>
        <w:autoSpaceDE w:val="0"/>
        <w:autoSpaceDN w:val="0"/>
        <w:adjustRightInd w:val="0"/>
        <w:spacing w:before="120" w:after="120" w:line="240" w:lineRule="auto"/>
        <w:rPr>
          <w:rFonts w:eastAsia="Calibri" w:cs="Arial"/>
        </w:rPr>
      </w:pPr>
      <w:r w:rsidRPr="002712BB">
        <w:rPr>
          <w:rFonts w:eastAsia="Calibri" w:cs="Arial"/>
        </w:rPr>
        <w:t>Considerando-se que na</w:t>
      </w:r>
      <w:r>
        <w:rPr>
          <w:rFonts w:eastAsia="Calibri" w:cs="Arial"/>
        </w:rPr>
        <w:t>s respectivas</w:t>
      </w:r>
      <w:r w:rsidRPr="002712BB">
        <w:rPr>
          <w:rFonts w:eastAsia="Calibri" w:cs="Arial"/>
        </w:rPr>
        <w:t xml:space="preserve"> ADA</w:t>
      </w:r>
      <w:r>
        <w:rPr>
          <w:rFonts w:eastAsia="Calibri" w:cs="Arial"/>
        </w:rPr>
        <w:t>s das Barragens Pedreira e Duas Pontes</w:t>
      </w:r>
      <w:r w:rsidRPr="002712BB">
        <w:rPr>
          <w:rFonts w:eastAsia="Calibri" w:cs="Arial"/>
        </w:rPr>
        <w:t xml:space="preserve"> ocorrem as interferências acima apontadas esse impacto é considerado de natureza negativa, do tipo direto e permanente. Considera-se ser este impacto irreversível. Ocorrerá </w:t>
      </w:r>
      <w:r>
        <w:rPr>
          <w:rFonts w:eastAsia="Calibri" w:cs="Arial"/>
        </w:rPr>
        <w:t>no curto</w:t>
      </w:r>
      <w:r w:rsidRPr="002712BB">
        <w:rPr>
          <w:rFonts w:eastAsia="Calibri" w:cs="Arial"/>
        </w:rPr>
        <w:t xml:space="preserve"> prazo, na fase de implantação do empreendimento e com média magnitude. Não obstante, em vista das características apontadas anteriormente, a importância do fato e de seus efeitos tende a ser alta.</w:t>
      </w:r>
    </w:p>
    <w:p w:rsidR="00007DA4" w:rsidRPr="00C50DD2" w:rsidRDefault="00402E81" w:rsidP="00C50DD2">
      <w:pPr>
        <w:pStyle w:val="Legenda"/>
        <w:spacing w:line="240" w:lineRule="auto"/>
        <w:jc w:val="center"/>
        <w:rPr>
          <w:b w:val="0"/>
          <w:i w:val="0"/>
        </w:rPr>
      </w:pPr>
      <w:bookmarkStart w:id="450" w:name="_Toc420316550"/>
      <w:r w:rsidRPr="00C50DD2">
        <w:rPr>
          <w:i w:val="0"/>
        </w:rPr>
        <w:t xml:space="preserve">Quadro </w:t>
      </w:r>
      <w:r w:rsidR="00B80A05" w:rsidRPr="00C50DD2">
        <w:rPr>
          <w:i w:val="0"/>
        </w:rPr>
        <w:fldChar w:fldCharType="begin"/>
      </w:r>
      <w:r w:rsidR="00E155C0" w:rsidRPr="00C50DD2">
        <w:rPr>
          <w:i w:val="0"/>
        </w:rPr>
        <w:instrText xml:space="preserve"> STYLEREF 2 \s </w:instrText>
      </w:r>
      <w:r w:rsidR="00B80A05" w:rsidRPr="00C50DD2">
        <w:rPr>
          <w:i w:val="0"/>
        </w:rPr>
        <w:fldChar w:fldCharType="separate"/>
      </w:r>
      <w:r w:rsidR="00316060">
        <w:rPr>
          <w:i w:val="0"/>
          <w:noProof/>
        </w:rPr>
        <w:t>1.3</w:t>
      </w:r>
      <w:r w:rsidR="00B80A05" w:rsidRPr="00C50DD2">
        <w:rPr>
          <w:i w:val="0"/>
          <w:noProof/>
        </w:rPr>
        <w:fldChar w:fldCharType="end"/>
      </w:r>
      <w:r w:rsidRPr="00C50DD2">
        <w:rPr>
          <w:i w:val="0"/>
        </w:rPr>
        <w:t>.</w:t>
      </w:r>
      <w:r w:rsidR="00B80A05" w:rsidRPr="00C50DD2">
        <w:rPr>
          <w:i w:val="0"/>
        </w:rPr>
        <w:fldChar w:fldCharType="begin"/>
      </w:r>
      <w:r w:rsidR="00E155C0" w:rsidRPr="00C50DD2">
        <w:rPr>
          <w:i w:val="0"/>
        </w:rPr>
        <w:instrText xml:space="preserve"> SEQ Quadro \* ARABIC \s 2 </w:instrText>
      </w:r>
      <w:r w:rsidR="00B80A05" w:rsidRPr="00C50DD2">
        <w:rPr>
          <w:i w:val="0"/>
        </w:rPr>
        <w:fldChar w:fldCharType="separate"/>
      </w:r>
      <w:r w:rsidR="00316060">
        <w:rPr>
          <w:i w:val="0"/>
          <w:noProof/>
        </w:rPr>
        <w:t>107</w:t>
      </w:r>
      <w:r w:rsidR="00B80A05" w:rsidRPr="00C50DD2">
        <w:rPr>
          <w:i w:val="0"/>
          <w:noProof/>
        </w:rPr>
        <w:fldChar w:fldCharType="end"/>
      </w:r>
      <w:r w:rsidR="00C50DD2" w:rsidRPr="00C50DD2">
        <w:rPr>
          <w:i w:val="0"/>
          <w:noProof/>
        </w:rPr>
        <w:t>.</w:t>
      </w:r>
      <w:r w:rsidR="00C50DD2" w:rsidRPr="00C50DD2">
        <w:rPr>
          <w:b w:val="0"/>
          <w:i w:val="0"/>
          <w:noProof/>
        </w:rPr>
        <w:t xml:space="preserve"> - </w:t>
      </w:r>
      <w:r w:rsidR="00007DA4" w:rsidRPr="00C50DD2">
        <w:rPr>
          <w:b w:val="0"/>
          <w:i w:val="0"/>
        </w:rPr>
        <w:t>Caracterização do Impacto - Interferência com o Patrimônio Histórico, Cultural e Arqueológico - Barragens Pedreira e Duas Pontes</w:t>
      </w:r>
      <w:bookmarkEnd w:id="450"/>
    </w:p>
    <w:tbl>
      <w:tblPr>
        <w:tblW w:w="0" w:type="auto"/>
        <w:jc w:val="center"/>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1330"/>
        <w:gridCol w:w="1331"/>
        <w:gridCol w:w="1779"/>
        <w:gridCol w:w="1779"/>
        <w:gridCol w:w="3070"/>
      </w:tblGrid>
      <w:tr w:rsidR="00007DA4" w:rsidRPr="002712BB" w:rsidTr="00007DA4">
        <w:trPr>
          <w:trHeight w:hRule="exact" w:val="576"/>
          <w:jc w:val="center"/>
        </w:trPr>
        <w:tc>
          <w:tcPr>
            <w:tcW w:w="1330" w:type="dxa"/>
            <w:shd w:val="clear" w:color="auto" w:fill="D9D9D9"/>
            <w:vAlign w:val="center"/>
          </w:tcPr>
          <w:p w:rsidR="00007DA4" w:rsidRPr="002712BB" w:rsidRDefault="00007DA4" w:rsidP="00007DA4">
            <w:pPr>
              <w:spacing w:line="240" w:lineRule="auto"/>
              <w:jc w:val="center"/>
              <w:rPr>
                <w:rFonts w:cs="Arial"/>
                <w:b/>
                <w:sz w:val="20"/>
              </w:rPr>
            </w:pPr>
            <w:r w:rsidRPr="002712BB">
              <w:rPr>
                <w:rFonts w:cs="Arial"/>
                <w:b/>
                <w:sz w:val="20"/>
              </w:rPr>
              <w:t>Natureza</w:t>
            </w:r>
          </w:p>
        </w:tc>
        <w:tc>
          <w:tcPr>
            <w:tcW w:w="1331" w:type="dxa"/>
            <w:shd w:val="clear" w:color="auto" w:fill="D9D9D9"/>
            <w:vAlign w:val="center"/>
          </w:tcPr>
          <w:p w:rsidR="00007DA4" w:rsidRPr="002712BB" w:rsidRDefault="00007DA4" w:rsidP="00007DA4">
            <w:pPr>
              <w:spacing w:line="240" w:lineRule="auto"/>
              <w:jc w:val="center"/>
              <w:rPr>
                <w:rFonts w:cs="Arial"/>
                <w:b/>
                <w:sz w:val="20"/>
              </w:rPr>
            </w:pPr>
            <w:r w:rsidRPr="002712BB">
              <w:rPr>
                <w:rFonts w:cs="Arial"/>
                <w:b/>
                <w:sz w:val="20"/>
              </w:rPr>
              <w:t>Ordem</w:t>
            </w:r>
          </w:p>
        </w:tc>
        <w:tc>
          <w:tcPr>
            <w:tcW w:w="1779" w:type="dxa"/>
            <w:shd w:val="clear" w:color="auto" w:fill="D9D9D9"/>
            <w:vAlign w:val="center"/>
          </w:tcPr>
          <w:p w:rsidR="00007DA4" w:rsidRPr="002712BB" w:rsidRDefault="00007DA4" w:rsidP="00007DA4">
            <w:pPr>
              <w:spacing w:line="240" w:lineRule="auto"/>
              <w:jc w:val="center"/>
              <w:rPr>
                <w:rFonts w:cs="Arial"/>
                <w:b/>
                <w:sz w:val="20"/>
              </w:rPr>
            </w:pPr>
            <w:r w:rsidRPr="002712BB">
              <w:rPr>
                <w:rFonts w:cs="Arial"/>
                <w:b/>
                <w:sz w:val="20"/>
              </w:rPr>
              <w:t>Abrangência</w:t>
            </w:r>
          </w:p>
        </w:tc>
        <w:tc>
          <w:tcPr>
            <w:tcW w:w="1779" w:type="dxa"/>
            <w:shd w:val="clear" w:color="auto" w:fill="D9D9D9"/>
            <w:vAlign w:val="center"/>
          </w:tcPr>
          <w:p w:rsidR="00007DA4" w:rsidRPr="002712BB" w:rsidRDefault="00007DA4" w:rsidP="00007DA4">
            <w:pPr>
              <w:spacing w:line="240" w:lineRule="auto"/>
              <w:jc w:val="center"/>
              <w:rPr>
                <w:rFonts w:cs="Arial"/>
                <w:b/>
                <w:sz w:val="20"/>
              </w:rPr>
            </w:pPr>
            <w:r w:rsidRPr="002712BB">
              <w:rPr>
                <w:rFonts w:cs="Arial"/>
                <w:b/>
                <w:sz w:val="20"/>
              </w:rPr>
              <w:t>Duração</w:t>
            </w:r>
          </w:p>
        </w:tc>
        <w:tc>
          <w:tcPr>
            <w:tcW w:w="3070" w:type="dxa"/>
            <w:shd w:val="clear" w:color="auto" w:fill="D9D9D9"/>
            <w:vAlign w:val="center"/>
          </w:tcPr>
          <w:p w:rsidR="00007DA4" w:rsidRPr="002712BB" w:rsidRDefault="00007DA4" w:rsidP="00007DA4">
            <w:pPr>
              <w:spacing w:line="240" w:lineRule="auto"/>
              <w:jc w:val="center"/>
              <w:rPr>
                <w:rFonts w:cs="Arial"/>
                <w:b/>
                <w:sz w:val="20"/>
              </w:rPr>
            </w:pPr>
            <w:r w:rsidRPr="002712BB">
              <w:rPr>
                <w:rFonts w:cs="Arial"/>
                <w:b/>
                <w:sz w:val="20"/>
              </w:rPr>
              <w:t>Probabilidade de Ocorrência</w:t>
            </w:r>
          </w:p>
        </w:tc>
      </w:tr>
      <w:tr w:rsidR="00007DA4" w:rsidRPr="002712BB" w:rsidTr="00007DA4">
        <w:trPr>
          <w:trHeight w:hRule="exact" w:val="340"/>
          <w:jc w:val="center"/>
        </w:trPr>
        <w:tc>
          <w:tcPr>
            <w:tcW w:w="1330" w:type="dxa"/>
            <w:shd w:val="clear" w:color="auto" w:fill="auto"/>
            <w:vAlign w:val="center"/>
          </w:tcPr>
          <w:p w:rsidR="00007DA4" w:rsidRPr="002712BB" w:rsidRDefault="00007DA4" w:rsidP="00007DA4">
            <w:pPr>
              <w:spacing w:line="240" w:lineRule="auto"/>
              <w:jc w:val="center"/>
              <w:rPr>
                <w:rFonts w:cs="Arial"/>
                <w:sz w:val="20"/>
              </w:rPr>
            </w:pPr>
            <w:r w:rsidRPr="002712BB">
              <w:rPr>
                <w:rFonts w:cs="Arial"/>
                <w:sz w:val="20"/>
              </w:rPr>
              <w:t>Negativo</w:t>
            </w:r>
          </w:p>
        </w:tc>
        <w:tc>
          <w:tcPr>
            <w:tcW w:w="1331" w:type="dxa"/>
            <w:shd w:val="clear" w:color="auto" w:fill="auto"/>
            <w:vAlign w:val="center"/>
          </w:tcPr>
          <w:p w:rsidR="00007DA4" w:rsidRPr="002712BB" w:rsidRDefault="00007DA4" w:rsidP="00007DA4">
            <w:pPr>
              <w:spacing w:line="240" w:lineRule="auto"/>
              <w:jc w:val="center"/>
              <w:rPr>
                <w:rFonts w:cs="Arial"/>
                <w:sz w:val="20"/>
              </w:rPr>
            </w:pPr>
            <w:r w:rsidRPr="002712BB">
              <w:rPr>
                <w:rFonts w:cs="Arial"/>
                <w:sz w:val="20"/>
              </w:rPr>
              <w:t>Direta</w:t>
            </w:r>
          </w:p>
        </w:tc>
        <w:tc>
          <w:tcPr>
            <w:tcW w:w="1779" w:type="dxa"/>
            <w:shd w:val="clear" w:color="auto" w:fill="auto"/>
            <w:vAlign w:val="center"/>
          </w:tcPr>
          <w:p w:rsidR="00007DA4" w:rsidRPr="002712BB" w:rsidRDefault="00007DA4" w:rsidP="00007DA4">
            <w:pPr>
              <w:spacing w:line="240" w:lineRule="auto"/>
              <w:jc w:val="center"/>
              <w:rPr>
                <w:rFonts w:cs="Arial"/>
                <w:sz w:val="20"/>
              </w:rPr>
            </w:pPr>
            <w:r w:rsidRPr="002712BB">
              <w:rPr>
                <w:rFonts w:cs="Arial"/>
                <w:sz w:val="20"/>
              </w:rPr>
              <w:t>ADA</w:t>
            </w:r>
          </w:p>
        </w:tc>
        <w:tc>
          <w:tcPr>
            <w:tcW w:w="1779" w:type="dxa"/>
            <w:shd w:val="clear" w:color="auto" w:fill="auto"/>
            <w:vAlign w:val="center"/>
          </w:tcPr>
          <w:p w:rsidR="00007DA4" w:rsidRPr="002712BB" w:rsidRDefault="00007DA4" w:rsidP="00007DA4">
            <w:pPr>
              <w:spacing w:line="240" w:lineRule="auto"/>
              <w:jc w:val="center"/>
              <w:rPr>
                <w:rFonts w:cs="Arial"/>
                <w:sz w:val="20"/>
              </w:rPr>
            </w:pPr>
            <w:r w:rsidRPr="002712BB">
              <w:rPr>
                <w:rFonts w:cs="Arial"/>
                <w:sz w:val="20"/>
              </w:rPr>
              <w:t>Permanente</w:t>
            </w:r>
          </w:p>
        </w:tc>
        <w:tc>
          <w:tcPr>
            <w:tcW w:w="3070" w:type="dxa"/>
            <w:shd w:val="clear" w:color="auto" w:fill="auto"/>
            <w:vAlign w:val="center"/>
          </w:tcPr>
          <w:p w:rsidR="00007DA4" w:rsidRPr="002712BB" w:rsidRDefault="00007DA4" w:rsidP="00007DA4">
            <w:pPr>
              <w:spacing w:line="240" w:lineRule="auto"/>
              <w:jc w:val="center"/>
              <w:rPr>
                <w:rFonts w:cs="Arial"/>
                <w:sz w:val="20"/>
              </w:rPr>
            </w:pPr>
            <w:r w:rsidRPr="002712BB">
              <w:rPr>
                <w:rFonts w:cs="Arial"/>
                <w:sz w:val="20"/>
              </w:rPr>
              <w:t>Certa</w:t>
            </w:r>
          </w:p>
        </w:tc>
      </w:tr>
    </w:tbl>
    <w:p w:rsidR="00007DA4" w:rsidRPr="002712BB" w:rsidRDefault="00007DA4" w:rsidP="00007DA4">
      <w:pPr>
        <w:spacing w:line="240" w:lineRule="auto"/>
        <w:jc w:val="center"/>
      </w:pPr>
    </w:p>
    <w:tbl>
      <w:tblPr>
        <w:tblW w:w="9272" w:type="dxa"/>
        <w:jc w:val="center"/>
        <w:tblInd w:w="-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2653"/>
        <w:gridCol w:w="1771"/>
        <w:gridCol w:w="1772"/>
        <w:gridCol w:w="1560"/>
        <w:gridCol w:w="1516"/>
      </w:tblGrid>
      <w:tr w:rsidR="00007DA4" w:rsidRPr="002712BB" w:rsidTr="00007DA4">
        <w:trPr>
          <w:trHeight w:hRule="exact" w:val="576"/>
          <w:jc w:val="center"/>
        </w:trPr>
        <w:tc>
          <w:tcPr>
            <w:tcW w:w="2653" w:type="dxa"/>
            <w:shd w:val="clear" w:color="auto" w:fill="D9D9D9"/>
            <w:vAlign w:val="center"/>
          </w:tcPr>
          <w:p w:rsidR="00007DA4" w:rsidRPr="002712BB" w:rsidRDefault="00007DA4" w:rsidP="00007DA4">
            <w:pPr>
              <w:spacing w:line="240" w:lineRule="auto"/>
              <w:jc w:val="center"/>
              <w:rPr>
                <w:rFonts w:cs="Arial"/>
                <w:b/>
                <w:sz w:val="20"/>
              </w:rPr>
            </w:pPr>
            <w:r w:rsidRPr="002712BB">
              <w:rPr>
                <w:rFonts w:cs="Arial"/>
                <w:b/>
                <w:sz w:val="20"/>
              </w:rPr>
              <w:t>Época de Ocorrência</w:t>
            </w:r>
          </w:p>
        </w:tc>
        <w:tc>
          <w:tcPr>
            <w:tcW w:w="1771" w:type="dxa"/>
            <w:shd w:val="clear" w:color="auto" w:fill="D9D9D9"/>
            <w:vAlign w:val="center"/>
          </w:tcPr>
          <w:p w:rsidR="00007DA4" w:rsidRPr="002712BB" w:rsidRDefault="00007DA4" w:rsidP="00007DA4">
            <w:pPr>
              <w:spacing w:line="240" w:lineRule="auto"/>
              <w:jc w:val="center"/>
              <w:rPr>
                <w:rFonts w:cs="Arial"/>
                <w:b/>
                <w:sz w:val="20"/>
              </w:rPr>
            </w:pPr>
            <w:r w:rsidRPr="002712BB">
              <w:rPr>
                <w:rFonts w:cs="Arial"/>
                <w:b/>
                <w:sz w:val="20"/>
              </w:rPr>
              <w:t>Reversibilidade</w:t>
            </w:r>
          </w:p>
        </w:tc>
        <w:tc>
          <w:tcPr>
            <w:tcW w:w="1772" w:type="dxa"/>
            <w:shd w:val="clear" w:color="auto" w:fill="D9D9D9"/>
            <w:vAlign w:val="center"/>
          </w:tcPr>
          <w:p w:rsidR="00007DA4" w:rsidRPr="002712BB" w:rsidRDefault="00007DA4" w:rsidP="00007DA4">
            <w:pPr>
              <w:spacing w:line="240" w:lineRule="auto"/>
              <w:jc w:val="center"/>
              <w:rPr>
                <w:rFonts w:cs="Arial"/>
                <w:b/>
                <w:sz w:val="20"/>
              </w:rPr>
            </w:pPr>
            <w:r w:rsidRPr="002712BB">
              <w:rPr>
                <w:rFonts w:cs="Arial"/>
                <w:b/>
                <w:sz w:val="20"/>
              </w:rPr>
              <w:t>Magnitude</w:t>
            </w:r>
          </w:p>
        </w:tc>
        <w:tc>
          <w:tcPr>
            <w:tcW w:w="1560" w:type="dxa"/>
            <w:shd w:val="clear" w:color="auto" w:fill="D9D9D9"/>
            <w:vAlign w:val="center"/>
          </w:tcPr>
          <w:p w:rsidR="00007DA4" w:rsidRPr="002712BB" w:rsidRDefault="00007DA4" w:rsidP="00007DA4">
            <w:pPr>
              <w:spacing w:line="240" w:lineRule="auto"/>
              <w:jc w:val="center"/>
              <w:rPr>
                <w:rFonts w:cs="Arial"/>
                <w:b/>
                <w:sz w:val="20"/>
              </w:rPr>
            </w:pPr>
            <w:r w:rsidRPr="002712BB">
              <w:rPr>
                <w:rFonts w:cs="Arial"/>
                <w:b/>
                <w:sz w:val="20"/>
              </w:rPr>
              <w:t>Importância</w:t>
            </w:r>
          </w:p>
        </w:tc>
        <w:tc>
          <w:tcPr>
            <w:tcW w:w="1516" w:type="dxa"/>
            <w:shd w:val="clear" w:color="auto" w:fill="D9D9D9"/>
            <w:vAlign w:val="center"/>
          </w:tcPr>
          <w:p w:rsidR="00007DA4" w:rsidRPr="002712BB" w:rsidRDefault="00007DA4" w:rsidP="00007DA4">
            <w:pPr>
              <w:spacing w:line="240" w:lineRule="auto"/>
              <w:jc w:val="center"/>
              <w:rPr>
                <w:rFonts w:cs="Arial"/>
                <w:b/>
                <w:sz w:val="20"/>
              </w:rPr>
            </w:pPr>
            <w:r w:rsidRPr="002712BB">
              <w:rPr>
                <w:rFonts w:cs="Arial"/>
                <w:b/>
                <w:sz w:val="20"/>
              </w:rPr>
              <w:t>Mitigação</w:t>
            </w:r>
          </w:p>
        </w:tc>
      </w:tr>
      <w:tr w:rsidR="00007DA4" w:rsidRPr="002712BB" w:rsidTr="00007DA4">
        <w:trPr>
          <w:trHeight w:hRule="exact" w:val="340"/>
          <w:jc w:val="center"/>
        </w:trPr>
        <w:tc>
          <w:tcPr>
            <w:tcW w:w="2653" w:type="dxa"/>
            <w:shd w:val="clear" w:color="auto" w:fill="auto"/>
            <w:vAlign w:val="center"/>
          </w:tcPr>
          <w:p w:rsidR="00007DA4" w:rsidRPr="00007DA4" w:rsidRDefault="00007DA4" w:rsidP="00007DA4">
            <w:pPr>
              <w:spacing w:line="240" w:lineRule="auto"/>
              <w:jc w:val="center"/>
              <w:rPr>
                <w:rFonts w:cs="Arial"/>
                <w:b/>
                <w:sz w:val="20"/>
              </w:rPr>
            </w:pPr>
            <w:r w:rsidRPr="00007DA4">
              <w:rPr>
                <w:rFonts w:cs="Arial"/>
                <w:b/>
                <w:sz w:val="20"/>
              </w:rPr>
              <w:t>Curto Prazo</w:t>
            </w:r>
          </w:p>
        </w:tc>
        <w:tc>
          <w:tcPr>
            <w:tcW w:w="1771" w:type="dxa"/>
            <w:vAlign w:val="center"/>
          </w:tcPr>
          <w:p w:rsidR="00007DA4" w:rsidRPr="00007DA4" w:rsidRDefault="00007DA4" w:rsidP="00007DA4">
            <w:pPr>
              <w:spacing w:line="240" w:lineRule="auto"/>
              <w:jc w:val="center"/>
              <w:rPr>
                <w:rFonts w:cs="Arial"/>
                <w:b/>
                <w:sz w:val="20"/>
              </w:rPr>
            </w:pPr>
            <w:r w:rsidRPr="00007DA4">
              <w:rPr>
                <w:rFonts w:cs="Arial"/>
                <w:b/>
                <w:sz w:val="20"/>
              </w:rPr>
              <w:t>Irreversível</w:t>
            </w:r>
          </w:p>
        </w:tc>
        <w:tc>
          <w:tcPr>
            <w:tcW w:w="1772" w:type="dxa"/>
            <w:shd w:val="clear" w:color="auto" w:fill="auto"/>
            <w:vAlign w:val="center"/>
          </w:tcPr>
          <w:p w:rsidR="00007DA4" w:rsidRPr="00007DA4" w:rsidRDefault="00007DA4" w:rsidP="00007DA4">
            <w:pPr>
              <w:spacing w:line="240" w:lineRule="auto"/>
              <w:jc w:val="center"/>
              <w:rPr>
                <w:rFonts w:cs="Arial"/>
                <w:b/>
                <w:sz w:val="20"/>
              </w:rPr>
            </w:pPr>
            <w:r w:rsidRPr="00007DA4">
              <w:rPr>
                <w:rFonts w:cs="Arial"/>
                <w:b/>
                <w:sz w:val="20"/>
              </w:rPr>
              <w:t>Média</w:t>
            </w:r>
          </w:p>
        </w:tc>
        <w:tc>
          <w:tcPr>
            <w:tcW w:w="1560" w:type="dxa"/>
            <w:shd w:val="clear" w:color="auto" w:fill="auto"/>
            <w:vAlign w:val="center"/>
          </w:tcPr>
          <w:p w:rsidR="00007DA4" w:rsidRPr="00007DA4" w:rsidRDefault="00007DA4" w:rsidP="00007DA4">
            <w:pPr>
              <w:spacing w:line="240" w:lineRule="auto"/>
              <w:jc w:val="center"/>
              <w:rPr>
                <w:rFonts w:cs="Arial"/>
                <w:b/>
                <w:sz w:val="20"/>
              </w:rPr>
            </w:pPr>
            <w:r w:rsidRPr="00007DA4">
              <w:rPr>
                <w:rFonts w:cs="Arial"/>
                <w:b/>
                <w:sz w:val="20"/>
              </w:rPr>
              <w:t>Alta</w:t>
            </w:r>
          </w:p>
        </w:tc>
        <w:tc>
          <w:tcPr>
            <w:tcW w:w="1516" w:type="dxa"/>
            <w:shd w:val="clear" w:color="auto" w:fill="auto"/>
            <w:vAlign w:val="center"/>
          </w:tcPr>
          <w:p w:rsidR="00007DA4" w:rsidRPr="00007DA4" w:rsidRDefault="00007DA4" w:rsidP="00007DA4">
            <w:pPr>
              <w:spacing w:line="240" w:lineRule="auto"/>
              <w:jc w:val="center"/>
              <w:rPr>
                <w:rFonts w:cs="Arial"/>
                <w:b/>
                <w:sz w:val="20"/>
              </w:rPr>
            </w:pPr>
            <w:r w:rsidRPr="00007DA4">
              <w:rPr>
                <w:rFonts w:cs="Arial"/>
                <w:b/>
                <w:sz w:val="20"/>
              </w:rPr>
              <w:t>Mitigável</w:t>
            </w:r>
          </w:p>
        </w:tc>
      </w:tr>
    </w:tbl>
    <w:p w:rsidR="00007DA4" w:rsidRPr="002712BB" w:rsidRDefault="00007DA4" w:rsidP="00007DA4">
      <w:pPr>
        <w:spacing w:before="120" w:after="120" w:line="240" w:lineRule="auto"/>
      </w:pPr>
    </w:p>
    <w:p w:rsidR="00007DA4" w:rsidRPr="002712BB" w:rsidRDefault="00007DA4" w:rsidP="00007DA4">
      <w:pPr>
        <w:spacing w:before="120" w:after="120" w:line="240" w:lineRule="auto"/>
        <w:rPr>
          <w:rFonts w:cs="Arial"/>
          <w:b/>
        </w:rPr>
      </w:pPr>
      <w:r w:rsidRPr="002712BB">
        <w:rPr>
          <w:rFonts w:cs="Arial"/>
          <w:b/>
        </w:rPr>
        <w:t>Ações Ambientais Propostas:</w:t>
      </w:r>
    </w:p>
    <w:p w:rsidR="00007DA4" w:rsidRPr="002712BB" w:rsidRDefault="00007DA4" w:rsidP="00007DA4">
      <w:pPr>
        <w:spacing w:before="120" w:after="120" w:line="240" w:lineRule="auto"/>
      </w:pPr>
      <w:r w:rsidRPr="002712BB">
        <w:t>Atendendo ao disposto na legislação, e considerando a possibilidade de ocorrência de vestígios arqueológicos a serem expostos durante a implantação das obras do</w:t>
      </w:r>
      <w:r>
        <w:t>s</w:t>
      </w:r>
      <w:r w:rsidRPr="002712BB">
        <w:t xml:space="preserve"> empreendimento</w:t>
      </w:r>
      <w:r>
        <w:t>s</w:t>
      </w:r>
      <w:r w:rsidRPr="002712BB">
        <w:t xml:space="preserve"> em tela propõe-se a implementação do Programa de Prospecção, Resgate Arqueológico e Preservação do Patrimônio Arqueológico, Histórico e Cultural, de forma a estabelecer as atividades a serem seguidas para o gerenciamento do patrimônio cultural. Os Programas de Comunicação Social e Educação Ambiental também são importantes instrumentos para a mitigação desse impacto.</w:t>
      </w:r>
    </w:p>
    <w:p w:rsidR="00973BCF" w:rsidRPr="00934068" w:rsidRDefault="00CD6D82" w:rsidP="00934068">
      <w:pPr>
        <w:pStyle w:val="Ttulo3"/>
        <w:rPr>
          <w:rFonts w:ascii="Arial Negrito" w:hAnsi="Arial Negrito"/>
          <w:bCs/>
        </w:rPr>
      </w:pPr>
      <w:bookmarkStart w:id="451" w:name="_Toc418758267"/>
      <w:bookmarkStart w:id="452" w:name="_Toc418758869"/>
      <w:bookmarkStart w:id="453" w:name="_Toc419813629"/>
      <w:r w:rsidRPr="00934068">
        <w:rPr>
          <w:rFonts w:ascii="Arial Negrito" w:hAnsi="Arial Negrito"/>
          <w:bCs/>
        </w:rPr>
        <w:t>1.3.3.20.</w:t>
      </w:r>
      <w:r w:rsidR="00973BCF" w:rsidRPr="00934068">
        <w:rPr>
          <w:rFonts w:ascii="Arial Negrito" w:hAnsi="Arial Negrito"/>
          <w:bCs/>
        </w:rPr>
        <w:t xml:space="preserve"> Regularização de Vazões dos rios Jaguari e Camanducaia</w:t>
      </w:r>
      <w:bookmarkEnd w:id="451"/>
      <w:bookmarkEnd w:id="452"/>
      <w:bookmarkEnd w:id="453"/>
    </w:p>
    <w:p w:rsidR="001856B7" w:rsidRPr="00CD6D82" w:rsidRDefault="001856B7" w:rsidP="009E1DAB">
      <w:pPr>
        <w:autoSpaceDE w:val="0"/>
        <w:autoSpaceDN w:val="0"/>
        <w:adjustRightInd w:val="0"/>
        <w:spacing w:before="120" w:after="120" w:line="240" w:lineRule="auto"/>
        <w:rPr>
          <w:rFonts w:cs="Arial"/>
          <w:b/>
          <w:szCs w:val="22"/>
        </w:rPr>
      </w:pPr>
      <w:r>
        <w:rPr>
          <w:rFonts w:cs="Arial"/>
          <w:b/>
          <w:szCs w:val="22"/>
        </w:rPr>
        <w:t>Fase Operação</w:t>
      </w:r>
    </w:p>
    <w:p w:rsidR="009F3AD4" w:rsidRPr="00391924" w:rsidRDefault="009F3AD4" w:rsidP="009F3AD4">
      <w:pPr>
        <w:autoSpaceDE w:val="0"/>
        <w:autoSpaceDN w:val="0"/>
        <w:adjustRightInd w:val="0"/>
        <w:spacing w:before="120" w:after="120" w:line="240" w:lineRule="auto"/>
        <w:rPr>
          <w:rFonts w:cs="Arial"/>
          <w:szCs w:val="22"/>
        </w:rPr>
      </w:pPr>
      <w:r>
        <w:rPr>
          <w:rFonts w:cs="Arial"/>
          <w:szCs w:val="22"/>
        </w:rPr>
        <w:t xml:space="preserve">Na bacia dos rios Piracicaba, Capivari e Jaguari a demanda por recursos hídricos vem crescendo ao longo dos anos, encontrando-se atualmente próxima ao limite da disponibilidade hídrica superficial. </w:t>
      </w:r>
    </w:p>
    <w:p w:rsidR="009F3AD4" w:rsidRDefault="009F3AD4" w:rsidP="009F3AD4">
      <w:pPr>
        <w:spacing w:before="120" w:after="120" w:line="240" w:lineRule="auto"/>
      </w:pPr>
      <w:r>
        <w:t xml:space="preserve">Como apresentado no </w:t>
      </w:r>
      <w:r w:rsidRPr="00B04297">
        <w:rPr>
          <w:szCs w:val="22"/>
        </w:rPr>
        <w:t>Plano das Bacias Hidrográficas dos rio</w:t>
      </w:r>
      <w:r>
        <w:rPr>
          <w:szCs w:val="22"/>
        </w:rPr>
        <w:t>s</w:t>
      </w:r>
      <w:r w:rsidRPr="00B04297">
        <w:rPr>
          <w:szCs w:val="22"/>
        </w:rPr>
        <w:t xml:space="preserve"> PCJ 2010 - 2020, Relatório Final</w:t>
      </w:r>
      <w:r>
        <w:t xml:space="preserve"> Agência PCJ/</w:t>
      </w:r>
      <w:r w:rsidRPr="00B04297">
        <w:rPr>
          <w:szCs w:val="22"/>
        </w:rPr>
        <w:t>COBRAPE</w:t>
      </w:r>
      <w:r>
        <w:rPr>
          <w:szCs w:val="22"/>
        </w:rPr>
        <w:t>, diversas</w:t>
      </w:r>
      <w:r w:rsidRPr="00B04297">
        <w:rPr>
          <w:szCs w:val="22"/>
        </w:rPr>
        <w:t xml:space="preserve"> </w:t>
      </w:r>
      <w:r>
        <w:t xml:space="preserve">soluções tem sido propostas buscando atender à demanda, procurando implementar, inicialmente, aquelas soluções locais e/ou integradas, como são denominadas. No entanto, estas soluções tem um horizonte de atendimento de curto prazo, estimando-se que a partir do ano 2018, soluções integradas e/ou complexas devam ser adotadas para contribuir com o atendimento das necessidades hídricas das bacias PCJ. Entre as soluções estudadas encontra-se a implementação das Barragens Pedreira e Duas Pontes. (Figura </w:t>
      </w:r>
      <w:r w:rsidR="00C81961">
        <w:t>1.3.5.</w:t>
      </w:r>
      <w:r>
        <w:t>)</w:t>
      </w:r>
      <w:r w:rsidR="00C81961">
        <w:t>.</w:t>
      </w:r>
    </w:p>
    <w:p w:rsidR="009F3AD4" w:rsidRDefault="00F74075" w:rsidP="009F3AD4">
      <w:pPr>
        <w:spacing w:before="120" w:after="120" w:line="240" w:lineRule="auto"/>
        <w:jc w:val="center"/>
      </w:pPr>
      <w:r>
        <w:rPr>
          <w:noProof/>
        </w:rPr>
        <w:drawing>
          <wp:inline distT="0" distB="0" distL="0" distR="0" wp14:anchorId="0E045743" wp14:editId="57945A77">
            <wp:extent cx="5048250" cy="4629150"/>
            <wp:effectExtent l="19050" t="0" r="0" b="0"/>
            <wp:docPr id="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37" cstate="print"/>
                    <a:srcRect/>
                    <a:stretch>
                      <a:fillRect/>
                    </a:stretch>
                  </pic:blipFill>
                  <pic:spPr bwMode="auto">
                    <a:xfrm>
                      <a:off x="0" y="0"/>
                      <a:ext cx="5048250" cy="4629150"/>
                    </a:xfrm>
                    <a:prstGeom prst="rect">
                      <a:avLst/>
                    </a:prstGeom>
                    <a:noFill/>
                    <a:ln w="9525">
                      <a:noFill/>
                      <a:miter lim="800000"/>
                      <a:headEnd/>
                      <a:tailEnd/>
                    </a:ln>
                  </pic:spPr>
                </pic:pic>
              </a:graphicData>
            </a:graphic>
          </wp:inline>
        </w:drawing>
      </w:r>
    </w:p>
    <w:p w:rsidR="009F3AD4" w:rsidRPr="00FC59A6" w:rsidRDefault="00FC59A6" w:rsidP="00FC59A6">
      <w:pPr>
        <w:pStyle w:val="Legenda"/>
        <w:spacing w:line="240" w:lineRule="auto"/>
        <w:jc w:val="center"/>
        <w:rPr>
          <w:b w:val="0"/>
          <w:i w:val="0"/>
        </w:rPr>
      </w:pPr>
      <w:bookmarkStart w:id="454" w:name="_Toc420332064"/>
      <w:r w:rsidRPr="00FC59A6">
        <w:rPr>
          <w:i w:val="0"/>
        </w:rPr>
        <w:t>Figura 1.3.</w:t>
      </w:r>
      <w:r w:rsidR="00B80A05" w:rsidRPr="00FC59A6">
        <w:rPr>
          <w:i w:val="0"/>
        </w:rPr>
        <w:fldChar w:fldCharType="begin"/>
      </w:r>
      <w:r w:rsidRPr="00FC59A6">
        <w:rPr>
          <w:i w:val="0"/>
        </w:rPr>
        <w:instrText xml:space="preserve"> SEQ Figura_1.3. \* ARABIC </w:instrText>
      </w:r>
      <w:r w:rsidR="00B80A05" w:rsidRPr="00FC59A6">
        <w:rPr>
          <w:i w:val="0"/>
        </w:rPr>
        <w:fldChar w:fldCharType="separate"/>
      </w:r>
      <w:r w:rsidR="00316060">
        <w:rPr>
          <w:i w:val="0"/>
          <w:noProof/>
        </w:rPr>
        <w:t>3</w:t>
      </w:r>
      <w:r w:rsidR="00B80A05" w:rsidRPr="00FC59A6">
        <w:rPr>
          <w:i w:val="0"/>
        </w:rPr>
        <w:fldChar w:fldCharType="end"/>
      </w:r>
      <w:r w:rsidRPr="00FC59A6">
        <w:rPr>
          <w:i w:val="0"/>
        </w:rPr>
        <w:t>.</w:t>
      </w:r>
      <w:r w:rsidRPr="00FC59A6">
        <w:rPr>
          <w:b w:val="0"/>
          <w:i w:val="0"/>
        </w:rPr>
        <w:t xml:space="preserve"> - </w:t>
      </w:r>
      <w:r w:rsidR="009F3AD4" w:rsidRPr="00FC59A6">
        <w:rPr>
          <w:b w:val="0"/>
          <w:i w:val="0"/>
        </w:rPr>
        <w:t>Limite das Soluções locais ou integradas nas Bacias PCJ e Região Metropolitana de Campinas</w:t>
      </w:r>
      <w:bookmarkEnd w:id="454"/>
    </w:p>
    <w:p w:rsidR="00D866D8" w:rsidRPr="009F3AD4" w:rsidRDefault="00D866D8" w:rsidP="00C81961">
      <w:pPr>
        <w:spacing w:after="120" w:line="240" w:lineRule="auto"/>
        <w:ind w:left="709" w:hanging="709"/>
        <w:rPr>
          <w:sz w:val="20"/>
        </w:rPr>
      </w:pPr>
      <w:r w:rsidRPr="009F3AD4">
        <w:rPr>
          <w:sz w:val="20"/>
        </w:rPr>
        <w:t>Fonte:</w:t>
      </w:r>
      <w:r w:rsidR="00C81961">
        <w:rPr>
          <w:sz w:val="20"/>
        </w:rPr>
        <w:tab/>
      </w:r>
      <w:r w:rsidRPr="009F3AD4">
        <w:rPr>
          <w:sz w:val="20"/>
        </w:rPr>
        <w:t>Fonte:</w:t>
      </w:r>
      <w:r w:rsidRPr="009F3AD4">
        <w:rPr>
          <w:b/>
          <w:sz w:val="20"/>
        </w:rPr>
        <w:t xml:space="preserve"> </w:t>
      </w:r>
      <w:r w:rsidRPr="009F3AD4">
        <w:rPr>
          <w:sz w:val="20"/>
        </w:rPr>
        <w:t>Agência PCJ - Plano das Bacias Hidrográficas dos rios PCJ 2010 - 2020, COBRAPE, Relatório Final</w:t>
      </w:r>
      <w:r w:rsidRPr="009F3AD4">
        <w:rPr>
          <w:b/>
          <w:sz w:val="20"/>
        </w:rPr>
        <w:t>.</w:t>
      </w:r>
    </w:p>
    <w:p w:rsidR="009F3AD4" w:rsidRDefault="009F3AD4" w:rsidP="009F3AD4">
      <w:pPr>
        <w:pStyle w:val="Corpodetexto"/>
      </w:pPr>
      <w:r>
        <w:t xml:space="preserve">Os estudos de regularização de vazões, realizados na fase de projeto executivo, </w:t>
      </w:r>
      <w:r w:rsidRPr="00674273">
        <w:t xml:space="preserve">consideraram séries históricas de vazões mensais </w:t>
      </w:r>
      <w:r>
        <w:t xml:space="preserve">compreendendo o </w:t>
      </w:r>
      <w:r w:rsidRPr="00674273">
        <w:t>período entre os anos de 1930 e 2003</w:t>
      </w:r>
      <w:r>
        <w:t>, séries que foram complementadas até o final do ano 2012. Os resultados das séries indicaram que as vazões mínimas médias mensais no rio Jaguari atingiam 4,8 m³/s e no rio Camanducaia 3,4 m³/s, totalizando 8,2 m³/s.</w:t>
      </w:r>
    </w:p>
    <w:p w:rsidR="009F3AD4" w:rsidRDefault="009F3AD4" w:rsidP="009F3AD4">
      <w:pPr>
        <w:pStyle w:val="Corpodetexto"/>
      </w:pPr>
      <w:r>
        <w:t>A construção das Barragens Pedreira e Duas Pontes, com os níveis de água nas cotas 637,00 m e 646,00 m respectivamente, permitirá a regularização das vazões nos locais dos eixos para 8,5 m³/s no rio Jaguari e 8,7 m³/s no rio Camanducaia, considerando vazões com 98% de garantia, totalizando 17,2 m³/s para a bacia do rio Jaguari. Assim, a implantação das barragens permitirá um ganho de vazão garantida de 9,0 m³/s em relação às vazões</w:t>
      </w:r>
      <w:r w:rsidRPr="00B41039">
        <w:t xml:space="preserve"> </w:t>
      </w:r>
      <w:r>
        <w:t>mínimas médias mensais sem os empreendimentos (8,2 m³/s).</w:t>
      </w:r>
    </w:p>
    <w:p w:rsidR="009F3AD4" w:rsidRDefault="009F3AD4" w:rsidP="009F3AD4">
      <w:pPr>
        <w:pStyle w:val="Corpodetexto"/>
      </w:pPr>
      <w:r>
        <w:t>A garantia de disponibilidade de</w:t>
      </w:r>
      <w:r w:rsidRPr="00041E35">
        <w:t xml:space="preserve"> 9,0 m³/s nas vazões mínimas médias mensais na bacia do rio Jaguari, </w:t>
      </w:r>
      <w:r>
        <w:t>permite</w:t>
      </w:r>
      <w:r w:rsidRPr="00041E35">
        <w:t xml:space="preserve"> </w:t>
      </w:r>
      <w:r>
        <w:t>projetar o fornecimento de água para uma</w:t>
      </w:r>
      <w:r w:rsidRPr="00041E35">
        <w:t xml:space="preserve"> população da ordem de 3,1 milhões de habitantes considerando um consumo médio de 200 l/habitante/dia e 80% de eficiência n</w:t>
      </w:r>
      <w:r>
        <w:t xml:space="preserve">o sistema de </w:t>
      </w:r>
      <w:r w:rsidRPr="00041E35">
        <w:t>distribuição da água.</w:t>
      </w:r>
      <w:r>
        <w:t xml:space="preserve"> </w:t>
      </w:r>
    </w:p>
    <w:p w:rsidR="009F3AD4" w:rsidRDefault="009F3AD4" w:rsidP="009F3AD4">
      <w:pPr>
        <w:pStyle w:val="Corpodetexto"/>
      </w:pPr>
      <w:r>
        <w:t xml:space="preserve">Em função dos benefícios que traz para os habitantes da bacia do rio Jaguari a disponibilização de uma vazão garantida de 17,2 m³/s, servindo tanto para o reforço no atendimento do consumo atual, como para o atendimento o atendimento das demandas futuras, considerou-se que o impacto um </w:t>
      </w:r>
      <w:r w:rsidRPr="00423171">
        <w:t xml:space="preserve">impacto </w:t>
      </w:r>
      <w:r w:rsidRPr="002D6CC3">
        <w:t>positivo, certo, indireto, de médio/longo prazo, permanente, irreversível, de abrangência regional/estratégica,</w:t>
      </w:r>
      <w:r w:rsidRPr="00423171">
        <w:t xml:space="preserve"> de grande magnitude e alta importância.</w:t>
      </w:r>
      <w:r>
        <w:t xml:space="preserve"> </w:t>
      </w:r>
    </w:p>
    <w:p w:rsidR="00FC59A6" w:rsidRDefault="00402E81" w:rsidP="00FC59A6">
      <w:pPr>
        <w:pStyle w:val="Legenda"/>
        <w:spacing w:before="0" w:after="0" w:line="240" w:lineRule="auto"/>
        <w:jc w:val="center"/>
        <w:rPr>
          <w:rFonts w:cs="Arial"/>
          <w:b w:val="0"/>
          <w:bCs/>
          <w:i w:val="0"/>
        </w:rPr>
      </w:pPr>
      <w:bookmarkStart w:id="455" w:name="_Toc420316551"/>
      <w:r w:rsidRPr="00FC59A6">
        <w:rPr>
          <w:i w:val="0"/>
        </w:rPr>
        <w:t xml:space="preserve">Quadro </w:t>
      </w:r>
      <w:r w:rsidR="00B80A05" w:rsidRPr="00FC59A6">
        <w:rPr>
          <w:i w:val="0"/>
        </w:rPr>
        <w:fldChar w:fldCharType="begin"/>
      </w:r>
      <w:r w:rsidR="00E155C0" w:rsidRPr="00FC59A6">
        <w:rPr>
          <w:i w:val="0"/>
        </w:rPr>
        <w:instrText xml:space="preserve"> STYLEREF 2 \s </w:instrText>
      </w:r>
      <w:r w:rsidR="00B80A05" w:rsidRPr="00FC59A6">
        <w:rPr>
          <w:i w:val="0"/>
        </w:rPr>
        <w:fldChar w:fldCharType="separate"/>
      </w:r>
      <w:r w:rsidR="00316060">
        <w:rPr>
          <w:i w:val="0"/>
          <w:noProof/>
        </w:rPr>
        <w:t>1.3</w:t>
      </w:r>
      <w:r w:rsidR="00B80A05" w:rsidRPr="00FC59A6">
        <w:rPr>
          <w:i w:val="0"/>
          <w:noProof/>
        </w:rPr>
        <w:fldChar w:fldCharType="end"/>
      </w:r>
      <w:r w:rsidRPr="00FC59A6">
        <w:rPr>
          <w:i w:val="0"/>
        </w:rPr>
        <w:t>.</w:t>
      </w:r>
      <w:r w:rsidR="00B80A05" w:rsidRPr="00FC59A6">
        <w:rPr>
          <w:i w:val="0"/>
        </w:rPr>
        <w:fldChar w:fldCharType="begin"/>
      </w:r>
      <w:r w:rsidR="00E155C0" w:rsidRPr="00FC59A6">
        <w:rPr>
          <w:i w:val="0"/>
        </w:rPr>
        <w:instrText xml:space="preserve"> SEQ Quadro \* ARABIC \s 2 </w:instrText>
      </w:r>
      <w:r w:rsidR="00B80A05" w:rsidRPr="00FC59A6">
        <w:rPr>
          <w:i w:val="0"/>
        </w:rPr>
        <w:fldChar w:fldCharType="separate"/>
      </w:r>
      <w:r w:rsidR="00316060">
        <w:rPr>
          <w:i w:val="0"/>
          <w:noProof/>
        </w:rPr>
        <w:t>108</w:t>
      </w:r>
      <w:r w:rsidR="00B80A05" w:rsidRPr="00FC59A6">
        <w:rPr>
          <w:i w:val="0"/>
          <w:noProof/>
        </w:rPr>
        <w:fldChar w:fldCharType="end"/>
      </w:r>
      <w:r w:rsidR="00FC59A6" w:rsidRPr="00FC59A6">
        <w:rPr>
          <w:i w:val="0"/>
          <w:noProof/>
        </w:rPr>
        <w:t>.</w:t>
      </w:r>
      <w:r w:rsidR="00FC59A6" w:rsidRPr="00FC59A6">
        <w:rPr>
          <w:b w:val="0"/>
          <w:i w:val="0"/>
          <w:noProof/>
        </w:rPr>
        <w:t xml:space="preserve"> - </w:t>
      </w:r>
      <w:r w:rsidR="009F3AD4" w:rsidRPr="00FC59A6">
        <w:rPr>
          <w:rFonts w:cs="Arial"/>
          <w:b w:val="0"/>
          <w:bCs/>
          <w:i w:val="0"/>
        </w:rPr>
        <w:t xml:space="preserve">Caracterização do Impacto – </w:t>
      </w:r>
      <w:r w:rsidR="004E4A60" w:rsidRPr="00FC59A6">
        <w:rPr>
          <w:rFonts w:cs="Arial"/>
          <w:b w:val="0"/>
          <w:bCs/>
          <w:i w:val="0"/>
        </w:rPr>
        <w:t xml:space="preserve">Regularização das Vazões dos </w:t>
      </w:r>
      <w:r w:rsidR="00FC59A6">
        <w:rPr>
          <w:rFonts w:cs="Arial"/>
          <w:b w:val="0"/>
          <w:bCs/>
          <w:i w:val="0"/>
        </w:rPr>
        <w:t>r</w:t>
      </w:r>
      <w:r w:rsidR="004E4A60" w:rsidRPr="00FC59A6">
        <w:rPr>
          <w:rFonts w:cs="Arial"/>
          <w:b w:val="0"/>
          <w:bCs/>
          <w:i w:val="0"/>
        </w:rPr>
        <w:t>ios</w:t>
      </w:r>
      <w:bookmarkEnd w:id="455"/>
      <w:r w:rsidR="004E4A60" w:rsidRPr="00FC59A6">
        <w:rPr>
          <w:rFonts w:cs="Arial"/>
          <w:b w:val="0"/>
          <w:bCs/>
          <w:i w:val="0"/>
        </w:rPr>
        <w:t xml:space="preserve"> </w:t>
      </w:r>
    </w:p>
    <w:p w:rsidR="009F3AD4" w:rsidRPr="00FC59A6" w:rsidRDefault="004E4A60" w:rsidP="00FC59A6">
      <w:pPr>
        <w:pStyle w:val="Legenda"/>
        <w:spacing w:before="0" w:after="0" w:line="240" w:lineRule="auto"/>
        <w:jc w:val="center"/>
        <w:rPr>
          <w:rFonts w:cs="Arial"/>
          <w:b w:val="0"/>
          <w:bCs/>
          <w:i w:val="0"/>
        </w:rPr>
      </w:pPr>
      <w:r w:rsidRPr="00FC59A6">
        <w:rPr>
          <w:rFonts w:cs="Arial"/>
          <w:b w:val="0"/>
          <w:bCs/>
          <w:i w:val="0"/>
        </w:rPr>
        <w:t>Jaguari e Camanducaia</w:t>
      </w:r>
    </w:p>
    <w:tbl>
      <w:tblPr>
        <w:tblW w:w="0" w:type="auto"/>
        <w:jc w:val="center"/>
        <w:tblInd w:w="-5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06"/>
        <w:gridCol w:w="1207"/>
        <w:gridCol w:w="1701"/>
        <w:gridCol w:w="1701"/>
        <w:gridCol w:w="2977"/>
      </w:tblGrid>
      <w:tr w:rsidR="009F3AD4" w:rsidRPr="00A43380" w:rsidTr="007A3816">
        <w:trPr>
          <w:trHeight w:val="518"/>
          <w:jc w:val="center"/>
        </w:trPr>
        <w:tc>
          <w:tcPr>
            <w:tcW w:w="1206" w:type="dxa"/>
            <w:shd w:val="clear" w:color="auto" w:fill="D9D9D9"/>
            <w:vAlign w:val="center"/>
          </w:tcPr>
          <w:p w:rsidR="009F3AD4" w:rsidRPr="00A43380" w:rsidRDefault="009F3AD4" w:rsidP="00771A0C">
            <w:pPr>
              <w:autoSpaceDE w:val="0"/>
              <w:autoSpaceDN w:val="0"/>
              <w:adjustRightInd w:val="0"/>
              <w:spacing w:line="240" w:lineRule="auto"/>
              <w:jc w:val="center"/>
              <w:rPr>
                <w:rFonts w:cs="Arial"/>
                <w:b/>
                <w:sz w:val="20"/>
              </w:rPr>
            </w:pPr>
            <w:r w:rsidRPr="00A43380">
              <w:rPr>
                <w:rFonts w:cs="Arial"/>
                <w:b/>
                <w:sz w:val="20"/>
              </w:rPr>
              <w:t>Natureza</w:t>
            </w:r>
          </w:p>
        </w:tc>
        <w:tc>
          <w:tcPr>
            <w:tcW w:w="1207" w:type="dxa"/>
            <w:shd w:val="clear" w:color="auto" w:fill="D9D9D9"/>
            <w:vAlign w:val="center"/>
          </w:tcPr>
          <w:p w:rsidR="009F3AD4" w:rsidRPr="00A43380" w:rsidRDefault="009F3AD4" w:rsidP="00771A0C">
            <w:pPr>
              <w:autoSpaceDE w:val="0"/>
              <w:autoSpaceDN w:val="0"/>
              <w:adjustRightInd w:val="0"/>
              <w:spacing w:line="240" w:lineRule="auto"/>
              <w:jc w:val="center"/>
              <w:rPr>
                <w:rFonts w:cs="Arial"/>
                <w:b/>
                <w:sz w:val="20"/>
              </w:rPr>
            </w:pPr>
            <w:r w:rsidRPr="00A43380">
              <w:rPr>
                <w:rFonts w:cs="Arial"/>
                <w:b/>
                <w:sz w:val="20"/>
              </w:rPr>
              <w:t>Ordem</w:t>
            </w:r>
          </w:p>
        </w:tc>
        <w:tc>
          <w:tcPr>
            <w:tcW w:w="1701" w:type="dxa"/>
            <w:shd w:val="clear" w:color="auto" w:fill="D9D9D9"/>
            <w:vAlign w:val="center"/>
          </w:tcPr>
          <w:p w:rsidR="009F3AD4" w:rsidRPr="00A43380" w:rsidRDefault="009F3AD4" w:rsidP="00771A0C">
            <w:pPr>
              <w:autoSpaceDE w:val="0"/>
              <w:autoSpaceDN w:val="0"/>
              <w:adjustRightInd w:val="0"/>
              <w:spacing w:line="240" w:lineRule="auto"/>
              <w:jc w:val="center"/>
              <w:rPr>
                <w:rFonts w:cs="Arial"/>
                <w:b/>
                <w:sz w:val="20"/>
              </w:rPr>
            </w:pPr>
            <w:r w:rsidRPr="00A43380">
              <w:rPr>
                <w:rFonts w:cs="Arial"/>
                <w:b/>
                <w:sz w:val="20"/>
              </w:rPr>
              <w:t>Abrangência</w:t>
            </w:r>
          </w:p>
        </w:tc>
        <w:tc>
          <w:tcPr>
            <w:tcW w:w="1701" w:type="dxa"/>
            <w:shd w:val="clear" w:color="auto" w:fill="D9D9D9"/>
            <w:vAlign w:val="center"/>
          </w:tcPr>
          <w:p w:rsidR="009F3AD4" w:rsidRPr="00A43380" w:rsidRDefault="009F3AD4" w:rsidP="00771A0C">
            <w:pPr>
              <w:autoSpaceDE w:val="0"/>
              <w:autoSpaceDN w:val="0"/>
              <w:adjustRightInd w:val="0"/>
              <w:spacing w:line="240" w:lineRule="auto"/>
              <w:jc w:val="center"/>
              <w:rPr>
                <w:rFonts w:cs="Arial"/>
                <w:b/>
                <w:sz w:val="20"/>
              </w:rPr>
            </w:pPr>
            <w:r w:rsidRPr="00A43380">
              <w:rPr>
                <w:rFonts w:cs="Arial"/>
                <w:b/>
                <w:sz w:val="20"/>
              </w:rPr>
              <w:t>Duração</w:t>
            </w:r>
          </w:p>
        </w:tc>
        <w:tc>
          <w:tcPr>
            <w:tcW w:w="2977" w:type="dxa"/>
            <w:shd w:val="clear" w:color="auto" w:fill="D9D9D9"/>
            <w:vAlign w:val="center"/>
          </w:tcPr>
          <w:p w:rsidR="009F3AD4" w:rsidRPr="00A43380" w:rsidRDefault="009F3AD4" w:rsidP="00771A0C">
            <w:pPr>
              <w:autoSpaceDE w:val="0"/>
              <w:autoSpaceDN w:val="0"/>
              <w:adjustRightInd w:val="0"/>
              <w:spacing w:line="240" w:lineRule="auto"/>
              <w:jc w:val="center"/>
              <w:rPr>
                <w:rFonts w:cs="Arial"/>
                <w:b/>
                <w:sz w:val="20"/>
              </w:rPr>
            </w:pPr>
            <w:r w:rsidRPr="00A43380">
              <w:rPr>
                <w:rFonts w:cs="Arial"/>
                <w:b/>
                <w:sz w:val="20"/>
              </w:rPr>
              <w:t>Probabilidade de Ocorrência</w:t>
            </w:r>
          </w:p>
        </w:tc>
      </w:tr>
      <w:tr w:rsidR="009F3AD4" w:rsidRPr="00A43380" w:rsidTr="007A3816">
        <w:trPr>
          <w:trHeight w:val="273"/>
          <w:jc w:val="center"/>
        </w:trPr>
        <w:tc>
          <w:tcPr>
            <w:tcW w:w="1206" w:type="dxa"/>
            <w:shd w:val="clear" w:color="auto" w:fill="auto"/>
            <w:vAlign w:val="center"/>
          </w:tcPr>
          <w:p w:rsidR="009F3AD4" w:rsidRPr="002D6CC3" w:rsidRDefault="009F3AD4" w:rsidP="00997347">
            <w:pPr>
              <w:autoSpaceDE w:val="0"/>
              <w:autoSpaceDN w:val="0"/>
              <w:adjustRightInd w:val="0"/>
              <w:spacing w:before="60" w:after="60" w:line="240" w:lineRule="auto"/>
              <w:jc w:val="center"/>
              <w:rPr>
                <w:rFonts w:cs="Arial"/>
                <w:sz w:val="20"/>
              </w:rPr>
            </w:pPr>
            <w:r w:rsidRPr="002D6CC3">
              <w:rPr>
                <w:rFonts w:cs="Arial"/>
                <w:sz w:val="20"/>
              </w:rPr>
              <w:t>Positivo</w:t>
            </w:r>
          </w:p>
        </w:tc>
        <w:tc>
          <w:tcPr>
            <w:tcW w:w="1207" w:type="dxa"/>
            <w:shd w:val="clear" w:color="auto" w:fill="auto"/>
            <w:vAlign w:val="center"/>
          </w:tcPr>
          <w:p w:rsidR="009F3AD4" w:rsidRPr="002D6CC3" w:rsidRDefault="009F3AD4" w:rsidP="00997347">
            <w:pPr>
              <w:autoSpaceDE w:val="0"/>
              <w:autoSpaceDN w:val="0"/>
              <w:adjustRightInd w:val="0"/>
              <w:spacing w:before="60" w:after="60" w:line="240" w:lineRule="auto"/>
              <w:jc w:val="center"/>
              <w:rPr>
                <w:rFonts w:cs="Arial"/>
                <w:sz w:val="20"/>
              </w:rPr>
            </w:pPr>
            <w:r w:rsidRPr="002D6CC3">
              <w:rPr>
                <w:rFonts w:cs="Arial"/>
                <w:sz w:val="20"/>
              </w:rPr>
              <w:t>Indireto</w:t>
            </w:r>
          </w:p>
        </w:tc>
        <w:tc>
          <w:tcPr>
            <w:tcW w:w="1701" w:type="dxa"/>
            <w:shd w:val="clear" w:color="auto" w:fill="auto"/>
            <w:vAlign w:val="center"/>
          </w:tcPr>
          <w:p w:rsidR="009F3AD4" w:rsidRPr="002D6CC3" w:rsidRDefault="009F3AD4" w:rsidP="00997347">
            <w:pPr>
              <w:autoSpaceDE w:val="0"/>
              <w:autoSpaceDN w:val="0"/>
              <w:adjustRightInd w:val="0"/>
              <w:spacing w:before="60" w:after="60" w:line="240" w:lineRule="auto"/>
              <w:jc w:val="center"/>
              <w:rPr>
                <w:rFonts w:cs="Arial"/>
                <w:sz w:val="20"/>
              </w:rPr>
            </w:pPr>
            <w:r w:rsidRPr="002D6CC3">
              <w:rPr>
                <w:rFonts w:cs="Arial"/>
                <w:sz w:val="20"/>
              </w:rPr>
              <w:t>Regional/ Estratégica</w:t>
            </w:r>
          </w:p>
        </w:tc>
        <w:tc>
          <w:tcPr>
            <w:tcW w:w="1701" w:type="dxa"/>
            <w:shd w:val="clear" w:color="auto" w:fill="auto"/>
            <w:vAlign w:val="center"/>
          </w:tcPr>
          <w:p w:rsidR="009F3AD4" w:rsidRPr="002D6CC3" w:rsidRDefault="009F3AD4" w:rsidP="00997347">
            <w:pPr>
              <w:autoSpaceDE w:val="0"/>
              <w:autoSpaceDN w:val="0"/>
              <w:adjustRightInd w:val="0"/>
              <w:spacing w:before="60" w:after="60" w:line="240" w:lineRule="auto"/>
              <w:jc w:val="center"/>
              <w:rPr>
                <w:rFonts w:cs="Arial"/>
                <w:sz w:val="20"/>
              </w:rPr>
            </w:pPr>
            <w:r w:rsidRPr="002D6CC3">
              <w:rPr>
                <w:rFonts w:cs="Arial"/>
                <w:sz w:val="20"/>
              </w:rPr>
              <w:t>Permanente</w:t>
            </w:r>
          </w:p>
        </w:tc>
        <w:tc>
          <w:tcPr>
            <w:tcW w:w="2977" w:type="dxa"/>
            <w:shd w:val="clear" w:color="auto" w:fill="auto"/>
            <w:vAlign w:val="center"/>
          </w:tcPr>
          <w:p w:rsidR="009F3AD4" w:rsidRPr="002D6CC3" w:rsidRDefault="009F3AD4" w:rsidP="00997347">
            <w:pPr>
              <w:autoSpaceDE w:val="0"/>
              <w:autoSpaceDN w:val="0"/>
              <w:adjustRightInd w:val="0"/>
              <w:spacing w:before="60" w:after="60" w:line="240" w:lineRule="auto"/>
              <w:jc w:val="center"/>
              <w:rPr>
                <w:rFonts w:cs="Arial"/>
                <w:sz w:val="20"/>
              </w:rPr>
            </w:pPr>
            <w:r w:rsidRPr="002D6CC3">
              <w:rPr>
                <w:rFonts w:cs="Arial"/>
                <w:sz w:val="20"/>
              </w:rPr>
              <w:t>Certa</w:t>
            </w:r>
          </w:p>
        </w:tc>
      </w:tr>
    </w:tbl>
    <w:p w:rsidR="009F3AD4" w:rsidRPr="00A43380" w:rsidRDefault="009F3AD4" w:rsidP="00771A0C">
      <w:pPr>
        <w:autoSpaceDE w:val="0"/>
        <w:autoSpaceDN w:val="0"/>
        <w:adjustRightInd w:val="0"/>
        <w:spacing w:line="240" w:lineRule="auto"/>
        <w:jc w:val="center"/>
        <w:rPr>
          <w:rFonts w:cs="Arial"/>
          <w:sz w:val="20"/>
        </w:rPr>
      </w:pPr>
    </w:p>
    <w:tbl>
      <w:tblPr>
        <w:tblW w:w="0" w:type="auto"/>
        <w:jc w:val="center"/>
        <w:tblInd w:w="-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91"/>
        <w:gridCol w:w="1701"/>
        <w:gridCol w:w="1701"/>
        <w:gridCol w:w="1477"/>
        <w:gridCol w:w="1478"/>
      </w:tblGrid>
      <w:tr w:rsidR="009F3AD4" w:rsidRPr="00A43380" w:rsidTr="007A3816">
        <w:trPr>
          <w:trHeight w:val="397"/>
          <w:jc w:val="center"/>
        </w:trPr>
        <w:tc>
          <w:tcPr>
            <w:tcW w:w="2391" w:type="dxa"/>
            <w:shd w:val="clear" w:color="auto" w:fill="D9D9D9"/>
            <w:vAlign w:val="center"/>
          </w:tcPr>
          <w:p w:rsidR="009F3AD4" w:rsidRPr="00A43380" w:rsidRDefault="009F3AD4" w:rsidP="00771A0C">
            <w:pPr>
              <w:autoSpaceDE w:val="0"/>
              <w:autoSpaceDN w:val="0"/>
              <w:adjustRightInd w:val="0"/>
              <w:spacing w:line="240" w:lineRule="auto"/>
              <w:jc w:val="center"/>
              <w:rPr>
                <w:rFonts w:cs="Arial"/>
                <w:b/>
                <w:sz w:val="20"/>
              </w:rPr>
            </w:pPr>
            <w:r w:rsidRPr="00A43380">
              <w:rPr>
                <w:rFonts w:cs="Arial"/>
                <w:b/>
                <w:sz w:val="20"/>
              </w:rPr>
              <w:t>Época de Ocorrência</w:t>
            </w:r>
          </w:p>
        </w:tc>
        <w:tc>
          <w:tcPr>
            <w:tcW w:w="1701" w:type="dxa"/>
            <w:shd w:val="clear" w:color="auto" w:fill="D9D9D9"/>
            <w:vAlign w:val="center"/>
          </w:tcPr>
          <w:p w:rsidR="009F3AD4" w:rsidRPr="00A43380" w:rsidRDefault="009F3AD4" w:rsidP="00771A0C">
            <w:pPr>
              <w:autoSpaceDE w:val="0"/>
              <w:autoSpaceDN w:val="0"/>
              <w:adjustRightInd w:val="0"/>
              <w:spacing w:line="240" w:lineRule="auto"/>
              <w:jc w:val="center"/>
              <w:rPr>
                <w:rFonts w:cs="Arial"/>
                <w:b/>
                <w:sz w:val="20"/>
              </w:rPr>
            </w:pPr>
            <w:r w:rsidRPr="00A43380">
              <w:rPr>
                <w:rFonts w:cs="Arial"/>
                <w:b/>
                <w:sz w:val="20"/>
              </w:rPr>
              <w:t>Reversibilidade</w:t>
            </w:r>
          </w:p>
        </w:tc>
        <w:tc>
          <w:tcPr>
            <w:tcW w:w="1701" w:type="dxa"/>
            <w:shd w:val="clear" w:color="auto" w:fill="D9D9D9"/>
            <w:vAlign w:val="center"/>
          </w:tcPr>
          <w:p w:rsidR="009F3AD4" w:rsidRPr="00A43380" w:rsidRDefault="009F3AD4" w:rsidP="00771A0C">
            <w:pPr>
              <w:autoSpaceDE w:val="0"/>
              <w:autoSpaceDN w:val="0"/>
              <w:adjustRightInd w:val="0"/>
              <w:spacing w:line="240" w:lineRule="auto"/>
              <w:jc w:val="center"/>
              <w:rPr>
                <w:rFonts w:cs="Arial"/>
                <w:b/>
                <w:sz w:val="20"/>
              </w:rPr>
            </w:pPr>
            <w:r w:rsidRPr="00A43380">
              <w:rPr>
                <w:rFonts w:cs="Arial"/>
                <w:b/>
                <w:sz w:val="20"/>
              </w:rPr>
              <w:t>Magnitude</w:t>
            </w:r>
          </w:p>
        </w:tc>
        <w:tc>
          <w:tcPr>
            <w:tcW w:w="1477" w:type="dxa"/>
            <w:shd w:val="clear" w:color="auto" w:fill="D9D9D9"/>
            <w:vAlign w:val="center"/>
          </w:tcPr>
          <w:p w:rsidR="009F3AD4" w:rsidRPr="00A43380" w:rsidRDefault="009F3AD4" w:rsidP="00771A0C">
            <w:pPr>
              <w:autoSpaceDE w:val="0"/>
              <w:autoSpaceDN w:val="0"/>
              <w:adjustRightInd w:val="0"/>
              <w:spacing w:line="240" w:lineRule="auto"/>
              <w:jc w:val="center"/>
              <w:rPr>
                <w:rFonts w:cs="Arial"/>
                <w:b/>
                <w:sz w:val="20"/>
              </w:rPr>
            </w:pPr>
            <w:r w:rsidRPr="00A43380">
              <w:rPr>
                <w:rFonts w:cs="Arial"/>
                <w:b/>
                <w:sz w:val="20"/>
              </w:rPr>
              <w:t>Importância</w:t>
            </w:r>
          </w:p>
        </w:tc>
        <w:tc>
          <w:tcPr>
            <w:tcW w:w="1478" w:type="dxa"/>
            <w:shd w:val="clear" w:color="auto" w:fill="D9D9D9"/>
            <w:vAlign w:val="center"/>
          </w:tcPr>
          <w:p w:rsidR="009F3AD4" w:rsidRPr="00A43380" w:rsidRDefault="009F3AD4" w:rsidP="00771A0C">
            <w:pPr>
              <w:autoSpaceDE w:val="0"/>
              <w:autoSpaceDN w:val="0"/>
              <w:adjustRightInd w:val="0"/>
              <w:spacing w:line="240" w:lineRule="auto"/>
              <w:jc w:val="center"/>
              <w:rPr>
                <w:rFonts w:cs="Arial"/>
                <w:b/>
                <w:sz w:val="20"/>
              </w:rPr>
            </w:pPr>
            <w:r w:rsidRPr="00A43380">
              <w:rPr>
                <w:rFonts w:cs="Arial"/>
                <w:b/>
                <w:sz w:val="20"/>
              </w:rPr>
              <w:t>Mitigação</w:t>
            </w:r>
          </w:p>
        </w:tc>
      </w:tr>
      <w:tr w:rsidR="009F3AD4" w:rsidRPr="00A43380" w:rsidTr="007A3816">
        <w:trPr>
          <w:trHeight w:val="507"/>
          <w:jc w:val="center"/>
        </w:trPr>
        <w:tc>
          <w:tcPr>
            <w:tcW w:w="2391" w:type="dxa"/>
            <w:shd w:val="clear" w:color="auto" w:fill="auto"/>
            <w:vAlign w:val="center"/>
          </w:tcPr>
          <w:p w:rsidR="009F3AD4" w:rsidRPr="002D6CC3" w:rsidRDefault="009F3AD4" w:rsidP="00997347">
            <w:pPr>
              <w:autoSpaceDE w:val="0"/>
              <w:autoSpaceDN w:val="0"/>
              <w:adjustRightInd w:val="0"/>
              <w:spacing w:before="60" w:after="60" w:line="240" w:lineRule="auto"/>
              <w:jc w:val="center"/>
              <w:rPr>
                <w:rFonts w:cs="Arial"/>
                <w:sz w:val="20"/>
              </w:rPr>
            </w:pPr>
            <w:r w:rsidRPr="002D6CC3">
              <w:rPr>
                <w:rFonts w:cs="Arial"/>
                <w:sz w:val="20"/>
              </w:rPr>
              <w:t>Médio/Longo Prazo</w:t>
            </w:r>
          </w:p>
        </w:tc>
        <w:tc>
          <w:tcPr>
            <w:tcW w:w="1701" w:type="dxa"/>
            <w:shd w:val="clear" w:color="auto" w:fill="auto"/>
            <w:vAlign w:val="center"/>
          </w:tcPr>
          <w:p w:rsidR="009F3AD4" w:rsidRPr="002D6CC3" w:rsidRDefault="009F3AD4" w:rsidP="00997347">
            <w:pPr>
              <w:autoSpaceDE w:val="0"/>
              <w:autoSpaceDN w:val="0"/>
              <w:adjustRightInd w:val="0"/>
              <w:spacing w:before="60" w:after="60" w:line="240" w:lineRule="auto"/>
              <w:jc w:val="center"/>
              <w:rPr>
                <w:rFonts w:cs="Arial"/>
                <w:sz w:val="20"/>
              </w:rPr>
            </w:pPr>
            <w:r w:rsidRPr="002D6CC3">
              <w:rPr>
                <w:rFonts w:cs="Arial"/>
                <w:sz w:val="20"/>
              </w:rPr>
              <w:t>Irreversível</w:t>
            </w:r>
          </w:p>
        </w:tc>
        <w:tc>
          <w:tcPr>
            <w:tcW w:w="1701" w:type="dxa"/>
            <w:shd w:val="clear" w:color="auto" w:fill="auto"/>
            <w:vAlign w:val="center"/>
          </w:tcPr>
          <w:p w:rsidR="009F3AD4" w:rsidRPr="002D6CC3" w:rsidRDefault="009F3AD4" w:rsidP="00997347">
            <w:pPr>
              <w:autoSpaceDE w:val="0"/>
              <w:autoSpaceDN w:val="0"/>
              <w:adjustRightInd w:val="0"/>
              <w:spacing w:before="60" w:after="60" w:line="240" w:lineRule="auto"/>
              <w:jc w:val="center"/>
              <w:rPr>
                <w:rFonts w:cs="Arial"/>
                <w:sz w:val="20"/>
              </w:rPr>
            </w:pPr>
            <w:r w:rsidRPr="002D6CC3">
              <w:rPr>
                <w:rFonts w:cs="Arial"/>
                <w:sz w:val="20"/>
              </w:rPr>
              <w:t>Grande</w:t>
            </w:r>
          </w:p>
        </w:tc>
        <w:tc>
          <w:tcPr>
            <w:tcW w:w="1477" w:type="dxa"/>
            <w:shd w:val="clear" w:color="auto" w:fill="auto"/>
            <w:vAlign w:val="center"/>
          </w:tcPr>
          <w:p w:rsidR="009F3AD4" w:rsidRPr="002D6CC3" w:rsidRDefault="009F3AD4" w:rsidP="00997347">
            <w:pPr>
              <w:autoSpaceDE w:val="0"/>
              <w:autoSpaceDN w:val="0"/>
              <w:adjustRightInd w:val="0"/>
              <w:spacing w:before="60" w:after="60" w:line="240" w:lineRule="auto"/>
              <w:jc w:val="center"/>
              <w:rPr>
                <w:rFonts w:cs="Arial"/>
                <w:sz w:val="20"/>
              </w:rPr>
            </w:pPr>
            <w:r w:rsidRPr="002D6CC3">
              <w:rPr>
                <w:rFonts w:cs="Arial"/>
                <w:sz w:val="20"/>
              </w:rPr>
              <w:t>Alta</w:t>
            </w:r>
          </w:p>
        </w:tc>
        <w:tc>
          <w:tcPr>
            <w:tcW w:w="1478" w:type="dxa"/>
            <w:shd w:val="clear" w:color="auto" w:fill="auto"/>
            <w:vAlign w:val="center"/>
          </w:tcPr>
          <w:p w:rsidR="009F3AD4" w:rsidRPr="00A43380" w:rsidRDefault="009F3AD4" w:rsidP="00997347">
            <w:pPr>
              <w:autoSpaceDE w:val="0"/>
              <w:autoSpaceDN w:val="0"/>
              <w:adjustRightInd w:val="0"/>
              <w:spacing w:before="60" w:after="60" w:line="240" w:lineRule="auto"/>
              <w:jc w:val="center"/>
              <w:rPr>
                <w:rFonts w:cs="Arial"/>
                <w:sz w:val="20"/>
              </w:rPr>
            </w:pPr>
            <w:r w:rsidRPr="002D6CC3">
              <w:rPr>
                <w:rFonts w:cs="Arial"/>
                <w:sz w:val="20"/>
              </w:rPr>
              <w:t>---</w:t>
            </w:r>
          </w:p>
        </w:tc>
      </w:tr>
    </w:tbl>
    <w:p w:rsidR="009F3AD4" w:rsidRPr="007C5C21" w:rsidRDefault="009F3AD4" w:rsidP="007A70CA">
      <w:pPr>
        <w:autoSpaceDE w:val="0"/>
        <w:autoSpaceDN w:val="0"/>
        <w:adjustRightInd w:val="0"/>
        <w:spacing w:before="240" w:after="120" w:line="240" w:lineRule="auto"/>
        <w:rPr>
          <w:rFonts w:cs="Arial"/>
          <w:b/>
        </w:rPr>
      </w:pPr>
      <w:r w:rsidRPr="007C5C21">
        <w:rPr>
          <w:rFonts w:cs="Arial"/>
          <w:b/>
        </w:rPr>
        <w:t>Ações Ambientais Propostas</w:t>
      </w:r>
    </w:p>
    <w:p w:rsidR="009F3AD4" w:rsidRPr="00B93772" w:rsidRDefault="009F3AD4" w:rsidP="009F3AD4">
      <w:pPr>
        <w:autoSpaceDE w:val="0"/>
        <w:autoSpaceDN w:val="0"/>
        <w:adjustRightInd w:val="0"/>
        <w:spacing w:before="120" w:after="120" w:line="240" w:lineRule="auto"/>
        <w:rPr>
          <w:rFonts w:eastAsia="Calibri" w:cs="Arial"/>
          <w:szCs w:val="22"/>
          <w:lang w:eastAsia="en-US"/>
        </w:rPr>
      </w:pPr>
      <w:r w:rsidRPr="00B93772">
        <w:rPr>
          <w:rFonts w:eastAsia="Calibri" w:cs="Arial"/>
          <w:szCs w:val="22"/>
          <w:lang w:eastAsia="en-US"/>
        </w:rPr>
        <w:t xml:space="preserve">As questões relativas a este impacto devem ser divulgadas através do Programa de </w:t>
      </w:r>
      <w:r w:rsidR="00D225D5">
        <w:rPr>
          <w:rFonts w:eastAsia="Calibri" w:cs="Arial"/>
          <w:szCs w:val="22"/>
          <w:lang w:eastAsia="en-US"/>
        </w:rPr>
        <w:t>Comunicação e Interação Social</w:t>
      </w:r>
      <w:r w:rsidRPr="00B93772">
        <w:rPr>
          <w:rFonts w:eastAsia="Calibri" w:cs="Arial"/>
          <w:szCs w:val="22"/>
          <w:lang w:eastAsia="en-US"/>
        </w:rPr>
        <w:t>, e incluídas no Programa de Educação Ambiental.</w:t>
      </w:r>
    </w:p>
    <w:p w:rsidR="00973BCF" w:rsidRPr="00934068" w:rsidRDefault="00CD6D82" w:rsidP="00934068">
      <w:pPr>
        <w:pStyle w:val="Ttulo3"/>
        <w:rPr>
          <w:rFonts w:ascii="Arial Negrito" w:hAnsi="Arial Negrito"/>
          <w:bCs/>
        </w:rPr>
      </w:pPr>
      <w:bookmarkStart w:id="456" w:name="_Toc418758268"/>
      <w:bookmarkStart w:id="457" w:name="_Toc418758870"/>
      <w:bookmarkStart w:id="458" w:name="_Toc419813630"/>
      <w:r w:rsidRPr="00934068">
        <w:rPr>
          <w:rFonts w:ascii="Arial Negrito" w:hAnsi="Arial Negrito"/>
          <w:bCs/>
        </w:rPr>
        <w:t xml:space="preserve">1.3.3.21. </w:t>
      </w:r>
      <w:r w:rsidR="003163E4">
        <w:rPr>
          <w:rFonts w:ascii="Arial Negrito" w:hAnsi="Arial Negrito"/>
          <w:bCs/>
        </w:rPr>
        <w:t>Interferência n</w:t>
      </w:r>
      <w:r w:rsidR="00003927">
        <w:rPr>
          <w:rFonts w:ascii="Arial Negrito" w:hAnsi="Arial Negrito"/>
          <w:bCs/>
        </w:rPr>
        <w:t xml:space="preserve">a </w:t>
      </w:r>
      <w:r w:rsidR="00973BCF" w:rsidRPr="00934068">
        <w:rPr>
          <w:rFonts w:ascii="Arial Negrito" w:hAnsi="Arial Negrito"/>
          <w:bCs/>
        </w:rPr>
        <w:t>Geração de Energia Elétrica</w:t>
      </w:r>
      <w:bookmarkEnd w:id="456"/>
      <w:bookmarkEnd w:id="457"/>
      <w:bookmarkEnd w:id="458"/>
    </w:p>
    <w:p w:rsidR="00B93772" w:rsidRPr="00B93772" w:rsidRDefault="008C15C3" w:rsidP="00B93772">
      <w:pPr>
        <w:spacing w:before="120" w:after="120" w:line="240" w:lineRule="auto"/>
        <w:rPr>
          <w:rFonts w:eastAsia="Calibri"/>
          <w:szCs w:val="22"/>
          <w:lang w:eastAsia="en-US"/>
        </w:rPr>
      </w:pPr>
      <w:r>
        <w:rPr>
          <w:rFonts w:eastAsia="Calibri"/>
          <w:szCs w:val="22"/>
          <w:lang w:eastAsia="en-US"/>
        </w:rPr>
        <w:t>As barragens</w:t>
      </w:r>
      <w:r w:rsidR="00B93772" w:rsidRPr="00B93772">
        <w:rPr>
          <w:rFonts w:eastAsia="Calibri"/>
          <w:szCs w:val="22"/>
          <w:lang w:eastAsia="en-US"/>
        </w:rPr>
        <w:t xml:space="preserve"> Pedreira e Duas Pontes apresentam interferência com a Geração de Energia Elétrica em dois momentos, na fase de implantação e na fase de operação. Na fase de implantação devido à presença das Pequenas Centrais Hidrelétricas (PCHs) - Macaco Branco e Feixos, localizadas nos rios Jaguari e Camanducaia respectivamente e que deverão ser desativadas, já que estas serão afetadas pela formação dos reservatórios </w:t>
      </w:r>
      <w:r>
        <w:rPr>
          <w:rFonts w:eastAsia="Calibri"/>
          <w:szCs w:val="22"/>
          <w:lang w:eastAsia="en-US"/>
        </w:rPr>
        <w:t>das barragens</w:t>
      </w:r>
      <w:r w:rsidR="00B93772" w:rsidRPr="00B93772">
        <w:rPr>
          <w:rFonts w:eastAsia="Calibri"/>
          <w:szCs w:val="22"/>
          <w:lang w:eastAsia="en-US"/>
        </w:rPr>
        <w:t xml:space="preserve"> Pedreira e Duas Pontes. </w:t>
      </w:r>
    </w:p>
    <w:p w:rsidR="00B93772" w:rsidRDefault="00BC1EC1" w:rsidP="00B93772">
      <w:pPr>
        <w:spacing w:before="120" w:after="120" w:line="240" w:lineRule="auto"/>
        <w:rPr>
          <w:rFonts w:eastAsia="Calibri"/>
          <w:szCs w:val="22"/>
          <w:lang w:eastAsia="en-US"/>
        </w:rPr>
      </w:pPr>
      <w:r>
        <w:rPr>
          <w:rFonts w:eastAsia="Calibri"/>
          <w:szCs w:val="22"/>
          <w:lang w:eastAsia="en-US"/>
        </w:rPr>
        <w:t xml:space="preserve">Por outro lado, estudos energéticos realizados indicaram a </w:t>
      </w:r>
      <w:r w:rsidR="00B93772" w:rsidRPr="00B93772">
        <w:rPr>
          <w:rFonts w:eastAsia="Calibri"/>
          <w:szCs w:val="22"/>
          <w:lang w:eastAsia="en-US"/>
        </w:rPr>
        <w:t>possibilidade de implantação de uma casa de força para geração de energia hidrelétrica</w:t>
      </w:r>
      <w:r w:rsidR="008571D9">
        <w:rPr>
          <w:rFonts w:eastAsia="Calibri"/>
          <w:szCs w:val="22"/>
          <w:lang w:eastAsia="en-US"/>
        </w:rPr>
        <w:t xml:space="preserve"> em cada eixo</w:t>
      </w:r>
      <w:r w:rsidR="00B93772" w:rsidRPr="00B93772">
        <w:rPr>
          <w:rFonts w:eastAsia="Calibri"/>
          <w:szCs w:val="22"/>
          <w:lang w:eastAsia="en-US"/>
        </w:rPr>
        <w:t>, aproveitando a queda de água formada pela implantação do</w:t>
      </w:r>
      <w:r>
        <w:rPr>
          <w:rFonts w:eastAsia="Calibri"/>
          <w:szCs w:val="22"/>
          <w:lang w:eastAsia="en-US"/>
        </w:rPr>
        <w:t>s</w:t>
      </w:r>
      <w:r w:rsidR="00B93772" w:rsidRPr="00B93772">
        <w:rPr>
          <w:rFonts w:eastAsia="Calibri"/>
          <w:szCs w:val="22"/>
          <w:lang w:eastAsia="en-US"/>
        </w:rPr>
        <w:t xml:space="preserve"> barramento</w:t>
      </w:r>
      <w:r>
        <w:rPr>
          <w:rFonts w:eastAsia="Calibri"/>
          <w:szCs w:val="22"/>
          <w:lang w:eastAsia="en-US"/>
        </w:rPr>
        <w:t>s</w:t>
      </w:r>
      <w:r w:rsidR="00B93772" w:rsidRPr="00B93772">
        <w:rPr>
          <w:rFonts w:eastAsia="Calibri"/>
          <w:szCs w:val="22"/>
          <w:lang w:eastAsia="en-US"/>
        </w:rPr>
        <w:t xml:space="preserve">. Os estudos desenvolvidos na fase de projeto executivo indicam que as casas de força poderiam ter uma Potência Instalada de 5,2 MW e 3,2 MW, </w:t>
      </w:r>
      <w:r w:rsidR="0065280A">
        <w:rPr>
          <w:rFonts w:eastAsia="Calibri"/>
          <w:szCs w:val="22"/>
          <w:lang w:eastAsia="en-US"/>
        </w:rPr>
        <w:t xml:space="preserve">para as barragens Pedreira e Duas Pontes, </w:t>
      </w:r>
      <w:r w:rsidR="00B93772" w:rsidRPr="00B93772">
        <w:rPr>
          <w:rFonts w:eastAsia="Calibri"/>
          <w:szCs w:val="22"/>
          <w:lang w:eastAsia="en-US"/>
        </w:rPr>
        <w:t xml:space="preserve">respectivamente, com uma geração de 4,115 MW médio e 2,564 MW médio, em cada uma. </w:t>
      </w:r>
    </w:p>
    <w:p w:rsidR="00B93772" w:rsidRPr="00B93772" w:rsidRDefault="00B93772" w:rsidP="00B93772">
      <w:pPr>
        <w:spacing w:before="120" w:after="120" w:line="240" w:lineRule="auto"/>
        <w:rPr>
          <w:rFonts w:eastAsia="Calibri"/>
          <w:b/>
          <w:szCs w:val="22"/>
          <w:lang w:eastAsia="en-US"/>
        </w:rPr>
      </w:pPr>
      <w:r w:rsidRPr="00B93772">
        <w:rPr>
          <w:rFonts w:eastAsia="Calibri"/>
          <w:b/>
          <w:szCs w:val="22"/>
          <w:lang w:eastAsia="en-US"/>
        </w:rPr>
        <w:t>a) Fase Implantação</w:t>
      </w:r>
    </w:p>
    <w:p w:rsidR="00B93772" w:rsidRPr="00B93772" w:rsidRDefault="00B93772" w:rsidP="00B93772">
      <w:pPr>
        <w:spacing w:before="120" w:after="120" w:line="240" w:lineRule="auto"/>
        <w:rPr>
          <w:rFonts w:eastAsia="Calibri"/>
          <w:szCs w:val="22"/>
          <w:lang w:eastAsia="en-US"/>
        </w:rPr>
      </w:pPr>
      <w:r w:rsidRPr="00B93772">
        <w:rPr>
          <w:rFonts w:eastAsia="Calibri"/>
          <w:szCs w:val="22"/>
          <w:lang w:eastAsia="en-US"/>
        </w:rPr>
        <w:t xml:space="preserve">As características das PCHs são: </w:t>
      </w:r>
    </w:p>
    <w:p w:rsidR="00B93772" w:rsidRPr="00B93772" w:rsidRDefault="00B93772" w:rsidP="00B42047">
      <w:pPr>
        <w:pStyle w:val="Item-Trainho"/>
        <w:rPr>
          <w:rFonts w:eastAsia="Calibri"/>
          <w:lang w:eastAsia="en-US"/>
        </w:rPr>
      </w:pPr>
      <w:r w:rsidRPr="00B93772">
        <w:rPr>
          <w:rFonts w:eastAsia="Calibri"/>
          <w:b/>
          <w:lang w:eastAsia="en-US"/>
        </w:rPr>
        <w:t>PCH Macaco Branco:</w:t>
      </w:r>
      <w:r w:rsidRPr="00B93772">
        <w:rPr>
          <w:rFonts w:eastAsia="Calibri"/>
          <w:lang w:eastAsia="en-US"/>
        </w:rPr>
        <w:t xml:space="preserve"> Encontra-se localizada no Rio Jaguari nos limites entre o município de Pedreira e Campinas, cerca de 3,3 km rio acima do local do eixo da Barragem Pedreira. </w:t>
      </w:r>
    </w:p>
    <w:p w:rsidR="00B93772" w:rsidRPr="00B93772" w:rsidRDefault="00B93772" w:rsidP="00B93772">
      <w:pPr>
        <w:spacing w:before="120" w:after="240" w:line="240" w:lineRule="auto"/>
        <w:rPr>
          <w:rFonts w:eastAsia="Calibri"/>
          <w:szCs w:val="22"/>
          <w:lang w:eastAsia="en-US"/>
        </w:rPr>
      </w:pPr>
      <w:r w:rsidRPr="00B93772">
        <w:rPr>
          <w:rFonts w:eastAsia="Calibri"/>
          <w:szCs w:val="22"/>
          <w:lang w:eastAsia="en-US"/>
        </w:rPr>
        <w:t>A PCH pertence a Companhia Jaguari de Energia, subsidiária da CPFL, cuja concessão para operação da usina foi renovada pelo Ministério de Minas e Energia até 31/12/2042. A potência instalada é de 2,36 MW (2.363 KW) e a energia assegurada é de 1,66 MW médio.</w:t>
      </w:r>
    </w:p>
    <w:p w:rsidR="00B93772" w:rsidRPr="00B93772" w:rsidRDefault="00B93772" w:rsidP="00B42047">
      <w:pPr>
        <w:pStyle w:val="Item-Trainho"/>
        <w:rPr>
          <w:rFonts w:eastAsia="Calibri"/>
          <w:lang w:eastAsia="en-US"/>
        </w:rPr>
      </w:pPr>
      <w:r w:rsidRPr="00B93772">
        <w:rPr>
          <w:rFonts w:eastAsia="Calibri"/>
          <w:b/>
          <w:lang w:eastAsia="en-US"/>
        </w:rPr>
        <w:t>PCH Feixos:</w:t>
      </w:r>
      <w:r w:rsidRPr="00B93772">
        <w:rPr>
          <w:rFonts w:eastAsia="Calibri"/>
          <w:lang w:eastAsia="en-US"/>
        </w:rPr>
        <w:t xml:space="preserve"> Pertence à Companhia Energética Salto do Lobo Ltda., estando localizada no Rio Camanducaia, município de Amparo, na Área Diretamente Afetada – ADA do reservatório da Barragem Duas Pontes. </w:t>
      </w:r>
    </w:p>
    <w:p w:rsidR="00B93772" w:rsidRPr="00B93772" w:rsidRDefault="00B93772" w:rsidP="00B93772">
      <w:pPr>
        <w:spacing w:before="120" w:after="120" w:line="240" w:lineRule="auto"/>
        <w:rPr>
          <w:rFonts w:eastAsia="Calibri"/>
          <w:szCs w:val="22"/>
          <w:lang w:eastAsia="en-US"/>
        </w:rPr>
      </w:pPr>
      <w:r w:rsidRPr="00B93772">
        <w:rPr>
          <w:rFonts w:eastAsia="Calibri"/>
          <w:szCs w:val="22"/>
          <w:lang w:eastAsia="en-US"/>
        </w:rPr>
        <w:t>De acordo com a Portaria n</w:t>
      </w:r>
      <w:r w:rsidRPr="00B93772">
        <w:rPr>
          <w:rFonts w:eastAsia="Calibri"/>
          <w:szCs w:val="22"/>
          <w:u w:val="single"/>
          <w:vertAlign w:val="superscript"/>
          <w:lang w:eastAsia="en-US"/>
        </w:rPr>
        <w:t>o</w:t>
      </w:r>
      <w:r w:rsidRPr="00B93772">
        <w:rPr>
          <w:rFonts w:eastAsia="Calibri"/>
          <w:szCs w:val="22"/>
          <w:lang w:eastAsia="en-US"/>
        </w:rPr>
        <w:t xml:space="preserve"> 42, de 21/junho/2012, do Ministério de Minas e Energia a PCH Feixos possui uma potência instalada de 1,15 MW e energia assegurada de 0,80 MW médio. A ANEEL liberou a PCH Feixos para operar comercialmente em 12/01/2011.</w:t>
      </w:r>
    </w:p>
    <w:p w:rsidR="00B93772" w:rsidRPr="00B93772" w:rsidRDefault="00B93772" w:rsidP="00B93772">
      <w:pPr>
        <w:spacing w:before="120" w:after="240" w:line="240" w:lineRule="auto"/>
        <w:rPr>
          <w:rFonts w:eastAsia="Calibri" w:cs="Arial"/>
          <w:szCs w:val="22"/>
          <w:lang w:eastAsia="en-US"/>
        </w:rPr>
      </w:pPr>
      <w:r w:rsidRPr="00B93772">
        <w:rPr>
          <w:rFonts w:eastAsia="Calibri" w:cs="Arial"/>
          <w:szCs w:val="22"/>
          <w:lang w:eastAsia="en-US"/>
        </w:rPr>
        <w:t>Cabe citar que na Área de Influê</w:t>
      </w:r>
      <w:r w:rsidR="005E3672">
        <w:rPr>
          <w:rFonts w:eastAsia="Calibri" w:cs="Arial"/>
          <w:szCs w:val="22"/>
          <w:lang w:eastAsia="en-US"/>
        </w:rPr>
        <w:t>ncia Direta do reservatório da B</w:t>
      </w:r>
      <w:r w:rsidRPr="00B93772">
        <w:rPr>
          <w:rFonts w:eastAsia="Calibri" w:cs="Arial"/>
          <w:szCs w:val="22"/>
          <w:lang w:eastAsia="en-US"/>
        </w:rPr>
        <w:t xml:space="preserve">arragem Pedreira existe uma outra barragem, a PCH Jaguari, localizada a aproximadamente a 2,7 km do fim do reservatório, por tanto fora da área afetada. A PCH, tem uma capacidade instalada de 11,8 MW, estando sob concessão da Companhia Paulista de Força e Luz – CPFL. </w:t>
      </w:r>
    </w:p>
    <w:p w:rsidR="00B93772" w:rsidRPr="00B93772" w:rsidRDefault="00B93772" w:rsidP="00B93772">
      <w:pPr>
        <w:spacing w:before="120" w:after="120" w:line="240" w:lineRule="auto"/>
        <w:rPr>
          <w:rFonts w:eastAsia="Calibri" w:cs="Arial"/>
          <w:szCs w:val="22"/>
          <w:lang w:eastAsia="en-US"/>
        </w:rPr>
      </w:pPr>
      <w:r w:rsidRPr="00B93772">
        <w:rPr>
          <w:rFonts w:eastAsia="Calibri" w:cs="Arial"/>
          <w:szCs w:val="22"/>
          <w:lang w:eastAsia="en-US"/>
        </w:rPr>
        <w:t xml:space="preserve">Considerando que as PCHs Macaco Branco e Feixos encontram-se operando e a energia gerada é conectada ao Sistema Interligado Nacional contribuindo com o atendimento da demanda de energia, a interrupção da geração foi considerada um impacto negativo, de ordem direta e de abrangência local/Regional. A probabilidade de ocorrência é certa e de duração temporária, considerando que nas respectivas barragens deverá ser instalada outra PCH, que virá a substituir a energia gerada nas centrais afetadas. </w:t>
      </w:r>
    </w:p>
    <w:p w:rsidR="00B93772" w:rsidRPr="00B93772" w:rsidRDefault="00B93772" w:rsidP="00771A0C">
      <w:pPr>
        <w:spacing w:before="120" w:after="120" w:line="240" w:lineRule="auto"/>
        <w:rPr>
          <w:rFonts w:eastAsia="Calibri" w:cs="Arial"/>
          <w:szCs w:val="22"/>
          <w:lang w:eastAsia="en-US"/>
        </w:rPr>
      </w:pPr>
      <w:r w:rsidRPr="00B93772">
        <w:rPr>
          <w:rFonts w:eastAsia="Calibri"/>
          <w:szCs w:val="22"/>
          <w:lang w:eastAsia="en-US"/>
        </w:rPr>
        <w:t xml:space="preserve">O Impacto deve ocorrer durante a implantação da barragem, com a desativação das PCHs antes do enchimento do reservatório, sendo considerado de ocorrência no curto prazo e reversível, já que ao implantar novas casas de força nas barragens, volta-se a gerar energia hidrelétrica. Em função da capacidade de geração - 1,66 MW médio na PCH Macaco Branco e 0,8 MW médio na PCH Feixos, se considerou que o impacto tem magnitude pequena e importância média, sendo um impacto reversível e mitigável. </w:t>
      </w:r>
    </w:p>
    <w:p w:rsidR="00B93772" w:rsidRPr="00FC59A6" w:rsidRDefault="00402E81" w:rsidP="00FC59A6">
      <w:pPr>
        <w:pStyle w:val="Legenda"/>
        <w:spacing w:line="240" w:lineRule="auto"/>
        <w:jc w:val="center"/>
        <w:rPr>
          <w:rFonts w:eastAsia="Calibri" w:cs="Arial"/>
          <w:b w:val="0"/>
          <w:bCs/>
          <w:i w:val="0"/>
          <w:szCs w:val="22"/>
          <w:lang w:eastAsia="en-US"/>
        </w:rPr>
      </w:pPr>
      <w:bookmarkStart w:id="459" w:name="_Toc420316552"/>
      <w:r w:rsidRPr="00FC59A6">
        <w:rPr>
          <w:i w:val="0"/>
        </w:rPr>
        <w:t xml:space="preserve">Quadro </w:t>
      </w:r>
      <w:r w:rsidR="00B80A05" w:rsidRPr="00FC59A6">
        <w:rPr>
          <w:i w:val="0"/>
        </w:rPr>
        <w:fldChar w:fldCharType="begin"/>
      </w:r>
      <w:r w:rsidR="00E155C0" w:rsidRPr="00FC59A6">
        <w:rPr>
          <w:i w:val="0"/>
        </w:rPr>
        <w:instrText xml:space="preserve"> STYLEREF 2 \s </w:instrText>
      </w:r>
      <w:r w:rsidR="00B80A05" w:rsidRPr="00FC59A6">
        <w:rPr>
          <w:i w:val="0"/>
        </w:rPr>
        <w:fldChar w:fldCharType="separate"/>
      </w:r>
      <w:r w:rsidR="00316060">
        <w:rPr>
          <w:i w:val="0"/>
          <w:noProof/>
        </w:rPr>
        <w:t>1.3</w:t>
      </w:r>
      <w:r w:rsidR="00B80A05" w:rsidRPr="00FC59A6">
        <w:rPr>
          <w:i w:val="0"/>
          <w:noProof/>
        </w:rPr>
        <w:fldChar w:fldCharType="end"/>
      </w:r>
      <w:r w:rsidRPr="00FC59A6">
        <w:rPr>
          <w:i w:val="0"/>
        </w:rPr>
        <w:t>.</w:t>
      </w:r>
      <w:r w:rsidR="00B80A05" w:rsidRPr="00FC59A6">
        <w:rPr>
          <w:i w:val="0"/>
        </w:rPr>
        <w:fldChar w:fldCharType="begin"/>
      </w:r>
      <w:r w:rsidR="00E155C0" w:rsidRPr="00FC59A6">
        <w:rPr>
          <w:i w:val="0"/>
        </w:rPr>
        <w:instrText xml:space="preserve"> SEQ Quadro \* ARABIC \s 2 </w:instrText>
      </w:r>
      <w:r w:rsidR="00B80A05" w:rsidRPr="00FC59A6">
        <w:rPr>
          <w:i w:val="0"/>
        </w:rPr>
        <w:fldChar w:fldCharType="separate"/>
      </w:r>
      <w:r w:rsidR="00316060">
        <w:rPr>
          <w:i w:val="0"/>
          <w:noProof/>
        </w:rPr>
        <w:t>109</w:t>
      </w:r>
      <w:r w:rsidR="00B80A05" w:rsidRPr="00FC59A6">
        <w:rPr>
          <w:i w:val="0"/>
          <w:noProof/>
        </w:rPr>
        <w:fldChar w:fldCharType="end"/>
      </w:r>
      <w:r w:rsidR="00FC59A6" w:rsidRPr="00FC59A6">
        <w:rPr>
          <w:i w:val="0"/>
          <w:noProof/>
        </w:rPr>
        <w:t xml:space="preserve">. - </w:t>
      </w:r>
      <w:r w:rsidR="00B93772" w:rsidRPr="00FC59A6">
        <w:rPr>
          <w:rFonts w:eastAsia="Calibri" w:cs="Arial"/>
          <w:b w:val="0"/>
          <w:bCs/>
          <w:i w:val="0"/>
          <w:szCs w:val="22"/>
          <w:lang w:eastAsia="en-US"/>
        </w:rPr>
        <w:t xml:space="preserve">Caracterização do Impacto – </w:t>
      </w:r>
      <w:r w:rsidR="007762D3" w:rsidRPr="00FC59A6">
        <w:rPr>
          <w:rFonts w:eastAsia="Calibri" w:cs="Arial"/>
          <w:b w:val="0"/>
          <w:bCs/>
          <w:i w:val="0"/>
          <w:szCs w:val="22"/>
          <w:lang w:eastAsia="en-US"/>
        </w:rPr>
        <w:t xml:space="preserve">Interferência com a </w:t>
      </w:r>
      <w:r w:rsidR="00B93772" w:rsidRPr="00FC59A6">
        <w:rPr>
          <w:rFonts w:eastAsia="Calibri" w:cs="Arial"/>
          <w:b w:val="0"/>
          <w:bCs/>
          <w:i w:val="0"/>
          <w:szCs w:val="22"/>
          <w:lang w:eastAsia="en-US"/>
        </w:rPr>
        <w:t>Geração de Energia Hidrelétrica – Fase Implantação</w:t>
      </w:r>
      <w:r w:rsidR="00545B96" w:rsidRPr="00FC59A6">
        <w:rPr>
          <w:rFonts w:eastAsia="Calibri" w:cs="Arial"/>
          <w:b w:val="0"/>
          <w:bCs/>
          <w:i w:val="0"/>
          <w:szCs w:val="22"/>
          <w:lang w:eastAsia="en-US"/>
        </w:rPr>
        <w:t xml:space="preserve"> </w:t>
      </w:r>
      <w:r w:rsidR="001D1DA6" w:rsidRPr="00FC59A6">
        <w:rPr>
          <w:rFonts w:eastAsia="Calibri" w:cs="Arial"/>
          <w:b w:val="0"/>
          <w:bCs/>
          <w:i w:val="0"/>
          <w:szCs w:val="22"/>
          <w:lang w:eastAsia="en-US"/>
        </w:rPr>
        <w:t>–</w:t>
      </w:r>
      <w:r w:rsidR="00575207" w:rsidRPr="00FC59A6">
        <w:rPr>
          <w:rFonts w:eastAsia="Calibri" w:cs="Arial"/>
          <w:b w:val="0"/>
          <w:bCs/>
          <w:i w:val="0"/>
          <w:szCs w:val="22"/>
          <w:lang w:eastAsia="en-US"/>
        </w:rPr>
        <w:t xml:space="preserve"> </w:t>
      </w:r>
      <w:r w:rsidR="001D1DA6" w:rsidRPr="00FC59A6">
        <w:rPr>
          <w:rFonts w:eastAsia="Calibri" w:cs="Arial"/>
          <w:b w:val="0"/>
          <w:bCs/>
          <w:i w:val="0"/>
          <w:szCs w:val="22"/>
          <w:lang w:eastAsia="en-US"/>
        </w:rPr>
        <w:t>Barragens Pedreira e Duas Pontes</w:t>
      </w:r>
      <w:bookmarkEnd w:id="459"/>
    </w:p>
    <w:tbl>
      <w:tblPr>
        <w:tblW w:w="0" w:type="auto"/>
        <w:jc w:val="center"/>
        <w:tblInd w:w="-6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23"/>
        <w:gridCol w:w="1224"/>
        <w:gridCol w:w="1842"/>
        <w:gridCol w:w="1560"/>
        <w:gridCol w:w="3011"/>
      </w:tblGrid>
      <w:tr w:rsidR="00B93772" w:rsidRPr="00B93772" w:rsidTr="007A3816">
        <w:trPr>
          <w:trHeight w:val="514"/>
          <w:jc w:val="center"/>
        </w:trPr>
        <w:tc>
          <w:tcPr>
            <w:tcW w:w="1223"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Natureza</w:t>
            </w:r>
          </w:p>
        </w:tc>
        <w:tc>
          <w:tcPr>
            <w:tcW w:w="1224"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Ordem</w:t>
            </w:r>
          </w:p>
        </w:tc>
        <w:tc>
          <w:tcPr>
            <w:tcW w:w="1842"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Abrangência</w:t>
            </w:r>
          </w:p>
        </w:tc>
        <w:tc>
          <w:tcPr>
            <w:tcW w:w="1560"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Duração</w:t>
            </w:r>
          </w:p>
        </w:tc>
        <w:tc>
          <w:tcPr>
            <w:tcW w:w="3011"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Probabilidade de Ocorrência</w:t>
            </w:r>
          </w:p>
        </w:tc>
      </w:tr>
      <w:tr w:rsidR="00B93772" w:rsidRPr="00B93772" w:rsidTr="007A3816">
        <w:trPr>
          <w:trHeight w:val="573"/>
          <w:jc w:val="center"/>
        </w:trPr>
        <w:tc>
          <w:tcPr>
            <w:tcW w:w="1223"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Negativa</w:t>
            </w:r>
          </w:p>
        </w:tc>
        <w:tc>
          <w:tcPr>
            <w:tcW w:w="1224"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Direta</w:t>
            </w:r>
          </w:p>
        </w:tc>
        <w:tc>
          <w:tcPr>
            <w:tcW w:w="1842"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Local/Regional</w:t>
            </w:r>
          </w:p>
        </w:tc>
        <w:tc>
          <w:tcPr>
            <w:tcW w:w="1560" w:type="dxa"/>
            <w:shd w:val="clear" w:color="auto" w:fill="auto"/>
            <w:vAlign w:val="center"/>
          </w:tcPr>
          <w:p w:rsidR="00B93772" w:rsidRPr="00B93772" w:rsidRDefault="007A3816"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Permanente</w:t>
            </w:r>
          </w:p>
        </w:tc>
        <w:tc>
          <w:tcPr>
            <w:tcW w:w="3011"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Certa</w:t>
            </w:r>
          </w:p>
        </w:tc>
      </w:tr>
    </w:tbl>
    <w:p w:rsidR="00B93772" w:rsidRPr="00B93772" w:rsidRDefault="00B93772" w:rsidP="00B93772">
      <w:pPr>
        <w:autoSpaceDE w:val="0"/>
        <w:autoSpaceDN w:val="0"/>
        <w:adjustRightInd w:val="0"/>
        <w:spacing w:line="240" w:lineRule="auto"/>
        <w:jc w:val="center"/>
        <w:rPr>
          <w:rFonts w:eastAsia="Calibri" w:cs="Arial"/>
          <w:sz w:val="20"/>
          <w:szCs w:val="22"/>
          <w:lang w:eastAsia="en-US"/>
        </w:rPr>
      </w:pPr>
    </w:p>
    <w:tbl>
      <w:tblPr>
        <w:tblW w:w="0" w:type="auto"/>
        <w:jc w:val="center"/>
        <w:tblInd w:w="-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75"/>
        <w:gridCol w:w="1842"/>
        <w:gridCol w:w="1560"/>
        <w:gridCol w:w="1520"/>
        <w:gridCol w:w="1520"/>
      </w:tblGrid>
      <w:tr w:rsidR="00B93772" w:rsidRPr="00B93772" w:rsidTr="007A3816">
        <w:trPr>
          <w:trHeight w:val="397"/>
          <w:jc w:val="center"/>
        </w:trPr>
        <w:tc>
          <w:tcPr>
            <w:tcW w:w="2475"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Época de Ocorrência</w:t>
            </w:r>
          </w:p>
        </w:tc>
        <w:tc>
          <w:tcPr>
            <w:tcW w:w="1842"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Reversibilidade</w:t>
            </w:r>
          </w:p>
        </w:tc>
        <w:tc>
          <w:tcPr>
            <w:tcW w:w="1560"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Magnitude</w:t>
            </w:r>
          </w:p>
        </w:tc>
        <w:tc>
          <w:tcPr>
            <w:tcW w:w="1520"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Importância</w:t>
            </w:r>
          </w:p>
        </w:tc>
        <w:tc>
          <w:tcPr>
            <w:tcW w:w="1520"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Mitigação</w:t>
            </w:r>
          </w:p>
        </w:tc>
      </w:tr>
      <w:tr w:rsidR="00B93772" w:rsidRPr="00B93772" w:rsidTr="007A3816">
        <w:trPr>
          <w:trHeight w:val="344"/>
          <w:jc w:val="center"/>
        </w:trPr>
        <w:tc>
          <w:tcPr>
            <w:tcW w:w="2475"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Curto Prazo</w:t>
            </w:r>
          </w:p>
        </w:tc>
        <w:tc>
          <w:tcPr>
            <w:tcW w:w="1842"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Reversível</w:t>
            </w:r>
          </w:p>
        </w:tc>
        <w:tc>
          <w:tcPr>
            <w:tcW w:w="1560"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Pequena</w:t>
            </w:r>
          </w:p>
        </w:tc>
        <w:tc>
          <w:tcPr>
            <w:tcW w:w="1520"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Média</w:t>
            </w:r>
          </w:p>
        </w:tc>
        <w:tc>
          <w:tcPr>
            <w:tcW w:w="1520"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Mitigável</w:t>
            </w:r>
          </w:p>
        </w:tc>
      </w:tr>
    </w:tbl>
    <w:p w:rsidR="00B93772" w:rsidRPr="00B93772" w:rsidRDefault="00B93772" w:rsidP="007A70CA">
      <w:pPr>
        <w:spacing w:before="240" w:after="120" w:line="240" w:lineRule="auto"/>
        <w:rPr>
          <w:rFonts w:eastAsia="Calibri"/>
          <w:b/>
          <w:szCs w:val="22"/>
          <w:lang w:eastAsia="en-US"/>
        </w:rPr>
      </w:pPr>
      <w:r w:rsidRPr="00B93772">
        <w:rPr>
          <w:rFonts w:eastAsia="Calibri"/>
          <w:b/>
          <w:szCs w:val="22"/>
          <w:lang w:eastAsia="en-US"/>
        </w:rPr>
        <w:t>b) Fase Operação</w:t>
      </w:r>
    </w:p>
    <w:p w:rsidR="00B93772" w:rsidRPr="00B93772" w:rsidRDefault="00B93772" w:rsidP="00B93772">
      <w:pPr>
        <w:spacing w:before="120" w:after="120" w:line="240" w:lineRule="auto"/>
        <w:rPr>
          <w:rFonts w:eastAsia="Calibri"/>
          <w:szCs w:val="22"/>
          <w:lang w:eastAsia="en-US"/>
        </w:rPr>
      </w:pPr>
      <w:r w:rsidRPr="00B93772">
        <w:rPr>
          <w:rFonts w:eastAsia="Calibri"/>
          <w:szCs w:val="22"/>
          <w:lang w:eastAsia="en-US"/>
        </w:rPr>
        <w:t>Em cada barragem a ser implantada, o projeto de engenharia prevê</w:t>
      </w:r>
      <w:r w:rsidR="00094A10">
        <w:rPr>
          <w:rFonts w:eastAsia="Calibri"/>
          <w:szCs w:val="22"/>
          <w:lang w:eastAsia="en-US"/>
        </w:rPr>
        <w:t xml:space="preserve"> a possibilidade de implantação </w:t>
      </w:r>
      <w:r w:rsidR="005A0F29">
        <w:rPr>
          <w:rFonts w:eastAsia="Calibri"/>
          <w:szCs w:val="22"/>
          <w:lang w:eastAsia="en-US"/>
        </w:rPr>
        <w:t>das</w:t>
      </w:r>
      <w:r w:rsidR="00094A10">
        <w:rPr>
          <w:rFonts w:eastAsia="Calibri"/>
          <w:szCs w:val="22"/>
          <w:lang w:eastAsia="en-US"/>
        </w:rPr>
        <w:t xml:space="preserve"> </w:t>
      </w:r>
      <w:r w:rsidR="005A0F29">
        <w:rPr>
          <w:rFonts w:eastAsia="Calibri"/>
          <w:szCs w:val="22"/>
          <w:lang w:eastAsia="en-US"/>
        </w:rPr>
        <w:t xml:space="preserve">estruturas necessárias para instalar </w:t>
      </w:r>
      <w:r w:rsidRPr="00B93772">
        <w:rPr>
          <w:rFonts w:eastAsia="Calibri"/>
          <w:szCs w:val="22"/>
          <w:lang w:eastAsia="en-US"/>
        </w:rPr>
        <w:t xml:space="preserve">uma casa de </w:t>
      </w:r>
      <w:r w:rsidR="00094A10">
        <w:rPr>
          <w:rFonts w:eastAsia="Calibri"/>
          <w:szCs w:val="22"/>
          <w:lang w:eastAsia="en-US"/>
        </w:rPr>
        <w:t>força, com a finalidade de</w:t>
      </w:r>
      <w:r w:rsidRPr="00B93772">
        <w:rPr>
          <w:rFonts w:eastAsia="Calibri"/>
          <w:szCs w:val="22"/>
          <w:lang w:eastAsia="en-US"/>
        </w:rPr>
        <w:t xml:space="preserve"> gerar energia hidrelétrica. </w:t>
      </w:r>
    </w:p>
    <w:p w:rsidR="00B93772" w:rsidRPr="00B93772" w:rsidRDefault="00B93772" w:rsidP="00B93772">
      <w:pPr>
        <w:spacing w:before="120" w:after="120" w:line="240" w:lineRule="auto"/>
        <w:rPr>
          <w:rFonts w:eastAsia="Calibri"/>
          <w:szCs w:val="22"/>
          <w:lang w:eastAsia="en-US"/>
        </w:rPr>
      </w:pPr>
      <w:r w:rsidRPr="00B93772">
        <w:rPr>
          <w:rFonts w:eastAsia="Calibri"/>
          <w:szCs w:val="22"/>
          <w:lang w:eastAsia="en-US"/>
        </w:rPr>
        <w:t xml:space="preserve">As instalações necessárias à Casa de Força e estruturas complementares à geração de energia hidrelétricas deverão ser construídas após à implantação das barragens, já que dependem da outorga da Agência Nacional de Energia Elétrica – ANEEL, processo que deverá ser desenvolvido posteriormente. </w:t>
      </w:r>
    </w:p>
    <w:p w:rsidR="00B93772" w:rsidRPr="00B93772" w:rsidRDefault="00B93772" w:rsidP="00B93772">
      <w:pPr>
        <w:spacing w:before="120" w:after="120" w:line="240" w:lineRule="auto"/>
        <w:rPr>
          <w:rFonts w:eastAsia="Calibri"/>
          <w:szCs w:val="22"/>
          <w:lang w:eastAsia="en-US"/>
        </w:rPr>
      </w:pPr>
      <w:r w:rsidRPr="00B93772">
        <w:rPr>
          <w:rFonts w:eastAsia="Calibri"/>
          <w:szCs w:val="22"/>
          <w:lang w:eastAsia="en-US"/>
        </w:rPr>
        <w:t xml:space="preserve">Os estudos realizados indicam que as alternativas de geração apresentam </w:t>
      </w:r>
      <w:r w:rsidR="005E3672">
        <w:rPr>
          <w:rFonts w:eastAsia="Calibri"/>
          <w:szCs w:val="22"/>
          <w:lang w:eastAsia="en-US"/>
        </w:rPr>
        <w:t>para a B</w:t>
      </w:r>
      <w:r w:rsidRPr="00B93772">
        <w:rPr>
          <w:rFonts w:eastAsia="Calibri"/>
          <w:szCs w:val="22"/>
          <w:lang w:eastAsia="en-US"/>
        </w:rPr>
        <w:t xml:space="preserve">arragem Pedreira um potencial de 5,2 MW de Potência Instalada, correspondendo a 4,115 MW médio de </w:t>
      </w:r>
      <w:r w:rsidR="00545B96">
        <w:rPr>
          <w:rFonts w:eastAsia="Calibri"/>
          <w:szCs w:val="22"/>
          <w:lang w:eastAsia="en-US"/>
        </w:rPr>
        <w:t>g</w:t>
      </w:r>
      <w:r w:rsidRPr="00B93772">
        <w:rPr>
          <w:rFonts w:eastAsia="Calibri"/>
          <w:szCs w:val="22"/>
          <w:lang w:eastAsia="en-US"/>
        </w:rPr>
        <w:t>eração, e para Duas Pontes 3,2 MW de Potência Instalada, e 2,564 MW médio de geração.</w:t>
      </w:r>
    </w:p>
    <w:p w:rsidR="00B93772" w:rsidRPr="003D68CB" w:rsidRDefault="00B93772" w:rsidP="00B93772">
      <w:pPr>
        <w:spacing w:before="120" w:after="120" w:line="240" w:lineRule="auto"/>
        <w:rPr>
          <w:rFonts w:eastAsia="Calibri" w:cs="Arial"/>
          <w:szCs w:val="22"/>
          <w:lang w:eastAsia="en-US"/>
        </w:rPr>
      </w:pPr>
      <w:r w:rsidRPr="00B93772">
        <w:rPr>
          <w:rFonts w:eastAsia="Calibri" w:cs="Arial"/>
          <w:szCs w:val="22"/>
          <w:lang w:eastAsia="en-US"/>
        </w:rPr>
        <w:t xml:space="preserve">As casas de força implantadas junto às barragens Pedreira e Duas Pontes aproveitarão a queda de água criada com a formação dos reservatórios, para gerar energia hidrelétrica. Esta </w:t>
      </w:r>
      <w:r w:rsidRPr="003D68CB">
        <w:rPr>
          <w:rFonts w:eastAsia="Calibri" w:cs="Arial"/>
          <w:szCs w:val="22"/>
          <w:lang w:eastAsia="en-US"/>
        </w:rPr>
        <w:t xml:space="preserve">utilização vêm a atender tanto à premissa do uso múltiplo do reservatório (finalidade primeira de regularização das vazões para abastecimento da população) como também pode ser considerada como uma medida compensatória à perda das PCHs existentes - Macaco Branco e Feixos. </w:t>
      </w:r>
    </w:p>
    <w:p w:rsidR="00B93772" w:rsidRPr="00B93772" w:rsidRDefault="00B93772" w:rsidP="00B93772">
      <w:pPr>
        <w:spacing w:before="120" w:after="120" w:line="240" w:lineRule="auto"/>
        <w:rPr>
          <w:rFonts w:eastAsia="Calibri" w:cs="Arial"/>
          <w:szCs w:val="22"/>
          <w:lang w:eastAsia="en-US"/>
        </w:rPr>
      </w:pPr>
      <w:r w:rsidRPr="003D68CB">
        <w:rPr>
          <w:rFonts w:eastAsia="Calibri" w:cs="Arial"/>
          <w:szCs w:val="22"/>
          <w:lang w:eastAsia="en-US"/>
        </w:rPr>
        <w:t>Pelas considerações acima e devido a que o potencial de geração de energia a ser implantado será superior ao das PCHs Macaco Branco e Duas Pontes, foi atribuído à implantação das novas casas de força um valor positivo, de ordem direta e de abrangência Local/Regional. A probabilidade de ocorrência é certa e de duração permanente.</w:t>
      </w:r>
    </w:p>
    <w:p w:rsidR="00B93772" w:rsidRDefault="00B93772" w:rsidP="00B93772">
      <w:pPr>
        <w:spacing w:before="120" w:after="120" w:line="240" w:lineRule="auto"/>
        <w:rPr>
          <w:rFonts w:eastAsia="Calibri"/>
          <w:szCs w:val="22"/>
          <w:lang w:eastAsia="en-US"/>
        </w:rPr>
      </w:pPr>
      <w:r w:rsidRPr="00B93772">
        <w:rPr>
          <w:rFonts w:eastAsia="Calibri"/>
          <w:szCs w:val="22"/>
          <w:lang w:eastAsia="en-US"/>
        </w:rPr>
        <w:t xml:space="preserve">A implantação das PCHs deve ocorrer após a implantação das barragens, sendo considerado de ocorrência no médio prazo e irreversível, já que estas PCHs devem gerar energia durante décadas. Em função da capacidade de geração – 4,11 MW médio na </w:t>
      </w:r>
      <w:r w:rsidR="005E3672">
        <w:rPr>
          <w:rFonts w:eastAsia="Calibri"/>
          <w:szCs w:val="22"/>
          <w:lang w:eastAsia="en-US"/>
        </w:rPr>
        <w:t>Barragem</w:t>
      </w:r>
      <w:r w:rsidRPr="00B93772">
        <w:rPr>
          <w:rFonts w:eastAsia="Calibri"/>
          <w:szCs w:val="22"/>
          <w:lang w:eastAsia="en-US"/>
        </w:rPr>
        <w:t xml:space="preserve"> Pedreira e 2,56 MW médio na </w:t>
      </w:r>
      <w:r w:rsidR="005E3672">
        <w:rPr>
          <w:rFonts w:eastAsia="Calibri"/>
          <w:szCs w:val="22"/>
          <w:lang w:eastAsia="en-US"/>
        </w:rPr>
        <w:t>Barragem</w:t>
      </w:r>
      <w:r w:rsidRPr="00B93772">
        <w:rPr>
          <w:rFonts w:eastAsia="Calibri"/>
          <w:szCs w:val="22"/>
          <w:lang w:eastAsia="en-US"/>
        </w:rPr>
        <w:t xml:space="preserve"> Duas Pontes, se considerou que o impacto tem magnitude pequena e importância média, sendo considerado um impacto compensatório.</w:t>
      </w:r>
    </w:p>
    <w:p w:rsidR="00B93772" w:rsidRPr="00FC59A6" w:rsidRDefault="00402E81" w:rsidP="00FC59A6">
      <w:pPr>
        <w:pStyle w:val="Legenda"/>
        <w:spacing w:line="240" w:lineRule="auto"/>
        <w:jc w:val="center"/>
        <w:rPr>
          <w:rFonts w:eastAsia="Calibri" w:cs="Arial"/>
          <w:b w:val="0"/>
          <w:bCs/>
          <w:i w:val="0"/>
          <w:szCs w:val="22"/>
          <w:lang w:eastAsia="en-US"/>
        </w:rPr>
      </w:pPr>
      <w:bookmarkStart w:id="460" w:name="_Toc420316553"/>
      <w:r w:rsidRPr="00FC59A6">
        <w:rPr>
          <w:i w:val="0"/>
        </w:rPr>
        <w:t xml:space="preserve">Quadro </w:t>
      </w:r>
      <w:r w:rsidR="00B80A05" w:rsidRPr="00FC59A6">
        <w:rPr>
          <w:i w:val="0"/>
        </w:rPr>
        <w:fldChar w:fldCharType="begin"/>
      </w:r>
      <w:r w:rsidR="00E155C0" w:rsidRPr="00FC59A6">
        <w:rPr>
          <w:i w:val="0"/>
        </w:rPr>
        <w:instrText xml:space="preserve"> STYLEREF 2 \s </w:instrText>
      </w:r>
      <w:r w:rsidR="00B80A05" w:rsidRPr="00FC59A6">
        <w:rPr>
          <w:i w:val="0"/>
        </w:rPr>
        <w:fldChar w:fldCharType="separate"/>
      </w:r>
      <w:r w:rsidR="00316060">
        <w:rPr>
          <w:i w:val="0"/>
          <w:noProof/>
        </w:rPr>
        <w:t>1.3</w:t>
      </w:r>
      <w:r w:rsidR="00B80A05" w:rsidRPr="00FC59A6">
        <w:rPr>
          <w:i w:val="0"/>
          <w:noProof/>
        </w:rPr>
        <w:fldChar w:fldCharType="end"/>
      </w:r>
      <w:r w:rsidRPr="00FC59A6">
        <w:rPr>
          <w:i w:val="0"/>
        </w:rPr>
        <w:t>.</w:t>
      </w:r>
      <w:r w:rsidR="00B80A05" w:rsidRPr="00FC59A6">
        <w:rPr>
          <w:i w:val="0"/>
        </w:rPr>
        <w:fldChar w:fldCharType="begin"/>
      </w:r>
      <w:r w:rsidR="00E155C0" w:rsidRPr="00FC59A6">
        <w:rPr>
          <w:i w:val="0"/>
        </w:rPr>
        <w:instrText xml:space="preserve"> SEQ Quadro \* ARABIC \s 2 </w:instrText>
      </w:r>
      <w:r w:rsidR="00B80A05" w:rsidRPr="00FC59A6">
        <w:rPr>
          <w:i w:val="0"/>
        </w:rPr>
        <w:fldChar w:fldCharType="separate"/>
      </w:r>
      <w:r w:rsidR="00316060">
        <w:rPr>
          <w:i w:val="0"/>
          <w:noProof/>
        </w:rPr>
        <w:t>110</w:t>
      </w:r>
      <w:r w:rsidR="00B80A05" w:rsidRPr="00FC59A6">
        <w:rPr>
          <w:i w:val="0"/>
          <w:noProof/>
        </w:rPr>
        <w:fldChar w:fldCharType="end"/>
      </w:r>
      <w:r w:rsidR="00FC59A6" w:rsidRPr="00FC59A6">
        <w:rPr>
          <w:i w:val="0"/>
          <w:noProof/>
        </w:rPr>
        <w:t>.</w:t>
      </w:r>
      <w:r w:rsidR="00FC59A6" w:rsidRPr="00FC59A6">
        <w:rPr>
          <w:b w:val="0"/>
          <w:i w:val="0"/>
          <w:noProof/>
        </w:rPr>
        <w:t xml:space="preserve"> - </w:t>
      </w:r>
      <w:r w:rsidR="00B93772" w:rsidRPr="00FC59A6">
        <w:rPr>
          <w:rFonts w:eastAsia="Calibri" w:cs="Arial"/>
          <w:b w:val="0"/>
          <w:bCs/>
          <w:i w:val="0"/>
          <w:szCs w:val="22"/>
          <w:lang w:eastAsia="en-US"/>
        </w:rPr>
        <w:t xml:space="preserve">Caracterização do Impacto – </w:t>
      </w:r>
      <w:r w:rsidR="004D3D0C" w:rsidRPr="00FC59A6">
        <w:rPr>
          <w:rFonts w:eastAsia="Calibri" w:cs="Arial"/>
          <w:b w:val="0"/>
          <w:bCs/>
          <w:i w:val="0"/>
          <w:szCs w:val="22"/>
          <w:lang w:eastAsia="en-US"/>
        </w:rPr>
        <w:t>Interfer</w:t>
      </w:r>
      <w:r w:rsidR="004D3D0C">
        <w:rPr>
          <w:rFonts w:eastAsia="Calibri" w:cs="Arial"/>
          <w:b w:val="0"/>
          <w:bCs/>
          <w:i w:val="0"/>
          <w:szCs w:val="22"/>
          <w:lang w:eastAsia="en-US"/>
        </w:rPr>
        <w:t>ê</w:t>
      </w:r>
      <w:r w:rsidR="004D3D0C" w:rsidRPr="00FC59A6">
        <w:rPr>
          <w:rFonts w:eastAsia="Calibri" w:cs="Arial"/>
          <w:b w:val="0"/>
          <w:bCs/>
          <w:i w:val="0"/>
          <w:szCs w:val="22"/>
          <w:lang w:eastAsia="en-US"/>
        </w:rPr>
        <w:t>ncia</w:t>
      </w:r>
      <w:r w:rsidR="007762D3" w:rsidRPr="00FC59A6">
        <w:rPr>
          <w:rFonts w:eastAsia="Calibri" w:cs="Arial"/>
          <w:b w:val="0"/>
          <w:bCs/>
          <w:i w:val="0"/>
          <w:szCs w:val="22"/>
          <w:lang w:eastAsia="en-US"/>
        </w:rPr>
        <w:t xml:space="preserve"> com a </w:t>
      </w:r>
      <w:r w:rsidR="009F3AD4" w:rsidRPr="00FC59A6">
        <w:rPr>
          <w:rFonts w:eastAsia="Calibri" w:cs="Arial"/>
          <w:b w:val="0"/>
          <w:bCs/>
          <w:i w:val="0"/>
          <w:szCs w:val="22"/>
          <w:lang w:eastAsia="en-US"/>
        </w:rPr>
        <w:t xml:space="preserve">Geração de Energia Hidrelétrica – Fase </w:t>
      </w:r>
      <w:r w:rsidR="00B731C6" w:rsidRPr="00FC59A6">
        <w:rPr>
          <w:rFonts w:eastAsia="Calibri" w:cs="Arial"/>
          <w:b w:val="0"/>
          <w:bCs/>
          <w:i w:val="0"/>
          <w:szCs w:val="22"/>
          <w:lang w:eastAsia="en-US"/>
        </w:rPr>
        <w:t>Operação - Barragens Pedreira e Duas Pontes</w:t>
      </w:r>
      <w:bookmarkEnd w:id="460"/>
    </w:p>
    <w:tbl>
      <w:tblPr>
        <w:tblW w:w="0" w:type="auto"/>
        <w:jc w:val="center"/>
        <w:tblInd w:w="-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9"/>
        <w:gridCol w:w="1259"/>
        <w:gridCol w:w="1683"/>
        <w:gridCol w:w="1683"/>
        <w:gridCol w:w="3118"/>
      </w:tblGrid>
      <w:tr w:rsidR="00B93772" w:rsidRPr="00B93772" w:rsidTr="00CC03FB">
        <w:trPr>
          <w:trHeight w:val="518"/>
          <w:jc w:val="center"/>
        </w:trPr>
        <w:tc>
          <w:tcPr>
            <w:tcW w:w="1259"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Natureza</w:t>
            </w:r>
          </w:p>
        </w:tc>
        <w:tc>
          <w:tcPr>
            <w:tcW w:w="1259"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Ordem</w:t>
            </w:r>
          </w:p>
        </w:tc>
        <w:tc>
          <w:tcPr>
            <w:tcW w:w="1683"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Abrangência</w:t>
            </w:r>
          </w:p>
        </w:tc>
        <w:tc>
          <w:tcPr>
            <w:tcW w:w="1683"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Duração</w:t>
            </w:r>
          </w:p>
        </w:tc>
        <w:tc>
          <w:tcPr>
            <w:tcW w:w="3118"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Probabilidade de Ocorrência</w:t>
            </w:r>
          </w:p>
        </w:tc>
      </w:tr>
      <w:tr w:rsidR="00B93772" w:rsidRPr="00B93772" w:rsidTr="00CC03FB">
        <w:trPr>
          <w:trHeight w:val="324"/>
          <w:jc w:val="center"/>
        </w:trPr>
        <w:tc>
          <w:tcPr>
            <w:tcW w:w="1259"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 xml:space="preserve">Positiva </w:t>
            </w:r>
          </w:p>
        </w:tc>
        <w:tc>
          <w:tcPr>
            <w:tcW w:w="1259"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Direta</w:t>
            </w:r>
          </w:p>
        </w:tc>
        <w:tc>
          <w:tcPr>
            <w:tcW w:w="1683"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Local/Regional</w:t>
            </w:r>
          </w:p>
        </w:tc>
        <w:tc>
          <w:tcPr>
            <w:tcW w:w="1683"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Permanente</w:t>
            </w:r>
          </w:p>
        </w:tc>
        <w:tc>
          <w:tcPr>
            <w:tcW w:w="3118"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3D68CB">
              <w:rPr>
                <w:rFonts w:eastAsia="Calibri" w:cs="Arial"/>
                <w:sz w:val="20"/>
                <w:szCs w:val="22"/>
                <w:lang w:eastAsia="en-US"/>
              </w:rPr>
              <w:t>Certa</w:t>
            </w:r>
          </w:p>
        </w:tc>
      </w:tr>
    </w:tbl>
    <w:p w:rsidR="00B93772" w:rsidRPr="00B93772" w:rsidRDefault="00B93772" w:rsidP="00B93772">
      <w:pPr>
        <w:autoSpaceDE w:val="0"/>
        <w:autoSpaceDN w:val="0"/>
        <w:adjustRightInd w:val="0"/>
        <w:spacing w:line="240" w:lineRule="auto"/>
        <w:jc w:val="center"/>
        <w:rPr>
          <w:rFonts w:eastAsia="Calibri" w:cs="Arial"/>
          <w:sz w:val="20"/>
          <w:szCs w:val="22"/>
          <w:lang w:eastAsia="en-US"/>
        </w:rPr>
      </w:pPr>
    </w:p>
    <w:tbl>
      <w:tblPr>
        <w:tblW w:w="0" w:type="auto"/>
        <w:jc w:val="center"/>
        <w:tblInd w:w="-2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7"/>
        <w:gridCol w:w="1701"/>
        <w:gridCol w:w="1644"/>
        <w:gridCol w:w="1502"/>
        <w:gridCol w:w="1616"/>
      </w:tblGrid>
      <w:tr w:rsidR="00B93772" w:rsidRPr="00B93772" w:rsidTr="00CC03FB">
        <w:trPr>
          <w:trHeight w:val="397"/>
          <w:jc w:val="center"/>
        </w:trPr>
        <w:tc>
          <w:tcPr>
            <w:tcW w:w="2497"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Época de Ocorrência</w:t>
            </w:r>
          </w:p>
        </w:tc>
        <w:tc>
          <w:tcPr>
            <w:tcW w:w="1701"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Reversibilidade</w:t>
            </w:r>
          </w:p>
        </w:tc>
        <w:tc>
          <w:tcPr>
            <w:tcW w:w="1644"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Magnitude</w:t>
            </w:r>
          </w:p>
        </w:tc>
        <w:tc>
          <w:tcPr>
            <w:tcW w:w="1502"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Importância</w:t>
            </w:r>
          </w:p>
        </w:tc>
        <w:tc>
          <w:tcPr>
            <w:tcW w:w="1616" w:type="dxa"/>
            <w:shd w:val="clear" w:color="auto" w:fill="D9D9D9"/>
            <w:vAlign w:val="center"/>
          </w:tcPr>
          <w:p w:rsidR="00B93772" w:rsidRPr="00B93772" w:rsidRDefault="00B93772" w:rsidP="00B93772">
            <w:pPr>
              <w:autoSpaceDE w:val="0"/>
              <w:autoSpaceDN w:val="0"/>
              <w:adjustRightInd w:val="0"/>
              <w:spacing w:before="120" w:after="120" w:line="240" w:lineRule="auto"/>
              <w:jc w:val="center"/>
              <w:rPr>
                <w:rFonts w:eastAsia="Calibri" w:cs="Arial"/>
                <w:b/>
                <w:sz w:val="20"/>
                <w:szCs w:val="22"/>
                <w:lang w:eastAsia="en-US"/>
              </w:rPr>
            </w:pPr>
            <w:r w:rsidRPr="00B93772">
              <w:rPr>
                <w:rFonts w:eastAsia="Calibri" w:cs="Arial"/>
                <w:b/>
                <w:sz w:val="20"/>
                <w:szCs w:val="22"/>
                <w:lang w:eastAsia="en-US"/>
              </w:rPr>
              <w:t>Mitigação</w:t>
            </w:r>
          </w:p>
        </w:tc>
      </w:tr>
      <w:tr w:rsidR="00B93772" w:rsidRPr="00B93772" w:rsidTr="00CC03FB">
        <w:trPr>
          <w:trHeight w:val="344"/>
          <w:jc w:val="center"/>
        </w:trPr>
        <w:tc>
          <w:tcPr>
            <w:tcW w:w="2497"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Médio Prazo</w:t>
            </w:r>
          </w:p>
        </w:tc>
        <w:tc>
          <w:tcPr>
            <w:tcW w:w="1701"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Irreversível</w:t>
            </w:r>
          </w:p>
        </w:tc>
        <w:tc>
          <w:tcPr>
            <w:tcW w:w="1644"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Pequena</w:t>
            </w:r>
          </w:p>
        </w:tc>
        <w:tc>
          <w:tcPr>
            <w:tcW w:w="1502" w:type="dxa"/>
            <w:shd w:val="clear" w:color="auto" w:fill="auto"/>
            <w:vAlign w:val="center"/>
          </w:tcPr>
          <w:p w:rsidR="00B93772" w:rsidRPr="00B93772" w:rsidRDefault="00B93772" w:rsidP="00B93772">
            <w:pPr>
              <w:autoSpaceDE w:val="0"/>
              <w:autoSpaceDN w:val="0"/>
              <w:adjustRightInd w:val="0"/>
              <w:spacing w:before="120" w:after="120" w:line="240" w:lineRule="auto"/>
              <w:jc w:val="center"/>
              <w:rPr>
                <w:rFonts w:eastAsia="Calibri" w:cs="Arial"/>
                <w:sz w:val="20"/>
                <w:szCs w:val="22"/>
                <w:lang w:eastAsia="en-US"/>
              </w:rPr>
            </w:pPr>
            <w:r w:rsidRPr="00B93772">
              <w:rPr>
                <w:rFonts w:eastAsia="Calibri" w:cs="Arial"/>
                <w:sz w:val="20"/>
                <w:szCs w:val="22"/>
                <w:lang w:eastAsia="en-US"/>
              </w:rPr>
              <w:t>Média</w:t>
            </w:r>
          </w:p>
        </w:tc>
        <w:tc>
          <w:tcPr>
            <w:tcW w:w="1616" w:type="dxa"/>
            <w:shd w:val="clear" w:color="auto" w:fill="auto"/>
            <w:vAlign w:val="center"/>
          </w:tcPr>
          <w:p w:rsidR="00B93772" w:rsidRPr="00B93772" w:rsidRDefault="00575207" w:rsidP="00B93772">
            <w:pPr>
              <w:autoSpaceDE w:val="0"/>
              <w:autoSpaceDN w:val="0"/>
              <w:adjustRightInd w:val="0"/>
              <w:spacing w:before="120" w:after="120" w:line="240" w:lineRule="auto"/>
              <w:jc w:val="center"/>
              <w:rPr>
                <w:rFonts w:eastAsia="Calibri" w:cs="Arial"/>
                <w:sz w:val="20"/>
                <w:szCs w:val="22"/>
                <w:lang w:eastAsia="en-US"/>
              </w:rPr>
            </w:pPr>
            <w:r>
              <w:rPr>
                <w:rFonts w:eastAsia="Calibri" w:cs="Arial"/>
                <w:sz w:val="20"/>
                <w:szCs w:val="22"/>
                <w:lang w:eastAsia="en-US"/>
              </w:rPr>
              <w:t>---</w:t>
            </w:r>
          </w:p>
        </w:tc>
      </w:tr>
    </w:tbl>
    <w:p w:rsidR="00B93772" w:rsidRPr="00B93772" w:rsidRDefault="00B93772" w:rsidP="00B93772">
      <w:pPr>
        <w:spacing w:line="240" w:lineRule="auto"/>
        <w:rPr>
          <w:rFonts w:eastAsia="Calibri"/>
          <w:sz w:val="20"/>
          <w:lang w:eastAsia="en-US"/>
        </w:rPr>
      </w:pPr>
    </w:p>
    <w:p w:rsidR="00B93772" w:rsidRPr="00B93772" w:rsidRDefault="00B93772" w:rsidP="00B93772">
      <w:pPr>
        <w:autoSpaceDE w:val="0"/>
        <w:autoSpaceDN w:val="0"/>
        <w:adjustRightInd w:val="0"/>
        <w:spacing w:before="120" w:after="120" w:line="240" w:lineRule="auto"/>
        <w:rPr>
          <w:rFonts w:eastAsia="Calibri" w:cs="Arial"/>
          <w:b/>
          <w:szCs w:val="22"/>
          <w:lang w:eastAsia="en-US"/>
        </w:rPr>
      </w:pPr>
      <w:r w:rsidRPr="00B93772">
        <w:rPr>
          <w:rFonts w:eastAsia="Calibri" w:cs="Arial"/>
          <w:b/>
          <w:szCs w:val="22"/>
          <w:lang w:eastAsia="en-US"/>
        </w:rPr>
        <w:t>Ações Ambientais Propostas</w:t>
      </w:r>
    </w:p>
    <w:p w:rsidR="00B93772" w:rsidRPr="00B93772" w:rsidRDefault="00B93772" w:rsidP="00B93772">
      <w:pPr>
        <w:autoSpaceDE w:val="0"/>
        <w:autoSpaceDN w:val="0"/>
        <w:adjustRightInd w:val="0"/>
        <w:spacing w:before="120" w:after="120" w:line="240" w:lineRule="auto"/>
        <w:rPr>
          <w:rFonts w:eastAsia="Calibri" w:cs="Arial"/>
          <w:szCs w:val="22"/>
          <w:lang w:eastAsia="en-US"/>
        </w:rPr>
      </w:pPr>
      <w:r w:rsidRPr="00B93772">
        <w:rPr>
          <w:rFonts w:eastAsia="Calibri" w:cs="Arial"/>
          <w:szCs w:val="22"/>
          <w:lang w:eastAsia="en-US"/>
        </w:rPr>
        <w:t xml:space="preserve">As questões relativas a este impacto devem ser divulgadas através do Programa de </w:t>
      </w:r>
      <w:r w:rsidR="00D225D5">
        <w:rPr>
          <w:rFonts w:eastAsia="Calibri" w:cs="Arial"/>
          <w:szCs w:val="22"/>
          <w:lang w:eastAsia="en-US"/>
        </w:rPr>
        <w:t>Comunicação e Interação Social</w:t>
      </w:r>
      <w:r w:rsidRPr="00B93772">
        <w:rPr>
          <w:rFonts w:eastAsia="Calibri" w:cs="Arial"/>
          <w:szCs w:val="22"/>
          <w:lang w:eastAsia="en-US"/>
        </w:rPr>
        <w:t>, e incluídas no Programa de Educação Ambiental.</w:t>
      </w:r>
    </w:p>
    <w:p w:rsidR="00B93772" w:rsidRPr="00402E81" w:rsidRDefault="00676D63" w:rsidP="00402E81">
      <w:pPr>
        <w:pStyle w:val="Ttulo3"/>
      </w:pPr>
      <w:bookmarkStart w:id="461" w:name="_Toc418758269"/>
      <w:bookmarkStart w:id="462" w:name="_Toc418758871"/>
      <w:bookmarkStart w:id="463" w:name="_Toc419813631"/>
      <w:r w:rsidRPr="00402E81">
        <w:t>1.4. Análise dos Impactos Cumulativos e Sinérgicos</w:t>
      </w:r>
      <w:bookmarkEnd w:id="461"/>
      <w:bookmarkEnd w:id="462"/>
      <w:bookmarkEnd w:id="463"/>
    </w:p>
    <w:p w:rsidR="00676D63" w:rsidRPr="007D6AD7" w:rsidRDefault="00676D63" w:rsidP="00676D63">
      <w:pPr>
        <w:autoSpaceDE w:val="0"/>
        <w:autoSpaceDN w:val="0"/>
        <w:adjustRightInd w:val="0"/>
        <w:spacing w:before="120" w:after="120" w:line="240" w:lineRule="auto"/>
      </w:pPr>
      <w:r>
        <w:t xml:space="preserve">A partir dos </w:t>
      </w:r>
      <w:r w:rsidR="006F27CD">
        <w:t xml:space="preserve">potenciais </w:t>
      </w:r>
      <w:r>
        <w:t xml:space="preserve">impactos </w:t>
      </w:r>
      <w:r w:rsidR="006F27CD">
        <w:t xml:space="preserve">ambientais </w:t>
      </w:r>
      <w:r>
        <w:t>identifi</w:t>
      </w:r>
      <w:r w:rsidR="006F27CD">
        <w:t>ca</w:t>
      </w:r>
      <w:r w:rsidR="00267805">
        <w:t xml:space="preserve">dos para cada fator ambiental </w:t>
      </w:r>
      <w:r>
        <w:t xml:space="preserve">foram </w:t>
      </w:r>
      <w:r w:rsidR="006F27CD">
        <w:t xml:space="preserve">definidos e analisados, a partir de metodologia exposta </w:t>
      </w:r>
      <w:r w:rsidR="006F27CD" w:rsidRPr="003D68CB">
        <w:t xml:space="preserve">no item </w:t>
      </w:r>
      <w:r w:rsidR="00833161" w:rsidRPr="003D68CB">
        <w:t>1.2.5.</w:t>
      </w:r>
      <w:r w:rsidR="006F27CD" w:rsidRPr="003D68CB">
        <w:t xml:space="preserve"> deste</w:t>
      </w:r>
      <w:r w:rsidR="006F27CD">
        <w:t xml:space="preserve"> relatório, os </w:t>
      </w:r>
      <w:r>
        <w:t>seguintes impactos cumulativos</w:t>
      </w:r>
      <w:r w:rsidR="006F27CD">
        <w:t xml:space="preserve"> decorrentes da implantação das barragens Pedreira e Duas Pontes:</w:t>
      </w:r>
    </w:p>
    <w:p w:rsidR="00966259" w:rsidRPr="00402E81" w:rsidRDefault="00402E81" w:rsidP="00402E81">
      <w:pPr>
        <w:pStyle w:val="Ttulo3"/>
      </w:pPr>
      <w:bookmarkStart w:id="464" w:name="_Toc418758270"/>
      <w:bookmarkStart w:id="465" w:name="_Toc418758872"/>
      <w:bookmarkStart w:id="466" w:name="_Toc419813632"/>
      <w:r w:rsidRPr="00402E81">
        <w:t xml:space="preserve">1.4.1 </w:t>
      </w:r>
      <w:r w:rsidR="00966259" w:rsidRPr="00402E81">
        <w:t>Impactos Cumulativos</w:t>
      </w:r>
      <w:bookmarkEnd w:id="464"/>
      <w:bookmarkEnd w:id="465"/>
      <w:bookmarkEnd w:id="466"/>
    </w:p>
    <w:p w:rsidR="00FC668C" w:rsidRPr="001C76C7" w:rsidRDefault="00FC668C" w:rsidP="00FC668C">
      <w:pPr>
        <w:spacing w:before="120" w:after="120" w:line="240" w:lineRule="auto"/>
      </w:pPr>
      <w:r w:rsidRPr="001C76C7">
        <w:t xml:space="preserve">Os potenciais efeitos cumulativos advindos do efeito somatório entre as duas barragens se concentrarão nos recursos hídricos a jusante (Alteração na Qualidade da água Jusante) e naqueles impactos com distribuição local que alcancem as regiões das AIDs e cujas consequências sejam derivadas de efeitos secundários advindos do aumento da pressão antrópica local. (Supressão da cobertura vegetal, Perda de hábitats para a fauna e pressão na infraestrutura viária). </w:t>
      </w:r>
    </w:p>
    <w:p w:rsidR="00FC668C" w:rsidRPr="001C76C7" w:rsidRDefault="00FC668C" w:rsidP="00FC668C">
      <w:pPr>
        <w:spacing w:before="120" w:after="120" w:line="240" w:lineRule="auto"/>
      </w:pPr>
      <w:r w:rsidRPr="001C76C7">
        <w:t>Os efeitos nos ecossistemas aquáticos localizados na região da ADA, por sua vez, terão efeitos locais e individualizados, uma vez que a foz do rio Camanducaia é a jusante do reservatório da Barragem Pedreira, impossibilitando o efeito cumulativo nos recursos hídricos a montante.</w:t>
      </w:r>
    </w:p>
    <w:p w:rsidR="00FC668C" w:rsidRPr="001C76C7" w:rsidRDefault="00FC668C" w:rsidP="00FC668C">
      <w:pPr>
        <w:spacing w:before="120" w:after="120" w:line="240" w:lineRule="auto"/>
      </w:pPr>
      <w:r w:rsidRPr="001C76C7">
        <w:t>Em relação à existência de outros empreendimentos, a presença da Pequena Central Hidrelétrica a montante da Barragem Pedreira também é considerada relevante para os impactos cumulativos, especialmente àqueles relacionados aos ecossistemas aquáticos, visto a capacidade de influenciar e condicionar a qualidade da água do futuro reservatório. Neste caso a PCH Jaguari, no rio Jaguari, teria papel fundamental em questões relativas aos sedimentos, qualidade da água e ictiofauna do futuro reservatório da Barragem Pedreira, mas não teria consequências para o reservatório da Barragem Duas Pontes. Nesse contexto enquadra-se também a área urbana do município de Amparo, principal condicionante à qualidade dos recursos hídricos na região do reservatório da Barragem Duas Pontes.</w:t>
      </w:r>
    </w:p>
    <w:p w:rsidR="00FC668C" w:rsidRPr="001C76C7" w:rsidRDefault="00FC668C" w:rsidP="00FC668C">
      <w:pPr>
        <w:spacing w:before="120" w:after="120" w:line="240" w:lineRule="auto"/>
      </w:pPr>
      <w:r w:rsidRPr="001C76C7">
        <w:t>Ressalta-se que apenas os impactos classificados como permanentes deverão ser analisados quanto aos efeitos cumulativos. Nesse sentido, o Quadro 1.</w:t>
      </w:r>
      <w:r w:rsidR="006D7A9C">
        <w:t>4</w:t>
      </w:r>
      <w:r w:rsidRPr="001C76C7">
        <w:t>.</w:t>
      </w:r>
      <w:r w:rsidR="006D7A9C">
        <w:t>1</w:t>
      </w:r>
      <w:r w:rsidR="006D7A9C" w:rsidRPr="001C76C7">
        <w:t xml:space="preserve"> </w:t>
      </w:r>
      <w:r w:rsidRPr="001C76C7">
        <w:t>cita como exemplo os efeitos sobre a infraestrutura viária, que mesmo apresentando efeitos cumulativos temporários advindos da fase de construção das barragens e decorrentes da utilização e pressão nos acessos locais, já amplamente utilizados pela população residente de Pedreira e Amparo, não resultam em impacto cumulativo, uma vez que durante a operação das barragens a movimentação de veículos por conta dos empreendimentos será mínima.</w:t>
      </w:r>
    </w:p>
    <w:p w:rsidR="006D7A9C" w:rsidRDefault="00FC668C" w:rsidP="00FC668C">
      <w:pPr>
        <w:spacing w:before="120" w:after="120" w:line="240" w:lineRule="auto"/>
      </w:pPr>
      <w:r w:rsidRPr="001C76C7">
        <w:t>Pelo Quadro 1.</w:t>
      </w:r>
      <w:r w:rsidR="006D7A9C">
        <w:t>4</w:t>
      </w:r>
      <w:r w:rsidRPr="001C76C7">
        <w:t>.</w:t>
      </w:r>
      <w:r w:rsidR="006D7A9C">
        <w:t>1</w:t>
      </w:r>
      <w:r w:rsidR="006D7A9C" w:rsidRPr="001C76C7">
        <w:t xml:space="preserve"> </w:t>
      </w:r>
      <w:r w:rsidRPr="001C76C7">
        <w:t xml:space="preserve">podemos perceber que os maiores efeitos cumulativos derivam da proximidade entre os dois barramentos planejados e entre esses e os núcleos urbanos dos municípios de Pedreira e Amparo, essa conformação espacial tem a capacidade de potencializar os efeitos que seriam individualizados para cada barramento. </w:t>
      </w:r>
    </w:p>
    <w:p w:rsidR="006D7A9C" w:rsidRDefault="006D7A9C" w:rsidP="00FC668C">
      <w:pPr>
        <w:spacing w:before="120" w:after="120" w:line="240" w:lineRule="auto"/>
      </w:pPr>
      <w:r>
        <w:t>Cada um dos impactos cumulativos identificados e apresentados no Quadro 1.</w:t>
      </w:r>
      <w:r w:rsidR="00876024">
        <w:t>4</w:t>
      </w:r>
      <w:r>
        <w:t>.</w:t>
      </w:r>
      <w:r w:rsidR="00876024">
        <w:t>1</w:t>
      </w:r>
      <w:r>
        <w:t xml:space="preserve"> estão descritos e detalhados a seguir nos itens 1.4.1.1 e 1.4.1.2.</w:t>
      </w:r>
    </w:p>
    <w:p w:rsidR="00FC59A6" w:rsidRDefault="00FC59A6" w:rsidP="00FC668C">
      <w:pPr>
        <w:spacing w:before="120" w:after="120" w:line="240" w:lineRule="auto"/>
      </w:pPr>
    </w:p>
    <w:p w:rsidR="00FC59A6" w:rsidRDefault="00FC59A6" w:rsidP="00FC668C">
      <w:pPr>
        <w:spacing w:before="120" w:after="120" w:line="240" w:lineRule="auto"/>
      </w:pPr>
    </w:p>
    <w:p w:rsidR="006D7A9C" w:rsidRDefault="006D7A9C" w:rsidP="00FC668C">
      <w:pPr>
        <w:spacing w:before="120" w:after="120" w:line="240" w:lineRule="auto"/>
        <w:sectPr w:rsidR="006D7A9C" w:rsidSect="009E1DAB">
          <w:headerReference w:type="default" r:id="rId38"/>
          <w:footerReference w:type="default" r:id="rId39"/>
          <w:pgSz w:w="11907" w:h="16840" w:code="9"/>
          <w:pgMar w:top="1701" w:right="851" w:bottom="1134" w:left="1701" w:header="567" w:footer="567" w:gutter="0"/>
          <w:cols w:space="720"/>
        </w:sectPr>
      </w:pPr>
    </w:p>
    <w:p w:rsidR="00F056DF" w:rsidRDefault="00F056DF" w:rsidP="00F056DF">
      <w:pPr>
        <w:pStyle w:val="Legenda"/>
        <w:spacing w:before="0" w:after="0" w:line="240" w:lineRule="auto"/>
        <w:jc w:val="center"/>
        <w:rPr>
          <w:rFonts w:cs="Arial"/>
          <w:b w:val="0"/>
          <w:bCs/>
          <w:i w:val="0"/>
          <w:szCs w:val="22"/>
        </w:rPr>
      </w:pPr>
      <w:bookmarkStart w:id="467" w:name="_Toc419814599"/>
      <w:r w:rsidRPr="00F056DF">
        <w:rPr>
          <w:i w:val="0"/>
        </w:rPr>
        <w:t>Quadro 1.4.</w:t>
      </w:r>
      <w:r w:rsidR="00B80A05" w:rsidRPr="00F056DF">
        <w:rPr>
          <w:i w:val="0"/>
        </w:rPr>
        <w:fldChar w:fldCharType="begin"/>
      </w:r>
      <w:r w:rsidRPr="00F056DF">
        <w:rPr>
          <w:i w:val="0"/>
        </w:rPr>
        <w:instrText xml:space="preserve"> SEQ Quadro_1.4. \* ARABIC </w:instrText>
      </w:r>
      <w:r w:rsidR="00B80A05" w:rsidRPr="00F056DF">
        <w:rPr>
          <w:i w:val="0"/>
        </w:rPr>
        <w:fldChar w:fldCharType="separate"/>
      </w:r>
      <w:r w:rsidR="00316060">
        <w:rPr>
          <w:i w:val="0"/>
          <w:noProof/>
        </w:rPr>
        <w:t>1</w:t>
      </w:r>
      <w:r w:rsidR="00B80A05" w:rsidRPr="00F056DF">
        <w:rPr>
          <w:i w:val="0"/>
        </w:rPr>
        <w:fldChar w:fldCharType="end"/>
      </w:r>
      <w:r w:rsidRPr="00F056DF">
        <w:rPr>
          <w:b w:val="0"/>
          <w:i w:val="0"/>
        </w:rPr>
        <w:t xml:space="preserve">. </w:t>
      </w:r>
      <w:r w:rsidRPr="00F056DF">
        <w:rPr>
          <w:rFonts w:cs="Arial"/>
          <w:b w:val="0"/>
          <w:bCs/>
          <w:i w:val="0"/>
          <w:szCs w:val="22"/>
        </w:rPr>
        <w:t>- Análise das Relações entre as Barragens Pedreira e Duas Pontes e os Projetos, Ações e Empreendimentos Locais e os Potenciais Impactos Cumulativos Resultantes.</w:t>
      </w:r>
      <w:bookmarkEnd w:id="467"/>
    </w:p>
    <w:tbl>
      <w:tblPr>
        <w:tblStyle w:val="Tabelacomgrade"/>
        <w:tblW w:w="0" w:type="auto"/>
        <w:jc w:val="center"/>
        <w:tblInd w:w="-2086" w:type="dxa"/>
        <w:tblLayout w:type="fixed"/>
        <w:tblLook w:val="04A0" w:firstRow="1" w:lastRow="0" w:firstColumn="1" w:lastColumn="0" w:noHBand="0" w:noVBand="1"/>
      </w:tblPr>
      <w:tblGrid>
        <w:gridCol w:w="3061"/>
        <w:gridCol w:w="1275"/>
        <w:gridCol w:w="1276"/>
        <w:gridCol w:w="1276"/>
        <w:gridCol w:w="1134"/>
        <w:gridCol w:w="934"/>
        <w:gridCol w:w="1213"/>
        <w:gridCol w:w="1134"/>
        <w:gridCol w:w="992"/>
        <w:gridCol w:w="1134"/>
        <w:gridCol w:w="972"/>
        <w:gridCol w:w="1275"/>
      </w:tblGrid>
      <w:tr w:rsidR="00B11777" w:rsidRPr="009812B0" w:rsidTr="009812B0">
        <w:trPr>
          <w:jc w:val="center"/>
        </w:trPr>
        <w:tc>
          <w:tcPr>
            <w:tcW w:w="3061" w:type="dxa"/>
            <w:vMerge w:val="restart"/>
            <w:shd w:val="clear" w:color="auto" w:fill="D9D9D9" w:themeFill="background1" w:themeFillShade="D9"/>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Tipo do Impacto</w:t>
            </w:r>
          </w:p>
        </w:tc>
        <w:tc>
          <w:tcPr>
            <w:tcW w:w="1275" w:type="dxa"/>
            <w:vMerge w:val="restart"/>
            <w:shd w:val="clear" w:color="auto" w:fill="D9D9D9" w:themeFill="background1" w:themeFillShade="D9"/>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Barragem Pedreira</w:t>
            </w:r>
          </w:p>
        </w:tc>
        <w:tc>
          <w:tcPr>
            <w:tcW w:w="1276" w:type="dxa"/>
            <w:vMerge w:val="restart"/>
            <w:shd w:val="clear" w:color="auto" w:fill="D9D9D9" w:themeFill="background1" w:themeFillShade="D9"/>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Barragem Duas Pontes</w:t>
            </w:r>
          </w:p>
        </w:tc>
        <w:tc>
          <w:tcPr>
            <w:tcW w:w="1276" w:type="dxa"/>
            <w:vMerge w:val="restart"/>
            <w:shd w:val="clear" w:color="auto" w:fill="D9D9D9" w:themeFill="background1" w:themeFillShade="D9"/>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Barragens Pedreira + Duas Pontes</w:t>
            </w:r>
          </w:p>
        </w:tc>
        <w:tc>
          <w:tcPr>
            <w:tcW w:w="2068" w:type="dxa"/>
            <w:gridSpan w:val="2"/>
            <w:shd w:val="clear" w:color="auto" w:fill="D9D9D9" w:themeFill="background1" w:themeFillShade="D9"/>
            <w:vAlign w:val="center"/>
          </w:tcPr>
          <w:p w:rsidR="00B11777" w:rsidRPr="009812B0" w:rsidRDefault="00B11777" w:rsidP="009812B0">
            <w:pPr>
              <w:spacing w:before="120" w:after="120" w:line="240" w:lineRule="auto"/>
              <w:jc w:val="center"/>
              <w:rPr>
                <w:rFonts w:cs="Arial"/>
                <w:sz w:val="21"/>
                <w:szCs w:val="21"/>
              </w:rPr>
            </w:pPr>
            <w:r w:rsidRPr="009812B0">
              <w:rPr>
                <w:rStyle w:val="CorpodeTexto0"/>
                <w:rFonts w:cs="Arial"/>
                <w:sz w:val="21"/>
                <w:szCs w:val="21"/>
              </w:rPr>
              <w:t>Influência de Ações Passadas Persistentes</w:t>
            </w:r>
          </w:p>
        </w:tc>
        <w:tc>
          <w:tcPr>
            <w:tcW w:w="5445" w:type="dxa"/>
            <w:gridSpan w:val="5"/>
            <w:shd w:val="clear" w:color="auto" w:fill="EEECE1" w:themeFill="background2"/>
            <w:vAlign w:val="center"/>
          </w:tcPr>
          <w:p w:rsidR="00B11777" w:rsidRPr="009812B0" w:rsidRDefault="00B11777" w:rsidP="009812B0">
            <w:pPr>
              <w:spacing w:before="120" w:after="120" w:line="240" w:lineRule="auto"/>
              <w:jc w:val="center"/>
              <w:rPr>
                <w:rFonts w:cs="Arial"/>
                <w:sz w:val="21"/>
                <w:szCs w:val="21"/>
              </w:rPr>
            </w:pPr>
            <w:r w:rsidRPr="009812B0">
              <w:rPr>
                <w:rStyle w:val="CorpodeTexto0"/>
                <w:rFonts w:cs="Arial"/>
                <w:sz w:val="21"/>
                <w:szCs w:val="21"/>
              </w:rPr>
              <w:t>Outras Ações Presentes e Futuras</w:t>
            </w:r>
          </w:p>
        </w:tc>
        <w:tc>
          <w:tcPr>
            <w:tcW w:w="1275" w:type="dxa"/>
            <w:vMerge w:val="restart"/>
            <w:shd w:val="clear" w:color="auto" w:fill="FBD4B4" w:themeFill="accent6" w:themeFillTint="66"/>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Efeito Cumulativo Potencial</w:t>
            </w:r>
          </w:p>
        </w:tc>
      </w:tr>
      <w:tr w:rsidR="00B11777" w:rsidRPr="009812B0" w:rsidTr="00FF254D">
        <w:trPr>
          <w:trHeight w:val="783"/>
          <w:jc w:val="center"/>
        </w:trPr>
        <w:tc>
          <w:tcPr>
            <w:tcW w:w="3061" w:type="dxa"/>
            <w:vMerge/>
            <w:shd w:val="clear" w:color="auto" w:fill="D9D9D9" w:themeFill="background1" w:themeFillShade="D9"/>
            <w:vAlign w:val="center"/>
          </w:tcPr>
          <w:p w:rsidR="00B11777" w:rsidRPr="009812B0" w:rsidRDefault="00B11777" w:rsidP="009812B0">
            <w:pPr>
              <w:spacing w:before="120" w:after="120" w:line="240" w:lineRule="auto"/>
              <w:jc w:val="center"/>
              <w:rPr>
                <w:rFonts w:cs="Arial"/>
                <w:sz w:val="21"/>
                <w:szCs w:val="21"/>
              </w:rPr>
            </w:pPr>
          </w:p>
        </w:tc>
        <w:tc>
          <w:tcPr>
            <w:tcW w:w="1275" w:type="dxa"/>
            <w:vMerge/>
            <w:shd w:val="clear" w:color="auto" w:fill="D9D9D9" w:themeFill="background1" w:themeFillShade="D9"/>
            <w:vAlign w:val="center"/>
          </w:tcPr>
          <w:p w:rsidR="00B11777" w:rsidRPr="009812B0" w:rsidRDefault="00B11777" w:rsidP="009812B0">
            <w:pPr>
              <w:spacing w:before="120" w:after="120" w:line="240" w:lineRule="auto"/>
              <w:jc w:val="center"/>
              <w:rPr>
                <w:rFonts w:cs="Arial"/>
                <w:sz w:val="21"/>
                <w:szCs w:val="21"/>
              </w:rPr>
            </w:pPr>
          </w:p>
        </w:tc>
        <w:tc>
          <w:tcPr>
            <w:tcW w:w="1276" w:type="dxa"/>
            <w:vMerge/>
            <w:shd w:val="clear" w:color="auto" w:fill="D9D9D9" w:themeFill="background1" w:themeFillShade="D9"/>
            <w:vAlign w:val="center"/>
          </w:tcPr>
          <w:p w:rsidR="00B11777" w:rsidRPr="009812B0" w:rsidRDefault="00B11777" w:rsidP="009812B0">
            <w:pPr>
              <w:spacing w:before="120" w:after="120" w:line="240" w:lineRule="auto"/>
              <w:jc w:val="center"/>
              <w:rPr>
                <w:rFonts w:cs="Arial"/>
                <w:sz w:val="21"/>
                <w:szCs w:val="21"/>
              </w:rPr>
            </w:pPr>
          </w:p>
        </w:tc>
        <w:tc>
          <w:tcPr>
            <w:tcW w:w="1276" w:type="dxa"/>
            <w:vMerge/>
            <w:shd w:val="clear" w:color="auto" w:fill="D9D9D9" w:themeFill="background1" w:themeFillShade="D9"/>
            <w:vAlign w:val="center"/>
          </w:tcPr>
          <w:p w:rsidR="00B11777" w:rsidRPr="009812B0" w:rsidRDefault="00B11777" w:rsidP="009812B0">
            <w:pPr>
              <w:spacing w:before="120" w:after="120" w:line="240" w:lineRule="auto"/>
              <w:jc w:val="center"/>
              <w:rPr>
                <w:rFonts w:cs="Arial"/>
                <w:sz w:val="21"/>
                <w:szCs w:val="21"/>
              </w:rPr>
            </w:pPr>
          </w:p>
        </w:tc>
        <w:tc>
          <w:tcPr>
            <w:tcW w:w="1134" w:type="dxa"/>
            <w:shd w:val="clear" w:color="auto" w:fill="D9D9D9" w:themeFill="background1" w:themeFillShade="D9"/>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Pedreira</w:t>
            </w:r>
          </w:p>
        </w:tc>
        <w:tc>
          <w:tcPr>
            <w:tcW w:w="934" w:type="dxa"/>
            <w:shd w:val="clear" w:color="auto" w:fill="D9D9D9" w:themeFill="background1" w:themeFillShade="D9"/>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Duas Pontes</w:t>
            </w:r>
          </w:p>
        </w:tc>
        <w:tc>
          <w:tcPr>
            <w:tcW w:w="1213"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PCH Jaguari</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 xml:space="preserve">Bacia </w:t>
            </w:r>
          </w:p>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de Montante</w:t>
            </w:r>
          </w:p>
        </w:tc>
        <w:tc>
          <w:tcPr>
            <w:tcW w:w="99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Bacia de Jusante</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Área Urbana Amparo</w:t>
            </w:r>
          </w:p>
        </w:tc>
        <w:tc>
          <w:tcPr>
            <w:tcW w:w="97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Área Urbana Pedreira</w:t>
            </w:r>
          </w:p>
        </w:tc>
        <w:tc>
          <w:tcPr>
            <w:tcW w:w="1275" w:type="dxa"/>
            <w:vMerge/>
            <w:shd w:val="clear" w:color="auto" w:fill="FBD4B4" w:themeFill="accent6" w:themeFillTint="66"/>
            <w:vAlign w:val="center"/>
          </w:tcPr>
          <w:p w:rsidR="00B11777" w:rsidRPr="009812B0" w:rsidRDefault="00B11777" w:rsidP="009812B0">
            <w:pPr>
              <w:spacing w:before="120" w:after="120" w:line="240" w:lineRule="auto"/>
              <w:jc w:val="center"/>
              <w:rPr>
                <w:rFonts w:cs="Arial"/>
                <w:sz w:val="21"/>
                <w:szCs w:val="21"/>
              </w:rPr>
            </w:pPr>
          </w:p>
        </w:tc>
      </w:tr>
      <w:tr w:rsidR="00B11777" w:rsidRPr="009812B0" w:rsidTr="009812B0">
        <w:trPr>
          <w:jc w:val="center"/>
        </w:trPr>
        <w:tc>
          <w:tcPr>
            <w:tcW w:w="3061" w:type="dxa"/>
            <w:vAlign w:val="center"/>
          </w:tcPr>
          <w:p w:rsidR="00B11777" w:rsidRPr="009812B0" w:rsidRDefault="00B11777" w:rsidP="009812B0">
            <w:pPr>
              <w:pStyle w:val="Corpodetexto"/>
              <w:rPr>
                <w:rStyle w:val="CorpodeTexto0"/>
                <w:rFonts w:cs="Arial"/>
                <w:sz w:val="21"/>
                <w:szCs w:val="21"/>
              </w:rPr>
            </w:pPr>
            <w:r w:rsidRPr="009812B0">
              <w:rPr>
                <w:rStyle w:val="CorpodeTexto0"/>
                <w:rFonts w:cs="Arial"/>
                <w:sz w:val="21"/>
                <w:szCs w:val="21"/>
              </w:rPr>
              <w:t>Alteração na Qualidade da água Montante</w:t>
            </w:r>
          </w:p>
        </w:tc>
        <w:tc>
          <w:tcPr>
            <w:tcW w:w="1275"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1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13"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 (Pedreira)</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9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7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275" w:type="dxa"/>
            <w:shd w:val="clear" w:color="auto" w:fill="FBD4B4" w:themeFill="accent6" w:themeFillTint="66"/>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r>
      <w:tr w:rsidR="00B11777" w:rsidRPr="009812B0" w:rsidTr="009812B0">
        <w:trPr>
          <w:jc w:val="center"/>
        </w:trPr>
        <w:tc>
          <w:tcPr>
            <w:tcW w:w="3061" w:type="dxa"/>
            <w:vAlign w:val="center"/>
          </w:tcPr>
          <w:p w:rsidR="00B11777" w:rsidRPr="009812B0" w:rsidRDefault="00B11777" w:rsidP="009812B0">
            <w:pPr>
              <w:pStyle w:val="Corpodetexto"/>
              <w:rPr>
                <w:rStyle w:val="CorpodeTexto0"/>
                <w:rFonts w:cs="Arial"/>
                <w:sz w:val="21"/>
                <w:szCs w:val="21"/>
              </w:rPr>
            </w:pPr>
            <w:r w:rsidRPr="009812B0">
              <w:rPr>
                <w:rStyle w:val="CorpodeTexto0"/>
                <w:rFonts w:cs="Arial"/>
                <w:sz w:val="21"/>
                <w:szCs w:val="21"/>
              </w:rPr>
              <w:t>Alteração na Qualidade da água Jusante</w:t>
            </w:r>
          </w:p>
        </w:tc>
        <w:tc>
          <w:tcPr>
            <w:tcW w:w="1275"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1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13"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99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7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5" w:type="dxa"/>
            <w:shd w:val="clear" w:color="auto" w:fill="FBD4B4" w:themeFill="accent6" w:themeFillTint="66"/>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r>
      <w:tr w:rsidR="00B11777" w:rsidRPr="009812B0" w:rsidTr="009812B0">
        <w:trPr>
          <w:jc w:val="center"/>
        </w:trPr>
        <w:tc>
          <w:tcPr>
            <w:tcW w:w="3061" w:type="dxa"/>
            <w:vAlign w:val="center"/>
          </w:tcPr>
          <w:p w:rsidR="00B11777" w:rsidRPr="009812B0" w:rsidRDefault="00B11777" w:rsidP="009812B0">
            <w:pPr>
              <w:pStyle w:val="Corpodetexto"/>
              <w:rPr>
                <w:rStyle w:val="CorpodeTexto0"/>
                <w:rFonts w:cs="Arial"/>
                <w:sz w:val="21"/>
                <w:szCs w:val="21"/>
              </w:rPr>
            </w:pPr>
            <w:r w:rsidRPr="009812B0">
              <w:rPr>
                <w:rStyle w:val="CorpodeTexto0"/>
                <w:rFonts w:cs="Arial"/>
                <w:sz w:val="21"/>
                <w:szCs w:val="21"/>
              </w:rPr>
              <w:t>Perda de Cobertura Vegetal nativa</w:t>
            </w:r>
          </w:p>
        </w:tc>
        <w:tc>
          <w:tcPr>
            <w:tcW w:w="1275"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1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13"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9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97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275" w:type="dxa"/>
            <w:shd w:val="clear" w:color="auto" w:fill="FBD4B4" w:themeFill="accent6" w:themeFillTint="66"/>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r>
      <w:tr w:rsidR="00B11777" w:rsidRPr="009812B0" w:rsidTr="009812B0">
        <w:trPr>
          <w:jc w:val="center"/>
        </w:trPr>
        <w:tc>
          <w:tcPr>
            <w:tcW w:w="3061" w:type="dxa"/>
            <w:vAlign w:val="center"/>
          </w:tcPr>
          <w:p w:rsidR="00B11777" w:rsidRPr="009812B0" w:rsidRDefault="00B11777" w:rsidP="009812B0">
            <w:pPr>
              <w:pStyle w:val="Corpodetexto"/>
              <w:rPr>
                <w:rStyle w:val="CorpodeTexto0"/>
                <w:rFonts w:cs="Arial"/>
                <w:sz w:val="21"/>
                <w:szCs w:val="21"/>
              </w:rPr>
            </w:pPr>
            <w:r w:rsidRPr="009812B0">
              <w:rPr>
                <w:rStyle w:val="CorpodeTexto0"/>
                <w:rFonts w:cs="Arial"/>
                <w:sz w:val="21"/>
                <w:szCs w:val="21"/>
              </w:rPr>
              <w:t>Alteração na Fauna Aquática</w:t>
            </w:r>
          </w:p>
        </w:tc>
        <w:tc>
          <w:tcPr>
            <w:tcW w:w="1275"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1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213"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(Pedreira)</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99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7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275" w:type="dxa"/>
            <w:shd w:val="clear" w:color="auto" w:fill="FBD4B4" w:themeFill="accent6" w:themeFillTint="66"/>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r>
      <w:tr w:rsidR="00B11777" w:rsidRPr="009812B0" w:rsidTr="009812B0">
        <w:trPr>
          <w:jc w:val="center"/>
        </w:trPr>
        <w:tc>
          <w:tcPr>
            <w:tcW w:w="3061" w:type="dxa"/>
            <w:vAlign w:val="center"/>
          </w:tcPr>
          <w:p w:rsidR="00B11777" w:rsidRPr="009812B0" w:rsidRDefault="00B11777" w:rsidP="009812B0">
            <w:pPr>
              <w:pStyle w:val="Corpodetexto"/>
              <w:rPr>
                <w:rStyle w:val="CorpodeTexto0"/>
                <w:rFonts w:cs="Arial"/>
                <w:sz w:val="21"/>
                <w:szCs w:val="21"/>
              </w:rPr>
            </w:pPr>
            <w:r w:rsidRPr="009812B0">
              <w:rPr>
                <w:rStyle w:val="CorpodeTexto0"/>
                <w:rFonts w:cs="Arial"/>
                <w:sz w:val="21"/>
                <w:szCs w:val="21"/>
              </w:rPr>
              <w:t>Perda de Hábitat para a Fauna Silvestre</w:t>
            </w:r>
          </w:p>
        </w:tc>
        <w:tc>
          <w:tcPr>
            <w:tcW w:w="1275"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1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13"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9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97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275" w:type="dxa"/>
            <w:shd w:val="clear" w:color="auto" w:fill="FBD4B4" w:themeFill="accent6" w:themeFillTint="66"/>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r>
      <w:tr w:rsidR="00B11777" w:rsidRPr="009812B0" w:rsidTr="009812B0">
        <w:trPr>
          <w:jc w:val="center"/>
        </w:trPr>
        <w:tc>
          <w:tcPr>
            <w:tcW w:w="3061" w:type="dxa"/>
            <w:vAlign w:val="center"/>
          </w:tcPr>
          <w:p w:rsidR="00B11777" w:rsidRPr="009812B0" w:rsidRDefault="00B11777" w:rsidP="009812B0">
            <w:pPr>
              <w:pStyle w:val="Corpodetexto"/>
              <w:rPr>
                <w:rStyle w:val="CorpodeTexto0"/>
                <w:rFonts w:cs="Arial"/>
                <w:sz w:val="21"/>
                <w:szCs w:val="21"/>
              </w:rPr>
            </w:pPr>
            <w:r w:rsidRPr="009812B0">
              <w:rPr>
                <w:rStyle w:val="CorpodeTexto0"/>
                <w:rFonts w:cs="Arial"/>
                <w:sz w:val="21"/>
                <w:szCs w:val="21"/>
              </w:rPr>
              <w:t>Alteração das Relações Econômicas, Sociais e Culturais</w:t>
            </w:r>
          </w:p>
        </w:tc>
        <w:tc>
          <w:tcPr>
            <w:tcW w:w="1275"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1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9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13"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99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7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5" w:type="dxa"/>
            <w:shd w:val="clear" w:color="auto" w:fill="FBD4B4" w:themeFill="accent6" w:themeFillTint="66"/>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r>
      <w:tr w:rsidR="00B11777" w:rsidRPr="009812B0" w:rsidTr="009812B0">
        <w:trPr>
          <w:jc w:val="center"/>
        </w:trPr>
        <w:tc>
          <w:tcPr>
            <w:tcW w:w="3061" w:type="dxa"/>
            <w:vAlign w:val="center"/>
          </w:tcPr>
          <w:p w:rsidR="00B11777" w:rsidRPr="009812B0" w:rsidRDefault="00B11777" w:rsidP="009812B0">
            <w:pPr>
              <w:pStyle w:val="Corpodetexto"/>
              <w:rPr>
                <w:rStyle w:val="CorpodeTexto0"/>
                <w:rFonts w:cs="Arial"/>
                <w:sz w:val="21"/>
                <w:szCs w:val="21"/>
              </w:rPr>
            </w:pPr>
            <w:r w:rsidRPr="009812B0">
              <w:rPr>
                <w:rStyle w:val="CorpodeTexto0"/>
                <w:rFonts w:cs="Arial"/>
                <w:sz w:val="21"/>
                <w:szCs w:val="21"/>
              </w:rPr>
              <w:t>Pressão na Infraestrutura Viária</w:t>
            </w:r>
          </w:p>
        </w:tc>
        <w:tc>
          <w:tcPr>
            <w:tcW w:w="1275"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6"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1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934" w:type="dxa"/>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213"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99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c>
          <w:tcPr>
            <w:tcW w:w="1134"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972" w:type="dxa"/>
            <w:shd w:val="clear" w:color="auto" w:fill="EEECE1" w:themeFill="background2"/>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SIM</w:t>
            </w:r>
          </w:p>
        </w:tc>
        <w:tc>
          <w:tcPr>
            <w:tcW w:w="1275" w:type="dxa"/>
            <w:shd w:val="clear" w:color="auto" w:fill="FBD4B4" w:themeFill="accent6" w:themeFillTint="66"/>
            <w:vAlign w:val="center"/>
          </w:tcPr>
          <w:p w:rsidR="00B11777" w:rsidRPr="009812B0" w:rsidRDefault="00B11777" w:rsidP="009812B0">
            <w:pPr>
              <w:pStyle w:val="Corpodetexto"/>
              <w:jc w:val="center"/>
              <w:rPr>
                <w:rStyle w:val="CorpodeTexto0"/>
                <w:rFonts w:cs="Arial"/>
                <w:sz w:val="21"/>
                <w:szCs w:val="21"/>
              </w:rPr>
            </w:pPr>
            <w:r w:rsidRPr="009812B0">
              <w:rPr>
                <w:rStyle w:val="CorpodeTexto0"/>
                <w:rFonts w:cs="Arial"/>
                <w:sz w:val="21"/>
                <w:szCs w:val="21"/>
              </w:rPr>
              <w:t>NÃO</w:t>
            </w:r>
          </w:p>
        </w:tc>
      </w:tr>
    </w:tbl>
    <w:p w:rsidR="00F056DF" w:rsidRDefault="00F056DF" w:rsidP="00402E81">
      <w:pPr>
        <w:pStyle w:val="Legenda"/>
        <w:rPr>
          <w:rFonts w:cs="Arial"/>
          <w:b w:val="0"/>
          <w:bCs/>
          <w:i w:val="0"/>
          <w:szCs w:val="22"/>
        </w:rPr>
      </w:pPr>
    </w:p>
    <w:p w:rsidR="006D7A9C" w:rsidRDefault="006D7A9C" w:rsidP="00FC668C">
      <w:pPr>
        <w:spacing w:before="120" w:after="120" w:line="240" w:lineRule="auto"/>
        <w:sectPr w:rsidR="006D7A9C" w:rsidSect="00B11777">
          <w:headerReference w:type="default" r:id="rId40"/>
          <w:footerReference w:type="default" r:id="rId41"/>
          <w:pgSz w:w="16840" w:h="11907" w:orient="landscape" w:code="9"/>
          <w:pgMar w:top="1701" w:right="1134" w:bottom="851" w:left="1701" w:header="567" w:footer="567" w:gutter="0"/>
          <w:cols w:space="720"/>
          <w:docGrid w:linePitch="299"/>
        </w:sectPr>
      </w:pPr>
    </w:p>
    <w:p w:rsidR="00676D63" w:rsidRPr="00934068" w:rsidRDefault="00695FB8" w:rsidP="00934068">
      <w:pPr>
        <w:pStyle w:val="Ttulo3"/>
        <w:rPr>
          <w:rFonts w:ascii="Arial Negrito" w:hAnsi="Arial Negrito"/>
          <w:bCs/>
        </w:rPr>
      </w:pPr>
      <w:bookmarkStart w:id="468" w:name="_Toc418758271"/>
      <w:bookmarkStart w:id="469" w:name="_Toc418758873"/>
      <w:bookmarkStart w:id="470" w:name="_Toc419813633"/>
      <w:r w:rsidRPr="00934068">
        <w:rPr>
          <w:rFonts w:ascii="Arial Negrito" w:hAnsi="Arial Negrito"/>
          <w:bCs/>
        </w:rPr>
        <w:t>1</w:t>
      </w:r>
      <w:r w:rsidR="009736BB" w:rsidRPr="00934068">
        <w:rPr>
          <w:rFonts w:ascii="Arial Negrito" w:hAnsi="Arial Negrito"/>
          <w:bCs/>
        </w:rPr>
        <w:t>.4.1.</w:t>
      </w:r>
      <w:r w:rsidR="00966259" w:rsidRPr="00934068">
        <w:rPr>
          <w:rFonts w:ascii="Arial Negrito" w:hAnsi="Arial Negrito"/>
          <w:bCs/>
        </w:rPr>
        <w:t>1.</w:t>
      </w:r>
      <w:r w:rsidR="009736BB" w:rsidRPr="00934068">
        <w:rPr>
          <w:rFonts w:ascii="Arial Negrito" w:hAnsi="Arial Negrito"/>
          <w:bCs/>
        </w:rPr>
        <w:t xml:space="preserve"> </w:t>
      </w:r>
      <w:r w:rsidR="00676D63" w:rsidRPr="00934068">
        <w:rPr>
          <w:rFonts w:ascii="Arial Negrito" w:hAnsi="Arial Negrito"/>
          <w:bCs/>
        </w:rPr>
        <w:t>Meio Físico e Biótico</w:t>
      </w:r>
      <w:bookmarkEnd w:id="468"/>
      <w:bookmarkEnd w:id="469"/>
      <w:bookmarkEnd w:id="470"/>
    </w:p>
    <w:p w:rsidR="00676D63" w:rsidRPr="001C4C20" w:rsidRDefault="00676D63" w:rsidP="00676D63">
      <w:pPr>
        <w:spacing w:before="240" w:after="120" w:line="240" w:lineRule="auto"/>
        <w:rPr>
          <w:b/>
        </w:rPr>
      </w:pPr>
      <w:r w:rsidRPr="001C4C20">
        <w:rPr>
          <w:b/>
        </w:rPr>
        <w:t>IMP-0</w:t>
      </w:r>
      <w:r w:rsidR="009736BB" w:rsidRPr="001C4C20">
        <w:rPr>
          <w:b/>
        </w:rPr>
        <w:t>1</w:t>
      </w:r>
      <w:r w:rsidRPr="001C4C20">
        <w:rPr>
          <w:b/>
        </w:rPr>
        <w:t xml:space="preserve"> - </w:t>
      </w:r>
      <w:r w:rsidR="003D14B5" w:rsidRPr="001C4C20">
        <w:rPr>
          <w:b/>
        </w:rPr>
        <w:t xml:space="preserve">Alteração na Qualidade das Águas Superficiais </w:t>
      </w:r>
      <w:r w:rsidRPr="001C4C20">
        <w:rPr>
          <w:b/>
        </w:rPr>
        <w:t>no Reservatório</w:t>
      </w:r>
    </w:p>
    <w:p w:rsidR="00FD511A" w:rsidRPr="00F90A06" w:rsidRDefault="00676D63" w:rsidP="009736BB">
      <w:pPr>
        <w:spacing w:after="120" w:line="240" w:lineRule="auto"/>
        <w:ind w:left="851"/>
      </w:pPr>
      <w:r w:rsidRPr="001C4C20">
        <w:t xml:space="preserve">A transformação do regime lótico para lêntico </w:t>
      </w:r>
      <w:r w:rsidR="00F07784" w:rsidRPr="001C4C20">
        <w:t>traz</w:t>
      </w:r>
      <w:r w:rsidRPr="001C4C20">
        <w:t xml:space="preserve"> como consequência uma série de impactos nas condições limnológicas do </w:t>
      </w:r>
      <w:r w:rsidR="00F07784" w:rsidRPr="001C4C20">
        <w:t>ecossistema aquático</w:t>
      </w:r>
      <w:r w:rsidRPr="001C4C20">
        <w:t xml:space="preserve">, alterando a qualidade da água, a biota aquática e as relações </w:t>
      </w:r>
      <w:r w:rsidR="006F27CD" w:rsidRPr="001C4C20">
        <w:t>ecológicas</w:t>
      </w:r>
      <w:r w:rsidRPr="001C4C20">
        <w:t xml:space="preserve"> locais. Para esse impacto os efeitos da implantação dos dois reservatórios previstos podem ser potencializados se acrescidos aos e</w:t>
      </w:r>
      <w:r w:rsidR="001C4C20">
        <w:t>feitos dos demais projetos e</w:t>
      </w:r>
      <w:r w:rsidRPr="001C4C20">
        <w:t xml:space="preserve"> adensamentos urbanos localizadas no trecho de montante da bacia contribuinte aos novos barramentos</w:t>
      </w:r>
      <w:r w:rsidRPr="00F90A06">
        <w:t xml:space="preserve">; </w:t>
      </w:r>
      <w:r w:rsidR="007A70CA" w:rsidRPr="00F90A06">
        <w:t>em especial no reservatório da barragem Duas Pontes, que recebe as águas do rio Camanducaia, contaminadas pelos efluentes domésticos e industriais produzidos na cidade de Amparo.</w:t>
      </w:r>
      <w:r w:rsidR="00FD511A" w:rsidRPr="00F90A06">
        <w:t xml:space="preserve"> Por sua vez, a PCH Jaguari, no rio Jaguari, poderá potencializar, e mesmo minimizar, os efeitos no reservatório da barragem Pedreira.</w:t>
      </w:r>
    </w:p>
    <w:p w:rsidR="00676D63" w:rsidRPr="001C4C20" w:rsidRDefault="00676D63" w:rsidP="009736BB">
      <w:pPr>
        <w:spacing w:after="120" w:line="240" w:lineRule="auto"/>
        <w:ind w:left="851"/>
      </w:pPr>
      <w:r w:rsidRPr="001C4C20">
        <w:t>Estes empreendimentos, por seus objetivos e características, são dependentes do recurso hídrico e possuem o potencial para interferir e alterar os principais p</w:t>
      </w:r>
      <w:r w:rsidR="006F27CD" w:rsidRPr="001C4C20">
        <w:t xml:space="preserve">arâmetros da qualidade da água, com efeitos que podem ser amplificados pelas condições da qualidade dos recursos hídricos </w:t>
      </w:r>
      <w:r w:rsidR="001C4C20" w:rsidRPr="001C4C20">
        <w:t xml:space="preserve">da </w:t>
      </w:r>
      <w:r w:rsidR="006F27CD" w:rsidRPr="001C4C20">
        <w:t>bac</w:t>
      </w:r>
      <w:r w:rsidR="001D33A2" w:rsidRPr="001C4C20">
        <w:t>i</w:t>
      </w:r>
      <w:r w:rsidR="006F27CD" w:rsidRPr="001C4C20">
        <w:t>a contribuinte de montante</w:t>
      </w:r>
      <w:r w:rsidR="00C776A1" w:rsidRPr="001C4C20">
        <w:t xml:space="preserve">. </w:t>
      </w:r>
    </w:p>
    <w:p w:rsidR="00795B18" w:rsidRPr="001C4C20" w:rsidRDefault="00795B18" w:rsidP="00795B18">
      <w:pPr>
        <w:spacing w:before="120" w:after="120" w:line="240" w:lineRule="auto"/>
        <w:ind w:left="851"/>
      </w:pPr>
      <w:r w:rsidRPr="001C4C20">
        <w:t xml:space="preserve">Dessa forma, tal impacto deve ocorrer diretamente, quando decorrente da fase de </w:t>
      </w:r>
      <w:r w:rsidR="00F07784" w:rsidRPr="001C4C20">
        <w:t xml:space="preserve">enchimento e operação dos reservatórios </w:t>
      </w:r>
      <w:r w:rsidRPr="001C4C20">
        <w:t xml:space="preserve">das barragens Pedreira e Duas Pontes, e indiretamente </w:t>
      </w:r>
      <w:r w:rsidR="00394639" w:rsidRPr="001C4C20">
        <w:t xml:space="preserve">por meio das influências dos demais </w:t>
      </w:r>
      <w:r w:rsidRPr="001C4C20">
        <w:t>projetos</w:t>
      </w:r>
      <w:r w:rsidR="00394639" w:rsidRPr="001C4C20">
        <w:t xml:space="preserve"> existentes e futuros na bacia hidrográfica contribuinte</w:t>
      </w:r>
      <w:r w:rsidRPr="001C4C20">
        <w:t xml:space="preserve">, </w:t>
      </w:r>
      <w:r w:rsidR="00394639" w:rsidRPr="001C4C20">
        <w:t>e da efetivação do gerenciamento dos recursos hídricos na política regional</w:t>
      </w:r>
      <w:r w:rsidRPr="001C4C20">
        <w:t>.</w:t>
      </w:r>
    </w:p>
    <w:p w:rsidR="00676D63" w:rsidRPr="001C4C20" w:rsidRDefault="00676D63" w:rsidP="00676D63">
      <w:pPr>
        <w:spacing w:before="120" w:after="120" w:line="240" w:lineRule="auto"/>
        <w:rPr>
          <w:b/>
        </w:rPr>
      </w:pPr>
      <w:r w:rsidRPr="001C4C20">
        <w:rPr>
          <w:b/>
        </w:rPr>
        <w:t>IMP-0</w:t>
      </w:r>
      <w:r w:rsidR="009736BB" w:rsidRPr="001C4C20">
        <w:rPr>
          <w:b/>
        </w:rPr>
        <w:t>2</w:t>
      </w:r>
      <w:r w:rsidRPr="001C4C20">
        <w:rPr>
          <w:b/>
        </w:rPr>
        <w:t xml:space="preserve"> - </w:t>
      </w:r>
      <w:r w:rsidR="003D14B5" w:rsidRPr="001C4C20">
        <w:rPr>
          <w:b/>
        </w:rPr>
        <w:t xml:space="preserve">Alteração na Qualidade das Águas Superficiais </w:t>
      </w:r>
      <w:r w:rsidRPr="001C4C20">
        <w:rPr>
          <w:b/>
        </w:rPr>
        <w:t>a Jusante</w:t>
      </w:r>
    </w:p>
    <w:p w:rsidR="00676D63" w:rsidRPr="001C4C20" w:rsidRDefault="00676D63" w:rsidP="009736BB">
      <w:pPr>
        <w:spacing w:before="120" w:after="120" w:line="240" w:lineRule="auto"/>
        <w:ind w:left="851"/>
      </w:pPr>
      <w:r w:rsidRPr="001C4C20">
        <w:t>No trecho de jusante dos futuros barramentos, a qualidade das águas dos rios Jaguari e Camanducaia será influenciada diretamente pelos índices</w:t>
      </w:r>
      <w:r w:rsidR="001D33A2" w:rsidRPr="001C4C20">
        <w:t xml:space="preserve"> de qualidade dos reservatórios das barragens </w:t>
      </w:r>
      <w:r w:rsidRPr="001C4C20">
        <w:t>Pedreira e Duas Pontes</w:t>
      </w:r>
      <w:r w:rsidR="00346419" w:rsidRPr="001C4C20">
        <w:t xml:space="preserve">, com dependência progressivamente diminuída conforme os cursos d’água passam a receber as </w:t>
      </w:r>
      <w:r w:rsidR="00C569BC" w:rsidRPr="001C4C20">
        <w:t xml:space="preserve">águas dos demais </w:t>
      </w:r>
      <w:r w:rsidR="00346419" w:rsidRPr="001C4C20">
        <w:t>tributários</w:t>
      </w:r>
      <w:r w:rsidRPr="001C4C20">
        <w:t xml:space="preserve">. Atualmente </w:t>
      </w:r>
      <w:r w:rsidR="00C569BC" w:rsidRPr="001C4C20">
        <w:t>o rio Jaguari e o rio Camanducaia</w:t>
      </w:r>
      <w:r w:rsidR="00616F6B" w:rsidRPr="001C4C20">
        <w:t>, em especial,</w:t>
      </w:r>
      <w:r w:rsidRPr="001C4C20">
        <w:t xml:space="preserve"> recebem potencial carga poluidora de efluentes domésticos e industriais gerados nos centros urbanos localizados a montante</w:t>
      </w:r>
      <w:r w:rsidR="00C569BC" w:rsidRPr="001C4C20">
        <w:t xml:space="preserve"> das barragens</w:t>
      </w:r>
      <w:r w:rsidRPr="001C4C20">
        <w:t>, além de insumos agrícolas aplicados nas lavouras da região</w:t>
      </w:r>
      <w:r w:rsidR="00C569BC" w:rsidRPr="001C4C20">
        <w:t>, efluentes estes que serão transportados aos reservatórios planejados</w:t>
      </w:r>
      <w:r w:rsidRPr="001C4C20">
        <w:t xml:space="preserve">. </w:t>
      </w:r>
    </w:p>
    <w:p w:rsidR="00795B18" w:rsidRPr="001C4C20" w:rsidRDefault="00676D63" w:rsidP="009736BB">
      <w:pPr>
        <w:spacing w:before="120" w:after="120" w:line="240" w:lineRule="auto"/>
        <w:ind w:left="851"/>
      </w:pPr>
      <w:r w:rsidRPr="001C4C20">
        <w:t>Nesse sentido,</w:t>
      </w:r>
      <w:r w:rsidR="00E26761" w:rsidRPr="001C4C20">
        <w:t xml:space="preserve"> e visto os resultados obtidos na avaliação da qualidade da água</w:t>
      </w:r>
      <w:r w:rsidR="00795B18" w:rsidRPr="001C4C20">
        <w:t xml:space="preserve"> realizada na área de influência das barragens Pedreira e Duas Pontes</w:t>
      </w:r>
      <w:r w:rsidR="00E26761" w:rsidRPr="001C4C20">
        <w:t>,</w:t>
      </w:r>
      <w:r w:rsidRPr="001C4C20">
        <w:t xml:space="preserve"> a potencial alteração nos parâmetros da qualidade da água, em especial nos índices de estado trófico nos trechos dos futuros reservatórios, tornar-se-á um cenário cada vez mais provável</w:t>
      </w:r>
      <w:r w:rsidR="00795B18" w:rsidRPr="001C4C20">
        <w:t>.</w:t>
      </w:r>
      <w:r w:rsidRPr="001C4C20">
        <w:t xml:space="preserve"> </w:t>
      </w:r>
      <w:r w:rsidR="00795B18" w:rsidRPr="001C4C20">
        <w:t>Cenário que tende a ser amenizado com o</w:t>
      </w:r>
      <w:r w:rsidR="00E26761" w:rsidRPr="001C4C20">
        <w:t xml:space="preserve"> adequado</w:t>
      </w:r>
      <w:r w:rsidRPr="001C4C20">
        <w:t xml:space="preserve"> tratamento dos efluentes nos municípios de montante, em especial Amparo e nas cargas difusas ca</w:t>
      </w:r>
      <w:r w:rsidR="00E26761" w:rsidRPr="001C4C20">
        <w:t>rreadas ao Pantaleão, no caso da barragem</w:t>
      </w:r>
      <w:r w:rsidRPr="001C4C20">
        <w:t xml:space="preserve"> Duas Pontes. </w:t>
      </w:r>
    </w:p>
    <w:p w:rsidR="00676D63" w:rsidRPr="001C4C20" w:rsidRDefault="00795B18" w:rsidP="00AC7DA0">
      <w:pPr>
        <w:spacing w:before="120" w:after="120" w:line="240" w:lineRule="auto"/>
        <w:ind w:left="851"/>
      </w:pPr>
      <w:r w:rsidRPr="001C4C20">
        <w:t>Sendo assim, o</w:t>
      </w:r>
      <w:r w:rsidR="00676D63" w:rsidRPr="001C4C20">
        <w:t xml:space="preserve"> padrão cumulativo das alterações nos índices da qualidade poderá ser observado, inclusive a jusante da confluência do Camanducaia com o Jaguari, com potencial agregação do efeito cumulativo das cargas efluentes ao rio Jaguari provenientes do município de Jaguariúna. </w:t>
      </w:r>
      <w:r w:rsidR="00AC7DA0" w:rsidRPr="001C4C20">
        <w:t>Dessa forma, tal impacto deve ocorrer diretamente, quando decorrente da fase de enchimento e operação dos reservatórios das barragens Pedreira e Duas Pontes, e indiretamente por meio das influências dos demais projetos existentes e futuros localizados na bacia hidrográfica dos rios Jaguari e Camanducaia.</w:t>
      </w:r>
    </w:p>
    <w:p w:rsidR="00662F35" w:rsidRDefault="00662F35">
      <w:pPr>
        <w:spacing w:line="240" w:lineRule="auto"/>
        <w:jc w:val="left"/>
        <w:rPr>
          <w:b/>
        </w:rPr>
      </w:pPr>
      <w:r>
        <w:rPr>
          <w:b/>
        </w:rPr>
        <w:br w:type="page"/>
      </w:r>
    </w:p>
    <w:p w:rsidR="00676D63" w:rsidRPr="001C4C20" w:rsidRDefault="00676D63" w:rsidP="00676D63">
      <w:pPr>
        <w:spacing w:before="120" w:after="120" w:line="240" w:lineRule="auto"/>
        <w:rPr>
          <w:b/>
        </w:rPr>
      </w:pPr>
      <w:r w:rsidRPr="001C4C20">
        <w:rPr>
          <w:b/>
        </w:rPr>
        <w:t>IMP-0</w:t>
      </w:r>
      <w:r w:rsidR="009736BB" w:rsidRPr="001C4C20">
        <w:rPr>
          <w:b/>
        </w:rPr>
        <w:t>3</w:t>
      </w:r>
      <w:r w:rsidRPr="001C4C20">
        <w:rPr>
          <w:b/>
        </w:rPr>
        <w:t xml:space="preserve"> - Perda de Cobertura Vegetal Nativa</w:t>
      </w:r>
    </w:p>
    <w:p w:rsidR="00676D63" w:rsidRPr="001C4C20" w:rsidRDefault="00676D63" w:rsidP="009736BB">
      <w:pPr>
        <w:spacing w:before="120" w:after="120" w:line="240" w:lineRule="auto"/>
        <w:ind w:left="851"/>
      </w:pPr>
      <w:r w:rsidRPr="001C4C20">
        <w:t>Além das perdas cumulativas da vegetação natural pela formação dos reservatórios d</w:t>
      </w:r>
      <w:r w:rsidR="008C15C3" w:rsidRPr="001C4C20">
        <w:t>as barragens</w:t>
      </w:r>
      <w:r w:rsidRPr="001C4C20">
        <w:t xml:space="preserve"> Pedreira e Duas Pontes, devem-se somar a estas as demais áreas com vegetação natural a serem suprimidas devido a ações e atividades decorrentes direta e indiretamente da implantação desses reservatórios. Dentre esses potenciais efeitos na vegetação, podemos citar a necessidade de readequação dos acessos locais e o potencial incremento da pressão antrópica no entorno dos reservatórios decorrente do novo rearranjo no ordenamento territorial dos municípios de Pedreira e Amparo nessa região, já próxima da área de expansão urbana desses municípios. </w:t>
      </w:r>
    </w:p>
    <w:p w:rsidR="00676D63" w:rsidRPr="001C4C20" w:rsidRDefault="00676D63" w:rsidP="009736BB">
      <w:pPr>
        <w:spacing w:before="120" w:after="120" w:line="240" w:lineRule="auto"/>
        <w:ind w:left="851"/>
      </w:pPr>
      <w:r w:rsidRPr="001C4C20">
        <w:t>Dessa forma, tal impacto deve ocorrer diretamente, quando decorrente da fase de implantação e construção das barragens Pedreira e Duas Pontes, e indiretamente devido ao papel catalizador e potencializador de alterações econômicas e territoriais de tais projetos, elevando as pressões antrópicas na região do entorno do desses reservatórios.</w:t>
      </w:r>
    </w:p>
    <w:p w:rsidR="00676D63" w:rsidRPr="001C4C20" w:rsidRDefault="00676D63" w:rsidP="00676D63">
      <w:pPr>
        <w:spacing w:before="120" w:after="120" w:line="240" w:lineRule="auto"/>
        <w:rPr>
          <w:b/>
        </w:rPr>
      </w:pPr>
      <w:r w:rsidRPr="001C4C20">
        <w:rPr>
          <w:b/>
        </w:rPr>
        <w:t>IMP-0</w:t>
      </w:r>
      <w:r w:rsidR="009736BB" w:rsidRPr="001C4C20">
        <w:rPr>
          <w:b/>
        </w:rPr>
        <w:t>4</w:t>
      </w:r>
      <w:r w:rsidRPr="001C4C20">
        <w:rPr>
          <w:b/>
        </w:rPr>
        <w:t xml:space="preserve"> – Redução da Conectividade entre Remanescentes de Cobertura Vegetal Nativa</w:t>
      </w:r>
    </w:p>
    <w:p w:rsidR="00676D63" w:rsidRPr="00797745" w:rsidRDefault="00676D63" w:rsidP="009736BB">
      <w:pPr>
        <w:spacing w:before="120" w:after="120" w:line="240" w:lineRule="auto"/>
        <w:ind w:left="851"/>
      </w:pPr>
      <w:r w:rsidRPr="00797745">
        <w:t xml:space="preserve">Conforme apresentado, parte das intervenções induzirá a fragmentação de manchas de vegetação atualmente contínuas, ou, ainda, o aumento do isolamento (redução da conectividade) entre manchas de vegetação que já se encontram isoladas. Com a implantação das barragens Pedreira e Duas Pontes os remanescentes de vegetação nativa, parcialmente comprometidos, sofrerão as consequências deletérias do efeito de borda, podendo alcançar diferentes abrangências espaciais e ser de diferentes intensidades, dependendo do tipo de formação vegetal, da área e da forma do remanescente. </w:t>
      </w:r>
    </w:p>
    <w:p w:rsidR="00676D63" w:rsidRPr="00797745" w:rsidRDefault="00676D63" w:rsidP="009736BB">
      <w:pPr>
        <w:spacing w:before="120" w:after="120" w:line="240" w:lineRule="auto"/>
        <w:ind w:left="851"/>
      </w:pPr>
      <w:r w:rsidRPr="00797745">
        <w:t xml:space="preserve">Associado ao impacto direto da supressão da vegetação, o efeito cumulativo advindo da implantação das duas barragens planejadas deve-se somar ainda aos efeitos já presentes da antropização do entorno dos futuros reservatórios </w:t>
      </w:r>
      <w:r w:rsidR="008C15C3" w:rsidRPr="00797745">
        <w:t xml:space="preserve">das barragens </w:t>
      </w:r>
      <w:r w:rsidRPr="00797745">
        <w:t xml:space="preserve">Pedreira e Duas Pontes e do potencial incremento de atividades econômicas nestes locais. </w:t>
      </w:r>
    </w:p>
    <w:p w:rsidR="006D7A9C" w:rsidRDefault="00676D63" w:rsidP="009736BB">
      <w:pPr>
        <w:spacing w:before="120" w:after="120" w:line="240" w:lineRule="auto"/>
        <w:ind w:left="851"/>
      </w:pPr>
      <w:r w:rsidRPr="00797745">
        <w:t>Dessa forma, tal impacto deve ocorrer diretamente, quando decorrente da fase de implantação e construção das barragens Pedreira e Duas Pontes, e indiretamente devido ao papel catalizador e potencializador de alterações econômicas e territoriais de tais projetos, elevando as pressões antrópicas na região do entorno do desses reservatórios.</w:t>
      </w:r>
    </w:p>
    <w:p w:rsidR="00676D63" w:rsidRPr="00797745" w:rsidRDefault="00676D63" w:rsidP="00676D63">
      <w:pPr>
        <w:spacing w:before="120" w:after="120" w:line="240" w:lineRule="auto"/>
        <w:rPr>
          <w:b/>
        </w:rPr>
      </w:pPr>
      <w:r w:rsidRPr="00797745">
        <w:rPr>
          <w:b/>
        </w:rPr>
        <w:t>IMP-0</w:t>
      </w:r>
      <w:r w:rsidR="009736BB" w:rsidRPr="00797745">
        <w:rPr>
          <w:b/>
        </w:rPr>
        <w:t>5</w:t>
      </w:r>
      <w:r w:rsidRPr="00797745">
        <w:rPr>
          <w:b/>
        </w:rPr>
        <w:t xml:space="preserve"> – Perda de Habitats para Fauna Silvestre</w:t>
      </w:r>
    </w:p>
    <w:p w:rsidR="00676D63" w:rsidRPr="00797745" w:rsidRDefault="00676D63" w:rsidP="009736BB">
      <w:pPr>
        <w:spacing w:before="120" w:after="120" w:line="240" w:lineRule="auto"/>
        <w:ind w:left="851"/>
      </w:pPr>
      <w:r w:rsidRPr="00797745">
        <w:t xml:space="preserve">O impacto da perda de vegetação implicará também na potencial diminuição da conectividade dos fragmentos de vegetação remanescente, devido à implantação das duas barragens em sub-bacias vizinhas e os demais processos decorrentes das suas implantações, conforme descrito acima. A diminuição da conectividade e a fragmentação dos remanescentes florestais tem como consequência a perda de hábitat para a fauna, decorrente da indisponibilização das condições ambientais necessárias à sobrevivência das espécies. </w:t>
      </w:r>
    </w:p>
    <w:p w:rsidR="00676D63" w:rsidRPr="00797745" w:rsidRDefault="00676D63" w:rsidP="009736BB">
      <w:pPr>
        <w:spacing w:before="120" w:after="120" w:line="240" w:lineRule="auto"/>
        <w:ind w:left="851"/>
      </w:pPr>
      <w:r w:rsidRPr="00797745">
        <w:t>Dessa forma, tal impacto deve ocorrer diretamente, quando da supressão de vegetação decorrente da fase de implantação e construção das barragens Pedreira e Duas Pontes, e indiretamente devido ao papel catalizador e potencializador de alterações econômicas e territoriais de tais projetos, elevando as pressões antrópicas na região do entorno do desses reservatórios.</w:t>
      </w:r>
    </w:p>
    <w:p w:rsidR="00676D63" w:rsidRPr="00797745" w:rsidRDefault="00676D63" w:rsidP="00676D63">
      <w:pPr>
        <w:spacing w:before="120" w:after="120" w:line="240" w:lineRule="auto"/>
        <w:rPr>
          <w:b/>
        </w:rPr>
      </w:pPr>
      <w:r w:rsidRPr="00797745">
        <w:rPr>
          <w:b/>
        </w:rPr>
        <w:t>IMP-0</w:t>
      </w:r>
      <w:r w:rsidR="009736BB" w:rsidRPr="00797745">
        <w:rPr>
          <w:b/>
        </w:rPr>
        <w:t>6</w:t>
      </w:r>
      <w:r w:rsidRPr="00797745">
        <w:rPr>
          <w:b/>
        </w:rPr>
        <w:t xml:space="preserve"> – Alteração da Fauna Aquática</w:t>
      </w:r>
    </w:p>
    <w:p w:rsidR="00676D63" w:rsidRDefault="003D14B5" w:rsidP="009736BB">
      <w:pPr>
        <w:spacing w:before="120" w:after="120" w:line="240" w:lineRule="auto"/>
        <w:ind w:left="851"/>
      </w:pPr>
      <w:r w:rsidRPr="00797745">
        <w:t>Se i</w:t>
      </w:r>
      <w:r w:rsidR="00676D63" w:rsidRPr="00797745">
        <w:t>soladamente a formação de cada um dos novos reservatórios já trará potenciais consequências negativas para a ictiofa</w:t>
      </w:r>
      <w:r w:rsidRPr="00797745">
        <w:t>una regional</w:t>
      </w:r>
      <w:r w:rsidR="003A71B0">
        <w:t xml:space="preserve"> </w:t>
      </w:r>
      <w:r w:rsidR="003A71B0" w:rsidRPr="002732BC">
        <w:t xml:space="preserve">(ver item </w:t>
      </w:r>
      <w:r w:rsidR="003D68CB" w:rsidRPr="002732BC">
        <w:t>1.</w:t>
      </w:r>
      <w:r w:rsidR="003D68CB" w:rsidRPr="003D68CB">
        <w:t>3.2.13. Perda e Alteração de Habitats da Ictiofauna</w:t>
      </w:r>
      <w:r w:rsidR="002732BC">
        <w:t>)</w:t>
      </w:r>
      <w:r w:rsidRPr="00797745">
        <w:t>,</w:t>
      </w:r>
      <w:r w:rsidR="00676D63" w:rsidRPr="00797745">
        <w:t xml:space="preserve"> </w:t>
      </w:r>
      <w:r w:rsidRPr="00797745">
        <w:t xml:space="preserve">a </w:t>
      </w:r>
      <w:r w:rsidR="00676D63" w:rsidRPr="00797745">
        <w:t xml:space="preserve">formação de dois reservatórios em sub-bacias vizinhas poderá ter efeitos cumulativos para </w:t>
      </w:r>
      <w:r w:rsidR="003A71B0">
        <w:t xml:space="preserve">as </w:t>
      </w:r>
      <w:r w:rsidR="00676D63" w:rsidRPr="00797745">
        <w:t>comunidade</w:t>
      </w:r>
      <w:r w:rsidR="003A71B0">
        <w:t>s</w:t>
      </w:r>
      <w:r w:rsidR="00676D63" w:rsidRPr="00797745">
        <w:t xml:space="preserve"> aquática</w:t>
      </w:r>
      <w:r w:rsidR="003A71B0">
        <w:t>s</w:t>
      </w:r>
      <w:r w:rsidR="00676D63" w:rsidRPr="00797745">
        <w:t xml:space="preserve">, tanto diretamente pela alteração do ambiente lótico, quanto pela perda de ambientes específicos como tributários e afluentes. Tais </w:t>
      </w:r>
      <w:r w:rsidR="00676D63" w:rsidRPr="006F619B">
        <w:t>efeitos podem ser potencializados pelo efeito de cascata com as barragens existentes a montante, no caso do rio Jaguari, ou pelo efeito das perdas de habitats e das condições adversa</w:t>
      </w:r>
      <w:r w:rsidR="00676D63" w:rsidRPr="00797745">
        <w:t xml:space="preserve">s dos parâmetros de qualidade da água, especialmente no caso do rio Camanducaia no trecho em que atravessa a área urbana de Amparo.  </w:t>
      </w:r>
    </w:p>
    <w:p w:rsidR="003A71B0" w:rsidRPr="00797745" w:rsidRDefault="003A71B0" w:rsidP="009736BB">
      <w:pPr>
        <w:spacing w:before="120" w:after="120" w:line="240" w:lineRule="auto"/>
        <w:ind w:left="851"/>
      </w:pPr>
      <w:r>
        <w:t xml:space="preserve">É importante ressaltar, porém, que no caso da Barragem Pedreira o efeito sobre a interrupção da rota migratória já ocorre no rio Jaguari, justamente pela presença da barragem da PCH Jaguari, a montante, a qual não apresenta mecanismos de transposição. Sendo assim, o efeito </w:t>
      </w:r>
      <w:r w:rsidR="006F619B">
        <w:t xml:space="preserve">negativo do reservatório da Barragem Pedreira </w:t>
      </w:r>
      <w:r>
        <w:t>sobre a ictiofauna se dará mais pela perda d</w:t>
      </w:r>
      <w:r w:rsidR="006F619B">
        <w:t>os</w:t>
      </w:r>
      <w:r>
        <w:t xml:space="preserve"> potencias ambientes de reprodução do que pela interrupção da rota migrat</w:t>
      </w:r>
      <w:r w:rsidR="006F619B">
        <w:t>ória.</w:t>
      </w:r>
    </w:p>
    <w:p w:rsidR="003D14B5" w:rsidRPr="000E36B3" w:rsidRDefault="006F619B" w:rsidP="006F27CD">
      <w:pPr>
        <w:spacing w:before="120" w:after="120" w:line="240" w:lineRule="auto"/>
        <w:ind w:left="851"/>
      </w:pPr>
      <w:r>
        <w:t>P</w:t>
      </w:r>
      <w:r w:rsidR="003D14B5" w:rsidRPr="000E36B3">
        <w:t>odemos inferir que tal impacto deve ocorrer de forma direta, quando do enchimento dos reservatórios das barragens Pedreira e Duas Pontes, e indiretamente pelas alterações consequentes nos parâmetros da qualidade da água, elevando, assim, os efeitos deletérios sobre a comunidade</w:t>
      </w:r>
      <w:r w:rsidR="003D14B5" w:rsidRPr="000E36B3">
        <w:rPr>
          <w:rFonts w:cs="Arial"/>
          <w:b/>
          <w:bCs/>
          <w:szCs w:val="22"/>
        </w:rPr>
        <w:t xml:space="preserve"> </w:t>
      </w:r>
      <w:r w:rsidR="003D14B5" w:rsidRPr="000E36B3">
        <w:rPr>
          <w:rFonts w:cs="Arial"/>
          <w:bCs/>
          <w:szCs w:val="22"/>
        </w:rPr>
        <w:t>Ictíica</w:t>
      </w:r>
      <w:r w:rsidR="003D14B5" w:rsidRPr="000E36B3">
        <w:t xml:space="preserve"> regional.</w:t>
      </w:r>
    </w:p>
    <w:p w:rsidR="00676D63" w:rsidRPr="00C81961" w:rsidRDefault="009736BB" w:rsidP="00C81961">
      <w:pPr>
        <w:pStyle w:val="Ttulo4"/>
      </w:pPr>
      <w:bookmarkStart w:id="471" w:name="_Toc418758272"/>
      <w:bookmarkStart w:id="472" w:name="_Toc418758874"/>
      <w:bookmarkStart w:id="473" w:name="_Toc419813634"/>
      <w:r w:rsidRPr="00C81961">
        <w:t>1.</w:t>
      </w:r>
      <w:r w:rsidR="00C81961">
        <w:t>4</w:t>
      </w:r>
      <w:r w:rsidRPr="00C81961">
        <w:t>.</w:t>
      </w:r>
      <w:r w:rsidR="00C81961">
        <w:t>1</w:t>
      </w:r>
      <w:r w:rsidRPr="00C81961">
        <w:t xml:space="preserve">.2. </w:t>
      </w:r>
      <w:r w:rsidR="00676D63" w:rsidRPr="00C81961">
        <w:t>Meio Socioeconômico</w:t>
      </w:r>
      <w:bookmarkEnd w:id="471"/>
      <w:bookmarkEnd w:id="472"/>
      <w:bookmarkEnd w:id="473"/>
    </w:p>
    <w:p w:rsidR="00676D63" w:rsidRPr="000E36B3" w:rsidRDefault="00676D63" w:rsidP="00676D63">
      <w:pPr>
        <w:spacing w:before="120" w:after="120" w:line="240" w:lineRule="auto"/>
        <w:rPr>
          <w:b/>
        </w:rPr>
      </w:pPr>
      <w:r w:rsidRPr="000E36B3">
        <w:rPr>
          <w:b/>
        </w:rPr>
        <w:t>IMP-0</w:t>
      </w:r>
      <w:r w:rsidR="00F90A06">
        <w:rPr>
          <w:b/>
        </w:rPr>
        <w:t>7</w:t>
      </w:r>
      <w:r w:rsidRPr="000E36B3">
        <w:rPr>
          <w:b/>
        </w:rPr>
        <w:t xml:space="preserve">- </w:t>
      </w:r>
      <w:r w:rsidRPr="000E36B3">
        <w:rPr>
          <w:rFonts w:cs="Arial"/>
          <w:b/>
          <w:szCs w:val="22"/>
        </w:rPr>
        <w:t>Alteração das Relações Econômicas, Sociais e Culturais</w:t>
      </w:r>
    </w:p>
    <w:p w:rsidR="00DE2DD0" w:rsidRPr="000E36B3" w:rsidRDefault="00676D63" w:rsidP="009736BB">
      <w:pPr>
        <w:spacing w:before="120" w:after="120" w:line="240" w:lineRule="auto"/>
        <w:ind w:left="851"/>
        <w:rPr>
          <w:rFonts w:eastAsia="Calibri"/>
          <w:szCs w:val="22"/>
          <w:lang w:eastAsia="en-US"/>
        </w:rPr>
      </w:pPr>
      <w:r w:rsidRPr="000E36B3">
        <w:rPr>
          <w:rFonts w:eastAsia="Calibri"/>
          <w:szCs w:val="22"/>
          <w:lang w:eastAsia="en-US"/>
        </w:rPr>
        <w:t>A</w:t>
      </w:r>
      <w:r w:rsidR="00DE2DD0" w:rsidRPr="000E36B3">
        <w:rPr>
          <w:rFonts w:eastAsia="Calibri"/>
          <w:szCs w:val="22"/>
          <w:lang w:eastAsia="en-US"/>
        </w:rPr>
        <w:t xml:space="preserve"> modificação da dinâmica de ocupação territorial na região do entorno dos futuros reservatórios aliada às pressões e processos que envolverão a</w:t>
      </w:r>
      <w:r w:rsidRPr="000E36B3">
        <w:rPr>
          <w:rFonts w:eastAsia="Calibri"/>
          <w:szCs w:val="22"/>
          <w:lang w:eastAsia="en-US"/>
        </w:rPr>
        <w:t xml:space="preserve"> negociação de terras com proprietários e não proprietários, devido à retirada de ed</w:t>
      </w:r>
      <w:r w:rsidR="00DE2DD0" w:rsidRPr="000E36B3">
        <w:rPr>
          <w:rFonts w:eastAsia="Calibri"/>
          <w:szCs w:val="22"/>
          <w:lang w:eastAsia="en-US"/>
        </w:rPr>
        <w:t>ificações e da população da ADA terão efeitos na</w:t>
      </w:r>
      <w:r w:rsidRPr="000E36B3">
        <w:rPr>
          <w:rFonts w:eastAsia="Calibri"/>
          <w:szCs w:val="22"/>
          <w:lang w:eastAsia="en-US"/>
        </w:rPr>
        <w:t xml:space="preserve">s relações econômicas, sociais e culturais </w:t>
      </w:r>
      <w:r w:rsidR="00DE2DD0" w:rsidRPr="000E36B3">
        <w:rPr>
          <w:rFonts w:eastAsia="Calibri"/>
          <w:szCs w:val="22"/>
          <w:lang w:eastAsia="en-US"/>
        </w:rPr>
        <w:t xml:space="preserve">da população residente. </w:t>
      </w:r>
    </w:p>
    <w:p w:rsidR="00DE2DD0" w:rsidRPr="00184EF9" w:rsidRDefault="00DE2DD0" w:rsidP="009736BB">
      <w:pPr>
        <w:spacing w:before="120" w:after="120" w:line="240" w:lineRule="auto"/>
        <w:ind w:left="851"/>
        <w:rPr>
          <w:rFonts w:eastAsia="Calibri"/>
          <w:szCs w:val="22"/>
          <w:lang w:eastAsia="en-US"/>
        </w:rPr>
      </w:pPr>
      <w:r w:rsidRPr="00184EF9">
        <w:rPr>
          <w:rFonts w:eastAsia="Calibri"/>
          <w:szCs w:val="22"/>
          <w:lang w:eastAsia="en-US"/>
        </w:rPr>
        <w:t>A população das áreas rurais diretamente afetadas pelas barragens Pedreira e Duas Pontes sofrerão diretamente os efeitos da construção pela realocação e modificação da distribuição espacial das residências, mas também de forma indireta pela potencial alteração nas características dos bairros rurais locais</w:t>
      </w:r>
      <w:r w:rsidR="006F619B">
        <w:rPr>
          <w:rFonts w:eastAsia="Calibri"/>
          <w:szCs w:val="22"/>
          <w:lang w:eastAsia="en-US"/>
        </w:rPr>
        <w:t xml:space="preserve"> decorrentes d</w:t>
      </w:r>
      <w:r w:rsidRPr="00184EF9">
        <w:rPr>
          <w:rFonts w:eastAsia="Calibri"/>
          <w:szCs w:val="22"/>
          <w:lang w:eastAsia="en-US"/>
        </w:rPr>
        <w:t xml:space="preserve">a construção das duas barragens, capazes de gerar efeitos e pressões na economia regional, com reflexos </w:t>
      </w:r>
      <w:r w:rsidR="00E80468" w:rsidRPr="00184EF9">
        <w:rPr>
          <w:rFonts w:eastAsia="Calibri"/>
          <w:szCs w:val="22"/>
          <w:lang w:eastAsia="en-US"/>
        </w:rPr>
        <w:t xml:space="preserve">cumulativos, </w:t>
      </w:r>
      <w:r w:rsidRPr="00184EF9">
        <w:rPr>
          <w:rFonts w:eastAsia="Calibri"/>
          <w:szCs w:val="22"/>
          <w:lang w:eastAsia="en-US"/>
        </w:rPr>
        <w:t>positivos ou negativos</w:t>
      </w:r>
      <w:r w:rsidR="00E80468" w:rsidRPr="00184EF9">
        <w:rPr>
          <w:rFonts w:eastAsia="Calibri"/>
          <w:szCs w:val="22"/>
          <w:lang w:eastAsia="en-US"/>
        </w:rPr>
        <w:t>,</w:t>
      </w:r>
      <w:r w:rsidRPr="00184EF9">
        <w:rPr>
          <w:rFonts w:eastAsia="Calibri"/>
          <w:szCs w:val="22"/>
          <w:lang w:eastAsia="en-US"/>
        </w:rPr>
        <w:t xml:space="preserve"> no ordenamento territorial dos municípios atingidos.</w:t>
      </w:r>
    </w:p>
    <w:p w:rsidR="003D1B7E" w:rsidRPr="00184EF9" w:rsidRDefault="00DE2DD0" w:rsidP="0040225E">
      <w:pPr>
        <w:spacing w:before="120" w:after="120" w:line="240" w:lineRule="auto"/>
        <w:ind w:left="851"/>
      </w:pPr>
      <w:r w:rsidRPr="00184EF9">
        <w:t>Sendo assim, podemos inferir que tal impacto deve ocorrer de forma direta, quando do enchimento dos reservatórios das barragens Pedreira</w:t>
      </w:r>
      <w:r w:rsidR="00184EF9" w:rsidRPr="00184EF9">
        <w:t xml:space="preserve"> e Duas Pontes, e indiretamente</w:t>
      </w:r>
      <w:r w:rsidR="00EB211D" w:rsidRPr="00184EF9">
        <w:t xml:space="preserve"> devido ao papel catalizador e potencializador de alterações econômicas e territoriais de tais projetos, elevando as pressões an</w:t>
      </w:r>
      <w:r w:rsidR="00184EF9" w:rsidRPr="00184EF9">
        <w:t>trópicas na região do entorno</w:t>
      </w:r>
      <w:r w:rsidR="00EB211D" w:rsidRPr="00184EF9">
        <w:t xml:space="preserve"> desses reservatórios.</w:t>
      </w:r>
    </w:p>
    <w:p w:rsidR="00966259" w:rsidRPr="00184EF9" w:rsidRDefault="00966259" w:rsidP="00C81961">
      <w:pPr>
        <w:pStyle w:val="Ttulo3"/>
      </w:pPr>
      <w:bookmarkStart w:id="474" w:name="_Toc418758273"/>
      <w:bookmarkStart w:id="475" w:name="_Toc418758875"/>
      <w:bookmarkStart w:id="476" w:name="_Toc419813635"/>
      <w:r w:rsidRPr="00184EF9">
        <w:t>1.4.2. Impactos Sinérgicos</w:t>
      </w:r>
      <w:bookmarkEnd w:id="474"/>
      <w:bookmarkEnd w:id="475"/>
      <w:bookmarkEnd w:id="476"/>
    </w:p>
    <w:p w:rsidR="00676D63" w:rsidRPr="00184EF9" w:rsidRDefault="00C66643" w:rsidP="003D1B7E">
      <w:pPr>
        <w:spacing w:before="120" w:after="120" w:line="240" w:lineRule="auto"/>
      </w:pPr>
      <w:r w:rsidRPr="00184EF9">
        <w:t xml:space="preserve">A partir dos potenciais impactos cumulativos identificados foram analisados os possíveis efeitos sinérgicos decorrentes da combinação </w:t>
      </w:r>
      <w:r w:rsidR="007A178B" w:rsidRPr="00184EF9">
        <w:t xml:space="preserve">ou adição de tais impactos e que devem servir como subsídio para a e elaboração dos programas de mitigação ou compensação, ou mesmo políticas públicas inerentes ao gerenciamento do entorno dos dois reservatórios planejados. </w:t>
      </w:r>
    </w:p>
    <w:p w:rsidR="00F90A06" w:rsidRDefault="007A178B" w:rsidP="003D1B7E">
      <w:pPr>
        <w:spacing w:before="120" w:after="120" w:line="240" w:lineRule="auto"/>
      </w:pPr>
      <w:r w:rsidRPr="00FC59A6">
        <w:t xml:space="preserve">O Quadro </w:t>
      </w:r>
      <w:r w:rsidR="00C81961" w:rsidRPr="00FC59A6">
        <w:t>1.4.</w:t>
      </w:r>
      <w:r w:rsidR="00AF7D92" w:rsidRPr="00FC59A6">
        <w:t>2</w:t>
      </w:r>
      <w:r w:rsidRPr="00FC59A6">
        <w:t xml:space="preserve"> a seguir, identifica as possíveis relações entre os impactos cumulativos</w:t>
      </w:r>
      <w:r w:rsidRPr="00184EF9">
        <w:t xml:space="preserve"> capazes de gerar efeitos sinérgicos nas áreas de influência das Barragens Pedreira e Duas Pontes. </w:t>
      </w:r>
    </w:p>
    <w:p w:rsidR="00B42047" w:rsidRDefault="00B42047" w:rsidP="003D1B7E">
      <w:pPr>
        <w:spacing w:before="120" w:after="120" w:line="240" w:lineRule="auto"/>
      </w:pPr>
      <w:r>
        <w:br w:type="page"/>
      </w:r>
    </w:p>
    <w:p w:rsidR="00B42047" w:rsidRDefault="00B42047" w:rsidP="003D1B7E">
      <w:pPr>
        <w:spacing w:before="120" w:after="120" w:line="240" w:lineRule="auto"/>
      </w:pPr>
    </w:p>
    <w:p w:rsidR="00447D99" w:rsidRPr="00B73D6E" w:rsidRDefault="00B73D6E" w:rsidP="00B73D6E">
      <w:pPr>
        <w:pStyle w:val="Legenda"/>
        <w:jc w:val="center"/>
        <w:rPr>
          <w:b w:val="0"/>
          <w:i w:val="0"/>
        </w:rPr>
      </w:pPr>
      <w:bookmarkStart w:id="477" w:name="_Toc419814600"/>
      <w:r w:rsidRPr="00B73D6E">
        <w:rPr>
          <w:i w:val="0"/>
        </w:rPr>
        <w:t>Quadro 1.4.</w:t>
      </w:r>
      <w:r w:rsidR="00B80A05" w:rsidRPr="00B73D6E">
        <w:rPr>
          <w:i w:val="0"/>
        </w:rPr>
        <w:fldChar w:fldCharType="begin"/>
      </w:r>
      <w:r w:rsidRPr="00B73D6E">
        <w:rPr>
          <w:i w:val="0"/>
        </w:rPr>
        <w:instrText xml:space="preserve"> SEQ Quadro_1.4. \* ARABIC </w:instrText>
      </w:r>
      <w:r w:rsidR="00B80A05" w:rsidRPr="00B73D6E">
        <w:rPr>
          <w:i w:val="0"/>
        </w:rPr>
        <w:fldChar w:fldCharType="separate"/>
      </w:r>
      <w:r w:rsidR="00316060">
        <w:rPr>
          <w:i w:val="0"/>
          <w:noProof/>
        </w:rPr>
        <w:t>2</w:t>
      </w:r>
      <w:r w:rsidR="00B80A05" w:rsidRPr="00B73D6E">
        <w:rPr>
          <w:i w:val="0"/>
        </w:rPr>
        <w:fldChar w:fldCharType="end"/>
      </w:r>
      <w:r w:rsidRPr="00B73D6E">
        <w:rPr>
          <w:i w:val="0"/>
        </w:rPr>
        <w:t>. -</w:t>
      </w:r>
      <w:r w:rsidR="00C81961" w:rsidRPr="00B73D6E">
        <w:rPr>
          <w:b w:val="0"/>
          <w:i w:val="0"/>
        </w:rPr>
        <w:t xml:space="preserve"> </w:t>
      </w:r>
      <w:r w:rsidR="00AF7D92" w:rsidRPr="00B73D6E">
        <w:rPr>
          <w:b w:val="0"/>
          <w:i w:val="0"/>
        </w:rPr>
        <w:t>Potenciais</w:t>
      </w:r>
      <w:r w:rsidR="00BA6466" w:rsidRPr="00B73D6E">
        <w:rPr>
          <w:b w:val="0"/>
          <w:i w:val="0"/>
        </w:rPr>
        <w:t xml:space="preserve"> </w:t>
      </w:r>
      <w:r w:rsidR="0040225E" w:rsidRPr="00B73D6E">
        <w:rPr>
          <w:b w:val="0"/>
          <w:i w:val="0"/>
        </w:rPr>
        <w:t>Sinergias Relacionadas aos Impactos I</w:t>
      </w:r>
      <w:r w:rsidR="00BA6466" w:rsidRPr="00B73D6E">
        <w:rPr>
          <w:b w:val="0"/>
          <w:i w:val="0"/>
        </w:rPr>
        <w:t>dentificados</w:t>
      </w:r>
      <w:bookmarkEnd w:id="477"/>
    </w:p>
    <w:tbl>
      <w:tblPr>
        <w:tblW w:w="9371" w:type="dxa"/>
        <w:tblInd w:w="55" w:type="dxa"/>
        <w:tblCellMar>
          <w:left w:w="70" w:type="dxa"/>
          <w:right w:w="70" w:type="dxa"/>
        </w:tblCellMar>
        <w:tblLook w:val="04A0" w:firstRow="1" w:lastRow="0" w:firstColumn="1" w:lastColumn="0" w:noHBand="0" w:noVBand="1"/>
      </w:tblPr>
      <w:tblGrid>
        <w:gridCol w:w="5827"/>
        <w:gridCol w:w="506"/>
        <w:gridCol w:w="506"/>
        <w:gridCol w:w="506"/>
        <w:gridCol w:w="507"/>
        <w:gridCol w:w="506"/>
        <w:gridCol w:w="506"/>
        <w:gridCol w:w="507"/>
      </w:tblGrid>
      <w:tr w:rsidR="003A71B0" w:rsidRPr="00447D99" w:rsidTr="0095613B">
        <w:trPr>
          <w:trHeight w:val="956"/>
        </w:trPr>
        <w:tc>
          <w:tcPr>
            <w:tcW w:w="5827"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A71B0" w:rsidRPr="00447D99" w:rsidRDefault="003A71B0" w:rsidP="00447D99">
            <w:pPr>
              <w:spacing w:line="240" w:lineRule="auto"/>
              <w:jc w:val="center"/>
              <w:rPr>
                <w:rFonts w:cs="Arial"/>
                <w:b/>
                <w:bCs/>
                <w:color w:val="000000"/>
                <w:sz w:val="20"/>
                <w:szCs w:val="18"/>
              </w:rPr>
            </w:pPr>
            <w:r w:rsidRPr="00447D99">
              <w:rPr>
                <w:rFonts w:cs="Arial"/>
                <w:b/>
                <w:bCs/>
                <w:color w:val="000000"/>
                <w:szCs w:val="18"/>
              </w:rPr>
              <w:t>Impactos Ambientais</w:t>
            </w:r>
          </w:p>
        </w:tc>
        <w:tc>
          <w:tcPr>
            <w:tcW w:w="506" w:type="dxa"/>
            <w:tcBorders>
              <w:top w:val="single" w:sz="8" w:space="0" w:color="auto"/>
              <w:left w:val="nil"/>
              <w:bottom w:val="single" w:sz="8" w:space="0" w:color="auto"/>
              <w:right w:val="single" w:sz="8" w:space="0" w:color="auto"/>
            </w:tcBorders>
            <w:shd w:val="clear" w:color="000000" w:fill="E6E6E6"/>
            <w:textDirection w:val="btLr"/>
            <w:vAlign w:val="center"/>
            <w:hideMark/>
          </w:tcPr>
          <w:p w:rsidR="003A71B0" w:rsidRPr="00447D99" w:rsidRDefault="003A71B0" w:rsidP="003A71B0">
            <w:pPr>
              <w:spacing w:line="240" w:lineRule="auto"/>
              <w:jc w:val="center"/>
              <w:rPr>
                <w:rFonts w:cs="Arial"/>
                <w:bCs/>
                <w:color w:val="000000"/>
                <w:sz w:val="20"/>
                <w:szCs w:val="18"/>
              </w:rPr>
            </w:pPr>
            <w:r w:rsidRPr="00966259">
              <w:rPr>
                <w:rFonts w:cs="Arial"/>
                <w:bCs/>
                <w:color w:val="000000"/>
                <w:sz w:val="20"/>
                <w:szCs w:val="18"/>
              </w:rPr>
              <w:t>IMP-0</w:t>
            </w:r>
            <w:r>
              <w:rPr>
                <w:rFonts w:cs="Arial"/>
                <w:bCs/>
                <w:color w:val="000000"/>
                <w:sz w:val="20"/>
                <w:szCs w:val="18"/>
              </w:rPr>
              <w:t>7</w:t>
            </w:r>
          </w:p>
        </w:tc>
        <w:tc>
          <w:tcPr>
            <w:tcW w:w="506" w:type="dxa"/>
            <w:tcBorders>
              <w:top w:val="single" w:sz="8" w:space="0" w:color="auto"/>
              <w:left w:val="nil"/>
              <w:bottom w:val="single" w:sz="8" w:space="0" w:color="auto"/>
              <w:right w:val="single" w:sz="8" w:space="0" w:color="auto"/>
            </w:tcBorders>
            <w:shd w:val="clear" w:color="000000" w:fill="E6E6E6"/>
            <w:textDirection w:val="btLr"/>
            <w:vAlign w:val="center"/>
            <w:hideMark/>
          </w:tcPr>
          <w:p w:rsidR="003A71B0" w:rsidRPr="00447D99" w:rsidRDefault="003A71B0" w:rsidP="00447D99">
            <w:pPr>
              <w:spacing w:line="240" w:lineRule="auto"/>
              <w:jc w:val="center"/>
              <w:rPr>
                <w:rFonts w:cs="Arial"/>
                <w:bCs/>
                <w:color w:val="000000"/>
                <w:sz w:val="20"/>
                <w:szCs w:val="18"/>
              </w:rPr>
            </w:pPr>
            <w:r w:rsidRPr="00966259">
              <w:rPr>
                <w:rFonts w:cs="Arial"/>
                <w:bCs/>
                <w:color w:val="000000"/>
                <w:sz w:val="20"/>
                <w:szCs w:val="18"/>
              </w:rPr>
              <w:t>IMP-0</w:t>
            </w:r>
            <w:r w:rsidRPr="00447D99">
              <w:rPr>
                <w:rFonts w:cs="Arial"/>
                <w:bCs/>
                <w:color w:val="000000"/>
                <w:sz w:val="20"/>
                <w:szCs w:val="18"/>
              </w:rPr>
              <w:t>6</w:t>
            </w:r>
          </w:p>
        </w:tc>
        <w:tc>
          <w:tcPr>
            <w:tcW w:w="506" w:type="dxa"/>
            <w:tcBorders>
              <w:top w:val="single" w:sz="8" w:space="0" w:color="auto"/>
              <w:left w:val="nil"/>
              <w:bottom w:val="single" w:sz="8" w:space="0" w:color="auto"/>
              <w:right w:val="single" w:sz="8" w:space="0" w:color="auto"/>
            </w:tcBorders>
            <w:shd w:val="clear" w:color="000000" w:fill="E6E6E6"/>
            <w:textDirection w:val="btLr"/>
            <w:vAlign w:val="center"/>
            <w:hideMark/>
          </w:tcPr>
          <w:p w:rsidR="003A71B0" w:rsidRPr="00447D99" w:rsidRDefault="003A71B0" w:rsidP="00447D99">
            <w:pPr>
              <w:spacing w:line="240" w:lineRule="auto"/>
              <w:jc w:val="center"/>
              <w:rPr>
                <w:rFonts w:cs="Arial"/>
                <w:bCs/>
                <w:color w:val="000000"/>
                <w:sz w:val="20"/>
                <w:szCs w:val="18"/>
              </w:rPr>
            </w:pPr>
            <w:r w:rsidRPr="00966259">
              <w:rPr>
                <w:rFonts w:cs="Arial"/>
                <w:bCs/>
                <w:color w:val="000000"/>
                <w:sz w:val="20"/>
                <w:szCs w:val="18"/>
              </w:rPr>
              <w:t>IMP-0</w:t>
            </w:r>
            <w:r w:rsidRPr="00447D99">
              <w:rPr>
                <w:rFonts w:cs="Arial"/>
                <w:bCs/>
                <w:color w:val="000000"/>
                <w:sz w:val="20"/>
                <w:szCs w:val="18"/>
              </w:rPr>
              <w:t>5</w:t>
            </w:r>
          </w:p>
        </w:tc>
        <w:tc>
          <w:tcPr>
            <w:tcW w:w="507" w:type="dxa"/>
            <w:tcBorders>
              <w:top w:val="single" w:sz="8" w:space="0" w:color="auto"/>
              <w:left w:val="nil"/>
              <w:bottom w:val="single" w:sz="8" w:space="0" w:color="auto"/>
              <w:right w:val="single" w:sz="8" w:space="0" w:color="auto"/>
            </w:tcBorders>
            <w:shd w:val="clear" w:color="000000" w:fill="E6E6E6"/>
            <w:textDirection w:val="btLr"/>
            <w:vAlign w:val="center"/>
            <w:hideMark/>
          </w:tcPr>
          <w:p w:rsidR="003A71B0" w:rsidRPr="00447D99" w:rsidRDefault="003A71B0" w:rsidP="00447D99">
            <w:pPr>
              <w:spacing w:line="240" w:lineRule="auto"/>
              <w:jc w:val="center"/>
              <w:rPr>
                <w:rFonts w:cs="Arial"/>
                <w:bCs/>
                <w:color w:val="000000"/>
                <w:sz w:val="20"/>
                <w:szCs w:val="18"/>
              </w:rPr>
            </w:pPr>
            <w:r w:rsidRPr="00966259">
              <w:rPr>
                <w:rFonts w:cs="Arial"/>
                <w:bCs/>
                <w:color w:val="000000"/>
                <w:sz w:val="20"/>
                <w:szCs w:val="18"/>
              </w:rPr>
              <w:t>IMP-0</w:t>
            </w:r>
            <w:r w:rsidRPr="00447D99">
              <w:rPr>
                <w:rFonts w:cs="Arial"/>
                <w:bCs/>
                <w:color w:val="000000"/>
                <w:sz w:val="20"/>
                <w:szCs w:val="18"/>
              </w:rPr>
              <w:t>4</w:t>
            </w:r>
          </w:p>
        </w:tc>
        <w:tc>
          <w:tcPr>
            <w:tcW w:w="506" w:type="dxa"/>
            <w:tcBorders>
              <w:top w:val="single" w:sz="8" w:space="0" w:color="auto"/>
              <w:left w:val="nil"/>
              <w:bottom w:val="single" w:sz="8" w:space="0" w:color="auto"/>
              <w:right w:val="single" w:sz="8" w:space="0" w:color="auto"/>
            </w:tcBorders>
            <w:shd w:val="clear" w:color="000000" w:fill="E6E6E6"/>
            <w:textDirection w:val="btLr"/>
            <w:vAlign w:val="center"/>
            <w:hideMark/>
          </w:tcPr>
          <w:p w:rsidR="003A71B0" w:rsidRPr="00447D99" w:rsidRDefault="003A71B0" w:rsidP="00447D99">
            <w:pPr>
              <w:spacing w:line="240" w:lineRule="auto"/>
              <w:jc w:val="center"/>
              <w:rPr>
                <w:rFonts w:cs="Arial"/>
                <w:bCs/>
                <w:color w:val="000000"/>
                <w:sz w:val="20"/>
                <w:szCs w:val="18"/>
              </w:rPr>
            </w:pPr>
            <w:r w:rsidRPr="00966259">
              <w:rPr>
                <w:rFonts w:cs="Arial"/>
                <w:bCs/>
                <w:color w:val="000000"/>
                <w:sz w:val="20"/>
                <w:szCs w:val="18"/>
              </w:rPr>
              <w:t>IMP-0</w:t>
            </w:r>
            <w:r w:rsidRPr="00447D99">
              <w:rPr>
                <w:rFonts w:cs="Arial"/>
                <w:bCs/>
                <w:color w:val="000000"/>
                <w:sz w:val="20"/>
                <w:szCs w:val="18"/>
              </w:rPr>
              <w:t>3</w:t>
            </w:r>
          </w:p>
        </w:tc>
        <w:tc>
          <w:tcPr>
            <w:tcW w:w="506" w:type="dxa"/>
            <w:tcBorders>
              <w:top w:val="single" w:sz="8" w:space="0" w:color="auto"/>
              <w:left w:val="nil"/>
              <w:bottom w:val="single" w:sz="8" w:space="0" w:color="auto"/>
              <w:right w:val="single" w:sz="8" w:space="0" w:color="auto"/>
            </w:tcBorders>
            <w:shd w:val="clear" w:color="000000" w:fill="E6E6E6"/>
            <w:textDirection w:val="btLr"/>
            <w:vAlign w:val="center"/>
            <w:hideMark/>
          </w:tcPr>
          <w:p w:rsidR="003A71B0" w:rsidRPr="00447D99" w:rsidRDefault="003A71B0" w:rsidP="00447D99">
            <w:pPr>
              <w:spacing w:line="240" w:lineRule="auto"/>
              <w:jc w:val="center"/>
              <w:rPr>
                <w:rFonts w:cs="Arial"/>
                <w:bCs/>
                <w:color w:val="000000"/>
                <w:sz w:val="20"/>
                <w:szCs w:val="18"/>
              </w:rPr>
            </w:pPr>
            <w:r w:rsidRPr="00966259">
              <w:rPr>
                <w:rFonts w:cs="Arial"/>
                <w:bCs/>
                <w:color w:val="000000"/>
                <w:sz w:val="20"/>
                <w:szCs w:val="18"/>
              </w:rPr>
              <w:t>IMP-0</w:t>
            </w:r>
            <w:r w:rsidRPr="00447D99">
              <w:rPr>
                <w:rFonts w:cs="Arial"/>
                <w:bCs/>
                <w:color w:val="000000"/>
                <w:sz w:val="20"/>
                <w:szCs w:val="18"/>
              </w:rPr>
              <w:t>2</w:t>
            </w:r>
          </w:p>
        </w:tc>
        <w:tc>
          <w:tcPr>
            <w:tcW w:w="507" w:type="dxa"/>
            <w:tcBorders>
              <w:top w:val="single" w:sz="8" w:space="0" w:color="auto"/>
              <w:left w:val="nil"/>
              <w:bottom w:val="single" w:sz="8" w:space="0" w:color="auto"/>
              <w:right w:val="single" w:sz="8" w:space="0" w:color="auto"/>
            </w:tcBorders>
            <w:shd w:val="clear" w:color="000000" w:fill="E6E6E6"/>
            <w:textDirection w:val="btLr"/>
            <w:vAlign w:val="center"/>
            <w:hideMark/>
          </w:tcPr>
          <w:p w:rsidR="003A71B0" w:rsidRPr="00447D99" w:rsidRDefault="003A71B0" w:rsidP="00447D99">
            <w:pPr>
              <w:spacing w:line="240" w:lineRule="auto"/>
              <w:jc w:val="center"/>
              <w:rPr>
                <w:rFonts w:cs="Arial"/>
                <w:bCs/>
                <w:color w:val="000000"/>
                <w:sz w:val="20"/>
                <w:szCs w:val="18"/>
              </w:rPr>
            </w:pPr>
            <w:r w:rsidRPr="00966259">
              <w:rPr>
                <w:rFonts w:cs="Arial"/>
                <w:bCs/>
                <w:color w:val="000000"/>
                <w:sz w:val="20"/>
                <w:szCs w:val="18"/>
              </w:rPr>
              <w:t>IMP-0</w:t>
            </w:r>
            <w:r w:rsidRPr="00447D99">
              <w:rPr>
                <w:rFonts w:cs="Arial"/>
                <w:bCs/>
                <w:color w:val="000000"/>
                <w:sz w:val="20"/>
                <w:szCs w:val="18"/>
              </w:rPr>
              <w:t>1</w:t>
            </w:r>
          </w:p>
        </w:tc>
      </w:tr>
      <w:tr w:rsidR="003A71B0" w:rsidRPr="00447D99" w:rsidTr="0095613B">
        <w:trPr>
          <w:trHeight w:val="544"/>
        </w:trPr>
        <w:tc>
          <w:tcPr>
            <w:tcW w:w="5827" w:type="dxa"/>
            <w:tcBorders>
              <w:top w:val="nil"/>
              <w:left w:val="single" w:sz="8" w:space="0" w:color="auto"/>
              <w:bottom w:val="single" w:sz="8" w:space="0" w:color="auto"/>
              <w:right w:val="single" w:sz="8" w:space="0" w:color="auto"/>
            </w:tcBorders>
            <w:shd w:val="clear" w:color="auto" w:fill="C6D9F1"/>
            <w:noWrap/>
            <w:vAlign w:val="center"/>
            <w:hideMark/>
          </w:tcPr>
          <w:p w:rsidR="003A71B0" w:rsidRPr="00447D99" w:rsidRDefault="003A71B0" w:rsidP="00447D99">
            <w:pPr>
              <w:spacing w:line="240" w:lineRule="auto"/>
              <w:ind w:left="796" w:hanging="796"/>
              <w:jc w:val="left"/>
              <w:rPr>
                <w:rFonts w:cs="Arial"/>
                <w:b/>
                <w:bCs/>
                <w:color w:val="000000"/>
                <w:sz w:val="20"/>
                <w:szCs w:val="18"/>
              </w:rPr>
            </w:pPr>
            <w:r w:rsidRPr="00447D99">
              <w:rPr>
                <w:rFonts w:cs="Arial"/>
                <w:b/>
                <w:bCs/>
                <w:color w:val="000000"/>
                <w:sz w:val="20"/>
                <w:szCs w:val="18"/>
              </w:rPr>
              <w:t>IMP-01 - Alteração na Qualidade das Águas Superficiais no Reservatório</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X</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18"/>
                <w:szCs w:val="18"/>
              </w:rPr>
            </w:pPr>
            <w:r w:rsidRPr="00447D99">
              <w:rPr>
                <w:rFonts w:cs="Arial"/>
                <w:b/>
                <w:bCs/>
                <w:sz w:val="18"/>
                <w:szCs w:val="18"/>
              </w:rPr>
              <w:t>X</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18"/>
                <w:szCs w:val="18"/>
              </w:rPr>
            </w:pPr>
            <w:r w:rsidRPr="00447D99">
              <w:rPr>
                <w:rFonts w:cs="Arial"/>
                <w:b/>
                <w:bCs/>
                <w:sz w:val="18"/>
                <w:szCs w:val="18"/>
              </w:rPr>
              <w:t>X</w:t>
            </w:r>
          </w:p>
        </w:tc>
        <w:tc>
          <w:tcPr>
            <w:tcW w:w="507"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18"/>
                <w:szCs w:val="18"/>
              </w:rPr>
            </w:pPr>
            <w:r w:rsidRPr="00447D99">
              <w:rPr>
                <w:rFonts w:cs="Arial"/>
                <w:b/>
                <w:bCs/>
                <w:sz w:val="18"/>
                <w:szCs w:val="18"/>
              </w:rPr>
              <w:t> </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18"/>
                <w:szCs w:val="18"/>
              </w:rPr>
            </w:pPr>
            <w:r w:rsidRPr="00447D99">
              <w:rPr>
                <w:rFonts w:cs="Arial"/>
                <w:b/>
                <w:bCs/>
                <w:sz w:val="18"/>
                <w:szCs w:val="18"/>
              </w:rPr>
              <w:t>X</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18"/>
                <w:szCs w:val="18"/>
              </w:rPr>
            </w:pPr>
            <w:r w:rsidRPr="00447D99">
              <w:rPr>
                <w:rFonts w:cs="Arial"/>
                <w:b/>
                <w:bCs/>
                <w:sz w:val="18"/>
                <w:szCs w:val="18"/>
              </w:rPr>
              <w:t>X</w:t>
            </w:r>
          </w:p>
        </w:tc>
        <w:tc>
          <w:tcPr>
            <w:tcW w:w="507"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center"/>
              <w:rPr>
                <w:rFonts w:cs="Arial"/>
                <w:sz w:val="18"/>
                <w:szCs w:val="18"/>
              </w:rPr>
            </w:pPr>
            <w:r w:rsidRPr="00447D99">
              <w:rPr>
                <w:rFonts w:cs="Arial"/>
                <w:sz w:val="18"/>
                <w:szCs w:val="18"/>
              </w:rPr>
              <w:t> </w:t>
            </w:r>
          </w:p>
        </w:tc>
      </w:tr>
      <w:tr w:rsidR="003A71B0" w:rsidRPr="00447D99" w:rsidTr="0095613B">
        <w:trPr>
          <w:trHeight w:val="544"/>
        </w:trPr>
        <w:tc>
          <w:tcPr>
            <w:tcW w:w="5827" w:type="dxa"/>
            <w:tcBorders>
              <w:top w:val="nil"/>
              <w:left w:val="single" w:sz="8" w:space="0" w:color="auto"/>
              <w:bottom w:val="single" w:sz="8" w:space="0" w:color="auto"/>
              <w:right w:val="single" w:sz="8" w:space="0" w:color="auto"/>
            </w:tcBorders>
            <w:shd w:val="clear" w:color="auto" w:fill="C6D9F1"/>
            <w:noWrap/>
            <w:vAlign w:val="center"/>
            <w:hideMark/>
          </w:tcPr>
          <w:p w:rsidR="003A71B0" w:rsidRPr="00447D99" w:rsidRDefault="003A71B0" w:rsidP="00447D99">
            <w:pPr>
              <w:spacing w:line="240" w:lineRule="auto"/>
              <w:ind w:left="796" w:hanging="796"/>
              <w:jc w:val="left"/>
              <w:rPr>
                <w:rFonts w:cs="Arial"/>
                <w:b/>
                <w:bCs/>
                <w:color w:val="000000"/>
                <w:sz w:val="20"/>
                <w:szCs w:val="18"/>
              </w:rPr>
            </w:pPr>
            <w:r w:rsidRPr="00447D99">
              <w:rPr>
                <w:rFonts w:cs="Arial"/>
                <w:b/>
                <w:bCs/>
                <w:color w:val="000000"/>
                <w:sz w:val="20"/>
                <w:szCs w:val="18"/>
              </w:rPr>
              <w:t xml:space="preserve">IMP-02 - </w:t>
            </w:r>
            <w:r w:rsidRPr="00966259">
              <w:rPr>
                <w:rFonts w:cs="Arial"/>
                <w:b/>
                <w:bCs/>
                <w:color w:val="000000"/>
                <w:sz w:val="20"/>
                <w:szCs w:val="18"/>
              </w:rPr>
              <w:t>A</w:t>
            </w:r>
            <w:r w:rsidRPr="00447D99">
              <w:rPr>
                <w:rFonts w:cs="Arial"/>
                <w:b/>
                <w:bCs/>
                <w:color w:val="000000"/>
                <w:sz w:val="20"/>
                <w:szCs w:val="18"/>
              </w:rPr>
              <w:t>lteração na Qualidade das Águas Superficiais a Jusante</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X</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X</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X</w:t>
            </w:r>
          </w:p>
        </w:tc>
        <w:tc>
          <w:tcPr>
            <w:tcW w:w="507"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 </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X</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7"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i/>
                <w:iCs/>
                <w:szCs w:val="22"/>
              </w:rPr>
            </w:pPr>
            <w:r w:rsidRPr="00447D99">
              <w:rPr>
                <w:rFonts w:cs="Arial"/>
                <w:i/>
                <w:iCs/>
                <w:szCs w:val="22"/>
              </w:rPr>
              <w:t> </w:t>
            </w:r>
          </w:p>
        </w:tc>
      </w:tr>
      <w:tr w:rsidR="003A71B0" w:rsidRPr="00447D99" w:rsidTr="0095613B">
        <w:trPr>
          <w:trHeight w:val="544"/>
        </w:trPr>
        <w:tc>
          <w:tcPr>
            <w:tcW w:w="5827" w:type="dxa"/>
            <w:tcBorders>
              <w:top w:val="nil"/>
              <w:left w:val="single" w:sz="8" w:space="0" w:color="auto"/>
              <w:bottom w:val="single" w:sz="8" w:space="0" w:color="auto"/>
              <w:right w:val="single" w:sz="8" w:space="0" w:color="auto"/>
            </w:tcBorders>
            <w:shd w:val="clear" w:color="auto" w:fill="EAF1DD"/>
            <w:noWrap/>
            <w:vAlign w:val="center"/>
            <w:hideMark/>
          </w:tcPr>
          <w:p w:rsidR="003A71B0" w:rsidRPr="00447D99" w:rsidRDefault="003A71B0" w:rsidP="00447D99">
            <w:pPr>
              <w:spacing w:line="240" w:lineRule="auto"/>
              <w:ind w:left="796" w:hanging="796"/>
              <w:jc w:val="left"/>
              <w:rPr>
                <w:rFonts w:cs="Arial"/>
                <w:b/>
                <w:bCs/>
                <w:color w:val="000000"/>
                <w:sz w:val="20"/>
                <w:szCs w:val="18"/>
              </w:rPr>
            </w:pPr>
            <w:r w:rsidRPr="00447D99">
              <w:rPr>
                <w:rFonts w:cs="Arial"/>
                <w:b/>
                <w:bCs/>
                <w:color w:val="000000"/>
                <w:sz w:val="20"/>
                <w:szCs w:val="18"/>
              </w:rPr>
              <w:t>IMP-03 - Perda de Cobertura Vegetal Nativa</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 </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X</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X</w:t>
            </w:r>
          </w:p>
        </w:tc>
        <w:tc>
          <w:tcPr>
            <w:tcW w:w="507"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X</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7"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r>
      <w:tr w:rsidR="003A71B0" w:rsidRPr="00447D99" w:rsidTr="0095613B">
        <w:trPr>
          <w:trHeight w:val="544"/>
        </w:trPr>
        <w:tc>
          <w:tcPr>
            <w:tcW w:w="5827" w:type="dxa"/>
            <w:tcBorders>
              <w:top w:val="nil"/>
              <w:left w:val="single" w:sz="8" w:space="0" w:color="auto"/>
              <w:bottom w:val="single" w:sz="8" w:space="0" w:color="auto"/>
              <w:right w:val="single" w:sz="8" w:space="0" w:color="auto"/>
            </w:tcBorders>
            <w:shd w:val="clear" w:color="auto" w:fill="EAF1DD"/>
            <w:noWrap/>
            <w:vAlign w:val="center"/>
            <w:hideMark/>
          </w:tcPr>
          <w:p w:rsidR="003A71B0" w:rsidRPr="00447D99" w:rsidRDefault="003A71B0" w:rsidP="00447D99">
            <w:pPr>
              <w:spacing w:line="240" w:lineRule="auto"/>
              <w:ind w:left="796" w:hanging="796"/>
              <w:jc w:val="left"/>
              <w:rPr>
                <w:rFonts w:cs="Arial"/>
                <w:b/>
                <w:bCs/>
                <w:color w:val="000000"/>
                <w:sz w:val="20"/>
                <w:szCs w:val="18"/>
              </w:rPr>
            </w:pPr>
            <w:r w:rsidRPr="00447D99">
              <w:rPr>
                <w:rFonts w:cs="Arial"/>
                <w:b/>
                <w:bCs/>
                <w:color w:val="000000"/>
                <w:sz w:val="20"/>
                <w:szCs w:val="18"/>
              </w:rPr>
              <w:t>IMP-04 - Redução da Conectividade entre Remanescentes de Cobertura Vegetal Nativa</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 </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 </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X</w:t>
            </w:r>
          </w:p>
        </w:tc>
        <w:tc>
          <w:tcPr>
            <w:tcW w:w="507"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7"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r>
      <w:tr w:rsidR="003A71B0" w:rsidRPr="00447D99" w:rsidTr="0095613B">
        <w:trPr>
          <w:trHeight w:val="544"/>
        </w:trPr>
        <w:tc>
          <w:tcPr>
            <w:tcW w:w="5827" w:type="dxa"/>
            <w:tcBorders>
              <w:top w:val="nil"/>
              <w:left w:val="single" w:sz="8" w:space="0" w:color="auto"/>
              <w:bottom w:val="single" w:sz="8" w:space="0" w:color="auto"/>
              <w:right w:val="single" w:sz="8" w:space="0" w:color="auto"/>
            </w:tcBorders>
            <w:shd w:val="clear" w:color="auto" w:fill="EAF1DD"/>
            <w:noWrap/>
            <w:vAlign w:val="center"/>
            <w:hideMark/>
          </w:tcPr>
          <w:p w:rsidR="003A71B0" w:rsidRPr="00447D99" w:rsidRDefault="003A71B0" w:rsidP="00447D99">
            <w:pPr>
              <w:spacing w:line="240" w:lineRule="auto"/>
              <w:ind w:left="796" w:hanging="796"/>
              <w:jc w:val="left"/>
              <w:rPr>
                <w:rFonts w:cs="Arial"/>
                <w:b/>
                <w:bCs/>
                <w:color w:val="000000"/>
                <w:sz w:val="20"/>
                <w:szCs w:val="18"/>
              </w:rPr>
            </w:pPr>
            <w:r w:rsidRPr="00447D99">
              <w:rPr>
                <w:rFonts w:cs="Arial"/>
                <w:b/>
                <w:bCs/>
                <w:color w:val="000000"/>
                <w:sz w:val="20"/>
                <w:szCs w:val="18"/>
              </w:rPr>
              <w:t>IMP-05 - Perda de Habitats para Fauna Silvestre</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X</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7"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7"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r>
      <w:tr w:rsidR="003A71B0" w:rsidRPr="00447D99" w:rsidTr="0095613B">
        <w:trPr>
          <w:trHeight w:val="544"/>
        </w:trPr>
        <w:tc>
          <w:tcPr>
            <w:tcW w:w="5827" w:type="dxa"/>
            <w:tcBorders>
              <w:top w:val="nil"/>
              <w:left w:val="single" w:sz="8" w:space="0" w:color="auto"/>
              <w:bottom w:val="single" w:sz="8" w:space="0" w:color="auto"/>
              <w:right w:val="single" w:sz="8" w:space="0" w:color="auto"/>
            </w:tcBorders>
            <w:shd w:val="clear" w:color="auto" w:fill="EAF1DD"/>
            <w:noWrap/>
            <w:vAlign w:val="center"/>
            <w:hideMark/>
          </w:tcPr>
          <w:p w:rsidR="003A71B0" w:rsidRPr="00447D99" w:rsidRDefault="003A71B0" w:rsidP="00447D99">
            <w:pPr>
              <w:spacing w:line="240" w:lineRule="auto"/>
              <w:ind w:left="796" w:hanging="796"/>
              <w:jc w:val="left"/>
              <w:rPr>
                <w:rFonts w:cs="Arial"/>
                <w:b/>
                <w:bCs/>
                <w:color w:val="000000"/>
                <w:sz w:val="20"/>
                <w:szCs w:val="18"/>
              </w:rPr>
            </w:pPr>
            <w:r w:rsidRPr="00447D99">
              <w:rPr>
                <w:rFonts w:cs="Arial"/>
                <w:b/>
                <w:bCs/>
                <w:color w:val="000000"/>
                <w:sz w:val="20"/>
                <w:szCs w:val="18"/>
              </w:rPr>
              <w:t>IMP-06 - Alteração da Fauna Aquática</w:t>
            </w:r>
          </w:p>
        </w:tc>
        <w:tc>
          <w:tcPr>
            <w:tcW w:w="506" w:type="dxa"/>
            <w:tcBorders>
              <w:top w:val="nil"/>
              <w:left w:val="nil"/>
              <w:bottom w:val="single" w:sz="8" w:space="0" w:color="auto"/>
              <w:right w:val="single" w:sz="8" w:space="0" w:color="auto"/>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X</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 </w:t>
            </w:r>
          </w:p>
        </w:tc>
        <w:tc>
          <w:tcPr>
            <w:tcW w:w="507"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 </w:t>
            </w:r>
          </w:p>
        </w:tc>
        <w:tc>
          <w:tcPr>
            <w:tcW w:w="507"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center"/>
              <w:rPr>
                <w:rFonts w:cs="Arial"/>
                <w:b/>
                <w:bCs/>
                <w:sz w:val="20"/>
              </w:rPr>
            </w:pPr>
            <w:r w:rsidRPr="00447D99">
              <w:rPr>
                <w:rFonts w:cs="Arial"/>
                <w:b/>
                <w:bCs/>
                <w:sz w:val="20"/>
              </w:rPr>
              <w:t> </w:t>
            </w:r>
          </w:p>
        </w:tc>
      </w:tr>
      <w:tr w:rsidR="003A71B0" w:rsidRPr="00447D99" w:rsidTr="0095613B">
        <w:trPr>
          <w:trHeight w:val="544"/>
        </w:trPr>
        <w:tc>
          <w:tcPr>
            <w:tcW w:w="5827" w:type="dxa"/>
            <w:tcBorders>
              <w:top w:val="nil"/>
              <w:left w:val="single" w:sz="8" w:space="0" w:color="auto"/>
              <w:bottom w:val="single" w:sz="8" w:space="0" w:color="auto"/>
              <w:right w:val="single" w:sz="8" w:space="0" w:color="auto"/>
            </w:tcBorders>
            <w:shd w:val="clear" w:color="auto" w:fill="FDE9D9"/>
            <w:noWrap/>
            <w:vAlign w:val="center"/>
            <w:hideMark/>
          </w:tcPr>
          <w:p w:rsidR="003A71B0" w:rsidRPr="00447D99" w:rsidRDefault="003A71B0" w:rsidP="003A71B0">
            <w:pPr>
              <w:spacing w:line="240" w:lineRule="auto"/>
              <w:ind w:left="796" w:hanging="796"/>
              <w:jc w:val="left"/>
              <w:rPr>
                <w:rFonts w:cs="Arial"/>
                <w:b/>
                <w:bCs/>
                <w:color w:val="000000"/>
                <w:sz w:val="20"/>
                <w:szCs w:val="18"/>
              </w:rPr>
            </w:pPr>
            <w:r w:rsidRPr="00447D99">
              <w:rPr>
                <w:rFonts w:cs="Arial"/>
                <w:b/>
                <w:bCs/>
                <w:color w:val="000000"/>
                <w:sz w:val="20"/>
                <w:szCs w:val="18"/>
              </w:rPr>
              <w:t>IMP-0</w:t>
            </w:r>
            <w:r>
              <w:rPr>
                <w:rFonts w:cs="Arial"/>
                <w:b/>
                <w:bCs/>
                <w:color w:val="000000"/>
                <w:sz w:val="20"/>
                <w:szCs w:val="18"/>
              </w:rPr>
              <w:t>7</w:t>
            </w:r>
            <w:r w:rsidRPr="00447D99">
              <w:rPr>
                <w:rFonts w:cs="Arial"/>
                <w:b/>
                <w:bCs/>
                <w:color w:val="000000"/>
                <w:sz w:val="20"/>
                <w:szCs w:val="18"/>
              </w:rPr>
              <w:t xml:space="preserve"> - Alteração das Relações Econômicas, Sociais e </w:t>
            </w:r>
            <w:r w:rsidRPr="00966259">
              <w:rPr>
                <w:rFonts w:cs="Arial"/>
                <w:b/>
                <w:bCs/>
                <w:color w:val="000000"/>
                <w:sz w:val="20"/>
                <w:szCs w:val="18"/>
              </w:rPr>
              <w:t>Culturais</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7"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6"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c>
          <w:tcPr>
            <w:tcW w:w="507" w:type="dxa"/>
            <w:tcBorders>
              <w:top w:val="nil"/>
              <w:left w:val="nil"/>
              <w:bottom w:val="nil"/>
              <w:right w:val="nil"/>
            </w:tcBorders>
            <w:shd w:val="clear" w:color="000000" w:fill="FFFFFF"/>
            <w:vAlign w:val="center"/>
            <w:hideMark/>
          </w:tcPr>
          <w:p w:rsidR="003A71B0" w:rsidRPr="00447D99" w:rsidRDefault="003A71B0" w:rsidP="00447D99">
            <w:pPr>
              <w:spacing w:line="240" w:lineRule="auto"/>
              <w:jc w:val="left"/>
              <w:rPr>
                <w:rFonts w:cs="Arial"/>
                <w:b/>
                <w:bCs/>
                <w:sz w:val="20"/>
              </w:rPr>
            </w:pPr>
            <w:r w:rsidRPr="00447D99">
              <w:rPr>
                <w:rFonts w:cs="Arial"/>
                <w:b/>
                <w:bCs/>
                <w:sz w:val="20"/>
              </w:rPr>
              <w:t> </w:t>
            </w:r>
          </w:p>
        </w:tc>
      </w:tr>
    </w:tbl>
    <w:p w:rsidR="00447D99" w:rsidRDefault="00447D99" w:rsidP="00B42047">
      <w:pPr>
        <w:spacing w:before="120" w:after="120" w:line="240" w:lineRule="auto"/>
        <w:rPr>
          <w:b/>
        </w:rPr>
      </w:pPr>
    </w:p>
    <w:p w:rsidR="00973BCF" w:rsidRDefault="00C81961" w:rsidP="00C81961">
      <w:pPr>
        <w:pStyle w:val="Ttulo3"/>
      </w:pPr>
      <w:bookmarkStart w:id="478" w:name="_Toc418758274"/>
      <w:bookmarkStart w:id="479" w:name="_Toc418758876"/>
      <w:bookmarkStart w:id="480" w:name="_Toc419813636"/>
      <w:r>
        <w:t xml:space="preserve">1.4.3. </w:t>
      </w:r>
      <w:r w:rsidR="000E1EAC" w:rsidRPr="000E1EAC">
        <w:t>Quadro Síntese dos Impactos</w:t>
      </w:r>
      <w:bookmarkEnd w:id="478"/>
      <w:bookmarkEnd w:id="479"/>
      <w:bookmarkEnd w:id="480"/>
      <w:r w:rsidR="000E1EAC" w:rsidRPr="000E1EAC">
        <w:t xml:space="preserve"> </w:t>
      </w:r>
    </w:p>
    <w:p w:rsidR="000E1EAC" w:rsidRDefault="000E1EAC" w:rsidP="000E1EAC">
      <w:pPr>
        <w:autoSpaceDE w:val="0"/>
        <w:autoSpaceDN w:val="0"/>
        <w:adjustRightInd w:val="0"/>
        <w:spacing w:before="120" w:after="120" w:line="240" w:lineRule="auto"/>
        <w:rPr>
          <w:rFonts w:cs="Arial"/>
          <w:szCs w:val="22"/>
        </w:rPr>
      </w:pPr>
      <w:r w:rsidRPr="00FC59A6">
        <w:rPr>
          <w:rFonts w:cs="Arial"/>
          <w:szCs w:val="22"/>
        </w:rPr>
        <w:t xml:space="preserve">No Quadro </w:t>
      </w:r>
      <w:r w:rsidR="00C81961" w:rsidRPr="00FC59A6">
        <w:rPr>
          <w:rFonts w:cs="Arial"/>
          <w:szCs w:val="22"/>
        </w:rPr>
        <w:t>1.4.</w:t>
      </w:r>
      <w:r w:rsidR="00FC59A6">
        <w:rPr>
          <w:rFonts w:cs="Arial"/>
          <w:szCs w:val="22"/>
        </w:rPr>
        <w:t>3</w:t>
      </w:r>
      <w:r w:rsidR="00C81961" w:rsidRPr="00FC59A6">
        <w:rPr>
          <w:rFonts w:cs="Arial"/>
          <w:szCs w:val="22"/>
        </w:rPr>
        <w:t>.</w:t>
      </w:r>
      <w:r w:rsidR="00FC59A6">
        <w:rPr>
          <w:rFonts w:cs="Arial"/>
          <w:szCs w:val="22"/>
        </w:rPr>
        <w:t xml:space="preserve">, </w:t>
      </w:r>
      <w:r w:rsidRPr="00FC59A6">
        <w:rPr>
          <w:rFonts w:cs="Arial"/>
          <w:szCs w:val="22"/>
        </w:rPr>
        <w:t>a seguir é apresentad</w:t>
      </w:r>
      <w:r w:rsidR="00455ED9" w:rsidRPr="00FC59A6">
        <w:rPr>
          <w:rFonts w:cs="Arial"/>
          <w:szCs w:val="22"/>
        </w:rPr>
        <w:t>o</w:t>
      </w:r>
      <w:r w:rsidRPr="00FC59A6">
        <w:rPr>
          <w:rFonts w:cs="Arial"/>
          <w:szCs w:val="22"/>
        </w:rPr>
        <w:t xml:space="preserve"> </w:t>
      </w:r>
      <w:r w:rsidR="00455ED9" w:rsidRPr="00FC59A6">
        <w:rPr>
          <w:rFonts w:cs="Arial"/>
          <w:szCs w:val="22"/>
        </w:rPr>
        <w:t>o</w:t>
      </w:r>
      <w:r w:rsidRPr="00FC59A6">
        <w:rPr>
          <w:rFonts w:cs="Arial"/>
          <w:szCs w:val="22"/>
        </w:rPr>
        <w:t xml:space="preserve"> resumo da avaliaç</w:t>
      </w:r>
      <w:r w:rsidR="008C15C3" w:rsidRPr="00FC59A6">
        <w:rPr>
          <w:rFonts w:cs="Arial"/>
          <w:szCs w:val="22"/>
        </w:rPr>
        <w:t>ão dos impactos identificados nas</w:t>
      </w:r>
      <w:r w:rsidR="008C15C3" w:rsidRPr="00184EF9">
        <w:rPr>
          <w:rFonts w:cs="Arial"/>
          <w:szCs w:val="22"/>
        </w:rPr>
        <w:t xml:space="preserve"> barragens</w:t>
      </w:r>
      <w:r w:rsidRPr="00184EF9">
        <w:rPr>
          <w:rFonts w:cs="Arial"/>
          <w:szCs w:val="22"/>
        </w:rPr>
        <w:t xml:space="preserve"> Pedreira e Duas Pontes, de acordo com o </w:t>
      </w:r>
      <w:r w:rsidRPr="00184EF9">
        <w:rPr>
          <w:rFonts w:cs="Arial"/>
        </w:rPr>
        <w:t xml:space="preserve">estabelecido pela Resolução </w:t>
      </w:r>
      <w:r w:rsidR="00504078">
        <w:rPr>
          <w:rFonts w:cs="Arial"/>
        </w:rPr>
        <w:t>CONAMA</w:t>
      </w:r>
      <w:r w:rsidRPr="00184EF9">
        <w:rPr>
          <w:rFonts w:cs="Arial"/>
        </w:rPr>
        <w:t xml:space="preserve"> nº 001/86.</w:t>
      </w:r>
    </w:p>
    <w:p w:rsidR="000E1EAC" w:rsidRDefault="000E1EAC" w:rsidP="000E1EAC">
      <w:pPr>
        <w:autoSpaceDE w:val="0"/>
        <w:autoSpaceDN w:val="0"/>
        <w:adjustRightInd w:val="0"/>
        <w:spacing w:before="120" w:after="120" w:line="240" w:lineRule="auto"/>
        <w:rPr>
          <w:rFonts w:cs="Arial"/>
          <w:szCs w:val="22"/>
        </w:rPr>
        <w:sectPr w:rsidR="000E1EAC" w:rsidSect="009E1DAB">
          <w:headerReference w:type="default" r:id="rId42"/>
          <w:footerReference w:type="default" r:id="rId43"/>
          <w:pgSz w:w="11907" w:h="16840" w:code="9"/>
          <w:pgMar w:top="1701" w:right="851" w:bottom="1134" w:left="1701" w:header="567" w:footer="567" w:gutter="0"/>
          <w:cols w:space="720"/>
        </w:sectPr>
      </w:pPr>
    </w:p>
    <w:p w:rsidR="000E1EAC" w:rsidRPr="00FC59A6" w:rsidRDefault="00B73D6E" w:rsidP="00FC59A6">
      <w:pPr>
        <w:pStyle w:val="Legenda"/>
        <w:jc w:val="center"/>
        <w:rPr>
          <w:rFonts w:cs="Arial"/>
          <w:b w:val="0"/>
          <w:i w:val="0"/>
          <w:szCs w:val="22"/>
        </w:rPr>
      </w:pPr>
      <w:bookmarkStart w:id="481" w:name="_Toc419814601"/>
      <w:r w:rsidRPr="00FC59A6">
        <w:rPr>
          <w:i w:val="0"/>
        </w:rPr>
        <w:t>Quadro 1.4.</w:t>
      </w:r>
      <w:r w:rsidR="00B80A05" w:rsidRPr="00FC59A6">
        <w:rPr>
          <w:i w:val="0"/>
        </w:rPr>
        <w:fldChar w:fldCharType="begin"/>
      </w:r>
      <w:r w:rsidR="00E155C0" w:rsidRPr="00FC59A6">
        <w:rPr>
          <w:i w:val="0"/>
        </w:rPr>
        <w:instrText xml:space="preserve"> SEQ Quadro_1.4. \* ARABIC </w:instrText>
      </w:r>
      <w:r w:rsidR="00B80A05" w:rsidRPr="00FC59A6">
        <w:rPr>
          <w:i w:val="0"/>
        </w:rPr>
        <w:fldChar w:fldCharType="separate"/>
      </w:r>
      <w:r w:rsidR="00316060">
        <w:rPr>
          <w:i w:val="0"/>
          <w:noProof/>
        </w:rPr>
        <w:t>3</w:t>
      </w:r>
      <w:r w:rsidR="00B80A05" w:rsidRPr="00FC59A6">
        <w:rPr>
          <w:i w:val="0"/>
          <w:noProof/>
        </w:rPr>
        <w:fldChar w:fldCharType="end"/>
      </w:r>
      <w:r w:rsidR="00FC59A6" w:rsidRPr="00FC59A6">
        <w:rPr>
          <w:i w:val="0"/>
          <w:noProof/>
        </w:rPr>
        <w:t>.</w:t>
      </w:r>
      <w:r w:rsidR="00FC59A6" w:rsidRPr="00FC59A6">
        <w:rPr>
          <w:b w:val="0"/>
          <w:i w:val="0"/>
          <w:noProof/>
        </w:rPr>
        <w:t xml:space="preserve"> - </w:t>
      </w:r>
      <w:r w:rsidR="00CC6E63" w:rsidRPr="00FC59A6">
        <w:rPr>
          <w:rFonts w:cs="Arial"/>
          <w:b w:val="0"/>
          <w:i w:val="0"/>
          <w:szCs w:val="22"/>
        </w:rPr>
        <w:t xml:space="preserve">Caracterização </w:t>
      </w:r>
      <w:r w:rsidR="008B3AE3" w:rsidRPr="00FC59A6">
        <w:rPr>
          <w:rFonts w:cs="Arial"/>
          <w:b w:val="0"/>
          <w:i w:val="0"/>
          <w:szCs w:val="22"/>
        </w:rPr>
        <w:t>I</w:t>
      </w:r>
      <w:r w:rsidR="00CC6E63" w:rsidRPr="00FC59A6">
        <w:rPr>
          <w:rFonts w:cs="Arial"/>
          <w:b w:val="0"/>
          <w:i w:val="0"/>
          <w:szCs w:val="22"/>
        </w:rPr>
        <w:t xml:space="preserve">mpactos </w:t>
      </w:r>
      <w:r w:rsidR="005B6D82" w:rsidRPr="00FC59A6">
        <w:rPr>
          <w:rFonts w:cs="Arial"/>
          <w:b w:val="0"/>
          <w:i w:val="0"/>
          <w:szCs w:val="22"/>
        </w:rPr>
        <w:t>Barrage</w:t>
      </w:r>
      <w:r w:rsidR="00CC6E63" w:rsidRPr="00FC59A6">
        <w:rPr>
          <w:rFonts w:cs="Arial"/>
          <w:b w:val="0"/>
          <w:i w:val="0"/>
          <w:szCs w:val="22"/>
        </w:rPr>
        <w:t>ns</w:t>
      </w:r>
      <w:r w:rsidR="005B6D82" w:rsidRPr="00FC59A6">
        <w:rPr>
          <w:rFonts w:cs="Arial"/>
          <w:b w:val="0"/>
          <w:i w:val="0"/>
          <w:szCs w:val="22"/>
        </w:rPr>
        <w:t xml:space="preserve"> Pedreira</w:t>
      </w:r>
      <w:r w:rsidR="009F467A" w:rsidRPr="00FC59A6">
        <w:rPr>
          <w:rFonts w:cs="Arial"/>
          <w:b w:val="0"/>
          <w:i w:val="0"/>
          <w:szCs w:val="22"/>
        </w:rPr>
        <w:t xml:space="preserve"> (PE)</w:t>
      </w:r>
      <w:r w:rsidR="005B6D82" w:rsidRPr="00FC59A6">
        <w:rPr>
          <w:rFonts w:cs="Arial"/>
          <w:b w:val="0"/>
          <w:i w:val="0"/>
          <w:szCs w:val="22"/>
        </w:rPr>
        <w:t xml:space="preserve"> </w:t>
      </w:r>
      <w:r w:rsidR="008A7364" w:rsidRPr="00FC59A6">
        <w:rPr>
          <w:rFonts w:cs="Arial"/>
          <w:b w:val="0"/>
          <w:i w:val="0"/>
          <w:szCs w:val="22"/>
        </w:rPr>
        <w:t>e Duas Pontes</w:t>
      </w:r>
      <w:r w:rsidR="009F467A" w:rsidRPr="00FC59A6">
        <w:rPr>
          <w:rFonts w:cs="Arial"/>
          <w:b w:val="0"/>
          <w:i w:val="0"/>
          <w:szCs w:val="22"/>
        </w:rPr>
        <w:t xml:space="preserve"> (DP)</w:t>
      </w:r>
      <w:bookmarkEnd w:id="48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722"/>
        <w:gridCol w:w="2593"/>
        <w:gridCol w:w="972"/>
        <w:gridCol w:w="772"/>
        <w:gridCol w:w="1302"/>
        <w:gridCol w:w="1155"/>
        <w:gridCol w:w="867"/>
        <w:gridCol w:w="1186"/>
        <w:gridCol w:w="1131"/>
        <w:gridCol w:w="1111"/>
        <w:gridCol w:w="995"/>
        <w:gridCol w:w="1152"/>
      </w:tblGrid>
      <w:tr w:rsidR="008A7364" w:rsidRPr="008A7364" w:rsidTr="00B42047">
        <w:trPr>
          <w:trHeight w:val="251"/>
          <w:tblHeader/>
          <w:jc w:val="center"/>
        </w:trPr>
        <w:tc>
          <w:tcPr>
            <w:tcW w:w="188" w:type="pct"/>
            <w:vMerge w:val="restart"/>
            <w:shd w:val="clear" w:color="auto" w:fill="D9D9D9"/>
            <w:vAlign w:val="center"/>
          </w:tcPr>
          <w:p w:rsidR="008A7364" w:rsidRPr="008A7364" w:rsidRDefault="008A7364" w:rsidP="008A7364">
            <w:pPr>
              <w:spacing w:before="120" w:after="120" w:line="240" w:lineRule="auto"/>
              <w:jc w:val="center"/>
              <w:rPr>
                <w:rFonts w:cs="Arial"/>
                <w:b/>
                <w:sz w:val="18"/>
                <w:szCs w:val="18"/>
              </w:rPr>
            </w:pPr>
            <w:r w:rsidRPr="008A7364">
              <w:rPr>
                <w:rFonts w:cs="Arial"/>
                <w:b/>
                <w:sz w:val="18"/>
                <w:szCs w:val="18"/>
              </w:rPr>
              <w:t>N°</w:t>
            </w:r>
          </w:p>
        </w:tc>
        <w:tc>
          <w:tcPr>
            <w:tcW w:w="249" w:type="pct"/>
            <w:vMerge w:val="restart"/>
            <w:shd w:val="clear" w:color="auto" w:fill="D9D9D9"/>
            <w:vAlign w:val="center"/>
          </w:tcPr>
          <w:p w:rsidR="008A7364" w:rsidRPr="008A7364" w:rsidRDefault="008A7364" w:rsidP="008A7364">
            <w:pPr>
              <w:spacing w:before="120" w:after="120" w:line="240" w:lineRule="auto"/>
              <w:jc w:val="center"/>
              <w:rPr>
                <w:rFonts w:cs="Arial"/>
                <w:b/>
                <w:sz w:val="18"/>
                <w:szCs w:val="18"/>
              </w:rPr>
            </w:pPr>
            <w:r w:rsidRPr="008A7364">
              <w:rPr>
                <w:rFonts w:cs="Arial"/>
                <w:b/>
                <w:sz w:val="18"/>
                <w:szCs w:val="18"/>
              </w:rPr>
              <w:t>MEIO</w:t>
            </w:r>
          </w:p>
        </w:tc>
        <w:tc>
          <w:tcPr>
            <w:tcW w:w="894" w:type="pct"/>
            <w:vMerge w:val="restart"/>
            <w:shd w:val="clear" w:color="auto" w:fill="D9D9D9"/>
            <w:vAlign w:val="center"/>
          </w:tcPr>
          <w:p w:rsidR="008A7364" w:rsidRPr="008A7364" w:rsidRDefault="008A7364" w:rsidP="008A7364">
            <w:pPr>
              <w:spacing w:before="120" w:after="120" w:line="240" w:lineRule="auto"/>
              <w:jc w:val="center"/>
              <w:rPr>
                <w:rFonts w:cs="Arial"/>
                <w:b/>
                <w:sz w:val="18"/>
                <w:szCs w:val="18"/>
              </w:rPr>
            </w:pPr>
            <w:r w:rsidRPr="008A7364">
              <w:rPr>
                <w:rFonts w:cs="Arial"/>
                <w:b/>
                <w:sz w:val="18"/>
                <w:szCs w:val="18"/>
              </w:rPr>
              <w:t>IMPACTO</w:t>
            </w:r>
          </w:p>
        </w:tc>
        <w:tc>
          <w:tcPr>
            <w:tcW w:w="3669" w:type="pct"/>
            <w:gridSpan w:val="10"/>
            <w:shd w:val="clear" w:color="auto" w:fill="D9D9D9"/>
          </w:tcPr>
          <w:p w:rsidR="008A7364" w:rsidRPr="008A7364" w:rsidRDefault="008A7364" w:rsidP="008A7364">
            <w:pPr>
              <w:spacing w:before="120" w:after="120" w:line="240" w:lineRule="auto"/>
              <w:jc w:val="center"/>
              <w:rPr>
                <w:rFonts w:cs="Arial"/>
                <w:b/>
                <w:sz w:val="18"/>
                <w:szCs w:val="18"/>
              </w:rPr>
            </w:pPr>
            <w:r w:rsidRPr="008A7364">
              <w:rPr>
                <w:rFonts w:cs="Arial"/>
                <w:b/>
                <w:sz w:val="18"/>
                <w:szCs w:val="18"/>
              </w:rPr>
              <w:t>CARACTERIZAÇÃO</w:t>
            </w:r>
          </w:p>
        </w:tc>
      </w:tr>
      <w:tr w:rsidR="008A7364" w:rsidRPr="008A7364" w:rsidTr="00B42047">
        <w:trPr>
          <w:trHeight w:hRule="exact" w:val="340"/>
          <w:tblHeader/>
          <w:jc w:val="center"/>
        </w:trPr>
        <w:tc>
          <w:tcPr>
            <w:tcW w:w="188" w:type="pct"/>
            <w:vMerge/>
            <w:shd w:val="clear" w:color="auto" w:fill="D9D9D9"/>
          </w:tcPr>
          <w:p w:rsidR="008A7364" w:rsidRPr="008A7364" w:rsidRDefault="008A7364" w:rsidP="008A7364">
            <w:pPr>
              <w:spacing w:before="120" w:after="120" w:line="240" w:lineRule="auto"/>
              <w:jc w:val="center"/>
              <w:rPr>
                <w:rFonts w:cs="Arial"/>
                <w:b/>
                <w:sz w:val="18"/>
                <w:szCs w:val="18"/>
              </w:rPr>
            </w:pPr>
          </w:p>
        </w:tc>
        <w:tc>
          <w:tcPr>
            <w:tcW w:w="249" w:type="pct"/>
            <w:vMerge/>
            <w:shd w:val="clear" w:color="auto" w:fill="D9D9D9"/>
          </w:tcPr>
          <w:p w:rsidR="008A7364" w:rsidRPr="008A7364" w:rsidRDefault="008A7364" w:rsidP="008A7364">
            <w:pPr>
              <w:spacing w:before="120" w:after="120" w:line="240" w:lineRule="auto"/>
              <w:jc w:val="center"/>
              <w:rPr>
                <w:rFonts w:cs="Arial"/>
                <w:b/>
                <w:sz w:val="18"/>
                <w:szCs w:val="18"/>
              </w:rPr>
            </w:pPr>
          </w:p>
        </w:tc>
        <w:tc>
          <w:tcPr>
            <w:tcW w:w="894" w:type="pct"/>
            <w:vMerge/>
            <w:shd w:val="clear" w:color="auto" w:fill="D9D9D9"/>
          </w:tcPr>
          <w:p w:rsidR="008A7364" w:rsidRPr="008A7364" w:rsidRDefault="008A7364" w:rsidP="008A7364">
            <w:pPr>
              <w:spacing w:before="120" w:after="120" w:line="240" w:lineRule="auto"/>
              <w:jc w:val="center"/>
              <w:rPr>
                <w:rFonts w:cs="Arial"/>
                <w:b/>
                <w:sz w:val="18"/>
                <w:szCs w:val="18"/>
              </w:rPr>
            </w:pPr>
          </w:p>
        </w:tc>
        <w:tc>
          <w:tcPr>
            <w:tcW w:w="2546" w:type="pct"/>
            <w:gridSpan w:val="7"/>
            <w:shd w:val="clear" w:color="auto" w:fill="D9D9D9"/>
            <w:vAlign w:val="center"/>
          </w:tcPr>
          <w:p w:rsidR="008A7364" w:rsidRPr="008A7364" w:rsidRDefault="008A7364" w:rsidP="008A7364">
            <w:pPr>
              <w:spacing w:before="120" w:after="120" w:line="240" w:lineRule="auto"/>
              <w:jc w:val="center"/>
              <w:rPr>
                <w:rFonts w:cs="Arial"/>
                <w:b/>
                <w:sz w:val="16"/>
                <w:szCs w:val="16"/>
              </w:rPr>
            </w:pPr>
            <w:r w:rsidRPr="008A7364">
              <w:rPr>
                <w:rFonts w:cs="Arial"/>
                <w:b/>
                <w:sz w:val="16"/>
                <w:szCs w:val="16"/>
              </w:rPr>
              <w:t>Classificação</w:t>
            </w:r>
          </w:p>
        </w:tc>
        <w:tc>
          <w:tcPr>
            <w:tcW w:w="726" w:type="pct"/>
            <w:gridSpan w:val="2"/>
            <w:shd w:val="clear" w:color="auto" w:fill="D9D9D9"/>
            <w:vAlign w:val="center"/>
          </w:tcPr>
          <w:p w:rsidR="008A7364" w:rsidRPr="008A7364" w:rsidRDefault="008A7364" w:rsidP="008A7364">
            <w:pPr>
              <w:spacing w:before="120" w:after="120" w:line="240" w:lineRule="auto"/>
              <w:jc w:val="center"/>
              <w:rPr>
                <w:rFonts w:cs="Arial"/>
                <w:b/>
                <w:sz w:val="16"/>
                <w:szCs w:val="16"/>
              </w:rPr>
            </w:pPr>
            <w:r w:rsidRPr="008A7364">
              <w:rPr>
                <w:rFonts w:cs="Arial"/>
                <w:b/>
                <w:sz w:val="16"/>
                <w:szCs w:val="16"/>
              </w:rPr>
              <w:t>Mensuração</w:t>
            </w:r>
          </w:p>
        </w:tc>
        <w:tc>
          <w:tcPr>
            <w:tcW w:w="397" w:type="pct"/>
            <w:vMerge w:val="restart"/>
            <w:shd w:val="clear" w:color="auto" w:fill="D9D9D9"/>
            <w:vAlign w:val="center"/>
          </w:tcPr>
          <w:p w:rsidR="008A7364" w:rsidRPr="008A7364" w:rsidRDefault="008A7364" w:rsidP="008A7364">
            <w:pPr>
              <w:spacing w:before="120" w:after="120" w:line="240" w:lineRule="auto"/>
              <w:jc w:val="center"/>
              <w:rPr>
                <w:rFonts w:cs="Arial"/>
                <w:b/>
                <w:sz w:val="16"/>
                <w:szCs w:val="16"/>
              </w:rPr>
            </w:pPr>
            <w:r w:rsidRPr="008A7364">
              <w:rPr>
                <w:rFonts w:cs="Arial"/>
                <w:b/>
                <w:sz w:val="16"/>
                <w:szCs w:val="16"/>
              </w:rPr>
              <w:t>Mitigação</w:t>
            </w:r>
          </w:p>
        </w:tc>
      </w:tr>
      <w:tr w:rsidR="008A7364" w:rsidRPr="008A7364" w:rsidTr="00B42047">
        <w:trPr>
          <w:trHeight w:val="447"/>
          <w:tblHeader/>
          <w:jc w:val="center"/>
        </w:trPr>
        <w:tc>
          <w:tcPr>
            <w:tcW w:w="188" w:type="pct"/>
            <w:vMerge/>
            <w:shd w:val="clear" w:color="auto" w:fill="auto"/>
          </w:tcPr>
          <w:p w:rsidR="008A7364" w:rsidRPr="008A7364" w:rsidRDefault="008A7364" w:rsidP="008A7364">
            <w:pPr>
              <w:spacing w:before="120" w:after="120" w:line="240" w:lineRule="auto"/>
              <w:jc w:val="center"/>
              <w:rPr>
                <w:rFonts w:cs="Arial"/>
                <w:b/>
              </w:rPr>
            </w:pPr>
          </w:p>
        </w:tc>
        <w:tc>
          <w:tcPr>
            <w:tcW w:w="249" w:type="pct"/>
            <w:vMerge/>
            <w:tcBorders>
              <w:bottom w:val="single" w:sz="4" w:space="0" w:color="auto"/>
            </w:tcBorders>
            <w:shd w:val="clear" w:color="auto" w:fill="auto"/>
          </w:tcPr>
          <w:p w:rsidR="008A7364" w:rsidRPr="008A7364" w:rsidRDefault="008A7364" w:rsidP="008A7364">
            <w:pPr>
              <w:spacing w:before="120" w:after="120" w:line="240" w:lineRule="auto"/>
              <w:jc w:val="center"/>
              <w:rPr>
                <w:rFonts w:cs="Arial"/>
                <w:b/>
              </w:rPr>
            </w:pPr>
          </w:p>
        </w:tc>
        <w:tc>
          <w:tcPr>
            <w:tcW w:w="894" w:type="pct"/>
            <w:vMerge/>
            <w:tcBorders>
              <w:bottom w:val="single" w:sz="4" w:space="0" w:color="auto"/>
            </w:tcBorders>
            <w:shd w:val="clear" w:color="auto" w:fill="auto"/>
          </w:tcPr>
          <w:p w:rsidR="008A7364" w:rsidRPr="008A7364" w:rsidRDefault="008A7364" w:rsidP="008A7364">
            <w:pPr>
              <w:spacing w:before="120" w:after="120" w:line="240" w:lineRule="auto"/>
              <w:jc w:val="center"/>
              <w:rPr>
                <w:rFonts w:cs="Arial"/>
                <w:b/>
                <w:sz w:val="20"/>
              </w:rPr>
            </w:pPr>
          </w:p>
        </w:tc>
        <w:tc>
          <w:tcPr>
            <w:tcW w:w="335" w:type="pct"/>
            <w:tcBorders>
              <w:bottom w:val="single" w:sz="4" w:space="0" w:color="auto"/>
            </w:tcBorders>
            <w:shd w:val="clear" w:color="auto" w:fill="D9D9D9"/>
            <w:vAlign w:val="center"/>
          </w:tcPr>
          <w:p w:rsidR="008A7364" w:rsidRPr="008A7364" w:rsidRDefault="008A7364" w:rsidP="008A7364">
            <w:pPr>
              <w:spacing w:before="120" w:after="120" w:line="240" w:lineRule="auto"/>
              <w:jc w:val="center"/>
              <w:rPr>
                <w:rFonts w:cs="Arial"/>
                <w:b/>
                <w:sz w:val="16"/>
                <w:szCs w:val="16"/>
              </w:rPr>
            </w:pPr>
            <w:r w:rsidRPr="008A7364">
              <w:rPr>
                <w:rFonts w:cs="Arial"/>
                <w:b/>
                <w:sz w:val="16"/>
                <w:szCs w:val="16"/>
              </w:rPr>
              <w:t>Natureza</w:t>
            </w:r>
          </w:p>
        </w:tc>
        <w:tc>
          <w:tcPr>
            <w:tcW w:w="266" w:type="pct"/>
            <w:tcBorders>
              <w:bottom w:val="single" w:sz="4" w:space="0" w:color="auto"/>
            </w:tcBorders>
            <w:shd w:val="clear" w:color="auto" w:fill="D9D9D9"/>
            <w:vAlign w:val="center"/>
          </w:tcPr>
          <w:p w:rsidR="008A7364" w:rsidRPr="008A7364" w:rsidRDefault="008A7364" w:rsidP="008A7364">
            <w:pPr>
              <w:spacing w:before="120" w:after="120" w:line="240" w:lineRule="auto"/>
              <w:jc w:val="center"/>
              <w:rPr>
                <w:rFonts w:cs="Arial"/>
                <w:b/>
                <w:sz w:val="16"/>
                <w:szCs w:val="16"/>
              </w:rPr>
            </w:pPr>
            <w:r w:rsidRPr="008A7364">
              <w:rPr>
                <w:rFonts w:cs="Arial"/>
                <w:b/>
                <w:sz w:val="16"/>
                <w:szCs w:val="16"/>
              </w:rPr>
              <w:t>Ordem</w:t>
            </w:r>
          </w:p>
        </w:tc>
        <w:tc>
          <w:tcPr>
            <w:tcW w:w="449" w:type="pct"/>
            <w:tcBorders>
              <w:bottom w:val="single" w:sz="4" w:space="0" w:color="auto"/>
            </w:tcBorders>
            <w:shd w:val="clear" w:color="auto" w:fill="D9D9D9"/>
            <w:vAlign w:val="center"/>
          </w:tcPr>
          <w:p w:rsidR="008A7364" w:rsidRPr="008A7364" w:rsidRDefault="008A7364" w:rsidP="008A7364">
            <w:pPr>
              <w:spacing w:before="120" w:after="120" w:line="240" w:lineRule="auto"/>
              <w:jc w:val="center"/>
              <w:rPr>
                <w:rFonts w:cs="Arial"/>
                <w:b/>
                <w:sz w:val="16"/>
                <w:szCs w:val="16"/>
              </w:rPr>
            </w:pPr>
            <w:r w:rsidRPr="008A7364">
              <w:rPr>
                <w:rFonts w:cs="Arial"/>
                <w:b/>
                <w:sz w:val="16"/>
                <w:szCs w:val="16"/>
              </w:rPr>
              <w:t>Abrangência</w:t>
            </w:r>
          </w:p>
        </w:tc>
        <w:tc>
          <w:tcPr>
            <w:tcW w:w="398" w:type="pct"/>
            <w:tcBorders>
              <w:bottom w:val="single" w:sz="4" w:space="0" w:color="auto"/>
            </w:tcBorders>
            <w:shd w:val="clear" w:color="auto" w:fill="D9D9D9"/>
            <w:vAlign w:val="center"/>
          </w:tcPr>
          <w:p w:rsidR="008A7364" w:rsidRPr="008A7364" w:rsidRDefault="008A7364" w:rsidP="008A7364">
            <w:pPr>
              <w:spacing w:before="120" w:after="120" w:line="240" w:lineRule="auto"/>
              <w:jc w:val="center"/>
              <w:rPr>
                <w:rFonts w:cs="Arial"/>
                <w:b/>
                <w:sz w:val="16"/>
                <w:szCs w:val="16"/>
              </w:rPr>
            </w:pPr>
            <w:r w:rsidRPr="008A7364">
              <w:rPr>
                <w:rFonts w:cs="Arial"/>
                <w:b/>
                <w:sz w:val="16"/>
                <w:szCs w:val="16"/>
              </w:rPr>
              <w:t>Duração</w:t>
            </w:r>
          </w:p>
        </w:tc>
        <w:tc>
          <w:tcPr>
            <w:tcW w:w="299" w:type="pct"/>
            <w:tcBorders>
              <w:bottom w:val="single" w:sz="4" w:space="0" w:color="auto"/>
            </w:tcBorders>
            <w:shd w:val="clear" w:color="auto" w:fill="D9D9D9"/>
            <w:vAlign w:val="center"/>
          </w:tcPr>
          <w:p w:rsidR="008A7364" w:rsidRPr="008A7364" w:rsidRDefault="008A7364" w:rsidP="008A7364">
            <w:pPr>
              <w:spacing w:before="120" w:after="120" w:line="240" w:lineRule="auto"/>
              <w:jc w:val="center"/>
              <w:rPr>
                <w:rFonts w:cs="Arial"/>
                <w:b/>
                <w:sz w:val="16"/>
                <w:szCs w:val="16"/>
              </w:rPr>
            </w:pPr>
            <w:r w:rsidRPr="008A7364">
              <w:rPr>
                <w:rFonts w:cs="Arial"/>
                <w:b/>
                <w:sz w:val="16"/>
                <w:szCs w:val="16"/>
              </w:rPr>
              <w:t>Probabilidade</w:t>
            </w:r>
          </w:p>
        </w:tc>
        <w:tc>
          <w:tcPr>
            <w:tcW w:w="409" w:type="pct"/>
            <w:tcBorders>
              <w:bottom w:val="single" w:sz="4" w:space="0" w:color="auto"/>
            </w:tcBorders>
            <w:shd w:val="clear" w:color="auto" w:fill="D9D9D9"/>
            <w:vAlign w:val="center"/>
          </w:tcPr>
          <w:p w:rsidR="008A7364" w:rsidRPr="008A7364" w:rsidRDefault="008A7364" w:rsidP="008A7364">
            <w:pPr>
              <w:spacing w:before="120" w:after="120" w:line="240" w:lineRule="auto"/>
              <w:jc w:val="center"/>
              <w:rPr>
                <w:rFonts w:cs="Arial"/>
                <w:b/>
                <w:sz w:val="16"/>
                <w:szCs w:val="16"/>
              </w:rPr>
            </w:pPr>
            <w:r w:rsidRPr="008A7364">
              <w:rPr>
                <w:rFonts w:cs="Arial"/>
                <w:b/>
                <w:sz w:val="16"/>
                <w:szCs w:val="16"/>
              </w:rPr>
              <w:t>Época</w:t>
            </w:r>
          </w:p>
        </w:tc>
        <w:tc>
          <w:tcPr>
            <w:tcW w:w="390" w:type="pct"/>
            <w:tcBorders>
              <w:bottom w:val="single" w:sz="4" w:space="0" w:color="auto"/>
            </w:tcBorders>
            <w:shd w:val="clear" w:color="auto" w:fill="D9D9D9"/>
          </w:tcPr>
          <w:p w:rsidR="008A7364" w:rsidRPr="008A7364" w:rsidRDefault="00BC7E61" w:rsidP="008A7364">
            <w:pPr>
              <w:spacing w:before="120" w:after="120" w:line="240" w:lineRule="auto"/>
              <w:jc w:val="center"/>
              <w:rPr>
                <w:rFonts w:cs="Arial"/>
                <w:b/>
                <w:sz w:val="16"/>
                <w:szCs w:val="16"/>
              </w:rPr>
            </w:pPr>
            <w:r w:rsidRPr="008A7364">
              <w:rPr>
                <w:rFonts w:cs="Arial"/>
                <w:b/>
                <w:sz w:val="16"/>
                <w:szCs w:val="16"/>
              </w:rPr>
              <w:t>Reversibi</w:t>
            </w:r>
            <w:r w:rsidR="0053626B">
              <w:rPr>
                <w:rFonts w:cs="Arial"/>
                <w:b/>
                <w:sz w:val="16"/>
                <w:szCs w:val="16"/>
              </w:rPr>
              <w:t>-</w:t>
            </w:r>
            <w:r w:rsidRPr="008A7364">
              <w:rPr>
                <w:rFonts w:cs="Arial"/>
                <w:b/>
                <w:sz w:val="16"/>
                <w:szCs w:val="16"/>
              </w:rPr>
              <w:t>lidade</w:t>
            </w:r>
          </w:p>
        </w:tc>
        <w:tc>
          <w:tcPr>
            <w:tcW w:w="383" w:type="pct"/>
            <w:tcBorders>
              <w:bottom w:val="single" w:sz="4" w:space="0" w:color="auto"/>
            </w:tcBorders>
            <w:shd w:val="clear" w:color="auto" w:fill="D9D9D9"/>
            <w:vAlign w:val="center"/>
          </w:tcPr>
          <w:p w:rsidR="008A7364" w:rsidRPr="008A7364" w:rsidRDefault="008A7364" w:rsidP="008A7364">
            <w:pPr>
              <w:spacing w:before="120" w:after="120" w:line="240" w:lineRule="auto"/>
              <w:jc w:val="center"/>
              <w:rPr>
                <w:rFonts w:cs="Arial"/>
                <w:b/>
                <w:sz w:val="16"/>
                <w:szCs w:val="16"/>
              </w:rPr>
            </w:pPr>
            <w:r w:rsidRPr="008A7364">
              <w:rPr>
                <w:rFonts w:cs="Arial"/>
                <w:b/>
                <w:sz w:val="16"/>
                <w:szCs w:val="16"/>
              </w:rPr>
              <w:t>Magnitude</w:t>
            </w:r>
          </w:p>
        </w:tc>
        <w:tc>
          <w:tcPr>
            <w:tcW w:w="343" w:type="pct"/>
            <w:tcBorders>
              <w:bottom w:val="single" w:sz="4" w:space="0" w:color="auto"/>
            </w:tcBorders>
            <w:shd w:val="clear" w:color="auto" w:fill="D9D9D9"/>
            <w:vAlign w:val="center"/>
          </w:tcPr>
          <w:p w:rsidR="008A7364" w:rsidRPr="008A7364" w:rsidRDefault="00BC7E61" w:rsidP="008A7364">
            <w:pPr>
              <w:spacing w:before="120" w:after="120" w:line="240" w:lineRule="auto"/>
              <w:jc w:val="center"/>
              <w:rPr>
                <w:rFonts w:cs="Arial"/>
                <w:b/>
                <w:sz w:val="16"/>
                <w:szCs w:val="16"/>
              </w:rPr>
            </w:pPr>
            <w:r w:rsidRPr="008A7364">
              <w:rPr>
                <w:rFonts w:cs="Arial"/>
                <w:b/>
                <w:sz w:val="16"/>
                <w:szCs w:val="16"/>
              </w:rPr>
              <w:t>Impor</w:t>
            </w:r>
            <w:r w:rsidR="0053626B">
              <w:rPr>
                <w:rFonts w:cs="Arial"/>
                <w:b/>
                <w:sz w:val="16"/>
                <w:szCs w:val="16"/>
              </w:rPr>
              <w:t>-</w:t>
            </w:r>
            <w:r w:rsidRPr="008A7364">
              <w:rPr>
                <w:rFonts w:cs="Arial"/>
                <w:b/>
                <w:sz w:val="16"/>
                <w:szCs w:val="16"/>
              </w:rPr>
              <w:t>tância</w:t>
            </w:r>
          </w:p>
        </w:tc>
        <w:tc>
          <w:tcPr>
            <w:tcW w:w="397" w:type="pct"/>
            <w:vMerge/>
            <w:tcBorders>
              <w:bottom w:val="single" w:sz="4" w:space="0" w:color="auto"/>
            </w:tcBorders>
            <w:shd w:val="clear" w:color="auto" w:fill="auto"/>
          </w:tcPr>
          <w:p w:rsidR="008A7364" w:rsidRPr="008A7364" w:rsidRDefault="008A7364" w:rsidP="008A7364">
            <w:pPr>
              <w:spacing w:before="120" w:after="120" w:line="240" w:lineRule="auto"/>
              <w:jc w:val="center"/>
              <w:rPr>
                <w:rFonts w:cs="Arial"/>
                <w:b/>
                <w:sz w:val="16"/>
                <w:szCs w:val="16"/>
              </w:rPr>
            </w:pPr>
          </w:p>
        </w:tc>
      </w:tr>
      <w:tr w:rsidR="005432A8" w:rsidRPr="008A7364" w:rsidTr="00B42047">
        <w:trPr>
          <w:trHeight w:val="680"/>
          <w:jc w:val="center"/>
        </w:trPr>
        <w:tc>
          <w:tcPr>
            <w:tcW w:w="188"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1</w:t>
            </w:r>
          </w:p>
        </w:tc>
        <w:tc>
          <w:tcPr>
            <w:tcW w:w="249" w:type="pct"/>
            <w:vMerge w:val="restart"/>
            <w:shd w:val="clear" w:color="auto" w:fill="auto"/>
            <w:textDirection w:val="btLr"/>
            <w:vAlign w:val="center"/>
          </w:tcPr>
          <w:p w:rsidR="005432A8" w:rsidRPr="00B4091F" w:rsidRDefault="005432A8" w:rsidP="008A7364">
            <w:pPr>
              <w:spacing w:line="240" w:lineRule="auto"/>
              <w:ind w:left="113" w:right="113"/>
              <w:jc w:val="center"/>
              <w:rPr>
                <w:rFonts w:cs="Arial"/>
                <w:b/>
                <w:sz w:val="20"/>
              </w:rPr>
            </w:pPr>
            <w:r w:rsidRPr="00B4091F">
              <w:rPr>
                <w:rFonts w:cs="Arial"/>
                <w:b/>
                <w:sz w:val="20"/>
              </w:rPr>
              <w:t>Meio Físico</w:t>
            </w:r>
          </w:p>
        </w:tc>
        <w:tc>
          <w:tcPr>
            <w:tcW w:w="894" w:type="pct"/>
            <w:shd w:val="clear" w:color="auto" w:fill="auto"/>
            <w:vAlign w:val="center"/>
          </w:tcPr>
          <w:p w:rsidR="005432A8" w:rsidRPr="008A7364" w:rsidRDefault="005432A8" w:rsidP="007A3613">
            <w:pPr>
              <w:spacing w:line="240" w:lineRule="auto"/>
              <w:rPr>
                <w:rFonts w:cs="Arial"/>
                <w:sz w:val="16"/>
                <w:szCs w:val="16"/>
              </w:rPr>
            </w:pPr>
            <w:r w:rsidRPr="008A7364">
              <w:rPr>
                <w:rFonts w:cs="Arial"/>
                <w:sz w:val="16"/>
                <w:szCs w:val="16"/>
              </w:rPr>
              <w:t>Alteração no Microclima no entorno dos reservatórios</w:t>
            </w:r>
            <w:r w:rsidR="00B4091F">
              <w:rPr>
                <w:rFonts w:cs="Arial"/>
                <w:sz w:val="16"/>
                <w:szCs w:val="16"/>
              </w:rPr>
              <w:t>. Implantação e Operação</w:t>
            </w:r>
          </w:p>
        </w:tc>
        <w:tc>
          <w:tcPr>
            <w:tcW w:w="335" w:type="pct"/>
            <w:shd w:val="clear" w:color="auto" w:fill="auto"/>
            <w:vAlign w:val="center"/>
          </w:tcPr>
          <w:p w:rsidR="005432A8" w:rsidRPr="009908ED" w:rsidRDefault="005432A8" w:rsidP="008A7364">
            <w:pPr>
              <w:spacing w:line="240" w:lineRule="auto"/>
              <w:jc w:val="left"/>
              <w:rPr>
                <w:rFonts w:cs="Arial"/>
                <w:sz w:val="16"/>
                <w:szCs w:val="16"/>
              </w:rPr>
            </w:pPr>
            <w:r w:rsidRPr="009908ED">
              <w:rPr>
                <w:rFonts w:cs="Arial"/>
                <w:sz w:val="16"/>
                <w:szCs w:val="16"/>
              </w:rPr>
              <w:t>Positiva</w:t>
            </w:r>
          </w:p>
        </w:tc>
        <w:tc>
          <w:tcPr>
            <w:tcW w:w="266"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Médio/Longo Prazo</w:t>
            </w:r>
          </w:p>
        </w:tc>
        <w:tc>
          <w:tcPr>
            <w:tcW w:w="390"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5432A8" w:rsidRPr="008A7364" w:rsidRDefault="00833161" w:rsidP="00833161">
            <w:pPr>
              <w:spacing w:line="240" w:lineRule="auto"/>
              <w:jc w:val="center"/>
              <w:rPr>
                <w:rFonts w:cs="Arial"/>
                <w:sz w:val="16"/>
                <w:szCs w:val="16"/>
              </w:rPr>
            </w:pPr>
            <w:r>
              <w:rPr>
                <w:rFonts w:cs="Arial"/>
                <w:sz w:val="16"/>
                <w:szCs w:val="16"/>
              </w:rPr>
              <w:t>---</w:t>
            </w:r>
          </w:p>
        </w:tc>
      </w:tr>
      <w:tr w:rsidR="005432A8" w:rsidRPr="008A7364" w:rsidTr="00B42047">
        <w:trPr>
          <w:trHeight w:hRule="exact" w:val="570"/>
          <w:jc w:val="center"/>
        </w:trPr>
        <w:tc>
          <w:tcPr>
            <w:tcW w:w="188"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2</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5432A8" w:rsidRPr="008A7364" w:rsidRDefault="005432A8" w:rsidP="007A3613">
            <w:pPr>
              <w:spacing w:line="240" w:lineRule="auto"/>
              <w:rPr>
                <w:rFonts w:cs="Arial"/>
                <w:sz w:val="16"/>
                <w:szCs w:val="16"/>
              </w:rPr>
            </w:pPr>
            <w:r w:rsidRPr="008A7364">
              <w:rPr>
                <w:rFonts w:cs="Arial"/>
                <w:sz w:val="16"/>
                <w:szCs w:val="16"/>
              </w:rPr>
              <w:t>Alteração na Qualidade do Ar</w:t>
            </w:r>
            <w:r w:rsidR="00B4091F">
              <w:rPr>
                <w:rFonts w:cs="Arial"/>
                <w:sz w:val="16"/>
                <w:szCs w:val="16"/>
              </w:rPr>
              <w:t>. Implantação</w:t>
            </w:r>
          </w:p>
        </w:tc>
        <w:tc>
          <w:tcPr>
            <w:tcW w:w="335" w:type="pct"/>
            <w:shd w:val="clear" w:color="auto" w:fill="auto"/>
            <w:vAlign w:val="center"/>
          </w:tcPr>
          <w:p w:rsidR="005432A8" w:rsidRPr="009908ED" w:rsidRDefault="005432A8" w:rsidP="008A7364">
            <w:pPr>
              <w:spacing w:line="240" w:lineRule="auto"/>
              <w:jc w:val="left"/>
              <w:rPr>
                <w:rFonts w:cs="Arial"/>
                <w:sz w:val="16"/>
                <w:szCs w:val="16"/>
              </w:rPr>
            </w:pPr>
            <w:r w:rsidRPr="009908ED">
              <w:rPr>
                <w:rFonts w:cs="Arial"/>
                <w:sz w:val="16"/>
                <w:szCs w:val="16"/>
              </w:rPr>
              <w:t>Negativa</w:t>
            </w:r>
          </w:p>
        </w:tc>
        <w:tc>
          <w:tcPr>
            <w:tcW w:w="266"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Temporária</w:t>
            </w:r>
          </w:p>
        </w:tc>
        <w:tc>
          <w:tcPr>
            <w:tcW w:w="29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 xml:space="preserve"> Mitigável</w:t>
            </w:r>
          </w:p>
        </w:tc>
      </w:tr>
      <w:tr w:rsidR="005432A8" w:rsidRPr="008A7364" w:rsidTr="00B42047">
        <w:trPr>
          <w:trHeight w:val="454"/>
          <w:jc w:val="center"/>
        </w:trPr>
        <w:tc>
          <w:tcPr>
            <w:tcW w:w="188"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3</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5432A8" w:rsidRPr="008A7364" w:rsidRDefault="005432A8" w:rsidP="007A3613">
            <w:pPr>
              <w:spacing w:line="240" w:lineRule="auto"/>
              <w:rPr>
                <w:sz w:val="16"/>
                <w:szCs w:val="16"/>
              </w:rPr>
            </w:pPr>
            <w:r w:rsidRPr="008A7364">
              <w:rPr>
                <w:sz w:val="16"/>
                <w:szCs w:val="16"/>
              </w:rPr>
              <w:t>Aumento no Nível de Ruídos</w:t>
            </w:r>
            <w:r w:rsidR="00B4091F">
              <w:rPr>
                <w:sz w:val="16"/>
                <w:szCs w:val="16"/>
              </w:rPr>
              <w:t>. Implantação</w:t>
            </w:r>
          </w:p>
        </w:tc>
        <w:tc>
          <w:tcPr>
            <w:tcW w:w="335" w:type="pct"/>
            <w:shd w:val="clear" w:color="auto" w:fill="auto"/>
            <w:vAlign w:val="center"/>
          </w:tcPr>
          <w:p w:rsidR="005432A8" w:rsidRPr="009908ED" w:rsidRDefault="005432A8" w:rsidP="008A7364">
            <w:pPr>
              <w:spacing w:line="240" w:lineRule="auto"/>
              <w:jc w:val="left"/>
              <w:rPr>
                <w:rFonts w:cs="Arial"/>
                <w:sz w:val="16"/>
                <w:szCs w:val="16"/>
              </w:rPr>
            </w:pPr>
            <w:r w:rsidRPr="009908ED">
              <w:rPr>
                <w:rFonts w:cs="Arial"/>
                <w:sz w:val="16"/>
                <w:szCs w:val="16"/>
              </w:rPr>
              <w:t>Negativa</w:t>
            </w:r>
          </w:p>
        </w:tc>
        <w:tc>
          <w:tcPr>
            <w:tcW w:w="266"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Temporária</w:t>
            </w:r>
          </w:p>
        </w:tc>
        <w:tc>
          <w:tcPr>
            <w:tcW w:w="29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Não Mitigável</w:t>
            </w:r>
          </w:p>
        </w:tc>
      </w:tr>
      <w:tr w:rsidR="005432A8" w:rsidRPr="008A7364" w:rsidTr="00B42047">
        <w:trPr>
          <w:trHeight w:hRule="exact" w:val="567"/>
          <w:jc w:val="center"/>
        </w:trPr>
        <w:tc>
          <w:tcPr>
            <w:tcW w:w="188"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4</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5432A8" w:rsidRPr="008A7364" w:rsidRDefault="005432A8" w:rsidP="007A3613">
            <w:pPr>
              <w:spacing w:line="240" w:lineRule="auto"/>
              <w:rPr>
                <w:sz w:val="16"/>
                <w:szCs w:val="16"/>
              </w:rPr>
            </w:pPr>
            <w:r w:rsidRPr="008A7364">
              <w:rPr>
                <w:sz w:val="16"/>
                <w:szCs w:val="16"/>
              </w:rPr>
              <w:t>Emissão de Gases de Efeito Estufa</w:t>
            </w:r>
            <w:r w:rsidR="00B4091F">
              <w:rPr>
                <w:sz w:val="16"/>
                <w:szCs w:val="16"/>
              </w:rPr>
              <w:t>. Implantação e Operação</w:t>
            </w:r>
          </w:p>
        </w:tc>
        <w:tc>
          <w:tcPr>
            <w:tcW w:w="335"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5432A8" w:rsidRPr="005432A8" w:rsidRDefault="005432A8" w:rsidP="008A7364">
            <w:pPr>
              <w:spacing w:line="240" w:lineRule="auto"/>
              <w:jc w:val="left"/>
              <w:rPr>
                <w:rFonts w:cs="Arial"/>
                <w:sz w:val="16"/>
                <w:szCs w:val="16"/>
              </w:rPr>
            </w:pPr>
            <w:r w:rsidRPr="005432A8">
              <w:rPr>
                <w:rFonts w:cs="Arial"/>
                <w:sz w:val="16"/>
                <w:szCs w:val="16"/>
              </w:rPr>
              <w:t>Permanente</w:t>
            </w:r>
          </w:p>
        </w:tc>
        <w:tc>
          <w:tcPr>
            <w:tcW w:w="29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Longo Prazo</w:t>
            </w:r>
          </w:p>
        </w:tc>
        <w:tc>
          <w:tcPr>
            <w:tcW w:w="390"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5432A8" w:rsidRPr="00D51088" w:rsidRDefault="005432A8" w:rsidP="008A7364">
            <w:pPr>
              <w:spacing w:line="240" w:lineRule="auto"/>
              <w:jc w:val="left"/>
              <w:rPr>
                <w:rFonts w:cs="Arial"/>
                <w:sz w:val="16"/>
                <w:szCs w:val="16"/>
              </w:rPr>
            </w:pPr>
            <w:r>
              <w:rPr>
                <w:rFonts w:cs="Arial"/>
                <w:sz w:val="16"/>
                <w:szCs w:val="16"/>
              </w:rPr>
              <w:t>Pequena</w:t>
            </w:r>
          </w:p>
        </w:tc>
        <w:tc>
          <w:tcPr>
            <w:tcW w:w="343" w:type="pct"/>
            <w:shd w:val="clear" w:color="auto" w:fill="auto"/>
            <w:vAlign w:val="center"/>
          </w:tcPr>
          <w:p w:rsidR="005432A8" w:rsidRPr="00D51088" w:rsidRDefault="005432A8" w:rsidP="008A7364">
            <w:pPr>
              <w:spacing w:line="240" w:lineRule="auto"/>
              <w:jc w:val="left"/>
              <w:rPr>
                <w:rFonts w:cs="Arial"/>
                <w:sz w:val="16"/>
                <w:szCs w:val="16"/>
              </w:rPr>
            </w:pPr>
            <w:r>
              <w:rPr>
                <w:rFonts w:cs="Arial"/>
                <w:sz w:val="16"/>
                <w:szCs w:val="16"/>
              </w:rPr>
              <w:t>Média</w:t>
            </w:r>
          </w:p>
        </w:tc>
        <w:tc>
          <w:tcPr>
            <w:tcW w:w="397"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Não Mitigável</w:t>
            </w:r>
          </w:p>
        </w:tc>
      </w:tr>
      <w:tr w:rsidR="005432A8" w:rsidRPr="008A7364" w:rsidTr="00B42047">
        <w:trPr>
          <w:trHeight w:hRule="exact" w:val="622"/>
          <w:jc w:val="center"/>
        </w:trPr>
        <w:tc>
          <w:tcPr>
            <w:tcW w:w="188"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5</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5432A8" w:rsidRPr="008A7364" w:rsidRDefault="005432A8" w:rsidP="007A3613">
            <w:pPr>
              <w:spacing w:line="240" w:lineRule="auto"/>
              <w:rPr>
                <w:sz w:val="16"/>
                <w:szCs w:val="16"/>
              </w:rPr>
            </w:pPr>
            <w:r w:rsidRPr="008A7364">
              <w:rPr>
                <w:sz w:val="16"/>
                <w:szCs w:val="16"/>
              </w:rPr>
              <w:t>Alteração do Nível d’</w:t>
            </w:r>
            <w:r>
              <w:rPr>
                <w:sz w:val="16"/>
                <w:szCs w:val="16"/>
              </w:rPr>
              <w:t>Á</w:t>
            </w:r>
            <w:r w:rsidRPr="008A7364">
              <w:rPr>
                <w:sz w:val="16"/>
                <w:szCs w:val="16"/>
              </w:rPr>
              <w:t>gua a Montante das Barragens</w:t>
            </w:r>
            <w:r w:rsidR="00B4091F">
              <w:rPr>
                <w:sz w:val="16"/>
                <w:szCs w:val="16"/>
              </w:rPr>
              <w:t>. Implantação</w:t>
            </w:r>
          </w:p>
        </w:tc>
        <w:tc>
          <w:tcPr>
            <w:tcW w:w="335"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Negativo/Positivo</w:t>
            </w:r>
          </w:p>
        </w:tc>
        <w:tc>
          <w:tcPr>
            <w:tcW w:w="266"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5432A8" w:rsidRPr="005432A8" w:rsidRDefault="005432A8" w:rsidP="008A7364">
            <w:pPr>
              <w:spacing w:line="240" w:lineRule="auto"/>
              <w:jc w:val="left"/>
              <w:rPr>
                <w:rFonts w:cs="Arial"/>
                <w:sz w:val="16"/>
                <w:szCs w:val="16"/>
              </w:rPr>
            </w:pPr>
            <w:r w:rsidRPr="005432A8">
              <w:rPr>
                <w:rFonts w:cs="Arial"/>
                <w:sz w:val="16"/>
                <w:szCs w:val="16"/>
              </w:rPr>
              <w:t>Permanente</w:t>
            </w:r>
          </w:p>
        </w:tc>
        <w:tc>
          <w:tcPr>
            <w:tcW w:w="29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5432A8" w:rsidRPr="008A7364" w:rsidRDefault="005432A8" w:rsidP="008A7364">
            <w:pPr>
              <w:autoSpaceDE w:val="0"/>
              <w:autoSpaceDN w:val="0"/>
              <w:adjustRightInd w:val="0"/>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5432A8" w:rsidRPr="008A7364" w:rsidRDefault="005432A8" w:rsidP="008A7364">
            <w:pPr>
              <w:autoSpaceDE w:val="0"/>
              <w:autoSpaceDN w:val="0"/>
              <w:adjustRightInd w:val="0"/>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5432A8" w:rsidRPr="008A7364" w:rsidRDefault="005432A8" w:rsidP="008A7364">
            <w:pPr>
              <w:autoSpaceDE w:val="0"/>
              <w:autoSpaceDN w:val="0"/>
              <w:adjustRightInd w:val="0"/>
              <w:spacing w:line="240" w:lineRule="auto"/>
              <w:jc w:val="left"/>
              <w:rPr>
                <w:rFonts w:cs="Arial"/>
                <w:sz w:val="16"/>
                <w:szCs w:val="16"/>
              </w:rPr>
            </w:pPr>
            <w:r w:rsidRPr="008A7364">
              <w:rPr>
                <w:rFonts w:cs="Arial"/>
                <w:sz w:val="16"/>
                <w:szCs w:val="16"/>
              </w:rPr>
              <w:t>Não Mitigável</w:t>
            </w:r>
          </w:p>
        </w:tc>
      </w:tr>
      <w:tr w:rsidR="005432A8" w:rsidRPr="008A7364" w:rsidTr="00B42047">
        <w:trPr>
          <w:trHeight w:hRule="exact" w:val="688"/>
          <w:jc w:val="center"/>
        </w:trPr>
        <w:tc>
          <w:tcPr>
            <w:tcW w:w="188"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6</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5432A8" w:rsidRPr="00EE73EC" w:rsidRDefault="00FE3DAE" w:rsidP="007A3613">
            <w:pPr>
              <w:spacing w:line="240" w:lineRule="auto"/>
              <w:rPr>
                <w:sz w:val="16"/>
                <w:szCs w:val="16"/>
              </w:rPr>
            </w:pPr>
            <w:r w:rsidRPr="00EE73EC">
              <w:rPr>
                <w:sz w:val="16"/>
                <w:szCs w:val="16"/>
              </w:rPr>
              <w:t xml:space="preserve">Alteração </w:t>
            </w:r>
            <w:r w:rsidR="005432A8" w:rsidRPr="00EE73EC">
              <w:rPr>
                <w:sz w:val="16"/>
                <w:szCs w:val="16"/>
              </w:rPr>
              <w:t>do Nível d’Á</w:t>
            </w:r>
            <w:r w:rsidR="00B4091F" w:rsidRPr="00EE73EC">
              <w:rPr>
                <w:sz w:val="16"/>
                <w:szCs w:val="16"/>
              </w:rPr>
              <w:t>gua a Jusante dos Barramentos. Implantação e Operação</w:t>
            </w:r>
          </w:p>
        </w:tc>
        <w:tc>
          <w:tcPr>
            <w:tcW w:w="335"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Positiva</w:t>
            </w:r>
          </w:p>
        </w:tc>
        <w:tc>
          <w:tcPr>
            <w:tcW w:w="266"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ADA/AID</w:t>
            </w:r>
          </w:p>
        </w:tc>
        <w:tc>
          <w:tcPr>
            <w:tcW w:w="398" w:type="pct"/>
            <w:shd w:val="clear" w:color="auto" w:fill="auto"/>
            <w:vAlign w:val="center"/>
          </w:tcPr>
          <w:p w:rsidR="005432A8" w:rsidRPr="005432A8" w:rsidRDefault="005432A8" w:rsidP="008A7364">
            <w:pPr>
              <w:spacing w:line="240" w:lineRule="auto"/>
              <w:jc w:val="left"/>
              <w:rPr>
                <w:rFonts w:cs="Arial"/>
                <w:sz w:val="16"/>
                <w:szCs w:val="16"/>
              </w:rPr>
            </w:pPr>
            <w:r w:rsidRPr="005432A8">
              <w:rPr>
                <w:rFonts w:cs="Arial"/>
                <w:sz w:val="16"/>
                <w:szCs w:val="16"/>
              </w:rPr>
              <w:t>Permanente</w:t>
            </w:r>
          </w:p>
        </w:tc>
        <w:tc>
          <w:tcPr>
            <w:tcW w:w="29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Grande</w:t>
            </w:r>
          </w:p>
        </w:tc>
        <w:tc>
          <w:tcPr>
            <w:tcW w:w="343"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5432A8" w:rsidRPr="008A7364" w:rsidRDefault="00833161" w:rsidP="00833161">
            <w:pPr>
              <w:spacing w:line="240" w:lineRule="auto"/>
              <w:jc w:val="center"/>
              <w:rPr>
                <w:rFonts w:cs="Arial"/>
                <w:sz w:val="16"/>
                <w:szCs w:val="16"/>
              </w:rPr>
            </w:pPr>
            <w:r>
              <w:rPr>
                <w:rFonts w:cs="Arial"/>
                <w:sz w:val="16"/>
                <w:szCs w:val="16"/>
              </w:rPr>
              <w:t>---</w:t>
            </w:r>
          </w:p>
        </w:tc>
      </w:tr>
      <w:tr w:rsidR="0009787E" w:rsidRPr="008A7364" w:rsidTr="0009787E">
        <w:trPr>
          <w:trHeight w:hRule="exact" w:val="305"/>
          <w:jc w:val="center"/>
        </w:trPr>
        <w:tc>
          <w:tcPr>
            <w:tcW w:w="188" w:type="pct"/>
            <w:shd w:val="clear" w:color="auto" w:fill="auto"/>
            <w:vAlign w:val="center"/>
          </w:tcPr>
          <w:p w:rsidR="0009787E" w:rsidRPr="008A7364" w:rsidRDefault="0009787E" w:rsidP="00CC6E63">
            <w:pPr>
              <w:spacing w:line="240" w:lineRule="auto"/>
              <w:jc w:val="left"/>
              <w:rPr>
                <w:rFonts w:cs="Arial"/>
                <w:sz w:val="16"/>
                <w:szCs w:val="16"/>
              </w:rPr>
            </w:pPr>
            <w:r>
              <w:rPr>
                <w:rFonts w:cs="Arial"/>
                <w:sz w:val="16"/>
                <w:szCs w:val="16"/>
              </w:rPr>
              <w:t>7</w:t>
            </w:r>
          </w:p>
        </w:tc>
        <w:tc>
          <w:tcPr>
            <w:tcW w:w="249" w:type="pct"/>
            <w:vMerge/>
            <w:shd w:val="clear" w:color="auto" w:fill="auto"/>
            <w:vAlign w:val="center"/>
          </w:tcPr>
          <w:p w:rsidR="0009787E" w:rsidRPr="008A7364" w:rsidRDefault="0009787E" w:rsidP="008A7364">
            <w:pPr>
              <w:spacing w:line="240" w:lineRule="auto"/>
              <w:jc w:val="left"/>
              <w:rPr>
                <w:rFonts w:cs="Arial"/>
                <w:sz w:val="16"/>
                <w:szCs w:val="16"/>
              </w:rPr>
            </w:pPr>
          </w:p>
        </w:tc>
        <w:tc>
          <w:tcPr>
            <w:tcW w:w="4563" w:type="pct"/>
            <w:gridSpan w:val="11"/>
            <w:shd w:val="clear" w:color="auto" w:fill="auto"/>
            <w:vAlign w:val="center"/>
          </w:tcPr>
          <w:p w:rsidR="0009787E" w:rsidRPr="008A7364" w:rsidRDefault="0009787E" w:rsidP="007A3613">
            <w:pPr>
              <w:spacing w:after="20" w:line="240" w:lineRule="auto"/>
              <w:rPr>
                <w:rFonts w:cs="Arial"/>
                <w:sz w:val="16"/>
                <w:szCs w:val="16"/>
              </w:rPr>
            </w:pPr>
            <w:r w:rsidRPr="008A7364">
              <w:rPr>
                <w:sz w:val="16"/>
                <w:szCs w:val="16"/>
              </w:rPr>
              <w:t>Transformação do Regime de Escoamento dos Corpos de Água</w:t>
            </w:r>
            <w:r>
              <w:rPr>
                <w:sz w:val="16"/>
                <w:szCs w:val="16"/>
              </w:rPr>
              <w:t>.</w:t>
            </w:r>
          </w:p>
        </w:tc>
      </w:tr>
      <w:tr w:rsidR="005432A8" w:rsidRPr="008A7364" w:rsidTr="00B42047">
        <w:trPr>
          <w:trHeight w:hRule="exact" w:val="854"/>
          <w:jc w:val="center"/>
        </w:trPr>
        <w:tc>
          <w:tcPr>
            <w:tcW w:w="188" w:type="pct"/>
            <w:shd w:val="clear" w:color="auto" w:fill="auto"/>
            <w:vAlign w:val="center"/>
          </w:tcPr>
          <w:p w:rsidR="005432A8" w:rsidRPr="008A7364" w:rsidRDefault="005432A8" w:rsidP="00CC6E63">
            <w:pPr>
              <w:spacing w:line="240" w:lineRule="auto"/>
              <w:jc w:val="left"/>
              <w:rPr>
                <w:rFonts w:cs="Arial"/>
                <w:sz w:val="16"/>
                <w:szCs w:val="16"/>
              </w:rPr>
            </w:pPr>
            <w:r w:rsidRPr="008A7364">
              <w:rPr>
                <w:rFonts w:cs="Arial"/>
                <w:sz w:val="16"/>
                <w:szCs w:val="16"/>
              </w:rPr>
              <w:t>7</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B4091F" w:rsidRDefault="005432A8" w:rsidP="007A3613">
            <w:pPr>
              <w:spacing w:after="20" w:line="240" w:lineRule="auto"/>
              <w:rPr>
                <w:sz w:val="16"/>
                <w:szCs w:val="16"/>
              </w:rPr>
            </w:pPr>
            <w:r w:rsidRPr="008A7364">
              <w:rPr>
                <w:sz w:val="16"/>
                <w:szCs w:val="16"/>
              </w:rPr>
              <w:t>Transformação do Regime de Escoamento dos Corpos de</w:t>
            </w:r>
          </w:p>
          <w:p w:rsidR="005432A8" w:rsidRPr="008A7364" w:rsidRDefault="005432A8" w:rsidP="007A3613">
            <w:pPr>
              <w:spacing w:after="20" w:line="240" w:lineRule="auto"/>
              <w:rPr>
                <w:sz w:val="16"/>
                <w:szCs w:val="16"/>
              </w:rPr>
            </w:pPr>
            <w:r w:rsidRPr="008A7364">
              <w:rPr>
                <w:sz w:val="16"/>
                <w:szCs w:val="16"/>
              </w:rPr>
              <w:t xml:space="preserve"> Água</w:t>
            </w:r>
            <w:r w:rsidR="00B4091F">
              <w:rPr>
                <w:sz w:val="16"/>
                <w:szCs w:val="16"/>
              </w:rPr>
              <w:t>. Implantação e Operação</w:t>
            </w:r>
            <w:r w:rsidRPr="008A7364">
              <w:rPr>
                <w:sz w:val="16"/>
                <w:szCs w:val="16"/>
              </w:rPr>
              <w:t xml:space="preserve"> (PEDREIRA)</w:t>
            </w:r>
          </w:p>
        </w:tc>
        <w:tc>
          <w:tcPr>
            <w:tcW w:w="335"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5432A8" w:rsidRPr="008D76DA" w:rsidRDefault="005432A8" w:rsidP="008A7364">
            <w:pPr>
              <w:spacing w:line="240" w:lineRule="auto"/>
              <w:jc w:val="left"/>
              <w:rPr>
                <w:rFonts w:cs="Arial"/>
                <w:sz w:val="16"/>
                <w:szCs w:val="16"/>
              </w:rPr>
            </w:pPr>
            <w:r w:rsidRPr="008D76DA">
              <w:rPr>
                <w:rFonts w:cs="Arial"/>
                <w:sz w:val="16"/>
                <w:szCs w:val="16"/>
              </w:rPr>
              <w:t>Direta</w:t>
            </w:r>
          </w:p>
        </w:tc>
        <w:tc>
          <w:tcPr>
            <w:tcW w:w="449" w:type="pct"/>
            <w:shd w:val="clear" w:color="auto" w:fill="auto"/>
            <w:vAlign w:val="center"/>
          </w:tcPr>
          <w:p w:rsidR="005432A8" w:rsidRPr="008A7364" w:rsidRDefault="008D76DA" w:rsidP="008A7364">
            <w:pPr>
              <w:spacing w:line="240" w:lineRule="auto"/>
              <w:jc w:val="left"/>
              <w:rPr>
                <w:rFonts w:cs="Arial"/>
                <w:sz w:val="16"/>
                <w:szCs w:val="16"/>
              </w:rPr>
            </w:pPr>
            <w:r>
              <w:rPr>
                <w:rFonts w:cs="Arial"/>
                <w:sz w:val="16"/>
                <w:szCs w:val="16"/>
              </w:rPr>
              <w:t>Local (ADA</w:t>
            </w:r>
            <w:r w:rsidR="005432A8" w:rsidRPr="008A7364">
              <w:rPr>
                <w:rFonts w:cs="Arial"/>
                <w:sz w:val="16"/>
                <w:szCs w:val="16"/>
              </w:rPr>
              <w:t>)</w:t>
            </w:r>
          </w:p>
        </w:tc>
        <w:tc>
          <w:tcPr>
            <w:tcW w:w="398" w:type="pct"/>
            <w:shd w:val="clear" w:color="auto" w:fill="auto"/>
            <w:vAlign w:val="center"/>
          </w:tcPr>
          <w:p w:rsidR="005432A8" w:rsidRPr="005432A8" w:rsidRDefault="005432A8" w:rsidP="008A7364">
            <w:pPr>
              <w:spacing w:line="240" w:lineRule="auto"/>
              <w:jc w:val="left"/>
              <w:rPr>
                <w:rFonts w:cs="Arial"/>
                <w:sz w:val="16"/>
                <w:szCs w:val="16"/>
              </w:rPr>
            </w:pPr>
            <w:r w:rsidRPr="005432A8">
              <w:rPr>
                <w:rFonts w:cs="Arial"/>
                <w:sz w:val="16"/>
                <w:szCs w:val="16"/>
              </w:rPr>
              <w:t>Permanente</w:t>
            </w:r>
          </w:p>
        </w:tc>
        <w:tc>
          <w:tcPr>
            <w:tcW w:w="29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5432A8" w:rsidRPr="008A7364" w:rsidRDefault="008D76DA" w:rsidP="008A7364">
            <w:pPr>
              <w:spacing w:line="240" w:lineRule="auto"/>
              <w:jc w:val="left"/>
              <w:rPr>
                <w:rFonts w:cs="Arial"/>
                <w:sz w:val="16"/>
                <w:szCs w:val="16"/>
              </w:rPr>
            </w:pPr>
            <w:r>
              <w:rPr>
                <w:rFonts w:cs="Arial"/>
                <w:sz w:val="16"/>
                <w:szCs w:val="16"/>
              </w:rPr>
              <w:t>Pequena</w:t>
            </w:r>
          </w:p>
        </w:tc>
        <w:tc>
          <w:tcPr>
            <w:tcW w:w="343" w:type="pct"/>
            <w:shd w:val="clear" w:color="auto" w:fill="auto"/>
            <w:vAlign w:val="center"/>
          </w:tcPr>
          <w:p w:rsidR="005432A8" w:rsidRPr="008A7364" w:rsidRDefault="008D76DA" w:rsidP="008A7364">
            <w:pPr>
              <w:spacing w:line="240" w:lineRule="auto"/>
              <w:jc w:val="left"/>
              <w:rPr>
                <w:rFonts w:cs="Arial"/>
                <w:sz w:val="16"/>
                <w:szCs w:val="16"/>
              </w:rPr>
            </w:pPr>
            <w:r>
              <w:rPr>
                <w:rFonts w:cs="Arial"/>
                <w:sz w:val="16"/>
                <w:szCs w:val="16"/>
              </w:rPr>
              <w:t>Média</w:t>
            </w:r>
          </w:p>
        </w:tc>
        <w:tc>
          <w:tcPr>
            <w:tcW w:w="397"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Não Mitigável</w:t>
            </w:r>
          </w:p>
        </w:tc>
      </w:tr>
      <w:tr w:rsidR="005432A8" w:rsidRPr="008A7364" w:rsidTr="00B42047">
        <w:trPr>
          <w:trHeight w:hRule="exact" w:val="838"/>
          <w:jc w:val="center"/>
        </w:trPr>
        <w:tc>
          <w:tcPr>
            <w:tcW w:w="188" w:type="pct"/>
            <w:tcBorders>
              <w:bottom w:val="single" w:sz="4" w:space="0" w:color="auto"/>
            </w:tcBorders>
            <w:shd w:val="clear" w:color="auto" w:fill="auto"/>
            <w:vAlign w:val="center"/>
          </w:tcPr>
          <w:p w:rsidR="005432A8" w:rsidRPr="008A7364" w:rsidRDefault="005432A8" w:rsidP="00CC6E63">
            <w:pPr>
              <w:spacing w:line="240" w:lineRule="auto"/>
              <w:jc w:val="left"/>
              <w:rPr>
                <w:rFonts w:cs="Arial"/>
                <w:sz w:val="16"/>
                <w:szCs w:val="16"/>
              </w:rPr>
            </w:pPr>
            <w:r w:rsidRPr="008A7364">
              <w:rPr>
                <w:rFonts w:cs="Arial"/>
                <w:sz w:val="16"/>
                <w:szCs w:val="16"/>
              </w:rPr>
              <w:t>7</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5432A8" w:rsidRPr="008A7364" w:rsidRDefault="005432A8" w:rsidP="007A3613">
            <w:pPr>
              <w:spacing w:before="20" w:line="240" w:lineRule="auto"/>
              <w:rPr>
                <w:sz w:val="16"/>
                <w:szCs w:val="16"/>
              </w:rPr>
            </w:pPr>
            <w:r w:rsidRPr="008A7364">
              <w:rPr>
                <w:sz w:val="16"/>
                <w:szCs w:val="16"/>
              </w:rPr>
              <w:t>Transformação do Regime de Escoamento dos Corpos de Água</w:t>
            </w:r>
            <w:r w:rsidR="00B4091F">
              <w:rPr>
                <w:sz w:val="16"/>
                <w:szCs w:val="16"/>
              </w:rPr>
              <w:t>. Implantação e Operação</w:t>
            </w:r>
            <w:r w:rsidRPr="008A7364">
              <w:rPr>
                <w:sz w:val="16"/>
                <w:szCs w:val="16"/>
              </w:rPr>
              <w:t xml:space="preserve"> (DUAS PONTES)</w:t>
            </w:r>
          </w:p>
        </w:tc>
        <w:tc>
          <w:tcPr>
            <w:tcW w:w="335"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5432A8" w:rsidRPr="008A7364" w:rsidRDefault="008D76DA" w:rsidP="008A7364">
            <w:pPr>
              <w:spacing w:line="240" w:lineRule="auto"/>
              <w:jc w:val="left"/>
              <w:rPr>
                <w:rFonts w:cs="Arial"/>
                <w:sz w:val="16"/>
                <w:szCs w:val="16"/>
              </w:rPr>
            </w:pPr>
            <w:r>
              <w:rPr>
                <w:rFonts w:cs="Arial"/>
                <w:sz w:val="16"/>
                <w:szCs w:val="16"/>
              </w:rPr>
              <w:t>Local (ADA</w:t>
            </w:r>
            <w:r w:rsidR="005432A8" w:rsidRPr="008A7364">
              <w:rPr>
                <w:rFonts w:cs="Arial"/>
                <w:sz w:val="16"/>
                <w:szCs w:val="16"/>
              </w:rPr>
              <w:t>)</w:t>
            </w:r>
          </w:p>
        </w:tc>
        <w:tc>
          <w:tcPr>
            <w:tcW w:w="398" w:type="pct"/>
            <w:shd w:val="clear" w:color="auto" w:fill="auto"/>
            <w:vAlign w:val="center"/>
          </w:tcPr>
          <w:p w:rsidR="005432A8" w:rsidRPr="005432A8" w:rsidRDefault="005432A8" w:rsidP="008A7364">
            <w:pPr>
              <w:spacing w:line="240" w:lineRule="auto"/>
              <w:jc w:val="left"/>
              <w:rPr>
                <w:rFonts w:cs="Arial"/>
                <w:sz w:val="16"/>
                <w:szCs w:val="16"/>
              </w:rPr>
            </w:pPr>
            <w:r w:rsidRPr="005432A8">
              <w:rPr>
                <w:rFonts w:cs="Arial"/>
                <w:sz w:val="16"/>
                <w:szCs w:val="16"/>
              </w:rPr>
              <w:t>Permanente</w:t>
            </w:r>
          </w:p>
        </w:tc>
        <w:tc>
          <w:tcPr>
            <w:tcW w:w="29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5432A8" w:rsidRPr="008A7364" w:rsidRDefault="008D76DA" w:rsidP="008A7364">
            <w:pPr>
              <w:spacing w:line="240" w:lineRule="auto"/>
              <w:jc w:val="left"/>
              <w:rPr>
                <w:rFonts w:cs="Arial"/>
                <w:sz w:val="16"/>
                <w:szCs w:val="16"/>
              </w:rPr>
            </w:pPr>
            <w:r>
              <w:rPr>
                <w:rFonts w:cs="Arial"/>
                <w:sz w:val="16"/>
                <w:szCs w:val="16"/>
              </w:rPr>
              <w:t>Média</w:t>
            </w:r>
          </w:p>
        </w:tc>
        <w:tc>
          <w:tcPr>
            <w:tcW w:w="343" w:type="pct"/>
            <w:shd w:val="clear" w:color="auto" w:fill="auto"/>
            <w:vAlign w:val="center"/>
          </w:tcPr>
          <w:p w:rsidR="005432A8" w:rsidRPr="008A7364" w:rsidRDefault="008D76DA" w:rsidP="008A7364">
            <w:pPr>
              <w:spacing w:line="240" w:lineRule="auto"/>
              <w:jc w:val="left"/>
              <w:rPr>
                <w:rFonts w:cs="Arial"/>
                <w:sz w:val="16"/>
                <w:szCs w:val="16"/>
              </w:rPr>
            </w:pPr>
            <w:r>
              <w:rPr>
                <w:rFonts w:cs="Arial"/>
                <w:sz w:val="16"/>
                <w:szCs w:val="16"/>
              </w:rPr>
              <w:t>Média</w:t>
            </w:r>
          </w:p>
        </w:tc>
        <w:tc>
          <w:tcPr>
            <w:tcW w:w="397" w:type="pct"/>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Não Mitigável</w:t>
            </w:r>
          </w:p>
        </w:tc>
      </w:tr>
      <w:tr w:rsidR="005432A8" w:rsidRPr="008A7364" w:rsidTr="00B42047">
        <w:trPr>
          <w:trHeight w:hRule="exact" w:val="708"/>
          <w:jc w:val="center"/>
        </w:trPr>
        <w:tc>
          <w:tcPr>
            <w:tcW w:w="188" w:type="pct"/>
            <w:tcBorders>
              <w:bottom w:val="single" w:sz="4" w:space="0" w:color="auto"/>
            </w:tcBorders>
            <w:shd w:val="clear" w:color="auto" w:fill="auto"/>
            <w:vAlign w:val="center"/>
          </w:tcPr>
          <w:p w:rsidR="005432A8" w:rsidRPr="008A7364" w:rsidRDefault="005432A8" w:rsidP="00D51088">
            <w:pPr>
              <w:spacing w:line="240" w:lineRule="auto"/>
              <w:jc w:val="left"/>
              <w:rPr>
                <w:rFonts w:cs="Arial"/>
                <w:sz w:val="16"/>
                <w:szCs w:val="16"/>
              </w:rPr>
            </w:pPr>
            <w:r w:rsidRPr="008A7364">
              <w:rPr>
                <w:rFonts w:cs="Arial"/>
                <w:sz w:val="16"/>
                <w:szCs w:val="16"/>
              </w:rPr>
              <w:t>8</w:t>
            </w:r>
          </w:p>
        </w:tc>
        <w:tc>
          <w:tcPr>
            <w:tcW w:w="249" w:type="pct"/>
            <w:vMerge/>
            <w:tcBorders>
              <w:bottom w:val="single" w:sz="4" w:space="0" w:color="auto"/>
            </w:tcBorders>
            <w:shd w:val="clear" w:color="auto" w:fill="auto"/>
            <w:vAlign w:val="center"/>
          </w:tcPr>
          <w:p w:rsidR="005432A8" w:rsidRPr="008A7364" w:rsidRDefault="005432A8" w:rsidP="008A7364">
            <w:pPr>
              <w:spacing w:line="240" w:lineRule="auto"/>
              <w:jc w:val="left"/>
              <w:rPr>
                <w:rFonts w:cs="Arial"/>
                <w:sz w:val="16"/>
                <w:szCs w:val="16"/>
              </w:rPr>
            </w:pPr>
          </w:p>
        </w:tc>
        <w:tc>
          <w:tcPr>
            <w:tcW w:w="894" w:type="pct"/>
            <w:tcBorders>
              <w:bottom w:val="single" w:sz="4" w:space="0" w:color="auto"/>
            </w:tcBorders>
            <w:shd w:val="clear" w:color="auto" w:fill="auto"/>
            <w:vAlign w:val="center"/>
          </w:tcPr>
          <w:p w:rsidR="005432A8" w:rsidRPr="008A7364" w:rsidRDefault="005432A8" w:rsidP="007A3613">
            <w:pPr>
              <w:spacing w:before="40" w:after="20" w:line="240" w:lineRule="auto"/>
              <w:rPr>
                <w:sz w:val="16"/>
                <w:szCs w:val="16"/>
              </w:rPr>
            </w:pPr>
            <w:r w:rsidRPr="008A7364">
              <w:rPr>
                <w:sz w:val="16"/>
                <w:szCs w:val="16"/>
              </w:rPr>
              <w:t>Assoreamento</w:t>
            </w:r>
            <w:r>
              <w:rPr>
                <w:sz w:val="16"/>
                <w:szCs w:val="16"/>
              </w:rPr>
              <w:t xml:space="preserve"> dos Reservatórios</w:t>
            </w:r>
            <w:r w:rsidR="00B4091F">
              <w:rPr>
                <w:sz w:val="16"/>
                <w:szCs w:val="16"/>
              </w:rPr>
              <w:t>. Implantação e Operação</w:t>
            </w:r>
          </w:p>
        </w:tc>
        <w:tc>
          <w:tcPr>
            <w:tcW w:w="335" w:type="pct"/>
            <w:tcBorders>
              <w:bottom w:val="single" w:sz="4" w:space="0" w:color="auto"/>
            </w:tcBorders>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Negativa</w:t>
            </w:r>
          </w:p>
        </w:tc>
        <w:tc>
          <w:tcPr>
            <w:tcW w:w="266" w:type="pct"/>
            <w:tcBorders>
              <w:bottom w:val="single" w:sz="4" w:space="0" w:color="auto"/>
            </w:tcBorders>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Direta</w:t>
            </w:r>
          </w:p>
        </w:tc>
        <w:tc>
          <w:tcPr>
            <w:tcW w:w="449" w:type="pct"/>
            <w:tcBorders>
              <w:bottom w:val="single" w:sz="4" w:space="0" w:color="auto"/>
            </w:tcBorders>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Local (ADA)</w:t>
            </w:r>
          </w:p>
        </w:tc>
        <w:tc>
          <w:tcPr>
            <w:tcW w:w="398" w:type="pct"/>
            <w:tcBorders>
              <w:bottom w:val="single" w:sz="4" w:space="0" w:color="auto"/>
            </w:tcBorders>
            <w:shd w:val="clear" w:color="auto" w:fill="auto"/>
            <w:vAlign w:val="center"/>
          </w:tcPr>
          <w:p w:rsidR="005432A8" w:rsidRPr="008A7364" w:rsidRDefault="005432A8" w:rsidP="00D51088">
            <w:pPr>
              <w:spacing w:line="240" w:lineRule="auto"/>
              <w:jc w:val="left"/>
              <w:rPr>
                <w:rFonts w:cs="Arial"/>
                <w:sz w:val="16"/>
                <w:szCs w:val="16"/>
              </w:rPr>
            </w:pPr>
            <w:r w:rsidRPr="008A7364">
              <w:rPr>
                <w:rFonts w:cs="Arial"/>
                <w:sz w:val="16"/>
                <w:szCs w:val="16"/>
              </w:rPr>
              <w:t>Permanente</w:t>
            </w:r>
          </w:p>
        </w:tc>
        <w:tc>
          <w:tcPr>
            <w:tcW w:w="299" w:type="pct"/>
            <w:tcBorders>
              <w:bottom w:val="single" w:sz="4" w:space="0" w:color="auto"/>
            </w:tcBorders>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Certa</w:t>
            </w:r>
          </w:p>
        </w:tc>
        <w:tc>
          <w:tcPr>
            <w:tcW w:w="409" w:type="pct"/>
            <w:tcBorders>
              <w:bottom w:val="single" w:sz="4" w:space="0" w:color="auto"/>
            </w:tcBorders>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Curto Prazo</w:t>
            </w:r>
          </w:p>
        </w:tc>
        <w:tc>
          <w:tcPr>
            <w:tcW w:w="390" w:type="pct"/>
            <w:tcBorders>
              <w:bottom w:val="single" w:sz="4" w:space="0" w:color="auto"/>
            </w:tcBorders>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Reversível</w:t>
            </w:r>
          </w:p>
        </w:tc>
        <w:tc>
          <w:tcPr>
            <w:tcW w:w="383" w:type="pct"/>
            <w:tcBorders>
              <w:bottom w:val="single" w:sz="4" w:space="0" w:color="auto"/>
            </w:tcBorders>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Pequena</w:t>
            </w:r>
          </w:p>
        </w:tc>
        <w:tc>
          <w:tcPr>
            <w:tcW w:w="343" w:type="pct"/>
            <w:tcBorders>
              <w:bottom w:val="single" w:sz="4" w:space="0" w:color="auto"/>
            </w:tcBorders>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Baixa</w:t>
            </w:r>
          </w:p>
        </w:tc>
        <w:tc>
          <w:tcPr>
            <w:tcW w:w="397" w:type="pct"/>
            <w:tcBorders>
              <w:bottom w:val="single" w:sz="4" w:space="0" w:color="auto"/>
            </w:tcBorders>
            <w:shd w:val="clear" w:color="auto" w:fill="auto"/>
            <w:vAlign w:val="center"/>
          </w:tcPr>
          <w:p w:rsidR="005432A8" w:rsidRPr="008A7364" w:rsidRDefault="005432A8" w:rsidP="008A7364">
            <w:pPr>
              <w:spacing w:line="240" w:lineRule="auto"/>
              <w:jc w:val="left"/>
              <w:rPr>
                <w:rFonts w:cs="Arial"/>
                <w:sz w:val="16"/>
                <w:szCs w:val="16"/>
              </w:rPr>
            </w:pPr>
            <w:r w:rsidRPr="008A7364">
              <w:rPr>
                <w:rFonts w:cs="Arial"/>
                <w:sz w:val="16"/>
                <w:szCs w:val="16"/>
              </w:rPr>
              <w:t>Mitigável</w:t>
            </w:r>
          </w:p>
        </w:tc>
      </w:tr>
    </w:tbl>
    <w:p w:rsidR="00B42047" w:rsidRDefault="00B42047">
      <w:r>
        <w:br w:type="page"/>
      </w:r>
    </w:p>
    <w:p w:rsidR="00B4091F" w:rsidRDefault="002E29E3">
      <w:r>
        <w:t>(continuação)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722"/>
        <w:gridCol w:w="2593"/>
        <w:gridCol w:w="972"/>
        <w:gridCol w:w="772"/>
        <w:gridCol w:w="1302"/>
        <w:gridCol w:w="1155"/>
        <w:gridCol w:w="867"/>
        <w:gridCol w:w="1186"/>
        <w:gridCol w:w="1131"/>
        <w:gridCol w:w="1111"/>
        <w:gridCol w:w="995"/>
        <w:gridCol w:w="1152"/>
      </w:tblGrid>
      <w:tr w:rsidR="005432A8" w:rsidRPr="008A7364" w:rsidTr="00C55FEC">
        <w:trPr>
          <w:trHeight w:val="251"/>
          <w:tblHeader/>
        </w:trPr>
        <w:tc>
          <w:tcPr>
            <w:tcW w:w="188" w:type="pct"/>
            <w:vMerge w:val="restart"/>
            <w:shd w:val="clear" w:color="auto" w:fill="D9D9D9"/>
            <w:vAlign w:val="center"/>
          </w:tcPr>
          <w:p w:rsidR="005432A8" w:rsidRPr="008A7364" w:rsidRDefault="005432A8" w:rsidP="00C55FEC">
            <w:pPr>
              <w:spacing w:before="120" w:after="120" w:line="240" w:lineRule="auto"/>
              <w:jc w:val="center"/>
              <w:rPr>
                <w:rFonts w:cs="Arial"/>
                <w:b/>
                <w:sz w:val="18"/>
                <w:szCs w:val="18"/>
              </w:rPr>
            </w:pPr>
            <w:r w:rsidRPr="008A7364">
              <w:rPr>
                <w:rFonts w:cs="Arial"/>
                <w:b/>
                <w:sz w:val="18"/>
                <w:szCs w:val="18"/>
              </w:rPr>
              <w:t>N°</w:t>
            </w:r>
          </w:p>
        </w:tc>
        <w:tc>
          <w:tcPr>
            <w:tcW w:w="249" w:type="pct"/>
            <w:vMerge w:val="restart"/>
            <w:shd w:val="clear" w:color="auto" w:fill="D9D9D9"/>
            <w:vAlign w:val="center"/>
          </w:tcPr>
          <w:p w:rsidR="005432A8" w:rsidRPr="008A7364" w:rsidRDefault="005432A8" w:rsidP="00C55FEC">
            <w:pPr>
              <w:spacing w:before="120" w:after="120" w:line="240" w:lineRule="auto"/>
              <w:jc w:val="center"/>
              <w:rPr>
                <w:rFonts w:cs="Arial"/>
                <w:b/>
                <w:sz w:val="18"/>
                <w:szCs w:val="18"/>
              </w:rPr>
            </w:pPr>
            <w:r w:rsidRPr="008A7364">
              <w:rPr>
                <w:rFonts w:cs="Arial"/>
                <w:b/>
                <w:sz w:val="18"/>
                <w:szCs w:val="18"/>
              </w:rPr>
              <w:t>MEIO</w:t>
            </w:r>
          </w:p>
        </w:tc>
        <w:tc>
          <w:tcPr>
            <w:tcW w:w="894" w:type="pct"/>
            <w:vMerge w:val="restart"/>
            <w:shd w:val="clear" w:color="auto" w:fill="D9D9D9"/>
            <w:vAlign w:val="center"/>
          </w:tcPr>
          <w:p w:rsidR="005432A8" w:rsidRPr="008A7364" w:rsidRDefault="005432A8" w:rsidP="00C55FEC">
            <w:pPr>
              <w:spacing w:before="120" w:after="120" w:line="240" w:lineRule="auto"/>
              <w:jc w:val="center"/>
              <w:rPr>
                <w:rFonts w:cs="Arial"/>
                <w:b/>
                <w:sz w:val="18"/>
                <w:szCs w:val="18"/>
              </w:rPr>
            </w:pPr>
            <w:r w:rsidRPr="008A7364">
              <w:rPr>
                <w:rFonts w:cs="Arial"/>
                <w:b/>
                <w:sz w:val="18"/>
                <w:szCs w:val="18"/>
              </w:rPr>
              <w:t>IMPACTO</w:t>
            </w:r>
          </w:p>
        </w:tc>
        <w:tc>
          <w:tcPr>
            <w:tcW w:w="3669" w:type="pct"/>
            <w:gridSpan w:val="10"/>
            <w:shd w:val="clear" w:color="auto" w:fill="D9D9D9"/>
          </w:tcPr>
          <w:p w:rsidR="005432A8" w:rsidRPr="008A7364" w:rsidRDefault="005432A8" w:rsidP="00C55FEC">
            <w:pPr>
              <w:spacing w:before="120" w:after="120" w:line="240" w:lineRule="auto"/>
              <w:jc w:val="center"/>
              <w:rPr>
                <w:rFonts w:cs="Arial"/>
                <w:b/>
                <w:sz w:val="18"/>
                <w:szCs w:val="18"/>
              </w:rPr>
            </w:pPr>
            <w:r w:rsidRPr="008A7364">
              <w:rPr>
                <w:rFonts w:cs="Arial"/>
                <w:b/>
                <w:sz w:val="18"/>
                <w:szCs w:val="18"/>
              </w:rPr>
              <w:t>CARACTERIZAÇÃO</w:t>
            </w:r>
          </w:p>
        </w:tc>
      </w:tr>
      <w:tr w:rsidR="005432A8" w:rsidRPr="008A7364" w:rsidTr="00C55FEC">
        <w:trPr>
          <w:trHeight w:hRule="exact" w:val="340"/>
          <w:tblHeader/>
        </w:trPr>
        <w:tc>
          <w:tcPr>
            <w:tcW w:w="188" w:type="pct"/>
            <w:vMerge/>
            <w:shd w:val="clear" w:color="auto" w:fill="D9D9D9"/>
          </w:tcPr>
          <w:p w:rsidR="005432A8" w:rsidRPr="008A7364" w:rsidRDefault="005432A8" w:rsidP="00C55FEC">
            <w:pPr>
              <w:spacing w:before="120" w:after="120" w:line="240" w:lineRule="auto"/>
              <w:jc w:val="center"/>
              <w:rPr>
                <w:rFonts w:cs="Arial"/>
                <w:b/>
                <w:sz w:val="18"/>
                <w:szCs w:val="18"/>
              </w:rPr>
            </w:pPr>
          </w:p>
        </w:tc>
        <w:tc>
          <w:tcPr>
            <w:tcW w:w="249" w:type="pct"/>
            <w:vMerge/>
            <w:shd w:val="clear" w:color="auto" w:fill="D9D9D9"/>
          </w:tcPr>
          <w:p w:rsidR="005432A8" w:rsidRPr="008A7364" w:rsidRDefault="005432A8" w:rsidP="00C55FEC">
            <w:pPr>
              <w:spacing w:before="120" w:after="120" w:line="240" w:lineRule="auto"/>
              <w:jc w:val="center"/>
              <w:rPr>
                <w:rFonts w:cs="Arial"/>
                <w:b/>
                <w:sz w:val="18"/>
                <w:szCs w:val="18"/>
              </w:rPr>
            </w:pPr>
          </w:p>
        </w:tc>
        <w:tc>
          <w:tcPr>
            <w:tcW w:w="894" w:type="pct"/>
            <w:vMerge/>
            <w:shd w:val="clear" w:color="auto" w:fill="D9D9D9"/>
          </w:tcPr>
          <w:p w:rsidR="005432A8" w:rsidRPr="008A7364" w:rsidRDefault="005432A8" w:rsidP="00C55FEC">
            <w:pPr>
              <w:spacing w:before="120" w:after="120" w:line="240" w:lineRule="auto"/>
              <w:jc w:val="center"/>
              <w:rPr>
                <w:rFonts w:cs="Arial"/>
                <w:b/>
                <w:sz w:val="18"/>
                <w:szCs w:val="18"/>
              </w:rPr>
            </w:pPr>
          </w:p>
        </w:tc>
        <w:tc>
          <w:tcPr>
            <w:tcW w:w="2546" w:type="pct"/>
            <w:gridSpan w:val="7"/>
            <w:shd w:val="clear" w:color="auto" w:fill="D9D9D9"/>
            <w:vAlign w:val="center"/>
          </w:tcPr>
          <w:p w:rsidR="005432A8" w:rsidRPr="008A7364" w:rsidRDefault="005432A8" w:rsidP="00C55FEC">
            <w:pPr>
              <w:spacing w:before="120" w:after="120" w:line="240" w:lineRule="auto"/>
              <w:jc w:val="center"/>
              <w:rPr>
                <w:rFonts w:cs="Arial"/>
                <w:b/>
                <w:sz w:val="16"/>
                <w:szCs w:val="16"/>
              </w:rPr>
            </w:pPr>
            <w:r w:rsidRPr="008A7364">
              <w:rPr>
                <w:rFonts w:cs="Arial"/>
                <w:b/>
                <w:sz w:val="16"/>
                <w:szCs w:val="16"/>
              </w:rPr>
              <w:t>Classificação</w:t>
            </w:r>
          </w:p>
        </w:tc>
        <w:tc>
          <w:tcPr>
            <w:tcW w:w="726" w:type="pct"/>
            <w:gridSpan w:val="2"/>
            <w:shd w:val="clear" w:color="auto" w:fill="D9D9D9"/>
            <w:vAlign w:val="center"/>
          </w:tcPr>
          <w:p w:rsidR="005432A8" w:rsidRPr="008A7364" w:rsidRDefault="005432A8" w:rsidP="00C55FEC">
            <w:pPr>
              <w:spacing w:before="120" w:after="120" w:line="240" w:lineRule="auto"/>
              <w:jc w:val="center"/>
              <w:rPr>
                <w:rFonts w:cs="Arial"/>
                <w:b/>
                <w:sz w:val="16"/>
                <w:szCs w:val="16"/>
              </w:rPr>
            </w:pPr>
            <w:r w:rsidRPr="008A7364">
              <w:rPr>
                <w:rFonts w:cs="Arial"/>
                <w:b/>
                <w:sz w:val="16"/>
                <w:szCs w:val="16"/>
              </w:rPr>
              <w:t>Mensuração</w:t>
            </w:r>
          </w:p>
        </w:tc>
        <w:tc>
          <w:tcPr>
            <w:tcW w:w="397" w:type="pct"/>
            <w:vMerge w:val="restart"/>
            <w:shd w:val="clear" w:color="auto" w:fill="D9D9D9"/>
            <w:vAlign w:val="center"/>
          </w:tcPr>
          <w:p w:rsidR="005432A8" w:rsidRPr="008A7364" w:rsidRDefault="005432A8" w:rsidP="00C55FEC">
            <w:pPr>
              <w:spacing w:before="120" w:after="120" w:line="240" w:lineRule="auto"/>
              <w:jc w:val="center"/>
              <w:rPr>
                <w:rFonts w:cs="Arial"/>
                <w:b/>
                <w:sz w:val="16"/>
                <w:szCs w:val="16"/>
              </w:rPr>
            </w:pPr>
            <w:r w:rsidRPr="008A7364">
              <w:rPr>
                <w:rFonts w:cs="Arial"/>
                <w:b/>
                <w:sz w:val="16"/>
                <w:szCs w:val="16"/>
              </w:rPr>
              <w:t>Mitigação</w:t>
            </w:r>
          </w:p>
        </w:tc>
      </w:tr>
      <w:tr w:rsidR="005432A8" w:rsidRPr="008A7364" w:rsidTr="00AC08E8">
        <w:trPr>
          <w:trHeight w:val="447"/>
          <w:tblHeader/>
        </w:trPr>
        <w:tc>
          <w:tcPr>
            <w:tcW w:w="188" w:type="pct"/>
            <w:vMerge/>
            <w:tcBorders>
              <w:bottom w:val="single" w:sz="4" w:space="0" w:color="auto"/>
            </w:tcBorders>
            <w:shd w:val="clear" w:color="auto" w:fill="auto"/>
          </w:tcPr>
          <w:p w:rsidR="005432A8" w:rsidRPr="008A7364" w:rsidRDefault="005432A8" w:rsidP="00C55FEC">
            <w:pPr>
              <w:spacing w:before="120" w:after="120" w:line="240" w:lineRule="auto"/>
              <w:jc w:val="center"/>
              <w:rPr>
                <w:rFonts w:cs="Arial"/>
                <w:b/>
              </w:rPr>
            </w:pPr>
          </w:p>
        </w:tc>
        <w:tc>
          <w:tcPr>
            <w:tcW w:w="249" w:type="pct"/>
            <w:vMerge/>
            <w:tcBorders>
              <w:bottom w:val="single" w:sz="4" w:space="0" w:color="auto"/>
            </w:tcBorders>
            <w:shd w:val="clear" w:color="auto" w:fill="auto"/>
          </w:tcPr>
          <w:p w:rsidR="005432A8" w:rsidRPr="008A7364" w:rsidRDefault="005432A8" w:rsidP="00C55FEC">
            <w:pPr>
              <w:spacing w:before="120" w:after="120" w:line="240" w:lineRule="auto"/>
              <w:jc w:val="center"/>
              <w:rPr>
                <w:rFonts w:cs="Arial"/>
                <w:b/>
              </w:rPr>
            </w:pPr>
          </w:p>
        </w:tc>
        <w:tc>
          <w:tcPr>
            <w:tcW w:w="894" w:type="pct"/>
            <w:vMerge/>
            <w:tcBorders>
              <w:bottom w:val="single" w:sz="4" w:space="0" w:color="auto"/>
            </w:tcBorders>
            <w:shd w:val="clear" w:color="auto" w:fill="auto"/>
          </w:tcPr>
          <w:p w:rsidR="005432A8" w:rsidRPr="008A7364" w:rsidRDefault="005432A8" w:rsidP="00C55FEC">
            <w:pPr>
              <w:spacing w:before="120" w:after="120" w:line="240" w:lineRule="auto"/>
              <w:jc w:val="center"/>
              <w:rPr>
                <w:rFonts w:cs="Arial"/>
                <w:b/>
                <w:sz w:val="20"/>
              </w:rPr>
            </w:pPr>
          </w:p>
        </w:tc>
        <w:tc>
          <w:tcPr>
            <w:tcW w:w="335" w:type="pct"/>
            <w:tcBorders>
              <w:bottom w:val="single" w:sz="4" w:space="0" w:color="auto"/>
            </w:tcBorders>
            <w:shd w:val="clear" w:color="auto" w:fill="D9D9D9"/>
            <w:vAlign w:val="center"/>
          </w:tcPr>
          <w:p w:rsidR="005432A8" w:rsidRPr="008A7364" w:rsidRDefault="005432A8" w:rsidP="00C55FEC">
            <w:pPr>
              <w:spacing w:before="120" w:after="120" w:line="240" w:lineRule="auto"/>
              <w:jc w:val="center"/>
              <w:rPr>
                <w:rFonts w:cs="Arial"/>
                <w:b/>
                <w:sz w:val="16"/>
                <w:szCs w:val="16"/>
              </w:rPr>
            </w:pPr>
            <w:r w:rsidRPr="008A7364">
              <w:rPr>
                <w:rFonts w:cs="Arial"/>
                <w:b/>
                <w:sz w:val="16"/>
                <w:szCs w:val="16"/>
              </w:rPr>
              <w:t>Natureza</w:t>
            </w:r>
          </w:p>
        </w:tc>
        <w:tc>
          <w:tcPr>
            <w:tcW w:w="266" w:type="pct"/>
            <w:tcBorders>
              <w:bottom w:val="single" w:sz="4" w:space="0" w:color="auto"/>
            </w:tcBorders>
            <w:shd w:val="clear" w:color="auto" w:fill="D9D9D9"/>
            <w:vAlign w:val="center"/>
          </w:tcPr>
          <w:p w:rsidR="005432A8" w:rsidRPr="008A7364" w:rsidRDefault="005432A8" w:rsidP="00C55FEC">
            <w:pPr>
              <w:spacing w:before="120" w:after="120" w:line="240" w:lineRule="auto"/>
              <w:jc w:val="center"/>
              <w:rPr>
                <w:rFonts w:cs="Arial"/>
                <w:b/>
                <w:sz w:val="16"/>
                <w:szCs w:val="16"/>
              </w:rPr>
            </w:pPr>
            <w:r w:rsidRPr="008A7364">
              <w:rPr>
                <w:rFonts w:cs="Arial"/>
                <w:b/>
                <w:sz w:val="16"/>
                <w:szCs w:val="16"/>
              </w:rPr>
              <w:t>Ordem</w:t>
            </w:r>
          </w:p>
        </w:tc>
        <w:tc>
          <w:tcPr>
            <w:tcW w:w="449" w:type="pct"/>
            <w:tcBorders>
              <w:bottom w:val="single" w:sz="4" w:space="0" w:color="auto"/>
            </w:tcBorders>
            <w:shd w:val="clear" w:color="auto" w:fill="D9D9D9"/>
            <w:vAlign w:val="center"/>
          </w:tcPr>
          <w:p w:rsidR="005432A8" w:rsidRPr="008A7364" w:rsidRDefault="005432A8" w:rsidP="00C55FEC">
            <w:pPr>
              <w:spacing w:before="120" w:after="120" w:line="240" w:lineRule="auto"/>
              <w:jc w:val="center"/>
              <w:rPr>
                <w:rFonts w:cs="Arial"/>
                <w:b/>
                <w:sz w:val="16"/>
                <w:szCs w:val="16"/>
              </w:rPr>
            </w:pPr>
            <w:r w:rsidRPr="008A7364">
              <w:rPr>
                <w:rFonts w:cs="Arial"/>
                <w:b/>
                <w:sz w:val="16"/>
                <w:szCs w:val="16"/>
              </w:rPr>
              <w:t>Abrangência</w:t>
            </w:r>
          </w:p>
        </w:tc>
        <w:tc>
          <w:tcPr>
            <w:tcW w:w="398" w:type="pct"/>
            <w:tcBorders>
              <w:bottom w:val="single" w:sz="4" w:space="0" w:color="auto"/>
            </w:tcBorders>
            <w:shd w:val="clear" w:color="auto" w:fill="D9D9D9"/>
            <w:vAlign w:val="center"/>
          </w:tcPr>
          <w:p w:rsidR="005432A8" w:rsidRPr="008A7364" w:rsidRDefault="005432A8" w:rsidP="00C55FEC">
            <w:pPr>
              <w:spacing w:before="120" w:after="120" w:line="240" w:lineRule="auto"/>
              <w:jc w:val="center"/>
              <w:rPr>
                <w:rFonts w:cs="Arial"/>
                <w:b/>
                <w:sz w:val="16"/>
                <w:szCs w:val="16"/>
              </w:rPr>
            </w:pPr>
            <w:r w:rsidRPr="008A7364">
              <w:rPr>
                <w:rFonts w:cs="Arial"/>
                <w:b/>
                <w:sz w:val="16"/>
                <w:szCs w:val="16"/>
              </w:rPr>
              <w:t>Duração</w:t>
            </w:r>
          </w:p>
        </w:tc>
        <w:tc>
          <w:tcPr>
            <w:tcW w:w="299" w:type="pct"/>
            <w:tcBorders>
              <w:bottom w:val="single" w:sz="4" w:space="0" w:color="auto"/>
            </w:tcBorders>
            <w:shd w:val="clear" w:color="auto" w:fill="D9D9D9"/>
            <w:vAlign w:val="center"/>
          </w:tcPr>
          <w:p w:rsidR="005432A8" w:rsidRPr="008A7364" w:rsidRDefault="005432A8" w:rsidP="00C55FEC">
            <w:pPr>
              <w:spacing w:before="120" w:after="120" w:line="240" w:lineRule="auto"/>
              <w:jc w:val="center"/>
              <w:rPr>
                <w:rFonts w:cs="Arial"/>
                <w:b/>
                <w:sz w:val="16"/>
                <w:szCs w:val="16"/>
              </w:rPr>
            </w:pPr>
            <w:r w:rsidRPr="008A7364">
              <w:rPr>
                <w:rFonts w:cs="Arial"/>
                <w:b/>
                <w:sz w:val="16"/>
                <w:szCs w:val="16"/>
              </w:rPr>
              <w:t>Probabilidade</w:t>
            </w:r>
          </w:p>
        </w:tc>
        <w:tc>
          <w:tcPr>
            <w:tcW w:w="409" w:type="pct"/>
            <w:tcBorders>
              <w:bottom w:val="single" w:sz="4" w:space="0" w:color="auto"/>
            </w:tcBorders>
            <w:shd w:val="clear" w:color="auto" w:fill="D9D9D9"/>
            <w:vAlign w:val="center"/>
          </w:tcPr>
          <w:p w:rsidR="005432A8" w:rsidRPr="008A7364" w:rsidRDefault="005432A8" w:rsidP="00C55FEC">
            <w:pPr>
              <w:spacing w:before="120" w:after="120" w:line="240" w:lineRule="auto"/>
              <w:jc w:val="center"/>
              <w:rPr>
                <w:rFonts w:cs="Arial"/>
                <w:b/>
                <w:sz w:val="16"/>
                <w:szCs w:val="16"/>
              </w:rPr>
            </w:pPr>
            <w:r w:rsidRPr="008A7364">
              <w:rPr>
                <w:rFonts w:cs="Arial"/>
                <w:b/>
                <w:sz w:val="16"/>
                <w:szCs w:val="16"/>
              </w:rPr>
              <w:t>Época</w:t>
            </w:r>
          </w:p>
        </w:tc>
        <w:tc>
          <w:tcPr>
            <w:tcW w:w="390" w:type="pct"/>
            <w:tcBorders>
              <w:bottom w:val="single" w:sz="4" w:space="0" w:color="auto"/>
            </w:tcBorders>
            <w:shd w:val="clear" w:color="auto" w:fill="D9D9D9"/>
          </w:tcPr>
          <w:p w:rsidR="005432A8" w:rsidRPr="008A7364" w:rsidRDefault="00BC7E61" w:rsidP="00C55FEC">
            <w:pPr>
              <w:spacing w:before="120" w:after="120" w:line="240" w:lineRule="auto"/>
              <w:jc w:val="center"/>
              <w:rPr>
                <w:rFonts w:cs="Arial"/>
                <w:b/>
                <w:sz w:val="16"/>
                <w:szCs w:val="16"/>
              </w:rPr>
            </w:pPr>
            <w:r w:rsidRPr="008A7364">
              <w:rPr>
                <w:rFonts w:cs="Arial"/>
                <w:b/>
                <w:sz w:val="16"/>
                <w:szCs w:val="16"/>
              </w:rPr>
              <w:t>Reversibi</w:t>
            </w:r>
            <w:r w:rsidR="0053626B">
              <w:rPr>
                <w:rFonts w:cs="Arial"/>
                <w:b/>
                <w:sz w:val="16"/>
                <w:szCs w:val="16"/>
              </w:rPr>
              <w:t>-</w:t>
            </w:r>
            <w:r w:rsidRPr="008A7364">
              <w:rPr>
                <w:rFonts w:cs="Arial"/>
                <w:b/>
                <w:sz w:val="16"/>
                <w:szCs w:val="16"/>
              </w:rPr>
              <w:t>lidade</w:t>
            </w:r>
          </w:p>
        </w:tc>
        <w:tc>
          <w:tcPr>
            <w:tcW w:w="383" w:type="pct"/>
            <w:tcBorders>
              <w:bottom w:val="single" w:sz="4" w:space="0" w:color="auto"/>
            </w:tcBorders>
            <w:shd w:val="clear" w:color="auto" w:fill="D9D9D9"/>
            <w:vAlign w:val="center"/>
          </w:tcPr>
          <w:p w:rsidR="005432A8" w:rsidRPr="008A7364" w:rsidRDefault="005432A8" w:rsidP="00C55FEC">
            <w:pPr>
              <w:spacing w:before="120" w:after="120" w:line="240" w:lineRule="auto"/>
              <w:jc w:val="center"/>
              <w:rPr>
                <w:rFonts w:cs="Arial"/>
                <w:b/>
                <w:sz w:val="16"/>
                <w:szCs w:val="16"/>
              </w:rPr>
            </w:pPr>
            <w:r w:rsidRPr="008A7364">
              <w:rPr>
                <w:rFonts w:cs="Arial"/>
                <w:b/>
                <w:sz w:val="16"/>
                <w:szCs w:val="16"/>
              </w:rPr>
              <w:t>Magnitude</w:t>
            </w:r>
          </w:p>
        </w:tc>
        <w:tc>
          <w:tcPr>
            <w:tcW w:w="343" w:type="pct"/>
            <w:tcBorders>
              <w:bottom w:val="single" w:sz="4" w:space="0" w:color="auto"/>
            </w:tcBorders>
            <w:shd w:val="clear" w:color="auto" w:fill="D9D9D9"/>
            <w:vAlign w:val="center"/>
          </w:tcPr>
          <w:p w:rsidR="005432A8" w:rsidRPr="008A7364" w:rsidRDefault="00BC7E61" w:rsidP="00C55FEC">
            <w:pPr>
              <w:spacing w:before="120" w:after="120" w:line="240" w:lineRule="auto"/>
              <w:jc w:val="center"/>
              <w:rPr>
                <w:rFonts w:cs="Arial"/>
                <w:b/>
                <w:sz w:val="16"/>
                <w:szCs w:val="16"/>
              </w:rPr>
            </w:pPr>
            <w:r w:rsidRPr="008A7364">
              <w:rPr>
                <w:rFonts w:cs="Arial"/>
                <w:b/>
                <w:sz w:val="16"/>
                <w:szCs w:val="16"/>
              </w:rPr>
              <w:t>Impor</w:t>
            </w:r>
            <w:r w:rsidR="0053626B">
              <w:rPr>
                <w:rFonts w:cs="Arial"/>
                <w:b/>
                <w:sz w:val="16"/>
                <w:szCs w:val="16"/>
              </w:rPr>
              <w:t>-</w:t>
            </w:r>
            <w:r w:rsidRPr="008A7364">
              <w:rPr>
                <w:rFonts w:cs="Arial"/>
                <w:b/>
                <w:sz w:val="16"/>
                <w:szCs w:val="16"/>
              </w:rPr>
              <w:t>tância</w:t>
            </w:r>
          </w:p>
        </w:tc>
        <w:tc>
          <w:tcPr>
            <w:tcW w:w="397" w:type="pct"/>
            <w:vMerge/>
            <w:tcBorders>
              <w:bottom w:val="single" w:sz="4" w:space="0" w:color="auto"/>
            </w:tcBorders>
            <w:shd w:val="clear" w:color="auto" w:fill="auto"/>
          </w:tcPr>
          <w:p w:rsidR="005432A8" w:rsidRPr="008A7364" w:rsidRDefault="005432A8" w:rsidP="00C55FEC">
            <w:pPr>
              <w:spacing w:before="120" w:after="120" w:line="240" w:lineRule="auto"/>
              <w:jc w:val="center"/>
              <w:rPr>
                <w:rFonts w:cs="Arial"/>
                <w:b/>
                <w:sz w:val="16"/>
                <w:szCs w:val="16"/>
              </w:rPr>
            </w:pPr>
          </w:p>
        </w:tc>
      </w:tr>
      <w:tr w:rsidR="0009787E" w:rsidRPr="008A7364" w:rsidTr="0009787E">
        <w:trPr>
          <w:trHeight w:hRule="exact" w:val="339"/>
        </w:trPr>
        <w:tc>
          <w:tcPr>
            <w:tcW w:w="188" w:type="pct"/>
            <w:tcBorders>
              <w:top w:val="single" w:sz="4" w:space="0" w:color="auto"/>
              <w:bottom w:val="single" w:sz="4" w:space="0" w:color="auto"/>
            </w:tcBorders>
            <w:shd w:val="clear" w:color="auto" w:fill="auto"/>
            <w:vAlign w:val="center"/>
          </w:tcPr>
          <w:p w:rsidR="0009787E" w:rsidRPr="008A7364" w:rsidRDefault="0009787E" w:rsidP="009F467A">
            <w:pPr>
              <w:spacing w:line="240" w:lineRule="auto"/>
              <w:jc w:val="left"/>
              <w:rPr>
                <w:rFonts w:cs="Arial"/>
                <w:sz w:val="16"/>
                <w:szCs w:val="16"/>
              </w:rPr>
            </w:pPr>
            <w:r>
              <w:rPr>
                <w:rFonts w:cs="Arial"/>
                <w:sz w:val="16"/>
                <w:szCs w:val="16"/>
              </w:rPr>
              <w:t>9</w:t>
            </w:r>
          </w:p>
        </w:tc>
        <w:tc>
          <w:tcPr>
            <w:tcW w:w="249" w:type="pct"/>
            <w:vMerge w:val="restart"/>
            <w:tcBorders>
              <w:top w:val="single" w:sz="4" w:space="0" w:color="auto"/>
            </w:tcBorders>
            <w:shd w:val="clear" w:color="auto" w:fill="auto"/>
            <w:textDirection w:val="btLr"/>
            <w:vAlign w:val="center"/>
          </w:tcPr>
          <w:p w:rsidR="0009787E" w:rsidRPr="00B4091F" w:rsidRDefault="0009787E" w:rsidP="00C55FEC">
            <w:pPr>
              <w:spacing w:line="240" w:lineRule="auto"/>
              <w:ind w:left="113" w:right="113"/>
              <w:jc w:val="center"/>
              <w:rPr>
                <w:rFonts w:cs="Arial"/>
                <w:b/>
                <w:sz w:val="20"/>
              </w:rPr>
            </w:pPr>
            <w:r w:rsidRPr="00B4091F">
              <w:rPr>
                <w:rFonts w:cs="Arial"/>
                <w:b/>
                <w:sz w:val="20"/>
              </w:rPr>
              <w:t>Meio Físico</w:t>
            </w:r>
          </w:p>
        </w:tc>
        <w:tc>
          <w:tcPr>
            <w:tcW w:w="4563" w:type="pct"/>
            <w:gridSpan w:val="11"/>
            <w:tcBorders>
              <w:top w:val="nil"/>
            </w:tcBorders>
            <w:shd w:val="clear" w:color="auto" w:fill="auto"/>
            <w:vAlign w:val="center"/>
          </w:tcPr>
          <w:p w:rsidR="0009787E" w:rsidRPr="008A7364" w:rsidRDefault="0009787E" w:rsidP="008A7364">
            <w:pPr>
              <w:spacing w:line="240" w:lineRule="auto"/>
              <w:jc w:val="left"/>
              <w:rPr>
                <w:rFonts w:cs="Arial"/>
                <w:sz w:val="16"/>
                <w:szCs w:val="16"/>
              </w:rPr>
            </w:pPr>
            <w:r w:rsidRPr="008A7364">
              <w:rPr>
                <w:sz w:val="16"/>
                <w:szCs w:val="16"/>
              </w:rPr>
              <w:t>Alteração na Qualidade das Águas Superficiais</w:t>
            </w:r>
            <w:r>
              <w:rPr>
                <w:sz w:val="16"/>
                <w:szCs w:val="16"/>
              </w:rPr>
              <w:t xml:space="preserve"> e dos Sedimento</w:t>
            </w:r>
          </w:p>
        </w:tc>
      </w:tr>
      <w:tr w:rsidR="0009787E" w:rsidRPr="008A7364" w:rsidTr="0009787E">
        <w:trPr>
          <w:trHeight w:hRule="exact" w:val="1010"/>
        </w:trPr>
        <w:tc>
          <w:tcPr>
            <w:tcW w:w="188" w:type="pct"/>
            <w:tcBorders>
              <w:top w:val="single" w:sz="4" w:space="0" w:color="auto"/>
              <w:bottom w:val="single" w:sz="4" w:space="0" w:color="auto"/>
            </w:tcBorders>
            <w:shd w:val="clear" w:color="auto" w:fill="auto"/>
            <w:vAlign w:val="center"/>
          </w:tcPr>
          <w:p w:rsidR="0009787E" w:rsidRPr="008A7364" w:rsidRDefault="0009787E" w:rsidP="009F467A">
            <w:pPr>
              <w:spacing w:line="240" w:lineRule="auto"/>
              <w:jc w:val="left"/>
              <w:rPr>
                <w:rFonts w:cs="Arial"/>
                <w:sz w:val="16"/>
                <w:szCs w:val="16"/>
              </w:rPr>
            </w:pPr>
            <w:r w:rsidRPr="008A7364">
              <w:rPr>
                <w:rFonts w:cs="Arial"/>
                <w:sz w:val="16"/>
                <w:szCs w:val="16"/>
              </w:rPr>
              <w:t>9</w:t>
            </w:r>
            <w:r>
              <w:rPr>
                <w:rFonts w:cs="Arial"/>
                <w:sz w:val="16"/>
                <w:szCs w:val="16"/>
              </w:rPr>
              <w:t xml:space="preserve"> a</w:t>
            </w:r>
          </w:p>
        </w:tc>
        <w:tc>
          <w:tcPr>
            <w:tcW w:w="249" w:type="pct"/>
            <w:vMerge/>
            <w:shd w:val="clear" w:color="auto" w:fill="auto"/>
            <w:textDirection w:val="btLr"/>
            <w:vAlign w:val="center"/>
          </w:tcPr>
          <w:p w:rsidR="0009787E" w:rsidRPr="00B4091F" w:rsidRDefault="0009787E" w:rsidP="00C55FEC">
            <w:pPr>
              <w:spacing w:line="240" w:lineRule="auto"/>
              <w:ind w:left="113" w:right="113"/>
              <w:jc w:val="center"/>
              <w:rPr>
                <w:rFonts w:cs="Arial"/>
                <w:b/>
                <w:sz w:val="20"/>
              </w:rPr>
            </w:pPr>
          </w:p>
        </w:tc>
        <w:tc>
          <w:tcPr>
            <w:tcW w:w="894" w:type="pct"/>
            <w:tcBorders>
              <w:top w:val="nil"/>
            </w:tcBorders>
            <w:shd w:val="clear" w:color="auto" w:fill="auto"/>
            <w:vAlign w:val="center"/>
          </w:tcPr>
          <w:p w:rsidR="0009787E" w:rsidRDefault="0009787E" w:rsidP="007A3613">
            <w:pPr>
              <w:spacing w:before="40" w:after="20" w:line="240" w:lineRule="auto"/>
              <w:rPr>
                <w:sz w:val="16"/>
                <w:szCs w:val="16"/>
              </w:rPr>
            </w:pPr>
            <w:r w:rsidRPr="008A7364">
              <w:rPr>
                <w:sz w:val="16"/>
                <w:szCs w:val="16"/>
              </w:rPr>
              <w:t>Alteração na Qualidade das Águas Superficiais</w:t>
            </w:r>
            <w:r>
              <w:rPr>
                <w:sz w:val="16"/>
                <w:szCs w:val="16"/>
              </w:rPr>
              <w:t xml:space="preserve"> e dos Sedimentos pelo Aporte de </w:t>
            </w:r>
            <w:r w:rsidRPr="00AC08E8">
              <w:rPr>
                <w:sz w:val="16"/>
                <w:szCs w:val="16"/>
                <w:u w:val="single"/>
              </w:rPr>
              <w:t>Cargas Difusas</w:t>
            </w:r>
            <w:r>
              <w:rPr>
                <w:sz w:val="16"/>
                <w:szCs w:val="16"/>
              </w:rPr>
              <w:t>. Implantação</w:t>
            </w:r>
          </w:p>
          <w:p w:rsidR="0009787E" w:rsidRPr="008A7364" w:rsidRDefault="0009787E" w:rsidP="007A3613">
            <w:pPr>
              <w:spacing w:before="40" w:after="20" w:line="240" w:lineRule="auto"/>
              <w:rPr>
                <w:sz w:val="16"/>
                <w:szCs w:val="16"/>
              </w:rPr>
            </w:pPr>
            <w:r>
              <w:rPr>
                <w:sz w:val="16"/>
                <w:szCs w:val="16"/>
              </w:rPr>
              <w:t xml:space="preserve"> </w:t>
            </w:r>
            <w:r w:rsidRPr="008A7364">
              <w:rPr>
                <w:sz w:val="16"/>
                <w:szCs w:val="16"/>
              </w:rPr>
              <w:t>(PEDREIRA)</w:t>
            </w:r>
          </w:p>
        </w:tc>
        <w:tc>
          <w:tcPr>
            <w:tcW w:w="335" w:type="pct"/>
            <w:tcBorders>
              <w:top w:val="nil"/>
            </w:tcBorders>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tcBorders>
              <w:top w:val="nil"/>
            </w:tcBorders>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Indireta</w:t>
            </w:r>
          </w:p>
        </w:tc>
        <w:tc>
          <w:tcPr>
            <w:tcW w:w="449" w:type="pct"/>
            <w:tcBorders>
              <w:top w:val="nil"/>
            </w:tcBorders>
            <w:shd w:val="clear" w:color="auto" w:fill="auto"/>
            <w:vAlign w:val="center"/>
          </w:tcPr>
          <w:p w:rsidR="0009787E" w:rsidRPr="00772ADD" w:rsidRDefault="0009787E" w:rsidP="008A7364">
            <w:pPr>
              <w:spacing w:line="240" w:lineRule="auto"/>
              <w:jc w:val="left"/>
              <w:rPr>
                <w:rFonts w:cs="Arial"/>
                <w:sz w:val="16"/>
                <w:szCs w:val="16"/>
              </w:rPr>
            </w:pPr>
            <w:r w:rsidRPr="00772ADD">
              <w:rPr>
                <w:rFonts w:cs="Arial"/>
                <w:sz w:val="16"/>
                <w:szCs w:val="16"/>
              </w:rPr>
              <w:t>Regional (AII)</w:t>
            </w:r>
          </w:p>
        </w:tc>
        <w:tc>
          <w:tcPr>
            <w:tcW w:w="398" w:type="pct"/>
            <w:tcBorders>
              <w:top w:val="nil"/>
            </w:tcBorders>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Temporário</w:t>
            </w:r>
          </w:p>
        </w:tc>
        <w:tc>
          <w:tcPr>
            <w:tcW w:w="299" w:type="pct"/>
            <w:tcBorders>
              <w:top w:val="nil"/>
            </w:tcBorders>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Provável</w:t>
            </w:r>
          </w:p>
        </w:tc>
        <w:tc>
          <w:tcPr>
            <w:tcW w:w="409" w:type="pct"/>
            <w:tcBorders>
              <w:top w:val="nil"/>
            </w:tcBorders>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tcBorders>
              <w:top w:val="nil"/>
            </w:tcBorders>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Reversível</w:t>
            </w:r>
          </w:p>
        </w:tc>
        <w:tc>
          <w:tcPr>
            <w:tcW w:w="383" w:type="pct"/>
            <w:tcBorders>
              <w:top w:val="nil"/>
            </w:tcBorders>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Grande</w:t>
            </w:r>
          </w:p>
        </w:tc>
        <w:tc>
          <w:tcPr>
            <w:tcW w:w="343" w:type="pct"/>
            <w:tcBorders>
              <w:top w:val="nil"/>
            </w:tcBorders>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Alta</w:t>
            </w:r>
          </w:p>
        </w:tc>
        <w:tc>
          <w:tcPr>
            <w:tcW w:w="397" w:type="pct"/>
            <w:tcBorders>
              <w:top w:val="nil"/>
            </w:tcBorders>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r w:rsidR="0009787E" w:rsidRPr="008A7364" w:rsidTr="0009787E">
        <w:trPr>
          <w:trHeight w:hRule="exact" w:val="996"/>
        </w:trPr>
        <w:tc>
          <w:tcPr>
            <w:tcW w:w="188" w:type="pct"/>
            <w:tcBorders>
              <w:top w:val="single" w:sz="4" w:space="0" w:color="auto"/>
            </w:tcBorders>
            <w:shd w:val="clear" w:color="auto" w:fill="auto"/>
            <w:vAlign w:val="center"/>
          </w:tcPr>
          <w:p w:rsidR="0009787E" w:rsidRPr="008A7364" w:rsidRDefault="0009787E" w:rsidP="009F467A">
            <w:pPr>
              <w:spacing w:line="240" w:lineRule="auto"/>
              <w:jc w:val="left"/>
              <w:rPr>
                <w:rFonts w:cs="Arial"/>
                <w:sz w:val="16"/>
                <w:szCs w:val="16"/>
              </w:rPr>
            </w:pPr>
            <w:r w:rsidRPr="008A7364">
              <w:rPr>
                <w:rFonts w:cs="Arial"/>
                <w:sz w:val="16"/>
                <w:szCs w:val="16"/>
              </w:rPr>
              <w:t>9</w:t>
            </w:r>
            <w:r>
              <w:rPr>
                <w:rFonts w:cs="Arial"/>
                <w:sz w:val="16"/>
                <w:szCs w:val="16"/>
              </w:rPr>
              <w:t xml:space="preserve"> a</w:t>
            </w:r>
          </w:p>
        </w:tc>
        <w:tc>
          <w:tcPr>
            <w:tcW w:w="249" w:type="pct"/>
            <w:vMerge/>
            <w:shd w:val="clear" w:color="auto" w:fill="auto"/>
            <w:vAlign w:val="center"/>
          </w:tcPr>
          <w:p w:rsidR="0009787E" w:rsidRPr="008A7364" w:rsidRDefault="0009787E" w:rsidP="008A7364">
            <w:pPr>
              <w:spacing w:line="240" w:lineRule="auto"/>
              <w:jc w:val="left"/>
              <w:rPr>
                <w:rFonts w:cs="Arial"/>
                <w:sz w:val="16"/>
                <w:szCs w:val="16"/>
              </w:rPr>
            </w:pPr>
          </w:p>
        </w:tc>
        <w:tc>
          <w:tcPr>
            <w:tcW w:w="894" w:type="pct"/>
            <w:shd w:val="clear" w:color="auto" w:fill="auto"/>
            <w:vAlign w:val="center"/>
          </w:tcPr>
          <w:p w:rsidR="0009787E" w:rsidRDefault="0009787E" w:rsidP="007A3613">
            <w:pPr>
              <w:spacing w:before="40" w:after="40" w:line="240" w:lineRule="auto"/>
              <w:rPr>
                <w:sz w:val="16"/>
                <w:szCs w:val="16"/>
              </w:rPr>
            </w:pPr>
            <w:r w:rsidRPr="008A7364">
              <w:rPr>
                <w:sz w:val="16"/>
                <w:szCs w:val="16"/>
              </w:rPr>
              <w:t>Alteração na Qualidade das Águas Superficiais</w:t>
            </w:r>
            <w:r>
              <w:rPr>
                <w:sz w:val="16"/>
                <w:szCs w:val="16"/>
              </w:rPr>
              <w:t xml:space="preserve"> e dos Sedimentos pelo Aporte de </w:t>
            </w:r>
            <w:r w:rsidRPr="00AC08E8">
              <w:rPr>
                <w:sz w:val="16"/>
                <w:szCs w:val="16"/>
                <w:u w:val="single"/>
              </w:rPr>
              <w:t>Cargas Difusas</w:t>
            </w:r>
            <w:r>
              <w:rPr>
                <w:sz w:val="16"/>
                <w:szCs w:val="16"/>
              </w:rPr>
              <w:t>. Implantação</w:t>
            </w:r>
          </w:p>
          <w:p w:rsidR="0009787E" w:rsidRPr="008A7364" w:rsidRDefault="0009787E" w:rsidP="007A3613">
            <w:pPr>
              <w:spacing w:before="40" w:after="40" w:line="240" w:lineRule="auto"/>
              <w:rPr>
                <w:sz w:val="16"/>
                <w:szCs w:val="16"/>
              </w:rPr>
            </w:pPr>
            <w:r w:rsidRPr="008A7364">
              <w:rPr>
                <w:sz w:val="16"/>
                <w:szCs w:val="16"/>
              </w:rPr>
              <w:t>(DUAS PONTES)</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Indireta</w:t>
            </w:r>
          </w:p>
        </w:tc>
        <w:tc>
          <w:tcPr>
            <w:tcW w:w="449" w:type="pct"/>
            <w:shd w:val="clear" w:color="auto" w:fill="auto"/>
            <w:vAlign w:val="center"/>
          </w:tcPr>
          <w:p w:rsidR="0009787E" w:rsidRPr="00772ADD" w:rsidRDefault="0009787E" w:rsidP="008A7364">
            <w:pPr>
              <w:spacing w:line="240" w:lineRule="auto"/>
              <w:jc w:val="left"/>
              <w:rPr>
                <w:rFonts w:cs="Arial"/>
                <w:sz w:val="16"/>
                <w:szCs w:val="16"/>
              </w:rPr>
            </w:pPr>
            <w:r w:rsidRPr="00772ADD">
              <w:rPr>
                <w:rFonts w:cs="Arial"/>
                <w:sz w:val="16"/>
                <w:szCs w:val="16"/>
              </w:rPr>
              <w:t>Regional (AII)</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Temporário</w:t>
            </w:r>
          </w:p>
        </w:tc>
        <w:tc>
          <w:tcPr>
            <w:tcW w:w="29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Provável</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Grande</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r w:rsidR="0009787E" w:rsidRPr="008A7364" w:rsidTr="0009787E">
        <w:trPr>
          <w:trHeight w:hRule="exact" w:val="982"/>
        </w:trPr>
        <w:tc>
          <w:tcPr>
            <w:tcW w:w="188" w:type="pct"/>
            <w:shd w:val="clear" w:color="auto" w:fill="auto"/>
            <w:vAlign w:val="center"/>
          </w:tcPr>
          <w:p w:rsidR="0009787E" w:rsidRPr="008A7364" w:rsidRDefault="0009787E" w:rsidP="009F467A">
            <w:pPr>
              <w:spacing w:line="240" w:lineRule="auto"/>
              <w:jc w:val="left"/>
              <w:rPr>
                <w:rFonts w:cs="Arial"/>
                <w:sz w:val="16"/>
                <w:szCs w:val="16"/>
              </w:rPr>
            </w:pPr>
            <w:r w:rsidRPr="008A7364">
              <w:rPr>
                <w:rFonts w:cs="Arial"/>
                <w:sz w:val="16"/>
                <w:szCs w:val="16"/>
              </w:rPr>
              <w:t>9</w:t>
            </w:r>
            <w:r>
              <w:rPr>
                <w:rFonts w:cs="Arial"/>
                <w:sz w:val="16"/>
                <w:szCs w:val="16"/>
              </w:rPr>
              <w:t xml:space="preserve"> b</w:t>
            </w:r>
          </w:p>
        </w:tc>
        <w:tc>
          <w:tcPr>
            <w:tcW w:w="249" w:type="pct"/>
            <w:vMerge/>
            <w:shd w:val="clear" w:color="auto" w:fill="auto"/>
            <w:vAlign w:val="center"/>
          </w:tcPr>
          <w:p w:rsidR="0009787E" w:rsidRPr="008A7364" w:rsidRDefault="0009787E" w:rsidP="008A7364">
            <w:pPr>
              <w:spacing w:line="240" w:lineRule="auto"/>
              <w:jc w:val="left"/>
              <w:rPr>
                <w:rFonts w:cs="Arial"/>
                <w:sz w:val="16"/>
                <w:szCs w:val="16"/>
              </w:rPr>
            </w:pPr>
          </w:p>
        </w:tc>
        <w:tc>
          <w:tcPr>
            <w:tcW w:w="894" w:type="pct"/>
            <w:shd w:val="clear" w:color="auto" w:fill="auto"/>
            <w:vAlign w:val="center"/>
          </w:tcPr>
          <w:p w:rsidR="0009787E" w:rsidRDefault="0009787E" w:rsidP="007A3613">
            <w:pPr>
              <w:spacing w:before="40" w:after="20" w:line="240" w:lineRule="auto"/>
              <w:rPr>
                <w:sz w:val="16"/>
                <w:szCs w:val="16"/>
              </w:rPr>
            </w:pPr>
            <w:r w:rsidRPr="008A7364">
              <w:rPr>
                <w:sz w:val="16"/>
                <w:szCs w:val="16"/>
              </w:rPr>
              <w:t>Alteração na Qualidade das Águas Superficiais</w:t>
            </w:r>
            <w:r>
              <w:rPr>
                <w:sz w:val="16"/>
                <w:szCs w:val="16"/>
              </w:rPr>
              <w:t xml:space="preserve"> e dos Sedimentos pelo Aporte de </w:t>
            </w:r>
            <w:r w:rsidRPr="00AC08E8">
              <w:rPr>
                <w:sz w:val="16"/>
                <w:szCs w:val="16"/>
                <w:u w:val="single"/>
              </w:rPr>
              <w:t>Cargas Pontuais</w:t>
            </w:r>
            <w:r>
              <w:rPr>
                <w:sz w:val="16"/>
                <w:szCs w:val="16"/>
                <w:u w:val="single"/>
              </w:rPr>
              <w:t>.</w:t>
            </w:r>
            <w:r w:rsidRPr="00C0775B">
              <w:rPr>
                <w:sz w:val="16"/>
                <w:szCs w:val="16"/>
              </w:rPr>
              <w:t xml:space="preserve"> Implantação</w:t>
            </w:r>
          </w:p>
          <w:p w:rsidR="0009787E" w:rsidRPr="008A7364" w:rsidRDefault="0009787E" w:rsidP="007A3613">
            <w:pPr>
              <w:spacing w:before="40" w:after="20" w:line="240" w:lineRule="auto"/>
              <w:rPr>
                <w:sz w:val="16"/>
                <w:szCs w:val="16"/>
              </w:rPr>
            </w:pPr>
            <w:r>
              <w:rPr>
                <w:sz w:val="16"/>
                <w:szCs w:val="16"/>
              </w:rPr>
              <w:t xml:space="preserve"> </w:t>
            </w:r>
            <w:r w:rsidRPr="008A7364">
              <w:rPr>
                <w:sz w:val="16"/>
                <w:szCs w:val="16"/>
              </w:rPr>
              <w:t>(PEDREIRA)</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772ADD" w:rsidRDefault="0009787E" w:rsidP="008A7364">
            <w:pPr>
              <w:spacing w:line="240" w:lineRule="auto"/>
              <w:jc w:val="left"/>
              <w:rPr>
                <w:rFonts w:cs="Arial"/>
                <w:sz w:val="16"/>
                <w:szCs w:val="16"/>
              </w:rPr>
            </w:pPr>
            <w:r w:rsidRPr="00772ADD">
              <w:rPr>
                <w:rFonts w:cs="Arial"/>
                <w:sz w:val="16"/>
                <w:szCs w:val="16"/>
              </w:rPr>
              <w:t>Local (ADA)</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Temporário</w:t>
            </w:r>
          </w:p>
        </w:tc>
        <w:tc>
          <w:tcPr>
            <w:tcW w:w="29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Provável</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 xml:space="preserve">Média </w:t>
            </w:r>
          </w:p>
        </w:tc>
        <w:tc>
          <w:tcPr>
            <w:tcW w:w="343" w:type="pct"/>
            <w:shd w:val="clear" w:color="auto" w:fill="auto"/>
            <w:vAlign w:val="center"/>
          </w:tcPr>
          <w:p w:rsidR="0009787E" w:rsidRPr="008A7364" w:rsidRDefault="008447E7" w:rsidP="008A7364">
            <w:pPr>
              <w:spacing w:line="240" w:lineRule="auto"/>
              <w:jc w:val="left"/>
              <w:rPr>
                <w:rFonts w:cs="Arial"/>
                <w:sz w:val="16"/>
                <w:szCs w:val="16"/>
              </w:rPr>
            </w:pPr>
            <w:r>
              <w:rPr>
                <w:rFonts w:cs="Arial"/>
                <w:sz w:val="16"/>
                <w:szCs w:val="16"/>
              </w:rPr>
              <w:t>Média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r w:rsidR="0009787E" w:rsidRPr="008A7364" w:rsidTr="00C0775B">
        <w:trPr>
          <w:trHeight w:hRule="exact" w:val="1129"/>
        </w:trPr>
        <w:tc>
          <w:tcPr>
            <w:tcW w:w="188" w:type="pct"/>
            <w:shd w:val="clear" w:color="auto" w:fill="auto"/>
            <w:vAlign w:val="center"/>
          </w:tcPr>
          <w:p w:rsidR="0009787E" w:rsidRPr="008A7364" w:rsidRDefault="0009787E" w:rsidP="009F467A">
            <w:pPr>
              <w:spacing w:line="240" w:lineRule="auto"/>
              <w:jc w:val="left"/>
              <w:rPr>
                <w:rFonts w:cs="Arial"/>
                <w:sz w:val="16"/>
                <w:szCs w:val="16"/>
              </w:rPr>
            </w:pPr>
            <w:r w:rsidRPr="008A7364">
              <w:rPr>
                <w:rFonts w:cs="Arial"/>
                <w:sz w:val="16"/>
                <w:szCs w:val="16"/>
              </w:rPr>
              <w:t>9</w:t>
            </w:r>
            <w:r>
              <w:rPr>
                <w:rFonts w:cs="Arial"/>
                <w:sz w:val="16"/>
                <w:szCs w:val="16"/>
              </w:rPr>
              <w:t xml:space="preserve"> b</w:t>
            </w:r>
          </w:p>
        </w:tc>
        <w:tc>
          <w:tcPr>
            <w:tcW w:w="249" w:type="pct"/>
            <w:vMerge/>
            <w:shd w:val="clear" w:color="auto" w:fill="auto"/>
            <w:vAlign w:val="center"/>
          </w:tcPr>
          <w:p w:rsidR="0009787E" w:rsidRPr="008A7364" w:rsidRDefault="0009787E" w:rsidP="008A7364">
            <w:pPr>
              <w:spacing w:line="240" w:lineRule="auto"/>
              <w:jc w:val="left"/>
              <w:rPr>
                <w:rFonts w:cs="Arial"/>
                <w:sz w:val="16"/>
                <w:szCs w:val="16"/>
              </w:rPr>
            </w:pPr>
          </w:p>
        </w:tc>
        <w:tc>
          <w:tcPr>
            <w:tcW w:w="894" w:type="pct"/>
            <w:shd w:val="clear" w:color="auto" w:fill="auto"/>
            <w:vAlign w:val="center"/>
          </w:tcPr>
          <w:p w:rsidR="0009787E" w:rsidRDefault="0009787E" w:rsidP="007A3613">
            <w:pPr>
              <w:spacing w:before="40" w:after="40" w:line="240" w:lineRule="auto"/>
              <w:rPr>
                <w:sz w:val="16"/>
                <w:szCs w:val="16"/>
              </w:rPr>
            </w:pPr>
            <w:r w:rsidRPr="008A7364">
              <w:rPr>
                <w:sz w:val="16"/>
                <w:szCs w:val="16"/>
              </w:rPr>
              <w:t>Alteração na Qualidade das Águas Superficiais</w:t>
            </w:r>
            <w:r>
              <w:rPr>
                <w:sz w:val="16"/>
                <w:szCs w:val="16"/>
              </w:rPr>
              <w:t xml:space="preserve"> e dos Sedimentos pelo Aporte de </w:t>
            </w:r>
            <w:r w:rsidRPr="00AC08E8">
              <w:rPr>
                <w:sz w:val="16"/>
                <w:szCs w:val="16"/>
                <w:u w:val="single"/>
              </w:rPr>
              <w:t>Cargas Pontuais</w:t>
            </w:r>
            <w:r>
              <w:rPr>
                <w:sz w:val="16"/>
                <w:szCs w:val="16"/>
              </w:rPr>
              <w:t>. I</w:t>
            </w:r>
            <w:r w:rsidRPr="00C0775B">
              <w:rPr>
                <w:sz w:val="16"/>
                <w:szCs w:val="16"/>
              </w:rPr>
              <w:t>mplantação</w:t>
            </w:r>
            <w:r w:rsidRPr="008A7364">
              <w:rPr>
                <w:sz w:val="16"/>
                <w:szCs w:val="16"/>
              </w:rPr>
              <w:t xml:space="preserve"> </w:t>
            </w:r>
          </w:p>
          <w:p w:rsidR="0009787E" w:rsidRPr="008A7364" w:rsidRDefault="0009787E" w:rsidP="007A3613">
            <w:pPr>
              <w:spacing w:before="40" w:after="40" w:line="240" w:lineRule="auto"/>
              <w:rPr>
                <w:sz w:val="16"/>
                <w:szCs w:val="16"/>
              </w:rPr>
            </w:pPr>
            <w:r w:rsidRPr="008A7364">
              <w:rPr>
                <w:sz w:val="16"/>
                <w:szCs w:val="16"/>
              </w:rPr>
              <w:t>(DUAS PONTES)</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772ADD" w:rsidRDefault="0009787E" w:rsidP="008A7364">
            <w:pPr>
              <w:spacing w:line="240" w:lineRule="auto"/>
              <w:jc w:val="left"/>
              <w:rPr>
                <w:rFonts w:cs="Arial"/>
                <w:sz w:val="16"/>
                <w:szCs w:val="16"/>
              </w:rPr>
            </w:pPr>
            <w:r w:rsidRPr="00772ADD">
              <w:rPr>
                <w:rFonts w:cs="Arial"/>
                <w:sz w:val="16"/>
                <w:szCs w:val="16"/>
              </w:rPr>
              <w:t>Local (ADA)</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Temporário</w:t>
            </w:r>
          </w:p>
        </w:tc>
        <w:tc>
          <w:tcPr>
            <w:tcW w:w="29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Provável</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r w:rsidR="0009787E" w:rsidRPr="008A7364" w:rsidTr="00772ADD">
        <w:trPr>
          <w:trHeight w:hRule="exact" w:val="1150"/>
        </w:trPr>
        <w:tc>
          <w:tcPr>
            <w:tcW w:w="188" w:type="pct"/>
            <w:shd w:val="clear" w:color="auto" w:fill="auto"/>
            <w:vAlign w:val="center"/>
          </w:tcPr>
          <w:p w:rsidR="0009787E" w:rsidRPr="008A7364" w:rsidRDefault="0009787E" w:rsidP="009F467A">
            <w:pPr>
              <w:spacing w:line="240" w:lineRule="auto"/>
              <w:jc w:val="left"/>
              <w:rPr>
                <w:rFonts w:cs="Arial"/>
                <w:sz w:val="16"/>
                <w:szCs w:val="16"/>
              </w:rPr>
            </w:pPr>
            <w:r w:rsidRPr="008A7364">
              <w:rPr>
                <w:rFonts w:cs="Arial"/>
                <w:sz w:val="16"/>
                <w:szCs w:val="16"/>
              </w:rPr>
              <w:t>9</w:t>
            </w:r>
            <w:r>
              <w:rPr>
                <w:rFonts w:cs="Arial"/>
                <w:sz w:val="16"/>
                <w:szCs w:val="16"/>
              </w:rPr>
              <w:t xml:space="preserve"> c</w:t>
            </w:r>
          </w:p>
        </w:tc>
        <w:tc>
          <w:tcPr>
            <w:tcW w:w="249" w:type="pct"/>
            <w:vMerge/>
            <w:shd w:val="clear" w:color="auto" w:fill="auto"/>
            <w:vAlign w:val="center"/>
          </w:tcPr>
          <w:p w:rsidR="0009787E" w:rsidRPr="008A7364" w:rsidRDefault="0009787E" w:rsidP="008A7364">
            <w:pPr>
              <w:spacing w:line="240" w:lineRule="auto"/>
              <w:jc w:val="left"/>
              <w:rPr>
                <w:rFonts w:cs="Arial"/>
                <w:sz w:val="16"/>
                <w:szCs w:val="16"/>
              </w:rPr>
            </w:pPr>
          </w:p>
        </w:tc>
        <w:tc>
          <w:tcPr>
            <w:tcW w:w="894" w:type="pct"/>
            <w:shd w:val="clear" w:color="auto" w:fill="auto"/>
            <w:vAlign w:val="center"/>
          </w:tcPr>
          <w:p w:rsidR="0009787E" w:rsidRPr="00C85203" w:rsidRDefault="0009787E" w:rsidP="007A3613">
            <w:pPr>
              <w:spacing w:before="40" w:after="20" w:line="240" w:lineRule="auto"/>
              <w:rPr>
                <w:sz w:val="16"/>
                <w:szCs w:val="16"/>
              </w:rPr>
            </w:pPr>
            <w:r w:rsidRPr="00C85203">
              <w:rPr>
                <w:sz w:val="16"/>
                <w:szCs w:val="16"/>
              </w:rPr>
              <w:t>Alteração na Qualidade das Águas Superficiais e dos Sedimentos pela Formação do Reservatório. Implantação</w:t>
            </w:r>
          </w:p>
          <w:p w:rsidR="0009787E" w:rsidRPr="00C85203" w:rsidRDefault="0009787E" w:rsidP="007A3613">
            <w:pPr>
              <w:spacing w:before="40" w:after="20" w:line="240" w:lineRule="auto"/>
              <w:rPr>
                <w:sz w:val="16"/>
                <w:szCs w:val="16"/>
              </w:rPr>
            </w:pPr>
            <w:r w:rsidRPr="00C85203">
              <w:rPr>
                <w:sz w:val="16"/>
                <w:szCs w:val="16"/>
              </w:rPr>
              <w:t xml:space="preserve"> (PEDREIRA)</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(AID/ADA)</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r w:rsidR="0009787E" w:rsidRPr="008A7364" w:rsidTr="00AC08E8">
        <w:trPr>
          <w:trHeight w:hRule="exact" w:val="992"/>
        </w:trPr>
        <w:tc>
          <w:tcPr>
            <w:tcW w:w="188" w:type="pct"/>
            <w:shd w:val="clear" w:color="auto" w:fill="auto"/>
            <w:vAlign w:val="center"/>
          </w:tcPr>
          <w:p w:rsidR="0009787E" w:rsidRPr="008A7364" w:rsidRDefault="0009787E" w:rsidP="009F467A">
            <w:pPr>
              <w:spacing w:line="240" w:lineRule="auto"/>
              <w:jc w:val="left"/>
              <w:rPr>
                <w:rFonts w:cs="Arial"/>
                <w:sz w:val="16"/>
                <w:szCs w:val="16"/>
              </w:rPr>
            </w:pPr>
            <w:r w:rsidRPr="008A7364">
              <w:rPr>
                <w:rFonts w:cs="Arial"/>
                <w:sz w:val="16"/>
                <w:szCs w:val="16"/>
              </w:rPr>
              <w:t>9</w:t>
            </w:r>
            <w:r>
              <w:rPr>
                <w:rFonts w:cs="Arial"/>
                <w:sz w:val="16"/>
                <w:szCs w:val="16"/>
              </w:rPr>
              <w:t xml:space="preserve"> c</w:t>
            </w:r>
          </w:p>
        </w:tc>
        <w:tc>
          <w:tcPr>
            <w:tcW w:w="249" w:type="pct"/>
            <w:vMerge/>
            <w:shd w:val="clear" w:color="auto" w:fill="auto"/>
            <w:vAlign w:val="center"/>
          </w:tcPr>
          <w:p w:rsidR="0009787E" w:rsidRPr="008A7364" w:rsidRDefault="0009787E" w:rsidP="008A7364">
            <w:pPr>
              <w:spacing w:line="240" w:lineRule="auto"/>
              <w:jc w:val="left"/>
              <w:rPr>
                <w:rFonts w:cs="Arial"/>
                <w:sz w:val="16"/>
                <w:szCs w:val="16"/>
              </w:rPr>
            </w:pPr>
          </w:p>
        </w:tc>
        <w:tc>
          <w:tcPr>
            <w:tcW w:w="894" w:type="pct"/>
            <w:shd w:val="clear" w:color="auto" w:fill="auto"/>
            <w:vAlign w:val="center"/>
          </w:tcPr>
          <w:p w:rsidR="0009787E" w:rsidRPr="00C85203" w:rsidRDefault="0009787E" w:rsidP="007A3613">
            <w:pPr>
              <w:spacing w:before="20" w:after="40" w:line="240" w:lineRule="auto"/>
              <w:rPr>
                <w:sz w:val="16"/>
                <w:szCs w:val="16"/>
              </w:rPr>
            </w:pPr>
            <w:r w:rsidRPr="00C85203">
              <w:rPr>
                <w:sz w:val="16"/>
                <w:szCs w:val="16"/>
              </w:rPr>
              <w:t>Alteração na Qualidade das Águas Superficiais e dos Sedimentos pela Formação do Reservatório. Implantação (DUAS PONTES)</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(AID/ADA)</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 xml:space="preserve">Grande </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bl>
    <w:p w:rsidR="00B42047" w:rsidRDefault="00B42047">
      <w:r>
        <w:br w:type="page"/>
      </w:r>
    </w:p>
    <w:p w:rsidR="002E29E3" w:rsidRDefault="002E29E3" w:rsidP="002E29E3">
      <w:r>
        <w:t>(continuação)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722"/>
        <w:gridCol w:w="2593"/>
        <w:gridCol w:w="972"/>
        <w:gridCol w:w="772"/>
        <w:gridCol w:w="1302"/>
        <w:gridCol w:w="1155"/>
        <w:gridCol w:w="867"/>
        <w:gridCol w:w="1186"/>
        <w:gridCol w:w="1131"/>
        <w:gridCol w:w="1111"/>
        <w:gridCol w:w="995"/>
        <w:gridCol w:w="1152"/>
      </w:tblGrid>
      <w:tr w:rsidR="00AC08E8" w:rsidRPr="008A7364" w:rsidTr="00C0775B">
        <w:trPr>
          <w:trHeight w:val="289"/>
          <w:tblHeader/>
        </w:trPr>
        <w:tc>
          <w:tcPr>
            <w:tcW w:w="188" w:type="pct"/>
            <w:vMerge w:val="restart"/>
            <w:shd w:val="clear" w:color="auto" w:fill="D9D9D9"/>
            <w:vAlign w:val="center"/>
          </w:tcPr>
          <w:p w:rsidR="00AC08E8" w:rsidRPr="008A7364" w:rsidRDefault="00AC08E8" w:rsidP="00C55FEC">
            <w:pPr>
              <w:spacing w:before="120" w:after="120" w:line="240" w:lineRule="auto"/>
              <w:jc w:val="center"/>
              <w:rPr>
                <w:rFonts w:cs="Arial"/>
                <w:b/>
                <w:sz w:val="18"/>
                <w:szCs w:val="18"/>
              </w:rPr>
            </w:pPr>
            <w:r w:rsidRPr="008A7364">
              <w:rPr>
                <w:rFonts w:cs="Arial"/>
                <w:b/>
                <w:sz w:val="18"/>
                <w:szCs w:val="18"/>
              </w:rPr>
              <w:t>N°</w:t>
            </w:r>
          </w:p>
        </w:tc>
        <w:tc>
          <w:tcPr>
            <w:tcW w:w="249" w:type="pct"/>
            <w:vMerge w:val="restart"/>
            <w:shd w:val="clear" w:color="auto" w:fill="D9D9D9"/>
            <w:vAlign w:val="center"/>
          </w:tcPr>
          <w:p w:rsidR="00AC08E8" w:rsidRPr="008A7364" w:rsidRDefault="00AC08E8" w:rsidP="00C55FEC">
            <w:pPr>
              <w:spacing w:before="120" w:after="120" w:line="240" w:lineRule="auto"/>
              <w:jc w:val="center"/>
              <w:rPr>
                <w:rFonts w:cs="Arial"/>
                <w:b/>
                <w:sz w:val="18"/>
                <w:szCs w:val="18"/>
              </w:rPr>
            </w:pPr>
            <w:r w:rsidRPr="008A7364">
              <w:rPr>
                <w:rFonts w:cs="Arial"/>
                <w:b/>
                <w:sz w:val="18"/>
                <w:szCs w:val="18"/>
              </w:rPr>
              <w:t>MEIO</w:t>
            </w:r>
          </w:p>
        </w:tc>
        <w:tc>
          <w:tcPr>
            <w:tcW w:w="894" w:type="pct"/>
            <w:vMerge w:val="restart"/>
            <w:shd w:val="clear" w:color="auto" w:fill="D9D9D9"/>
            <w:vAlign w:val="center"/>
          </w:tcPr>
          <w:p w:rsidR="00AC08E8" w:rsidRPr="008A7364" w:rsidRDefault="00AC08E8" w:rsidP="00C55FEC">
            <w:pPr>
              <w:spacing w:before="120" w:after="120" w:line="240" w:lineRule="auto"/>
              <w:jc w:val="center"/>
              <w:rPr>
                <w:rFonts w:cs="Arial"/>
                <w:b/>
                <w:sz w:val="18"/>
                <w:szCs w:val="18"/>
              </w:rPr>
            </w:pPr>
            <w:r w:rsidRPr="008A7364">
              <w:rPr>
                <w:rFonts w:cs="Arial"/>
                <w:b/>
                <w:sz w:val="18"/>
                <w:szCs w:val="18"/>
              </w:rPr>
              <w:t>IMPACTO</w:t>
            </w:r>
          </w:p>
        </w:tc>
        <w:tc>
          <w:tcPr>
            <w:tcW w:w="3669" w:type="pct"/>
            <w:gridSpan w:val="10"/>
            <w:shd w:val="clear" w:color="auto" w:fill="D9D9D9"/>
          </w:tcPr>
          <w:p w:rsidR="00AC08E8" w:rsidRPr="008A7364" w:rsidRDefault="00AC08E8" w:rsidP="00C55FEC">
            <w:pPr>
              <w:spacing w:before="120" w:after="120" w:line="240" w:lineRule="auto"/>
              <w:jc w:val="center"/>
              <w:rPr>
                <w:rFonts w:cs="Arial"/>
                <w:b/>
                <w:sz w:val="18"/>
                <w:szCs w:val="18"/>
              </w:rPr>
            </w:pPr>
            <w:r w:rsidRPr="008A7364">
              <w:rPr>
                <w:rFonts w:cs="Arial"/>
                <w:b/>
                <w:sz w:val="18"/>
                <w:szCs w:val="18"/>
              </w:rPr>
              <w:t>CARACTERIZAÇÃO</w:t>
            </w:r>
          </w:p>
        </w:tc>
      </w:tr>
      <w:tr w:rsidR="00AC08E8" w:rsidRPr="008A7364" w:rsidTr="00C55FEC">
        <w:trPr>
          <w:trHeight w:hRule="exact" w:val="340"/>
          <w:tblHeader/>
        </w:trPr>
        <w:tc>
          <w:tcPr>
            <w:tcW w:w="188" w:type="pct"/>
            <w:vMerge/>
            <w:shd w:val="clear" w:color="auto" w:fill="D9D9D9"/>
          </w:tcPr>
          <w:p w:rsidR="00AC08E8" w:rsidRPr="008A7364" w:rsidRDefault="00AC08E8" w:rsidP="00C55FEC">
            <w:pPr>
              <w:spacing w:before="120" w:after="120" w:line="240" w:lineRule="auto"/>
              <w:jc w:val="center"/>
              <w:rPr>
                <w:rFonts w:cs="Arial"/>
                <w:b/>
                <w:sz w:val="18"/>
                <w:szCs w:val="18"/>
              </w:rPr>
            </w:pPr>
          </w:p>
        </w:tc>
        <w:tc>
          <w:tcPr>
            <w:tcW w:w="249" w:type="pct"/>
            <w:vMerge/>
            <w:shd w:val="clear" w:color="auto" w:fill="D9D9D9"/>
          </w:tcPr>
          <w:p w:rsidR="00AC08E8" w:rsidRPr="008A7364" w:rsidRDefault="00AC08E8" w:rsidP="00C55FEC">
            <w:pPr>
              <w:spacing w:before="120" w:after="120" w:line="240" w:lineRule="auto"/>
              <w:jc w:val="center"/>
              <w:rPr>
                <w:rFonts w:cs="Arial"/>
                <w:b/>
                <w:sz w:val="18"/>
                <w:szCs w:val="18"/>
              </w:rPr>
            </w:pPr>
          </w:p>
        </w:tc>
        <w:tc>
          <w:tcPr>
            <w:tcW w:w="894" w:type="pct"/>
            <w:vMerge/>
            <w:shd w:val="clear" w:color="auto" w:fill="D9D9D9"/>
          </w:tcPr>
          <w:p w:rsidR="00AC08E8" w:rsidRPr="008A7364" w:rsidRDefault="00AC08E8" w:rsidP="00C55FEC">
            <w:pPr>
              <w:spacing w:before="120" w:after="120" w:line="240" w:lineRule="auto"/>
              <w:jc w:val="center"/>
              <w:rPr>
                <w:rFonts w:cs="Arial"/>
                <w:b/>
                <w:sz w:val="18"/>
                <w:szCs w:val="18"/>
              </w:rPr>
            </w:pPr>
          </w:p>
        </w:tc>
        <w:tc>
          <w:tcPr>
            <w:tcW w:w="2546" w:type="pct"/>
            <w:gridSpan w:val="7"/>
            <w:shd w:val="clear" w:color="auto" w:fill="D9D9D9"/>
            <w:vAlign w:val="center"/>
          </w:tcPr>
          <w:p w:rsidR="00AC08E8" w:rsidRPr="008A7364" w:rsidRDefault="00AC08E8" w:rsidP="00C55FEC">
            <w:pPr>
              <w:spacing w:before="120" w:after="120" w:line="240" w:lineRule="auto"/>
              <w:jc w:val="center"/>
              <w:rPr>
                <w:rFonts w:cs="Arial"/>
                <w:b/>
                <w:sz w:val="16"/>
                <w:szCs w:val="16"/>
              </w:rPr>
            </w:pPr>
            <w:r w:rsidRPr="008A7364">
              <w:rPr>
                <w:rFonts w:cs="Arial"/>
                <w:b/>
                <w:sz w:val="16"/>
                <w:szCs w:val="16"/>
              </w:rPr>
              <w:t>Classificação</w:t>
            </w:r>
          </w:p>
        </w:tc>
        <w:tc>
          <w:tcPr>
            <w:tcW w:w="726" w:type="pct"/>
            <w:gridSpan w:val="2"/>
            <w:shd w:val="clear" w:color="auto" w:fill="D9D9D9"/>
            <w:vAlign w:val="center"/>
          </w:tcPr>
          <w:p w:rsidR="00AC08E8" w:rsidRPr="008A7364" w:rsidRDefault="00AC08E8" w:rsidP="00C55FEC">
            <w:pPr>
              <w:spacing w:before="120" w:after="120" w:line="240" w:lineRule="auto"/>
              <w:jc w:val="center"/>
              <w:rPr>
                <w:rFonts w:cs="Arial"/>
                <w:b/>
                <w:sz w:val="16"/>
                <w:szCs w:val="16"/>
              </w:rPr>
            </w:pPr>
            <w:r w:rsidRPr="008A7364">
              <w:rPr>
                <w:rFonts w:cs="Arial"/>
                <w:b/>
                <w:sz w:val="16"/>
                <w:szCs w:val="16"/>
              </w:rPr>
              <w:t>Mensuração</w:t>
            </w:r>
          </w:p>
        </w:tc>
        <w:tc>
          <w:tcPr>
            <w:tcW w:w="397" w:type="pct"/>
            <w:vMerge w:val="restart"/>
            <w:shd w:val="clear" w:color="auto" w:fill="D9D9D9"/>
            <w:vAlign w:val="center"/>
          </w:tcPr>
          <w:p w:rsidR="00AC08E8" w:rsidRPr="008A7364" w:rsidRDefault="00AC08E8" w:rsidP="00C55FEC">
            <w:pPr>
              <w:spacing w:before="120" w:after="120" w:line="240" w:lineRule="auto"/>
              <w:jc w:val="center"/>
              <w:rPr>
                <w:rFonts w:cs="Arial"/>
                <w:b/>
                <w:sz w:val="16"/>
                <w:szCs w:val="16"/>
              </w:rPr>
            </w:pPr>
            <w:r w:rsidRPr="008A7364">
              <w:rPr>
                <w:rFonts w:cs="Arial"/>
                <w:b/>
                <w:sz w:val="16"/>
                <w:szCs w:val="16"/>
              </w:rPr>
              <w:t>Mitigação</w:t>
            </w:r>
          </w:p>
        </w:tc>
      </w:tr>
      <w:tr w:rsidR="00AC08E8" w:rsidRPr="008A7364" w:rsidTr="00C55FEC">
        <w:trPr>
          <w:trHeight w:val="447"/>
          <w:tblHeader/>
        </w:trPr>
        <w:tc>
          <w:tcPr>
            <w:tcW w:w="188" w:type="pct"/>
            <w:vMerge/>
            <w:tcBorders>
              <w:bottom w:val="single" w:sz="4" w:space="0" w:color="auto"/>
            </w:tcBorders>
            <w:shd w:val="clear" w:color="auto" w:fill="auto"/>
          </w:tcPr>
          <w:p w:rsidR="00AC08E8" w:rsidRPr="008A7364" w:rsidRDefault="00AC08E8" w:rsidP="00C55FEC">
            <w:pPr>
              <w:spacing w:before="120" w:after="120" w:line="240" w:lineRule="auto"/>
              <w:jc w:val="center"/>
              <w:rPr>
                <w:rFonts w:cs="Arial"/>
                <w:b/>
              </w:rPr>
            </w:pPr>
          </w:p>
        </w:tc>
        <w:tc>
          <w:tcPr>
            <w:tcW w:w="249" w:type="pct"/>
            <w:vMerge/>
            <w:tcBorders>
              <w:bottom w:val="single" w:sz="4" w:space="0" w:color="auto"/>
            </w:tcBorders>
            <w:shd w:val="clear" w:color="auto" w:fill="auto"/>
          </w:tcPr>
          <w:p w:rsidR="00AC08E8" w:rsidRPr="008A7364" w:rsidRDefault="00AC08E8" w:rsidP="00C55FEC">
            <w:pPr>
              <w:spacing w:before="120" w:after="120" w:line="240" w:lineRule="auto"/>
              <w:jc w:val="center"/>
              <w:rPr>
                <w:rFonts w:cs="Arial"/>
                <w:b/>
              </w:rPr>
            </w:pPr>
          </w:p>
        </w:tc>
        <w:tc>
          <w:tcPr>
            <w:tcW w:w="894" w:type="pct"/>
            <w:vMerge/>
            <w:tcBorders>
              <w:bottom w:val="single" w:sz="4" w:space="0" w:color="auto"/>
            </w:tcBorders>
            <w:shd w:val="clear" w:color="auto" w:fill="auto"/>
          </w:tcPr>
          <w:p w:rsidR="00AC08E8" w:rsidRPr="008A7364" w:rsidRDefault="00AC08E8" w:rsidP="00C55FEC">
            <w:pPr>
              <w:spacing w:before="120" w:after="120" w:line="240" w:lineRule="auto"/>
              <w:jc w:val="center"/>
              <w:rPr>
                <w:rFonts w:cs="Arial"/>
                <w:b/>
                <w:sz w:val="20"/>
              </w:rPr>
            </w:pPr>
          </w:p>
        </w:tc>
        <w:tc>
          <w:tcPr>
            <w:tcW w:w="335" w:type="pct"/>
            <w:tcBorders>
              <w:bottom w:val="single" w:sz="4" w:space="0" w:color="auto"/>
            </w:tcBorders>
            <w:shd w:val="clear" w:color="auto" w:fill="D9D9D9"/>
            <w:vAlign w:val="center"/>
          </w:tcPr>
          <w:p w:rsidR="00AC08E8" w:rsidRPr="008A7364" w:rsidRDefault="00AC08E8" w:rsidP="00C55FEC">
            <w:pPr>
              <w:spacing w:before="120" w:after="120" w:line="240" w:lineRule="auto"/>
              <w:jc w:val="center"/>
              <w:rPr>
                <w:rFonts w:cs="Arial"/>
                <w:b/>
                <w:sz w:val="16"/>
                <w:szCs w:val="16"/>
              </w:rPr>
            </w:pPr>
            <w:r w:rsidRPr="008A7364">
              <w:rPr>
                <w:rFonts w:cs="Arial"/>
                <w:b/>
                <w:sz w:val="16"/>
                <w:szCs w:val="16"/>
              </w:rPr>
              <w:t>Natureza</w:t>
            </w:r>
          </w:p>
        </w:tc>
        <w:tc>
          <w:tcPr>
            <w:tcW w:w="266" w:type="pct"/>
            <w:tcBorders>
              <w:bottom w:val="single" w:sz="4" w:space="0" w:color="auto"/>
            </w:tcBorders>
            <w:shd w:val="clear" w:color="auto" w:fill="D9D9D9"/>
            <w:vAlign w:val="center"/>
          </w:tcPr>
          <w:p w:rsidR="00AC08E8" w:rsidRPr="008A7364" w:rsidRDefault="00AC08E8" w:rsidP="00C55FEC">
            <w:pPr>
              <w:spacing w:before="120" w:after="120" w:line="240" w:lineRule="auto"/>
              <w:jc w:val="center"/>
              <w:rPr>
                <w:rFonts w:cs="Arial"/>
                <w:b/>
                <w:sz w:val="16"/>
                <w:szCs w:val="16"/>
              </w:rPr>
            </w:pPr>
            <w:r w:rsidRPr="008A7364">
              <w:rPr>
                <w:rFonts w:cs="Arial"/>
                <w:b/>
                <w:sz w:val="16"/>
                <w:szCs w:val="16"/>
              </w:rPr>
              <w:t>Ordem</w:t>
            </w:r>
          </w:p>
        </w:tc>
        <w:tc>
          <w:tcPr>
            <w:tcW w:w="449" w:type="pct"/>
            <w:tcBorders>
              <w:bottom w:val="single" w:sz="4" w:space="0" w:color="auto"/>
            </w:tcBorders>
            <w:shd w:val="clear" w:color="auto" w:fill="D9D9D9"/>
            <w:vAlign w:val="center"/>
          </w:tcPr>
          <w:p w:rsidR="00AC08E8" w:rsidRPr="008A7364" w:rsidRDefault="00AC08E8" w:rsidP="00C55FEC">
            <w:pPr>
              <w:spacing w:before="120" w:after="120" w:line="240" w:lineRule="auto"/>
              <w:jc w:val="center"/>
              <w:rPr>
                <w:rFonts w:cs="Arial"/>
                <w:b/>
                <w:sz w:val="16"/>
                <w:szCs w:val="16"/>
              </w:rPr>
            </w:pPr>
            <w:r w:rsidRPr="008A7364">
              <w:rPr>
                <w:rFonts w:cs="Arial"/>
                <w:b/>
                <w:sz w:val="16"/>
                <w:szCs w:val="16"/>
              </w:rPr>
              <w:t>Abrangência</w:t>
            </w:r>
          </w:p>
        </w:tc>
        <w:tc>
          <w:tcPr>
            <w:tcW w:w="398" w:type="pct"/>
            <w:tcBorders>
              <w:bottom w:val="single" w:sz="4" w:space="0" w:color="auto"/>
            </w:tcBorders>
            <w:shd w:val="clear" w:color="auto" w:fill="D9D9D9"/>
            <w:vAlign w:val="center"/>
          </w:tcPr>
          <w:p w:rsidR="00AC08E8" w:rsidRPr="008A7364" w:rsidRDefault="00AC08E8" w:rsidP="00C55FEC">
            <w:pPr>
              <w:spacing w:before="120" w:after="120" w:line="240" w:lineRule="auto"/>
              <w:jc w:val="center"/>
              <w:rPr>
                <w:rFonts w:cs="Arial"/>
                <w:b/>
                <w:sz w:val="16"/>
                <w:szCs w:val="16"/>
              </w:rPr>
            </w:pPr>
            <w:r w:rsidRPr="008A7364">
              <w:rPr>
                <w:rFonts w:cs="Arial"/>
                <w:b/>
                <w:sz w:val="16"/>
                <w:szCs w:val="16"/>
              </w:rPr>
              <w:t>Duração</w:t>
            </w:r>
          </w:p>
        </w:tc>
        <w:tc>
          <w:tcPr>
            <w:tcW w:w="299" w:type="pct"/>
            <w:tcBorders>
              <w:bottom w:val="single" w:sz="4" w:space="0" w:color="auto"/>
            </w:tcBorders>
            <w:shd w:val="clear" w:color="auto" w:fill="D9D9D9"/>
            <w:vAlign w:val="center"/>
          </w:tcPr>
          <w:p w:rsidR="00AC08E8" w:rsidRPr="008A7364" w:rsidRDefault="00AC08E8" w:rsidP="00C55FEC">
            <w:pPr>
              <w:spacing w:before="120" w:after="120" w:line="240" w:lineRule="auto"/>
              <w:jc w:val="center"/>
              <w:rPr>
                <w:rFonts w:cs="Arial"/>
                <w:b/>
                <w:sz w:val="16"/>
                <w:szCs w:val="16"/>
              </w:rPr>
            </w:pPr>
            <w:r w:rsidRPr="008A7364">
              <w:rPr>
                <w:rFonts w:cs="Arial"/>
                <w:b/>
                <w:sz w:val="16"/>
                <w:szCs w:val="16"/>
              </w:rPr>
              <w:t>Probabilidade</w:t>
            </w:r>
          </w:p>
        </w:tc>
        <w:tc>
          <w:tcPr>
            <w:tcW w:w="409" w:type="pct"/>
            <w:tcBorders>
              <w:bottom w:val="single" w:sz="4" w:space="0" w:color="auto"/>
            </w:tcBorders>
            <w:shd w:val="clear" w:color="auto" w:fill="D9D9D9"/>
            <w:vAlign w:val="center"/>
          </w:tcPr>
          <w:p w:rsidR="00AC08E8" w:rsidRPr="008A7364" w:rsidRDefault="00AC08E8" w:rsidP="00C55FEC">
            <w:pPr>
              <w:spacing w:before="120" w:after="120" w:line="240" w:lineRule="auto"/>
              <w:jc w:val="center"/>
              <w:rPr>
                <w:rFonts w:cs="Arial"/>
                <w:b/>
                <w:sz w:val="16"/>
                <w:szCs w:val="16"/>
              </w:rPr>
            </w:pPr>
            <w:r w:rsidRPr="008A7364">
              <w:rPr>
                <w:rFonts w:cs="Arial"/>
                <w:b/>
                <w:sz w:val="16"/>
                <w:szCs w:val="16"/>
              </w:rPr>
              <w:t>Época</w:t>
            </w:r>
          </w:p>
        </w:tc>
        <w:tc>
          <w:tcPr>
            <w:tcW w:w="390" w:type="pct"/>
            <w:tcBorders>
              <w:bottom w:val="single" w:sz="4" w:space="0" w:color="auto"/>
            </w:tcBorders>
            <w:shd w:val="clear" w:color="auto" w:fill="D9D9D9"/>
          </w:tcPr>
          <w:p w:rsidR="00AC08E8" w:rsidRPr="008A7364" w:rsidRDefault="00BC7E61" w:rsidP="00C55FEC">
            <w:pPr>
              <w:spacing w:before="120" w:after="120" w:line="240" w:lineRule="auto"/>
              <w:jc w:val="center"/>
              <w:rPr>
                <w:rFonts w:cs="Arial"/>
                <w:b/>
                <w:sz w:val="16"/>
                <w:szCs w:val="16"/>
              </w:rPr>
            </w:pPr>
            <w:r w:rsidRPr="008A7364">
              <w:rPr>
                <w:rFonts w:cs="Arial"/>
                <w:b/>
                <w:sz w:val="16"/>
                <w:szCs w:val="16"/>
              </w:rPr>
              <w:t>Reversibi</w:t>
            </w:r>
            <w:r w:rsidR="0053626B">
              <w:rPr>
                <w:rFonts w:cs="Arial"/>
                <w:b/>
                <w:sz w:val="16"/>
                <w:szCs w:val="16"/>
              </w:rPr>
              <w:t>-</w:t>
            </w:r>
            <w:r w:rsidRPr="008A7364">
              <w:rPr>
                <w:rFonts w:cs="Arial"/>
                <w:b/>
                <w:sz w:val="16"/>
                <w:szCs w:val="16"/>
              </w:rPr>
              <w:t>lidade</w:t>
            </w:r>
          </w:p>
        </w:tc>
        <w:tc>
          <w:tcPr>
            <w:tcW w:w="383" w:type="pct"/>
            <w:tcBorders>
              <w:bottom w:val="single" w:sz="4" w:space="0" w:color="auto"/>
            </w:tcBorders>
            <w:shd w:val="clear" w:color="auto" w:fill="D9D9D9"/>
            <w:vAlign w:val="center"/>
          </w:tcPr>
          <w:p w:rsidR="00AC08E8" w:rsidRPr="008A7364" w:rsidRDefault="00AC08E8" w:rsidP="00C55FEC">
            <w:pPr>
              <w:spacing w:before="120" w:after="120" w:line="240" w:lineRule="auto"/>
              <w:jc w:val="center"/>
              <w:rPr>
                <w:rFonts w:cs="Arial"/>
                <w:b/>
                <w:sz w:val="16"/>
                <w:szCs w:val="16"/>
              </w:rPr>
            </w:pPr>
            <w:r w:rsidRPr="008A7364">
              <w:rPr>
                <w:rFonts w:cs="Arial"/>
                <w:b/>
                <w:sz w:val="16"/>
                <w:szCs w:val="16"/>
              </w:rPr>
              <w:t>Magnitude</w:t>
            </w:r>
          </w:p>
        </w:tc>
        <w:tc>
          <w:tcPr>
            <w:tcW w:w="343" w:type="pct"/>
            <w:tcBorders>
              <w:bottom w:val="single" w:sz="4" w:space="0" w:color="auto"/>
            </w:tcBorders>
            <w:shd w:val="clear" w:color="auto" w:fill="D9D9D9"/>
            <w:vAlign w:val="center"/>
          </w:tcPr>
          <w:p w:rsidR="00AC08E8" w:rsidRPr="008A7364" w:rsidRDefault="00BC7E61" w:rsidP="00C55FEC">
            <w:pPr>
              <w:spacing w:before="120" w:after="120" w:line="240" w:lineRule="auto"/>
              <w:jc w:val="center"/>
              <w:rPr>
                <w:rFonts w:cs="Arial"/>
                <w:b/>
                <w:sz w:val="16"/>
                <w:szCs w:val="16"/>
              </w:rPr>
            </w:pPr>
            <w:r w:rsidRPr="008A7364">
              <w:rPr>
                <w:rFonts w:cs="Arial"/>
                <w:b/>
                <w:sz w:val="16"/>
                <w:szCs w:val="16"/>
              </w:rPr>
              <w:t>Impor</w:t>
            </w:r>
            <w:r w:rsidR="0053626B">
              <w:rPr>
                <w:rFonts w:cs="Arial"/>
                <w:b/>
                <w:sz w:val="16"/>
                <w:szCs w:val="16"/>
              </w:rPr>
              <w:t>-</w:t>
            </w:r>
            <w:r w:rsidRPr="008A7364">
              <w:rPr>
                <w:rFonts w:cs="Arial"/>
                <w:b/>
                <w:sz w:val="16"/>
                <w:szCs w:val="16"/>
              </w:rPr>
              <w:t>tância</w:t>
            </w:r>
          </w:p>
        </w:tc>
        <w:tc>
          <w:tcPr>
            <w:tcW w:w="397" w:type="pct"/>
            <w:vMerge/>
            <w:tcBorders>
              <w:bottom w:val="single" w:sz="4" w:space="0" w:color="auto"/>
            </w:tcBorders>
            <w:shd w:val="clear" w:color="auto" w:fill="auto"/>
          </w:tcPr>
          <w:p w:rsidR="00AC08E8" w:rsidRPr="008A7364" w:rsidRDefault="00AC08E8" w:rsidP="00C55FEC">
            <w:pPr>
              <w:spacing w:before="120" w:after="120" w:line="240" w:lineRule="auto"/>
              <w:jc w:val="center"/>
              <w:rPr>
                <w:rFonts w:cs="Arial"/>
                <w:b/>
                <w:sz w:val="16"/>
                <w:szCs w:val="16"/>
              </w:rPr>
            </w:pPr>
          </w:p>
        </w:tc>
      </w:tr>
      <w:tr w:rsidR="00AC08E8" w:rsidRPr="008A7364" w:rsidTr="00C0775B">
        <w:trPr>
          <w:trHeight w:hRule="exact" w:val="868"/>
        </w:trPr>
        <w:tc>
          <w:tcPr>
            <w:tcW w:w="188" w:type="pct"/>
            <w:tcBorders>
              <w:bottom w:val="single" w:sz="4" w:space="0" w:color="auto"/>
            </w:tcBorders>
            <w:shd w:val="clear" w:color="auto" w:fill="auto"/>
            <w:vAlign w:val="center"/>
          </w:tcPr>
          <w:p w:rsidR="00AC08E8" w:rsidRPr="008A7364" w:rsidRDefault="00AC08E8" w:rsidP="009F467A">
            <w:pPr>
              <w:spacing w:line="240" w:lineRule="auto"/>
              <w:jc w:val="left"/>
              <w:rPr>
                <w:rFonts w:cs="Arial"/>
                <w:sz w:val="16"/>
                <w:szCs w:val="16"/>
              </w:rPr>
            </w:pPr>
            <w:r w:rsidRPr="008A7364">
              <w:rPr>
                <w:rFonts w:cs="Arial"/>
                <w:sz w:val="16"/>
                <w:szCs w:val="16"/>
              </w:rPr>
              <w:t>9</w:t>
            </w:r>
            <w:r>
              <w:rPr>
                <w:rFonts w:cs="Arial"/>
                <w:sz w:val="16"/>
                <w:szCs w:val="16"/>
              </w:rPr>
              <w:t xml:space="preserve"> d</w:t>
            </w:r>
          </w:p>
        </w:tc>
        <w:tc>
          <w:tcPr>
            <w:tcW w:w="249" w:type="pct"/>
            <w:vMerge w:val="restart"/>
            <w:shd w:val="clear" w:color="auto" w:fill="auto"/>
            <w:textDirection w:val="btLr"/>
            <w:vAlign w:val="center"/>
          </w:tcPr>
          <w:p w:rsidR="00AC08E8" w:rsidRPr="00AC08E8" w:rsidRDefault="00AC08E8" w:rsidP="008A7364">
            <w:pPr>
              <w:ind w:left="113" w:right="113"/>
              <w:jc w:val="center"/>
              <w:rPr>
                <w:rFonts w:cs="Arial"/>
                <w:b/>
                <w:szCs w:val="22"/>
              </w:rPr>
            </w:pPr>
            <w:r w:rsidRPr="00AC08E8">
              <w:rPr>
                <w:rFonts w:cs="Arial"/>
                <w:b/>
                <w:szCs w:val="22"/>
              </w:rPr>
              <w:t>Meio Físico</w:t>
            </w:r>
          </w:p>
        </w:tc>
        <w:tc>
          <w:tcPr>
            <w:tcW w:w="894" w:type="pct"/>
            <w:shd w:val="clear" w:color="auto" w:fill="auto"/>
            <w:vAlign w:val="center"/>
          </w:tcPr>
          <w:p w:rsidR="00AC08E8" w:rsidRPr="00CA765A" w:rsidRDefault="00AC08E8" w:rsidP="007A3613">
            <w:pPr>
              <w:spacing w:before="40" w:after="20" w:line="240" w:lineRule="auto"/>
              <w:rPr>
                <w:sz w:val="16"/>
                <w:szCs w:val="16"/>
              </w:rPr>
            </w:pPr>
            <w:r w:rsidRPr="00CA765A">
              <w:rPr>
                <w:sz w:val="16"/>
                <w:szCs w:val="16"/>
              </w:rPr>
              <w:t>Alteração na Qualidade das Águas Superficiais e dos Sedimentos.  Operação (PEDREIRA)</w:t>
            </w:r>
          </w:p>
        </w:tc>
        <w:tc>
          <w:tcPr>
            <w:tcW w:w="335"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Local (AID/ADA)</w:t>
            </w:r>
          </w:p>
        </w:tc>
        <w:tc>
          <w:tcPr>
            <w:tcW w:w="398" w:type="pct"/>
            <w:shd w:val="clear" w:color="auto" w:fill="auto"/>
            <w:vAlign w:val="center"/>
          </w:tcPr>
          <w:p w:rsidR="00AC08E8" w:rsidRPr="00EE4A61" w:rsidRDefault="00AC08E8" w:rsidP="008A7364">
            <w:pPr>
              <w:spacing w:line="240" w:lineRule="auto"/>
              <w:jc w:val="left"/>
              <w:rPr>
                <w:rFonts w:cs="Arial"/>
                <w:sz w:val="16"/>
                <w:szCs w:val="16"/>
              </w:rPr>
            </w:pPr>
            <w:r w:rsidRPr="00EE4A61">
              <w:rPr>
                <w:rFonts w:cs="Arial"/>
                <w:sz w:val="16"/>
                <w:szCs w:val="16"/>
              </w:rPr>
              <w:t>Permanente</w:t>
            </w:r>
          </w:p>
        </w:tc>
        <w:tc>
          <w:tcPr>
            <w:tcW w:w="29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Mitigável</w:t>
            </w:r>
          </w:p>
        </w:tc>
      </w:tr>
      <w:tr w:rsidR="00AC08E8" w:rsidRPr="008A7364" w:rsidTr="00C0775B">
        <w:trPr>
          <w:trHeight w:hRule="exact" w:val="852"/>
        </w:trPr>
        <w:tc>
          <w:tcPr>
            <w:tcW w:w="188" w:type="pct"/>
            <w:tcBorders>
              <w:top w:val="single" w:sz="4" w:space="0" w:color="auto"/>
            </w:tcBorders>
            <w:shd w:val="clear" w:color="auto" w:fill="auto"/>
            <w:vAlign w:val="center"/>
          </w:tcPr>
          <w:p w:rsidR="00AC08E8" w:rsidRPr="008A7364" w:rsidRDefault="00AC08E8" w:rsidP="009F467A">
            <w:pPr>
              <w:spacing w:line="240" w:lineRule="auto"/>
              <w:jc w:val="left"/>
              <w:rPr>
                <w:rFonts w:cs="Arial"/>
                <w:sz w:val="16"/>
                <w:szCs w:val="16"/>
              </w:rPr>
            </w:pPr>
            <w:r w:rsidRPr="008A7364">
              <w:rPr>
                <w:rFonts w:cs="Arial"/>
                <w:sz w:val="16"/>
                <w:szCs w:val="16"/>
              </w:rPr>
              <w:t>9</w:t>
            </w:r>
            <w:r>
              <w:rPr>
                <w:rFonts w:cs="Arial"/>
                <w:sz w:val="16"/>
                <w:szCs w:val="16"/>
              </w:rPr>
              <w:t xml:space="preserve"> d</w:t>
            </w:r>
          </w:p>
        </w:tc>
        <w:tc>
          <w:tcPr>
            <w:tcW w:w="249" w:type="pct"/>
            <w:vMerge/>
            <w:shd w:val="clear" w:color="auto" w:fill="auto"/>
            <w:vAlign w:val="center"/>
          </w:tcPr>
          <w:p w:rsidR="00AC08E8" w:rsidRPr="008A7364" w:rsidRDefault="00AC08E8" w:rsidP="008A7364">
            <w:pPr>
              <w:ind w:left="113" w:right="113"/>
              <w:jc w:val="center"/>
              <w:rPr>
                <w:rFonts w:cs="Arial"/>
                <w:sz w:val="16"/>
                <w:szCs w:val="16"/>
              </w:rPr>
            </w:pPr>
          </w:p>
        </w:tc>
        <w:tc>
          <w:tcPr>
            <w:tcW w:w="894" w:type="pct"/>
            <w:shd w:val="clear" w:color="auto" w:fill="auto"/>
            <w:vAlign w:val="center"/>
          </w:tcPr>
          <w:p w:rsidR="00772ADD" w:rsidRPr="00CA765A" w:rsidRDefault="00AC08E8" w:rsidP="007A3613">
            <w:pPr>
              <w:spacing w:before="40" w:after="20" w:line="240" w:lineRule="auto"/>
              <w:rPr>
                <w:sz w:val="16"/>
                <w:szCs w:val="16"/>
              </w:rPr>
            </w:pPr>
            <w:r w:rsidRPr="00CA765A">
              <w:rPr>
                <w:sz w:val="16"/>
                <w:szCs w:val="16"/>
              </w:rPr>
              <w:t>Alteração na Qualidade das Águas Superficiais e dos Sedimentos</w:t>
            </w:r>
            <w:r w:rsidR="00772ADD" w:rsidRPr="00CA765A">
              <w:rPr>
                <w:sz w:val="16"/>
                <w:szCs w:val="16"/>
              </w:rPr>
              <w:t xml:space="preserve">. </w:t>
            </w:r>
            <w:r w:rsidRPr="00CA765A">
              <w:rPr>
                <w:sz w:val="16"/>
                <w:szCs w:val="16"/>
              </w:rPr>
              <w:t xml:space="preserve">Operação </w:t>
            </w:r>
          </w:p>
          <w:p w:rsidR="00AC08E8" w:rsidRPr="00CA765A" w:rsidRDefault="00AC08E8" w:rsidP="007A3613">
            <w:pPr>
              <w:spacing w:before="40" w:after="20" w:line="240" w:lineRule="auto"/>
              <w:rPr>
                <w:sz w:val="16"/>
                <w:szCs w:val="16"/>
              </w:rPr>
            </w:pPr>
            <w:r w:rsidRPr="00CA765A">
              <w:rPr>
                <w:sz w:val="16"/>
                <w:szCs w:val="16"/>
              </w:rPr>
              <w:t>(DUAS PONTES)</w:t>
            </w:r>
          </w:p>
        </w:tc>
        <w:tc>
          <w:tcPr>
            <w:tcW w:w="335"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Local (AID/ADA)</w:t>
            </w:r>
          </w:p>
        </w:tc>
        <w:tc>
          <w:tcPr>
            <w:tcW w:w="398" w:type="pct"/>
            <w:shd w:val="clear" w:color="auto" w:fill="auto"/>
            <w:vAlign w:val="center"/>
          </w:tcPr>
          <w:p w:rsidR="00AC08E8" w:rsidRPr="00EE4A61" w:rsidRDefault="00AC08E8" w:rsidP="008A7364">
            <w:pPr>
              <w:spacing w:line="240" w:lineRule="auto"/>
              <w:jc w:val="left"/>
              <w:rPr>
                <w:rFonts w:cs="Arial"/>
                <w:sz w:val="16"/>
                <w:szCs w:val="16"/>
              </w:rPr>
            </w:pPr>
            <w:r w:rsidRPr="00EE4A61">
              <w:rPr>
                <w:rFonts w:cs="Arial"/>
                <w:sz w:val="16"/>
                <w:szCs w:val="16"/>
              </w:rPr>
              <w:t>Permanente</w:t>
            </w:r>
          </w:p>
        </w:tc>
        <w:tc>
          <w:tcPr>
            <w:tcW w:w="29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 xml:space="preserve">Grande </w:t>
            </w:r>
          </w:p>
        </w:tc>
        <w:tc>
          <w:tcPr>
            <w:tcW w:w="34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Mitigável</w:t>
            </w:r>
          </w:p>
        </w:tc>
      </w:tr>
      <w:tr w:rsidR="00AC08E8" w:rsidRPr="008A7364" w:rsidTr="00833161">
        <w:trPr>
          <w:trHeight w:hRule="exact" w:val="889"/>
        </w:trPr>
        <w:tc>
          <w:tcPr>
            <w:tcW w:w="188"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10</w:t>
            </w:r>
          </w:p>
        </w:tc>
        <w:tc>
          <w:tcPr>
            <w:tcW w:w="249" w:type="pct"/>
            <w:vMerge/>
            <w:shd w:val="clear" w:color="auto" w:fill="auto"/>
            <w:textDirection w:val="btLr"/>
            <w:vAlign w:val="center"/>
          </w:tcPr>
          <w:p w:rsidR="00AC08E8" w:rsidRPr="008A7364" w:rsidRDefault="00AC08E8" w:rsidP="008A7364">
            <w:pPr>
              <w:ind w:left="113" w:right="113"/>
              <w:jc w:val="center"/>
              <w:rPr>
                <w:rFonts w:cs="Arial"/>
                <w:sz w:val="20"/>
              </w:rPr>
            </w:pPr>
          </w:p>
        </w:tc>
        <w:tc>
          <w:tcPr>
            <w:tcW w:w="894" w:type="pct"/>
            <w:shd w:val="clear" w:color="auto" w:fill="auto"/>
            <w:vAlign w:val="center"/>
          </w:tcPr>
          <w:p w:rsidR="00AC08E8" w:rsidRPr="008A7364" w:rsidRDefault="00AC08E8" w:rsidP="007A3613">
            <w:pPr>
              <w:spacing w:before="40" w:after="20" w:line="240" w:lineRule="auto"/>
              <w:rPr>
                <w:sz w:val="16"/>
                <w:szCs w:val="16"/>
              </w:rPr>
            </w:pPr>
            <w:r w:rsidRPr="008A7364">
              <w:rPr>
                <w:sz w:val="16"/>
                <w:szCs w:val="16"/>
              </w:rPr>
              <w:t>Interferências em Instalações e Benfeitorias pela Elevação do Nível Freático</w:t>
            </w:r>
            <w:r>
              <w:rPr>
                <w:sz w:val="16"/>
                <w:szCs w:val="16"/>
              </w:rPr>
              <w:t xml:space="preserve"> </w:t>
            </w:r>
            <w:r w:rsidR="008854C8">
              <w:rPr>
                <w:sz w:val="16"/>
                <w:szCs w:val="16"/>
              </w:rPr>
              <w:t>Implantação</w:t>
            </w:r>
            <w:r w:rsidR="00833161">
              <w:rPr>
                <w:sz w:val="16"/>
                <w:szCs w:val="16"/>
              </w:rPr>
              <w:t xml:space="preserve"> (Pode ocorrer só em DUAS PONTES).</w:t>
            </w:r>
          </w:p>
        </w:tc>
        <w:tc>
          <w:tcPr>
            <w:tcW w:w="335"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Indireta</w:t>
            </w:r>
          </w:p>
        </w:tc>
        <w:tc>
          <w:tcPr>
            <w:tcW w:w="44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Local (ADA)</w:t>
            </w:r>
          </w:p>
        </w:tc>
        <w:tc>
          <w:tcPr>
            <w:tcW w:w="398" w:type="pct"/>
            <w:shd w:val="clear" w:color="auto" w:fill="auto"/>
            <w:vAlign w:val="center"/>
          </w:tcPr>
          <w:p w:rsidR="00AC08E8" w:rsidRPr="00EE4A61" w:rsidRDefault="00AC08E8" w:rsidP="008A7364">
            <w:pPr>
              <w:spacing w:line="240" w:lineRule="auto"/>
              <w:jc w:val="left"/>
              <w:rPr>
                <w:rFonts w:cs="Arial"/>
                <w:sz w:val="16"/>
                <w:szCs w:val="16"/>
              </w:rPr>
            </w:pPr>
            <w:r w:rsidRPr="00EE4A61">
              <w:rPr>
                <w:rFonts w:cs="Arial"/>
                <w:sz w:val="16"/>
                <w:szCs w:val="16"/>
              </w:rPr>
              <w:t>Permanente</w:t>
            </w:r>
          </w:p>
        </w:tc>
        <w:tc>
          <w:tcPr>
            <w:tcW w:w="299" w:type="pct"/>
            <w:shd w:val="clear" w:color="auto" w:fill="auto"/>
            <w:vAlign w:val="center"/>
          </w:tcPr>
          <w:p w:rsidR="00AC08E8" w:rsidRPr="008A7364" w:rsidRDefault="00491DC8" w:rsidP="00491DC8">
            <w:pPr>
              <w:spacing w:line="240" w:lineRule="auto"/>
              <w:jc w:val="left"/>
              <w:rPr>
                <w:rFonts w:cs="Arial"/>
                <w:sz w:val="16"/>
                <w:szCs w:val="16"/>
              </w:rPr>
            </w:pPr>
            <w:r>
              <w:rPr>
                <w:rFonts w:cs="Arial"/>
                <w:sz w:val="16"/>
                <w:szCs w:val="16"/>
              </w:rPr>
              <w:t>Possível</w:t>
            </w:r>
          </w:p>
        </w:tc>
        <w:tc>
          <w:tcPr>
            <w:tcW w:w="40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AC08E8" w:rsidRPr="008A7364" w:rsidRDefault="004045D8" w:rsidP="004045D8">
            <w:pPr>
              <w:spacing w:line="240" w:lineRule="auto"/>
              <w:jc w:val="left"/>
              <w:rPr>
                <w:rFonts w:cs="Arial"/>
                <w:sz w:val="16"/>
                <w:szCs w:val="16"/>
              </w:rPr>
            </w:pPr>
            <w:r>
              <w:rPr>
                <w:rFonts w:cs="Arial"/>
                <w:sz w:val="16"/>
                <w:szCs w:val="16"/>
              </w:rPr>
              <w:t>Baixa</w:t>
            </w:r>
          </w:p>
        </w:tc>
        <w:tc>
          <w:tcPr>
            <w:tcW w:w="397"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Mitigável</w:t>
            </w:r>
          </w:p>
        </w:tc>
      </w:tr>
      <w:tr w:rsidR="00AC08E8" w:rsidRPr="008A7364" w:rsidTr="007762D3">
        <w:trPr>
          <w:trHeight w:hRule="exact" w:val="1284"/>
        </w:trPr>
        <w:tc>
          <w:tcPr>
            <w:tcW w:w="188"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11</w:t>
            </w:r>
          </w:p>
        </w:tc>
        <w:tc>
          <w:tcPr>
            <w:tcW w:w="249" w:type="pct"/>
            <w:vMerge/>
            <w:shd w:val="clear" w:color="auto" w:fill="auto"/>
            <w:textDirection w:val="btLr"/>
            <w:vAlign w:val="center"/>
          </w:tcPr>
          <w:p w:rsidR="00AC08E8" w:rsidRPr="008A7364" w:rsidRDefault="00AC08E8" w:rsidP="008A7364">
            <w:pPr>
              <w:spacing w:line="240" w:lineRule="auto"/>
              <w:ind w:left="113" w:right="113"/>
              <w:jc w:val="center"/>
              <w:rPr>
                <w:rFonts w:cs="Arial"/>
                <w:sz w:val="20"/>
              </w:rPr>
            </w:pPr>
          </w:p>
        </w:tc>
        <w:tc>
          <w:tcPr>
            <w:tcW w:w="894" w:type="pct"/>
            <w:shd w:val="clear" w:color="auto" w:fill="auto"/>
            <w:vAlign w:val="center"/>
          </w:tcPr>
          <w:p w:rsidR="00AC08E8" w:rsidRPr="008A7364" w:rsidRDefault="00AC08E8" w:rsidP="007A3613">
            <w:pPr>
              <w:spacing w:before="40" w:after="20" w:line="240" w:lineRule="auto"/>
              <w:rPr>
                <w:sz w:val="16"/>
                <w:szCs w:val="16"/>
              </w:rPr>
            </w:pPr>
            <w:r w:rsidRPr="008A7364">
              <w:rPr>
                <w:sz w:val="16"/>
                <w:szCs w:val="16"/>
              </w:rPr>
              <w:t>Surgências de Água, Perenização e Formação de Novas Áreas Úmidas e Al</w:t>
            </w:r>
            <w:r w:rsidR="008854C8">
              <w:rPr>
                <w:sz w:val="16"/>
                <w:szCs w:val="16"/>
              </w:rPr>
              <w:t>agadas pela Elevação do Lençol f</w:t>
            </w:r>
            <w:r w:rsidRPr="008A7364">
              <w:rPr>
                <w:sz w:val="16"/>
                <w:szCs w:val="16"/>
              </w:rPr>
              <w:t>reático</w:t>
            </w:r>
            <w:r w:rsidR="008854C8">
              <w:rPr>
                <w:sz w:val="16"/>
                <w:szCs w:val="16"/>
              </w:rPr>
              <w:t>.</w:t>
            </w:r>
            <w:r w:rsidR="00C0775B">
              <w:rPr>
                <w:sz w:val="16"/>
                <w:szCs w:val="16"/>
              </w:rPr>
              <w:t xml:space="preserve"> </w:t>
            </w:r>
            <w:r w:rsidR="008854C8">
              <w:rPr>
                <w:sz w:val="16"/>
                <w:szCs w:val="16"/>
              </w:rPr>
              <w:t>Implantação</w:t>
            </w:r>
            <w:r w:rsidR="00C2457B">
              <w:rPr>
                <w:sz w:val="16"/>
                <w:szCs w:val="16"/>
              </w:rPr>
              <w:t xml:space="preserve"> (Pode ocorrer só em DUAS PONTES)</w:t>
            </w:r>
          </w:p>
        </w:tc>
        <w:tc>
          <w:tcPr>
            <w:tcW w:w="335"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Indireta</w:t>
            </w:r>
          </w:p>
        </w:tc>
        <w:tc>
          <w:tcPr>
            <w:tcW w:w="44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Local (ADA)</w:t>
            </w:r>
          </w:p>
        </w:tc>
        <w:tc>
          <w:tcPr>
            <w:tcW w:w="398" w:type="pct"/>
            <w:shd w:val="clear" w:color="auto" w:fill="auto"/>
            <w:vAlign w:val="center"/>
          </w:tcPr>
          <w:p w:rsidR="00AC08E8" w:rsidRPr="00EE4A61" w:rsidRDefault="00AC08E8" w:rsidP="008A7364">
            <w:pPr>
              <w:spacing w:line="240" w:lineRule="auto"/>
              <w:jc w:val="left"/>
              <w:rPr>
                <w:rFonts w:cs="Arial"/>
                <w:sz w:val="16"/>
                <w:szCs w:val="16"/>
              </w:rPr>
            </w:pPr>
            <w:r w:rsidRPr="00EE4A61">
              <w:rPr>
                <w:rFonts w:cs="Arial"/>
                <w:sz w:val="16"/>
                <w:szCs w:val="16"/>
              </w:rPr>
              <w:t>Permanente</w:t>
            </w:r>
          </w:p>
        </w:tc>
        <w:tc>
          <w:tcPr>
            <w:tcW w:w="29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Provável</w:t>
            </w:r>
          </w:p>
        </w:tc>
        <w:tc>
          <w:tcPr>
            <w:tcW w:w="40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AC08E8" w:rsidRPr="008A7364" w:rsidRDefault="004045D8" w:rsidP="004045D8">
            <w:pPr>
              <w:spacing w:line="240" w:lineRule="auto"/>
              <w:jc w:val="left"/>
              <w:rPr>
                <w:rFonts w:cs="Arial"/>
                <w:sz w:val="16"/>
                <w:szCs w:val="16"/>
              </w:rPr>
            </w:pPr>
            <w:r>
              <w:rPr>
                <w:rFonts w:cs="Arial"/>
                <w:sz w:val="16"/>
                <w:szCs w:val="16"/>
              </w:rPr>
              <w:t>Baixa</w:t>
            </w:r>
          </w:p>
        </w:tc>
        <w:tc>
          <w:tcPr>
            <w:tcW w:w="397"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Mitigável</w:t>
            </w:r>
          </w:p>
        </w:tc>
      </w:tr>
      <w:tr w:rsidR="00AC08E8" w:rsidRPr="008A7364" w:rsidTr="00C0775B">
        <w:trPr>
          <w:trHeight w:hRule="exact" w:val="668"/>
        </w:trPr>
        <w:tc>
          <w:tcPr>
            <w:tcW w:w="188"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12</w:t>
            </w:r>
          </w:p>
        </w:tc>
        <w:tc>
          <w:tcPr>
            <w:tcW w:w="249" w:type="pct"/>
            <w:vMerge/>
            <w:shd w:val="clear" w:color="auto" w:fill="auto"/>
            <w:vAlign w:val="center"/>
          </w:tcPr>
          <w:p w:rsidR="00AC08E8" w:rsidRPr="008A7364" w:rsidRDefault="00AC08E8" w:rsidP="008A7364">
            <w:pPr>
              <w:spacing w:line="240" w:lineRule="auto"/>
              <w:jc w:val="left"/>
              <w:rPr>
                <w:rFonts w:cs="Arial"/>
                <w:sz w:val="16"/>
                <w:szCs w:val="16"/>
              </w:rPr>
            </w:pPr>
          </w:p>
        </w:tc>
        <w:tc>
          <w:tcPr>
            <w:tcW w:w="894" w:type="pct"/>
            <w:shd w:val="clear" w:color="auto" w:fill="auto"/>
            <w:vAlign w:val="center"/>
          </w:tcPr>
          <w:p w:rsidR="00AC08E8" w:rsidRPr="008A7364" w:rsidRDefault="00AC08E8" w:rsidP="007A3613">
            <w:pPr>
              <w:spacing w:before="40" w:after="20" w:line="240" w:lineRule="auto"/>
              <w:rPr>
                <w:sz w:val="16"/>
                <w:szCs w:val="16"/>
              </w:rPr>
            </w:pPr>
            <w:r w:rsidRPr="008A7364">
              <w:rPr>
                <w:sz w:val="16"/>
                <w:szCs w:val="16"/>
              </w:rPr>
              <w:t>Perda de Poços Profundos</w:t>
            </w:r>
            <w:r w:rsidR="00C0775B">
              <w:rPr>
                <w:sz w:val="16"/>
                <w:szCs w:val="16"/>
              </w:rPr>
              <w:t xml:space="preserve">. Implantação. </w:t>
            </w:r>
            <w:r>
              <w:rPr>
                <w:sz w:val="16"/>
                <w:szCs w:val="16"/>
              </w:rPr>
              <w:t>(</w:t>
            </w:r>
            <w:r w:rsidR="00C2457B">
              <w:rPr>
                <w:sz w:val="16"/>
                <w:szCs w:val="16"/>
              </w:rPr>
              <w:t xml:space="preserve">Ocorre só em </w:t>
            </w:r>
            <w:r>
              <w:rPr>
                <w:sz w:val="16"/>
                <w:szCs w:val="16"/>
              </w:rPr>
              <w:t>DUAS PONTES)</w:t>
            </w:r>
          </w:p>
        </w:tc>
        <w:tc>
          <w:tcPr>
            <w:tcW w:w="335"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Local (ADA)</w:t>
            </w:r>
          </w:p>
        </w:tc>
        <w:tc>
          <w:tcPr>
            <w:tcW w:w="398" w:type="pct"/>
            <w:shd w:val="clear" w:color="auto" w:fill="auto"/>
            <w:vAlign w:val="center"/>
          </w:tcPr>
          <w:p w:rsidR="00AC08E8" w:rsidRPr="00EE4A61" w:rsidRDefault="00AC08E8" w:rsidP="008A7364">
            <w:pPr>
              <w:spacing w:line="240" w:lineRule="auto"/>
              <w:jc w:val="left"/>
              <w:rPr>
                <w:rFonts w:cs="Arial"/>
                <w:sz w:val="16"/>
                <w:szCs w:val="16"/>
              </w:rPr>
            </w:pPr>
            <w:r w:rsidRPr="00EE4A61">
              <w:rPr>
                <w:rFonts w:cs="Arial"/>
                <w:sz w:val="16"/>
                <w:szCs w:val="16"/>
              </w:rPr>
              <w:t>Permanente</w:t>
            </w:r>
          </w:p>
        </w:tc>
        <w:tc>
          <w:tcPr>
            <w:tcW w:w="29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Mitigável</w:t>
            </w:r>
          </w:p>
        </w:tc>
      </w:tr>
      <w:tr w:rsidR="00AC08E8" w:rsidRPr="008A7364" w:rsidTr="00C0775B">
        <w:trPr>
          <w:trHeight w:hRule="exact" w:val="834"/>
        </w:trPr>
        <w:tc>
          <w:tcPr>
            <w:tcW w:w="188"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13</w:t>
            </w:r>
          </w:p>
        </w:tc>
        <w:tc>
          <w:tcPr>
            <w:tcW w:w="249" w:type="pct"/>
            <w:vMerge/>
            <w:shd w:val="clear" w:color="auto" w:fill="auto"/>
            <w:vAlign w:val="center"/>
          </w:tcPr>
          <w:p w:rsidR="00AC08E8" w:rsidRPr="008A7364" w:rsidRDefault="00AC08E8" w:rsidP="008A7364">
            <w:pPr>
              <w:spacing w:line="240" w:lineRule="auto"/>
              <w:jc w:val="left"/>
              <w:rPr>
                <w:rFonts w:cs="Arial"/>
                <w:sz w:val="16"/>
                <w:szCs w:val="16"/>
              </w:rPr>
            </w:pPr>
          </w:p>
        </w:tc>
        <w:tc>
          <w:tcPr>
            <w:tcW w:w="894" w:type="pct"/>
            <w:shd w:val="clear" w:color="auto" w:fill="auto"/>
            <w:vAlign w:val="center"/>
          </w:tcPr>
          <w:p w:rsidR="00AC08E8" w:rsidRPr="008A7364" w:rsidRDefault="00AC08E8" w:rsidP="007A3613">
            <w:pPr>
              <w:spacing w:line="240" w:lineRule="auto"/>
              <w:rPr>
                <w:sz w:val="16"/>
                <w:szCs w:val="16"/>
              </w:rPr>
            </w:pPr>
            <w:r w:rsidRPr="008A7364">
              <w:rPr>
                <w:sz w:val="16"/>
                <w:szCs w:val="16"/>
              </w:rPr>
              <w:t>Possibilidade da Ocorrência de Sismicidade Induzida</w:t>
            </w:r>
            <w:r w:rsidR="00C0775B">
              <w:rPr>
                <w:sz w:val="16"/>
                <w:szCs w:val="16"/>
              </w:rPr>
              <w:t>.</w:t>
            </w:r>
            <w:r w:rsidR="00833161">
              <w:rPr>
                <w:sz w:val="16"/>
                <w:szCs w:val="16"/>
              </w:rPr>
              <w:t xml:space="preserve"> </w:t>
            </w:r>
            <w:r w:rsidR="00C0775B">
              <w:rPr>
                <w:sz w:val="16"/>
                <w:szCs w:val="16"/>
              </w:rPr>
              <w:t>Implantação e Operação</w:t>
            </w:r>
          </w:p>
        </w:tc>
        <w:tc>
          <w:tcPr>
            <w:tcW w:w="335"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Local (ADA)</w:t>
            </w:r>
          </w:p>
        </w:tc>
        <w:tc>
          <w:tcPr>
            <w:tcW w:w="398" w:type="pct"/>
            <w:shd w:val="clear" w:color="auto" w:fill="auto"/>
            <w:vAlign w:val="center"/>
          </w:tcPr>
          <w:p w:rsidR="00AC08E8" w:rsidRPr="00EE4A61" w:rsidRDefault="00AC08E8" w:rsidP="008A7364">
            <w:pPr>
              <w:spacing w:line="240" w:lineRule="auto"/>
              <w:jc w:val="left"/>
              <w:rPr>
                <w:rFonts w:cs="Arial"/>
                <w:sz w:val="16"/>
                <w:szCs w:val="16"/>
              </w:rPr>
            </w:pPr>
            <w:r w:rsidRPr="00EE4A61">
              <w:rPr>
                <w:rFonts w:cs="Arial"/>
                <w:sz w:val="16"/>
                <w:szCs w:val="16"/>
              </w:rPr>
              <w:t>Permanente</w:t>
            </w:r>
          </w:p>
        </w:tc>
        <w:tc>
          <w:tcPr>
            <w:tcW w:w="29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Provável</w:t>
            </w:r>
          </w:p>
        </w:tc>
        <w:tc>
          <w:tcPr>
            <w:tcW w:w="40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Curto a Médio Prazo</w:t>
            </w:r>
          </w:p>
        </w:tc>
        <w:tc>
          <w:tcPr>
            <w:tcW w:w="390"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AC08E8" w:rsidRPr="008A7364" w:rsidRDefault="00AC08E8" w:rsidP="008A7364">
            <w:pPr>
              <w:spacing w:line="240" w:lineRule="auto"/>
              <w:jc w:val="left"/>
              <w:rPr>
                <w:rFonts w:cs="Arial"/>
                <w:sz w:val="16"/>
                <w:szCs w:val="16"/>
              </w:rPr>
            </w:pPr>
            <w:r>
              <w:rPr>
                <w:rFonts w:cs="Arial"/>
                <w:sz w:val="16"/>
                <w:szCs w:val="16"/>
              </w:rPr>
              <w:t xml:space="preserve">Não </w:t>
            </w:r>
            <w:r w:rsidRPr="008A7364">
              <w:rPr>
                <w:rFonts w:cs="Arial"/>
                <w:sz w:val="16"/>
                <w:szCs w:val="16"/>
              </w:rPr>
              <w:t>Mitigável</w:t>
            </w:r>
          </w:p>
        </w:tc>
      </w:tr>
      <w:tr w:rsidR="00AC08E8" w:rsidRPr="008A7364" w:rsidTr="003031D7">
        <w:trPr>
          <w:trHeight w:hRule="exact" w:val="580"/>
        </w:trPr>
        <w:tc>
          <w:tcPr>
            <w:tcW w:w="188"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14</w:t>
            </w:r>
          </w:p>
        </w:tc>
        <w:tc>
          <w:tcPr>
            <w:tcW w:w="249" w:type="pct"/>
            <w:vMerge/>
            <w:shd w:val="clear" w:color="auto" w:fill="auto"/>
            <w:vAlign w:val="center"/>
          </w:tcPr>
          <w:p w:rsidR="00AC08E8" w:rsidRPr="008A7364" w:rsidRDefault="00AC08E8" w:rsidP="008A7364">
            <w:pPr>
              <w:spacing w:line="240" w:lineRule="auto"/>
              <w:jc w:val="left"/>
              <w:rPr>
                <w:rFonts w:cs="Arial"/>
                <w:sz w:val="16"/>
                <w:szCs w:val="16"/>
              </w:rPr>
            </w:pPr>
          </w:p>
        </w:tc>
        <w:tc>
          <w:tcPr>
            <w:tcW w:w="894" w:type="pct"/>
            <w:shd w:val="clear" w:color="auto" w:fill="auto"/>
            <w:vAlign w:val="center"/>
          </w:tcPr>
          <w:p w:rsidR="00AC08E8" w:rsidRPr="008A7364" w:rsidRDefault="00AC08E8" w:rsidP="007A3613">
            <w:pPr>
              <w:spacing w:line="240" w:lineRule="auto"/>
              <w:rPr>
                <w:sz w:val="16"/>
                <w:szCs w:val="16"/>
              </w:rPr>
            </w:pPr>
            <w:r w:rsidRPr="008A7364">
              <w:rPr>
                <w:sz w:val="16"/>
                <w:szCs w:val="16"/>
              </w:rPr>
              <w:t>Instalação/Aceleração de Processos Erosivos Junto às Obras</w:t>
            </w:r>
            <w:r w:rsidR="00C0775B">
              <w:rPr>
                <w:sz w:val="16"/>
                <w:szCs w:val="16"/>
              </w:rPr>
              <w:t>. Implantação</w:t>
            </w:r>
          </w:p>
        </w:tc>
        <w:tc>
          <w:tcPr>
            <w:tcW w:w="335"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Local</w:t>
            </w:r>
          </w:p>
        </w:tc>
        <w:tc>
          <w:tcPr>
            <w:tcW w:w="398" w:type="pct"/>
            <w:shd w:val="clear" w:color="auto" w:fill="auto"/>
            <w:vAlign w:val="center"/>
          </w:tcPr>
          <w:p w:rsidR="00AC08E8" w:rsidRPr="00EE4A61" w:rsidRDefault="00AC08E8" w:rsidP="008A7364">
            <w:pPr>
              <w:spacing w:line="240" w:lineRule="auto"/>
              <w:jc w:val="left"/>
              <w:rPr>
                <w:rFonts w:cs="Arial"/>
                <w:sz w:val="16"/>
                <w:szCs w:val="16"/>
              </w:rPr>
            </w:pPr>
            <w:r w:rsidRPr="00EE4A61">
              <w:rPr>
                <w:rFonts w:cs="Arial"/>
                <w:sz w:val="16"/>
                <w:szCs w:val="16"/>
              </w:rPr>
              <w:t>Temporária</w:t>
            </w:r>
          </w:p>
        </w:tc>
        <w:tc>
          <w:tcPr>
            <w:tcW w:w="29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Mitigável</w:t>
            </w:r>
          </w:p>
        </w:tc>
      </w:tr>
      <w:tr w:rsidR="00AC08E8" w:rsidRPr="008A7364" w:rsidTr="00C0775B">
        <w:trPr>
          <w:trHeight w:hRule="exact" w:val="840"/>
        </w:trPr>
        <w:tc>
          <w:tcPr>
            <w:tcW w:w="188"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15</w:t>
            </w:r>
          </w:p>
        </w:tc>
        <w:tc>
          <w:tcPr>
            <w:tcW w:w="249" w:type="pct"/>
            <w:vMerge/>
            <w:shd w:val="clear" w:color="auto" w:fill="auto"/>
            <w:vAlign w:val="center"/>
          </w:tcPr>
          <w:p w:rsidR="00AC08E8" w:rsidRPr="008A7364" w:rsidRDefault="00AC08E8" w:rsidP="008A7364">
            <w:pPr>
              <w:spacing w:line="240" w:lineRule="auto"/>
              <w:jc w:val="left"/>
              <w:rPr>
                <w:rFonts w:cs="Arial"/>
                <w:sz w:val="16"/>
                <w:szCs w:val="16"/>
              </w:rPr>
            </w:pPr>
          </w:p>
        </w:tc>
        <w:tc>
          <w:tcPr>
            <w:tcW w:w="894" w:type="pct"/>
            <w:shd w:val="clear" w:color="auto" w:fill="auto"/>
            <w:vAlign w:val="center"/>
          </w:tcPr>
          <w:p w:rsidR="00AC08E8" w:rsidRPr="008A7364" w:rsidRDefault="00C0775B" w:rsidP="007A3613">
            <w:pPr>
              <w:spacing w:line="240" w:lineRule="auto"/>
              <w:rPr>
                <w:sz w:val="16"/>
                <w:szCs w:val="16"/>
              </w:rPr>
            </w:pPr>
            <w:r w:rsidRPr="008A7364">
              <w:rPr>
                <w:sz w:val="16"/>
                <w:szCs w:val="16"/>
              </w:rPr>
              <w:t>Acréscimo</w:t>
            </w:r>
            <w:r w:rsidR="00AC08E8" w:rsidRPr="008A7364">
              <w:rPr>
                <w:sz w:val="16"/>
                <w:szCs w:val="16"/>
              </w:rPr>
              <w:t xml:space="preserve"> na Susceptibilidade a Instabilização de Encostas Marginais</w:t>
            </w:r>
            <w:r>
              <w:rPr>
                <w:sz w:val="16"/>
                <w:szCs w:val="16"/>
              </w:rPr>
              <w:t>. Implantação e Operação.</w:t>
            </w:r>
          </w:p>
        </w:tc>
        <w:tc>
          <w:tcPr>
            <w:tcW w:w="335"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Local</w:t>
            </w:r>
          </w:p>
        </w:tc>
        <w:tc>
          <w:tcPr>
            <w:tcW w:w="398"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Provável</w:t>
            </w:r>
          </w:p>
        </w:tc>
        <w:tc>
          <w:tcPr>
            <w:tcW w:w="409" w:type="pct"/>
            <w:shd w:val="clear" w:color="auto" w:fill="auto"/>
            <w:vAlign w:val="center"/>
          </w:tcPr>
          <w:p w:rsidR="00AC08E8" w:rsidRPr="008A7364" w:rsidRDefault="00AC08E8" w:rsidP="008A7364">
            <w:pPr>
              <w:spacing w:line="240" w:lineRule="auto"/>
              <w:jc w:val="left"/>
              <w:rPr>
                <w:rFonts w:cs="Arial"/>
                <w:sz w:val="16"/>
                <w:szCs w:val="16"/>
              </w:rPr>
            </w:pPr>
            <w:r>
              <w:rPr>
                <w:rFonts w:cs="Arial"/>
                <w:sz w:val="16"/>
                <w:szCs w:val="16"/>
              </w:rPr>
              <w:t>Imediata /</w:t>
            </w:r>
            <w:r w:rsidRPr="008A7364">
              <w:rPr>
                <w:rFonts w:cs="Arial"/>
                <w:sz w:val="16"/>
                <w:szCs w:val="16"/>
              </w:rPr>
              <w:t xml:space="preserve"> Longo Prazo</w:t>
            </w:r>
          </w:p>
        </w:tc>
        <w:tc>
          <w:tcPr>
            <w:tcW w:w="390" w:type="pct"/>
            <w:shd w:val="clear" w:color="auto" w:fill="auto"/>
            <w:vAlign w:val="center"/>
          </w:tcPr>
          <w:p w:rsidR="00AC08E8" w:rsidRPr="008A7364" w:rsidRDefault="00AC08E8" w:rsidP="008A7364">
            <w:pPr>
              <w:spacing w:line="240" w:lineRule="auto"/>
              <w:jc w:val="left"/>
              <w:rPr>
                <w:rFonts w:cs="Arial"/>
                <w:sz w:val="16"/>
                <w:szCs w:val="16"/>
              </w:rPr>
            </w:pPr>
            <w:r>
              <w:rPr>
                <w:rFonts w:cs="Arial"/>
                <w:sz w:val="16"/>
                <w:szCs w:val="16"/>
              </w:rPr>
              <w:t>R</w:t>
            </w:r>
            <w:r w:rsidRPr="008A7364">
              <w:rPr>
                <w:rFonts w:cs="Arial"/>
                <w:sz w:val="16"/>
                <w:szCs w:val="16"/>
              </w:rPr>
              <w:t>eversível</w:t>
            </w:r>
          </w:p>
        </w:tc>
        <w:tc>
          <w:tcPr>
            <w:tcW w:w="38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AC08E8" w:rsidRPr="008A7364" w:rsidRDefault="00AC08E8" w:rsidP="008A7364">
            <w:pPr>
              <w:spacing w:line="240" w:lineRule="auto"/>
              <w:jc w:val="left"/>
              <w:rPr>
                <w:rFonts w:cs="Arial"/>
                <w:sz w:val="16"/>
                <w:szCs w:val="16"/>
              </w:rPr>
            </w:pPr>
            <w:r w:rsidRPr="008A7364">
              <w:rPr>
                <w:rFonts w:cs="Arial"/>
                <w:sz w:val="16"/>
                <w:szCs w:val="16"/>
              </w:rPr>
              <w:t>Mitigável</w:t>
            </w:r>
          </w:p>
        </w:tc>
      </w:tr>
    </w:tbl>
    <w:p w:rsidR="007762D3" w:rsidRDefault="007762D3" w:rsidP="002E29E3"/>
    <w:p w:rsidR="002E29E3" w:rsidRDefault="002E29E3" w:rsidP="002E29E3">
      <w:r>
        <w:t>(continuação)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722"/>
        <w:gridCol w:w="2593"/>
        <w:gridCol w:w="972"/>
        <w:gridCol w:w="772"/>
        <w:gridCol w:w="1302"/>
        <w:gridCol w:w="1155"/>
        <w:gridCol w:w="867"/>
        <w:gridCol w:w="1186"/>
        <w:gridCol w:w="1131"/>
        <w:gridCol w:w="1111"/>
        <w:gridCol w:w="995"/>
        <w:gridCol w:w="1152"/>
      </w:tblGrid>
      <w:tr w:rsidR="00EE4A61" w:rsidRPr="008A7364" w:rsidTr="00FE3E05">
        <w:trPr>
          <w:trHeight w:val="336"/>
          <w:tblHeader/>
        </w:trPr>
        <w:tc>
          <w:tcPr>
            <w:tcW w:w="188" w:type="pct"/>
            <w:vMerge w:val="restart"/>
            <w:shd w:val="clear" w:color="auto" w:fill="D9D9D9"/>
            <w:vAlign w:val="center"/>
          </w:tcPr>
          <w:p w:rsidR="00EE4A61" w:rsidRPr="008A7364" w:rsidRDefault="00EE4A61" w:rsidP="00C55FEC">
            <w:pPr>
              <w:spacing w:before="120" w:after="120" w:line="240" w:lineRule="auto"/>
              <w:jc w:val="center"/>
              <w:rPr>
                <w:rFonts w:cs="Arial"/>
                <w:b/>
                <w:sz w:val="18"/>
                <w:szCs w:val="18"/>
              </w:rPr>
            </w:pPr>
            <w:r w:rsidRPr="008A7364">
              <w:rPr>
                <w:rFonts w:cs="Arial"/>
                <w:b/>
                <w:sz w:val="18"/>
                <w:szCs w:val="18"/>
              </w:rPr>
              <w:t>N°</w:t>
            </w:r>
          </w:p>
        </w:tc>
        <w:tc>
          <w:tcPr>
            <w:tcW w:w="249" w:type="pct"/>
            <w:vMerge w:val="restart"/>
            <w:shd w:val="clear" w:color="auto" w:fill="D9D9D9"/>
            <w:vAlign w:val="center"/>
          </w:tcPr>
          <w:p w:rsidR="00EE4A61" w:rsidRPr="008A7364" w:rsidRDefault="00EE4A61" w:rsidP="00C55FEC">
            <w:pPr>
              <w:spacing w:before="120" w:after="120" w:line="240" w:lineRule="auto"/>
              <w:rPr>
                <w:rFonts w:cs="Arial"/>
                <w:b/>
                <w:sz w:val="18"/>
                <w:szCs w:val="18"/>
              </w:rPr>
            </w:pPr>
            <w:r>
              <w:rPr>
                <w:rFonts w:cs="Arial"/>
                <w:b/>
                <w:sz w:val="18"/>
                <w:szCs w:val="18"/>
              </w:rPr>
              <w:t>MEIO</w:t>
            </w:r>
          </w:p>
        </w:tc>
        <w:tc>
          <w:tcPr>
            <w:tcW w:w="894" w:type="pct"/>
            <w:vMerge w:val="restart"/>
            <w:shd w:val="clear" w:color="auto" w:fill="D9D9D9"/>
            <w:vAlign w:val="center"/>
          </w:tcPr>
          <w:p w:rsidR="00EE4A61" w:rsidRPr="008A7364" w:rsidRDefault="00EE4A61" w:rsidP="00C55FEC">
            <w:pPr>
              <w:spacing w:before="120" w:after="120" w:line="240" w:lineRule="auto"/>
              <w:jc w:val="center"/>
              <w:rPr>
                <w:rFonts w:cs="Arial"/>
                <w:b/>
                <w:sz w:val="18"/>
                <w:szCs w:val="18"/>
              </w:rPr>
            </w:pPr>
            <w:r w:rsidRPr="008A7364">
              <w:rPr>
                <w:rFonts w:cs="Arial"/>
                <w:b/>
                <w:sz w:val="18"/>
                <w:szCs w:val="18"/>
              </w:rPr>
              <w:t>IMPACTO</w:t>
            </w:r>
          </w:p>
        </w:tc>
        <w:tc>
          <w:tcPr>
            <w:tcW w:w="3669" w:type="pct"/>
            <w:gridSpan w:val="10"/>
            <w:shd w:val="clear" w:color="auto" w:fill="D9D9D9"/>
          </w:tcPr>
          <w:p w:rsidR="00EE4A61" w:rsidRPr="008A7364" w:rsidRDefault="00EE4A61" w:rsidP="00FE3E05">
            <w:pPr>
              <w:spacing w:before="60" w:after="40" w:line="240" w:lineRule="auto"/>
              <w:jc w:val="center"/>
              <w:rPr>
                <w:rFonts w:cs="Arial"/>
                <w:b/>
                <w:sz w:val="18"/>
                <w:szCs w:val="18"/>
              </w:rPr>
            </w:pPr>
            <w:r w:rsidRPr="008A7364">
              <w:rPr>
                <w:rFonts w:cs="Arial"/>
                <w:b/>
                <w:sz w:val="18"/>
                <w:szCs w:val="18"/>
              </w:rPr>
              <w:t>CARACTERIZAÇÃO</w:t>
            </w:r>
          </w:p>
        </w:tc>
      </w:tr>
      <w:tr w:rsidR="00EE4A61" w:rsidRPr="008A7364" w:rsidTr="00C55FEC">
        <w:trPr>
          <w:trHeight w:hRule="exact" w:val="340"/>
          <w:tblHeader/>
        </w:trPr>
        <w:tc>
          <w:tcPr>
            <w:tcW w:w="188" w:type="pct"/>
            <w:vMerge/>
            <w:shd w:val="clear" w:color="auto" w:fill="D9D9D9"/>
          </w:tcPr>
          <w:p w:rsidR="00EE4A61" w:rsidRPr="008A7364" w:rsidRDefault="00EE4A61" w:rsidP="00C55FEC">
            <w:pPr>
              <w:spacing w:before="120" w:after="120" w:line="240" w:lineRule="auto"/>
              <w:jc w:val="center"/>
              <w:rPr>
                <w:rFonts w:cs="Arial"/>
                <w:b/>
                <w:sz w:val="18"/>
                <w:szCs w:val="18"/>
              </w:rPr>
            </w:pPr>
          </w:p>
        </w:tc>
        <w:tc>
          <w:tcPr>
            <w:tcW w:w="249" w:type="pct"/>
            <w:vMerge/>
            <w:shd w:val="clear" w:color="auto" w:fill="D9D9D9"/>
          </w:tcPr>
          <w:p w:rsidR="00EE4A61" w:rsidRPr="008A7364" w:rsidRDefault="00EE4A61" w:rsidP="00C55FEC">
            <w:pPr>
              <w:spacing w:before="120" w:after="120" w:line="240" w:lineRule="auto"/>
              <w:jc w:val="center"/>
              <w:rPr>
                <w:rFonts w:cs="Arial"/>
                <w:b/>
                <w:sz w:val="18"/>
                <w:szCs w:val="18"/>
              </w:rPr>
            </w:pPr>
          </w:p>
        </w:tc>
        <w:tc>
          <w:tcPr>
            <w:tcW w:w="894" w:type="pct"/>
            <w:vMerge/>
            <w:shd w:val="clear" w:color="auto" w:fill="D9D9D9"/>
          </w:tcPr>
          <w:p w:rsidR="00EE4A61" w:rsidRPr="008A7364" w:rsidRDefault="00EE4A61" w:rsidP="00C55FEC">
            <w:pPr>
              <w:spacing w:before="120" w:after="120" w:line="240" w:lineRule="auto"/>
              <w:jc w:val="center"/>
              <w:rPr>
                <w:rFonts w:cs="Arial"/>
                <w:b/>
                <w:sz w:val="18"/>
                <w:szCs w:val="18"/>
              </w:rPr>
            </w:pPr>
          </w:p>
        </w:tc>
        <w:tc>
          <w:tcPr>
            <w:tcW w:w="2546" w:type="pct"/>
            <w:gridSpan w:val="7"/>
            <w:shd w:val="clear" w:color="auto" w:fill="D9D9D9"/>
            <w:vAlign w:val="center"/>
          </w:tcPr>
          <w:p w:rsidR="00EE4A61" w:rsidRPr="008A7364" w:rsidRDefault="00EE4A61" w:rsidP="00C55FEC">
            <w:pPr>
              <w:spacing w:before="120" w:after="120" w:line="240" w:lineRule="auto"/>
              <w:jc w:val="center"/>
              <w:rPr>
                <w:rFonts w:cs="Arial"/>
                <w:b/>
                <w:sz w:val="16"/>
                <w:szCs w:val="16"/>
              </w:rPr>
            </w:pPr>
            <w:r w:rsidRPr="008A7364">
              <w:rPr>
                <w:rFonts w:cs="Arial"/>
                <w:b/>
                <w:sz w:val="16"/>
                <w:szCs w:val="16"/>
              </w:rPr>
              <w:t>Classificação</w:t>
            </w:r>
          </w:p>
        </w:tc>
        <w:tc>
          <w:tcPr>
            <w:tcW w:w="726" w:type="pct"/>
            <w:gridSpan w:val="2"/>
            <w:shd w:val="clear" w:color="auto" w:fill="D9D9D9"/>
            <w:vAlign w:val="center"/>
          </w:tcPr>
          <w:p w:rsidR="00EE4A61" w:rsidRPr="008A7364" w:rsidRDefault="00EE4A61" w:rsidP="00C55FEC">
            <w:pPr>
              <w:spacing w:before="120" w:after="120" w:line="240" w:lineRule="auto"/>
              <w:jc w:val="center"/>
              <w:rPr>
                <w:rFonts w:cs="Arial"/>
                <w:b/>
                <w:sz w:val="16"/>
                <w:szCs w:val="16"/>
              </w:rPr>
            </w:pPr>
            <w:r w:rsidRPr="008A7364">
              <w:rPr>
                <w:rFonts w:cs="Arial"/>
                <w:b/>
                <w:sz w:val="16"/>
                <w:szCs w:val="16"/>
              </w:rPr>
              <w:t>Mensuração</w:t>
            </w:r>
          </w:p>
        </w:tc>
        <w:tc>
          <w:tcPr>
            <w:tcW w:w="397" w:type="pct"/>
            <w:vMerge w:val="restart"/>
            <w:shd w:val="clear" w:color="auto" w:fill="D9D9D9"/>
            <w:vAlign w:val="center"/>
          </w:tcPr>
          <w:p w:rsidR="00EE4A61" w:rsidRPr="008A7364" w:rsidRDefault="00EE4A61" w:rsidP="00C55FEC">
            <w:pPr>
              <w:spacing w:before="120" w:after="120" w:line="240" w:lineRule="auto"/>
              <w:jc w:val="center"/>
              <w:rPr>
                <w:rFonts w:cs="Arial"/>
                <w:b/>
                <w:sz w:val="16"/>
                <w:szCs w:val="16"/>
              </w:rPr>
            </w:pPr>
            <w:r w:rsidRPr="008A7364">
              <w:rPr>
                <w:rFonts w:cs="Arial"/>
                <w:b/>
                <w:sz w:val="16"/>
                <w:szCs w:val="16"/>
              </w:rPr>
              <w:t>Mitigação</w:t>
            </w:r>
          </w:p>
        </w:tc>
      </w:tr>
      <w:tr w:rsidR="00EE4A61" w:rsidRPr="008A7364" w:rsidTr="00C55FEC">
        <w:trPr>
          <w:trHeight w:val="447"/>
          <w:tblHeader/>
        </w:trPr>
        <w:tc>
          <w:tcPr>
            <w:tcW w:w="188" w:type="pct"/>
            <w:vMerge/>
            <w:shd w:val="clear" w:color="auto" w:fill="auto"/>
          </w:tcPr>
          <w:p w:rsidR="00EE4A61" w:rsidRPr="008A7364" w:rsidRDefault="00EE4A61" w:rsidP="00C55FEC">
            <w:pPr>
              <w:spacing w:before="120" w:after="120" w:line="240" w:lineRule="auto"/>
              <w:jc w:val="center"/>
              <w:rPr>
                <w:rFonts w:cs="Arial"/>
                <w:b/>
              </w:rPr>
            </w:pPr>
          </w:p>
        </w:tc>
        <w:tc>
          <w:tcPr>
            <w:tcW w:w="249" w:type="pct"/>
            <w:vMerge/>
            <w:shd w:val="clear" w:color="auto" w:fill="D9D9D9"/>
          </w:tcPr>
          <w:p w:rsidR="00EE4A61" w:rsidRPr="008A7364" w:rsidRDefault="00EE4A61" w:rsidP="00C55FEC">
            <w:pPr>
              <w:spacing w:before="120" w:after="120" w:line="240" w:lineRule="auto"/>
              <w:jc w:val="center"/>
              <w:rPr>
                <w:rFonts w:cs="Arial"/>
                <w:b/>
              </w:rPr>
            </w:pPr>
          </w:p>
        </w:tc>
        <w:tc>
          <w:tcPr>
            <w:tcW w:w="894" w:type="pct"/>
            <w:vMerge/>
            <w:shd w:val="clear" w:color="auto" w:fill="auto"/>
          </w:tcPr>
          <w:p w:rsidR="00EE4A61" w:rsidRPr="008A7364" w:rsidRDefault="00EE4A61" w:rsidP="00C55FEC">
            <w:pPr>
              <w:spacing w:before="120" w:after="120" w:line="240" w:lineRule="auto"/>
              <w:jc w:val="center"/>
              <w:rPr>
                <w:rFonts w:cs="Arial"/>
                <w:b/>
                <w:sz w:val="20"/>
              </w:rPr>
            </w:pPr>
          </w:p>
        </w:tc>
        <w:tc>
          <w:tcPr>
            <w:tcW w:w="335" w:type="pct"/>
            <w:shd w:val="clear" w:color="auto" w:fill="D9D9D9"/>
            <w:vAlign w:val="center"/>
          </w:tcPr>
          <w:p w:rsidR="00EE4A61" w:rsidRPr="008A7364" w:rsidRDefault="00EE4A61" w:rsidP="00C55FEC">
            <w:pPr>
              <w:spacing w:before="120" w:after="120" w:line="240" w:lineRule="auto"/>
              <w:jc w:val="center"/>
              <w:rPr>
                <w:rFonts w:cs="Arial"/>
                <w:b/>
                <w:sz w:val="16"/>
                <w:szCs w:val="16"/>
              </w:rPr>
            </w:pPr>
            <w:r w:rsidRPr="008A7364">
              <w:rPr>
                <w:rFonts w:cs="Arial"/>
                <w:b/>
                <w:sz w:val="16"/>
                <w:szCs w:val="16"/>
              </w:rPr>
              <w:t>Natureza</w:t>
            </w:r>
          </w:p>
        </w:tc>
        <w:tc>
          <w:tcPr>
            <w:tcW w:w="266" w:type="pct"/>
            <w:shd w:val="clear" w:color="auto" w:fill="D9D9D9"/>
            <w:vAlign w:val="center"/>
          </w:tcPr>
          <w:p w:rsidR="00EE4A61" w:rsidRPr="008A7364" w:rsidRDefault="00EE4A61" w:rsidP="00C55FEC">
            <w:pPr>
              <w:spacing w:before="120" w:after="120" w:line="240" w:lineRule="auto"/>
              <w:jc w:val="center"/>
              <w:rPr>
                <w:rFonts w:cs="Arial"/>
                <w:b/>
                <w:sz w:val="16"/>
                <w:szCs w:val="16"/>
              </w:rPr>
            </w:pPr>
            <w:r w:rsidRPr="008A7364">
              <w:rPr>
                <w:rFonts w:cs="Arial"/>
                <w:b/>
                <w:sz w:val="16"/>
                <w:szCs w:val="16"/>
              </w:rPr>
              <w:t>Ordem</w:t>
            </w:r>
          </w:p>
        </w:tc>
        <w:tc>
          <w:tcPr>
            <w:tcW w:w="449" w:type="pct"/>
            <w:shd w:val="clear" w:color="auto" w:fill="D9D9D9"/>
            <w:vAlign w:val="center"/>
          </w:tcPr>
          <w:p w:rsidR="00EE4A61" w:rsidRPr="008A7364" w:rsidRDefault="00EE4A61" w:rsidP="00C55FEC">
            <w:pPr>
              <w:spacing w:before="120" w:after="120" w:line="240" w:lineRule="auto"/>
              <w:jc w:val="center"/>
              <w:rPr>
                <w:rFonts w:cs="Arial"/>
                <w:b/>
                <w:sz w:val="16"/>
                <w:szCs w:val="16"/>
              </w:rPr>
            </w:pPr>
            <w:r w:rsidRPr="008A7364">
              <w:rPr>
                <w:rFonts w:cs="Arial"/>
                <w:b/>
                <w:sz w:val="16"/>
                <w:szCs w:val="16"/>
              </w:rPr>
              <w:t>Abrangência</w:t>
            </w:r>
          </w:p>
        </w:tc>
        <w:tc>
          <w:tcPr>
            <w:tcW w:w="398" w:type="pct"/>
            <w:shd w:val="clear" w:color="auto" w:fill="D9D9D9"/>
            <w:vAlign w:val="center"/>
          </w:tcPr>
          <w:p w:rsidR="00EE4A61" w:rsidRPr="008A7364" w:rsidRDefault="00EE4A61" w:rsidP="00C55FEC">
            <w:pPr>
              <w:spacing w:before="120" w:after="120" w:line="240" w:lineRule="auto"/>
              <w:jc w:val="center"/>
              <w:rPr>
                <w:rFonts w:cs="Arial"/>
                <w:b/>
                <w:sz w:val="16"/>
                <w:szCs w:val="16"/>
              </w:rPr>
            </w:pPr>
            <w:r w:rsidRPr="008A7364">
              <w:rPr>
                <w:rFonts w:cs="Arial"/>
                <w:b/>
                <w:sz w:val="16"/>
                <w:szCs w:val="16"/>
              </w:rPr>
              <w:t>Duração</w:t>
            </w:r>
          </w:p>
        </w:tc>
        <w:tc>
          <w:tcPr>
            <w:tcW w:w="299" w:type="pct"/>
            <w:shd w:val="clear" w:color="auto" w:fill="D9D9D9"/>
            <w:vAlign w:val="center"/>
          </w:tcPr>
          <w:p w:rsidR="00EE4A61" w:rsidRPr="008A7364" w:rsidRDefault="00EE4A61" w:rsidP="00C55FEC">
            <w:pPr>
              <w:spacing w:before="120" w:after="120" w:line="240" w:lineRule="auto"/>
              <w:jc w:val="center"/>
              <w:rPr>
                <w:rFonts w:cs="Arial"/>
                <w:b/>
                <w:sz w:val="16"/>
                <w:szCs w:val="16"/>
              </w:rPr>
            </w:pPr>
            <w:r w:rsidRPr="008A7364">
              <w:rPr>
                <w:rFonts w:cs="Arial"/>
                <w:b/>
                <w:sz w:val="16"/>
                <w:szCs w:val="16"/>
              </w:rPr>
              <w:t>Probabilidade</w:t>
            </w:r>
          </w:p>
        </w:tc>
        <w:tc>
          <w:tcPr>
            <w:tcW w:w="409" w:type="pct"/>
            <w:shd w:val="clear" w:color="auto" w:fill="D9D9D9"/>
            <w:vAlign w:val="center"/>
          </w:tcPr>
          <w:p w:rsidR="00EE4A61" w:rsidRPr="008A7364" w:rsidRDefault="00EE4A61" w:rsidP="00C55FEC">
            <w:pPr>
              <w:spacing w:before="120" w:after="120" w:line="240" w:lineRule="auto"/>
              <w:jc w:val="center"/>
              <w:rPr>
                <w:rFonts w:cs="Arial"/>
                <w:b/>
                <w:sz w:val="16"/>
                <w:szCs w:val="16"/>
              </w:rPr>
            </w:pPr>
            <w:r w:rsidRPr="008A7364">
              <w:rPr>
                <w:rFonts w:cs="Arial"/>
                <w:b/>
                <w:sz w:val="16"/>
                <w:szCs w:val="16"/>
              </w:rPr>
              <w:t>Época</w:t>
            </w:r>
          </w:p>
        </w:tc>
        <w:tc>
          <w:tcPr>
            <w:tcW w:w="390" w:type="pct"/>
            <w:shd w:val="clear" w:color="auto" w:fill="D9D9D9"/>
          </w:tcPr>
          <w:p w:rsidR="00EE4A61" w:rsidRPr="008A7364" w:rsidRDefault="00BC7E61" w:rsidP="00C55FEC">
            <w:pPr>
              <w:spacing w:before="120" w:after="120" w:line="240" w:lineRule="auto"/>
              <w:jc w:val="center"/>
              <w:rPr>
                <w:rFonts w:cs="Arial"/>
                <w:b/>
                <w:sz w:val="16"/>
                <w:szCs w:val="16"/>
              </w:rPr>
            </w:pPr>
            <w:r w:rsidRPr="008A7364">
              <w:rPr>
                <w:rFonts w:cs="Arial"/>
                <w:b/>
                <w:sz w:val="16"/>
                <w:szCs w:val="16"/>
              </w:rPr>
              <w:t>Reversibi</w:t>
            </w:r>
            <w:r w:rsidR="0053626B">
              <w:rPr>
                <w:rFonts w:cs="Arial"/>
                <w:b/>
                <w:sz w:val="16"/>
                <w:szCs w:val="16"/>
              </w:rPr>
              <w:t>-</w:t>
            </w:r>
            <w:r w:rsidRPr="008A7364">
              <w:rPr>
                <w:rFonts w:cs="Arial"/>
                <w:b/>
                <w:sz w:val="16"/>
                <w:szCs w:val="16"/>
              </w:rPr>
              <w:t>lidade</w:t>
            </w:r>
          </w:p>
        </w:tc>
        <w:tc>
          <w:tcPr>
            <w:tcW w:w="383" w:type="pct"/>
            <w:shd w:val="clear" w:color="auto" w:fill="D9D9D9"/>
            <w:vAlign w:val="center"/>
          </w:tcPr>
          <w:p w:rsidR="00EE4A61" w:rsidRPr="008A7364" w:rsidRDefault="00EE4A61" w:rsidP="00C55FEC">
            <w:pPr>
              <w:spacing w:before="120" w:after="120" w:line="240" w:lineRule="auto"/>
              <w:jc w:val="center"/>
              <w:rPr>
                <w:rFonts w:cs="Arial"/>
                <w:b/>
                <w:sz w:val="16"/>
                <w:szCs w:val="16"/>
              </w:rPr>
            </w:pPr>
            <w:r w:rsidRPr="008A7364">
              <w:rPr>
                <w:rFonts w:cs="Arial"/>
                <w:b/>
                <w:sz w:val="16"/>
                <w:szCs w:val="16"/>
              </w:rPr>
              <w:t>Magnitude</w:t>
            </w:r>
          </w:p>
        </w:tc>
        <w:tc>
          <w:tcPr>
            <w:tcW w:w="343" w:type="pct"/>
            <w:shd w:val="clear" w:color="auto" w:fill="D9D9D9"/>
            <w:vAlign w:val="center"/>
          </w:tcPr>
          <w:p w:rsidR="00EE4A61" w:rsidRPr="008A7364" w:rsidRDefault="00BC7E61" w:rsidP="00C55FEC">
            <w:pPr>
              <w:spacing w:before="120" w:after="120" w:line="240" w:lineRule="auto"/>
              <w:jc w:val="center"/>
              <w:rPr>
                <w:rFonts w:cs="Arial"/>
                <w:b/>
                <w:sz w:val="16"/>
                <w:szCs w:val="16"/>
              </w:rPr>
            </w:pPr>
            <w:r w:rsidRPr="008A7364">
              <w:rPr>
                <w:rFonts w:cs="Arial"/>
                <w:b/>
                <w:sz w:val="16"/>
                <w:szCs w:val="16"/>
              </w:rPr>
              <w:t>Impor</w:t>
            </w:r>
            <w:r w:rsidR="0053626B">
              <w:rPr>
                <w:rFonts w:cs="Arial"/>
                <w:b/>
                <w:sz w:val="16"/>
                <w:szCs w:val="16"/>
              </w:rPr>
              <w:t>-</w:t>
            </w:r>
            <w:r w:rsidRPr="008A7364">
              <w:rPr>
                <w:rFonts w:cs="Arial"/>
                <w:b/>
                <w:sz w:val="16"/>
                <w:szCs w:val="16"/>
              </w:rPr>
              <w:t>tância</w:t>
            </w:r>
          </w:p>
        </w:tc>
        <w:tc>
          <w:tcPr>
            <w:tcW w:w="397" w:type="pct"/>
            <w:vMerge/>
            <w:shd w:val="clear" w:color="auto" w:fill="auto"/>
          </w:tcPr>
          <w:p w:rsidR="00EE4A61" w:rsidRPr="008A7364" w:rsidRDefault="00EE4A61" w:rsidP="00C55FEC">
            <w:pPr>
              <w:spacing w:before="120" w:after="120" w:line="240" w:lineRule="auto"/>
              <w:jc w:val="center"/>
              <w:rPr>
                <w:rFonts w:cs="Arial"/>
                <w:b/>
                <w:sz w:val="16"/>
                <w:szCs w:val="16"/>
              </w:rPr>
            </w:pPr>
          </w:p>
        </w:tc>
      </w:tr>
      <w:tr w:rsidR="00C0775B" w:rsidRPr="008A7364" w:rsidTr="0009787E">
        <w:trPr>
          <w:trHeight w:hRule="exact" w:val="466"/>
        </w:trPr>
        <w:tc>
          <w:tcPr>
            <w:tcW w:w="188" w:type="pct"/>
            <w:shd w:val="clear" w:color="auto" w:fill="auto"/>
            <w:vAlign w:val="center"/>
          </w:tcPr>
          <w:p w:rsidR="00C0775B" w:rsidRPr="008A7364" w:rsidRDefault="00C0775B" w:rsidP="00C55FEC">
            <w:pPr>
              <w:spacing w:line="240" w:lineRule="auto"/>
              <w:jc w:val="left"/>
              <w:rPr>
                <w:rFonts w:cs="Arial"/>
                <w:sz w:val="16"/>
                <w:szCs w:val="16"/>
              </w:rPr>
            </w:pPr>
            <w:r w:rsidRPr="008A7364">
              <w:rPr>
                <w:rFonts w:cs="Arial"/>
                <w:sz w:val="16"/>
                <w:szCs w:val="16"/>
              </w:rPr>
              <w:t>16</w:t>
            </w:r>
          </w:p>
        </w:tc>
        <w:tc>
          <w:tcPr>
            <w:tcW w:w="249" w:type="pct"/>
            <w:vMerge w:val="restart"/>
            <w:shd w:val="clear" w:color="auto" w:fill="auto"/>
            <w:textDirection w:val="btLr"/>
            <w:vAlign w:val="center"/>
          </w:tcPr>
          <w:p w:rsidR="00C0775B" w:rsidRPr="008A7364" w:rsidRDefault="00C0775B" w:rsidP="00EE4A61">
            <w:pPr>
              <w:ind w:left="113" w:right="113"/>
              <w:jc w:val="center"/>
              <w:rPr>
                <w:rFonts w:cs="Arial"/>
                <w:sz w:val="16"/>
                <w:szCs w:val="16"/>
              </w:rPr>
            </w:pPr>
            <w:r w:rsidRPr="00AC08E8">
              <w:rPr>
                <w:rFonts w:cs="Arial"/>
                <w:b/>
                <w:szCs w:val="22"/>
              </w:rPr>
              <w:t>Meio Físico</w:t>
            </w:r>
          </w:p>
        </w:tc>
        <w:tc>
          <w:tcPr>
            <w:tcW w:w="894" w:type="pct"/>
            <w:shd w:val="clear" w:color="auto" w:fill="auto"/>
            <w:vAlign w:val="center"/>
          </w:tcPr>
          <w:p w:rsidR="00C0775B" w:rsidRPr="008A7364" w:rsidRDefault="00C0775B" w:rsidP="007A3613">
            <w:pPr>
              <w:spacing w:line="240" w:lineRule="auto"/>
              <w:rPr>
                <w:sz w:val="16"/>
                <w:szCs w:val="16"/>
              </w:rPr>
            </w:pPr>
            <w:r w:rsidRPr="008A7364">
              <w:rPr>
                <w:sz w:val="16"/>
                <w:szCs w:val="16"/>
              </w:rPr>
              <w:t>Risco de Contaminação do Solo</w:t>
            </w:r>
            <w:r>
              <w:rPr>
                <w:sz w:val="16"/>
                <w:szCs w:val="16"/>
              </w:rPr>
              <w:t>. Implantação</w:t>
            </w:r>
          </w:p>
        </w:tc>
        <w:tc>
          <w:tcPr>
            <w:tcW w:w="335" w:type="pct"/>
            <w:shd w:val="clear" w:color="auto" w:fill="auto"/>
            <w:vAlign w:val="center"/>
          </w:tcPr>
          <w:p w:rsidR="00C0775B" w:rsidRPr="008A7364" w:rsidRDefault="00C0775B" w:rsidP="00C55FEC">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C0775B" w:rsidRPr="008A7364" w:rsidRDefault="00C0775B" w:rsidP="00C55FEC">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C0775B" w:rsidRPr="008A7364" w:rsidRDefault="00C0775B" w:rsidP="00C55FEC">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C0775B" w:rsidRPr="008A7364" w:rsidRDefault="00C0775B" w:rsidP="00C55FEC">
            <w:pPr>
              <w:spacing w:line="240" w:lineRule="auto"/>
              <w:jc w:val="left"/>
              <w:rPr>
                <w:rFonts w:cs="Arial"/>
                <w:sz w:val="16"/>
                <w:szCs w:val="16"/>
              </w:rPr>
            </w:pPr>
            <w:r w:rsidRPr="008A7364">
              <w:rPr>
                <w:rFonts w:cs="Arial"/>
                <w:sz w:val="16"/>
                <w:szCs w:val="16"/>
              </w:rPr>
              <w:t>Temporário</w:t>
            </w:r>
          </w:p>
        </w:tc>
        <w:tc>
          <w:tcPr>
            <w:tcW w:w="299" w:type="pct"/>
            <w:shd w:val="clear" w:color="auto" w:fill="auto"/>
            <w:vAlign w:val="center"/>
          </w:tcPr>
          <w:p w:rsidR="00C0775B" w:rsidRPr="00FE3E05" w:rsidRDefault="00C0775B" w:rsidP="00C55FEC">
            <w:pPr>
              <w:spacing w:line="240" w:lineRule="auto"/>
              <w:jc w:val="left"/>
              <w:rPr>
                <w:rFonts w:cs="Arial"/>
                <w:sz w:val="16"/>
                <w:szCs w:val="16"/>
              </w:rPr>
            </w:pPr>
            <w:r w:rsidRPr="00FE3E05">
              <w:rPr>
                <w:rFonts w:cs="Arial"/>
                <w:sz w:val="16"/>
                <w:szCs w:val="16"/>
              </w:rPr>
              <w:t>Provável</w:t>
            </w:r>
          </w:p>
        </w:tc>
        <w:tc>
          <w:tcPr>
            <w:tcW w:w="409" w:type="pct"/>
            <w:shd w:val="clear" w:color="auto" w:fill="auto"/>
            <w:vAlign w:val="center"/>
          </w:tcPr>
          <w:p w:rsidR="00C0775B" w:rsidRPr="008A7364" w:rsidRDefault="00C0775B" w:rsidP="00C55FEC">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C0775B" w:rsidRPr="008A7364" w:rsidRDefault="00C0775B" w:rsidP="00C55FEC">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C0775B" w:rsidRPr="008A7364" w:rsidRDefault="00C0775B" w:rsidP="00C55FEC">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C0775B" w:rsidRPr="008A7364" w:rsidRDefault="00C0775B" w:rsidP="00C55FEC">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C0775B" w:rsidRPr="008A7364" w:rsidRDefault="00C0775B" w:rsidP="00C55FEC">
            <w:pPr>
              <w:spacing w:line="240" w:lineRule="auto"/>
              <w:jc w:val="left"/>
              <w:rPr>
                <w:rFonts w:cs="Arial"/>
                <w:sz w:val="16"/>
                <w:szCs w:val="16"/>
              </w:rPr>
            </w:pPr>
            <w:r w:rsidRPr="008A7364">
              <w:rPr>
                <w:rFonts w:cs="Arial"/>
                <w:sz w:val="16"/>
                <w:szCs w:val="16"/>
              </w:rPr>
              <w:t>Mitigável</w:t>
            </w:r>
          </w:p>
        </w:tc>
      </w:tr>
      <w:tr w:rsidR="0009787E" w:rsidRPr="008A7364" w:rsidTr="0009787E">
        <w:trPr>
          <w:trHeight w:hRule="exact" w:val="248"/>
        </w:trPr>
        <w:tc>
          <w:tcPr>
            <w:tcW w:w="188" w:type="pct"/>
            <w:shd w:val="clear" w:color="auto" w:fill="auto"/>
            <w:vAlign w:val="center"/>
          </w:tcPr>
          <w:p w:rsidR="0009787E" w:rsidRPr="008A7364" w:rsidRDefault="0009787E" w:rsidP="00567E61">
            <w:pPr>
              <w:spacing w:line="240" w:lineRule="auto"/>
              <w:jc w:val="left"/>
              <w:rPr>
                <w:rFonts w:cs="Arial"/>
                <w:sz w:val="16"/>
                <w:szCs w:val="16"/>
              </w:rPr>
            </w:pPr>
            <w:r>
              <w:rPr>
                <w:rFonts w:cs="Arial"/>
                <w:sz w:val="16"/>
                <w:szCs w:val="16"/>
              </w:rPr>
              <w:t>17</w:t>
            </w:r>
          </w:p>
        </w:tc>
        <w:tc>
          <w:tcPr>
            <w:tcW w:w="249" w:type="pct"/>
            <w:vMerge/>
            <w:shd w:val="clear" w:color="auto" w:fill="auto"/>
            <w:textDirection w:val="btLr"/>
            <w:vAlign w:val="center"/>
          </w:tcPr>
          <w:p w:rsidR="0009787E" w:rsidRPr="008A7364" w:rsidRDefault="0009787E" w:rsidP="00EE4A61">
            <w:pPr>
              <w:spacing w:line="240" w:lineRule="auto"/>
              <w:ind w:left="113" w:right="113"/>
              <w:jc w:val="center"/>
              <w:rPr>
                <w:rFonts w:cs="Arial"/>
                <w:sz w:val="16"/>
                <w:szCs w:val="16"/>
              </w:rPr>
            </w:pPr>
          </w:p>
        </w:tc>
        <w:tc>
          <w:tcPr>
            <w:tcW w:w="4563" w:type="pct"/>
            <w:gridSpan w:val="11"/>
            <w:shd w:val="clear" w:color="auto" w:fill="auto"/>
            <w:vAlign w:val="center"/>
          </w:tcPr>
          <w:p w:rsidR="0009787E" w:rsidRPr="008A7364" w:rsidRDefault="0009787E" w:rsidP="007A3613">
            <w:pPr>
              <w:spacing w:line="240" w:lineRule="auto"/>
              <w:rPr>
                <w:rFonts w:cs="Arial"/>
                <w:sz w:val="16"/>
                <w:szCs w:val="16"/>
              </w:rPr>
            </w:pPr>
            <w:r w:rsidRPr="008A7364">
              <w:rPr>
                <w:sz w:val="16"/>
                <w:szCs w:val="16"/>
              </w:rPr>
              <w:t xml:space="preserve">Perda </w:t>
            </w:r>
            <w:r>
              <w:rPr>
                <w:sz w:val="16"/>
                <w:szCs w:val="16"/>
              </w:rPr>
              <w:t>de Solos com Potencial Agrícola</w:t>
            </w:r>
          </w:p>
        </w:tc>
      </w:tr>
      <w:tr w:rsidR="00C0775B" w:rsidRPr="008A7364" w:rsidTr="00FE3E05">
        <w:trPr>
          <w:trHeight w:hRule="exact" w:val="625"/>
        </w:trPr>
        <w:tc>
          <w:tcPr>
            <w:tcW w:w="188" w:type="pct"/>
            <w:shd w:val="clear" w:color="auto" w:fill="auto"/>
            <w:vAlign w:val="center"/>
          </w:tcPr>
          <w:p w:rsidR="00C0775B" w:rsidRPr="008A7364" w:rsidRDefault="00C0775B" w:rsidP="00567E61">
            <w:pPr>
              <w:spacing w:line="240" w:lineRule="auto"/>
              <w:jc w:val="left"/>
              <w:rPr>
                <w:rFonts w:cs="Arial"/>
                <w:sz w:val="16"/>
                <w:szCs w:val="16"/>
              </w:rPr>
            </w:pPr>
            <w:r w:rsidRPr="008A7364">
              <w:rPr>
                <w:rFonts w:cs="Arial"/>
                <w:sz w:val="16"/>
                <w:szCs w:val="16"/>
              </w:rPr>
              <w:t>17</w:t>
            </w:r>
          </w:p>
        </w:tc>
        <w:tc>
          <w:tcPr>
            <w:tcW w:w="249" w:type="pct"/>
            <w:vMerge/>
            <w:shd w:val="clear" w:color="auto" w:fill="auto"/>
            <w:textDirection w:val="btLr"/>
            <w:vAlign w:val="center"/>
          </w:tcPr>
          <w:p w:rsidR="00C0775B" w:rsidRPr="008A7364" w:rsidRDefault="00C0775B" w:rsidP="00EE4A61">
            <w:pPr>
              <w:spacing w:line="240" w:lineRule="auto"/>
              <w:ind w:left="113" w:right="113"/>
              <w:jc w:val="center"/>
              <w:rPr>
                <w:rFonts w:cs="Arial"/>
                <w:sz w:val="16"/>
                <w:szCs w:val="16"/>
              </w:rPr>
            </w:pPr>
          </w:p>
        </w:tc>
        <w:tc>
          <w:tcPr>
            <w:tcW w:w="894" w:type="pct"/>
            <w:shd w:val="clear" w:color="auto" w:fill="auto"/>
            <w:vAlign w:val="center"/>
          </w:tcPr>
          <w:p w:rsidR="00C0775B" w:rsidRPr="008A7364" w:rsidRDefault="00C0775B" w:rsidP="007A3613">
            <w:pPr>
              <w:spacing w:line="240" w:lineRule="auto"/>
              <w:rPr>
                <w:sz w:val="16"/>
                <w:szCs w:val="16"/>
              </w:rPr>
            </w:pPr>
            <w:r w:rsidRPr="008A7364">
              <w:rPr>
                <w:sz w:val="16"/>
                <w:szCs w:val="16"/>
              </w:rPr>
              <w:t xml:space="preserve">Perda </w:t>
            </w:r>
            <w:r>
              <w:rPr>
                <w:sz w:val="16"/>
                <w:szCs w:val="16"/>
              </w:rPr>
              <w:t xml:space="preserve">de Solos com Potencial Agrícola. Implantação </w:t>
            </w:r>
            <w:r w:rsidRPr="008A7364">
              <w:rPr>
                <w:sz w:val="16"/>
                <w:szCs w:val="16"/>
              </w:rPr>
              <w:t>(PEDREIRA)</w:t>
            </w:r>
          </w:p>
        </w:tc>
        <w:tc>
          <w:tcPr>
            <w:tcW w:w="335"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Local (ADA)</w:t>
            </w:r>
          </w:p>
        </w:tc>
        <w:tc>
          <w:tcPr>
            <w:tcW w:w="398"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C0775B" w:rsidRPr="00FE3E05" w:rsidRDefault="00C0775B" w:rsidP="008A7364">
            <w:pPr>
              <w:spacing w:line="240" w:lineRule="auto"/>
              <w:jc w:val="left"/>
              <w:rPr>
                <w:rFonts w:cs="Arial"/>
                <w:sz w:val="16"/>
                <w:szCs w:val="16"/>
              </w:rPr>
            </w:pPr>
            <w:r w:rsidRPr="00FE3E05">
              <w:rPr>
                <w:rFonts w:cs="Arial"/>
                <w:sz w:val="16"/>
                <w:szCs w:val="16"/>
              </w:rPr>
              <w:t>Certa</w:t>
            </w:r>
          </w:p>
        </w:tc>
        <w:tc>
          <w:tcPr>
            <w:tcW w:w="409" w:type="pct"/>
            <w:shd w:val="clear" w:color="auto" w:fill="auto"/>
            <w:vAlign w:val="center"/>
          </w:tcPr>
          <w:p w:rsidR="00C0775B" w:rsidRPr="008A7364" w:rsidRDefault="00C0775B" w:rsidP="008A7364">
            <w:pPr>
              <w:spacing w:before="120" w:after="120"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C0775B" w:rsidRPr="008A7364" w:rsidRDefault="00C0775B" w:rsidP="008A7364">
            <w:pPr>
              <w:spacing w:before="120" w:after="120"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C0775B" w:rsidRPr="008A7364" w:rsidRDefault="00C0775B" w:rsidP="008A7364">
            <w:pPr>
              <w:spacing w:before="120" w:after="120"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C0775B" w:rsidRPr="008A7364" w:rsidRDefault="00C0775B" w:rsidP="008A7364">
            <w:pPr>
              <w:spacing w:before="120" w:after="120"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C0775B" w:rsidRPr="008A7364" w:rsidRDefault="00C0775B" w:rsidP="008A7364">
            <w:pPr>
              <w:spacing w:before="120" w:after="120" w:line="240" w:lineRule="auto"/>
              <w:jc w:val="left"/>
              <w:rPr>
                <w:rFonts w:cs="Arial"/>
                <w:sz w:val="16"/>
                <w:szCs w:val="16"/>
              </w:rPr>
            </w:pPr>
            <w:r w:rsidRPr="008A7364">
              <w:rPr>
                <w:rFonts w:cs="Arial"/>
                <w:sz w:val="16"/>
                <w:szCs w:val="16"/>
              </w:rPr>
              <w:t>Não Mitigável</w:t>
            </w:r>
          </w:p>
        </w:tc>
      </w:tr>
      <w:tr w:rsidR="00C0775B" w:rsidRPr="008A7364" w:rsidTr="00FE3E05">
        <w:trPr>
          <w:trHeight w:hRule="exact" w:val="664"/>
        </w:trPr>
        <w:tc>
          <w:tcPr>
            <w:tcW w:w="188" w:type="pct"/>
            <w:shd w:val="clear" w:color="auto" w:fill="auto"/>
            <w:vAlign w:val="center"/>
          </w:tcPr>
          <w:p w:rsidR="00C0775B" w:rsidRPr="008A7364" w:rsidRDefault="00C0775B" w:rsidP="00567E61">
            <w:pPr>
              <w:spacing w:line="240" w:lineRule="auto"/>
              <w:jc w:val="left"/>
              <w:rPr>
                <w:rFonts w:cs="Arial"/>
                <w:sz w:val="16"/>
                <w:szCs w:val="16"/>
              </w:rPr>
            </w:pPr>
            <w:r w:rsidRPr="008A7364">
              <w:rPr>
                <w:rFonts w:cs="Arial"/>
                <w:sz w:val="16"/>
                <w:szCs w:val="16"/>
              </w:rPr>
              <w:t>17</w:t>
            </w:r>
          </w:p>
        </w:tc>
        <w:tc>
          <w:tcPr>
            <w:tcW w:w="249" w:type="pct"/>
            <w:vMerge/>
            <w:shd w:val="clear" w:color="auto" w:fill="auto"/>
            <w:vAlign w:val="center"/>
          </w:tcPr>
          <w:p w:rsidR="00C0775B" w:rsidRPr="008A7364" w:rsidRDefault="00C0775B" w:rsidP="008A7364">
            <w:pPr>
              <w:spacing w:line="240" w:lineRule="auto"/>
              <w:jc w:val="left"/>
              <w:rPr>
                <w:rFonts w:cs="Arial"/>
                <w:sz w:val="16"/>
                <w:szCs w:val="16"/>
              </w:rPr>
            </w:pPr>
          </w:p>
        </w:tc>
        <w:tc>
          <w:tcPr>
            <w:tcW w:w="894" w:type="pct"/>
            <w:shd w:val="clear" w:color="auto" w:fill="auto"/>
            <w:vAlign w:val="center"/>
          </w:tcPr>
          <w:p w:rsidR="00C0775B" w:rsidRDefault="00C0775B" w:rsidP="007A3613">
            <w:pPr>
              <w:spacing w:before="20" w:after="20" w:line="240" w:lineRule="auto"/>
              <w:rPr>
                <w:sz w:val="16"/>
                <w:szCs w:val="16"/>
              </w:rPr>
            </w:pPr>
            <w:r w:rsidRPr="008A7364">
              <w:rPr>
                <w:sz w:val="16"/>
                <w:szCs w:val="16"/>
              </w:rPr>
              <w:t>Perda de Solos com Potencial Agrícola</w:t>
            </w:r>
            <w:r>
              <w:rPr>
                <w:sz w:val="16"/>
                <w:szCs w:val="16"/>
              </w:rPr>
              <w:t xml:space="preserve">. Implantação </w:t>
            </w:r>
          </w:p>
          <w:p w:rsidR="00C0775B" w:rsidRPr="008A7364" w:rsidRDefault="00C0775B" w:rsidP="007A3613">
            <w:pPr>
              <w:spacing w:before="20" w:after="20" w:line="240" w:lineRule="auto"/>
              <w:rPr>
                <w:sz w:val="16"/>
                <w:szCs w:val="16"/>
              </w:rPr>
            </w:pPr>
            <w:r w:rsidRPr="008A7364">
              <w:rPr>
                <w:sz w:val="16"/>
                <w:szCs w:val="16"/>
              </w:rPr>
              <w:t>(DUAS PONTES)</w:t>
            </w:r>
          </w:p>
        </w:tc>
        <w:tc>
          <w:tcPr>
            <w:tcW w:w="335"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Loca l(ADA)</w:t>
            </w:r>
          </w:p>
        </w:tc>
        <w:tc>
          <w:tcPr>
            <w:tcW w:w="398"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C0775B" w:rsidRPr="00FE3E05" w:rsidRDefault="00C0775B" w:rsidP="008A7364">
            <w:pPr>
              <w:spacing w:line="240" w:lineRule="auto"/>
              <w:jc w:val="left"/>
              <w:rPr>
                <w:rFonts w:cs="Arial"/>
                <w:sz w:val="16"/>
                <w:szCs w:val="16"/>
              </w:rPr>
            </w:pPr>
            <w:r w:rsidRPr="00FE3E05">
              <w:rPr>
                <w:rFonts w:cs="Arial"/>
                <w:sz w:val="16"/>
                <w:szCs w:val="16"/>
              </w:rPr>
              <w:t>Certa</w:t>
            </w:r>
          </w:p>
        </w:tc>
        <w:tc>
          <w:tcPr>
            <w:tcW w:w="409" w:type="pct"/>
            <w:shd w:val="clear" w:color="auto" w:fill="auto"/>
            <w:vAlign w:val="center"/>
          </w:tcPr>
          <w:p w:rsidR="00C0775B" w:rsidRPr="008A7364" w:rsidRDefault="00C0775B" w:rsidP="008A7364">
            <w:pPr>
              <w:spacing w:before="60"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C0775B" w:rsidRPr="008A7364" w:rsidRDefault="00C0775B" w:rsidP="008A7364">
            <w:pPr>
              <w:spacing w:before="60"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C0775B" w:rsidRPr="008A7364" w:rsidRDefault="00C0775B" w:rsidP="008A7364">
            <w:pPr>
              <w:spacing w:before="60"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C0775B" w:rsidRPr="008A7364" w:rsidRDefault="00C0775B" w:rsidP="008A7364">
            <w:pPr>
              <w:spacing w:before="60"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C0775B" w:rsidRPr="008A7364" w:rsidRDefault="00C0775B" w:rsidP="008A7364">
            <w:pPr>
              <w:spacing w:before="60" w:line="240" w:lineRule="auto"/>
              <w:jc w:val="left"/>
              <w:rPr>
                <w:rFonts w:cs="Arial"/>
                <w:sz w:val="16"/>
                <w:szCs w:val="16"/>
              </w:rPr>
            </w:pPr>
            <w:r w:rsidRPr="008A7364">
              <w:rPr>
                <w:rFonts w:cs="Arial"/>
                <w:sz w:val="16"/>
                <w:szCs w:val="16"/>
              </w:rPr>
              <w:t>Não Mitigável</w:t>
            </w:r>
          </w:p>
        </w:tc>
      </w:tr>
      <w:tr w:rsidR="00C0775B" w:rsidRPr="008A7364" w:rsidTr="003031D7">
        <w:trPr>
          <w:trHeight w:hRule="exact" w:val="633"/>
        </w:trPr>
        <w:tc>
          <w:tcPr>
            <w:tcW w:w="188" w:type="pct"/>
            <w:shd w:val="clear" w:color="auto" w:fill="auto"/>
            <w:vAlign w:val="center"/>
          </w:tcPr>
          <w:p w:rsidR="00C0775B" w:rsidRPr="008A7364" w:rsidRDefault="00C0775B" w:rsidP="00567E61">
            <w:pPr>
              <w:spacing w:line="240" w:lineRule="auto"/>
              <w:jc w:val="left"/>
              <w:rPr>
                <w:rFonts w:cs="Arial"/>
                <w:sz w:val="16"/>
                <w:szCs w:val="16"/>
              </w:rPr>
            </w:pPr>
            <w:r w:rsidRPr="008A7364">
              <w:rPr>
                <w:rFonts w:cs="Arial"/>
                <w:sz w:val="16"/>
                <w:szCs w:val="16"/>
              </w:rPr>
              <w:t>18</w:t>
            </w:r>
          </w:p>
        </w:tc>
        <w:tc>
          <w:tcPr>
            <w:tcW w:w="249" w:type="pct"/>
            <w:vMerge/>
            <w:shd w:val="clear" w:color="auto" w:fill="auto"/>
            <w:vAlign w:val="center"/>
          </w:tcPr>
          <w:p w:rsidR="00C0775B" w:rsidRPr="008A7364" w:rsidRDefault="00C0775B" w:rsidP="008A7364">
            <w:pPr>
              <w:spacing w:line="240" w:lineRule="auto"/>
              <w:jc w:val="left"/>
              <w:rPr>
                <w:rFonts w:cs="Arial"/>
                <w:sz w:val="16"/>
                <w:szCs w:val="16"/>
              </w:rPr>
            </w:pPr>
          </w:p>
        </w:tc>
        <w:tc>
          <w:tcPr>
            <w:tcW w:w="894" w:type="pct"/>
            <w:shd w:val="clear" w:color="auto" w:fill="auto"/>
            <w:vAlign w:val="center"/>
          </w:tcPr>
          <w:p w:rsidR="00C0775B" w:rsidRPr="008A7364" w:rsidRDefault="00C0775B" w:rsidP="007A3613">
            <w:pPr>
              <w:spacing w:line="240" w:lineRule="auto"/>
              <w:rPr>
                <w:sz w:val="16"/>
                <w:szCs w:val="16"/>
              </w:rPr>
            </w:pPr>
            <w:r w:rsidRPr="008A7364">
              <w:rPr>
                <w:sz w:val="16"/>
                <w:szCs w:val="16"/>
              </w:rPr>
              <w:t>Interferência e</w:t>
            </w:r>
            <w:r w:rsidR="00FE3E05">
              <w:rPr>
                <w:sz w:val="16"/>
                <w:szCs w:val="16"/>
              </w:rPr>
              <w:t>m Áreas de Pesquisas Minerárias. Implantação</w:t>
            </w:r>
          </w:p>
        </w:tc>
        <w:tc>
          <w:tcPr>
            <w:tcW w:w="335"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Local (ADA)</w:t>
            </w:r>
          </w:p>
        </w:tc>
        <w:tc>
          <w:tcPr>
            <w:tcW w:w="398"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C0775B" w:rsidRPr="00FE3E05" w:rsidRDefault="00C0775B" w:rsidP="008A7364">
            <w:pPr>
              <w:spacing w:line="240" w:lineRule="auto"/>
              <w:jc w:val="left"/>
              <w:rPr>
                <w:rFonts w:cs="Arial"/>
                <w:sz w:val="16"/>
                <w:szCs w:val="16"/>
              </w:rPr>
            </w:pPr>
            <w:r w:rsidRPr="00FE3E05">
              <w:rPr>
                <w:rFonts w:cs="Arial"/>
                <w:sz w:val="16"/>
                <w:szCs w:val="16"/>
              </w:rPr>
              <w:t>Certa</w:t>
            </w:r>
          </w:p>
        </w:tc>
        <w:tc>
          <w:tcPr>
            <w:tcW w:w="409"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Mitigável</w:t>
            </w:r>
          </w:p>
        </w:tc>
      </w:tr>
      <w:tr w:rsidR="00C0775B" w:rsidRPr="008A7364" w:rsidTr="00FE3E05">
        <w:trPr>
          <w:trHeight w:hRule="exact" w:val="636"/>
        </w:trPr>
        <w:tc>
          <w:tcPr>
            <w:tcW w:w="188"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19</w:t>
            </w:r>
          </w:p>
        </w:tc>
        <w:tc>
          <w:tcPr>
            <w:tcW w:w="249" w:type="pct"/>
            <w:vMerge/>
            <w:shd w:val="clear" w:color="auto" w:fill="auto"/>
            <w:vAlign w:val="center"/>
          </w:tcPr>
          <w:p w:rsidR="00C0775B" w:rsidRPr="008A7364" w:rsidRDefault="00C0775B" w:rsidP="008A7364">
            <w:pPr>
              <w:spacing w:line="240" w:lineRule="auto"/>
              <w:jc w:val="left"/>
              <w:rPr>
                <w:rFonts w:cs="Arial"/>
                <w:sz w:val="16"/>
                <w:szCs w:val="16"/>
              </w:rPr>
            </w:pPr>
          </w:p>
        </w:tc>
        <w:tc>
          <w:tcPr>
            <w:tcW w:w="894" w:type="pct"/>
            <w:shd w:val="clear" w:color="auto" w:fill="auto"/>
            <w:vAlign w:val="center"/>
          </w:tcPr>
          <w:p w:rsidR="00C0775B" w:rsidRPr="008A7364" w:rsidRDefault="00C0775B" w:rsidP="007A3613">
            <w:pPr>
              <w:spacing w:line="240" w:lineRule="auto"/>
              <w:rPr>
                <w:sz w:val="16"/>
                <w:szCs w:val="16"/>
              </w:rPr>
            </w:pPr>
            <w:r w:rsidRPr="008A7364">
              <w:rPr>
                <w:sz w:val="16"/>
                <w:szCs w:val="16"/>
              </w:rPr>
              <w:t>Alteração da Paisagem com a Formação do</w:t>
            </w:r>
            <w:r>
              <w:rPr>
                <w:sz w:val="16"/>
                <w:szCs w:val="16"/>
              </w:rPr>
              <w:t>s</w:t>
            </w:r>
            <w:r w:rsidRPr="008A7364">
              <w:rPr>
                <w:sz w:val="16"/>
                <w:szCs w:val="16"/>
              </w:rPr>
              <w:t xml:space="preserve"> Reservatório</w:t>
            </w:r>
            <w:r>
              <w:rPr>
                <w:sz w:val="16"/>
                <w:szCs w:val="16"/>
              </w:rPr>
              <w:t>s</w:t>
            </w:r>
            <w:r w:rsidR="00FE3E05">
              <w:rPr>
                <w:sz w:val="16"/>
                <w:szCs w:val="16"/>
              </w:rPr>
              <w:t>. Implantação</w:t>
            </w:r>
            <w:r w:rsidRPr="008A7364">
              <w:rPr>
                <w:sz w:val="16"/>
                <w:szCs w:val="16"/>
              </w:rPr>
              <w:t xml:space="preserve"> </w:t>
            </w:r>
          </w:p>
        </w:tc>
        <w:tc>
          <w:tcPr>
            <w:tcW w:w="335"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ADA e AID</w:t>
            </w:r>
          </w:p>
        </w:tc>
        <w:tc>
          <w:tcPr>
            <w:tcW w:w="398"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C0775B" w:rsidRPr="00FE3E05" w:rsidRDefault="00C0775B" w:rsidP="008A7364">
            <w:pPr>
              <w:spacing w:line="240" w:lineRule="auto"/>
              <w:jc w:val="left"/>
              <w:rPr>
                <w:rFonts w:cs="Arial"/>
                <w:sz w:val="16"/>
                <w:szCs w:val="16"/>
              </w:rPr>
            </w:pPr>
            <w:r w:rsidRPr="00FE3E05">
              <w:rPr>
                <w:rFonts w:cs="Arial"/>
                <w:sz w:val="16"/>
                <w:szCs w:val="16"/>
              </w:rPr>
              <w:t>Certa</w:t>
            </w:r>
          </w:p>
        </w:tc>
        <w:tc>
          <w:tcPr>
            <w:tcW w:w="409"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C0775B" w:rsidRPr="008A7364" w:rsidRDefault="00C0775B" w:rsidP="008A7364">
            <w:pPr>
              <w:spacing w:line="240" w:lineRule="auto"/>
              <w:jc w:val="left"/>
              <w:rPr>
                <w:rFonts w:cs="Arial"/>
                <w:sz w:val="16"/>
                <w:szCs w:val="16"/>
              </w:rPr>
            </w:pPr>
            <w:r w:rsidRPr="008A7364">
              <w:rPr>
                <w:rFonts w:cs="Arial"/>
                <w:sz w:val="16"/>
                <w:szCs w:val="16"/>
              </w:rPr>
              <w:t>Não Mitigável</w:t>
            </w:r>
          </w:p>
        </w:tc>
      </w:tr>
      <w:tr w:rsidR="00087C57" w:rsidRPr="008A7364" w:rsidTr="008464FB">
        <w:trPr>
          <w:cantSplit/>
          <w:trHeight w:hRule="exact" w:val="299"/>
        </w:trPr>
        <w:tc>
          <w:tcPr>
            <w:tcW w:w="188" w:type="pct"/>
            <w:shd w:val="clear" w:color="auto" w:fill="auto"/>
            <w:vAlign w:val="center"/>
          </w:tcPr>
          <w:p w:rsidR="00087C57" w:rsidRPr="008A7364" w:rsidRDefault="00087C57" w:rsidP="00597443">
            <w:pPr>
              <w:spacing w:line="240" w:lineRule="auto"/>
              <w:jc w:val="left"/>
              <w:rPr>
                <w:rFonts w:cs="Arial"/>
                <w:sz w:val="16"/>
                <w:szCs w:val="16"/>
              </w:rPr>
            </w:pPr>
            <w:r>
              <w:rPr>
                <w:rFonts w:cs="Arial"/>
                <w:sz w:val="16"/>
                <w:szCs w:val="16"/>
              </w:rPr>
              <w:t>20</w:t>
            </w:r>
          </w:p>
        </w:tc>
        <w:tc>
          <w:tcPr>
            <w:tcW w:w="249" w:type="pct"/>
            <w:vMerge w:val="restart"/>
            <w:shd w:val="clear" w:color="auto" w:fill="auto"/>
            <w:textDirection w:val="btLr"/>
            <w:vAlign w:val="center"/>
          </w:tcPr>
          <w:p w:rsidR="00087C57" w:rsidRPr="00BC7E61" w:rsidRDefault="00087C57" w:rsidP="00EE4A61">
            <w:pPr>
              <w:spacing w:line="240" w:lineRule="auto"/>
              <w:ind w:left="113" w:right="113"/>
              <w:jc w:val="center"/>
              <w:rPr>
                <w:rFonts w:cs="Arial"/>
                <w:b/>
                <w:szCs w:val="22"/>
              </w:rPr>
            </w:pPr>
            <w:r w:rsidRPr="00BC7E61">
              <w:rPr>
                <w:rFonts w:cs="Arial"/>
                <w:b/>
                <w:szCs w:val="22"/>
              </w:rPr>
              <w:t>Meio Biótico</w:t>
            </w:r>
          </w:p>
        </w:tc>
        <w:tc>
          <w:tcPr>
            <w:tcW w:w="4563" w:type="pct"/>
            <w:gridSpan w:val="11"/>
            <w:shd w:val="clear" w:color="auto" w:fill="auto"/>
            <w:vAlign w:val="center"/>
          </w:tcPr>
          <w:p w:rsidR="00087C57" w:rsidRPr="008A7364" w:rsidRDefault="00087C57" w:rsidP="007A3613">
            <w:pPr>
              <w:spacing w:line="240" w:lineRule="auto"/>
              <w:rPr>
                <w:rFonts w:cs="Arial"/>
                <w:sz w:val="16"/>
                <w:szCs w:val="16"/>
              </w:rPr>
            </w:pPr>
            <w:r w:rsidRPr="008A7364">
              <w:rPr>
                <w:sz w:val="16"/>
                <w:szCs w:val="16"/>
              </w:rPr>
              <w:t>Pe</w:t>
            </w:r>
            <w:r>
              <w:rPr>
                <w:sz w:val="16"/>
                <w:szCs w:val="16"/>
              </w:rPr>
              <w:t>rda de Cobertura Vegetal Nativa.</w:t>
            </w:r>
          </w:p>
        </w:tc>
      </w:tr>
      <w:tr w:rsidR="00087C57" w:rsidRPr="008A7364" w:rsidTr="008464FB">
        <w:trPr>
          <w:cantSplit/>
          <w:trHeight w:hRule="exact" w:val="662"/>
        </w:trPr>
        <w:tc>
          <w:tcPr>
            <w:tcW w:w="188" w:type="pct"/>
            <w:shd w:val="clear" w:color="auto" w:fill="auto"/>
            <w:vAlign w:val="center"/>
          </w:tcPr>
          <w:p w:rsidR="00087C57" w:rsidRPr="008A7364" w:rsidRDefault="00087C57" w:rsidP="00597443">
            <w:pPr>
              <w:spacing w:line="240" w:lineRule="auto"/>
              <w:jc w:val="left"/>
              <w:rPr>
                <w:rFonts w:cs="Arial"/>
                <w:sz w:val="16"/>
                <w:szCs w:val="16"/>
              </w:rPr>
            </w:pPr>
            <w:r w:rsidRPr="008A7364">
              <w:rPr>
                <w:rFonts w:cs="Arial"/>
                <w:sz w:val="16"/>
                <w:szCs w:val="16"/>
              </w:rPr>
              <w:t>20</w:t>
            </w:r>
          </w:p>
        </w:tc>
        <w:tc>
          <w:tcPr>
            <w:tcW w:w="249" w:type="pct"/>
            <w:vMerge/>
            <w:shd w:val="clear" w:color="auto" w:fill="auto"/>
            <w:textDirection w:val="btLr"/>
            <w:vAlign w:val="center"/>
          </w:tcPr>
          <w:p w:rsidR="00087C57" w:rsidRPr="00BC7E61" w:rsidRDefault="00087C57" w:rsidP="00EE4A61">
            <w:pPr>
              <w:spacing w:line="240" w:lineRule="auto"/>
              <w:ind w:left="113" w:right="113"/>
              <w:jc w:val="center"/>
              <w:rPr>
                <w:rFonts w:cs="Arial"/>
                <w:sz w:val="16"/>
                <w:szCs w:val="16"/>
              </w:rPr>
            </w:pPr>
          </w:p>
        </w:tc>
        <w:tc>
          <w:tcPr>
            <w:tcW w:w="894" w:type="pct"/>
            <w:shd w:val="clear" w:color="auto" w:fill="auto"/>
            <w:vAlign w:val="center"/>
          </w:tcPr>
          <w:p w:rsidR="00087C57" w:rsidRPr="008A7364" w:rsidRDefault="00087C57" w:rsidP="007A3613">
            <w:pPr>
              <w:spacing w:line="240" w:lineRule="auto"/>
              <w:rPr>
                <w:sz w:val="16"/>
                <w:szCs w:val="16"/>
              </w:rPr>
            </w:pPr>
            <w:r w:rsidRPr="008A7364">
              <w:rPr>
                <w:sz w:val="16"/>
                <w:szCs w:val="16"/>
              </w:rPr>
              <w:t>Pe</w:t>
            </w:r>
            <w:r>
              <w:rPr>
                <w:sz w:val="16"/>
                <w:szCs w:val="16"/>
              </w:rPr>
              <w:t xml:space="preserve">rda de Cobertura Vegetal Nativa. Implantação </w:t>
            </w:r>
            <w:r w:rsidRPr="008A7364">
              <w:rPr>
                <w:sz w:val="16"/>
                <w:szCs w:val="16"/>
              </w:rPr>
              <w:t>(PEDREIRA)</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87C57" w:rsidRPr="00FE3E05" w:rsidRDefault="00087C57" w:rsidP="008A7364">
            <w:pPr>
              <w:spacing w:line="240" w:lineRule="auto"/>
              <w:jc w:val="left"/>
              <w:rPr>
                <w:rFonts w:cs="Arial"/>
                <w:sz w:val="16"/>
                <w:szCs w:val="16"/>
              </w:rPr>
            </w:pPr>
            <w:r w:rsidRPr="00FE3E05">
              <w:rPr>
                <w:rFonts w:cs="Arial"/>
                <w:sz w:val="16"/>
                <w:szCs w:val="16"/>
              </w:rPr>
              <w:t>Certa</w:t>
            </w:r>
          </w:p>
        </w:tc>
        <w:tc>
          <w:tcPr>
            <w:tcW w:w="40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Não Mitigável</w:t>
            </w:r>
          </w:p>
        </w:tc>
      </w:tr>
      <w:tr w:rsidR="00087C57" w:rsidRPr="008A7364" w:rsidTr="008464FB">
        <w:trPr>
          <w:cantSplit/>
          <w:trHeight w:hRule="exact" w:val="787"/>
        </w:trPr>
        <w:tc>
          <w:tcPr>
            <w:tcW w:w="188" w:type="pct"/>
            <w:shd w:val="clear" w:color="auto" w:fill="auto"/>
            <w:vAlign w:val="center"/>
          </w:tcPr>
          <w:p w:rsidR="00087C57" w:rsidRPr="008A7364" w:rsidRDefault="00087C57" w:rsidP="00597443">
            <w:pPr>
              <w:spacing w:line="240" w:lineRule="auto"/>
              <w:jc w:val="left"/>
              <w:rPr>
                <w:rFonts w:cs="Arial"/>
                <w:sz w:val="16"/>
                <w:szCs w:val="16"/>
              </w:rPr>
            </w:pPr>
            <w:r w:rsidRPr="008A7364">
              <w:rPr>
                <w:rFonts w:cs="Arial"/>
                <w:sz w:val="16"/>
                <w:szCs w:val="16"/>
              </w:rPr>
              <w:t>20</w:t>
            </w:r>
          </w:p>
        </w:tc>
        <w:tc>
          <w:tcPr>
            <w:tcW w:w="249" w:type="pct"/>
            <w:vMerge/>
            <w:shd w:val="clear" w:color="auto" w:fill="auto"/>
            <w:textDirection w:val="btLr"/>
            <w:vAlign w:val="center"/>
          </w:tcPr>
          <w:p w:rsidR="00087C57" w:rsidRPr="008A7364" w:rsidRDefault="00087C57" w:rsidP="008A7364">
            <w:pPr>
              <w:spacing w:line="240" w:lineRule="auto"/>
              <w:ind w:left="113" w:right="113"/>
              <w:jc w:val="left"/>
              <w:rPr>
                <w:rFonts w:cs="Arial"/>
                <w:sz w:val="16"/>
                <w:szCs w:val="16"/>
              </w:rPr>
            </w:pPr>
          </w:p>
        </w:tc>
        <w:tc>
          <w:tcPr>
            <w:tcW w:w="894" w:type="pct"/>
            <w:shd w:val="clear" w:color="auto" w:fill="auto"/>
            <w:vAlign w:val="center"/>
          </w:tcPr>
          <w:p w:rsidR="00087C57" w:rsidRDefault="00087C57" w:rsidP="007A3613">
            <w:pPr>
              <w:spacing w:before="20" w:after="20" w:line="240" w:lineRule="auto"/>
              <w:rPr>
                <w:sz w:val="16"/>
                <w:szCs w:val="16"/>
              </w:rPr>
            </w:pPr>
            <w:r w:rsidRPr="008A7364">
              <w:rPr>
                <w:sz w:val="16"/>
                <w:szCs w:val="16"/>
              </w:rPr>
              <w:t>Perda de Cobertura Vegetal Nativa</w:t>
            </w:r>
            <w:r>
              <w:rPr>
                <w:sz w:val="16"/>
                <w:szCs w:val="16"/>
              </w:rPr>
              <w:t>. Implantação.</w:t>
            </w:r>
          </w:p>
          <w:p w:rsidR="00087C57" w:rsidRPr="008A7364" w:rsidRDefault="00087C57" w:rsidP="007A3613">
            <w:pPr>
              <w:spacing w:before="20" w:after="20" w:line="240" w:lineRule="auto"/>
              <w:rPr>
                <w:sz w:val="16"/>
                <w:szCs w:val="16"/>
              </w:rPr>
            </w:pPr>
            <w:r w:rsidRPr="008A7364">
              <w:rPr>
                <w:sz w:val="16"/>
                <w:szCs w:val="16"/>
              </w:rPr>
              <w:t xml:space="preserve"> (DUAS PONTES)</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Positiva</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87C57" w:rsidRPr="00FE3E05" w:rsidRDefault="00087C57" w:rsidP="008A7364">
            <w:pPr>
              <w:spacing w:line="240" w:lineRule="auto"/>
              <w:jc w:val="left"/>
              <w:rPr>
                <w:rFonts w:cs="Arial"/>
                <w:sz w:val="16"/>
                <w:szCs w:val="16"/>
              </w:rPr>
            </w:pPr>
            <w:r w:rsidRPr="00FE3E05">
              <w:rPr>
                <w:rFonts w:cs="Arial"/>
                <w:sz w:val="16"/>
                <w:szCs w:val="16"/>
              </w:rPr>
              <w:t>Certa</w:t>
            </w:r>
          </w:p>
        </w:tc>
        <w:tc>
          <w:tcPr>
            <w:tcW w:w="40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Grande</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Não Mitigável</w:t>
            </w:r>
          </w:p>
        </w:tc>
      </w:tr>
      <w:tr w:rsidR="00087C57" w:rsidRPr="008A7364" w:rsidTr="008464FB">
        <w:trPr>
          <w:cantSplit/>
          <w:trHeight w:hRule="exact" w:val="240"/>
        </w:trPr>
        <w:tc>
          <w:tcPr>
            <w:tcW w:w="188" w:type="pct"/>
            <w:shd w:val="clear" w:color="auto" w:fill="auto"/>
            <w:vAlign w:val="center"/>
          </w:tcPr>
          <w:p w:rsidR="00087C57" w:rsidRPr="008A7364" w:rsidRDefault="00087C57" w:rsidP="00597443">
            <w:pPr>
              <w:spacing w:line="240" w:lineRule="auto"/>
              <w:jc w:val="left"/>
              <w:rPr>
                <w:rFonts w:cs="Arial"/>
                <w:sz w:val="16"/>
                <w:szCs w:val="16"/>
              </w:rPr>
            </w:pPr>
            <w:r>
              <w:rPr>
                <w:rFonts w:cs="Arial"/>
                <w:sz w:val="16"/>
                <w:szCs w:val="16"/>
              </w:rPr>
              <w:t>21</w:t>
            </w:r>
          </w:p>
        </w:tc>
        <w:tc>
          <w:tcPr>
            <w:tcW w:w="249" w:type="pct"/>
            <w:vMerge/>
            <w:shd w:val="clear" w:color="auto" w:fill="auto"/>
            <w:textDirection w:val="btLr"/>
            <w:vAlign w:val="center"/>
          </w:tcPr>
          <w:p w:rsidR="00087C57" w:rsidRPr="008A7364" w:rsidRDefault="00087C57" w:rsidP="008A7364">
            <w:pPr>
              <w:spacing w:line="240" w:lineRule="auto"/>
              <w:ind w:left="113" w:right="113"/>
              <w:jc w:val="left"/>
              <w:rPr>
                <w:rFonts w:cs="Arial"/>
                <w:sz w:val="16"/>
                <w:szCs w:val="16"/>
              </w:rPr>
            </w:pPr>
          </w:p>
        </w:tc>
        <w:tc>
          <w:tcPr>
            <w:tcW w:w="4563" w:type="pct"/>
            <w:gridSpan w:val="11"/>
            <w:shd w:val="clear" w:color="auto" w:fill="auto"/>
            <w:vAlign w:val="center"/>
          </w:tcPr>
          <w:p w:rsidR="00087C57" w:rsidRPr="008A7364" w:rsidRDefault="00087C57" w:rsidP="007A3613">
            <w:pPr>
              <w:spacing w:line="240" w:lineRule="auto"/>
              <w:rPr>
                <w:rFonts w:cs="Arial"/>
                <w:sz w:val="16"/>
                <w:szCs w:val="16"/>
              </w:rPr>
            </w:pPr>
            <w:r w:rsidRPr="008A7364">
              <w:rPr>
                <w:sz w:val="16"/>
                <w:szCs w:val="16"/>
              </w:rPr>
              <w:t>Perda de Hábitat para a Fauna Silvestre</w:t>
            </w:r>
          </w:p>
        </w:tc>
      </w:tr>
      <w:tr w:rsidR="00087C57" w:rsidRPr="008A7364" w:rsidTr="008464FB">
        <w:trPr>
          <w:cantSplit/>
          <w:trHeight w:hRule="exact" w:val="670"/>
        </w:trPr>
        <w:tc>
          <w:tcPr>
            <w:tcW w:w="188" w:type="pct"/>
            <w:shd w:val="clear" w:color="auto" w:fill="auto"/>
            <w:vAlign w:val="center"/>
          </w:tcPr>
          <w:p w:rsidR="00087C57" w:rsidRPr="008A7364" w:rsidRDefault="00087C57" w:rsidP="00597443">
            <w:pPr>
              <w:spacing w:line="240" w:lineRule="auto"/>
              <w:jc w:val="left"/>
              <w:rPr>
                <w:rFonts w:cs="Arial"/>
                <w:sz w:val="16"/>
                <w:szCs w:val="16"/>
              </w:rPr>
            </w:pPr>
            <w:r w:rsidRPr="008A7364">
              <w:rPr>
                <w:rFonts w:cs="Arial"/>
                <w:sz w:val="16"/>
                <w:szCs w:val="16"/>
              </w:rPr>
              <w:t>21</w:t>
            </w:r>
          </w:p>
        </w:tc>
        <w:tc>
          <w:tcPr>
            <w:tcW w:w="249" w:type="pct"/>
            <w:vMerge/>
            <w:shd w:val="clear" w:color="auto" w:fill="auto"/>
            <w:textDirection w:val="btLr"/>
            <w:vAlign w:val="center"/>
          </w:tcPr>
          <w:p w:rsidR="00087C57" w:rsidRPr="008A7364" w:rsidRDefault="00087C57" w:rsidP="008A7364">
            <w:pPr>
              <w:spacing w:line="240" w:lineRule="auto"/>
              <w:ind w:left="113" w:right="113"/>
              <w:jc w:val="left"/>
              <w:rPr>
                <w:rFonts w:cs="Arial"/>
                <w:sz w:val="16"/>
                <w:szCs w:val="16"/>
              </w:rPr>
            </w:pPr>
          </w:p>
        </w:tc>
        <w:tc>
          <w:tcPr>
            <w:tcW w:w="894" w:type="pct"/>
            <w:shd w:val="clear" w:color="auto" w:fill="auto"/>
            <w:vAlign w:val="center"/>
          </w:tcPr>
          <w:p w:rsidR="00087C57" w:rsidRPr="008A7364" w:rsidRDefault="00087C57" w:rsidP="007A3613">
            <w:pPr>
              <w:spacing w:line="240" w:lineRule="auto"/>
              <w:rPr>
                <w:sz w:val="16"/>
                <w:szCs w:val="16"/>
              </w:rPr>
            </w:pPr>
            <w:r w:rsidRPr="008A7364">
              <w:rPr>
                <w:sz w:val="16"/>
                <w:szCs w:val="16"/>
              </w:rPr>
              <w:t>Perda de Hábitat para a Fauna Silvestre</w:t>
            </w:r>
            <w:r>
              <w:rPr>
                <w:sz w:val="16"/>
                <w:szCs w:val="16"/>
              </w:rPr>
              <w:t>. Implantação</w:t>
            </w:r>
            <w:r w:rsidRPr="008A7364">
              <w:rPr>
                <w:sz w:val="16"/>
                <w:szCs w:val="16"/>
              </w:rPr>
              <w:t xml:space="preserve"> (PEDREIRA)</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87C57" w:rsidRPr="00FE3E05" w:rsidRDefault="00087C57" w:rsidP="008A7364">
            <w:pPr>
              <w:spacing w:line="240" w:lineRule="auto"/>
              <w:jc w:val="left"/>
              <w:rPr>
                <w:rFonts w:cs="Arial"/>
                <w:sz w:val="16"/>
                <w:szCs w:val="16"/>
              </w:rPr>
            </w:pPr>
            <w:r w:rsidRPr="00FE3E05">
              <w:rPr>
                <w:rFonts w:cs="Arial"/>
                <w:sz w:val="16"/>
                <w:szCs w:val="16"/>
              </w:rPr>
              <w:t>Certa</w:t>
            </w:r>
          </w:p>
        </w:tc>
        <w:tc>
          <w:tcPr>
            <w:tcW w:w="40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Não Mitigável</w:t>
            </w:r>
          </w:p>
        </w:tc>
      </w:tr>
      <w:tr w:rsidR="00087C57" w:rsidRPr="008A7364" w:rsidTr="008464FB">
        <w:trPr>
          <w:cantSplit/>
          <w:trHeight w:hRule="exact" w:val="720"/>
        </w:trPr>
        <w:tc>
          <w:tcPr>
            <w:tcW w:w="188" w:type="pct"/>
            <w:shd w:val="clear" w:color="auto" w:fill="auto"/>
            <w:vAlign w:val="center"/>
          </w:tcPr>
          <w:p w:rsidR="00087C57" w:rsidRPr="008A7364" w:rsidRDefault="00087C57" w:rsidP="00597443">
            <w:pPr>
              <w:spacing w:line="240" w:lineRule="auto"/>
              <w:jc w:val="left"/>
              <w:rPr>
                <w:rFonts w:cs="Arial"/>
                <w:sz w:val="16"/>
                <w:szCs w:val="16"/>
              </w:rPr>
            </w:pPr>
            <w:r w:rsidRPr="008A7364">
              <w:rPr>
                <w:rFonts w:cs="Arial"/>
                <w:sz w:val="16"/>
                <w:szCs w:val="16"/>
              </w:rPr>
              <w:t>21</w:t>
            </w:r>
          </w:p>
        </w:tc>
        <w:tc>
          <w:tcPr>
            <w:tcW w:w="249" w:type="pct"/>
            <w:vMerge/>
            <w:shd w:val="clear" w:color="auto" w:fill="auto"/>
            <w:textDirection w:val="btLr"/>
            <w:vAlign w:val="center"/>
          </w:tcPr>
          <w:p w:rsidR="00087C57" w:rsidRPr="008A7364" w:rsidRDefault="00087C57" w:rsidP="008A7364">
            <w:pPr>
              <w:spacing w:line="240" w:lineRule="auto"/>
              <w:ind w:left="113" w:right="113"/>
              <w:jc w:val="left"/>
              <w:rPr>
                <w:rFonts w:cs="Arial"/>
                <w:sz w:val="16"/>
                <w:szCs w:val="16"/>
              </w:rPr>
            </w:pPr>
          </w:p>
        </w:tc>
        <w:tc>
          <w:tcPr>
            <w:tcW w:w="894" w:type="pct"/>
            <w:shd w:val="clear" w:color="auto" w:fill="auto"/>
            <w:vAlign w:val="center"/>
          </w:tcPr>
          <w:p w:rsidR="00087C57" w:rsidRPr="008A7364" w:rsidRDefault="00087C57" w:rsidP="007A3613">
            <w:pPr>
              <w:spacing w:line="240" w:lineRule="auto"/>
              <w:rPr>
                <w:sz w:val="16"/>
                <w:szCs w:val="16"/>
              </w:rPr>
            </w:pPr>
            <w:r w:rsidRPr="008A7364">
              <w:rPr>
                <w:sz w:val="16"/>
                <w:szCs w:val="16"/>
              </w:rPr>
              <w:t>Perda de Hábitat para a Fauna Silvestre</w:t>
            </w:r>
            <w:r>
              <w:rPr>
                <w:sz w:val="16"/>
                <w:szCs w:val="16"/>
              </w:rPr>
              <w:t>. Implantação</w:t>
            </w:r>
            <w:r w:rsidRPr="008A7364">
              <w:rPr>
                <w:sz w:val="16"/>
                <w:szCs w:val="16"/>
              </w:rPr>
              <w:t xml:space="preserve"> (DUAS PONTES)</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Grande</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Não Mitigável</w:t>
            </w:r>
          </w:p>
        </w:tc>
      </w:tr>
    </w:tbl>
    <w:p w:rsidR="00B42047" w:rsidRDefault="00B42047">
      <w:r>
        <w:br w:type="page"/>
      </w:r>
    </w:p>
    <w:p w:rsidR="002E29E3" w:rsidRDefault="002E29E3" w:rsidP="002E29E3">
      <w:r>
        <w:t>(continuação)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722"/>
        <w:gridCol w:w="2593"/>
        <w:gridCol w:w="972"/>
        <w:gridCol w:w="772"/>
        <w:gridCol w:w="1302"/>
        <w:gridCol w:w="1155"/>
        <w:gridCol w:w="867"/>
        <w:gridCol w:w="1186"/>
        <w:gridCol w:w="1131"/>
        <w:gridCol w:w="1111"/>
        <w:gridCol w:w="995"/>
        <w:gridCol w:w="1152"/>
      </w:tblGrid>
      <w:tr w:rsidR="00D76ECF" w:rsidRPr="008A7364" w:rsidTr="00C55FEC">
        <w:trPr>
          <w:trHeight w:val="336"/>
          <w:tblHeader/>
        </w:trPr>
        <w:tc>
          <w:tcPr>
            <w:tcW w:w="188" w:type="pct"/>
            <w:vMerge w:val="restart"/>
            <w:shd w:val="clear" w:color="auto" w:fill="D9D9D9"/>
            <w:vAlign w:val="center"/>
          </w:tcPr>
          <w:p w:rsidR="00D76ECF" w:rsidRPr="008A7364" w:rsidRDefault="00D76ECF" w:rsidP="00C55FEC">
            <w:pPr>
              <w:spacing w:before="120" w:after="120" w:line="240" w:lineRule="auto"/>
              <w:jc w:val="center"/>
              <w:rPr>
                <w:rFonts w:cs="Arial"/>
                <w:b/>
                <w:sz w:val="18"/>
                <w:szCs w:val="18"/>
              </w:rPr>
            </w:pPr>
            <w:r w:rsidRPr="008A7364">
              <w:rPr>
                <w:rFonts w:cs="Arial"/>
                <w:b/>
                <w:sz w:val="18"/>
                <w:szCs w:val="18"/>
              </w:rPr>
              <w:t>N°</w:t>
            </w:r>
          </w:p>
        </w:tc>
        <w:tc>
          <w:tcPr>
            <w:tcW w:w="249" w:type="pct"/>
            <w:vMerge w:val="restart"/>
            <w:shd w:val="clear" w:color="auto" w:fill="D9D9D9"/>
            <w:vAlign w:val="center"/>
          </w:tcPr>
          <w:p w:rsidR="00D76ECF" w:rsidRPr="008A7364" w:rsidRDefault="00D76ECF" w:rsidP="00C55FEC">
            <w:pPr>
              <w:spacing w:before="120" w:after="120" w:line="240" w:lineRule="auto"/>
              <w:rPr>
                <w:rFonts w:cs="Arial"/>
                <w:b/>
                <w:sz w:val="18"/>
                <w:szCs w:val="18"/>
              </w:rPr>
            </w:pPr>
            <w:r>
              <w:rPr>
                <w:rFonts w:cs="Arial"/>
                <w:b/>
                <w:sz w:val="18"/>
                <w:szCs w:val="18"/>
              </w:rPr>
              <w:t>MEIO</w:t>
            </w:r>
          </w:p>
        </w:tc>
        <w:tc>
          <w:tcPr>
            <w:tcW w:w="894" w:type="pct"/>
            <w:vMerge w:val="restart"/>
            <w:shd w:val="clear" w:color="auto" w:fill="D9D9D9"/>
            <w:vAlign w:val="center"/>
          </w:tcPr>
          <w:p w:rsidR="00D76ECF" w:rsidRPr="008A7364" w:rsidRDefault="00D76ECF" w:rsidP="00C55FEC">
            <w:pPr>
              <w:spacing w:before="120" w:after="120" w:line="240" w:lineRule="auto"/>
              <w:jc w:val="center"/>
              <w:rPr>
                <w:rFonts w:cs="Arial"/>
                <w:b/>
                <w:sz w:val="18"/>
                <w:szCs w:val="18"/>
              </w:rPr>
            </w:pPr>
            <w:r w:rsidRPr="008A7364">
              <w:rPr>
                <w:rFonts w:cs="Arial"/>
                <w:b/>
                <w:sz w:val="18"/>
                <w:szCs w:val="18"/>
              </w:rPr>
              <w:t>IMPACTO</w:t>
            </w:r>
          </w:p>
        </w:tc>
        <w:tc>
          <w:tcPr>
            <w:tcW w:w="3669" w:type="pct"/>
            <w:gridSpan w:val="10"/>
            <w:shd w:val="clear" w:color="auto" w:fill="D9D9D9"/>
          </w:tcPr>
          <w:p w:rsidR="00D76ECF" w:rsidRPr="008A7364" w:rsidRDefault="00D76ECF" w:rsidP="00C55FEC">
            <w:pPr>
              <w:spacing w:before="60" w:after="40" w:line="240" w:lineRule="auto"/>
              <w:jc w:val="center"/>
              <w:rPr>
                <w:rFonts w:cs="Arial"/>
                <w:b/>
                <w:sz w:val="18"/>
                <w:szCs w:val="18"/>
              </w:rPr>
            </w:pPr>
            <w:r w:rsidRPr="008A7364">
              <w:rPr>
                <w:rFonts w:cs="Arial"/>
                <w:b/>
                <w:sz w:val="18"/>
                <w:szCs w:val="18"/>
              </w:rPr>
              <w:t>CARACTERIZAÇÃO</w:t>
            </w:r>
          </w:p>
        </w:tc>
      </w:tr>
      <w:tr w:rsidR="00D76ECF" w:rsidRPr="008A7364" w:rsidTr="00C55FEC">
        <w:trPr>
          <w:trHeight w:hRule="exact" w:val="340"/>
          <w:tblHeader/>
        </w:trPr>
        <w:tc>
          <w:tcPr>
            <w:tcW w:w="188" w:type="pct"/>
            <w:vMerge/>
            <w:shd w:val="clear" w:color="auto" w:fill="D9D9D9"/>
          </w:tcPr>
          <w:p w:rsidR="00D76ECF" w:rsidRPr="008A7364" w:rsidRDefault="00D76ECF" w:rsidP="00C55FEC">
            <w:pPr>
              <w:spacing w:before="120" w:after="120" w:line="240" w:lineRule="auto"/>
              <w:jc w:val="center"/>
              <w:rPr>
                <w:rFonts w:cs="Arial"/>
                <w:b/>
                <w:sz w:val="18"/>
                <w:szCs w:val="18"/>
              </w:rPr>
            </w:pPr>
          </w:p>
        </w:tc>
        <w:tc>
          <w:tcPr>
            <w:tcW w:w="249" w:type="pct"/>
            <w:vMerge/>
            <w:shd w:val="clear" w:color="auto" w:fill="D9D9D9"/>
          </w:tcPr>
          <w:p w:rsidR="00D76ECF" w:rsidRPr="008A7364" w:rsidRDefault="00D76ECF" w:rsidP="00C55FEC">
            <w:pPr>
              <w:spacing w:before="120" w:after="120" w:line="240" w:lineRule="auto"/>
              <w:jc w:val="center"/>
              <w:rPr>
                <w:rFonts w:cs="Arial"/>
                <w:b/>
                <w:sz w:val="18"/>
                <w:szCs w:val="18"/>
              </w:rPr>
            </w:pPr>
          </w:p>
        </w:tc>
        <w:tc>
          <w:tcPr>
            <w:tcW w:w="894" w:type="pct"/>
            <w:vMerge/>
            <w:shd w:val="clear" w:color="auto" w:fill="D9D9D9"/>
          </w:tcPr>
          <w:p w:rsidR="00D76ECF" w:rsidRPr="008A7364" w:rsidRDefault="00D76ECF" w:rsidP="00C55FEC">
            <w:pPr>
              <w:spacing w:before="120" w:after="120" w:line="240" w:lineRule="auto"/>
              <w:jc w:val="center"/>
              <w:rPr>
                <w:rFonts w:cs="Arial"/>
                <w:b/>
                <w:sz w:val="18"/>
                <w:szCs w:val="18"/>
              </w:rPr>
            </w:pPr>
          </w:p>
        </w:tc>
        <w:tc>
          <w:tcPr>
            <w:tcW w:w="2546" w:type="pct"/>
            <w:gridSpan w:val="7"/>
            <w:shd w:val="clear" w:color="auto" w:fill="D9D9D9"/>
            <w:vAlign w:val="center"/>
          </w:tcPr>
          <w:p w:rsidR="00D76ECF" w:rsidRPr="008A7364" w:rsidRDefault="00D76ECF" w:rsidP="00C55FEC">
            <w:pPr>
              <w:spacing w:before="120" w:after="120" w:line="240" w:lineRule="auto"/>
              <w:jc w:val="center"/>
              <w:rPr>
                <w:rFonts w:cs="Arial"/>
                <w:b/>
                <w:sz w:val="16"/>
                <w:szCs w:val="16"/>
              </w:rPr>
            </w:pPr>
            <w:r w:rsidRPr="008A7364">
              <w:rPr>
                <w:rFonts w:cs="Arial"/>
                <w:b/>
                <w:sz w:val="16"/>
                <w:szCs w:val="16"/>
              </w:rPr>
              <w:t>Classificação</w:t>
            </w:r>
          </w:p>
        </w:tc>
        <w:tc>
          <w:tcPr>
            <w:tcW w:w="726" w:type="pct"/>
            <w:gridSpan w:val="2"/>
            <w:shd w:val="clear" w:color="auto" w:fill="D9D9D9"/>
            <w:vAlign w:val="center"/>
          </w:tcPr>
          <w:p w:rsidR="00D76ECF" w:rsidRPr="008A7364" w:rsidRDefault="00D76ECF" w:rsidP="00C55FEC">
            <w:pPr>
              <w:spacing w:before="120" w:after="120" w:line="240" w:lineRule="auto"/>
              <w:jc w:val="center"/>
              <w:rPr>
                <w:rFonts w:cs="Arial"/>
                <w:b/>
                <w:sz w:val="16"/>
                <w:szCs w:val="16"/>
              </w:rPr>
            </w:pPr>
            <w:r w:rsidRPr="008A7364">
              <w:rPr>
                <w:rFonts w:cs="Arial"/>
                <w:b/>
                <w:sz w:val="16"/>
                <w:szCs w:val="16"/>
              </w:rPr>
              <w:t>Mensuração</w:t>
            </w:r>
          </w:p>
        </w:tc>
        <w:tc>
          <w:tcPr>
            <w:tcW w:w="397" w:type="pct"/>
            <w:vMerge w:val="restart"/>
            <w:shd w:val="clear" w:color="auto" w:fill="D9D9D9"/>
            <w:vAlign w:val="center"/>
          </w:tcPr>
          <w:p w:rsidR="00D76ECF" w:rsidRPr="008A7364" w:rsidRDefault="00D76ECF" w:rsidP="00C55FEC">
            <w:pPr>
              <w:spacing w:before="120" w:after="120" w:line="240" w:lineRule="auto"/>
              <w:jc w:val="center"/>
              <w:rPr>
                <w:rFonts w:cs="Arial"/>
                <w:b/>
                <w:sz w:val="16"/>
                <w:szCs w:val="16"/>
              </w:rPr>
            </w:pPr>
            <w:r w:rsidRPr="008A7364">
              <w:rPr>
                <w:rFonts w:cs="Arial"/>
                <w:b/>
                <w:sz w:val="16"/>
                <w:szCs w:val="16"/>
              </w:rPr>
              <w:t>Mitigação</w:t>
            </w:r>
          </w:p>
        </w:tc>
      </w:tr>
      <w:tr w:rsidR="00D76ECF" w:rsidRPr="008A7364" w:rsidTr="00C55FEC">
        <w:trPr>
          <w:trHeight w:val="447"/>
          <w:tblHeader/>
        </w:trPr>
        <w:tc>
          <w:tcPr>
            <w:tcW w:w="188" w:type="pct"/>
            <w:vMerge/>
            <w:shd w:val="clear" w:color="auto" w:fill="auto"/>
          </w:tcPr>
          <w:p w:rsidR="00D76ECF" w:rsidRPr="008A7364" w:rsidRDefault="00D76ECF" w:rsidP="00C55FEC">
            <w:pPr>
              <w:spacing w:before="120" w:after="120" w:line="240" w:lineRule="auto"/>
              <w:jc w:val="center"/>
              <w:rPr>
                <w:rFonts w:cs="Arial"/>
                <w:b/>
              </w:rPr>
            </w:pPr>
          </w:p>
        </w:tc>
        <w:tc>
          <w:tcPr>
            <w:tcW w:w="249" w:type="pct"/>
            <w:vMerge/>
            <w:shd w:val="clear" w:color="auto" w:fill="D9D9D9"/>
          </w:tcPr>
          <w:p w:rsidR="00D76ECF" w:rsidRPr="008A7364" w:rsidRDefault="00D76ECF" w:rsidP="00C55FEC">
            <w:pPr>
              <w:spacing w:before="120" w:after="120" w:line="240" w:lineRule="auto"/>
              <w:jc w:val="center"/>
              <w:rPr>
                <w:rFonts w:cs="Arial"/>
                <w:b/>
              </w:rPr>
            </w:pPr>
          </w:p>
        </w:tc>
        <w:tc>
          <w:tcPr>
            <w:tcW w:w="894" w:type="pct"/>
            <w:vMerge/>
            <w:shd w:val="clear" w:color="auto" w:fill="auto"/>
          </w:tcPr>
          <w:p w:rsidR="00D76ECF" w:rsidRPr="008A7364" w:rsidRDefault="00D76ECF" w:rsidP="00C55FEC">
            <w:pPr>
              <w:spacing w:before="120" w:after="120" w:line="240" w:lineRule="auto"/>
              <w:jc w:val="center"/>
              <w:rPr>
                <w:rFonts w:cs="Arial"/>
                <w:b/>
                <w:sz w:val="20"/>
              </w:rPr>
            </w:pPr>
          </w:p>
        </w:tc>
        <w:tc>
          <w:tcPr>
            <w:tcW w:w="335" w:type="pct"/>
            <w:shd w:val="clear" w:color="auto" w:fill="D9D9D9"/>
            <w:vAlign w:val="center"/>
          </w:tcPr>
          <w:p w:rsidR="00D76ECF" w:rsidRPr="008A7364" w:rsidRDefault="00D76ECF" w:rsidP="00C55FEC">
            <w:pPr>
              <w:spacing w:before="120" w:after="120" w:line="240" w:lineRule="auto"/>
              <w:jc w:val="center"/>
              <w:rPr>
                <w:rFonts w:cs="Arial"/>
                <w:b/>
                <w:sz w:val="16"/>
                <w:szCs w:val="16"/>
              </w:rPr>
            </w:pPr>
            <w:r w:rsidRPr="008A7364">
              <w:rPr>
                <w:rFonts w:cs="Arial"/>
                <w:b/>
                <w:sz w:val="16"/>
                <w:szCs w:val="16"/>
              </w:rPr>
              <w:t>Natureza</w:t>
            </w:r>
          </w:p>
        </w:tc>
        <w:tc>
          <w:tcPr>
            <w:tcW w:w="266" w:type="pct"/>
            <w:shd w:val="clear" w:color="auto" w:fill="D9D9D9"/>
            <w:vAlign w:val="center"/>
          </w:tcPr>
          <w:p w:rsidR="00D76ECF" w:rsidRPr="008A7364" w:rsidRDefault="00D76ECF" w:rsidP="00C55FEC">
            <w:pPr>
              <w:spacing w:before="120" w:after="120" w:line="240" w:lineRule="auto"/>
              <w:jc w:val="center"/>
              <w:rPr>
                <w:rFonts w:cs="Arial"/>
                <w:b/>
                <w:sz w:val="16"/>
                <w:szCs w:val="16"/>
              </w:rPr>
            </w:pPr>
            <w:r w:rsidRPr="008A7364">
              <w:rPr>
                <w:rFonts w:cs="Arial"/>
                <w:b/>
                <w:sz w:val="16"/>
                <w:szCs w:val="16"/>
              </w:rPr>
              <w:t>Ordem</w:t>
            </w:r>
          </w:p>
        </w:tc>
        <w:tc>
          <w:tcPr>
            <w:tcW w:w="449" w:type="pct"/>
            <w:shd w:val="clear" w:color="auto" w:fill="D9D9D9"/>
            <w:vAlign w:val="center"/>
          </w:tcPr>
          <w:p w:rsidR="00D76ECF" w:rsidRPr="008A7364" w:rsidRDefault="00D76ECF" w:rsidP="00C55FEC">
            <w:pPr>
              <w:spacing w:before="120" w:after="120" w:line="240" w:lineRule="auto"/>
              <w:jc w:val="center"/>
              <w:rPr>
                <w:rFonts w:cs="Arial"/>
                <w:b/>
                <w:sz w:val="16"/>
                <w:szCs w:val="16"/>
              </w:rPr>
            </w:pPr>
            <w:r w:rsidRPr="008A7364">
              <w:rPr>
                <w:rFonts w:cs="Arial"/>
                <w:b/>
                <w:sz w:val="16"/>
                <w:szCs w:val="16"/>
              </w:rPr>
              <w:t>Abrangência</w:t>
            </w:r>
          </w:p>
        </w:tc>
        <w:tc>
          <w:tcPr>
            <w:tcW w:w="398" w:type="pct"/>
            <w:shd w:val="clear" w:color="auto" w:fill="D9D9D9"/>
            <w:vAlign w:val="center"/>
          </w:tcPr>
          <w:p w:rsidR="00D76ECF" w:rsidRPr="008A7364" w:rsidRDefault="00D76ECF" w:rsidP="00C55FEC">
            <w:pPr>
              <w:spacing w:before="120" w:after="120" w:line="240" w:lineRule="auto"/>
              <w:jc w:val="center"/>
              <w:rPr>
                <w:rFonts w:cs="Arial"/>
                <w:b/>
                <w:sz w:val="16"/>
                <w:szCs w:val="16"/>
              </w:rPr>
            </w:pPr>
            <w:r w:rsidRPr="008A7364">
              <w:rPr>
                <w:rFonts w:cs="Arial"/>
                <w:b/>
                <w:sz w:val="16"/>
                <w:szCs w:val="16"/>
              </w:rPr>
              <w:t>Duração</w:t>
            </w:r>
          </w:p>
        </w:tc>
        <w:tc>
          <w:tcPr>
            <w:tcW w:w="299" w:type="pct"/>
            <w:shd w:val="clear" w:color="auto" w:fill="D9D9D9"/>
            <w:vAlign w:val="center"/>
          </w:tcPr>
          <w:p w:rsidR="00D76ECF" w:rsidRPr="008A7364" w:rsidRDefault="00D76ECF" w:rsidP="00C55FEC">
            <w:pPr>
              <w:spacing w:before="120" w:after="120" w:line="240" w:lineRule="auto"/>
              <w:jc w:val="center"/>
              <w:rPr>
                <w:rFonts w:cs="Arial"/>
                <w:b/>
                <w:sz w:val="16"/>
                <w:szCs w:val="16"/>
              </w:rPr>
            </w:pPr>
            <w:r w:rsidRPr="008A7364">
              <w:rPr>
                <w:rFonts w:cs="Arial"/>
                <w:b/>
                <w:sz w:val="16"/>
                <w:szCs w:val="16"/>
              </w:rPr>
              <w:t>Probabilidade</w:t>
            </w:r>
          </w:p>
        </w:tc>
        <w:tc>
          <w:tcPr>
            <w:tcW w:w="409" w:type="pct"/>
            <w:shd w:val="clear" w:color="auto" w:fill="D9D9D9"/>
            <w:vAlign w:val="center"/>
          </w:tcPr>
          <w:p w:rsidR="00D76ECF" w:rsidRPr="008A7364" w:rsidRDefault="00D76ECF" w:rsidP="00C55FEC">
            <w:pPr>
              <w:spacing w:before="120" w:after="120" w:line="240" w:lineRule="auto"/>
              <w:jc w:val="center"/>
              <w:rPr>
                <w:rFonts w:cs="Arial"/>
                <w:b/>
                <w:sz w:val="16"/>
                <w:szCs w:val="16"/>
              </w:rPr>
            </w:pPr>
            <w:r w:rsidRPr="008A7364">
              <w:rPr>
                <w:rFonts w:cs="Arial"/>
                <w:b/>
                <w:sz w:val="16"/>
                <w:szCs w:val="16"/>
              </w:rPr>
              <w:t>Época</w:t>
            </w:r>
          </w:p>
        </w:tc>
        <w:tc>
          <w:tcPr>
            <w:tcW w:w="390" w:type="pct"/>
            <w:shd w:val="clear" w:color="auto" w:fill="D9D9D9"/>
          </w:tcPr>
          <w:p w:rsidR="00D76ECF" w:rsidRPr="008A7364" w:rsidRDefault="00BC7E61" w:rsidP="00C55FEC">
            <w:pPr>
              <w:spacing w:before="120" w:after="120" w:line="240" w:lineRule="auto"/>
              <w:jc w:val="center"/>
              <w:rPr>
                <w:rFonts w:cs="Arial"/>
                <w:b/>
                <w:sz w:val="16"/>
                <w:szCs w:val="16"/>
              </w:rPr>
            </w:pPr>
            <w:r w:rsidRPr="008A7364">
              <w:rPr>
                <w:rFonts w:cs="Arial"/>
                <w:b/>
                <w:sz w:val="16"/>
                <w:szCs w:val="16"/>
              </w:rPr>
              <w:t>Reversibi</w:t>
            </w:r>
            <w:r w:rsidR="0053626B">
              <w:rPr>
                <w:rFonts w:cs="Arial"/>
                <w:b/>
                <w:sz w:val="16"/>
                <w:szCs w:val="16"/>
              </w:rPr>
              <w:t>-</w:t>
            </w:r>
            <w:r w:rsidRPr="008A7364">
              <w:rPr>
                <w:rFonts w:cs="Arial"/>
                <w:b/>
                <w:sz w:val="16"/>
                <w:szCs w:val="16"/>
              </w:rPr>
              <w:t>lidade</w:t>
            </w:r>
          </w:p>
        </w:tc>
        <w:tc>
          <w:tcPr>
            <w:tcW w:w="383" w:type="pct"/>
            <w:shd w:val="clear" w:color="auto" w:fill="D9D9D9"/>
            <w:vAlign w:val="center"/>
          </w:tcPr>
          <w:p w:rsidR="00D76ECF" w:rsidRPr="008A7364" w:rsidRDefault="00D76ECF" w:rsidP="00C55FEC">
            <w:pPr>
              <w:spacing w:before="120" w:after="120" w:line="240" w:lineRule="auto"/>
              <w:jc w:val="center"/>
              <w:rPr>
                <w:rFonts w:cs="Arial"/>
                <w:b/>
                <w:sz w:val="16"/>
                <w:szCs w:val="16"/>
              </w:rPr>
            </w:pPr>
            <w:r w:rsidRPr="008A7364">
              <w:rPr>
                <w:rFonts w:cs="Arial"/>
                <w:b/>
                <w:sz w:val="16"/>
                <w:szCs w:val="16"/>
              </w:rPr>
              <w:t>Magnitude</w:t>
            </w:r>
          </w:p>
        </w:tc>
        <w:tc>
          <w:tcPr>
            <w:tcW w:w="343" w:type="pct"/>
            <w:shd w:val="clear" w:color="auto" w:fill="D9D9D9"/>
            <w:vAlign w:val="center"/>
          </w:tcPr>
          <w:p w:rsidR="00D76ECF" w:rsidRPr="008A7364" w:rsidRDefault="00BC7E61" w:rsidP="00C55FEC">
            <w:pPr>
              <w:spacing w:before="120" w:after="120" w:line="240" w:lineRule="auto"/>
              <w:jc w:val="center"/>
              <w:rPr>
                <w:rFonts w:cs="Arial"/>
                <w:b/>
                <w:sz w:val="16"/>
                <w:szCs w:val="16"/>
              </w:rPr>
            </w:pPr>
            <w:r w:rsidRPr="008A7364">
              <w:rPr>
                <w:rFonts w:cs="Arial"/>
                <w:b/>
                <w:sz w:val="16"/>
                <w:szCs w:val="16"/>
              </w:rPr>
              <w:t>Impor</w:t>
            </w:r>
            <w:r w:rsidR="0053626B">
              <w:rPr>
                <w:rFonts w:cs="Arial"/>
                <w:b/>
                <w:sz w:val="16"/>
                <w:szCs w:val="16"/>
              </w:rPr>
              <w:t>-</w:t>
            </w:r>
            <w:r w:rsidRPr="008A7364">
              <w:rPr>
                <w:rFonts w:cs="Arial"/>
                <w:b/>
                <w:sz w:val="16"/>
                <w:szCs w:val="16"/>
              </w:rPr>
              <w:t>tância</w:t>
            </w:r>
          </w:p>
        </w:tc>
        <w:tc>
          <w:tcPr>
            <w:tcW w:w="397" w:type="pct"/>
            <w:vMerge/>
            <w:shd w:val="clear" w:color="auto" w:fill="auto"/>
          </w:tcPr>
          <w:p w:rsidR="00D76ECF" w:rsidRPr="008A7364" w:rsidRDefault="00D76ECF" w:rsidP="00C55FEC">
            <w:pPr>
              <w:spacing w:before="120" w:after="120" w:line="240" w:lineRule="auto"/>
              <w:jc w:val="center"/>
              <w:rPr>
                <w:rFonts w:cs="Arial"/>
                <w:b/>
                <w:sz w:val="16"/>
                <w:szCs w:val="16"/>
              </w:rPr>
            </w:pPr>
          </w:p>
        </w:tc>
      </w:tr>
      <w:tr w:rsidR="0009787E" w:rsidRPr="008A7364" w:rsidTr="008464FB">
        <w:trPr>
          <w:cantSplit/>
          <w:trHeight w:hRule="exact" w:val="324"/>
        </w:trPr>
        <w:tc>
          <w:tcPr>
            <w:tcW w:w="188" w:type="pct"/>
            <w:shd w:val="clear" w:color="auto" w:fill="auto"/>
            <w:vAlign w:val="center"/>
          </w:tcPr>
          <w:p w:rsidR="0009787E" w:rsidRPr="008A7364" w:rsidRDefault="0009787E" w:rsidP="00597443">
            <w:pPr>
              <w:spacing w:line="240" w:lineRule="auto"/>
              <w:jc w:val="left"/>
              <w:rPr>
                <w:rFonts w:cs="Arial"/>
                <w:sz w:val="16"/>
                <w:szCs w:val="16"/>
              </w:rPr>
            </w:pPr>
            <w:r>
              <w:rPr>
                <w:rFonts w:cs="Arial"/>
                <w:sz w:val="16"/>
                <w:szCs w:val="16"/>
              </w:rPr>
              <w:t>22</w:t>
            </w:r>
          </w:p>
        </w:tc>
        <w:tc>
          <w:tcPr>
            <w:tcW w:w="249" w:type="pct"/>
            <w:vMerge w:val="restart"/>
            <w:shd w:val="clear" w:color="auto" w:fill="auto"/>
            <w:textDirection w:val="btLr"/>
            <w:vAlign w:val="center"/>
          </w:tcPr>
          <w:p w:rsidR="0009787E" w:rsidRPr="00D76ECF" w:rsidRDefault="0009787E" w:rsidP="00D76ECF">
            <w:pPr>
              <w:spacing w:line="240" w:lineRule="auto"/>
              <w:ind w:left="113" w:right="113"/>
              <w:jc w:val="center"/>
              <w:rPr>
                <w:rFonts w:cs="Arial"/>
                <w:b/>
                <w:szCs w:val="22"/>
              </w:rPr>
            </w:pPr>
            <w:r w:rsidRPr="00D76ECF">
              <w:rPr>
                <w:rFonts w:cs="Arial"/>
                <w:b/>
                <w:szCs w:val="22"/>
              </w:rPr>
              <w:t>Meio Biótico</w:t>
            </w:r>
          </w:p>
        </w:tc>
        <w:tc>
          <w:tcPr>
            <w:tcW w:w="4563" w:type="pct"/>
            <w:gridSpan w:val="11"/>
            <w:shd w:val="clear" w:color="auto" w:fill="auto"/>
            <w:vAlign w:val="center"/>
          </w:tcPr>
          <w:p w:rsidR="0009787E" w:rsidRPr="008A7364" w:rsidRDefault="0009787E" w:rsidP="007A3613">
            <w:pPr>
              <w:spacing w:line="240" w:lineRule="auto"/>
              <w:rPr>
                <w:rFonts w:cs="Arial"/>
                <w:sz w:val="16"/>
                <w:szCs w:val="16"/>
              </w:rPr>
            </w:pPr>
            <w:r w:rsidRPr="008A7364">
              <w:rPr>
                <w:sz w:val="16"/>
                <w:szCs w:val="16"/>
              </w:rPr>
              <w:t>Redução da Conectividade entre Remanescentes de Cobertura Vege</w:t>
            </w:r>
            <w:r>
              <w:rPr>
                <w:sz w:val="16"/>
                <w:szCs w:val="16"/>
              </w:rPr>
              <w:t>tal Nativa.</w:t>
            </w:r>
          </w:p>
        </w:tc>
      </w:tr>
      <w:tr w:rsidR="0009787E" w:rsidRPr="008A7364" w:rsidTr="008464FB">
        <w:trPr>
          <w:cantSplit/>
          <w:trHeight w:hRule="exact" w:val="696"/>
        </w:trPr>
        <w:tc>
          <w:tcPr>
            <w:tcW w:w="188" w:type="pct"/>
            <w:shd w:val="clear" w:color="auto" w:fill="auto"/>
            <w:vAlign w:val="center"/>
          </w:tcPr>
          <w:p w:rsidR="0009787E" w:rsidRPr="008A7364" w:rsidRDefault="0009787E" w:rsidP="00597443">
            <w:pPr>
              <w:spacing w:line="240" w:lineRule="auto"/>
              <w:jc w:val="left"/>
              <w:rPr>
                <w:rFonts w:cs="Arial"/>
                <w:sz w:val="16"/>
                <w:szCs w:val="16"/>
              </w:rPr>
            </w:pPr>
            <w:r w:rsidRPr="008A7364">
              <w:rPr>
                <w:rFonts w:cs="Arial"/>
                <w:sz w:val="16"/>
                <w:szCs w:val="16"/>
              </w:rPr>
              <w:t>22</w:t>
            </w:r>
          </w:p>
        </w:tc>
        <w:tc>
          <w:tcPr>
            <w:tcW w:w="249" w:type="pct"/>
            <w:vMerge/>
            <w:shd w:val="clear" w:color="auto" w:fill="auto"/>
            <w:textDirection w:val="btLr"/>
            <w:vAlign w:val="center"/>
          </w:tcPr>
          <w:p w:rsidR="0009787E" w:rsidRPr="00D76ECF" w:rsidRDefault="0009787E" w:rsidP="00D76ECF">
            <w:pPr>
              <w:spacing w:line="240" w:lineRule="auto"/>
              <w:ind w:left="113" w:right="113"/>
              <w:jc w:val="center"/>
              <w:rPr>
                <w:rFonts w:cs="Arial"/>
                <w:b/>
                <w:szCs w:val="22"/>
              </w:rPr>
            </w:pPr>
          </w:p>
        </w:tc>
        <w:tc>
          <w:tcPr>
            <w:tcW w:w="894" w:type="pct"/>
            <w:shd w:val="clear" w:color="auto" w:fill="auto"/>
            <w:vAlign w:val="center"/>
          </w:tcPr>
          <w:p w:rsidR="0009787E" w:rsidRDefault="0009787E" w:rsidP="007A3613">
            <w:pPr>
              <w:spacing w:line="240" w:lineRule="auto"/>
              <w:rPr>
                <w:sz w:val="16"/>
                <w:szCs w:val="16"/>
              </w:rPr>
            </w:pPr>
            <w:r w:rsidRPr="008A7364">
              <w:rPr>
                <w:sz w:val="16"/>
                <w:szCs w:val="16"/>
              </w:rPr>
              <w:t>Redução da Conectividade entre Remanescentes de Cobertura Vege</w:t>
            </w:r>
            <w:r>
              <w:rPr>
                <w:sz w:val="16"/>
                <w:szCs w:val="16"/>
              </w:rPr>
              <w:t xml:space="preserve">tal Nativa. Implantação </w:t>
            </w:r>
          </w:p>
          <w:p w:rsidR="0009787E" w:rsidRPr="008A7364" w:rsidRDefault="0009787E" w:rsidP="007A3613">
            <w:pPr>
              <w:spacing w:line="240" w:lineRule="auto"/>
              <w:rPr>
                <w:sz w:val="16"/>
                <w:szCs w:val="16"/>
              </w:rPr>
            </w:pPr>
            <w:r w:rsidRPr="008A7364">
              <w:rPr>
                <w:sz w:val="16"/>
                <w:szCs w:val="16"/>
              </w:rPr>
              <w:t>(PEDREIRA)</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Indireta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403881" w:rsidRDefault="0009787E" w:rsidP="008A7364">
            <w:pPr>
              <w:spacing w:line="240" w:lineRule="auto"/>
              <w:jc w:val="left"/>
              <w:rPr>
                <w:rFonts w:cs="Arial"/>
                <w:sz w:val="16"/>
                <w:szCs w:val="16"/>
              </w:rPr>
            </w:pPr>
            <w:r w:rsidRPr="00403881">
              <w:rPr>
                <w:rFonts w:cs="Arial"/>
                <w:sz w:val="16"/>
                <w:szCs w:val="16"/>
              </w:rPr>
              <w:t>Certa</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Não Mitigável</w:t>
            </w:r>
          </w:p>
        </w:tc>
      </w:tr>
      <w:tr w:rsidR="0009787E" w:rsidRPr="008A7364" w:rsidTr="008464FB">
        <w:trPr>
          <w:cantSplit/>
          <w:trHeight w:hRule="exact" w:val="849"/>
        </w:trPr>
        <w:tc>
          <w:tcPr>
            <w:tcW w:w="188" w:type="pct"/>
            <w:shd w:val="clear" w:color="auto" w:fill="auto"/>
            <w:vAlign w:val="center"/>
          </w:tcPr>
          <w:p w:rsidR="0009787E" w:rsidRPr="008A7364" w:rsidRDefault="0009787E" w:rsidP="00597443">
            <w:pPr>
              <w:spacing w:line="240" w:lineRule="auto"/>
              <w:jc w:val="left"/>
              <w:rPr>
                <w:rFonts w:cs="Arial"/>
                <w:sz w:val="16"/>
                <w:szCs w:val="16"/>
              </w:rPr>
            </w:pPr>
            <w:r w:rsidRPr="008A7364">
              <w:rPr>
                <w:rFonts w:cs="Arial"/>
                <w:sz w:val="16"/>
                <w:szCs w:val="16"/>
              </w:rPr>
              <w:t>22</w:t>
            </w:r>
          </w:p>
        </w:tc>
        <w:tc>
          <w:tcPr>
            <w:tcW w:w="249" w:type="pct"/>
            <w:vMerge/>
            <w:shd w:val="clear" w:color="auto" w:fill="auto"/>
            <w:textDirection w:val="btLr"/>
            <w:vAlign w:val="center"/>
          </w:tcPr>
          <w:p w:rsidR="0009787E" w:rsidRPr="008A7364" w:rsidRDefault="0009787E" w:rsidP="008A7364">
            <w:pPr>
              <w:spacing w:line="240" w:lineRule="auto"/>
              <w:ind w:left="113" w:right="113"/>
              <w:jc w:val="left"/>
              <w:rPr>
                <w:rFonts w:cs="Arial"/>
                <w:sz w:val="16"/>
                <w:szCs w:val="16"/>
              </w:rPr>
            </w:pPr>
          </w:p>
        </w:tc>
        <w:tc>
          <w:tcPr>
            <w:tcW w:w="894" w:type="pct"/>
            <w:shd w:val="clear" w:color="auto" w:fill="auto"/>
            <w:vAlign w:val="center"/>
          </w:tcPr>
          <w:p w:rsidR="0009787E" w:rsidRDefault="0009787E" w:rsidP="007A3613">
            <w:pPr>
              <w:spacing w:line="240" w:lineRule="auto"/>
              <w:rPr>
                <w:sz w:val="16"/>
                <w:szCs w:val="16"/>
              </w:rPr>
            </w:pPr>
            <w:r w:rsidRPr="008A7364">
              <w:rPr>
                <w:sz w:val="16"/>
                <w:szCs w:val="16"/>
              </w:rPr>
              <w:t>Redução da Conectividade entre Remanescentes de Cobertura Vegetal Nativa</w:t>
            </w:r>
            <w:r>
              <w:rPr>
                <w:sz w:val="16"/>
                <w:szCs w:val="16"/>
              </w:rPr>
              <w:t>. Implantação</w:t>
            </w:r>
            <w:r w:rsidRPr="008A7364">
              <w:rPr>
                <w:sz w:val="16"/>
                <w:szCs w:val="16"/>
              </w:rPr>
              <w:t xml:space="preserve"> </w:t>
            </w:r>
          </w:p>
          <w:p w:rsidR="0009787E" w:rsidRPr="008A7364" w:rsidRDefault="0009787E" w:rsidP="007A3613">
            <w:pPr>
              <w:spacing w:line="240" w:lineRule="auto"/>
              <w:rPr>
                <w:sz w:val="16"/>
                <w:szCs w:val="16"/>
              </w:rPr>
            </w:pPr>
            <w:r w:rsidRPr="008A7364">
              <w:rPr>
                <w:sz w:val="16"/>
                <w:szCs w:val="16"/>
              </w:rPr>
              <w:t>(DUAS PONTES)</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Indireta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403881" w:rsidRDefault="0009787E" w:rsidP="008A7364">
            <w:pPr>
              <w:spacing w:line="240" w:lineRule="auto"/>
              <w:jc w:val="left"/>
              <w:rPr>
                <w:rFonts w:cs="Arial"/>
                <w:sz w:val="16"/>
                <w:szCs w:val="16"/>
              </w:rPr>
            </w:pPr>
            <w:r w:rsidRPr="00403881">
              <w:rPr>
                <w:rFonts w:cs="Arial"/>
                <w:sz w:val="16"/>
                <w:szCs w:val="16"/>
              </w:rPr>
              <w:t>Certa</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Não Mitigável</w:t>
            </w:r>
          </w:p>
        </w:tc>
      </w:tr>
      <w:tr w:rsidR="0009787E" w:rsidRPr="008A7364" w:rsidTr="008464FB">
        <w:trPr>
          <w:cantSplit/>
          <w:trHeight w:hRule="exact" w:val="272"/>
        </w:trPr>
        <w:tc>
          <w:tcPr>
            <w:tcW w:w="188" w:type="pct"/>
            <w:shd w:val="clear" w:color="auto" w:fill="auto"/>
            <w:vAlign w:val="center"/>
          </w:tcPr>
          <w:p w:rsidR="0009787E" w:rsidRPr="008A7364" w:rsidRDefault="0009787E" w:rsidP="00597443">
            <w:pPr>
              <w:spacing w:line="240" w:lineRule="auto"/>
              <w:jc w:val="left"/>
              <w:rPr>
                <w:rFonts w:cs="Arial"/>
                <w:sz w:val="16"/>
                <w:szCs w:val="16"/>
              </w:rPr>
            </w:pPr>
            <w:r>
              <w:rPr>
                <w:rFonts w:cs="Arial"/>
                <w:sz w:val="16"/>
                <w:szCs w:val="16"/>
              </w:rPr>
              <w:t>23</w:t>
            </w:r>
          </w:p>
        </w:tc>
        <w:tc>
          <w:tcPr>
            <w:tcW w:w="249" w:type="pct"/>
            <w:vMerge/>
            <w:shd w:val="clear" w:color="auto" w:fill="auto"/>
            <w:textDirection w:val="btLr"/>
            <w:vAlign w:val="center"/>
          </w:tcPr>
          <w:p w:rsidR="0009787E" w:rsidRPr="008A7364" w:rsidRDefault="0009787E" w:rsidP="008A7364">
            <w:pPr>
              <w:spacing w:line="240" w:lineRule="auto"/>
              <w:ind w:left="113" w:right="113"/>
              <w:jc w:val="left"/>
              <w:rPr>
                <w:rFonts w:cs="Arial"/>
                <w:sz w:val="16"/>
                <w:szCs w:val="16"/>
              </w:rPr>
            </w:pPr>
          </w:p>
        </w:tc>
        <w:tc>
          <w:tcPr>
            <w:tcW w:w="4563" w:type="pct"/>
            <w:gridSpan w:val="11"/>
            <w:shd w:val="clear" w:color="auto" w:fill="auto"/>
            <w:vAlign w:val="center"/>
          </w:tcPr>
          <w:p w:rsidR="0009787E" w:rsidRPr="008A7364" w:rsidRDefault="0009787E" w:rsidP="007A3613">
            <w:pPr>
              <w:spacing w:line="240" w:lineRule="auto"/>
              <w:rPr>
                <w:rFonts w:cs="Arial"/>
                <w:sz w:val="16"/>
                <w:szCs w:val="16"/>
              </w:rPr>
            </w:pPr>
            <w:r w:rsidRPr="008A7364">
              <w:rPr>
                <w:sz w:val="16"/>
                <w:szCs w:val="16"/>
              </w:rPr>
              <w:t>Aumento dos Efeitos da Fr</w:t>
            </w:r>
            <w:r>
              <w:rPr>
                <w:sz w:val="16"/>
                <w:szCs w:val="16"/>
              </w:rPr>
              <w:t>agmentação de Hábitats da Fauna</w:t>
            </w:r>
          </w:p>
        </w:tc>
      </w:tr>
      <w:tr w:rsidR="0009787E" w:rsidRPr="008A7364" w:rsidTr="008464FB">
        <w:trPr>
          <w:cantSplit/>
          <w:trHeight w:hRule="exact" w:val="852"/>
        </w:trPr>
        <w:tc>
          <w:tcPr>
            <w:tcW w:w="188" w:type="pct"/>
            <w:shd w:val="clear" w:color="auto" w:fill="auto"/>
            <w:vAlign w:val="center"/>
          </w:tcPr>
          <w:p w:rsidR="0009787E" w:rsidRPr="008A7364" w:rsidRDefault="0009787E" w:rsidP="00597443">
            <w:pPr>
              <w:spacing w:line="240" w:lineRule="auto"/>
              <w:jc w:val="left"/>
              <w:rPr>
                <w:rFonts w:cs="Arial"/>
                <w:sz w:val="16"/>
                <w:szCs w:val="16"/>
              </w:rPr>
            </w:pPr>
            <w:r w:rsidRPr="008A7364">
              <w:rPr>
                <w:rFonts w:cs="Arial"/>
                <w:sz w:val="16"/>
                <w:szCs w:val="16"/>
              </w:rPr>
              <w:t>23</w:t>
            </w:r>
          </w:p>
        </w:tc>
        <w:tc>
          <w:tcPr>
            <w:tcW w:w="249" w:type="pct"/>
            <w:vMerge/>
            <w:shd w:val="clear" w:color="auto" w:fill="auto"/>
            <w:textDirection w:val="btLr"/>
            <w:vAlign w:val="center"/>
          </w:tcPr>
          <w:p w:rsidR="0009787E" w:rsidRPr="008A7364" w:rsidRDefault="0009787E" w:rsidP="008A7364">
            <w:pPr>
              <w:spacing w:line="240" w:lineRule="auto"/>
              <w:ind w:left="113" w:right="113"/>
              <w:jc w:val="left"/>
              <w:rPr>
                <w:rFonts w:cs="Arial"/>
                <w:sz w:val="16"/>
                <w:szCs w:val="16"/>
              </w:rPr>
            </w:pPr>
          </w:p>
        </w:tc>
        <w:tc>
          <w:tcPr>
            <w:tcW w:w="894" w:type="pct"/>
            <w:shd w:val="clear" w:color="auto" w:fill="auto"/>
            <w:vAlign w:val="center"/>
          </w:tcPr>
          <w:p w:rsidR="0009787E" w:rsidRDefault="0009787E" w:rsidP="007A3613">
            <w:pPr>
              <w:spacing w:before="20" w:after="20" w:line="240" w:lineRule="auto"/>
              <w:rPr>
                <w:sz w:val="16"/>
                <w:szCs w:val="16"/>
              </w:rPr>
            </w:pPr>
            <w:r w:rsidRPr="008A7364">
              <w:rPr>
                <w:sz w:val="16"/>
                <w:szCs w:val="16"/>
              </w:rPr>
              <w:t>Aumento dos Efeitos da Fr</w:t>
            </w:r>
            <w:r>
              <w:rPr>
                <w:sz w:val="16"/>
                <w:szCs w:val="16"/>
              </w:rPr>
              <w:t xml:space="preserve">agmentação de Hábitats da Fauna. Implantação </w:t>
            </w:r>
          </w:p>
          <w:p w:rsidR="0009787E" w:rsidRPr="008A7364" w:rsidRDefault="0009787E" w:rsidP="007A3613">
            <w:pPr>
              <w:spacing w:before="20" w:after="20" w:line="240" w:lineRule="auto"/>
              <w:rPr>
                <w:sz w:val="16"/>
                <w:szCs w:val="16"/>
              </w:rPr>
            </w:pPr>
            <w:r w:rsidRPr="008A7364">
              <w:rPr>
                <w:sz w:val="16"/>
                <w:szCs w:val="16"/>
              </w:rPr>
              <w:t>(PEDREIRA)</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Indireta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403881" w:rsidRDefault="0009787E" w:rsidP="008A7364">
            <w:pPr>
              <w:spacing w:line="240" w:lineRule="auto"/>
              <w:jc w:val="left"/>
              <w:rPr>
                <w:rFonts w:cs="Arial"/>
                <w:sz w:val="16"/>
                <w:szCs w:val="16"/>
              </w:rPr>
            </w:pPr>
            <w:r w:rsidRPr="00403881">
              <w:rPr>
                <w:rFonts w:cs="Arial"/>
                <w:sz w:val="16"/>
                <w:szCs w:val="16"/>
              </w:rPr>
              <w:t>Certa</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Não Mitigável</w:t>
            </w:r>
          </w:p>
        </w:tc>
      </w:tr>
      <w:tr w:rsidR="0009787E" w:rsidRPr="008A7364" w:rsidTr="008464FB">
        <w:trPr>
          <w:cantSplit/>
          <w:trHeight w:hRule="exact" w:val="850"/>
        </w:trPr>
        <w:tc>
          <w:tcPr>
            <w:tcW w:w="188" w:type="pct"/>
            <w:shd w:val="clear" w:color="auto" w:fill="auto"/>
            <w:vAlign w:val="center"/>
          </w:tcPr>
          <w:p w:rsidR="0009787E" w:rsidRPr="008A7364" w:rsidRDefault="0009787E" w:rsidP="00597443">
            <w:pPr>
              <w:spacing w:line="240" w:lineRule="auto"/>
              <w:jc w:val="left"/>
              <w:rPr>
                <w:rFonts w:cs="Arial"/>
                <w:sz w:val="16"/>
                <w:szCs w:val="16"/>
              </w:rPr>
            </w:pPr>
            <w:r w:rsidRPr="008A7364">
              <w:rPr>
                <w:rFonts w:cs="Arial"/>
                <w:sz w:val="16"/>
                <w:szCs w:val="16"/>
              </w:rPr>
              <w:t>23</w:t>
            </w:r>
          </w:p>
        </w:tc>
        <w:tc>
          <w:tcPr>
            <w:tcW w:w="249" w:type="pct"/>
            <w:vMerge/>
            <w:shd w:val="clear" w:color="auto" w:fill="auto"/>
            <w:textDirection w:val="btLr"/>
            <w:vAlign w:val="center"/>
          </w:tcPr>
          <w:p w:rsidR="0009787E" w:rsidRPr="008A7364" w:rsidRDefault="0009787E" w:rsidP="008A7364">
            <w:pPr>
              <w:spacing w:line="240" w:lineRule="auto"/>
              <w:ind w:left="113" w:right="113"/>
              <w:jc w:val="left"/>
              <w:rPr>
                <w:rFonts w:cs="Arial"/>
                <w:sz w:val="16"/>
                <w:szCs w:val="16"/>
              </w:rPr>
            </w:pPr>
          </w:p>
        </w:tc>
        <w:tc>
          <w:tcPr>
            <w:tcW w:w="894" w:type="pct"/>
            <w:shd w:val="clear" w:color="auto" w:fill="auto"/>
            <w:vAlign w:val="center"/>
          </w:tcPr>
          <w:p w:rsidR="0009787E" w:rsidRDefault="0009787E" w:rsidP="007A3613">
            <w:pPr>
              <w:spacing w:before="20" w:after="20" w:line="240" w:lineRule="auto"/>
              <w:rPr>
                <w:sz w:val="16"/>
                <w:szCs w:val="16"/>
              </w:rPr>
            </w:pPr>
            <w:r w:rsidRPr="008A7364">
              <w:rPr>
                <w:sz w:val="16"/>
                <w:szCs w:val="16"/>
              </w:rPr>
              <w:t>Aumento dos Efeitos da Fragmentação de Hábitats da Fauna</w:t>
            </w:r>
            <w:r>
              <w:rPr>
                <w:sz w:val="16"/>
                <w:szCs w:val="16"/>
              </w:rPr>
              <w:t>. Implantação</w:t>
            </w:r>
          </w:p>
          <w:p w:rsidR="0009787E" w:rsidRPr="008A7364" w:rsidRDefault="0009787E" w:rsidP="007A3613">
            <w:pPr>
              <w:spacing w:before="20" w:after="20" w:line="240" w:lineRule="auto"/>
              <w:rPr>
                <w:sz w:val="16"/>
                <w:szCs w:val="16"/>
              </w:rPr>
            </w:pPr>
            <w:r w:rsidRPr="008A7364">
              <w:rPr>
                <w:sz w:val="16"/>
                <w:szCs w:val="16"/>
              </w:rPr>
              <w:t xml:space="preserve"> (DUAS PONTES)</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Indireta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403881" w:rsidRDefault="0009787E" w:rsidP="008A7364">
            <w:pPr>
              <w:spacing w:line="240" w:lineRule="auto"/>
              <w:jc w:val="left"/>
              <w:rPr>
                <w:rFonts w:cs="Arial"/>
                <w:sz w:val="16"/>
                <w:szCs w:val="16"/>
              </w:rPr>
            </w:pPr>
            <w:r w:rsidRPr="00403881">
              <w:rPr>
                <w:rFonts w:cs="Arial"/>
                <w:sz w:val="16"/>
                <w:szCs w:val="16"/>
              </w:rPr>
              <w:t>Certa</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Não Mitigável</w:t>
            </w:r>
          </w:p>
        </w:tc>
      </w:tr>
      <w:tr w:rsidR="0009787E" w:rsidRPr="008A7364" w:rsidTr="008464FB">
        <w:trPr>
          <w:cantSplit/>
          <w:trHeight w:hRule="exact" w:val="268"/>
        </w:trPr>
        <w:tc>
          <w:tcPr>
            <w:tcW w:w="188" w:type="pct"/>
            <w:shd w:val="clear" w:color="auto" w:fill="auto"/>
            <w:vAlign w:val="center"/>
          </w:tcPr>
          <w:p w:rsidR="0009787E" w:rsidRPr="008A7364" w:rsidRDefault="0009787E" w:rsidP="00597443">
            <w:pPr>
              <w:spacing w:line="240" w:lineRule="auto"/>
              <w:jc w:val="left"/>
              <w:rPr>
                <w:rFonts w:cs="Arial"/>
                <w:sz w:val="16"/>
                <w:szCs w:val="16"/>
              </w:rPr>
            </w:pPr>
            <w:r>
              <w:rPr>
                <w:rFonts w:cs="Arial"/>
                <w:sz w:val="16"/>
                <w:szCs w:val="16"/>
              </w:rPr>
              <w:t>24</w:t>
            </w:r>
          </w:p>
        </w:tc>
        <w:tc>
          <w:tcPr>
            <w:tcW w:w="249" w:type="pct"/>
            <w:vMerge/>
            <w:shd w:val="clear" w:color="auto" w:fill="auto"/>
            <w:textDirection w:val="btLr"/>
            <w:vAlign w:val="center"/>
          </w:tcPr>
          <w:p w:rsidR="0009787E" w:rsidRPr="008A7364" w:rsidRDefault="0009787E" w:rsidP="008A7364">
            <w:pPr>
              <w:spacing w:line="240" w:lineRule="auto"/>
              <w:ind w:left="113" w:right="113"/>
              <w:jc w:val="left"/>
              <w:rPr>
                <w:rFonts w:cs="Arial"/>
                <w:sz w:val="16"/>
                <w:szCs w:val="16"/>
              </w:rPr>
            </w:pPr>
          </w:p>
        </w:tc>
        <w:tc>
          <w:tcPr>
            <w:tcW w:w="4563" w:type="pct"/>
            <w:gridSpan w:val="11"/>
            <w:shd w:val="clear" w:color="auto" w:fill="auto"/>
            <w:vAlign w:val="center"/>
          </w:tcPr>
          <w:p w:rsidR="0009787E" w:rsidRPr="008A7364" w:rsidRDefault="0009787E" w:rsidP="007A3613">
            <w:pPr>
              <w:spacing w:line="240" w:lineRule="auto"/>
              <w:rPr>
                <w:rFonts w:cs="Arial"/>
                <w:sz w:val="16"/>
                <w:szCs w:val="16"/>
              </w:rPr>
            </w:pPr>
            <w:r w:rsidRPr="008A7364">
              <w:rPr>
                <w:sz w:val="16"/>
                <w:szCs w:val="16"/>
              </w:rPr>
              <w:t>Afugentamento de Fauna Silvestre</w:t>
            </w:r>
            <w:r>
              <w:rPr>
                <w:sz w:val="16"/>
                <w:szCs w:val="16"/>
              </w:rPr>
              <w:t xml:space="preserve"> devido a Supressão da Cobertura Vegetal</w:t>
            </w:r>
          </w:p>
        </w:tc>
      </w:tr>
      <w:tr w:rsidR="0009787E" w:rsidRPr="008A7364" w:rsidTr="008464FB">
        <w:trPr>
          <w:cantSplit/>
          <w:trHeight w:hRule="exact" w:val="824"/>
        </w:trPr>
        <w:tc>
          <w:tcPr>
            <w:tcW w:w="188" w:type="pct"/>
            <w:shd w:val="clear" w:color="auto" w:fill="auto"/>
            <w:vAlign w:val="center"/>
          </w:tcPr>
          <w:p w:rsidR="0009787E" w:rsidRPr="008A7364" w:rsidRDefault="0009787E" w:rsidP="00597443">
            <w:pPr>
              <w:spacing w:line="240" w:lineRule="auto"/>
              <w:jc w:val="left"/>
              <w:rPr>
                <w:rFonts w:cs="Arial"/>
                <w:sz w:val="16"/>
                <w:szCs w:val="16"/>
              </w:rPr>
            </w:pPr>
            <w:r w:rsidRPr="008A7364">
              <w:rPr>
                <w:rFonts w:cs="Arial"/>
                <w:sz w:val="16"/>
                <w:szCs w:val="16"/>
              </w:rPr>
              <w:t>24</w:t>
            </w:r>
            <w:r>
              <w:rPr>
                <w:rFonts w:cs="Arial"/>
                <w:sz w:val="16"/>
                <w:szCs w:val="16"/>
              </w:rPr>
              <w:t xml:space="preserve"> a</w:t>
            </w:r>
          </w:p>
        </w:tc>
        <w:tc>
          <w:tcPr>
            <w:tcW w:w="249" w:type="pct"/>
            <w:vMerge/>
            <w:shd w:val="clear" w:color="auto" w:fill="auto"/>
            <w:textDirection w:val="btLr"/>
            <w:vAlign w:val="center"/>
          </w:tcPr>
          <w:p w:rsidR="0009787E" w:rsidRPr="008A7364" w:rsidRDefault="0009787E" w:rsidP="008A7364">
            <w:pPr>
              <w:spacing w:line="240" w:lineRule="auto"/>
              <w:ind w:left="113" w:right="113"/>
              <w:jc w:val="left"/>
              <w:rPr>
                <w:rFonts w:cs="Arial"/>
                <w:sz w:val="16"/>
                <w:szCs w:val="16"/>
              </w:rPr>
            </w:pPr>
          </w:p>
        </w:tc>
        <w:tc>
          <w:tcPr>
            <w:tcW w:w="894" w:type="pct"/>
            <w:shd w:val="clear" w:color="auto" w:fill="auto"/>
            <w:vAlign w:val="center"/>
          </w:tcPr>
          <w:p w:rsidR="0009787E" w:rsidRDefault="0009787E" w:rsidP="007A3613">
            <w:pPr>
              <w:spacing w:before="20" w:after="20" w:line="240" w:lineRule="auto"/>
              <w:rPr>
                <w:sz w:val="16"/>
                <w:szCs w:val="16"/>
              </w:rPr>
            </w:pPr>
            <w:r w:rsidRPr="008A7364">
              <w:rPr>
                <w:sz w:val="16"/>
                <w:szCs w:val="16"/>
              </w:rPr>
              <w:t>Afugentamento de Fauna Silvestre</w:t>
            </w:r>
            <w:r>
              <w:rPr>
                <w:sz w:val="16"/>
                <w:szCs w:val="16"/>
              </w:rPr>
              <w:t xml:space="preserve"> devido a Supressão da Cobertura Vegetal. Implantação</w:t>
            </w:r>
          </w:p>
          <w:p w:rsidR="0009787E" w:rsidRPr="008A7364" w:rsidRDefault="0009787E" w:rsidP="007A3613">
            <w:pPr>
              <w:spacing w:before="20" w:after="20" w:line="240" w:lineRule="auto"/>
              <w:rPr>
                <w:sz w:val="16"/>
                <w:szCs w:val="16"/>
              </w:rPr>
            </w:pPr>
            <w:r w:rsidRPr="008A7364">
              <w:rPr>
                <w:sz w:val="16"/>
                <w:szCs w:val="16"/>
              </w:rPr>
              <w:t xml:space="preserve"> (PEDREIRA)</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Não Mitigável</w:t>
            </w:r>
          </w:p>
        </w:tc>
      </w:tr>
      <w:tr w:rsidR="0009787E" w:rsidRPr="008A7364" w:rsidTr="008464FB">
        <w:trPr>
          <w:cantSplit/>
          <w:trHeight w:hRule="exact" w:val="793"/>
        </w:trPr>
        <w:tc>
          <w:tcPr>
            <w:tcW w:w="188" w:type="pct"/>
            <w:shd w:val="clear" w:color="auto" w:fill="auto"/>
            <w:vAlign w:val="center"/>
          </w:tcPr>
          <w:p w:rsidR="0009787E" w:rsidRPr="008A7364" w:rsidRDefault="0009787E" w:rsidP="000F796F">
            <w:pPr>
              <w:spacing w:line="240" w:lineRule="auto"/>
              <w:jc w:val="left"/>
              <w:rPr>
                <w:rFonts w:cs="Arial"/>
                <w:sz w:val="16"/>
                <w:szCs w:val="16"/>
              </w:rPr>
            </w:pPr>
            <w:r w:rsidRPr="008A7364">
              <w:rPr>
                <w:rFonts w:cs="Arial"/>
                <w:sz w:val="16"/>
                <w:szCs w:val="16"/>
              </w:rPr>
              <w:t>24</w:t>
            </w:r>
            <w:r>
              <w:rPr>
                <w:rFonts w:cs="Arial"/>
                <w:sz w:val="16"/>
                <w:szCs w:val="16"/>
              </w:rPr>
              <w:t xml:space="preserve"> a</w:t>
            </w:r>
          </w:p>
        </w:tc>
        <w:tc>
          <w:tcPr>
            <w:tcW w:w="249" w:type="pct"/>
            <w:vMerge/>
            <w:shd w:val="clear" w:color="auto" w:fill="auto"/>
            <w:textDirection w:val="btLr"/>
            <w:vAlign w:val="center"/>
          </w:tcPr>
          <w:p w:rsidR="0009787E" w:rsidRPr="008A7364" w:rsidRDefault="0009787E" w:rsidP="008A7364">
            <w:pPr>
              <w:spacing w:line="240" w:lineRule="auto"/>
              <w:ind w:left="113" w:right="113"/>
              <w:jc w:val="left"/>
              <w:rPr>
                <w:rFonts w:cs="Arial"/>
                <w:sz w:val="16"/>
                <w:szCs w:val="16"/>
              </w:rPr>
            </w:pPr>
          </w:p>
        </w:tc>
        <w:tc>
          <w:tcPr>
            <w:tcW w:w="894" w:type="pct"/>
            <w:shd w:val="clear" w:color="auto" w:fill="auto"/>
            <w:vAlign w:val="center"/>
          </w:tcPr>
          <w:p w:rsidR="0009787E" w:rsidRDefault="0009787E" w:rsidP="007A3613">
            <w:pPr>
              <w:spacing w:before="20" w:after="20" w:line="240" w:lineRule="auto"/>
              <w:rPr>
                <w:sz w:val="16"/>
                <w:szCs w:val="16"/>
              </w:rPr>
            </w:pPr>
            <w:r w:rsidRPr="008A7364">
              <w:rPr>
                <w:sz w:val="16"/>
                <w:szCs w:val="16"/>
              </w:rPr>
              <w:t>Afugentamento de Fauna Silvestre</w:t>
            </w:r>
            <w:r>
              <w:rPr>
                <w:sz w:val="16"/>
                <w:szCs w:val="16"/>
              </w:rPr>
              <w:t xml:space="preserve"> devido a Supressão da Cobertura Vegetal. Implantação</w:t>
            </w:r>
          </w:p>
          <w:p w:rsidR="0009787E" w:rsidRPr="008A7364" w:rsidRDefault="0009787E" w:rsidP="007A3613">
            <w:pPr>
              <w:spacing w:before="20" w:after="20" w:line="240" w:lineRule="auto"/>
              <w:rPr>
                <w:sz w:val="16"/>
                <w:szCs w:val="16"/>
              </w:rPr>
            </w:pPr>
            <w:r w:rsidRPr="008A7364">
              <w:rPr>
                <w:sz w:val="16"/>
                <w:szCs w:val="16"/>
              </w:rPr>
              <w:t>(DUAS PONTES)</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Não Mitigável</w:t>
            </w:r>
          </w:p>
        </w:tc>
      </w:tr>
      <w:tr w:rsidR="0009787E" w:rsidRPr="008A7364" w:rsidTr="008464FB">
        <w:trPr>
          <w:cantSplit/>
          <w:trHeight w:hRule="exact" w:val="619"/>
        </w:trPr>
        <w:tc>
          <w:tcPr>
            <w:tcW w:w="188" w:type="pct"/>
            <w:shd w:val="clear" w:color="auto" w:fill="auto"/>
            <w:vAlign w:val="center"/>
          </w:tcPr>
          <w:p w:rsidR="0009787E" w:rsidRPr="008A7364" w:rsidRDefault="0009787E" w:rsidP="000F796F">
            <w:pPr>
              <w:spacing w:line="240" w:lineRule="auto"/>
              <w:jc w:val="left"/>
              <w:rPr>
                <w:rFonts w:cs="Arial"/>
                <w:sz w:val="16"/>
                <w:szCs w:val="16"/>
              </w:rPr>
            </w:pPr>
            <w:r w:rsidRPr="008A7364">
              <w:rPr>
                <w:rFonts w:cs="Arial"/>
                <w:sz w:val="16"/>
                <w:szCs w:val="16"/>
              </w:rPr>
              <w:t>24</w:t>
            </w:r>
            <w:r>
              <w:rPr>
                <w:rFonts w:cs="Arial"/>
                <w:sz w:val="16"/>
                <w:szCs w:val="16"/>
              </w:rPr>
              <w:t xml:space="preserve"> b</w:t>
            </w:r>
          </w:p>
        </w:tc>
        <w:tc>
          <w:tcPr>
            <w:tcW w:w="249" w:type="pct"/>
            <w:vMerge/>
            <w:shd w:val="clear" w:color="auto" w:fill="auto"/>
            <w:textDirection w:val="btLr"/>
            <w:vAlign w:val="center"/>
          </w:tcPr>
          <w:p w:rsidR="0009787E" w:rsidRPr="008A7364" w:rsidRDefault="0009787E" w:rsidP="008A7364">
            <w:pPr>
              <w:spacing w:line="240" w:lineRule="auto"/>
              <w:ind w:left="113" w:right="113"/>
              <w:jc w:val="left"/>
              <w:rPr>
                <w:rFonts w:cs="Arial"/>
                <w:sz w:val="16"/>
                <w:szCs w:val="16"/>
              </w:rPr>
            </w:pPr>
          </w:p>
        </w:tc>
        <w:tc>
          <w:tcPr>
            <w:tcW w:w="894" w:type="pct"/>
            <w:shd w:val="clear" w:color="auto" w:fill="auto"/>
            <w:vAlign w:val="center"/>
          </w:tcPr>
          <w:p w:rsidR="0009787E" w:rsidRPr="008A7364" w:rsidRDefault="0009787E" w:rsidP="007A3613">
            <w:pPr>
              <w:spacing w:before="20" w:after="20" w:line="240" w:lineRule="auto"/>
              <w:rPr>
                <w:sz w:val="16"/>
                <w:szCs w:val="16"/>
              </w:rPr>
            </w:pPr>
            <w:r w:rsidRPr="008A7364">
              <w:rPr>
                <w:sz w:val="16"/>
                <w:szCs w:val="16"/>
              </w:rPr>
              <w:t>Afugentamento de Fauna Silvestre</w:t>
            </w:r>
            <w:r>
              <w:rPr>
                <w:sz w:val="16"/>
                <w:szCs w:val="16"/>
              </w:rPr>
              <w:t xml:space="preserve"> devido ao Aumento de Ruído. Implantação.</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Certa</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r w:rsidR="0009787E" w:rsidRPr="008A7364" w:rsidTr="008464FB">
        <w:trPr>
          <w:cantSplit/>
          <w:trHeight w:hRule="exact" w:val="611"/>
        </w:trPr>
        <w:tc>
          <w:tcPr>
            <w:tcW w:w="18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25</w:t>
            </w:r>
          </w:p>
        </w:tc>
        <w:tc>
          <w:tcPr>
            <w:tcW w:w="249" w:type="pct"/>
            <w:vMerge/>
            <w:shd w:val="clear" w:color="auto" w:fill="auto"/>
            <w:vAlign w:val="center"/>
          </w:tcPr>
          <w:p w:rsidR="0009787E" w:rsidRPr="008A7364" w:rsidRDefault="0009787E" w:rsidP="008A7364">
            <w:pPr>
              <w:spacing w:line="240" w:lineRule="auto"/>
              <w:jc w:val="left"/>
              <w:rPr>
                <w:rFonts w:cs="Arial"/>
                <w:sz w:val="16"/>
                <w:szCs w:val="16"/>
              </w:rPr>
            </w:pPr>
          </w:p>
        </w:tc>
        <w:tc>
          <w:tcPr>
            <w:tcW w:w="894" w:type="pct"/>
            <w:shd w:val="clear" w:color="auto" w:fill="auto"/>
            <w:vAlign w:val="center"/>
          </w:tcPr>
          <w:p w:rsidR="0009787E" w:rsidRPr="00403881" w:rsidRDefault="0009787E" w:rsidP="007A3613">
            <w:pPr>
              <w:spacing w:before="20" w:after="20" w:line="240" w:lineRule="auto"/>
              <w:rPr>
                <w:sz w:val="16"/>
                <w:szCs w:val="16"/>
              </w:rPr>
            </w:pPr>
            <w:r w:rsidRPr="00403881">
              <w:rPr>
                <w:sz w:val="16"/>
                <w:szCs w:val="16"/>
              </w:rPr>
              <w:t>Aumento de Atropelamento de Indivíduos da Fauna Silvestre</w:t>
            </w:r>
            <w:r>
              <w:rPr>
                <w:sz w:val="16"/>
                <w:szCs w:val="16"/>
              </w:rPr>
              <w:t>. Implantação</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Temporário</w:t>
            </w:r>
          </w:p>
        </w:tc>
        <w:tc>
          <w:tcPr>
            <w:tcW w:w="29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Provável</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bl>
    <w:p w:rsidR="00B42047" w:rsidRDefault="00B42047">
      <w:r>
        <w:br w:type="page"/>
      </w:r>
    </w:p>
    <w:p w:rsidR="002E29E3" w:rsidRDefault="002E29E3" w:rsidP="002E29E3">
      <w:r>
        <w:t>(continuação)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722"/>
        <w:gridCol w:w="2593"/>
        <w:gridCol w:w="972"/>
        <w:gridCol w:w="772"/>
        <w:gridCol w:w="1302"/>
        <w:gridCol w:w="1155"/>
        <w:gridCol w:w="867"/>
        <w:gridCol w:w="1186"/>
        <w:gridCol w:w="1131"/>
        <w:gridCol w:w="1111"/>
        <w:gridCol w:w="995"/>
        <w:gridCol w:w="1152"/>
      </w:tblGrid>
      <w:tr w:rsidR="00403881" w:rsidRPr="008A7364" w:rsidTr="00C55FEC">
        <w:trPr>
          <w:trHeight w:val="336"/>
          <w:tblHeader/>
        </w:trPr>
        <w:tc>
          <w:tcPr>
            <w:tcW w:w="188" w:type="pct"/>
            <w:vMerge w:val="restart"/>
            <w:shd w:val="clear" w:color="auto" w:fill="D9D9D9"/>
            <w:vAlign w:val="center"/>
          </w:tcPr>
          <w:p w:rsidR="00403881" w:rsidRPr="008A7364" w:rsidRDefault="00403881" w:rsidP="00C55FEC">
            <w:pPr>
              <w:spacing w:before="120" w:after="120" w:line="240" w:lineRule="auto"/>
              <w:jc w:val="center"/>
              <w:rPr>
                <w:rFonts w:cs="Arial"/>
                <w:b/>
                <w:sz w:val="18"/>
                <w:szCs w:val="18"/>
              </w:rPr>
            </w:pPr>
            <w:r w:rsidRPr="008A7364">
              <w:rPr>
                <w:rFonts w:cs="Arial"/>
                <w:b/>
                <w:sz w:val="18"/>
                <w:szCs w:val="18"/>
              </w:rPr>
              <w:t>N°</w:t>
            </w:r>
          </w:p>
        </w:tc>
        <w:tc>
          <w:tcPr>
            <w:tcW w:w="249" w:type="pct"/>
            <w:vMerge w:val="restart"/>
            <w:shd w:val="clear" w:color="auto" w:fill="D9D9D9"/>
            <w:vAlign w:val="center"/>
          </w:tcPr>
          <w:p w:rsidR="00403881" w:rsidRPr="008A7364" w:rsidRDefault="00403881" w:rsidP="00C55FEC">
            <w:pPr>
              <w:spacing w:before="120" w:after="120" w:line="240" w:lineRule="auto"/>
              <w:rPr>
                <w:rFonts w:cs="Arial"/>
                <w:b/>
                <w:sz w:val="18"/>
                <w:szCs w:val="18"/>
              </w:rPr>
            </w:pPr>
            <w:r>
              <w:rPr>
                <w:rFonts w:cs="Arial"/>
                <w:b/>
                <w:sz w:val="18"/>
                <w:szCs w:val="18"/>
              </w:rPr>
              <w:t>MEIO</w:t>
            </w:r>
          </w:p>
        </w:tc>
        <w:tc>
          <w:tcPr>
            <w:tcW w:w="894" w:type="pct"/>
            <w:vMerge w:val="restart"/>
            <w:shd w:val="clear" w:color="auto" w:fill="D9D9D9"/>
            <w:vAlign w:val="center"/>
          </w:tcPr>
          <w:p w:rsidR="00403881" w:rsidRPr="008A7364" w:rsidRDefault="00403881" w:rsidP="00C55FEC">
            <w:pPr>
              <w:spacing w:before="120" w:after="120" w:line="240" w:lineRule="auto"/>
              <w:jc w:val="center"/>
              <w:rPr>
                <w:rFonts w:cs="Arial"/>
                <w:b/>
                <w:sz w:val="18"/>
                <w:szCs w:val="18"/>
              </w:rPr>
            </w:pPr>
            <w:r w:rsidRPr="008A7364">
              <w:rPr>
                <w:rFonts w:cs="Arial"/>
                <w:b/>
                <w:sz w:val="18"/>
                <w:szCs w:val="18"/>
              </w:rPr>
              <w:t>IMPACTO</w:t>
            </w:r>
          </w:p>
        </w:tc>
        <w:tc>
          <w:tcPr>
            <w:tcW w:w="3669" w:type="pct"/>
            <w:gridSpan w:val="10"/>
            <w:shd w:val="clear" w:color="auto" w:fill="D9D9D9"/>
          </w:tcPr>
          <w:p w:rsidR="00403881" w:rsidRPr="008A7364" w:rsidRDefault="00403881" w:rsidP="00C55FEC">
            <w:pPr>
              <w:spacing w:before="60" w:after="40" w:line="240" w:lineRule="auto"/>
              <w:jc w:val="center"/>
              <w:rPr>
                <w:rFonts w:cs="Arial"/>
                <w:b/>
                <w:sz w:val="18"/>
                <w:szCs w:val="18"/>
              </w:rPr>
            </w:pPr>
            <w:r w:rsidRPr="008A7364">
              <w:rPr>
                <w:rFonts w:cs="Arial"/>
                <w:b/>
                <w:sz w:val="18"/>
                <w:szCs w:val="18"/>
              </w:rPr>
              <w:t>CARACTERIZAÇÃO</w:t>
            </w:r>
          </w:p>
        </w:tc>
      </w:tr>
      <w:tr w:rsidR="00403881" w:rsidRPr="008A7364" w:rsidTr="00C55FEC">
        <w:trPr>
          <w:trHeight w:hRule="exact" w:val="340"/>
          <w:tblHeader/>
        </w:trPr>
        <w:tc>
          <w:tcPr>
            <w:tcW w:w="188" w:type="pct"/>
            <w:vMerge/>
            <w:shd w:val="clear" w:color="auto" w:fill="D9D9D9"/>
          </w:tcPr>
          <w:p w:rsidR="00403881" w:rsidRPr="008A7364" w:rsidRDefault="00403881" w:rsidP="00C55FEC">
            <w:pPr>
              <w:spacing w:before="120" w:after="120" w:line="240" w:lineRule="auto"/>
              <w:jc w:val="center"/>
              <w:rPr>
                <w:rFonts w:cs="Arial"/>
                <w:b/>
                <w:sz w:val="18"/>
                <w:szCs w:val="18"/>
              </w:rPr>
            </w:pPr>
          </w:p>
        </w:tc>
        <w:tc>
          <w:tcPr>
            <w:tcW w:w="249" w:type="pct"/>
            <w:vMerge/>
            <w:shd w:val="clear" w:color="auto" w:fill="D9D9D9"/>
          </w:tcPr>
          <w:p w:rsidR="00403881" w:rsidRPr="008A7364" w:rsidRDefault="00403881" w:rsidP="00C55FEC">
            <w:pPr>
              <w:spacing w:before="120" w:after="120" w:line="240" w:lineRule="auto"/>
              <w:jc w:val="center"/>
              <w:rPr>
                <w:rFonts w:cs="Arial"/>
                <w:b/>
                <w:sz w:val="18"/>
                <w:szCs w:val="18"/>
              </w:rPr>
            </w:pPr>
          </w:p>
        </w:tc>
        <w:tc>
          <w:tcPr>
            <w:tcW w:w="894" w:type="pct"/>
            <w:vMerge/>
            <w:shd w:val="clear" w:color="auto" w:fill="D9D9D9"/>
          </w:tcPr>
          <w:p w:rsidR="00403881" w:rsidRPr="008A7364" w:rsidRDefault="00403881" w:rsidP="00C55FEC">
            <w:pPr>
              <w:spacing w:before="120" w:after="120" w:line="240" w:lineRule="auto"/>
              <w:jc w:val="center"/>
              <w:rPr>
                <w:rFonts w:cs="Arial"/>
                <w:b/>
                <w:sz w:val="18"/>
                <w:szCs w:val="18"/>
              </w:rPr>
            </w:pPr>
          </w:p>
        </w:tc>
        <w:tc>
          <w:tcPr>
            <w:tcW w:w="2546" w:type="pct"/>
            <w:gridSpan w:val="7"/>
            <w:shd w:val="clear" w:color="auto" w:fill="D9D9D9"/>
            <w:vAlign w:val="center"/>
          </w:tcPr>
          <w:p w:rsidR="00403881" w:rsidRPr="008A7364" w:rsidRDefault="00403881" w:rsidP="00C55FEC">
            <w:pPr>
              <w:spacing w:before="120" w:after="120" w:line="240" w:lineRule="auto"/>
              <w:jc w:val="center"/>
              <w:rPr>
                <w:rFonts w:cs="Arial"/>
                <w:b/>
                <w:sz w:val="16"/>
                <w:szCs w:val="16"/>
              </w:rPr>
            </w:pPr>
            <w:r w:rsidRPr="008A7364">
              <w:rPr>
                <w:rFonts w:cs="Arial"/>
                <w:b/>
                <w:sz w:val="16"/>
                <w:szCs w:val="16"/>
              </w:rPr>
              <w:t>Classificação</w:t>
            </w:r>
          </w:p>
        </w:tc>
        <w:tc>
          <w:tcPr>
            <w:tcW w:w="726" w:type="pct"/>
            <w:gridSpan w:val="2"/>
            <w:shd w:val="clear" w:color="auto" w:fill="D9D9D9"/>
            <w:vAlign w:val="center"/>
          </w:tcPr>
          <w:p w:rsidR="00403881" w:rsidRPr="008A7364" w:rsidRDefault="00403881" w:rsidP="00C55FEC">
            <w:pPr>
              <w:spacing w:before="120" w:after="120" w:line="240" w:lineRule="auto"/>
              <w:jc w:val="center"/>
              <w:rPr>
                <w:rFonts w:cs="Arial"/>
                <w:b/>
                <w:sz w:val="16"/>
                <w:szCs w:val="16"/>
              </w:rPr>
            </w:pPr>
            <w:r w:rsidRPr="008A7364">
              <w:rPr>
                <w:rFonts w:cs="Arial"/>
                <w:b/>
                <w:sz w:val="16"/>
                <w:szCs w:val="16"/>
              </w:rPr>
              <w:t>Mensuração</w:t>
            </w:r>
          </w:p>
        </w:tc>
        <w:tc>
          <w:tcPr>
            <w:tcW w:w="397" w:type="pct"/>
            <w:vMerge w:val="restart"/>
            <w:shd w:val="clear" w:color="auto" w:fill="D9D9D9"/>
            <w:vAlign w:val="center"/>
          </w:tcPr>
          <w:p w:rsidR="00403881" w:rsidRPr="008A7364" w:rsidRDefault="00403881" w:rsidP="00C55FEC">
            <w:pPr>
              <w:spacing w:before="120" w:after="120" w:line="240" w:lineRule="auto"/>
              <w:jc w:val="center"/>
              <w:rPr>
                <w:rFonts w:cs="Arial"/>
                <w:b/>
                <w:sz w:val="16"/>
                <w:szCs w:val="16"/>
              </w:rPr>
            </w:pPr>
            <w:r w:rsidRPr="008A7364">
              <w:rPr>
                <w:rFonts w:cs="Arial"/>
                <w:b/>
                <w:sz w:val="16"/>
                <w:szCs w:val="16"/>
              </w:rPr>
              <w:t>Mitigação</w:t>
            </w:r>
          </w:p>
        </w:tc>
      </w:tr>
      <w:tr w:rsidR="00403881" w:rsidRPr="008A7364" w:rsidTr="00C55FEC">
        <w:trPr>
          <w:trHeight w:val="447"/>
          <w:tblHeader/>
        </w:trPr>
        <w:tc>
          <w:tcPr>
            <w:tcW w:w="188" w:type="pct"/>
            <w:vMerge/>
            <w:shd w:val="clear" w:color="auto" w:fill="auto"/>
          </w:tcPr>
          <w:p w:rsidR="00403881" w:rsidRPr="008A7364" w:rsidRDefault="00403881" w:rsidP="00C55FEC">
            <w:pPr>
              <w:spacing w:before="120" w:after="120" w:line="240" w:lineRule="auto"/>
              <w:jc w:val="center"/>
              <w:rPr>
                <w:rFonts w:cs="Arial"/>
                <w:b/>
              </w:rPr>
            </w:pPr>
          </w:p>
        </w:tc>
        <w:tc>
          <w:tcPr>
            <w:tcW w:w="249" w:type="pct"/>
            <w:vMerge/>
            <w:shd w:val="clear" w:color="auto" w:fill="D9D9D9"/>
          </w:tcPr>
          <w:p w:rsidR="00403881" w:rsidRPr="008A7364" w:rsidRDefault="00403881" w:rsidP="00C55FEC">
            <w:pPr>
              <w:spacing w:before="120" w:after="120" w:line="240" w:lineRule="auto"/>
              <w:jc w:val="center"/>
              <w:rPr>
                <w:rFonts w:cs="Arial"/>
                <w:b/>
              </w:rPr>
            </w:pPr>
          </w:p>
        </w:tc>
        <w:tc>
          <w:tcPr>
            <w:tcW w:w="894" w:type="pct"/>
            <w:vMerge/>
            <w:shd w:val="clear" w:color="auto" w:fill="auto"/>
          </w:tcPr>
          <w:p w:rsidR="00403881" w:rsidRPr="008A7364" w:rsidRDefault="00403881" w:rsidP="00C55FEC">
            <w:pPr>
              <w:spacing w:before="120" w:after="120" w:line="240" w:lineRule="auto"/>
              <w:jc w:val="center"/>
              <w:rPr>
                <w:rFonts w:cs="Arial"/>
                <w:b/>
                <w:sz w:val="20"/>
              </w:rPr>
            </w:pPr>
          </w:p>
        </w:tc>
        <w:tc>
          <w:tcPr>
            <w:tcW w:w="335" w:type="pct"/>
            <w:shd w:val="clear" w:color="auto" w:fill="D9D9D9"/>
            <w:vAlign w:val="center"/>
          </w:tcPr>
          <w:p w:rsidR="00403881" w:rsidRPr="008A7364" w:rsidRDefault="00403881" w:rsidP="00C55FEC">
            <w:pPr>
              <w:spacing w:before="120" w:after="120" w:line="240" w:lineRule="auto"/>
              <w:jc w:val="center"/>
              <w:rPr>
                <w:rFonts w:cs="Arial"/>
                <w:b/>
                <w:sz w:val="16"/>
                <w:szCs w:val="16"/>
              </w:rPr>
            </w:pPr>
            <w:r w:rsidRPr="008A7364">
              <w:rPr>
                <w:rFonts w:cs="Arial"/>
                <w:b/>
                <w:sz w:val="16"/>
                <w:szCs w:val="16"/>
              </w:rPr>
              <w:t>Natureza</w:t>
            </w:r>
          </w:p>
        </w:tc>
        <w:tc>
          <w:tcPr>
            <w:tcW w:w="266" w:type="pct"/>
            <w:shd w:val="clear" w:color="auto" w:fill="D9D9D9"/>
            <w:vAlign w:val="center"/>
          </w:tcPr>
          <w:p w:rsidR="00403881" w:rsidRPr="008A7364" w:rsidRDefault="00403881" w:rsidP="00C55FEC">
            <w:pPr>
              <w:spacing w:before="120" w:after="120" w:line="240" w:lineRule="auto"/>
              <w:jc w:val="center"/>
              <w:rPr>
                <w:rFonts w:cs="Arial"/>
                <w:b/>
                <w:sz w:val="16"/>
                <w:szCs w:val="16"/>
              </w:rPr>
            </w:pPr>
            <w:r w:rsidRPr="008A7364">
              <w:rPr>
                <w:rFonts w:cs="Arial"/>
                <w:b/>
                <w:sz w:val="16"/>
                <w:szCs w:val="16"/>
              </w:rPr>
              <w:t>Ordem</w:t>
            </w:r>
          </w:p>
        </w:tc>
        <w:tc>
          <w:tcPr>
            <w:tcW w:w="449" w:type="pct"/>
            <w:shd w:val="clear" w:color="auto" w:fill="D9D9D9"/>
            <w:vAlign w:val="center"/>
          </w:tcPr>
          <w:p w:rsidR="00403881" w:rsidRPr="008A7364" w:rsidRDefault="00403881" w:rsidP="00C55FEC">
            <w:pPr>
              <w:spacing w:before="120" w:after="120" w:line="240" w:lineRule="auto"/>
              <w:jc w:val="center"/>
              <w:rPr>
                <w:rFonts w:cs="Arial"/>
                <w:b/>
                <w:sz w:val="16"/>
                <w:szCs w:val="16"/>
              </w:rPr>
            </w:pPr>
            <w:r w:rsidRPr="008A7364">
              <w:rPr>
                <w:rFonts w:cs="Arial"/>
                <w:b/>
                <w:sz w:val="16"/>
                <w:szCs w:val="16"/>
              </w:rPr>
              <w:t>Abrangência</w:t>
            </w:r>
          </w:p>
        </w:tc>
        <w:tc>
          <w:tcPr>
            <w:tcW w:w="398" w:type="pct"/>
            <w:shd w:val="clear" w:color="auto" w:fill="D9D9D9"/>
            <w:vAlign w:val="center"/>
          </w:tcPr>
          <w:p w:rsidR="00403881" w:rsidRPr="008A7364" w:rsidRDefault="00403881" w:rsidP="00C55FEC">
            <w:pPr>
              <w:spacing w:before="120" w:after="120" w:line="240" w:lineRule="auto"/>
              <w:jc w:val="center"/>
              <w:rPr>
                <w:rFonts w:cs="Arial"/>
                <w:b/>
                <w:sz w:val="16"/>
                <w:szCs w:val="16"/>
              </w:rPr>
            </w:pPr>
            <w:r w:rsidRPr="008A7364">
              <w:rPr>
                <w:rFonts w:cs="Arial"/>
                <w:b/>
                <w:sz w:val="16"/>
                <w:szCs w:val="16"/>
              </w:rPr>
              <w:t>Duração</w:t>
            </w:r>
          </w:p>
        </w:tc>
        <w:tc>
          <w:tcPr>
            <w:tcW w:w="299" w:type="pct"/>
            <w:shd w:val="clear" w:color="auto" w:fill="D9D9D9"/>
            <w:vAlign w:val="center"/>
          </w:tcPr>
          <w:p w:rsidR="00403881" w:rsidRPr="008A7364" w:rsidRDefault="00403881" w:rsidP="00C55FEC">
            <w:pPr>
              <w:spacing w:before="120" w:after="120" w:line="240" w:lineRule="auto"/>
              <w:jc w:val="center"/>
              <w:rPr>
                <w:rFonts w:cs="Arial"/>
                <w:b/>
                <w:sz w:val="16"/>
                <w:szCs w:val="16"/>
              </w:rPr>
            </w:pPr>
            <w:r w:rsidRPr="008A7364">
              <w:rPr>
                <w:rFonts w:cs="Arial"/>
                <w:b/>
                <w:sz w:val="16"/>
                <w:szCs w:val="16"/>
              </w:rPr>
              <w:t>Probabilidade</w:t>
            </w:r>
          </w:p>
        </w:tc>
        <w:tc>
          <w:tcPr>
            <w:tcW w:w="409" w:type="pct"/>
            <w:shd w:val="clear" w:color="auto" w:fill="D9D9D9"/>
            <w:vAlign w:val="center"/>
          </w:tcPr>
          <w:p w:rsidR="00403881" w:rsidRPr="008A7364" w:rsidRDefault="00403881" w:rsidP="00C55FEC">
            <w:pPr>
              <w:spacing w:before="120" w:after="120" w:line="240" w:lineRule="auto"/>
              <w:jc w:val="center"/>
              <w:rPr>
                <w:rFonts w:cs="Arial"/>
                <w:b/>
                <w:sz w:val="16"/>
                <w:szCs w:val="16"/>
              </w:rPr>
            </w:pPr>
            <w:r w:rsidRPr="008A7364">
              <w:rPr>
                <w:rFonts w:cs="Arial"/>
                <w:b/>
                <w:sz w:val="16"/>
                <w:szCs w:val="16"/>
              </w:rPr>
              <w:t>Época</w:t>
            </w:r>
          </w:p>
        </w:tc>
        <w:tc>
          <w:tcPr>
            <w:tcW w:w="390" w:type="pct"/>
            <w:shd w:val="clear" w:color="auto" w:fill="D9D9D9"/>
          </w:tcPr>
          <w:p w:rsidR="00403881" w:rsidRPr="008A7364" w:rsidRDefault="00BC7E61" w:rsidP="00C55FEC">
            <w:pPr>
              <w:spacing w:before="120" w:after="120" w:line="240" w:lineRule="auto"/>
              <w:jc w:val="center"/>
              <w:rPr>
                <w:rFonts w:cs="Arial"/>
                <w:b/>
                <w:sz w:val="16"/>
                <w:szCs w:val="16"/>
              </w:rPr>
            </w:pPr>
            <w:r w:rsidRPr="008A7364">
              <w:rPr>
                <w:rFonts w:cs="Arial"/>
                <w:b/>
                <w:sz w:val="16"/>
                <w:szCs w:val="16"/>
              </w:rPr>
              <w:t>Reversibi</w:t>
            </w:r>
            <w:r w:rsidR="0053626B">
              <w:rPr>
                <w:rFonts w:cs="Arial"/>
                <w:b/>
                <w:sz w:val="16"/>
                <w:szCs w:val="16"/>
              </w:rPr>
              <w:t>-</w:t>
            </w:r>
            <w:r w:rsidRPr="008A7364">
              <w:rPr>
                <w:rFonts w:cs="Arial"/>
                <w:b/>
                <w:sz w:val="16"/>
                <w:szCs w:val="16"/>
              </w:rPr>
              <w:t>lidade</w:t>
            </w:r>
          </w:p>
        </w:tc>
        <w:tc>
          <w:tcPr>
            <w:tcW w:w="383" w:type="pct"/>
            <w:shd w:val="clear" w:color="auto" w:fill="D9D9D9"/>
            <w:vAlign w:val="center"/>
          </w:tcPr>
          <w:p w:rsidR="00403881" w:rsidRPr="008A7364" w:rsidRDefault="00403881" w:rsidP="00C55FEC">
            <w:pPr>
              <w:spacing w:before="120" w:after="120" w:line="240" w:lineRule="auto"/>
              <w:jc w:val="center"/>
              <w:rPr>
                <w:rFonts w:cs="Arial"/>
                <w:b/>
                <w:sz w:val="16"/>
                <w:szCs w:val="16"/>
              </w:rPr>
            </w:pPr>
            <w:r w:rsidRPr="008A7364">
              <w:rPr>
                <w:rFonts w:cs="Arial"/>
                <w:b/>
                <w:sz w:val="16"/>
                <w:szCs w:val="16"/>
              </w:rPr>
              <w:t>Magnitude</w:t>
            </w:r>
          </w:p>
        </w:tc>
        <w:tc>
          <w:tcPr>
            <w:tcW w:w="343" w:type="pct"/>
            <w:shd w:val="clear" w:color="auto" w:fill="D9D9D9"/>
            <w:vAlign w:val="center"/>
          </w:tcPr>
          <w:p w:rsidR="00403881" w:rsidRPr="008A7364" w:rsidRDefault="00BC7E61" w:rsidP="00C55FEC">
            <w:pPr>
              <w:spacing w:before="120" w:after="120" w:line="240" w:lineRule="auto"/>
              <w:jc w:val="center"/>
              <w:rPr>
                <w:rFonts w:cs="Arial"/>
                <w:b/>
                <w:sz w:val="16"/>
                <w:szCs w:val="16"/>
              </w:rPr>
            </w:pPr>
            <w:r w:rsidRPr="008A7364">
              <w:rPr>
                <w:rFonts w:cs="Arial"/>
                <w:b/>
                <w:sz w:val="16"/>
                <w:szCs w:val="16"/>
              </w:rPr>
              <w:t>Impor</w:t>
            </w:r>
            <w:r w:rsidR="0053626B">
              <w:rPr>
                <w:rFonts w:cs="Arial"/>
                <w:b/>
                <w:sz w:val="16"/>
                <w:szCs w:val="16"/>
              </w:rPr>
              <w:t>-</w:t>
            </w:r>
            <w:r w:rsidRPr="008A7364">
              <w:rPr>
                <w:rFonts w:cs="Arial"/>
                <w:b/>
                <w:sz w:val="16"/>
                <w:szCs w:val="16"/>
              </w:rPr>
              <w:t>tância</w:t>
            </w:r>
          </w:p>
        </w:tc>
        <w:tc>
          <w:tcPr>
            <w:tcW w:w="397" w:type="pct"/>
            <w:vMerge/>
            <w:shd w:val="clear" w:color="auto" w:fill="auto"/>
          </w:tcPr>
          <w:p w:rsidR="00403881" w:rsidRPr="008A7364" w:rsidRDefault="00403881" w:rsidP="00C55FEC">
            <w:pPr>
              <w:spacing w:before="120" w:after="120" w:line="240" w:lineRule="auto"/>
              <w:jc w:val="center"/>
              <w:rPr>
                <w:rFonts w:cs="Arial"/>
                <w:b/>
                <w:sz w:val="16"/>
                <w:szCs w:val="16"/>
              </w:rPr>
            </w:pPr>
          </w:p>
        </w:tc>
      </w:tr>
      <w:tr w:rsidR="0009787E" w:rsidRPr="008A7364" w:rsidTr="008464FB">
        <w:trPr>
          <w:cantSplit/>
          <w:trHeight w:hRule="exact" w:val="324"/>
        </w:trPr>
        <w:tc>
          <w:tcPr>
            <w:tcW w:w="188" w:type="pct"/>
            <w:shd w:val="clear" w:color="auto" w:fill="auto"/>
            <w:vAlign w:val="center"/>
          </w:tcPr>
          <w:p w:rsidR="0009787E" w:rsidRPr="008A7364" w:rsidRDefault="0009787E" w:rsidP="000F796F">
            <w:pPr>
              <w:spacing w:line="240" w:lineRule="auto"/>
              <w:jc w:val="left"/>
              <w:rPr>
                <w:rFonts w:cs="Arial"/>
                <w:sz w:val="16"/>
                <w:szCs w:val="16"/>
              </w:rPr>
            </w:pPr>
            <w:r>
              <w:rPr>
                <w:rFonts w:cs="Arial"/>
                <w:sz w:val="16"/>
                <w:szCs w:val="16"/>
              </w:rPr>
              <w:t>26</w:t>
            </w:r>
          </w:p>
        </w:tc>
        <w:tc>
          <w:tcPr>
            <w:tcW w:w="249" w:type="pct"/>
            <w:vMerge w:val="restart"/>
            <w:shd w:val="clear" w:color="auto" w:fill="auto"/>
            <w:textDirection w:val="btLr"/>
            <w:vAlign w:val="center"/>
          </w:tcPr>
          <w:p w:rsidR="0009787E" w:rsidRPr="00403881" w:rsidRDefault="0009787E" w:rsidP="008A7364">
            <w:pPr>
              <w:ind w:left="113" w:right="113"/>
              <w:jc w:val="center"/>
              <w:rPr>
                <w:rFonts w:cs="Arial"/>
                <w:b/>
                <w:szCs w:val="22"/>
              </w:rPr>
            </w:pPr>
            <w:r w:rsidRPr="00403881">
              <w:rPr>
                <w:rFonts w:cs="Arial"/>
                <w:b/>
                <w:szCs w:val="22"/>
              </w:rPr>
              <w:t>Meio Biótico</w:t>
            </w:r>
          </w:p>
        </w:tc>
        <w:tc>
          <w:tcPr>
            <w:tcW w:w="4563" w:type="pct"/>
            <w:gridSpan w:val="11"/>
            <w:shd w:val="clear" w:color="auto" w:fill="auto"/>
            <w:vAlign w:val="center"/>
          </w:tcPr>
          <w:p w:rsidR="0009787E" w:rsidRPr="008A7364" w:rsidRDefault="0009787E" w:rsidP="007A3613">
            <w:pPr>
              <w:spacing w:line="240" w:lineRule="auto"/>
              <w:rPr>
                <w:rFonts w:cs="Arial"/>
                <w:sz w:val="16"/>
                <w:szCs w:val="16"/>
              </w:rPr>
            </w:pPr>
            <w:r>
              <w:rPr>
                <w:sz w:val="16"/>
                <w:szCs w:val="16"/>
              </w:rPr>
              <w:t>Interferências em Áreas Legalmente Protegidas</w:t>
            </w:r>
          </w:p>
        </w:tc>
      </w:tr>
      <w:tr w:rsidR="0009787E" w:rsidRPr="008A7364" w:rsidTr="008464FB">
        <w:trPr>
          <w:cantSplit/>
          <w:trHeight w:hRule="exact" w:val="745"/>
        </w:trPr>
        <w:tc>
          <w:tcPr>
            <w:tcW w:w="188" w:type="pct"/>
            <w:shd w:val="clear" w:color="auto" w:fill="auto"/>
            <w:vAlign w:val="center"/>
          </w:tcPr>
          <w:p w:rsidR="0009787E" w:rsidRPr="008A7364" w:rsidRDefault="0009787E" w:rsidP="000F796F">
            <w:pPr>
              <w:spacing w:line="240" w:lineRule="auto"/>
              <w:jc w:val="left"/>
              <w:rPr>
                <w:rFonts w:cs="Arial"/>
                <w:sz w:val="16"/>
                <w:szCs w:val="16"/>
              </w:rPr>
            </w:pPr>
            <w:r w:rsidRPr="008A7364">
              <w:rPr>
                <w:rFonts w:cs="Arial"/>
                <w:sz w:val="16"/>
                <w:szCs w:val="16"/>
              </w:rPr>
              <w:t>26</w:t>
            </w:r>
            <w:r>
              <w:rPr>
                <w:rFonts w:cs="Arial"/>
                <w:sz w:val="16"/>
                <w:szCs w:val="16"/>
              </w:rPr>
              <w:t xml:space="preserve"> a</w:t>
            </w:r>
          </w:p>
        </w:tc>
        <w:tc>
          <w:tcPr>
            <w:tcW w:w="249" w:type="pct"/>
            <w:vMerge/>
            <w:shd w:val="clear" w:color="auto" w:fill="auto"/>
            <w:textDirection w:val="btLr"/>
            <w:vAlign w:val="center"/>
          </w:tcPr>
          <w:p w:rsidR="0009787E" w:rsidRPr="00403881" w:rsidRDefault="0009787E" w:rsidP="008A7364">
            <w:pPr>
              <w:ind w:left="113" w:right="113"/>
              <w:jc w:val="center"/>
              <w:rPr>
                <w:rFonts w:cs="Arial"/>
                <w:b/>
                <w:szCs w:val="22"/>
              </w:rPr>
            </w:pPr>
          </w:p>
        </w:tc>
        <w:tc>
          <w:tcPr>
            <w:tcW w:w="894" w:type="pct"/>
            <w:shd w:val="clear" w:color="auto" w:fill="auto"/>
            <w:vAlign w:val="center"/>
          </w:tcPr>
          <w:p w:rsidR="0009787E" w:rsidRPr="008A7364" w:rsidRDefault="0009787E" w:rsidP="007A3613">
            <w:pPr>
              <w:spacing w:line="240" w:lineRule="auto"/>
              <w:rPr>
                <w:sz w:val="16"/>
                <w:szCs w:val="16"/>
              </w:rPr>
            </w:pPr>
            <w:r w:rsidRPr="008A7364">
              <w:rPr>
                <w:sz w:val="16"/>
                <w:szCs w:val="16"/>
              </w:rPr>
              <w:t>Interferência em Áreas Proteção Ambiental</w:t>
            </w:r>
            <w:r>
              <w:rPr>
                <w:sz w:val="16"/>
                <w:szCs w:val="16"/>
              </w:rPr>
              <w:t xml:space="preserve"> (APA). Implantação.</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Regional (AII)</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BC7E61" w:rsidRDefault="0009787E" w:rsidP="008A7364">
            <w:pPr>
              <w:spacing w:line="240" w:lineRule="auto"/>
              <w:jc w:val="left"/>
              <w:rPr>
                <w:rFonts w:cs="Arial"/>
                <w:sz w:val="16"/>
                <w:szCs w:val="16"/>
              </w:rPr>
            </w:pPr>
            <w:r w:rsidRPr="00BC7E61">
              <w:rPr>
                <w:rFonts w:cs="Arial"/>
                <w:sz w:val="16"/>
                <w:szCs w:val="16"/>
              </w:rPr>
              <w:t>Certa</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r w:rsidR="0009787E" w:rsidRPr="008A7364" w:rsidTr="008464FB">
        <w:trPr>
          <w:cantSplit/>
          <w:trHeight w:hRule="exact" w:val="712"/>
        </w:trPr>
        <w:tc>
          <w:tcPr>
            <w:tcW w:w="188" w:type="pct"/>
            <w:shd w:val="clear" w:color="auto" w:fill="auto"/>
            <w:vAlign w:val="center"/>
          </w:tcPr>
          <w:p w:rsidR="0009787E" w:rsidRPr="008A7364" w:rsidRDefault="0009787E" w:rsidP="00EC0120">
            <w:pPr>
              <w:spacing w:line="240" w:lineRule="auto"/>
              <w:jc w:val="left"/>
              <w:rPr>
                <w:rFonts w:cs="Arial"/>
                <w:sz w:val="16"/>
                <w:szCs w:val="16"/>
              </w:rPr>
            </w:pPr>
            <w:r w:rsidRPr="008A7364">
              <w:rPr>
                <w:rFonts w:cs="Arial"/>
                <w:sz w:val="16"/>
                <w:szCs w:val="16"/>
              </w:rPr>
              <w:t>2</w:t>
            </w:r>
            <w:r>
              <w:rPr>
                <w:rFonts w:cs="Arial"/>
                <w:sz w:val="16"/>
                <w:szCs w:val="16"/>
              </w:rPr>
              <w:t>6 b</w:t>
            </w:r>
          </w:p>
        </w:tc>
        <w:tc>
          <w:tcPr>
            <w:tcW w:w="249" w:type="pct"/>
            <w:vMerge/>
            <w:shd w:val="clear" w:color="auto" w:fill="auto"/>
            <w:vAlign w:val="center"/>
          </w:tcPr>
          <w:p w:rsidR="0009787E" w:rsidRPr="008A7364" w:rsidRDefault="0009787E" w:rsidP="008A7364">
            <w:pPr>
              <w:ind w:left="113" w:right="113"/>
              <w:jc w:val="center"/>
              <w:rPr>
                <w:rFonts w:cs="Arial"/>
                <w:sz w:val="16"/>
                <w:szCs w:val="16"/>
              </w:rPr>
            </w:pPr>
          </w:p>
        </w:tc>
        <w:tc>
          <w:tcPr>
            <w:tcW w:w="894" w:type="pct"/>
            <w:shd w:val="clear" w:color="auto" w:fill="auto"/>
            <w:vAlign w:val="center"/>
          </w:tcPr>
          <w:p w:rsidR="0009787E" w:rsidRPr="008A7364" w:rsidRDefault="0009787E" w:rsidP="007A3613">
            <w:pPr>
              <w:spacing w:line="240" w:lineRule="auto"/>
              <w:rPr>
                <w:sz w:val="16"/>
                <w:szCs w:val="16"/>
              </w:rPr>
            </w:pPr>
            <w:r w:rsidRPr="008A7364">
              <w:rPr>
                <w:sz w:val="16"/>
                <w:szCs w:val="16"/>
              </w:rPr>
              <w:t>Interferência em Áreas de Preservação Permanente (</w:t>
            </w:r>
            <w:r>
              <w:rPr>
                <w:sz w:val="16"/>
                <w:szCs w:val="16"/>
              </w:rPr>
              <w:t>APP</w:t>
            </w:r>
            <w:r w:rsidRPr="008A7364">
              <w:rPr>
                <w:sz w:val="16"/>
                <w:szCs w:val="16"/>
              </w:rPr>
              <w:t>)</w:t>
            </w:r>
            <w:r>
              <w:rPr>
                <w:sz w:val="16"/>
                <w:szCs w:val="16"/>
              </w:rPr>
              <w:t>. Implantação</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(ADA)</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BC7E61" w:rsidRDefault="0009787E" w:rsidP="008A7364">
            <w:pPr>
              <w:spacing w:line="240" w:lineRule="auto"/>
              <w:jc w:val="left"/>
              <w:rPr>
                <w:rFonts w:cs="Arial"/>
                <w:sz w:val="16"/>
                <w:szCs w:val="16"/>
              </w:rPr>
            </w:pPr>
            <w:r w:rsidRPr="00BC7E61">
              <w:rPr>
                <w:rFonts w:cs="Arial"/>
                <w:sz w:val="16"/>
                <w:szCs w:val="16"/>
              </w:rPr>
              <w:t>Certa</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Não Mitigável</w:t>
            </w:r>
          </w:p>
        </w:tc>
      </w:tr>
      <w:tr w:rsidR="00087C57" w:rsidRPr="008A7364" w:rsidTr="008464FB">
        <w:trPr>
          <w:trHeight w:hRule="exact" w:val="236"/>
        </w:trPr>
        <w:tc>
          <w:tcPr>
            <w:tcW w:w="188" w:type="pct"/>
            <w:shd w:val="clear" w:color="auto" w:fill="auto"/>
            <w:vAlign w:val="center"/>
          </w:tcPr>
          <w:p w:rsidR="00087C57" w:rsidRDefault="00087C57" w:rsidP="00EC0120">
            <w:pPr>
              <w:spacing w:line="240" w:lineRule="auto"/>
              <w:jc w:val="left"/>
              <w:rPr>
                <w:rFonts w:cs="Arial"/>
                <w:sz w:val="16"/>
                <w:szCs w:val="16"/>
              </w:rPr>
            </w:pPr>
            <w:r>
              <w:rPr>
                <w:rFonts w:cs="Arial"/>
                <w:sz w:val="16"/>
                <w:szCs w:val="16"/>
              </w:rPr>
              <w:t>27</w:t>
            </w:r>
          </w:p>
        </w:tc>
        <w:tc>
          <w:tcPr>
            <w:tcW w:w="249" w:type="pct"/>
            <w:vMerge/>
            <w:shd w:val="clear" w:color="auto" w:fill="auto"/>
            <w:textDirection w:val="btLr"/>
            <w:vAlign w:val="center"/>
          </w:tcPr>
          <w:p w:rsidR="00087C57" w:rsidRPr="008A7364" w:rsidRDefault="00087C57" w:rsidP="008A7364">
            <w:pPr>
              <w:spacing w:line="240" w:lineRule="auto"/>
              <w:ind w:left="113" w:right="113"/>
              <w:jc w:val="center"/>
              <w:rPr>
                <w:rFonts w:cs="Arial"/>
                <w:sz w:val="20"/>
              </w:rPr>
            </w:pPr>
          </w:p>
        </w:tc>
        <w:tc>
          <w:tcPr>
            <w:tcW w:w="4563" w:type="pct"/>
            <w:gridSpan w:val="11"/>
            <w:shd w:val="clear" w:color="auto" w:fill="auto"/>
            <w:vAlign w:val="center"/>
          </w:tcPr>
          <w:p w:rsidR="00087C57" w:rsidRPr="008A7364" w:rsidRDefault="00087C57" w:rsidP="007A3613">
            <w:pPr>
              <w:spacing w:line="240" w:lineRule="auto"/>
              <w:rPr>
                <w:rFonts w:cs="Arial"/>
                <w:sz w:val="16"/>
                <w:szCs w:val="16"/>
              </w:rPr>
            </w:pPr>
            <w:r w:rsidRPr="008A7364">
              <w:rPr>
                <w:sz w:val="16"/>
                <w:szCs w:val="16"/>
              </w:rPr>
              <w:t>Alteração nas Comunidades Aquáticas Planctônicas e Bentônicas</w:t>
            </w:r>
          </w:p>
        </w:tc>
      </w:tr>
      <w:tr w:rsidR="0009787E" w:rsidRPr="008A7364" w:rsidTr="008464FB">
        <w:trPr>
          <w:trHeight w:hRule="exact" w:val="784"/>
        </w:trPr>
        <w:tc>
          <w:tcPr>
            <w:tcW w:w="188" w:type="pct"/>
            <w:shd w:val="clear" w:color="auto" w:fill="auto"/>
            <w:vAlign w:val="center"/>
          </w:tcPr>
          <w:p w:rsidR="0009787E" w:rsidRPr="008A7364" w:rsidRDefault="0009787E" w:rsidP="00EC0120">
            <w:pPr>
              <w:spacing w:line="240" w:lineRule="auto"/>
              <w:jc w:val="left"/>
              <w:rPr>
                <w:rFonts w:cs="Arial"/>
                <w:sz w:val="16"/>
                <w:szCs w:val="16"/>
              </w:rPr>
            </w:pPr>
            <w:r>
              <w:rPr>
                <w:rFonts w:cs="Arial"/>
                <w:sz w:val="16"/>
                <w:szCs w:val="16"/>
              </w:rPr>
              <w:t>2</w:t>
            </w:r>
            <w:r w:rsidRPr="008A7364">
              <w:rPr>
                <w:rFonts w:cs="Arial"/>
                <w:sz w:val="16"/>
                <w:szCs w:val="16"/>
              </w:rPr>
              <w:t>7</w:t>
            </w:r>
            <w:r>
              <w:rPr>
                <w:rFonts w:cs="Arial"/>
                <w:sz w:val="16"/>
                <w:szCs w:val="16"/>
              </w:rPr>
              <w:t xml:space="preserve"> a</w:t>
            </w:r>
          </w:p>
        </w:tc>
        <w:tc>
          <w:tcPr>
            <w:tcW w:w="249" w:type="pct"/>
            <w:vMerge/>
            <w:shd w:val="clear" w:color="auto" w:fill="auto"/>
            <w:textDirection w:val="btLr"/>
            <w:vAlign w:val="center"/>
          </w:tcPr>
          <w:p w:rsidR="0009787E" w:rsidRPr="008A7364" w:rsidRDefault="0009787E" w:rsidP="008A7364">
            <w:pPr>
              <w:spacing w:line="240" w:lineRule="auto"/>
              <w:ind w:left="113" w:right="113"/>
              <w:jc w:val="center"/>
              <w:rPr>
                <w:rFonts w:cs="Arial"/>
                <w:sz w:val="20"/>
              </w:rPr>
            </w:pPr>
          </w:p>
        </w:tc>
        <w:tc>
          <w:tcPr>
            <w:tcW w:w="894" w:type="pct"/>
            <w:shd w:val="clear" w:color="auto" w:fill="auto"/>
            <w:vAlign w:val="center"/>
          </w:tcPr>
          <w:p w:rsidR="0009787E" w:rsidRPr="008A7364" w:rsidRDefault="0009787E" w:rsidP="007A3613">
            <w:pPr>
              <w:spacing w:before="20" w:after="20" w:line="240" w:lineRule="auto"/>
              <w:rPr>
                <w:sz w:val="16"/>
                <w:szCs w:val="16"/>
              </w:rPr>
            </w:pPr>
            <w:r w:rsidRPr="008A7364">
              <w:rPr>
                <w:sz w:val="16"/>
                <w:szCs w:val="16"/>
              </w:rPr>
              <w:t>Alteração nas Comunidades Aquáticas Planctônicas e Bentônicas</w:t>
            </w:r>
            <w:r>
              <w:rPr>
                <w:sz w:val="16"/>
                <w:szCs w:val="16"/>
              </w:rPr>
              <w:t>. Implantação</w:t>
            </w:r>
            <w:r w:rsidRPr="008A7364">
              <w:rPr>
                <w:sz w:val="16"/>
                <w:szCs w:val="16"/>
              </w:rPr>
              <w:t xml:space="preserve"> (PEDREIRA)</w:t>
            </w:r>
          </w:p>
        </w:tc>
        <w:tc>
          <w:tcPr>
            <w:tcW w:w="335" w:type="pct"/>
            <w:shd w:val="clear" w:color="auto" w:fill="auto"/>
            <w:vAlign w:val="center"/>
          </w:tcPr>
          <w:p w:rsidR="0009787E" w:rsidRPr="008A7364" w:rsidRDefault="0009787E" w:rsidP="008A7364">
            <w:pPr>
              <w:spacing w:line="240" w:lineRule="auto"/>
              <w:jc w:val="left"/>
              <w:rPr>
                <w:rFonts w:cs="Arial"/>
                <w:sz w:val="20"/>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(AID/ADA)</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BC7E61" w:rsidRDefault="0009787E" w:rsidP="008A7364">
            <w:pPr>
              <w:spacing w:line="240" w:lineRule="auto"/>
              <w:jc w:val="left"/>
              <w:rPr>
                <w:rFonts w:cs="Arial"/>
                <w:sz w:val="16"/>
                <w:szCs w:val="16"/>
              </w:rPr>
            </w:pPr>
            <w:r w:rsidRPr="00BC7E61">
              <w:rPr>
                <w:rFonts w:cs="Arial"/>
                <w:sz w:val="16"/>
                <w:szCs w:val="16"/>
              </w:rPr>
              <w:t>Provável</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r w:rsidR="0009787E" w:rsidRPr="008A7364" w:rsidTr="008464FB">
        <w:trPr>
          <w:trHeight w:hRule="exact" w:val="854"/>
        </w:trPr>
        <w:tc>
          <w:tcPr>
            <w:tcW w:w="188" w:type="pct"/>
            <w:shd w:val="clear" w:color="auto" w:fill="auto"/>
            <w:vAlign w:val="center"/>
          </w:tcPr>
          <w:p w:rsidR="0009787E" w:rsidRPr="008A7364" w:rsidRDefault="0009787E" w:rsidP="00EC0120">
            <w:pPr>
              <w:spacing w:line="240" w:lineRule="auto"/>
              <w:jc w:val="left"/>
              <w:rPr>
                <w:rFonts w:cs="Arial"/>
                <w:sz w:val="16"/>
                <w:szCs w:val="16"/>
              </w:rPr>
            </w:pPr>
            <w:r w:rsidRPr="008A7364">
              <w:rPr>
                <w:rFonts w:cs="Arial"/>
                <w:sz w:val="16"/>
                <w:szCs w:val="16"/>
              </w:rPr>
              <w:t>27</w:t>
            </w:r>
            <w:r>
              <w:rPr>
                <w:rFonts w:cs="Arial"/>
                <w:sz w:val="16"/>
                <w:szCs w:val="16"/>
              </w:rPr>
              <w:t xml:space="preserve"> a</w:t>
            </w:r>
          </w:p>
        </w:tc>
        <w:tc>
          <w:tcPr>
            <w:tcW w:w="249" w:type="pct"/>
            <w:vMerge/>
            <w:shd w:val="clear" w:color="auto" w:fill="auto"/>
            <w:textDirection w:val="btLr"/>
            <w:vAlign w:val="center"/>
          </w:tcPr>
          <w:p w:rsidR="0009787E" w:rsidRPr="008A7364" w:rsidRDefault="0009787E" w:rsidP="008A7364">
            <w:pPr>
              <w:spacing w:line="240" w:lineRule="auto"/>
              <w:ind w:left="113" w:right="113"/>
              <w:jc w:val="center"/>
              <w:rPr>
                <w:rFonts w:cs="Arial"/>
                <w:sz w:val="20"/>
              </w:rPr>
            </w:pPr>
          </w:p>
        </w:tc>
        <w:tc>
          <w:tcPr>
            <w:tcW w:w="894" w:type="pct"/>
            <w:shd w:val="clear" w:color="auto" w:fill="auto"/>
            <w:vAlign w:val="center"/>
          </w:tcPr>
          <w:p w:rsidR="0009787E" w:rsidRDefault="0009787E" w:rsidP="007A3613">
            <w:pPr>
              <w:spacing w:before="20" w:after="20" w:line="240" w:lineRule="auto"/>
              <w:rPr>
                <w:sz w:val="16"/>
                <w:szCs w:val="16"/>
              </w:rPr>
            </w:pPr>
            <w:r w:rsidRPr="008A7364">
              <w:rPr>
                <w:sz w:val="16"/>
                <w:szCs w:val="16"/>
              </w:rPr>
              <w:t>Alteração nas Comunidades Aquáticas Planctônicas e Bentônicas</w:t>
            </w:r>
            <w:r>
              <w:rPr>
                <w:sz w:val="16"/>
                <w:szCs w:val="16"/>
              </w:rPr>
              <w:t xml:space="preserve">. Implantação </w:t>
            </w:r>
          </w:p>
          <w:p w:rsidR="0009787E" w:rsidRPr="008A7364" w:rsidRDefault="0009787E" w:rsidP="007A3613">
            <w:pPr>
              <w:spacing w:before="20" w:after="20" w:line="240" w:lineRule="auto"/>
              <w:rPr>
                <w:sz w:val="16"/>
                <w:szCs w:val="16"/>
              </w:rPr>
            </w:pPr>
            <w:r w:rsidRPr="008A7364">
              <w:rPr>
                <w:sz w:val="16"/>
                <w:szCs w:val="16"/>
              </w:rPr>
              <w:t>(DUAS PONTES)</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(AID/ADA)</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BC7E61" w:rsidRDefault="0009787E" w:rsidP="008A7364">
            <w:pPr>
              <w:spacing w:line="240" w:lineRule="auto"/>
              <w:jc w:val="left"/>
              <w:rPr>
                <w:rFonts w:cs="Arial"/>
                <w:sz w:val="16"/>
                <w:szCs w:val="16"/>
              </w:rPr>
            </w:pPr>
            <w:r w:rsidRPr="00BC7E61">
              <w:rPr>
                <w:rFonts w:cs="Arial"/>
                <w:sz w:val="16"/>
                <w:szCs w:val="16"/>
              </w:rPr>
              <w:t>Provável</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 xml:space="preserve">Grande </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r w:rsidR="0009787E" w:rsidRPr="008A7364" w:rsidTr="008464FB">
        <w:trPr>
          <w:trHeight w:hRule="exact" w:val="854"/>
        </w:trPr>
        <w:tc>
          <w:tcPr>
            <w:tcW w:w="188" w:type="pct"/>
            <w:shd w:val="clear" w:color="auto" w:fill="auto"/>
            <w:vAlign w:val="center"/>
          </w:tcPr>
          <w:p w:rsidR="0009787E" w:rsidRPr="008A7364" w:rsidRDefault="0009787E" w:rsidP="00EC0120">
            <w:pPr>
              <w:spacing w:line="240" w:lineRule="auto"/>
              <w:jc w:val="left"/>
              <w:rPr>
                <w:rFonts w:cs="Arial"/>
                <w:sz w:val="16"/>
                <w:szCs w:val="16"/>
              </w:rPr>
            </w:pPr>
            <w:r>
              <w:rPr>
                <w:rFonts w:cs="Arial"/>
                <w:sz w:val="16"/>
                <w:szCs w:val="16"/>
              </w:rPr>
              <w:t>27 b</w:t>
            </w:r>
          </w:p>
        </w:tc>
        <w:tc>
          <w:tcPr>
            <w:tcW w:w="249" w:type="pct"/>
            <w:vMerge/>
            <w:shd w:val="clear" w:color="auto" w:fill="auto"/>
            <w:textDirection w:val="btLr"/>
            <w:vAlign w:val="center"/>
          </w:tcPr>
          <w:p w:rsidR="0009787E" w:rsidRPr="008A7364" w:rsidRDefault="0009787E" w:rsidP="008A7364">
            <w:pPr>
              <w:spacing w:line="240" w:lineRule="auto"/>
              <w:ind w:left="113" w:right="113"/>
              <w:jc w:val="center"/>
              <w:rPr>
                <w:rFonts w:cs="Arial"/>
                <w:sz w:val="20"/>
              </w:rPr>
            </w:pPr>
          </w:p>
        </w:tc>
        <w:tc>
          <w:tcPr>
            <w:tcW w:w="894" w:type="pct"/>
            <w:shd w:val="clear" w:color="auto" w:fill="auto"/>
            <w:vAlign w:val="center"/>
          </w:tcPr>
          <w:p w:rsidR="0009787E" w:rsidRPr="008A7364" w:rsidRDefault="0009787E" w:rsidP="007A3613">
            <w:pPr>
              <w:spacing w:before="20" w:after="20" w:line="240" w:lineRule="auto"/>
              <w:rPr>
                <w:sz w:val="16"/>
                <w:szCs w:val="16"/>
              </w:rPr>
            </w:pPr>
            <w:r w:rsidRPr="008A7364">
              <w:rPr>
                <w:sz w:val="16"/>
                <w:szCs w:val="16"/>
              </w:rPr>
              <w:t>Alteração nas Comunidades Aquáticas Planctônicas e Bentônicas</w:t>
            </w:r>
            <w:r>
              <w:rPr>
                <w:sz w:val="16"/>
                <w:szCs w:val="16"/>
              </w:rPr>
              <w:t xml:space="preserve">. Operação </w:t>
            </w:r>
            <w:r w:rsidRPr="008A7364">
              <w:rPr>
                <w:sz w:val="16"/>
                <w:szCs w:val="16"/>
              </w:rPr>
              <w:t>(PEDREIRA)</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(AID/ADA)</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BC7E61" w:rsidRDefault="0009787E" w:rsidP="008A7364">
            <w:pPr>
              <w:spacing w:line="240" w:lineRule="auto"/>
              <w:jc w:val="left"/>
              <w:rPr>
                <w:rFonts w:cs="Arial"/>
                <w:sz w:val="16"/>
                <w:szCs w:val="16"/>
              </w:rPr>
            </w:pPr>
            <w:r w:rsidRPr="00BC7E61">
              <w:rPr>
                <w:rFonts w:cs="Arial"/>
                <w:sz w:val="16"/>
                <w:szCs w:val="16"/>
              </w:rPr>
              <w:t>Provável</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r w:rsidR="0009787E" w:rsidRPr="008A7364" w:rsidTr="008464FB">
        <w:trPr>
          <w:trHeight w:hRule="exact" w:val="854"/>
        </w:trPr>
        <w:tc>
          <w:tcPr>
            <w:tcW w:w="188" w:type="pct"/>
            <w:shd w:val="clear" w:color="auto" w:fill="auto"/>
            <w:vAlign w:val="center"/>
          </w:tcPr>
          <w:p w:rsidR="0009787E" w:rsidRPr="008A7364" w:rsidRDefault="0009787E" w:rsidP="00EC0120">
            <w:pPr>
              <w:spacing w:line="240" w:lineRule="auto"/>
              <w:jc w:val="left"/>
              <w:rPr>
                <w:rFonts w:cs="Arial"/>
                <w:sz w:val="16"/>
                <w:szCs w:val="16"/>
              </w:rPr>
            </w:pPr>
            <w:r>
              <w:rPr>
                <w:rFonts w:cs="Arial"/>
                <w:sz w:val="16"/>
                <w:szCs w:val="16"/>
              </w:rPr>
              <w:t>27 b</w:t>
            </w:r>
          </w:p>
        </w:tc>
        <w:tc>
          <w:tcPr>
            <w:tcW w:w="249" w:type="pct"/>
            <w:vMerge/>
            <w:shd w:val="clear" w:color="auto" w:fill="auto"/>
            <w:textDirection w:val="btLr"/>
            <w:vAlign w:val="center"/>
          </w:tcPr>
          <w:p w:rsidR="0009787E" w:rsidRPr="008A7364" w:rsidRDefault="0009787E" w:rsidP="008A7364">
            <w:pPr>
              <w:spacing w:line="240" w:lineRule="auto"/>
              <w:ind w:left="113" w:right="113"/>
              <w:jc w:val="center"/>
              <w:rPr>
                <w:rFonts w:cs="Arial"/>
                <w:sz w:val="20"/>
              </w:rPr>
            </w:pPr>
          </w:p>
        </w:tc>
        <w:tc>
          <w:tcPr>
            <w:tcW w:w="894" w:type="pct"/>
            <w:shd w:val="clear" w:color="auto" w:fill="auto"/>
            <w:vAlign w:val="center"/>
          </w:tcPr>
          <w:p w:rsidR="0009787E" w:rsidRDefault="0009787E" w:rsidP="007A3613">
            <w:pPr>
              <w:spacing w:before="20" w:after="40" w:line="240" w:lineRule="auto"/>
              <w:rPr>
                <w:sz w:val="16"/>
                <w:szCs w:val="16"/>
              </w:rPr>
            </w:pPr>
            <w:r w:rsidRPr="008A7364">
              <w:rPr>
                <w:sz w:val="16"/>
                <w:szCs w:val="16"/>
              </w:rPr>
              <w:t>Alteração nas Comunidades Aquáticas Planctônicas e Bentônicas</w:t>
            </w:r>
            <w:r>
              <w:rPr>
                <w:sz w:val="16"/>
                <w:szCs w:val="16"/>
              </w:rPr>
              <w:t xml:space="preserve">. Operação </w:t>
            </w:r>
          </w:p>
          <w:p w:rsidR="0009787E" w:rsidRPr="008A7364" w:rsidRDefault="0009787E" w:rsidP="007A3613">
            <w:pPr>
              <w:spacing w:before="20" w:after="20" w:line="240" w:lineRule="auto"/>
              <w:rPr>
                <w:sz w:val="16"/>
                <w:szCs w:val="16"/>
              </w:rPr>
            </w:pPr>
            <w:r w:rsidRPr="008A7364">
              <w:rPr>
                <w:sz w:val="16"/>
                <w:szCs w:val="16"/>
              </w:rPr>
              <w:t>(</w:t>
            </w:r>
            <w:r>
              <w:rPr>
                <w:sz w:val="16"/>
                <w:szCs w:val="16"/>
              </w:rPr>
              <w:t>DUAS PONTES</w:t>
            </w:r>
            <w:r w:rsidRPr="008A7364">
              <w:rPr>
                <w:sz w:val="16"/>
                <w:szCs w:val="16"/>
              </w:rPr>
              <w:t>)</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(AID/ADA)</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9787E" w:rsidRPr="00BC7E61" w:rsidRDefault="0009787E" w:rsidP="008A7364">
            <w:pPr>
              <w:spacing w:line="240" w:lineRule="auto"/>
              <w:jc w:val="left"/>
              <w:rPr>
                <w:rFonts w:cs="Arial"/>
                <w:sz w:val="16"/>
                <w:szCs w:val="16"/>
              </w:rPr>
            </w:pPr>
            <w:r w:rsidRPr="00BC7E61">
              <w:rPr>
                <w:rFonts w:cs="Arial"/>
                <w:sz w:val="16"/>
                <w:szCs w:val="16"/>
              </w:rPr>
              <w:t>Provável</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 xml:space="preserve">Grande </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r w:rsidR="00087C57" w:rsidRPr="008A7364" w:rsidTr="008464FB">
        <w:trPr>
          <w:trHeight w:hRule="exact" w:val="329"/>
        </w:trPr>
        <w:tc>
          <w:tcPr>
            <w:tcW w:w="188" w:type="pct"/>
            <w:shd w:val="clear" w:color="auto" w:fill="auto"/>
            <w:vAlign w:val="center"/>
          </w:tcPr>
          <w:p w:rsidR="00087C57" w:rsidRPr="008A7364" w:rsidRDefault="00087C57" w:rsidP="003031D7">
            <w:pPr>
              <w:spacing w:line="240" w:lineRule="auto"/>
              <w:jc w:val="left"/>
              <w:rPr>
                <w:rFonts w:cs="Arial"/>
                <w:sz w:val="16"/>
                <w:szCs w:val="16"/>
              </w:rPr>
            </w:pPr>
            <w:r>
              <w:rPr>
                <w:rFonts w:cs="Arial"/>
                <w:sz w:val="16"/>
                <w:szCs w:val="16"/>
              </w:rPr>
              <w:t>28</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4563" w:type="pct"/>
            <w:gridSpan w:val="11"/>
            <w:shd w:val="clear" w:color="auto" w:fill="auto"/>
            <w:vAlign w:val="center"/>
          </w:tcPr>
          <w:p w:rsidR="00087C57" w:rsidRPr="008A7364" w:rsidRDefault="00087C57" w:rsidP="007A3613">
            <w:pPr>
              <w:spacing w:line="240" w:lineRule="auto"/>
              <w:rPr>
                <w:rFonts w:cs="Arial"/>
                <w:sz w:val="16"/>
                <w:szCs w:val="16"/>
              </w:rPr>
            </w:pPr>
            <w:r w:rsidRPr="008A7364">
              <w:rPr>
                <w:sz w:val="16"/>
                <w:szCs w:val="16"/>
              </w:rPr>
              <w:t>Floração de Cianobactérias Potencial</w:t>
            </w:r>
            <w:r>
              <w:rPr>
                <w:sz w:val="16"/>
                <w:szCs w:val="16"/>
              </w:rPr>
              <w:t>mente Tóxicas.</w:t>
            </w:r>
          </w:p>
        </w:tc>
      </w:tr>
      <w:tr w:rsidR="0009787E" w:rsidRPr="008A7364" w:rsidTr="008464FB">
        <w:trPr>
          <w:trHeight w:hRule="exact" w:val="600"/>
        </w:trPr>
        <w:tc>
          <w:tcPr>
            <w:tcW w:w="188" w:type="pct"/>
            <w:shd w:val="clear" w:color="auto" w:fill="auto"/>
            <w:vAlign w:val="center"/>
          </w:tcPr>
          <w:p w:rsidR="0009787E" w:rsidRPr="008A7364" w:rsidRDefault="0009787E" w:rsidP="003031D7">
            <w:pPr>
              <w:spacing w:line="240" w:lineRule="auto"/>
              <w:jc w:val="left"/>
              <w:rPr>
                <w:rFonts w:cs="Arial"/>
                <w:sz w:val="16"/>
                <w:szCs w:val="16"/>
              </w:rPr>
            </w:pPr>
            <w:r w:rsidRPr="008A7364">
              <w:rPr>
                <w:rFonts w:cs="Arial"/>
                <w:sz w:val="16"/>
                <w:szCs w:val="16"/>
              </w:rPr>
              <w:t>28</w:t>
            </w:r>
          </w:p>
        </w:tc>
        <w:tc>
          <w:tcPr>
            <w:tcW w:w="249" w:type="pct"/>
            <w:vMerge/>
            <w:shd w:val="clear" w:color="auto" w:fill="auto"/>
            <w:vAlign w:val="center"/>
          </w:tcPr>
          <w:p w:rsidR="0009787E" w:rsidRPr="008A7364" w:rsidRDefault="0009787E" w:rsidP="008A7364">
            <w:pPr>
              <w:spacing w:line="240" w:lineRule="auto"/>
              <w:jc w:val="left"/>
              <w:rPr>
                <w:rFonts w:cs="Arial"/>
                <w:sz w:val="16"/>
                <w:szCs w:val="16"/>
              </w:rPr>
            </w:pPr>
          </w:p>
        </w:tc>
        <w:tc>
          <w:tcPr>
            <w:tcW w:w="894" w:type="pct"/>
            <w:shd w:val="clear" w:color="auto" w:fill="auto"/>
            <w:vAlign w:val="center"/>
          </w:tcPr>
          <w:p w:rsidR="0009787E" w:rsidRPr="008A7364" w:rsidRDefault="0009787E" w:rsidP="007A3613">
            <w:pPr>
              <w:spacing w:before="20" w:after="20" w:line="240" w:lineRule="auto"/>
              <w:rPr>
                <w:sz w:val="16"/>
                <w:szCs w:val="16"/>
              </w:rPr>
            </w:pPr>
            <w:r w:rsidRPr="008A7364">
              <w:rPr>
                <w:sz w:val="16"/>
                <w:szCs w:val="16"/>
              </w:rPr>
              <w:t>Floração de Cianobactérias Potencial</w:t>
            </w:r>
            <w:r w:rsidR="00087C57">
              <w:rPr>
                <w:sz w:val="16"/>
                <w:szCs w:val="16"/>
              </w:rPr>
              <w:t xml:space="preserve">mente </w:t>
            </w:r>
            <w:r>
              <w:rPr>
                <w:sz w:val="16"/>
                <w:szCs w:val="16"/>
              </w:rPr>
              <w:t xml:space="preserve">Tóxicas. Operação </w:t>
            </w:r>
            <w:r w:rsidRPr="008A7364">
              <w:rPr>
                <w:sz w:val="16"/>
                <w:szCs w:val="16"/>
              </w:rPr>
              <w:t>(PEDREIRA)</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(AID/ADA)</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Temporário</w:t>
            </w:r>
          </w:p>
        </w:tc>
        <w:tc>
          <w:tcPr>
            <w:tcW w:w="299" w:type="pct"/>
            <w:shd w:val="clear" w:color="auto" w:fill="auto"/>
            <w:vAlign w:val="center"/>
          </w:tcPr>
          <w:p w:rsidR="0009787E" w:rsidRPr="00BC7E61" w:rsidRDefault="0009787E" w:rsidP="008A7364">
            <w:pPr>
              <w:spacing w:line="240" w:lineRule="auto"/>
              <w:jc w:val="left"/>
              <w:rPr>
                <w:rFonts w:cs="Arial"/>
                <w:sz w:val="16"/>
                <w:szCs w:val="16"/>
              </w:rPr>
            </w:pPr>
            <w:r w:rsidRPr="00BC7E61">
              <w:rPr>
                <w:rFonts w:cs="Arial"/>
                <w:sz w:val="16"/>
                <w:szCs w:val="16"/>
              </w:rPr>
              <w:t>Provável</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Médio e Longo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Pr>
                <w:rFonts w:cs="Arial"/>
                <w:sz w:val="16"/>
                <w:szCs w:val="16"/>
              </w:rPr>
              <w:t>Reversível</w:t>
            </w:r>
          </w:p>
        </w:tc>
        <w:tc>
          <w:tcPr>
            <w:tcW w:w="383" w:type="pct"/>
            <w:shd w:val="clear" w:color="auto" w:fill="auto"/>
            <w:vAlign w:val="center"/>
          </w:tcPr>
          <w:p w:rsidR="0009787E" w:rsidRPr="008A7364" w:rsidRDefault="00B764AA" w:rsidP="008A7364">
            <w:pPr>
              <w:spacing w:line="240" w:lineRule="auto"/>
              <w:jc w:val="left"/>
              <w:rPr>
                <w:rFonts w:cs="Arial"/>
                <w:sz w:val="16"/>
                <w:szCs w:val="16"/>
              </w:rPr>
            </w:pPr>
            <w:r>
              <w:rPr>
                <w:rFonts w:cs="Arial"/>
                <w:sz w:val="16"/>
                <w:szCs w:val="16"/>
              </w:rPr>
              <w:t>Média</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r w:rsidR="0009787E" w:rsidRPr="008A7364" w:rsidTr="008464FB">
        <w:trPr>
          <w:trHeight w:hRule="exact" w:val="567"/>
        </w:trPr>
        <w:tc>
          <w:tcPr>
            <w:tcW w:w="188" w:type="pct"/>
            <w:shd w:val="clear" w:color="auto" w:fill="auto"/>
            <w:vAlign w:val="center"/>
          </w:tcPr>
          <w:p w:rsidR="0009787E" w:rsidRPr="008A7364" w:rsidRDefault="0009787E" w:rsidP="003031D7">
            <w:pPr>
              <w:spacing w:line="240" w:lineRule="auto"/>
              <w:jc w:val="left"/>
              <w:rPr>
                <w:rFonts w:cs="Arial"/>
                <w:sz w:val="16"/>
                <w:szCs w:val="16"/>
              </w:rPr>
            </w:pPr>
            <w:r w:rsidRPr="008A7364">
              <w:rPr>
                <w:rFonts w:cs="Arial"/>
                <w:sz w:val="16"/>
                <w:szCs w:val="16"/>
              </w:rPr>
              <w:t>28</w:t>
            </w:r>
          </w:p>
        </w:tc>
        <w:tc>
          <w:tcPr>
            <w:tcW w:w="249" w:type="pct"/>
            <w:vMerge/>
            <w:shd w:val="clear" w:color="auto" w:fill="auto"/>
            <w:vAlign w:val="center"/>
          </w:tcPr>
          <w:p w:rsidR="0009787E" w:rsidRPr="008A7364" w:rsidRDefault="0009787E" w:rsidP="008A7364">
            <w:pPr>
              <w:spacing w:line="240" w:lineRule="auto"/>
              <w:jc w:val="left"/>
              <w:rPr>
                <w:rFonts w:cs="Arial"/>
                <w:sz w:val="16"/>
                <w:szCs w:val="16"/>
              </w:rPr>
            </w:pPr>
          </w:p>
        </w:tc>
        <w:tc>
          <w:tcPr>
            <w:tcW w:w="894" w:type="pct"/>
            <w:shd w:val="clear" w:color="auto" w:fill="auto"/>
            <w:vAlign w:val="center"/>
          </w:tcPr>
          <w:p w:rsidR="0009787E" w:rsidRPr="008A7364" w:rsidRDefault="0009787E" w:rsidP="007A3613">
            <w:pPr>
              <w:spacing w:before="20" w:after="20" w:line="240" w:lineRule="auto"/>
              <w:rPr>
                <w:sz w:val="16"/>
                <w:szCs w:val="16"/>
              </w:rPr>
            </w:pPr>
            <w:r w:rsidRPr="008A7364">
              <w:rPr>
                <w:sz w:val="16"/>
                <w:szCs w:val="16"/>
              </w:rPr>
              <w:t>Floração de</w:t>
            </w:r>
            <w:r>
              <w:rPr>
                <w:sz w:val="16"/>
                <w:szCs w:val="16"/>
              </w:rPr>
              <w:t xml:space="preserve"> Cianobactérias Potencialmente </w:t>
            </w:r>
            <w:r w:rsidRPr="008A7364">
              <w:rPr>
                <w:sz w:val="16"/>
                <w:szCs w:val="16"/>
              </w:rPr>
              <w:t>Tóxicas</w:t>
            </w:r>
            <w:r>
              <w:rPr>
                <w:sz w:val="16"/>
                <w:szCs w:val="16"/>
              </w:rPr>
              <w:t>. Operação</w:t>
            </w:r>
            <w:r w:rsidRPr="008A7364">
              <w:rPr>
                <w:sz w:val="16"/>
                <w:szCs w:val="16"/>
              </w:rPr>
              <w:t xml:space="preserve"> (DUAS PONTES)</w:t>
            </w:r>
          </w:p>
        </w:tc>
        <w:tc>
          <w:tcPr>
            <w:tcW w:w="335"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Local (AID/ADA)</w:t>
            </w:r>
          </w:p>
        </w:tc>
        <w:tc>
          <w:tcPr>
            <w:tcW w:w="398"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Temporário</w:t>
            </w:r>
          </w:p>
        </w:tc>
        <w:tc>
          <w:tcPr>
            <w:tcW w:w="299" w:type="pct"/>
            <w:shd w:val="clear" w:color="auto" w:fill="auto"/>
            <w:vAlign w:val="center"/>
          </w:tcPr>
          <w:p w:rsidR="0009787E" w:rsidRPr="00BC7E61" w:rsidRDefault="0009787E" w:rsidP="008A7364">
            <w:pPr>
              <w:spacing w:line="240" w:lineRule="auto"/>
              <w:jc w:val="left"/>
              <w:rPr>
                <w:rFonts w:cs="Arial"/>
                <w:sz w:val="16"/>
                <w:szCs w:val="16"/>
              </w:rPr>
            </w:pPr>
            <w:r w:rsidRPr="00BC7E61">
              <w:rPr>
                <w:rFonts w:cs="Arial"/>
                <w:sz w:val="16"/>
                <w:szCs w:val="16"/>
              </w:rPr>
              <w:t>Provável</w:t>
            </w:r>
          </w:p>
        </w:tc>
        <w:tc>
          <w:tcPr>
            <w:tcW w:w="409"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Médio e Longo Prazo</w:t>
            </w:r>
          </w:p>
        </w:tc>
        <w:tc>
          <w:tcPr>
            <w:tcW w:w="390" w:type="pct"/>
            <w:shd w:val="clear" w:color="auto" w:fill="auto"/>
            <w:vAlign w:val="center"/>
          </w:tcPr>
          <w:p w:rsidR="0009787E" w:rsidRPr="008A7364" w:rsidRDefault="0009787E" w:rsidP="008A7364">
            <w:pPr>
              <w:spacing w:line="240" w:lineRule="auto"/>
              <w:jc w:val="left"/>
              <w:rPr>
                <w:rFonts w:cs="Arial"/>
                <w:sz w:val="16"/>
                <w:szCs w:val="16"/>
              </w:rPr>
            </w:pPr>
            <w:r>
              <w:rPr>
                <w:rFonts w:cs="Arial"/>
                <w:sz w:val="16"/>
                <w:szCs w:val="16"/>
              </w:rPr>
              <w:t>Reversível</w:t>
            </w:r>
          </w:p>
        </w:tc>
        <w:tc>
          <w:tcPr>
            <w:tcW w:w="38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Grande</w:t>
            </w:r>
          </w:p>
        </w:tc>
        <w:tc>
          <w:tcPr>
            <w:tcW w:w="343"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9787E" w:rsidRPr="008A7364" w:rsidRDefault="0009787E" w:rsidP="008A7364">
            <w:pPr>
              <w:spacing w:line="240" w:lineRule="auto"/>
              <w:jc w:val="left"/>
              <w:rPr>
                <w:rFonts w:cs="Arial"/>
                <w:sz w:val="16"/>
                <w:szCs w:val="16"/>
              </w:rPr>
            </w:pPr>
            <w:r w:rsidRPr="008A7364">
              <w:rPr>
                <w:rFonts w:cs="Arial"/>
                <w:sz w:val="16"/>
                <w:szCs w:val="16"/>
              </w:rPr>
              <w:t>Mitigável</w:t>
            </w:r>
          </w:p>
        </w:tc>
      </w:tr>
    </w:tbl>
    <w:p w:rsidR="00B42047" w:rsidRDefault="00B42047">
      <w:r>
        <w:br w:type="page"/>
      </w:r>
    </w:p>
    <w:p w:rsidR="002E29E3" w:rsidRDefault="002E29E3" w:rsidP="002E29E3">
      <w:r>
        <w:t>(continuação)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722"/>
        <w:gridCol w:w="2593"/>
        <w:gridCol w:w="972"/>
        <w:gridCol w:w="772"/>
        <w:gridCol w:w="1302"/>
        <w:gridCol w:w="1155"/>
        <w:gridCol w:w="867"/>
        <w:gridCol w:w="1186"/>
        <w:gridCol w:w="1131"/>
        <w:gridCol w:w="1111"/>
        <w:gridCol w:w="995"/>
        <w:gridCol w:w="1152"/>
      </w:tblGrid>
      <w:tr w:rsidR="00870CD7" w:rsidRPr="008A7364" w:rsidTr="00C55FEC">
        <w:trPr>
          <w:trHeight w:val="336"/>
          <w:tblHeader/>
        </w:trPr>
        <w:tc>
          <w:tcPr>
            <w:tcW w:w="188" w:type="pct"/>
            <w:vMerge w:val="restart"/>
            <w:shd w:val="clear" w:color="auto" w:fill="D9D9D9"/>
            <w:vAlign w:val="center"/>
          </w:tcPr>
          <w:p w:rsidR="00870CD7" w:rsidRPr="008A7364" w:rsidRDefault="00870CD7" w:rsidP="00C55FEC">
            <w:pPr>
              <w:spacing w:before="120" w:after="120" w:line="240" w:lineRule="auto"/>
              <w:jc w:val="center"/>
              <w:rPr>
                <w:rFonts w:cs="Arial"/>
                <w:b/>
                <w:sz w:val="18"/>
                <w:szCs w:val="18"/>
              </w:rPr>
            </w:pPr>
            <w:r w:rsidRPr="008A7364">
              <w:rPr>
                <w:rFonts w:cs="Arial"/>
                <w:b/>
                <w:sz w:val="18"/>
                <w:szCs w:val="18"/>
              </w:rPr>
              <w:t>N°</w:t>
            </w:r>
          </w:p>
        </w:tc>
        <w:tc>
          <w:tcPr>
            <w:tcW w:w="249" w:type="pct"/>
            <w:vMerge w:val="restart"/>
            <w:shd w:val="clear" w:color="auto" w:fill="D9D9D9"/>
            <w:vAlign w:val="center"/>
          </w:tcPr>
          <w:p w:rsidR="00870CD7" w:rsidRPr="008A7364" w:rsidRDefault="00870CD7" w:rsidP="00C55FEC">
            <w:pPr>
              <w:spacing w:before="120" w:after="120" w:line="240" w:lineRule="auto"/>
              <w:rPr>
                <w:rFonts w:cs="Arial"/>
                <w:b/>
                <w:sz w:val="18"/>
                <w:szCs w:val="18"/>
              </w:rPr>
            </w:pPr>
            <w:r>
              <w:rPr>
                <w:rFonts w:cs="Arial"/>
                <w:b/>
                <w:sz w:val="18"/>
                <w:szCs w:val="18"/>
              </w:rPr>
              <w:t>MEIO</w:t>
            </w:r>
          </w:p>
        </w:tc>
        <w:tc>
          <w:tcPr>
            <w:tcW w:w="894" w:type="pct"/>
            <w:vMerge w:val="restart"/>
            <w:shd w:val="clear" w:color="auto" w:fill="D9D9D9"/>
            <w:vAlign w:val="center"/>
          </w:tcPr>
          <w:p w:rsidR="00870CD7" w:rsidRPr="008A7364" w:rsidRDefault="00870CD7" w:rsidP="00C55FEC">
            <w:pPr>
              <w:spacing w:before="120" w:after="120" w:line="240" w:lineRule="auto"/>
              <w:jc w:val="center"/>
              <w:rPr>
                <w:rFonts w:cs="Arial"/>
                <w:b/>
                <w:sz w:val="18"/>
                <w:szCs w:val="18"/>
              </w:rPr>
            </w:pPr>
            <w:r w:rsidRPr="008A7364">
              <w:rPr>
                <w:rFonts w:cs="Arial"/>
                <w:b/>
                <w:sz w:val="18"/>
                <w:szCs w:val="18"/>
              </w:rPr>
              <w:t>IMPACTO</w:t>
            </w:r>
          </w:p>
        </w:tc>
        <w:tc>
          <w:tcPr>
            <w:tcW w:w="3669" w:type="pct"/>
            <w:gridSpan w:val="10"/>
            <w:shd w:val="clear" w:color="auto" w:fill="D9D9D9"/>
          </w:tcPr>
          <w:p w:rsidR="00870CD7" w:rsidRPr="008A7364" w:rsidRDefault="00870CD7" w:rsidP="00C55FEC">
            <w:pPr>
              <w:spacing w:before="60" w:after="40" w:line="240" w:lineRule="auto"/>
              <w:jc w:val="center"/>
              <w:rPr>
                <w:rFonts w:cs="Arial"/>
                <w:b/>
                <w:sz w:val="18"/>
                <w:szCs w:val="18"/>
              </w:rPr>
            </w:pPr>
            <w:r w:rsidRPr="008A7364">
              <w:rPr>
                <w:rFonts w:cs="Arial"/>
                <w:b/>
                <w:sz w:val="18"/>
                <w:szCs w:val="18"/>
              </w:rPr>
              <w:t>CARACTERIZAÇÃO</w:t>
            </w:r>
          </w:p>
        </w:tc>
      </w:tr>
      <w:tr w:rsidR="00870CD7" w:rsidRPr="008A7364" w:rsidTr="00C55FEC">
        <w:trPr>
          <w:trHeight w:hRule="exact" w:val="340"/>
          <w:tblHeader/>
        </w:trPr>
        <w:tc>
          <w:tcPr>
            <w:tcW w:w="188" w:type="pct"/>
            <w:vMerge/>
            <w:shd w:val="clear" w:color="auto" w:fill="D9D9D9"/>
          </w:tcPr>
          <w:p w:rsidR="00870CD7" w:rsidRPr="008A7364" w:rsidRDefault="00870CD7" w:rsidP="00C55FEC">
            <w:pPr>
              <w:spacing w:before="120" w:after="120" w:line="240" w:lineRule="auto"/>
              <w:jc w:val="center"/>
              <w:rPr>
                <w:rFonts w:cs="Arial"/>
                <w:b/>
                <w:sz w:val="18"/>
                <w:szCs w:val="18"/>
              </w:rPr>
            </w:pPr>
          </w:p>
        </w:tc>
        <w:tc>
          <w:tcPr>
            <w:tcW w:w="249" w:type="pct"/>
            <w:vMerge/>
            <w:shd w:val="clear" w:color="auto" w:fill="D9D9D9"/>
          </w:tcPr>
          <w:p w:rsidR="00870CD7" w:rsidRPr="008A7364" w:rsidRDefault="00870CD7" w:rsidP="00C55FEC">
            <w:pPr>
              <w:spacing w:before="120" w:after="120" w:line="240" w:lineRule="auto"/>
              <w:jc w:val="center"/>
              <w:rPr>
                <w:rFonts w:cs="Arial"/>
                <w:b/>
                <w:sz w:val="18"/>
                <w:szCs w:val="18"/>
              </w:rPr>
            </w:pPr>
          </w:p>
        </w:tc>
        <w:tc>
          <w:tcPr>
            <w:tcW w:w="894" w:type="pct"/>
            <w:vMerge/>
            <w:shd w:val="clear" w:color="auto" w:fill="D9D9D9"/>
          </w:tcPr>
          <w:p w:rsidR="00870CD7" w:rsidRPr="008A7364" w:rsidRDefault="00870CD7" w:rsidP="00C55FEC">
            <w:pPr>
              <w:spacing w:before="120" w:after="120" w:line="240" w:lineRule="auto"/>
              <w:jc w:val="center"/>
              <w:rPr>
                <w:rFonts w:cs="Arial"/>
                <w:b/>
                <w:sz w:val="18"/>
                <w:szCs w:val="18"/>
              </w:rPr>
            </w:pPr>
          </w:p>
        </w:tc>
        <w:tc>
          <w:tcPr>
            <w:tcW w:w="2546" w:type="pct"/>
            <w:gridSpan w:val="7"/>
            <w:shd w:val="clear" w:color="auto" w:fill="D9D9D9"/>
            <w:vAlign w:val="center"/>
          </w:tcPr>
          <w:p w:rsidR="00870CD7" w:rsidRPr="008A7364" w:rsidRDefault="00870CD7" w:rsidP="00C55FEC">
            <w:pPr>
              <w:spacing w:before="120" w:after="120" w:line="240" w:lineRule="auto"/>
              <w:jc w:val="center"/>
              <w:rPr>
                <w:rFonts w:cs="Arial"/>
                <w:b/>
                <w:sz w:val="16"/>
                <w:szCs w:val="16"/>
              </w:rPr>
            </w:pPr>
            <w:r w:rsidRPr="008A7364">
              <w:rPr>
                <w:rFonts w:cs="Arial"/>
                <w:b/>
                <w:sz w:val="16"/>
                <w:szCs w:val="16"/>
              </w:rPr>
              <w:t>Classificação</w:t>
            </w:r>
          </w:p>
        </w:tc>
        <w:tc>
          <w:tcPr>
            <w:tcW w:w="726" w:type="pct"/>
            <w:gridSpan w:val="2"/>
            <w:shd w:val="clear" w:color="auto" w:fill="D9D9D9"/>
            <w:vAlign w:val="center"/>
          </w:tcPr>
          <w:p w:rsidR="00870CD7" w:rsidRPr="008A7364" w:rsidRDefault="00870CD7" w:rsidP="00C55FEC">
            <w:pPr>
              <w:spacing w:before="120" w:after="120" w:line="240" w:lineRule="auto"/>
              <w:jc w:val="center"/>
              <w:rPr>
                <w:rFonts w:cs="Arial"/>
                <w:b/>
                <w:sz w:val="16"/>
                <w:szCs w:val="16"/>
              </w:rPr>
            </w:pPr>
            <w:r w:rsidRPr="008A7364">
              <w:rPr>
                <w:rFonts w:cs="Arial"/>
                <w:b/>
                <w:sz w:val="16"/>
                <w:szCs w:val="16"/>
              </w:rPr>
              <w:t>Mensuração</w:t>
            </w:r>
          </w:p>
        </w:tc>
        <w:tc>
          <w:tcPr>
            <w:tcW w:w="397" w:type="pct"/>
            <w:vMerge w:val="restart"/>
            <w:shd w:val="clear" w:color="auto" w:fill="D9D9D9"/>
            <w:vAlign w:val="center"/>
          </w:tcPr>
          <w:p w:rsidR="00870CD7" w:rsidRPr="008A7364" w:rsidRDefault="00870CD7" w:rsidP="00C55FEC">
            <w:pPr>
              <w:spacing w:before="120" w:after="120" w:line="240" w:lineRule="auto"/>
              <w:jc w:val="center"/>
              <w:rPr>
                <w:rFonts w:cs="Arial"/>
                <w:b/>
                <w:sz w:val="16"/>
                <w:szCs w:val="16"/>
              </w:rPr>
            </w:pPr>
            <w:r w:rsidRPr="008A7364">
              <w:rPr>
                <w:rFonts w:cs="Arial"/>
                <w:b/>
                <w:sz w:val="16"/>
                <w:szCs w:val="16"/>
              </w:rPr>
              <w:t>Mitigação</w:t>
            </w:r>
          </w:p>
        </w:tc>
      </w:tr>
      <w:tr w:rsidR="00870CD7" w:rsidRPr="008A7364" w:rsidTr="00C55FEC">
        <w:trPr>
          <w:trHeight w:val="447"/>
          <w:tblHeader/>
        </w:trPr>
        <w:tc>
          <w:tcPr>
            <w:tcW w:w="188" w:type="pct"/>
            <w:vMerge/>
            <w:shd w:val="clear" w:color="auto" w:fill="auto"/>
          </w:tcPr>
          <w:p w:rsidR="00870CD7" w:rsidRPr="008A7364" w:rsidRDefault="00870CD7" w:rsidP="00C55FEC">
            <w:pPr>
              <w:spacing w:before="120" w:after="120" w:line="240" w:lineRule="auto"/>
              <w:jc w:val="center"/>
              <w:rPr>
                <w:rFonts w:cs="Arial"/>
                <w:b/>
              </w:rPr>
            </w:pPr>
          </w:p>
        </w:tc>
        <w:tc>
          <w:tcPr>
            <w:tcW w:w="249" w:type="pct"/>
            <w:vMerge/>
            <w:shd w:val="clear" w:color="auto" w:fill="D9D9D9"/>
          </w:tcPr>
          <w:p w:rsidR="00870CD7" w:rsidRPr="008A7364" w:rsidRDefault="00870CD7" w:rsidP="00C55FEC">
            <w:pPr>
              <w:spacing w:before="120" w:after="120" w:line="240" w:lineRule="auto"/>
              <w:jc w:val="center"/>
              <w:rPr>
                <w:rFonts w:cs="Arial"/>
                <w:b/>
              </w:rPr>
            </w:pPr>
          </w:p>
        </w:tc>
        <w:tc>
          <w:tcPr>
            <w:tcW w:w="894" w:type="pct"/>
            <w:vMerge/>
            <w:shd w:val="clear" w:color="auto" w:fill="auto"/>
          </w:tcPr>
          <w:p w:rsidR="00870CD7" w:rsidRPr="008A7364" w:rsidRDefault="00870CD7" w:rsidP="00C55FEC">
            <w:pPr>
              <w:spacing w:before="120" w:after="120" w:line="240" w:lineRule="auto"/>
              <w:jc w:val="center"/>
              <w:rPr>
                <w:rFonts w:cs="Arial"/>
                <w:b/>
                <w:sz w:val="20"/>
              </w:rPr>
            </w:pPr>
          </w:p>
        </w:tc>
        <w:tc>
          <w:tcPr>
            <w:tcW w:w="335" w:type="pct"/>
            <w:shd w:val="clear" w:color="auto" w:fill="D9D9D9"/>
            <w:vAlign w:val="center"/>
          </w:tcPr>
          <w:p w:rsidR="00870CD7" w:rsidRPr="008A7364" w:rsidRDefault="00870CD7" w:rsidP="00C55FEC">
            <w:pPr>
              <w:spacing w:before="120" w:after="120" w:line="240" w:lineRule="auto"/>
              <w:jc w:val="center"/>
              <w:rPr>
                <w:rFonts w:cs="Arial"/>
                <w:b/>
                <w:sz w:val="16"/>
                <w:szCs w:val="16"/>
              </w:rPr>
            </w:pPr>
            <w:r w:rsidRPr="008A7364">
              <w:rPr>
                <w:rFonts w:cs="Arial"/>
                <w:b/>
                <w:sz w:val="16"/>
                <w:szCs w:val="16"/>
              </w:rPr>
              <w:t>Natureza</w:t>
            </w:r>
          </w:p>
        </w:tc>
        <w:tc>
          <w:tcPr>
            <w:tcW w:w="266" w:type="pct"/>
            <w:shd w:val="clear" w:color="auto" w:fill="D9D9D9"/>
            <w:vAlign w:val="center"/>
          </w:tcPr>
          <w:p w:rsidR="00870CD7" w:rsidRPr="008A7364" w:rsidRDefault="00870CD7" w:rsidP="00C55FEC">
            <w:pPr>
              <w:spacing w:before="120" w:after="120" w:line="240" w:lineRule="auto"/>
              <w:jc w:val="center"/>
              <w:rPr>
                <w:rFonts w:cs="Arial"/>
                <w:b/>
                <w:sz w:val="16"/>
                <w:szCs w:val="16"/>
              </w:rPr>
            </w:pPr>
            <w:r w:rsidRPr="008A7364">
              <w:rPr>
                <w:rFonts w:cs="Arial"/>
                <w:b/>
                <w:sz w:val="16"/>
                <w:szCs w:val="16"/>
              </w:rPr>
              <w:t>Ordem</w:t>
            </w:r>
          </w:p>
        </w:tc>
        <w:tc>
          <w:tcPr>
            <w:tcW w:w="449" w:type="pct"/>
            <w:shd w:val="clear" w:color="auto" w:fill="D9D9D9"/>
            <w:vAlign w:val="center"/>
          </w:tcPr>
          <w:p w:rsidR="00870CD7" w:rsidRPr="008A7364" w:rsidRDefault="00870CD7" w:rsidP="00C55FEC">
            <w:pPr>
              <w:spacing w:before="120" w:after="120" w:line="240" w:lineRule="auto"/>
              <w:jc w:val="center"/>
              <w:rPr>
                <w:rFonts w:cs="Arial"/>
                <w:b/>
                <w:sz w:val="16"/>
                <w:szCs w:val="16"/>
              </w:rPr>
            </w:pPr>
            <w:r w:rsidRPr="008A7364">
              <w:rPr>
                <w:rFonts w:cs="Arial"/>
                <w:b/>
                <w:sz w:val="16"/>
                <w:szCs w:val="16"/>
              </w:rPr>
              <w:t>Abrangência</w:t>
            </w:r>
          </w:p>
        </w:tc>
        <w:tc>
          <w:tcPr>
            <w:tcW w:w="398" w:type="pct"/>
            <w:shd w:val="clear" w:color="auto" w:fill="D9D9D9"/>
            <w:vAlign w:val="center"/>
          </w:tcPr>
          <w:p w:rsidR="00870CD7" w:rsidRPr="008A7364" w:rsidRDefault="00870CD7" w:rsidP="00C55FEC">
            <w:pPr>
              <w:spacing w:before="120" w:after="120" w:line="240" w:lineRule="auto"/>
              <w:jc w:val="center"/>
              <w:rPr>
                <w:rFonts w:cs="Arial"/>
                <w:b/>
                <w:sz w:val="16"/>
                <w:szCs w:val="16"/>
              </w:rPr>
            </w:pPr>
            <w:r w:rsidRPr="008A7364">
              <w:rPr>
                <w:rFonts w:cs="Arial"/>
                <w:b/>
                <w:sz w:val="16"/>
                <w:szCs w:val="16"/>
              </w:rPr>
              <w:t>Duração</w:t>
            </w:r>
          </w:p>
        </w:tc>
        <w:tc>
          <w:tcPr>
            <w:tcW w:w="299" w:type="pct"/>
            <w:shd w:val="clear" w:color="auto" w:fill="D9D9D9"/>
            <w:vAlign w:val="center"/>
          </w:tcPr>
          <w:p w:rsidR="00870CD7" w:rsidRPr="008A7364" w:rsidRDefault="00870CD7" w:rsidP="00C55FEC">
            <w:pPr>
              <w:spacing w:before="120" w:after="120" w:line="240" w:lineRule="auto"/>
              <w:jc w:val="center"/>
              <w:rPr>
                <w:rFonts w:cs="Arial"/>
                <w:b/>
                <w:sz w:val="16"/>
                <w:szCs w:val="16"/>
              </w:rPr>
            </w:pPr>
            <w:r w:rsidRPr="008A7364">
              <w:rPr>
                <w:rFonts w:cs="Arial"/>
                <w:b/>
                <w:sz w:val="16"/>
                <w:szCs w:val="16"/>
              </w:rPr>
              <w:t>Probabilidade</w:t>
            </w:r>
          </w:p>
        </w:tc>
        <w:tc>
          <w:tcPr>
            <w:tcW w:w="409" w:type="pct"/>
            <w:shd w:val="clear" w:color="auto" w:fill="D9D9D9"/>
            <w:vAlign w:val="center"/>
          </w:tcPr>
          <w:p w:rsidR="00870CD7" w:rsidRPr="008A7364" w:rsidRDefault="00870CD7" w:rsidP="00C55FEC">
            <w:pPr>
              <w:spacing w:before="120" w:after="120" w:line="240" w:lineRule="auto"/>
              <w:jc w:val="center"/>
              <w:rPr>
                <w:rFonts w:cs="Arial"/>
                <w:b/>
                <w:sz w:val="16"/>
                <w:szCs w:val="16"/>
              </w:rPr>
            </w:pPr>
            <w:r w:rsidRPr="008A7364">
              <w:rPr>
                <w:rFonts w:cs="Arial"/>
                <w:b/>
                <w:sz w:val="16"/>
                <w:szCs w:val="16"/>
              </w:rPr>
              <w:t>Época</w:t>
            </w:r>
          </w:p>
        </w:tc>
        <w:tc>
          <w:tcPr>
            <w:tcW w:w="390" w:type="pct"/>
            <w:shd w:val="clear" w:color="auto" w:fill="D9D9D9"/>
          </w:tcPr>
          <w:p w:rsidR="00870CD7" w:rsidRPr="008A7364" w:rsidRDefault="00BC7E61" w:rsidP="00C55FEC">
            <w:pPr>
              <w:spacing w:before="120" w:after="120" w:line="240" w:lineRule="auto"/>
              <w:jc w:val="center"/>
              <w:rPr>
                <w:rFonts w:cs="Arial"/>
                <w:b/>
                <w:sz w:val="16"/>
                <w:szCs w:val="16"/>
              </w:rPr>
            </w:pPr>
            <w:r w:rsidRPr="008A7364">
              <w:rPr>
                <w:rFonts w:cs="Arial"/>
                <w:b/>
                <w:sz w:val="16"/>
                <w:szCs w:val="16"/>
              </w:rPr>
              <w:t>Reversibi</w:t>
            </w:r>
            <w:r w:rsidR="0053626B">
              <w:rPr>
                <w:rFonts w:cs="Arial"/>
                <w:b/>
                <w:sz w:val="16"/>
                <w:szCs w:val="16"/>
              </w:rPr>
              <w:t>-</w:t>
            </w:r>
            <w:r w:rsidRPr="008A7364">
              <w:rPr>
                <w:rFonts w:cs="Arial"/>
                <w:b/>
                <w:sz w:val="16"/>
                <w:szCs w:val="16"/>
              </w:rPr>
              <w:t>lidade</w:t>
            </w:r>
          </w:p>
        </w:tc>
        <w:tc>
          <w:tcPr>
            <w:tcW w:w="383" w:type="pct"/>
            <w:shd w:val="clear" w:color="auto" w:fill="D9D9D9"/>
            <w:vAlign w:val="center"/>
          </w:tcPr>
          <w:p w:rsidR="00870CD7" w:rsidRPr="008A7364" w:rsidRDefault="00870CD7" w:rsidP="00C55FEC">
            <w:pPr>
              <w:spacing w:before="120" w:after="120" w:line="240" w:lineRule="auto"/>
              <w:jc w:val="center"/>
              <w:rPr>
                <w:rFonts w:cs="Arial"/>
                <w:b/>
                <w:sz w:val="16"/>
                <w:szCs w:val="16"/>
              </w:rPr>
            </w:pPr>
            <w:r w:rsidRPr="008A7364">
              <w:rPr>
                <w:rFonts w:cs="Arial"/>
                <w:b/>
                <w:sz w:val="16"/>
                <w:szCs w:val="16"/>
              </w:rPr>
              <w:t>Magnitude</w:t>
            </w:r>
          </w:p>
        </w:tc>
        <w:tc>
          <w:tcPr>
            <w:tcW w:w="343" w:type="pct"/>
            <w:shd w:val="clear" w:color="auto" w:fill="D9D9D9"/>
            <w:vAlign w:val="center"/>
          </w:tcPr>
          <w:p w:rsidR="00870CD7" w:rsidRPr="008A7364" w:rsidRDefault="00BC7E61" w:rsidP="00C55FEC">
            <w:pPr>
              <w:spacing w:before="120" w:after="120" w:line="240" w:lineRule="auto"/>
              <w:jc w:val="center"/>
              <w:rPr>
                <w:rFonts w:cs="Arial"/>
                <w:b/>
                <w:sz w:val="16"/>
                <w:szCs w:val="16"/>
              </w:rPr>
            </w:pPr>
            <w:r w:rsidRPr="008A7364">
              <w:rPr>
                <w:rFonts w:cs="Arial"/>
                <w:b/>
                <w:sz w:val="16"/>
                <w:szCs w:val="16"/>
              </w:rPr>
              <w:t>Impor</w:t>
            </w:r>
            <w:r w:rsidR="0053626B">
              <w:rPr>
                <w:rFonts w:cs="Arial"/>
                <w:b/>
                <w:sz w:val="16"/>
                <w:szCs w:val="16"/>
              </w:rPr>
              <w:t>-</w:t>
            </w:r>
            <w:r w:rsidRPr="008A7364">
              <w:rPr>
                <w:rFonts w:cs="Arial"/>
                <w:b/>
                <w:sz w:val="16"/>
                <w:szCs w:val="16"/>
              </w:rPr>
              <w:t>tância</w:t>
            </w:r>
          </w:p>
        </w:tc>
        <w:tc>
          <w:tcPr>
            <w:tcW w:w="397" w:type="pct"/>
            <w:vMerge/>
            <w:shd w:val="clear" w:color="auto" w:fill="auto"/>
          </w:tcPr>
          <w:p w:rsidR="00870CD7" w:rsidRPr="008A7364" w:rsidRDefault="00870CD7" w:rsidP="00C55FEC">
            <w:pPr>
              <w:spacing w:before="120" w:after="120" w:line="240" w:lineRule="auto"/>
              <w:jc w:val="center"/>
              <w:rPr>
                <w:rFonts w:cs="Arial"/>
                <w:b/>
                <w:sz w:val="16"/>
                <w:szCs w:val="16"/>
              </w:rPr>
            </w:pPr>
          </w:p>
        </w:tc>
      </w:tr>
      <w:tr w:rsidR="00087C57" w:rsidRPr="008A7364" w:rsidTr="008464FB">
        <w:trPr>
          <w:trHeight w:val="304"/>
        </w:trPr>
        <w:tc>
          <w:tcPr>
            <w:tcW w:w="188" w:type="pct"/>
            <w:shd w:val="clear" w:color="auto" w:fill="auto"/>
            <w:vAlign w:val="center"/>
          </w:tcPr>
          <w:p w:rsidR="00087C57" w:rsidRPr="008A7364" w:rsidRDefault="00087C57" w:rsidP="003031D7">
            <w:pPr>
              <w:spacing w:line="240" w:lineRule="auto"/>
              <w:jc w:val="left"/>
              <w:rPr>
                <w:rFonts w:cs="Arial"/>
                <w:sz w:val="16"/>
                <w:szCs w:val="16"/>
              </w:rPr>
            </w:pPr>
            <w:r>
              <w:rPr>
                <w:rFonts w:cs="Arial"/>
                <w:sz w:val="16"/>
                <w:szCs w:val="16"/>
              </w:rPr>
              <w:t>29</w:t>
            </w:r>
          </w:p>
        </w:tc>
        <w:tc>
          <w:tcPr>
            <w:tcW w:w="249" w:type="pct"/>
            <w:vMerge w:val="restart"/>
            <w:shd w:val="clear" w:color="auto" w:fill="auto"/>
            <w:textDirection w:val="btLr"/>
            <w:vAlign w:val="center"/>
          </w:tcPr>
          <w:p w:rsidR="00087C57" w:rsidRPr="00870CD7" w:rsidRDefault="00087C57" w:rsidP="00870CD7">
            <w:pPr>
              <w:spacing w:line="240" w:lineRule="auto"/>
              <w:ind w:left="113" w:right="113"/>
              <w:jc w:val="center"/>
              <w:rPr>
                <w:rFonts w:cs="Arial"/>
                <w:b/>
                <w:szCs w:val="22"/>
              </w:rPr>
            </w:pPr>
            <w:r w:rsidRPr="00870CD7">
              <w:rPr>
                <w:rFonts w:cs="Arial"/>
                <w:b/>
                <w:szCs w:val="22"/>
              </w:rPr>
              <w:t>Meio Biótico</w:t>
            </w:r>
          </w:p>
        </w:tc>
        <w:tc>
          <w:tcPr>
            <w:tcW w:w="4563" w:type="pct"/>
            <w:gridSpan w:val="11"/>
            <w:shd w:val="clear" w:color="auto" w:fill="auto"/>
            <w:vAlign w:val="center"/>
          </w:tcPr>
          <w:p w:rsidR="00087C57" w:rsidRPr="008A7364" w:rsidRDefault="00087C57" w:rsidP="007A3613">
            <w:pPr>
              <w:spacing w:line="240" w:lineRule="auto"/>
              <w:rPr>
                <w:rFonts w:cs="Arial"/>
                <w:sz w:val="16"/>
                <w:szCs w:val="16"/>
              </w:rPr>
            </w:pPr>
            <w:r w:rsidRPr="008A7364">
              <w:rPr>
                <w:sz w:val="16"/>
                <w:szCs w:val="16"/>
              </w:rPr>
              <w:t>Alteração de Hábitats e Proliferação das Macrófitas Aquáticas</w:t>
            </w:r>
          </w:p>
        </w:tc>
      </w:tr>
      <w:tr w:rsidR="00087C57" w:rsidRPr="008A7364" w:rsidTr="008464FB">
        <w:trPr>
          <w:trHeight w:val="598"/>
        </w:trPr>
        <w:tc>
          <w:tcPr>
            <w:tcW w:w="188" w:type="pct"/>
            <w:shd w:val="clear" w:color="auto" w:fill="auto"/>
            <w:vAlign w:val="center"/>
          </w:tcPr>
          <w:p w:rsidR="00087C57" w:rsidRPr="008A7364" w:rsidRDefault="00087C57" w:rsidP="003031D7">
            <w:pPr>
              <w:spacing w:line="240" w:lineRule="auto"/>
              <w:jc w:val="left"/>
              <w:rPr>
                <w:rFonts w:cs="Arial"/>
                <w:sz w:val="16"/>
                <w:szCs w:val="16"/>
              </w:rPr>
            </w:pPr>
            <w:r w:rsidRPr="008A7364">
              <w:rPr>
                <w:rFonts w:cs="Arial"/>
                <w:sz w:val="16"/>
                <w:szCs w:val="16"/>
              </w:rPr>
              <w:t>29</w:t>
            </w:r>
            <w:r>
              <w:rPr>
                <w:rFonts w:cs="Arial"/>
                <w:sz w:val="16"/>
                <w:szCs w:val="16"/>
              </w:rPr>
              <w:t xml:space="preserve"> a</w:t>
            </w:r>
          </w:p>
        </w:tc>
        <w:tc>
          <w:tcPr>
            <w:tcW w:w="249" w:type="pct"/>
            <w:vMerge/>
            <w:shd w:val="clear" w:color="auto" w:fill="auto"/>
            <w:textDirection w:val="btLr"/>
            <w:vAlign w:val="center"/>
          </w:tcPr>
          <w:p w:rsidR="00087C57" w:rsidRPr="00870CD7" w:rsidRDefault="00087C57" w:rsidP="00870CD7">
            <w:pPr>
              <w:spacing w:line="240" w:lineRule="auto"/>
              <w:ind w:left="113" w:right="113"/>
              <w:jc w:val="center"/>
              <w:rPr>
                <w:rFonts w:cs="Arial"/>
                <w:b/>
                <w:szCs w:val="22"/>
              </w:rPr>
            </w:pPr>
          </w:p>
        </w:tc>
        <w:tc>
          <w:tcPr>
            <w:tcW w:w="894" w:type="pct"/>
            <w:shd w:val="clear" w:color="auto" w:fill="auto"/>
            <w:vAlign w:val="center"/>
          </w:tcPr>
          <w:p w:rsidR="00087C57" w:rsidRPr="008A7364" w:rsidRDefault="00087C57" w:rsidP="007A3613">
            <w:pPr>
              <w:spacing w:before="20" w:after="20" w:line="240" w:lineRule="auto"/>
              <w:rPr>
                <w:sz w:val="16"/>
                <w:szCs w:val="16"/>
              </w:rPr>
            </w:pPr>
            <w:r w:rsidRPr="008A7364">
              <w:rPr>
                <w:sz w:val="16"/>
                <w:szCs w:val="16"/>
              </w:rPr>
              <w:t>Alteração de Hábitats e Proliferação das Macrófitas Aquáticas</w:t>
            </w:r>
            <w:r>
              <w:rPr>
                <w:sz w:val="16"/>
                <w:szCs w:val="16"/>
              </w:rPr>
              <w:t>. Implantação</w:t>
            </w:r>
            <w:r w:rsidRPr="008A7364">
              <w:rPr>
                <w:sz w:val="16"/>
                <w:szCs w:val="16"/>
              </w:rPr>
              <w:t xml:space="preserve"> </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Local (AID/ADA)</w:t>
            </w:r>
          </w:p>
        </w:tc>
        <w:tc>
          <w:tcPr>
            <w:tcW w:w="39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Temporário</w:t>
            </w:r>
          </w:p>
        </w:tc>
        <w:tc>
          <w:tcPr>
            <w:tcW w:w="299" w:type="pct"/>
            <w:shd w:val="clear" w:color="auto" w:fill="auto"/>
            <w:vAlign w:val="center"/>
          </w:tcPr>
          <w:p w:rsidR="00087C57" w:rsidRPr="00BC7E61" w:rsidRDefault="00087C57" w:rsidP="008A7364">
            <w:pPr>
              <w:spacing w:line="240" w:lineRule="auto"/>
              <w:jc w:val="left"/>
              <w:rPr>
                <w:rFonts w:cs="Arial"/>
                <w:sz w:val="16"/>
                <w:szCs w:val="16"/>
              </w:rPr>
            </w:pPr>
            <w:r w:rsidRPr="00BC7E61">
              <w:rPr>
                <w:rFonts w:cs="Arial"/>
                <w:sz w:val="16"/>
                <w:szCs w:val="16"/>
              </w:rPr>
              <w:t>Provável</w:t>
            </w:r>
          </w:p>
        </w:tc>
        <w:tc>
          <w:tcPr>
            <w:tcW w:w="40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Médio e Longo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Pr>
                <w:rFonts w:cs="Arial"/>
                <w:sz w:val="16"/>
                <w:szCs w:val="16"/>
              </w:rPr>
              <w:t>Reversível</w:t>
            </w:r>
          </w:p>
        </w:tc>
        <w:tc>
          <w:tcPr>
            <w:tcW w:w="38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Mitigável</w:t>
            </w:r>
          </w:p>
        </w:tc>
      </w:tr>
      <w:tr w:rsidR="00087C57" w:rsidRPr="008A7364" w:rsidTr="008464FB">
        <w:trPr>
          <w:trHeight w:val="598"/>
        </w:trPr>
        <w:tc>
          <w:tcPr>
            <w:tcW w:w="188" w:type="pct"/>
            <w:shd w:val="clear" w:color="auto" w:fill="auto"/>
            <w:vAlign w:val="center"/>
          </w:tcPr>
          <w:p w:rsidR="00087C57" w:rsidRPr="008A7364" w:rsidRDefault="00087C57" w:rsidP="003031D7">
            <w:pPr>
              <w:spacing w:line="240" w:lineRule="auto"/>
              <w:jc w:val="left"/>
              <w:rPr>
                <w:rFonts w:cs="Arial"/>
                <w:sz w:val="16"/>
                <w:szCs w:val="16"/>
              </w:rPr>
            </w:pPr>
            <w:r w:rsidRPr="008A7364">
              <w:rPr>
                <w:rFonts w:cs="Arial"/>
                <w:sz w:val="16"/>
                <w:szCs w:val="16"/>
              </w:rPr>
              <w:t>29</w:t>
            </w:r>
            <w:r>
              <w:rPr>
                <w:rFonts w:cs="Arial"/>
                <w:sz w:val="16"/>
                <w:szCs w:val="16"/>
              </w:rPr>
              <w:t xml:space="preserve"> b</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8A7364" w:rsidRDefault="00087C57" w:rsidP="007A3613">
            <w:pPr>
              <w:spacing w:line="240" w:lineRule="auto"/>
              <w:rPr>
                <w:sz w:val="16"/>
                <w:szCs w:val="16"/>
              </w:rPr>
            </w:pPr>
            <w:r w:rsidRPr="008A7364">
              <w:rPr>
                <w:sz w:val="16"/>
                <w:szCs w:val="16"/>
              </w:rPr>
              <w:t>Alteração de Hábitats e Prolif</w:t>
            </w:r>
            <w:r>
              <w:rPr>
                <w:sz w:val="16"/>
                <w:szCs w:val="16"/>
              </w:rPr>
              <w:t>eração das Macrófitas Aquáticas. Operação</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Local (AID/ADA)</w:t>
            </w:r>
          </w:p>
        </w:tc>
        <w:tc>
          <w:tcPr>
            <w:tcW w:w="398" w:type="pct"/>
            <w:shd w:val="clear" w:color="auto" w:fill="auto"/>
            <w:vAlign w:val="center"/>
          </w:tcPr>
          <w:p w:rsidR="00087C57" w:rsidRPr="008A7364" w:rsidRDefault="00087C57" w:rsidP="008A7364">
            <w:pPr>
              <w:spacing w:line="240" w:lineRule="auto"/>
              <w:jc w:val="left"/>
              <w:rPr>
                <w:rFonts w:cs="Arial"/>
                <w:sz w:val="16"/>
                <w:szCs w:val="16"/>
              </w:rPr>
            </w:pPr>
            <w:r>
              <w:rPr>
                <w:rFonts w:cs="Arial"/>
                <w:sz w:val="16"/>
                <w:szCs w:val="16"/>
              </w:rPr>
              <w:t>Cíclica</w:t>
            </w:r>
          </w:p>
        </w:tc>
        <w:tc>
          <w:tcPr>
            <w:tcW w:w="299" w:type="pct"/>
            <w:shd w:val="clear" w:color="auto" w:fill="auto"/>
            <w:vAlign w:val="center"/>
          </w:tcPr>
          <w:p w:rsidR="00087C57" w:rsidRPr="00BC7E61" w:rsidRDefault="00087C57" w:rsidP="008A7364">
            <w:pPr>
              <w:spacing w:line="240" w:lineRule="auto"/>
              <w:jc w:val="left"/>
              <w:rPr>
                <w:rFonts w:cs="Arial"/>
                <w:sz w:val="16"/>
                <w:szCs w:val="16"/>
              </w:rPr>
            </w:pPr>
            <w:r w:rsidRPr="00BC7E61">
              <w:rPr>
                <w:rFonts w:cs="Arial"/>
                <w:sz w:val="16"/>
                <w:szCs w:val="16"/>
              </w:rPr>
              <w:t>Provável</w:t>
            </w:r>
          </w:p>
        </w:tc>
        <w:tc>
          <w:tcPr>
            <w:tcW w:w="40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Médio e Longo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Pr>
                <w:rFonts w:cs="Arial"/>
                <w:sz w:val="16"/>
                <w:szCs w:val="16"/>
              </w:rPr>
              <w:t>Reversível</w:t>
            </w:r>
          </w:p>
        </w:tc>
        <w:tc>
          <w:tcPr>
            <w:tcW w:w="38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Mitigável</w:t>
            </w:r>
          </w:p>
        </w:tc>
      </w:tr>
      <w:tr w:rsidR="00087C57" w:rsidRPr="008A7364" w:rsidTr="008464FB">
        <w:trPr>
          <w:trHeight w:hRule="exact" w:val="716"/>
        </w:trPr>
        <w:tc>
          <w:tcPr>
            <w:tcW w:w="18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30</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8A7364" w:rsidRDefault="00087C57" w:rsidP="007A3613">
            <w:pPr>
              <w:spacing w:line="240" w:lineRule="auto"/>
              <w:rPr>
                <w:sz w:val="16"/>
                <w:szCs w:val="16"/>
              </w:rPr>
            </w:pPr>
            <w:r w:rsidRPr="008A7364">
              <w:rPr>
                <w:sz w:val="16"/>
                <w:szCs w:val="16"/>
              </w:rPr>
              <w:t>Aumento do Potencial de Proliferação de Vetores de Doenças de Veiculação Hídrica</w:t>
            </w:r>
            <w:r>
              <w:rPr>
                <w:sz w:val="16"/>
                <w:szCs w:val="16"/>
              </w:rPr>
              <w:t>. Implantação.</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Negativo</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Direto</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Temporário</w:t>
            </w:r>
          </w:p>
        </w:tc>
        <w:tc>
          <w:tcPr>
            <w:tcW w:w="299" w:type="pct"/>
            <w:shd w:val="clear" w:color="auto" w:fill="auto"/>
            <w:vAlign w:val="center"/>
          </w:tcPr>
          <w:p w:rsidR="00087C57" w:rsidRPr="00BC7E61" w:rsidRDefault="00087C57" w:rsidP="008A7364">
            <w:pPr>
              <w:spacing w:line="240" w:lineRule="auto"/>
              <w:jc w:val="left"/>
              <w:rPr>
                <w:rFonts w:cs="Arial"/>
                <w:sz w:val="16"/>
                <w:szCs w:val="16"/>
              </w:rPr>
            </w:pPr>
            <w:r w:rsidRPr="00BC7E61">
              <w:rPr>
                <w:rFonts w:cs="Arial"/>
                <w:sz w:val="16"/>
                <w:szCs w:val="16"/>
              </w:rPr>
              <w:t>Provável</w:t>
            </w:r>
          </w:p>
        </w:tc>
        <w:tc>
          <w:tcPr>
            <w:tcW w:w="40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Mitigável</w:t>
            </w:r>
          </w:p>
        </w:tc>
      </w:tr>
      <w:tr w:rsidR="00087C57" w:rsidRPr="008A7364" w:rsidTr="008464FB">
        <w:trPr>
          <w:trHeight w:hRule="exact" w:val="894"/>
        </w:trPr>
        <w:tc>
          <w:tcPr>
            <w:tcW w:w="18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31</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8A7364" w:rsidRDefault="00087C57" w:rsidP="007A3613">
            <w:pPr>
              <w:spacing w:line="240" w:lineRule="auto"/>
              <w:rPr>
                <w:sz w:val="16"/>
                <w:szCs w:val="16"/>
              </w:rPr>
            </w:pPr>
            <w:r w:rsidRPr="008A7364">
              <w:rPr>
                <w:sz w:val="16"/>
                <w:szCs w:val="16"/>
              </w:rPr>
              <w:t>Alteração na Composição da Fauna de Invertebrados de Interesse Médico-Sanitário</w:t>
            </w:r>
            <w:r>
              <w:rPr>
                <w:sz w:val="16"/>
                <w:szCs w:val="16"/>
              </w:rPr>
              <w:t>. Operação</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Negativo</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Direto</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Regional (AII)</w:t>
            </w:r>
          </w:p>
        </w:tc>
        <w:tc>
          <w:tcPr>
            <w:tcW w:w="39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87C57" w:rsidRPr="00BC7E61" w:rsidRDefault="00087C57" w:rsidP="008A7364">
            <w:pPr>
              <w:spacing w:line="240" w:lineRule="auto"/>
              <w:jc w:val="left"/>
              <w:rPr>
                <w:rFonts w:cs="Arial"/>
                <w:sz w:val="16"/>
                <w:szCs w:val="16"/>
              </w:rPr>
            </w:pPr>
            <w:r w:rsidRPr="00BC7E61">
              <w:rPr>
                <w:rFonts w:cs="Arial"/>
                <w:sz w:val="16"/>
                <w:szCs w:val="16"/>
              </w:rPr>
              <w:t>Certa</w:t>
            </w:r>
          </w:p>
        </w:tc>
        <w:tc>
          <w:tcPr>
            <w:tcW w:w="40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Médio e Longo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Grande</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Mitigável</w:t>
            </w:r>
          </w:p>
        </w:tc>
      </w:tr>
      <w:tr w:rsidR="00087C57" w:rsidRPr="008A7364" w:rsidTr="008464FB">
        <w:trPr>
          <w:trHeight w:hRule="exact" w:val="481"/>
        </w:trPr>
        <w:tc>
          <w:tcPr>
            <w:tcW w:w="18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32</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8A7364" w:rsidRDefault="00087C57" w:rsidP="007A3613">
            <w:pPr>
              <w:spacing w:line="240" w:lineRule="auto"/>
              <w:rPr>
                <w:sz w:val="16"/>
                <w:szCs w:val="16"/>
              </w:rPr>
            </w:pPr>
            <w:r w:rsidRPr="008A7364">
              <w:rPr>
                <w:sz w:val="16"/>
                <w:szCs w:val="16"/>
              </w:rPr>
              <w:t>Perda e Alteração de Habitats da Ictiofauna</w:t>
            </w:r>
            <w:r>
              <w:rPr>
                <w:sz w:val="16"/>
                <w:szCs w:val="16"/>
              </w:rPr>
              <w:t>. Implantação.</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Local</w:t>
            </w:r>
          </w:p>
        </w:tc>
        <w:tc>
          <w:tcPr>
            <w:tcW w:w="39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87C57" w:rsidRPr="00BC7E61" w:rsidRDefault="00087C57" w:rsidP="008A7364">
            <w:pPr>
              <w:spacing w:line="240" w:lineRule="auto"/>
              <w:jc w:val="left"/>
              <w:rPr>
                <w:rFonts w:cs="Arial"/>
                <w:sz w:val="16"/>
                <w:szCs w:val="16"/>
              </w:rPr>
            </w:pPr>
            <w:r w:rsidRPr="00BC7E61">
              <w:rPr>
                <w:rFonts w:cs="Arial"/>
                <w:sz w:val="16"/>
                <w:szCs w:val="16"/>
              </w:rPr>
              <w:t>Certa</w:t>
            </w:r>
          </w:p>
        </w:tc>
        <w:tc>
          <w:tcPr>
            <w:tcW w:w="40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Não Mitigável</w:t>
            </w:r>
          </w:p>
        </w:tc>
      </w:tr>
      <w:tr w:rsidR="00087C57" w:rsidRPr="008A7364" w:rsidTr="008464FB">
        <w:trPr>
          <w:trHeight w:hRule="exact" w:val="272"/>
        </w:trPr>
        <w:tc>
          <w:tcPr>
            <w:tcW w:w="188" w:type="pct"/>
            <w:shd w:val="clear" w:color="auto" w:fill="auto"/>
            <w:vAlign w:val="center"/>
          </w:tcPr>
          <w:p w:rsidR="00087C57" w:rsidRPr="008A7364" w:rsidRDefault="00087C57" w:rsidP="008A7364">
            <w:pPr>
              <w:spacing w:line="240" w:lineRule="auto"/>
              <w:jc w:val="left"/>
              <w:rPr>
                <w:rFonts w:cs="Arial"/>
                <w:sz w:val="16"/>
                <w:szCs w:val="16"/>
              </w:rPr>
            </w:pPr>
            <w:r>
              <w:rPr>
                <w:rFonts w:cs="Arial"/>
                <w:sz w:val="16"/>
                <w:szCs w:val="16"/>
              </w:rPr>
              <w:t>33</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4563" w:type="pct"/>
            <w:gridSpan w:val="11"/>
            <w:shd w:val="clear" w:color="auto" w:fill="auto"/>
            <w:vAlign w:val="center"/>
          </w:tcPr>
          <w:p w:rsidR="00087C57" w:rsidRPr="008A7364" w:rsidRDefault="00087C57" w:rsidP="007A3613">
            <w:pPr>
              <w:spacing w:line="240" w:lineRule="auto"/>
              <w:rPr>
                <w:sz w:val="20"/>
              </w:rPr>
            </w:pPr>
            <w:r>
              <w:rPr>
                <w:rFonts w:cs="Arial"/>
                <w:sz w:val="16"/>
                <w:szCs w:val="16"/>
              </w:rPr>
              <w:t>Mudanças na Composição e Estrutura da Comunidade Ictíica</w:t>
            </w:r>
          </w:p>
        </w:tc>
      </w:tr>
      <w:tr w:rsidR="00087C57" w:rsidRPr="008A7364" w:rsidTr="008464FB">
        <w:trPr>
          <w:trHeight w:hRule="exact" w:val="786"/>
        </w:trPr>
        <w:tc>
          <w:tcPr>
            <w:tcW w:w="18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33</w:t>
            </w:r>
            <w:r>
              <w:rPr>
                <w:rFonts w:cs="Arial"/>
                <w:sz w:val="16"/>
                <w:szCs w:val="16"/>
              </w:rPr>
              <w:t xml:space="preserve"> a</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8A7364" w:rsidRDefault="00087C57" w:rsidP="007A3613">
            <w:pPr>
              <w:spacing w:line="240" w:lineRule="auto"/>
              <w:rPr>
                <w:rFonts w:cs="Arial"/>
                <w:sz w:val="16"/>
                <w:szCs w:val="16"/>
              </w:rPr>
            </w:pPr>
            <w:r w:rsidRPr="008A7364">
              <w:rPr>
                <w:rFonts w:cs="Arial"/>
                <w:sz w:val="16"/>
                <w:szCs w:val="16"/>
              </w:rPr>
              <w:t>Processos associados às alterações na qualidade da água</w:t>
            </w:r>
            <w:r>
              <w:rPr>
                <w:rFonts w:cs="Arial"/>
                <w:sz w:val="16"/>
                <w:szCs w:val="16"/>
              </w:rPr>
              <w:t xml:space="preserve"> </w:t>
            </w:r>
            <w:r w:rsidRPr="0097589A">
              <w:rPr>
                <w:rFonts w:cs="Arial"/>
                <w:sz w:val="16"/>
                <w:szCs w:val="16"/>
              </w:rPr>
              <w:t>sobre a Ictiofauna</w:t>
            </w:r>
            <w:r>
              <w:rPr>
                <w:rFonts w:cs="Arial"/>
                <w:sz w:val="16"/>
                <w:szCs w:val="16"/>
              </w:rPr>
              <w:t>. Implantação e Operação</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Local</w:t>
            </w:r>
          </w:p>
        </w:tc>
        <w:tc>
          <w:tcPr>
            <w:tcW w:w="398" w:type="pct"/>
            <w:shd w:val="clear" w:color="auto" w:fill="auto"/>
            <w:vAlign w:val="center"/>
          </w:tcPr>
          <w:p w:rsidR="00087C57" w:rsidRPr="008A7364" w:rsidRDefault="00087C57" w:rsidP="00D96403">
            <w:pPr>
              <w:spacing w:line="240" w:lineRule="auto"/>
              <w:jc w:val="left"/>
              <w:rPr>
                <w:rFonts w:cs="Arial"/>
                <w:sz w:val="16"/>
                <w:szCs w:val="16"/>
              </w:rPr>
            </w:pPr>
            <w:r>
              <w:rPr>
                <w:rFonts w:cs="Arial"/>
                <w:sz w:val="16"/>
                <w:szCs w:val="16"/>
              </w:rPr>
              <w:t>Temporária</w:t>
            </w:r>
          </w:p>
        </w:tc>
        <w:tc>
          <w:tcPr>
            <w:tcW w:w="299" w:type="pct"/>
            <w:shd w:val="clear" w:color="auto" w:fill="auto"/>
            <w:vAlign w:val="center"/>
          </w:tcPr>
          <w:p w:rsidR="00087C57" w:rsidRPr="00BC7E61" w:rsidRDefault="00087C57" w:rsidP="008A7364">
            <w:pPr>
              <w:spacing w:line="240" w:lineRule="auto"/>
              <w:jc w:val="left"/>
              <w:rPr>
                <w:rFonts w:cs="Arial"/>
                <w:sz w:val="16"/>
                <w:szCs w:val="16"/>
              </w:rPr>
            </w:pPr>
            <w:r w:rsidRPr="00BC7E61">
              <w:rPr>
                <w:rFonts w:cs="Arial"/>
                <w:sz w:val="16"/>
                <w:szCs w:val="16"/>
              </w:rPr>
              <w:t>Certa</w:t>
            </w:r>
          </w:p>
        </w:tc>
        <w:tc>
          <w:tcPr>
            <w:tcW w:w="40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Curto e Médio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087C57" w:rsidRPr="008A7364" w:rsidRDefault="00087C57" w:rsidP="00D96403">
            <w:pPr>
              <w:spacing w:line="240" w:lineRule="auto"/>
              <w:jc w:val="left"/>
              <w:rPr>
                <w:rFonts w:cs="Arial"/>
                <w:sz w:val="16"/>
                <w:szCs w:val="16"/>
              </w:rPr>
            </w:pPr>
            <w:r>
              <w:rPr>
                <w:rFonts w:cs="Arial"/>
                <w:sz w:val="16"/>
                <w:szCs w:val="16"/>
              </w:rPr>
              <w:t>Grande</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87C57" w:rsidRPr="008A7364" w:rsidRDefault="00087C57" w:rsidP="008A7364">
            <w:pPr>
              <w:spacing w:line="240" w:lineRule="auto"/>
              <w:jc w:val="left"/>
              <w:rPr>
                <w:sz w:val="20"/>
              </w:rPr>
            </w:pPr>
            <w:r w:rsidRPr="008A7364">
              <w:rPr>
                <w:sz w:val="20"/>
              </w:rPr>
              <w:t xml:space="preserve"> </w:t>
            </w:r>
            <w:r w:rsidRPr="008A7364">
              <w:rPr>
                <w:rFonts w:cs="Arial"/>
                <w:sz w:val="16"/>
                <w:szCs w:val="16"/>
              </w:rPr>
              <w:t>Mitigável</w:t>
            </w:r>
          </w:p>
        </w:tc>
      </w:tr>
      <w:tr w:rsidR="00087C57" w:rsidRPr="008A7364" w:rsidTr="008464FB">
        <w:trPr>
          <w:trHeight w:hRule="exact" w:val="567"/>
        </w:trPr>
        <w:tc>
          <w:tcPr>
            <w:tcW w:w="18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3</w:t>
            </w:r>
            <w:r>
              <w:rPr>
                <w:rFonts w:cs="Arial"/>
                <w:sz w:val="16"/>
                <w:szCs w:val="16"/>
              </w:rPr>
              <w:t>3 b</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8A7364" w:rsidRDefault="00087C57" w:rsidP="007A3613">
            <w:pPr>
              <w:spacing w:line="240" w:lineRule="auto"/>
              <w:rPr>
                <w:rFonts w:cs="Arial"/>
                <w:sz w:val="16"/>
                <w:szCs w:val="16"/>
              </w:rPr>
            </w:pPr>
            <w:r w:rsidRPr="008A7364">
              <w:rPr>
                <w:rFonts w:cs="Arial"/>
                <w:sz w:val="16"/>
                <w:szCs w:val="16"/>
              </w:rPr>
              <w:t>Processos Associados à Supressão da Vegetação sobre a Ictiofauna</w:t>
            </w:r>
            <w:r>
              <w:rPr>
                <w:rFonts w:cs="Arial"/>
                <w:sz w:val="16"/>
                <w:szCs w:val="16"/>
              </w:rPr>
              <w:t>. Implantação</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Local</w:t>
            </w:r>
          </w:p>
        </w:tc>
        <w:tc>
          <w:tcPr>
            <w:tcW w:w="398" w:type="pct"/>
            <w:shd w:val="clear" w:color="auto" w:fill="auto"/>
            <w:vAlign w:val="center"/>
          </w:tcPr>
          <w:p w:rsidR="00087C57" w:rsidRPr="008A7364" w:rsidRDefault="00087C57" w:rsidP="008A7364">
            <w:pPr>
              <w:spacing w:line="240" w:lineRule="auto"/>
              <w:jc w:val="left"/>
              <w:rPr>
                <w:rFonts w:cs="Arial"/>
                <w:sz w:val="16"/>
                <w:szCs w:val="16"/>
              </w:rPr>
            </w:pPr>
            <w:r>
              <w:rPr>
                <w:rFonts w:cs="Arial"/>
                <w:sz w:val="16"/>
                <w:szCs w:val="16"/>
              </w:rPr>
              <w:t>Permanente</w:t>
            </w:r>
          </w:p>
        </w:tc>
        <w:tc>
          <w:tcPr>
            <w:tcW w:w="299" w:type="pct"/>
            <w:shd w:val="clear" w:color="auto" w:fill="auto"/>
            <w:vAlign w:val="center"/>
          </w:tcPr>
          <w:p w:rsidR="00087C57" w:rsidRPr="00BC7E61" w:rsidRDefault="00087C57" w:rsidP="008A7364">
            <w:pPr>
              <w:spacing w:line="240" w:lineRule="auto"/>
              <w:jc w:val="left"/>
              <w:rPr>
                <w:rFonts w:cs="Arial"/>
                <w:sz w:val="16"/>
                <w:szCs w:val="16"/>
              </w:rPr>
            </w:pPr>
            <w:r w:rsidRPr="00BC7E61">
              <w:rPr>
                <w:rFonts w:cs="Arial"/>
                <w:sz w:val="16"/>
                <w:szCs w:val="16"/>
              </w:rPr>
              <w:t>Certa</w:t>
            </w:r>
          </w:p>
        </w:tc>
        <w:tc>
          <w:tcPr>
            <w:tcW w:w="409" w:type="pct"/>
            <w:shd w:val="clear" w:color="auto" w:fill="auto"/>
            <w:vAlign w:val="center"/>
          </w:tcPr>
          <w:p w:rsidR="00087C57" w:rsidRPr="008A7364" w:rsidRDefault="00087C57" w:rsidP="008A7364">
            <w:pPr>
              <w:spacing w:line="240" w:lineRule="auto"/>
              <w:jc w:val="left"/>
              <w:rPr>
                <w:rFonts w:cs="Arial"/>
                <w:sz w:val="16"/>
                <w:szCs w:val="16"/>
              </w:rPr>
            </w:pPr>
            <w:r>
              <w:rPr>
                <w:rFonts w:cs="Arial"/>
                <w:sz w:val="16"/>
                <w:szCs w:val="16"/>
              </w:rPr>
              <w:t xml:space="preserve">Curto e </w:t>
            </w:r>
            <w:r w:rsidRPr="008A7364">
              <w:rPr>
                <w:rFonts w:cs="Arial"/>
                <w:sz w:val="16"/>
                <w:szCs w:val="16"/>
              </w:rPr>
              <w:t>Médio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087C57" w:rsidRPr="008A7364" w:rsidRDefault="00087C57" w:rsidP="00011CCE">
            <w:pPr>
              <w:spacing w:line="240" w:lineRule="auto"/>
              <w:jc w:val="left"/>
              <w:rPr>
                <w:rFonts w:cs="Arial"/>
                <w:sz w:val="16"/>
                <w:szCs w:val="16"/>
              </w:rPr>
            </w:pPr>
            <w:r>
              <w:rPr>
                <w:rFonts w:cs="Arial"/>
                <w:sz w:val="16"/>
                <w:szCs w:val="16"/>
              </w:rPr>
              <w:t>Grande</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Mitigável</w:t>
            </w:r>
          </w:p>
        </w:tc>
      </w:tr>
      <w:tr w:rsidR="00087C57" w:rsidRPr="008A7364" w:rsidTr="008464FB">
        <w:trPr>
          <w:trHeight w:hRule="exact" w:val="567"/>
        </w:trPr>
        <w:tc>
          <w:tcPr>
            <w:tcW w:w="188" w:type="pct"/>
            <w:shd w:val="clear" w:color="auto" w:fill="auto"/>
            <w:vAlign w:val="center"/>
          </w:tcPr>
          <w:p w:rsidR="00087C57" w:rsidRPr="008A7364" w:rsidRDefault="00087C57" w:rsidP="00011CCE">
            <w:pPr>
              <w:spacing w:line="240" w:lineRule="auto"/>
              <w:jc w:val="left"/>
              <w:rPr>
                <w:rFonts w:cs="Arial"/>
                <w:sz w:val="16"/>
                <w:szCs w:val="16"/>
              </w:rPr>
            </w:pPr>
            <w:r w:rsidRPr="008A7364">
              <w:rPr>
                <w:rFonts w:cs="Arial"/>
                <w:sz w:val="16"/>
                <w:szCs w:val="16"/>
              </w:rPr>
              <w:t>3</w:t>
            </w:r>
            <w:r>
              <w:rPr>
                <w:rFonts w:cs="Arial"/>
                <w:sz w:val="16"/>
                <w:szCs w:val="16"/>
              </w:rPr>
              <w:t>4</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8A7364" w:rsidRDefault="00087C57" w:rsidP="007A3613">
            <w:pPr>
              <w:spacing w:line="240" w:lineRule="auto"/>
              <w:rPr>
                <w:rFonts w:cs="Arial"/>
                <w:sz w:val="16"/>
                <w:szCs w:val="16"/>
              </w:rPr>
            </w:pPr>
            <w:r w:rsidRPr="008A7364">
              <w:rPr>
                <w:rFonts w:cs="Arial"/>
                <w:sz w:val="16"/>
                <w:szCs w:val="16"/>
              </w:rPr>
              <w:t>Impacto na Ictiofauna pela Implantação das Ensecadeiras</w:t>
            </w:r>
            <w:r>
              <w:rPr>
                <w:rFonts w:cs="Arial"/>
                <w:sz w:val="16"/>
                <w:szCs w:val="16"/>
              </w:rPr>
              <w:t>. Implantação</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Local</w:t>
            </w:r>
          </w:p>
        </w:tc>
        <w:tc>
          <w:tcPr>
            <w:tcW w:w="398" w:type="pct"/>
            <w:shd w:val="clear" w:color="auto" w:fill="auto"/>
            <w:vAlign w:val="center"/>
          </w:tcPr>
          <w:p w:rsidR="00087C57" w:rsidRPr="008A7364" w:rsidRDefault="00087C57" w:rsidP="008A7364">
            <w:pPr>
              <w:spacing w:line="240" w:lineRule="auto"/>
              <w:jc w:val="left"/>
              <w:rPr>
                <w:rFonts w:cs="Arial"/>
                <w:sz w:val="16"/>
                <w:szCs w:val="16"/>
              </w:rPr>
            </w:pPr>
            <w:r>
              <w:rPr>
                <w:rFonts w:cs="Arial"/>
                <w:sz w:val="16"/>
                <w:szCs w:val="16"/>
              </w:rPr>
              <w:t>Temporária</w:t>
            </w:r>
          </w:p>
        </w:tc>
        <w:tc>
          <w:tcPr>
            <w:tcW w:w="299" w:type="pct"/>
            <w:shd w:val="clear" w:color="auto" w:fill="auto"/>
            <w:vAlign w:val="center"/>
          </w:tcPr>
          <w:p w:rsidR="00087C57" w:rsidRPr="00BC7E61" w:rsidRDefault="00087C57" w:rsidP="008A7364">
            <w:pPr>
              <w:spacing w:line="240" w:lineRule="auto"/>
              <w:jc w:val="left"/>
              <w:rPr>
                <w:rFonts w:cs="Arial"/>
                <w:sz w:val="16"/>
                <w:szCs w:val="16"/>
              </w:rPr>
            </w:pPr>
            <w:r w:rsidRPr="00BC7E61">
              <w:rPr>
                <w:rFonts w:cs="Arial"/>
                <w:sz w:val="16"/>
                <w:szCs w:val="16"/>
              </w:rPr>
              <w:t>Certa</w:t>
            </w:r>
          </w:p>
        </w:tc>
        <w:tc>
          <w:tcPr>
            <w:tcW w:w="40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Curto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087C57" w:rsidRPr="008A7364" w:rsidRDefault="00087C57" w:rsidP="008A7364">
            <w:pPr>
              <w:spacing w:line="240" w:lineRule="auto"/>
              <w:jc w:val="left"/>
              <w:rPr>
                <w:rFonts w:cs="Arial"/>
                <w:sz w:val="16"/>
                <w:szCs w:val="16"/>
              </w:rPr>
            </w:pPr>
            <w:r>
              <w:rPr>
                <w:rFonts w:cs="Arial"/>
                <w:sz w:val="16"/>
                <w:szCs w:val="16"/>
              </w:rPr>
              <w:t>Grande</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 xml:space="preserve"> Mitigável</w:t>
            </w:r>
          </w:p>
        </w:tc>
      </w:tr>
      <w:tr w:rsidR="00087C57" w:rsidRPr="008A7364" w:rsidTr="008464FB">
        <w:trPr>
          <w:trHeight w:hRule="exact" w:val="845"/>
        </w:trPr>
        <w:tc>
          <w:tcPr>
            <w:tcW w:w="188" w:type="pct"/>
            <w:shd w:val="clear" w:color="auto" w:fill="auto"/>
            <w:vAlign w:val="center"/>
          </w:tcPr>
          <w:p w:rsidR="00087C57" w:rsidRPr="008A7364" w:rsidRDefault="00087C57" w:rsidP="00011CCE">
            <w:pPr>
              <w:spacing w:line="240" w:lineRule="auto"/>
              <w:jc w:val="left"/>
              <w:rPr>
                <w:rFonts w:cs="Arial"/>
                <w:sz w:val="16"/>
                <w:szCs w:val="16"/>
              </w:rPr>
            </w:pPr>
            <w:r w:rsidRPr="008A7364">
              <w:rPr>
                <w:rFonts w:cs="Arial"/>
                <w:sz w:val="16"/>
                <w:szCs w:val="16"/>
              </w:rPr>
              <w:t>3</w:t>
            </w:r>
            <w:r>
              <w:rPr>
                <w:rFonts w:cs="Arial"/>
                <w:sz w:val="16"/>
                <w:szCs w:val="16"/>
              </w:rPr>
              <w:t>5</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8A7364" w:rsidRDefault="00087C57" w:rsidP="007A3613">
            <w:pPr>
              <w:spacing w:line="240" w:lineRule="auto"/>
              <w:rPr>
                <w:sz w:val="16"/>
                <w:szCs w:val="16"/>
              </w:rPr>
            </w:pPr>
            <w:r w:rsidRPr="008A7364">
              <w:rPr>
                <w:sz w:val="16"/>
                <w:szCs w:val="16"/>
              </w:rPr>
              <w:t>Interrupção do Fluxo Migratório das Espécies Migradoras de Longa Distância</w:t>
            </w:r>
            <w:r>
              <w:rPr>
                <w:sz w:val="16"/>
                <w:szCs w:val="16"/>
              </w:rPr>
              <w:t>. Implantação e Operação</w:t>
            </w:r>
          </w:p>
        </w:tc>
        <w:tc>
          <w:tcPr>
            <w:tcW w:w="335"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Regional</w:t>
            </w:r>
          </w:p>
        </w:tc>
        <w:tc>
          <w:tcPr>
            <w:tcW w:w="398"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087C57" w:rsidRPr="00BC7E61" w:rsidRDefault="00087C57" w:rsidP="008A7364">
            <w:pPr>
              <w:spacing w:line="240" w:lineRule="auto"/>
              <w:jc w:val="left"/>
              <w:rPr>
                <w:rFonts w:cs="Arial"/>
                <w:sz w:val="16"/>
                <w:szCs w:val="16"/>
              </w:rPr>
            </w:pPr>
            <w:r w:rsidRPr="00BC7E61">
              <w:rPr>
                <w:rFonts w:cs="Arial"/>
                <w:sz w:val="16"/>
                <w:szCs w:val="16"/>
              </w:rPr>
              <w:t>Certa</w:t>
            </w:r>
          </w:p>
        </w:tc>
        <w:tc>
          <w:tcPr>
            <w:tcW w:w="409" w:type="pct"/>
            <w:shd w:val="clear" w:color="auto" w:fill="auto"/>
            <w:vAlign w:val="center"/>
          </w:tcPr>
          <w:p w:rsidR="00087C57" w:rsidRPr="008A7364" w:rsidRDefault="00087C57" w:rsidP="00BC7E61">
            <w:pPr>
              <w:spacing w:line="240" w:lineRule="auto"/>
              <w:jc w:val="left"/>
              <w:rPr>
                <w:rFonts w:cs="Arial"/>
                <w:sz w:val="16"/>
                <w:szCs w:val="16"/>
              </w:rPr>
            </w:pPr>
            <w:r w:rsidRPr="008A7364">
              <w:rPr>
                <w:rFonts w:cs="Arial"/>
                <w:sz w:val="16"/>
                <w:szCs w:val="16"/>
              </w:rPr>
              <w:t>Curto e Longo Prazo</w:t>
            </w:r>
          </w:p>
        </w:tc>
        <w:tc>
          <w:tcPr>
            <w:tcW w:w="390"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087C57" w:rsidRPr="008A7364" w:rsidRDefault="00087C57" w:rsidP="008A7364">
            <w:pPr>
              <w:spacing w:line="240" w:lineRule="auto"/>
              <w:jc w:val="left"/>
              <w:rPr>
                <w:rFonts w:cs="Arial"/>
                <w:sz w:val="16"/>
                <w:szCs w:val="16"/>
              </w:rPr>
            </w:pPr>
            <w:r>
              <w:rPr>
                <w:rFonts w:cs="Arial"/>
                <w:sz w:val="16"/>
                <w:szCs w:val="16"/>
              </w:rPr>
              <w:t>Grande</w:t>
            </w:r>
          </w:p>
        </w:tc>
        <w:tc>
          <w:tcPr>
            <w:tcW w:w="343"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087C57" w:rsidRPr="008A7364" w:rsidRDefault="00087C57" w:rsidP="008A7364">
            <w:pPr>
              <w:spacing w:line="240" w:lineRule="auto"/>
              <w:jc w:val="left"/>
              <w:rPr>
                <w:rFonts w:cs="Arial"/>
                <w:sz w:val="16"/>
                <w:szCs w:val="16"/>
              </w:rPr>
            </w:pPr>
            <w:r w:rsidRPr="008A7364">
              <w:rPr>
                <w:rFonts w:cs="Arial"/>
                <w:sz w:val="16"/>
                <w:szCs w:val="16"/>
              </w:rPr>
              <w:t>Mitigável</w:t>
            </w:r>
          </w:p>
        </w:tc>
      </w:tr>
    </w:tbl>
    <w:p w:rsidR="00B42047" w:rsidRDefault="00B42047">
      <w:r>
        <w:br w:type="page"/>
      </w:r>
    </w:p>
    <w:p w:rsidR="002E29E3" w:rsidRDefault="002E29E3" w:rsidP="002E29E3">
      <w:r>
        <w:t>(continuação)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722"/>
        <w:gridCol w:w="2593"/>
        <w:gridCol w:w="972"/>
        <w:gridCol w:w="772"/>
        <w:gridCol w:w="1302"/>
        <w:gridCol w:w="1155"/>
        <w:gridCol w:w="867"/>
        <w:gridCol w:w="1186"/>
        <w:gridCol w:w="1131"/>
        <w:gridCol w:w="1111"/>
        <w:gridCol w:w="995"/>
        <w:gridCol w:w="1152"/>
      </w:tblGrid>
      <w:tr w:rsidR="00BC7E61" w:rsidRPr="008A7364" w:rsidTr="00C55FEC">
        <w:trPr>
          <w:trHeight w:val="336"/>
          <w:tblHeader/>
        </w:trPr>
        <w:tc>
          <w:tcPr>
            <w:tcW w:w="188" w:type="pct"/>
            <w:vMerge w:val="restart"/>
            <w:shd w:val="clear" w:color="auto" w:fill="D9D9D9"/>
            <w:vAlign w:val="center"/>
          </w:tcPr>
          <w:p w:rsidR="00BC7E61" w:rsidRPr="008A7364" w:rsidRDefault="00BC7E61" w:rsidP="00C55FEC">
            <w:pPr>
              <w:spacing w:before="120" w:after="120" w:line="240" w:lineRule="auto"/>
              <w:jc w:val="center"/>
              <w:rPr>
                <w:rFonts w:cs="Arial"/>
                <w:b/>
                <w:sz w:val="18"/>
                <w:szCs w:val="18"/>
              </w:rPr>
            </w:pPr>
            <w:r w:rsidRPr="008A7364">
              <w:rPr>
                <w:rFonts w:cs="Arial"/>
                <w:b/>
                <w:sz w:val="18"/>
                <w:szCs w:val="18"/>
              </w:rPr>
              <w:t>N°</w:t>
            </w:r>
          </w:p>
        </w:tc>
        <w:tc>
          <w:tcPr>
            <w:tcW w:w="249" w:type="pct"/>
            <w:vMerge w:val="restart"/>
            <w:shd w:val="clear" w:color="auto" w:fill="D9D9D9"/>
            <w:vAlign w:val="center"/>
          </w:tcPr>
          <w:p w:rsidR="00BC7E61" w:rsidRPr="008A7364" w:rsidRDefault="00BC7E61" w:rsidP="00C55FEC">
            <w:pPr>
              <w:spacing w:before="120" w:after="120" w:line="240" w:lineRule="auto"/>
              <w:rPr>
                <w:rFonts w:cs="Arial"/>
                <w:b/>
                <w:sz w:val="18"/>
                <w:szCs w:val="18"/>
              </w:rPr>
            </w:pPr>
            <w:r>
              <w:rPr>
                <w:rFonts w:cs="Arial"/>
                <w:b/>
                <w:sz w:val="18"/>
                <w:szCs w:val="18"/>
              </w:rPr>
              <w:t>MEIO</w:t>
            </w:r>
          </w:p>
        </w:tc>
        <w:tc>
          <w:tcPr>
            <w:tcW w:w="894" w:type="pct"/>
            <w:vMerge w:val="restart"/>
            <w:shd w:val="clear" w:color="auto" w:fill="D9D9D9"/>
            <w:vAlign w:val="center"/>
          </w:tcPr>
          <w:p w:rsidR="00BC7E61" w:rsidRPr="008A7364" w:rsidRDefault="00BC7E61" w:rsidP="00C55FEC">
            <w:pPr>
              <w:spacing w:before="120" w:after="120" w:line="240" w:lineRule="auto"/>
              <w:jc w:val="center"/>
              <w:rPr>
                <w:rFonts w:cs="Arial"/>
                <w:b/>
                <w:sz w:val="18"/>
                <w:szCs w:val="18"/>
              </w:rPr>
            </w:pPr>
            <w:r w:rsidRPr="008A7364">
              <w:rPr>
                <w:rFonts w:cs="Arial"/>
                <w:b/>
                <w:sz w:val="18"/>
                <w:szCs w:val="18"/>
              </w:rPr>
              <w:t>IMPACTO</w:t>
            </w:r>
          </w:p>
        </w:tc>
        <w:tc>
          <w:tcPr>
            <w:tcW w:w="3669" w:type="pct"/>
            <w:gridSpan w:val="10"/>
            <w:shd w:val="clear" w:color="auto" w:fill="D9D9D9"/>
          </w:tcPr>
          <w:p w:rsidR="00BC7E61" w:rsidRPr="008A7364" w:rsidRDefault="00BC7E61" w:rsidP="00C55FEC">
            <w:pPr>
              <w:spacing w:before="60" w:after="40" w:line="240" w:lineRule="auto"/>
              <w:jc w:val="center"/>
              <w:rPr>
                <w:rFonts w:cs="Arial"/>
                <w:b/>
                <w:sz w:val="18"/>
                <w:szCs w:val="18"/>
              </w:rPr>
            </w:pPr>
            <w:r w:rsidRPr="008A7364">
              <w:rPr>
                <w:rFonts w:cs="Arial"/>
                <w:b/>
                <w:sz w:val="18"/>
                <w:szCs w:val="18"/>
              </w:rPr>
              <w:t>CARACTERIZAÇÃO</w:t>
            </w:r>
          </w:p>
        </w:tc>
      </w:tr>
      <w:tr w:rsidR="00BC7E61" w:rsidRPr="008A7364" w:rsidTr="00C55FEC">
        <w:trPr>
          <w:trHeight w:hRule="exact" w:val="340"/>
          <w:tblHeader/>
        </w:trPr>
        <w:tc>
          <w:tcPr>
            <w:tcW w:w="188" w:type="pct"/>
            <w:vMerge/>
            <w:shd w:val="clear" w:color="auto" w:fill="D9D9D9"/>
          </w:tcPr>
          <w:p w:rsidR="00BC7E61" w:rsidRPr="008A7364" w:rsidRDefault="00BC7E61" w:rsidP="00C55FEC">
            <w:pPr>
              <w:spacing w:before="120" w:after="120" w:line="240" w:lineRule="auto"/>
              <w:jc w:val="center"/>
              <w:rPr>
                <w:rFonts w:cs="Arial"/>
                <w:b/>
                <w:sz w:val="18"/>
                <w:szCs w:val="18"/>
              </w:rPr>
            </w:pPr>
          </w:p>
        </w:tc>
        <w:tc>
          <w:tcPr>
            <w:tcW w:w="249" w:type="pct"/>
            <w:vMerge/>
            <w:shd w:val="clear" w:color="auto" w:fill="D9D9D9"/>
          </w:tcPr>
          <w:p w:rsidR="00BC7E61" w:rsidRPr="008A7364" w:rsidRDefault="00BC7E61" w:rsidP="00C55FEC">
            <w:pPr>
              <w:spacing w:before="120" w:after="120" w:line="240" w:lineRule="auto"/>
              <w:jc w:val="center"/>
              <w:rPr>
                <w:rFonts w:cs="Arial"/>
                <w:b/>
                <w:sz w:val="18"/>
                <w:szCs w:val="18"/>
              </w:rPr>
            </w:pPr>
          </w:p>
        </w:tc>
        <w:tc>
          <w:tcPr>
            <w:tcW w:w="894" w:type="pct"/>
            <w:vMerge/>
            <w:shd w:val="clear" w:color="auto" w:fill="D9D9D9"/>
          </w:tcPr>
          <w:p w:rsidR="00BC7E61" w:rsidRPr="008A7364" w:rsidRDefault="00BC7E61" w:rsidP="00C55FEC">
            <w:pPr>
              <w:spacing w:before="120" w:after="120" w:line="240" w:lineRule="auto"/>
              <w:jc w:val="center"/>
              <w:rPr>
                <w:rFonts w:cs="Arial"/>
                <w:b/>
                <w:sz w:val="18"/>
                <w:szCs w:val="18"/>
              </w:rPr>
            </w:pPr>
          </w:p>
        </w:tc>
        <w:tc>
          <w:tcPr>
            <w:tcW w:w="2546" w:type="pct"/>
            <w:gridSpan w:val="7"/>
            <w:shd w:val="clear" w:color="auto" w:fill="D9D9D9"/>
            <w:vAlign w:val="center"/>
          </w:tcPr>
          <w:p w:rsidR="00BC7E61" w:rsidRPr="008A7364" w:rsidRDefault="00BC7E61" w:rsidP="00C55FEC">
            <w:pPr>
              <w:spacing w:before="120" w:after="120" w:line="240" w:lineRule="auto"/>
              <w:jc w:val="center"/>
              <w:rPr>
                <w:rFonts w:cs="Arial"/>
                <w:b/>
                <w:sz w:val="16"/>
                <w:szCs w:val="16"/>
              </w:rPr>
            </w:pPr>
            <w:r w:rsidRPr="008A7364">
              <w:rPr>
                <w:rFonts w:cs="Arial"/>
                <w:b/>
                <w:sz w:val="16"/>
                <w:szCs w:val="16"/>
              </w:rPr>
              <w:t>Classificação</w:t>
            </w:r>
          </w:p>
        </w:tc>
        <w:tc>
          <w:tcPr>
            <w:tcW w:w="726" w:type="pct"/>
            <w:gridSpan w:val="2"/>
            <w:shd w:val="clear" w:color="auto" w:fill="D9D9D9"/>
            <w:vAlign w:val="center"/>
          </w:tcPr>
          <w:p w:rsidR="00BC7E61" w:rsidRPr="008A7364" w:rsidRDefault="00BC7E61" w:rsidP="00C55FEC">
            <w:pPr>
              <w:spacing w:before="120" w:after="120" w:line="240" w:lineRule="auto"/>
              <w:jc w:val="center"/>
              <w:rPr>
                <w:rFonts w:cs="Arial"/>
                <w:b/>
                <w:sz w:val="16"/>
                <w:szCs w:val="16"/>
              </w:rPr>
            </w:pPr>
            <w:r w:rsidRPr="008A7364">
              <w:rPr>
                <w:rFonts w:cs="Arial"/>
                <w:b/>
                <w:sz w:val="16"/>
                <w:szCs w:val="16"/>
              </w:rPr>
              <w:t>Mensuração</w:t>
            </w:r>
          </w:p>
        </w:tc>
        <w:tc>
          <w:tcPr>
            <w:tcW w:w="397" w:type="pct"/>
            <w:vMerge w:val="restart"/>
            <w:shd w:val="clear" w:color="auto" w:fill="D9D9D9"/>
            <w:vAlign w:val="center"/>
          </w:tcPr>
          <w:p w:rsidR="00BC7E61" w:rsidRPr="008A7364" w:rsidRDefault="00BC7E61" w:rsidP="00C55FEC">
            <w:pPr>
              <w:spacing w:before="120" w:after="120" w:line="240" w:lineRule="auto"/>
              <w:jc w:val="center"/>
              <w:rPr>
                <w:rFonts w:cs="Arial"/>
                <w:b/>
                <w:sz w:val="16"/>
                <w:szCs w:val="16"/>
              </w:rPr>
            </w:pPr>
            <w:r w:rsidRPr="008A7364">
              <w:rPr>
                <w:rFonts w:cs="Arial"/>
                <w:b/>
                <w:sz w:val="16"/>
                <w:szCs w:val="16"/>
              </w:rPr>
              <w:t>Mitigação</w:t>
            </w:r>
          </w:p>
        </w:tc>
      </w:tr>
      <w:tr w:rsidR="00BC7E61" w:rsidRPr="008A7364" w:rsidTr="00C55FEC">
        <w:trPr>
          <w:trHeight w:val="447"/>
          <w:tblHeader/>
        </w:trPr>
        <w:tc>
          <w:tcPr>
            <w:tcW w:w="188" w:type="pct"/>
            <w:vMerge/>
            <w:shd w:val="clear" w:color="auto" w:fill="auto"/>
          </w:tcPr>
          <w:p w:rsidR="00BC7E61" w:rsidRPr="008A7364" w:rsidRDefault="00BC7E61" w:rsidP="00C55FEC">
            <w:pPr>
              <w:spacing w:before="120" w:after="120" w:line="240" w:lineRule="auto"/>
              <w:jc w:val="center"/>
              <w:rPr>
                <w:rFonts w:cs="Arial"/>
                <w:b/>
              </w:rPr>
            </w:pPr>
          </w:p>
        </w:tc>
        <w:tc>
          <w:tcPr>
            <w:tcW w:w="249" w:type="pct"/>
            <w:vMerge/>
            <w:shd w:val="clear" w:color="auto" w:fill="D9D9D9"/>
          </w:tcPr>
          <w:p w:rsidR="00BC7E61" w:rsidRPr="008A7364" w:rsidRDefault="00BC7E61" w:rsidP="00C55FEC">
            <w:pPr>
              <w:spacing w:before="120" w:after="120" w:line="240" w:lineRule="auto"/>
              <w:jc w:val="center"/>
              <w:rPr>
                <w:rFonts w:cs="Arial"/>
                <w:b/>
              </w:rPr>
            </w:pPr>
          </w:p>
        </w:tc>
        <w:tc>
          <w:tcPr>
            <w:tcW w:w="894" w:type="pct"/>
            <w:vMerge/>
            <w:shd w:val="clear" w:color="auto" w:fill="auto"/>
          </w:tcPr>
          <w:p w:rsidR="00BC7E61" w:rsidRPr="008A7364" w:rsidRDefault="00BC7E61" w:rsidP="00C55FEC">
            <w:pPr>
              <w:spacing w:before="120" w:after="120" w:line="240" w:lineRule="auto"/>
              <w:jc w:val="center"/>
              <w:rPr>
                <w:rFonts w:cs="Arial"/>
                <w:b/>
                <w:sz w:val="20"/>
              </w:rPr>
            </w:pPr>
          </w:p>
        </w:tc>
        <w:tc>
          <w:tcPr>
            <w:tcW w:w="335" w:type="pct"/>
            <w:shd w:val="clear" w:color="auto" w:fill="D9D9D9"/>
            <w:vAlign w:val="center"/>
          </w:tcPr>
          <w:p w:rsidR="00BC7E61" w:rsidRPr="008A7364" w:rsidRDefault="00BC7E61" w:rsidP="00C55FEC">
            <w:pPr>
              <w:spacing w:before="120" w:after="120" w:line="240" w:lineRule="auto"/>
              <w:jc w:val="center"/>
              <w:rPr>
                <w:rFonts w:cs="Arial"/>
                <w:b/>
                <w:sz w:val="16"/>
                <w:szCs w:val="16"/>
              </w:rPr>
            </w:pPr>
            <w:r w:rsidRPr="008A7364">
              <w:rPr>
                <w:rFonts w:cs="Arial"/>
                <w:b/>
                <w:sz w:val="16"/>
                <w:szCs w:val="16"/>
              </w:rPr>
              <w:t>Natureza</w:t>
            </w:r>
          </w:p>
        </w:tc>
        <w:tc>
          <w:tcPr>
            <w:tcW w:w="266" w:type="pct"/>
            <w:shd w:val="clear" w:color="auto" w:fill="D9D9D9"/>
            <w:vAlign w:val="center"/>
          </w:tcPr>
          <w:p w:rsidR="00BC7E61" w:rsidRPr="008A7364" w:rsidRDefault="00BC7E61" w:rsidP="00C55FEC">
            <w:pPr>
              <w:spacing w:before="120" w:after="120" w:line="240" w:lineRule="auto"/>
              <w:jc w:val="center"/>
              <w:rPr>
                <w:rFonts w:cs="Arial"/>
                <w:b/>
                <w:sz w:val="16"/>
                <w:szCs w:val="16"/>
              </w:rPr>
            </w:pPr>
            <w:r w:rsidRPr="008A7364">
              <w:rPr>
                <w:rFonts w:cs="Arial"/>
                <w:b/>
                <w:sz w:val="16"/>
                <w:szCs w:val="16"/>
              </w:rPr>
              <w:t>Ordem</w:t>
            </w:r>
          </w:p>
        </w:tc>
        <w:tc>
          <w:tcPr>
            <w:tcW w:w="449" w:type="pct"/>
            <w:shd w:val="clear" w:color="auto" w:fill="D9D9D9"/>
            <w:vAlign w:val="center"/>
          </w:tcPr>
          <w:p w:rsidR="00BC7E61" w:rsidRPr="008A7364" w:rsidRDefault="00BC7E61" w:rsidP="00C55FEC">
            <w:pPr>
              <w:spacing w:before="120" w:after="120" w:line="240" w:lineRule="auto"/>
              <w:jc w:val="center"/>
              <w:rPr>
                <w:rFonts w:cs="Arial"/>
                <w:b/>
                <w:sz w:val="16"/>
                <w:szCs w:val="16"/>
              </w:rPr>
            </w:pPr>
            <w:r w:rsidRPr="008A7364">
              <w:rPr>
                <w:rFonts w:cs="Arial"/>
                <w:b/>
                <w:sz w:val="16"/>
                <w:szCs w:val="16"/>
              </w:rPr>
              <w:t>Abrangência</w:t>
            </w:r>
          </w:p>
        </w:tc>
        <w:tc>
          <w:tcPr>
            <w:tcW w:w="398" w:type="pct"/>
            <w:shd w:val="clear" w:color="auto" w:fill="D9D9D9"/>
            <w:vAlign w:val="center"/>
          </w:tcPr>
          <w:p w:rsidR="00BC7E61" w:rsidRPr="008A7364" w:rsidRDefault="00BC7E61" w:rsidP="00C55FEC">
            <w:pPr>
              <w:spacing w:before="120" w:after="120" w:line="240" w:lineRule="auto"/>
              <w:jc w:val="center"/>
              <w:rPr>
                <w:rFonts w:cs="Arial"/>
                <w:b/>
                <w:sz w:val="16"/>
                <w:szCs w:val="16"/>
              </w:rPr>
            </w:pPr>
            <w:r w:rsidRPr="008A7364">
              <w:rPr>
                <w:rFonts w:cs="Arial"/>
                <w:b/>
                <w:sz w:val="16"/>
                <w:szCs w:val="16"/>
              </w:rPr>
              <w:t>Duração</w:t>
            </w:r>
          </w:p>
        </w:tc>
        <w:tc>
          <w:tcPr>
            <w:tcW w:w="299" w:type="pct"/>
            <w:shd w:val="clear" w:color="auto" w:fill="D9D9D9"/>
            <w:vAlign w:val="center"/>
          </w:tcPr>
          <w:p w:rsidR="00BC7E61" w:rsidRPr="008A7364" w:rsidRDefault="00BC7E61" w:rsidP="00C55FEC">
            <w:pPr>
              <w:spacing w:before="120" w:after="120" w:line="240" w:lineRule="auto"/>
              <w:jc w:val="center"/>
              <w:rPr>
                <w:rFonts w:cs="Arial"/>
                <w:b/>
                <w:sz w:val="16"/>
                <w:szCs w:val="16"/>
              </w:rPr>
            </w:pPr>
            <w:r w:rsidRPr="008A7364">
              <w:rPr>
                <w:rFonts w:cs="Arial"/>
                <w:b/>
                <w:sz w:val="16"/>
                <w:szCs w:val="16"/>
              </w:rPr>
              <w:t>Probabilidade</w:t>
            </w:r>
          </w:p>
        </w:tc>
        <w:tc>
          <w:tcPr>
            <w:tcW w:w="409" w:type="pct"/>
            <w:shd w:val="clear" w:color="auto" w:fill="D9D9D9"/>
            <w:vAlign w:val="center"/>
          </w:tcPr>
          <w:p w:rsidR="00BC7E61" w:rsidRPr="008A7364" w:rsidRDefault="00BC7E61" w:rsidP="00C55FEC">
            <w:pPr>
              <w:spacing w:before="120" w:after="120" w:line="240" w:lineRule="auto"/>
              <w:jc w:val="center"/>
              <w:rPr>
                <w:rFonts w:cs="Arial"/>
                <w:b/>
                <w:sz w:val="16"/>
                <w:szCs w:val="16"/>
              </w:rPr>
            </w:pPr>
            <w:r w:rsidRPr="008A7364">
              <w:rPr>
                <w:rFonts w:cs="Arial"/>
                <w:b/>
                <w:sz w:val="16"/>
                <w:szCs w:val="16"/>
              </w:rPr>
              <w:t>Época</w:t>
            </w:r>
          </w:p>
        </w:tc>
        <w:tc>
          <w:tcPr>
            <w:tcW w:w="390" w:type="pct"/>
            <w:shd w:val="clear" w:color="auto" w:fill="D9D9D9"/>
          </w:tcPr>
          <w:p w:rsidR="00BC7E61" w:rsidRPr="008A7364" w:rsidRDefault="00BC7E61" w:rsidP="00C55FEC">
            <w:pPr>
              <w:spacing w:before="120" w:after="120" w:line="240" w:lineRule="auto"/>
              <w:jc w:val="center"/>
              <w:rPr>
                <w:rFonts w:cs="Arial"/>
                <w:b/>
                <w:sz w:val="16"/>
                <w:szCs w:val="16"/>
              </w:rPr>
            </w:pPr>
            <w:r w:rsidRPr="008A7364">
              <w:rPr>
                <w:rFonts w:cs="Arial"/>
                <w:b/>
                <w:sz w:val="16"/>
                <w:szCs w:val="16"/>
              </w:rPr>
              <w:t>Reversibi</w:t>
            </w:r>
            <w:r w:rsidR="0053626B">
              <w:rPr>
                <w:rFonts w:cs="Arial"/>
                <w:b/>
                <w:sz w:val="16"/>
                <w:szCs w:val="16"/>
              </w:rPr>
              <w:t>-</w:t>
            </w:r>
            <w:r w:rsidRPr="008A7364">
              <w:rPr>
                <w:rFonts w:cs="Arial"/>
                <w:b/>
                <w:sz w:val="16"/>
                <w:szCs w:val="16"/>
              </w:rPr>
              <w:t>lidade</w:t>
            </w:r>
          </w:p>
        </w:tc>
        <w:tc>
          <w:tcPr>
            <w:tcW w:w="383" w:type="pct"/>
            <w:shd w:val="clear" w:color="auto" w:fill="D9D9D9"/>
            <w:vAlign w:val="center"/>
          </w:tcPr>
          <w:p w:rsidR="00BC7E61" w:rsidRPr="008A7364" w:rsidRDefault="00BC7E61" w:rsidP="00C55FEC">
            <w:pPr>
              <w:spacing w:before="120" w:after="120" w:line="240" w:lineRule="auto"/>
              <w:jc w:val="center"/>
              <w:rPr>
                <w:rFonts w:cs="Arial"/>
                <w:b/>
                <w:sz w:val="16"/>
                <w:szCs w:val="16"/>
              </w:rPr>
            </w:pPr>
            <w:r w:rsidRPr="008A7364">
              <w:rPr>
                <w:rFonts w:cs="Arial"/>
                <w:b/>
                <w:sz w:val="16"/>
                <w:szCs w:val="16"/>
              </w:rPr>
              <w:t>Magnitude</w:t>
            </w:r>
          </w:p>
        </w:tc>
        <w:tc>
          <w:tcPr>
            <w:tcW w:w="343" w:type="pct"/>
            <w:shd w:val="clear" w:color="auto" w:fill="D9D9D9"/>
            <w:vAlign w:val="center"/>
          </w:tcPr>
          <w:p w:rsidR="00BC7E61" w:rsidRPr="008A7364" w:rsidRDefault="00BC7E61" w:rsidP="00C55FEC">
            <w:pPr>
              <w:spacing w:before="120" w:after="120" w:line="240" w:lineRule="auto"/>
              <w:jc w:val="center"/>
              <w:rPr>
                <w:rFonts w:cs="Arial"/>
                <w:b/>
                <w:sz w:val="16"/>
                <w:szCs w:val="16"/>
              </w:rPr>
            </w:pPr>
            <w:r w:rsidRPr="008A7364">
              <w:rPr>
                <w:rFonts w:cs="Arial"/>
                <w:b/>
                <w:sz w:val="16"/>
                <w:szCs w:val="16"/>
              </w:rPr>
              <w:t>Impor</w:t>
            </w:r>
            <w:r w:rsidR="0053626B">
              <w:rPr>
                <w:rFonts w:cs="Arial"/>
                <w:b/>
                <w:sz w:val="16"/>
                <w:szCs w:val="16"/>
              </w:rPr>
              <w:t>-</w:t>
            </w:r>
            <w:r w:rsidRPr="008A7364">
              <w:rPr>
                <w:rFonts w:cs="Arial"/>
                <w:b/>
                <w:sz w:val="16"/>
                <w:szCs w:val="16"/>
              </w:rPr>
              <w:t>tância</w:t>
            </w:r>
          </w:p>
        </w:tc>
        <w:tc>
          <w:tcPr>
            <w:tcW w:w="397" w:type="pct"/>
            <w:vMerge/>
            <w:shd w:val="clear" w:color="auto" w:fill="auto"/>
          </w:tcPr>
          <w:p w:rsidR="00BC7E61" w:rsidRPr="008A7364" w:rsidRDefault="00BC7E61" w:rsidP="00C55FEC">
            <w:pPr>
              <w:spacing w:before="120" w:after="120" w:line="240" w:lineRule="auto"/>
              <w:jc w:val="center"/>
              <w:rPr>
                <w:rFonts w:cs="Arial"/>
                <w:b/>
                <w:sz w:val="16"/>
                <w:szCs w:val="16"/>
              </w:rPr>
            </w:pPr>
          </w:p>
        </w:tc>
      </w:tr>
      <w:tr w:rsidR="00465F53" w:rsidRPr="008A7364" w:rsidTr="00BC7E61">
        <w:trPr>
          <w:trHeight w:hRule="exact" w:val="1122"/>
        </w:trPr>
        <w:tc>
          <w:tcPr>
            <w:tcW w:w="188" w:type="pct"/>
            <w:shd w:val="clear" w:color="auto" w:fill="auto"/>
            <w:vAlign w:val="center"/>
          </w:tcPr>
          <w:p w:rsidR="00465F53" w:rsidRPr="008A7364" w:rsidRDefault="00465F53" w:rsidP="008A7364">
            <w:pPr>
              <w:spacing w:line="240" w:lineRule="auto"/>
              <w:jc w:val="left"/>
              <w:rPr>
                <w:rFonts w:cs="Arial"/>
                <w:sz w:val="16"/>
                <w:szCs w:val="16"/>
              </w:rPr>
            </w:pPr>
            <w:r>
              <w:rPr>
                <w:rFonts w:cs="Arial"/>
                <w:sz w:val="16"/>
                <w:szCs w:val="16"/>
              </w:rPr>
              <w:t>36</w:t>
            </w:r>
          </w:p>
        </w:tc>
        <w:tc>
          <w:tcPr>
            <w:tcW w:w="249" w:type="pct"/>
            <w:vMerge w:val="restart"/>
            <w:shd w:val="clear" w:color="auto" w:fill="auto"/>
            <w:textDirection w:val="btLr"/>
            <w:vAlign w:val="center"/>
          </w:tcPr>
          <w:p w:rsidR="00465F53" w:rsidRPr="00870CD7" w:rsidRDefault="00465F53" w:rsidP="00465F53">
            <w:pPr>
              <w:spacing w:line="240" w:lineRule="auto"/>
              <w:ind w:left="113" w:right="113"/>
              <w:jc w:val="center"/>
              <w:rPr>
                <w:rFonts w:cs="Arial"/>
                <w:b/>
                <w:szCs w:val="22"/>
              </w:rPr>
            </w:pPr>
            <w:r w:rsidRPr="00870CD7">
              <w:rPr>
                <w:rFonts w:cs="Arial"/>
                <w:b/>
                <w:szCs w:val="22"/>
              </w:rPr>
              <w:t>Meio Socioeconômico</w:t>
            </w:r>
          </w:p>
        </w:tc>
        <w:tc>
          <w:tcPr>
            <w:tcW w:w="894" w:type="pct"/>
            <w:shd w:val="clear" w:color="auto" w:fill="auto"/>
            <w:vAlign w:val="center"/>
          </w:tcPr>
          <w:p w:rsidR="00465F53" w:rsidRPr="008A7364" w:rsidRDefault="00465F53" w:rsidP="007A3613">
            <w:pPr>
              <w:spacing w:before="120" w:after="120" w:line="240" w:lineRule="auto"/>
              <w:rPr>
                <w:sz w:val="16"/>
                <w:szCs w:val="16"/>
              </w:rPr>
            </w:pPr>
            <w:r w:rsidRPr="008A7364">
              <w:rPr>
                <w:sz w:val="16"/>
                <w:szCs w:val="16"/>
              </w:rPr>
              <w:t>Compatibilização com a Legislação e políticas, Planos e Projetos Existentes</w:t>
            </w:r>
            <w:r>
              <w:rPr>
                <w:sz w:val="16"/>
                <w:szCs w:val="16"/>
              </w:rPr>
              <w:t>. Planejamento, Implantação e Operação.</w:t>
            </w:r>
          </w:p>
        </w:tc>
        <w:tc>
          <w:tcPr>
            <w:tcW w:w="335"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 xml:space="preserve">Negativo </w:t>
            </w:r>
          </w:p>
        </w:tc>
        <w:tc>
          <w:tcPr>
            <w:tcW w:w="266"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ADA</w:t>
            </w:r>
          </w:p>
        </w:tc>
        <w:tc>
          <w:tcPr>
            <w:tcW w:w="398"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Possível</w:t>
            </w:r>
          </w:p>
        </w:tc>
        <w:tc>
          <w:tcPr>
            <w:tcW w:w="40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Médio prazo</w:t>
            </w:r>
          </w:p>
        </w:tc>
        <w:tc>
          <w:tcPr>
            <w:tcW w:w="390"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Mitigável</w:t>
            </w:r>
          </w:p>
        </w:tc>
      </w:tr>
      <w:tr w:rsidR="00465F53" w:rsidRPr="008A7364" w:rsidTr="00A42969">
        <w:trPr>
          <w:trHeight w:hRule="exact" w:val="712"/>
        </w:trPr>
        <w:tc>
          <w:tcPr>
            <w:tcW w:w="188" w:type="pct"/>
            <w:shd w:val="clear" w:color="auto" w:fill="auto"/>
            <w:vAlign w:val="center"/>
          </w:tcPr>
          <w:p w:rsidR="00465F53" w:rsidRPr="008A7364" w:rsidRDefault="00465F53" w:rsidP="008A7364">
            <w:pPr>
              <w:spacing w:line="240" w:lineRule="auto"/>
              <w:jc w:val="left"/>
              <w:rPr>
                <w:rFonts w:cs="Arial"/>
                <w:sz w:val="16"/>
                <w:szCs w:val="16"/>
              </w:rPr>
            </w:pPr>
            <w:r>
              <w:rPr>
                <w:rFonts w:cs="Arial"/>
                <w:sz w:val="16"/>
                <w:szCs w:val="16"/>
              </w:rPr>
              <w:t>37</w:t>
            </w:r>
          </w:p>
        </w:tc>
        <w:tc>
          <w:tcPr>
            <w:tcW w:w="249" w:type="pct"/>
            <w:vMerge/>
            <w:shd w:val="clear" w:color="auto" w:fill="auto"/>
            <w:vAlign w:val="center"/>
          </w:tcPr>
          <w:p w:rsidR="00465F53" w:rsidRPr="008A7364" w:rsidRDefault="00465F53" w:rsidP="00C55FEC">
            <w:pPr>
              <w:spacing w:line="240" w:lineRule="auto"/>
              <w:ind w:left="113" w:right="113"/>
              <w:jc w:val="center"/>
              <w:rPr>
                <w:rFonts w:cs="Arial"/>
                <w:sz w:val="16"/>
                <w:szCs w:val="16"/>
              </w:rPr>
            </w:pPr>
          </w:p>
        </w:tc>
        <w:tc>
          <w:tcPr>
            <w:tcW w:w="894" w:type="pct"/>
            <w:shd w:val="clear" w:color="auto" w:fill="auto"/>
            <w:vAlign w:val="center"/>
          </w:tcPr>
          <w:p w:rsidR="00465F53" w:rsidRPr="008A7364" w:rsidRDefault="00465F53" w:rsidP="007A3613">
            <w:pPr>
              <w:spacing w:before="120" w:after="120" w:line="240" w:lineRule="auto"/>
              <w:rPr>
                <w:sz w:val="16"/>
                <w:szCs w:val="16"/>
              </w:rPr>
            </w:pPr>
            <w:r w:rsidRPr="008A7364">
              <w:rPr>
                <w:sz w:val="16"/>
                <w:szCs w:val="16"/>
              </w:rPr>
              <w:t>Geração de Expectativas Positivas em relação ao Empreendimento</w:t>
            </w:r>
            <w:r>
              <w:rPr>
                <w:sz w:val="16"/>
                <w:szCs w:val="16"/>
              </w:rPr>
              <w:t>. Planejamento</w:t>
            </w:r>
          </w:p>
        </w:tc>
        <w:tc>
          <w:tcPr>
            <w:tcW w:w="335"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 xml:space="preserve">Positivo </w:t>
            </w:r>
          </w:p>
        </w:tc>
        <w:tc>
          <w:tcPr>
            <w:tcW w:w="266"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Local (AID e ADA)</w:t>
            </w:r>
          </w:p>
        </w:tc>
        <w:tc>
          <w:tcPr>
            <w:tcW w:w="398" w:type="pct"/>
            <w:shd w:val="clear" w:color="auto" w:fill="auto"/>
            <w:vAlign w:val="center"/>
          </w:tcPr>
          <w:p w:rsidR="00465F53" w:rsidRPr="008A7364" w:rsidRDefault="00465F53" w:rsidP="008A7364">
            <w:pPr>
              <w:spacing w:line="240" w:lineRule="auto"/>
              <w:jc w:val="left"/>
              <w:rPr>
                <w:rFonts w:cs="Arial"/>
                <w:sz w:val="16"/>
                <w:szCs w:val="16"/>
              </w:rPr>
            </w:pPr>
            <w:r>
              <w:rPr>
                <w:rFonts w:cs="Arial"/>
                <w:sz w:val="16"/>
                <w:szCs w:val="16"/>
              </w:rPr>
              <w:t>Curto e Média</w:t>
            </w:r>
          </w:p>
        </w:tc>
        <w:tc>
          <w:tcPr>
            <w:tcW w:w="29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Certa</w:t>
            </w:r>
          </w:p>
        </w:tc>
        <w:tc>
          <w:tcPr>
            <w:tcW w:w="40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Médio prazo</w:t>
            </w:r>
          </w:p>
        </w:tc>
        <w:tc>
          <w:tcPr>
            <w:tcW w:w="390"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465F53" w:rsidRPr="008A7364" w:rsidRDefault="00465F53" w:rsidP="00465F53">
            <w:pPr>
              <w:spacing w:line="240" w:lineRule="auto"/>
              <w:jc w:val="center"/>
              <w:rPr>
                <w:rFonts w:cs="Arial"/>
                <w:sz w:val="16"/>
                <w:szCs w:val="16"/>
              </w:rPr>
            </w:pPr>
            <w:r>
              <w:rPr>
                <w:rFonts w:cs="Arial"/>
                <w:sz w:val="16"/>
                <w:szCs w:val="16"/>
              </w:rPr>
              <w:t>---</w:t>
            </w:r>
          </w:p>
        </w:tc>
      </w:tr>
      <w:tr w:rsidR="00465F53" w:rsidRPr="008A7364" w:rsidTr="00A42969">
        <w:trPr>
          <w:trHeight w:hRule="exact" w:val="708"/>
        </w:trPr>
        <w:tc>
          <w:tcPr>
            <w:tcW w:w="188" w:type="pct"/>
            <w:shd w:val="clear" w:color="auto" w:fill="auto"/>
            <w:vAlign w:val="center"/>
          </w:tcPr>
          <w:p w:rsidR="00465F53" w:rsidRPr="008A7364" w:rsidRDefault="00465F53" w:rsidP="008A7364">
            <w:pPr>
              <w:spacing w:line="240" w:lineRule="auto"/>
              <w:jc w:val="left"/>
              <w:rPr>
                <w:rFonts w:cs="Arial"/>
                <w:sz w:val="16"/>
                <w:szCs w:val="16"/>
              </w:rPr>
            </w:pPr>
            <w:r>
              <w:rPr>
                <w:rFonts w:cs="Arial"/>
                <w:sz w:val="16"/>
                <w:szCs w:val="16"/>
              </w:rPr>
              <w:t>38</w:t>
            </w:r>
          </w:p>
        </w:tc>
        <w:tc>
          <w:tcPr>
            <w:tcW w:w="249" w:type="pct"/>
            <w:vMerge/>
            <w:shd w:val="clear" w:color="auto" w:fill="auto"/>
            <w:vAlign w:val="center"/>
          </w:tcPr>
          <w:p w:rsidR="00465F53" w:rsidRPr="008A7364" w:rsidRDefault="00465F53" w:rsidP="00C55FEC">
            <w:pPr>
              <w:spacing w:line="240" w:lineRule="auto"/>
              <w:ind w:left="113" w:right="113"/>
              <w:jc w:val="center"/>
              <w:rPr>
                <w:rFonts w:cs="Arial"/>
                <w:sz w:val="16"/>
                <w:szCs w:val="16"/>
              </w:rPr>
            </w:pPr>
          </w:p>
        </w:tc>
        <w:tc>
          <w:tcPr>
            <w:tcW w:w="894" w:type="pct"/>
            <w:shd w:val="clear" w:color="auto" w:fill="auto"/>
            <w:vAlign w:val="center"/>
          </w:tcPr>
          <w:p w:rsidR="00465F53" w:rsidRPr="008A7364" w:rsidRDefault="00465F53" w:rsidP="007A3613">
            <w:pPr>
              <w:spacing w:before="120" w:after="120" w:line="240" w:lineRule="auto"/>
              <w:rPr>
                <w:sz w:val="16"/>
                <w:szCs w:val="16"/>
              </w:rPr>
            </w:pPr>
            <w:r w:rsidRPr="008A7364">
              <w:rPr>
                <w:sz w:val="16"/>
                <w:szCs w:val="16"/>
              </w:rPr>
              <w:t>Geração de Expectativas Negativas em relação ao Empreendimento</w:t>
            </w:r>
            <w:r>
              <w:rPr>
                <w:sz w:val="16"/>
                <w:szCs w:val="16"/>
              </w:rPr>
              <w:t>. Planejamento</w:t>
            </w:r>
          </w:p>
        </w:tc>
        <w:tc>
          <w:tcPr>
            <w:tcW w:w="335"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465F53" w:rsidRPr="008A7364" w:rsidRDefault="00465F53" w:rsidP="00A42969">
            <w:pPr>
              <w:spacing w:line="240" w:lineRule="auto"/>
              <w:jc w:val="left"/>
              <w:rPr>
                <w:rFonts w:cs="Arial"/>
                <w:sz w:val="16"/>
                <w:szCs w:val="16"/>
              </w:rPr>
            </w:pPr>
            <w:r w:rsidRPr="008A7364">
              <w:rPr>
                <w:rFonts w:cs="Arial"/>
                <w:sz w:val="16"/>
                <w:szCs w:val="16"/>
              </w:rPr>
              <w:t>Temporári</w:t>
            </w:r>
            <w:r>
              <w:rPr>
                <w:rFonts w:cs="Arial"/>
                <w:sz w:val="16"/>
                <w:szCs w:val="16"/>
              </w:rPr>
              <w:t>a</w:t>
            </w:r>
          </w:p>
        </w:tc>
        <w:tc>
          <w:tcPr>
            <w:tcW w:w="29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Certa</w:t>
            </w:r>
          </w:p>
        </w:tc>
        <w:tc>
          <w:tcPr>
            <w:tcW w:w="40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Curto e Médio Prazo</w:t>
            </w:r>
          </w:p>
        </w:tc>
        <w:tc>
          <w:tcPr>
            <w:tcW w:w="390"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Média</w:t>
            </w:r>
          </w:p>
        </w:tc>
        <w:tc>
          <w:tcPr>
            <w:tcW w:w="34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Mitigável</w:t>
            </w:r>
          </w:p>
        </w:tc>
      </w:tr>
      <w:tr w:rsidR="00465F53" w:rsidRPr="008A7364" w:rsidTr="00A42969">
        <w:trPr>
          <w:trHeight w:hRule="exact" w:val="705"/>
        </w:trPr>
        <w:tc>
          <w:tcPr>
            <w:tcW w:w="188" w:type="pct"/>
            <w:shd w:val="clear" w:color="auto" w:fill="auto"/>
            <w:vAlign w:val="center"/>
          </w:tcPr>
          <w:p w:rsidR="00465F53" w:rsidRPr="008A7364" w:rsidRDefault="00465F53" w:rsidP="008A7364">
            <w:pPr>
              <w:spacing w:line="240" w:lineRule="auto"/>
              <w:jc w:val="left"/>
              <w:rPr>
                <w:rFonts w:cs="Arial"/>
                <w:sz w:val="16"/>
                <w:szCs w:val="16"/>
              </w:rPr>
            </w:pPr>
            <w:r>
              <w:rPr>
                <w:rFonts w:cs="Arial"/>
                <w:sz w:val="16"/>
                <w:szCs w:val="16"/>
              </w:rPr>
              <w:t>39</w:t>
            </w:r>
          </w:p>
        </w:tc>
        <w:tc>
          <w:tcPr>
            <w:tcW w:w="249" w:type="pct"/>
            <w:vMerge/>
            <w:shd w:val="clear" w:color="auto" w:fill="auto"/>
            <w:vAlign w:val="center"/>
          </w:tcPr>
          <w:p w:rsidR="00465F53" w:rsidRPr="008A7364" w:rsidRDefault="00465F53" w:rsidP="00C55FEC">
            <w:pPr>
              <w:spacing w:line="240" w:lineRule="auto"/>
              <w:ind w:left="113" w:right="113"/>
              <w:jc w:val="center"/>
              <w:rPr>
                <w:rFonts w:cs="Arial"/>
                <w:sz w:val="16"/>
                <w:szCs w:val="16"/>
              </w:rPr>
            </w:pPr>
          </w:p>
        </w:tc>
        <w:tc>
          <w:tcPr>
            <w:tcW w:w="894" w:type="pct"/>
            <w:shd w:val="clear" w:color="auto" w:fill="auto"/>
            <w:vAlign w:val="center"/>
          </w:tcPr>
          <w:p w:rsidR="00465F53" w:rsidRPr="008A7364" w:rsidRDefault="00465F53" w:rsidP="007A3613">
            <w:pPr>
              <w:spacing w:before="120" w:after="120" w:line="240" w:lineRule="auto"/>
              <w:rPr>
                <w:sz w:val="16"/>
                <w:szCs w:val="16"/>
              </w:rPr>
            </w:pPr>
            <w:r w:rsidRPr="008A7364">
              <w:rPr>
                <w:sz w:val="16"/>
                <w:szCs w:val="16"/>
              </w:rPr>
              <w:t>Alteração das Relações Econômicas, Sociais e Culturais</w:t>
            </w:r>
            <w:r>
              <w:rPr>
                <w:sz w:val="16"/>
                <w:szCs w:val="16"/>
              </w:rPr>
              <w:t>. Implantação</w:t>
            </w:r>
          </w:p>
        </w:tc>
        <w:tc>
          <w:tcPr>
            <w:tcW w:w="335"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Negativo</w:t>
            </w:r>
          </w:p>
        </w:tc>
        <w:tc>
          <w:tcPr>
            <w:tcW w:w="266"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Direto</w:t>
            </w:r>
          </w:p>
        </w:tc>
        <w:tc>
          <w:tcPr>
            <w:tcW w:w="449"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Certa</w:t>
            </w:r>
          </w:p>
        </w:tc>
        <w:tc>
          <w:tcPr>
            <w:tcW w:w="40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Curto Prazo</w:t>
            </w:r>
          </w:p>
        </w:tc>
        <w:tc>
          <w:tcPr>
            <w:tcW w:w="390"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Grande</w:t>
            </w:r>
          </w:p>
        </w:tc>
        <w:tc>
          <w:tcPr>
            <w:tcW w:w="34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Mitigável</w:t>
            </w:r>
          </w:p>
        </w:tc>
      </w:tr>
      <w:tr w:rsidR="00465F53" w:rsidRPr="008A7364" w:rsidTr="00E660FD">
        <w:trPr>
          <w:trHeight w:hRule="exact" w:val="559"/>
        </w:trPr>
        <w:tc>
          <w:tcPr>
            <w:tcW w:w="188" w:type="pct"/>
            <w:shd w:val="clear" w:color="auto" w:fill="auto"/>
            <w:vAlign w:val="center"/>
          </w:tcPr>
          <w:p w:rsidR="00465F53" w:rsidRPr="008A7364" w:rsidRDefault="00465F53" w:rsidP="008A7364">
            <w:pPr>
              <w:spacing w:line="240" w:lineRule="auto"/>
              <w:jc w:val="left"/>
              <w:rPr>
                <w:rFonts w:cs="Arial"/>
                <w:sz w:val="16"/>
                <w:szCs w:val="16"/>
              </w:rPr>
            </w:pPr>
            <w:r>
              <w:rPr>
                <w:rFonts w:cs="Arial"/>
                <w:sz w:val="16"/>
                <w:szCs w:val="16"/>
              </w:rPr>
              <w:t>40</w:t>
            </w:r>
          </w:p>
        </w:tc>
        <w:tc>
          <w:tcPr>
            <w:tcW w:w="249" w:type="pct"/>
            <w:vMerge/>
            <w:shd w:val="clear" w:color="auto" w:fill="auto"/>
            <w:vAlign w:val="center"/>
          </w:tcPr>
          <w:p w:rsidR="00465F53" w:rsidRPr="008A7364" w:rsidRDefault="00465F53" w:rsidP="00C55FEC">
            <w:pPr>
              <w:spacing w:line="240" w:lineRule="auto"/>
              <w:ind w:left="113" w:right="113"/>
              <w:jc w:val="center"/>
              <w:rPr>
                <w:rFonts w:cs="Arial"/>
                <w:sz w:val="16"/>
                <w:szCs w:val="16"/>
              </w:rPr>
            </w:pPr>
          </w:p>
        </w:tc>
        <w:tc>
          <w:tcPr>
            <w:tcW w:w="894" w:type="pct"/>
            <w:shd w:val="clear" w:color="auto" w:fill="auto"/>
            <w:vAlign w:val="center"/>
          </w:tcPr>
          <w:p w:rsidR="00465F53" w:rsidRPr="008A7364" w:rsidRDefault="00465F53" w:rsidP="007A3613">
            <w:pPr>
              <w:spacing w:before="120" w:after="120" w:line="240" w:lineRule="auto"/>
              <w:rPr>
                <w:sz w:val="16"/>
                <w:szCs w:val="16"/>
              </w:rPr>
            </w:pPr>
            <w:r w:rsidRPr="008A7364">
              <w:rPr>
                <w:sz w:val="16"/>
                <w:szCs w:val="16"/>
              </w:rPr>
              <w:t>Relocação da População da ADA</w:t>
            </w:r>
            <w:r>
              <w:rPr>
                <w:sz w:val="16"/>
                <w:szCs w:val="16"/>
              </w:rPr>
              <w:t>. Implantação.</w:t>
            </w:r>
          </w:p>
        </w:tc>
        <w:tc>
          <w:tcPr>
            <w:tcW w:w="335"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Negativo</w:t>
            </w:r>
          </w:p>
        </w:tc>
        <w:tc>
          <w:tcPr>
            <w:tcW w:w="266"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Indireto</w:t>
            </w:r>
          </w:p>
        </w:tc>
        <w:tc>
          <w:tcPr>
            <w:tcW w:w="449"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Local (ADA)</w:t>
            </w:r>
          </w:p>
        </w:tc>
        <w:tc>
          <w:tcPr>
            <w:tcW w:w="398"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Certa</w:t>
            </w:r>
          </w:p>
        </w:tc>
        <w:tc>
          <w:tcPr>
            <w:tcW w:w="40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Médio e Longo Prazo</w:t>
            </w:r>
          </w:p>
        </w:tc>
        <w:tc>
          <w:tcPr>
            <w:tcW w:w="390"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Grande</w:t>
            </w:r>
          </w:p>
        </w:tc>
        <w:tc>
          <w:tcPr>
            <w:tcW w:w="34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Alta</w:t>
            </w:r>
          </w:p>
        </w:tc>
        <w:tc>
          <w:tcPr>
            <w:tcW w:w="397"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Mitigável</w:t>
            </w:r>
          </w:p>
        </w:tc>
      </w:tr>
      <w:tr w:rsidR="00465F53" w:rsidRPr="008A7364" w:rsidTr="00A42969">
        <w:trPr>
          <w:trHeight w:hRule="exact" w:val="712"/>
        </w:trPr>
        <w:tc>
          <w:tcPr>
            <w:tcW w:w="188" w:type="pct"/>
            <w:shd w:val="clear" w:color="auto" w:fill="auto"/>
            <w:vAlign w:val="center"/>
          </w:tcPr>
          <w:p w:rsidR="00465F53" w:rsidRPr="008A7364" w:rsidRDefault="00465F53" w:rsidP="00A42969">
            <w:pPr>
              <w:spacing w:line="240" w:lineRule="auto"/>
              <w:jc w:val="left"/>
              <w:rPr>
                <w:rFonts w:cs="Arial"/>
                <w:sz w:val="16"/>
                <w:szCs w:val="16"/>
              </w:rPr>
            </w:pPr>
            <w:r>
              <w:rPr>
                <w:rFonts w:cs="Arial"/>
                <w:sz w:val="16"/>
                <w:szCs w:val="16"/>
              </w:rPr>
              <w:t>41</w:t>
            </w:r>
          </w:p>
        </w:tc>
        <w:tc>
          <w:tcPr>
            <w:tcW w:w="249" w:type="pct"/>
            <w:vMerge/>
            <w:shd w:val="clear" w:color="auto" w:fill="auto"/>
            <w:vAlign w:val="center"/>
          </w:tcPr>
          <w:p w:rsidR="00465F53" w:rsidRPr="008A7364" w:rsidRDefault="00465F53" w:rsidP="00C55FEC">
            <w:pPr>
              <w:spacing w:line="240" w:lineRule="auto"/>
              <w:ind w:left="113" w:right="113"/>
              <w:jc w:val="center"/>
              <w:rPr>
                <w:rFonts w:cs="Arial"/>
                <w:sz w:val="16"/>
                <w:szCs w:val="16"/>
              </w:rPr>
            </w:pPr>
          </w:p>
        </w:tc>
        <w:tc>
          <w:tcPr>
            <w:tcW w:w="894" w:type="pct"/>
            <w:shd w:val="clear" w:color="auto" w:fill="auto"/>
            <w:vAlign w:val="center"/>
          </w:tcPr>
          <w:p w:rsidR="00465F53" w:rsidRPr="008A7364" w:rsidRDefault="00465F53" w:rsidP="007A3613">
            <w:pPr>
              <w:spacing w:before="120" w:after="120" w:line="240" w:lineRule="auto"/>
              <w:rPr>
                <w:sz w:val="16"/>
                <w:szCs w:val="16"/>
              </w:rPr>
            </w:pPr>
            <w:r w:rsidRPr="008A7364">
              <w:rPr>
                <w:sz w:val="16"/>
                <w:szCs w:val="16"/>
              </w:rPr>
              <w:t>Especulação Imobiliária</w:t>
            </w:r>
            <w:r>
              <w:rPr>
                <w:sz w:val="16"/>
                <w:szCs w:val="16"/>
              </w:rPr>
              <w:t>. Planejamento</w:t>
            </w:r>
            <w:r w:rsidRPr="00EE73EC">
              <w:rPr>
                <w:sz w:val="16"/>
                <w:szCs w:val="16"/>
              </w:rPr>
              <w:t xml:space="preserve"> e Implantação</w:t>
            </w:r>
          </w:p>
        </w:tc>
        <w:tc>
          <w:tcPr>
            <w:tcW w:w="335"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Local (ADA/AID)</w:t>
            </w:r>
          </w:p>
        </w:tc>
        <w:tc>
          <w:tcPr>
            <w:tcW w:w="398"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Temporário</w:t>
            </w:r>
          </w:p>
        </w:tc>
        <w:tc>
          <w:tcPr>
            <w:tcW w:w="29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Certa</w:t>
            </w:r>
          </w:p>
        </w:tc>
        <w:tc>
          <w:tcPr>
            <w:tcW w:w="40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Curto Prazo</w:t>
            </w:r>
          </w:p>
        </w:tc>
        <w:tc>
          <w:tcPr>
            <w:tcW w:w="390"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Reversível</w:t>
            </w:r>
          </w:p>
        </w:tc>
        <w:tc>
          <w:tcPr>
            <w:tcW w:w="38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Mitigável</w:t>
            </w:r>
          </w:p>
        </w:tc>
      </w:tr>
      <w:tr w:rsidR="00465F53" w:rsidRPr="008A7364" w:rsidTr="00A42969">
        <w:trPr>
          <w:trHeight w:hRule="exact" w:val="709"/>
        </w:trPr>
        <w:tc>
          <w:tcPr>
            <w:tcW w:w="188" w:type="pct"/>
            <w:shd w:val="clear" w:color="auto" w:fill="auto"/>
            <w:vAlign w:val="center"/>
          </w:tcPr>
          <w:p w:rsidR="00465F53" w:rsidRPr="008A7364" w:rsidRDefault="00465F53" w:rsidP="008A7364">
            <w:pPr>
              <w:spacing w:line="240" w:lineRule="auto"/>
              <w:jc w:val="left"/>
              <w:rPr>
                <w:rFonts w:cs="Arial"/>
                <w:sz w:val="16"/>
                <w:szCs w:val="16"/>
              </w:rPr>
            </w:pPr>
            <w:r>
              <w:rPr>
                <w:rFonts w:cs="Arial"/>
                <w:sz w:val="16"/>
                <w:szCs w:val="16"/>
              </w:rPr>
              <w:t>42</w:t>
            </w:r>
          </w:p>
        </w:tc>
        <w:tc>
          <w:tcPr>
            <w:tcW w:w="249" w:type="pct"/>
            <w:vMerge/>
            <w:shd w:val="clear" w:color="auto" w:fill="auto"/>
            <w:vAlign w:val="center"/>
          </w:tcPr>
          <w:p w:rsidR="00465F53" w:rsidRPr="008A7364" w:rsidRDefault="00465F53" w:rsidP="00C55FEC">
            <w:pPr>
              <w:spacing w:line="240" w:lineRule="auto"/>
              <w:ind w:left="113" w:right="113"/>
              <w:jc w:val="center"/>
              <w:rPr>
                <w:rFonts w:cs="Arial"/>
                <w:sz w:val="16"/>
                <w:szCs w:val="16"/>
              </w:rPr>
            </w:pPr>
          </w:p>
        </w:tc>
        <w:tc>
          <w:tcPr>
            <w:tcW w:w="894" w:type="pct"/>
            <w:shd w:val="clear" w:color="auto" w:fill="auto"/>
            <w:vAlign w:val="center"/>
          </w:tcPr>
          <w:p w:rsidR="00465F53" w:rsidRPr="008A7364" w:rsidRDefault="00465F53" w:rsidP="007A3613">
            <w:pPr>
              <w:spacing w:before="120" w:after="120" w:line="240" w:lineRule="auto"/>
              <w:rPr>
                <w:sz w:val="16"/>
                <w:szCs w:val="16"/>
              </w:rPr>
            </w:pPr>
            <w:r w:rsidRPr="008A7364">
              <w:rPr>
                <w:sz w:val="16"/>
                <w:szCs w:val="16"/>
              </w:rPr>
              <w:t>Perda de Áreas Rurais Produtivas</w:t>
            </w:r>
            <w:r>
              <w:rPr>
                <w:sz w:val="16"/>
                <w:szCs w:val="16"/>
              </w:rPr>
              <w:t>. Implantação</w:t>
            </w:r>
          </w:p>
        </w:tc>
        <w:tc>
          <w:tcPr>
            <w:tcW w:w="335"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Direta</w:t>
            </w:r>
          </w:p>
        </w:tc>
        <w:tc>
          <w:tcPr>
            <w:tcW w:w="449"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Local</w:t>
            </w:r>
          </w:p>
        </w:tc>
        <w:tc>
          <w:tcPr>
            <w:tcW w:w="398"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Certa</w:t>
            </w:r>
          </w:p>
        </w:tc>
        <w:tc>
          <w:tcPr>
            <w:tcW w:w="40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Curto Prazo</w:t>
            </w:r>
          </w:p>
        </w:tc>
        <w:tc>
          <w:tcPr>
            <w:tcW w:w="390"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Média</w:t>
            </w:r>
          </w:p>
        </w:tc>
        <w:tc>
          <w:tcPr>
            <w:tcW w:w="397"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Não Mitigável</w:t>
            </w:r>
          </w:p>
        </w:tc>
      </w:tr>
      <w:tr w:rsidR="00465F53" w:rsidRPr="008A7364" w:rsidTr="003031D7">
        <w:trPr>
          <w:trHeight w:hRule="exact" w:val="594"/>
        </w:trPr>
        <w:tc>
          <w:tcPr>
            <w:tcW w:w="188" w:type="pct"/>
            <w:shd w:val="clear" w:color="auto" w:fill="auto"/>
            <w:vAlign w:val="center"/>
          </w:tcPr>
          <w:p w:rsidR="00465F53" w:rsidRPr="008A7364" w:rsidRDefault="00465F53" w:rsidP="008A7364">
            <w:pPr>
              <w:spacing w:line="240" w:lineRule="auto"/>
              <w:jc w:val="left"/>
              <w:rPr>
                <w:rFonts w:cs="Arial"/>
                <w:sz w:val="16"/>
                <w:szCs w:val="16"/>
              </w:rPr>
            </w:pPr>
            <w:r>
              <w:rPr>
                <w:rFonts w:cs="Arial"/>
                <w:sz w:val="16"/>
                <w:szCs w:val="16"/>
              </w:rPr>
              <w:t>43</w:t>
            </w:r>
          </w:p>
        </w:tc>
        <w:tc>
          <w:tcPr>
            <w:tcW w:w="249" w:type="pct"/>
            <w:vMerge/>
            <w:shd w:val="clear" w:color="auto" w:fill="auto"/>
            <w:vAlign w:val="center"/>
          </w:tcPr>
          <w:p w:rsidR="00465F53" w:rsidRPr="008A7364" w:rsidRDefault="00465F53" w:rsidP="00C55FEC">
            <w:pPr>
              <w:spacing w:line="240" w:lineRule="auto"/>
              <w:ind w:left="113" w:right="113"/>
              <w:jc w:val="center"/>
              <w:rPr>
                <w:rFonts w:cs="Arial"/>
                <w:sz w:val="16"/>
                <w:szCs w:val="16"/>
              </w:rPr>
            </w:pPr>
          </w:p>
        </w:tc>
        <w:tc>
          <w:tcPr>
            <w:tcW w:w="894" w:type="pct"/>
            <w:shd w:val="clear" w:color="auto" w:fill="auto"/>
            <w:vAlign w:val="center"/>
          </w:tcPr>
          <w:p w:rsidR="00465F53" w:rsidRPr="008A7364" w:rsidRDefault="00465F53" w:rsidP="007A3613">
            <w:pPr>
              <w:spacing w:before="120" w:after="120" w:line="240" w:lineRule="auto"/>
              <w:rPr>
                <w:sz w:val="16"/>
                <w:szCs w:val="16"/>
              </w:rPr>
            </w:pPr>
            <w:r w:rsidRPr="008A7364">
              <w:rPr>
                <w:sz w:val="16"/>
                <w:szCs w:val="16"/>
              </w:rPr>
              <w:t>Perda de Instalações Industriais e Comerciais</w:t>
            </w:r>
            <w:r>
              <w:rPr>
                <w:sz w:val="16"/>
                <w:szCs w:val="16"/>
              </w:rPr>
              <w:t>. Implantação.</w:t>
            </w:r>
          </w:p>
        </w:tc>
        <w:tc>
          <w:tcPr>
            <w:tcW w:w="335"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Negativa</w:t>
            </w:r>
          </w:p>
        </w:tc>
        <w:tc>
          <w:tcPr>
            <w:tcW w:w="266"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Direto</w:t>
            </w:r>
          </w:p>
        </w:tc>
        <w:tc>
          <w:tcPr>
            <w:tcW w:w="449"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Local</w:t>
            </w:r>
          </w:p>
        </w:tc>
        <w:tc>
          <w:tcPr>
            <w:tcW w:w="398"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Permanente</w:t>
            </w:r>
          </w:p>
        </w:tc>
        <w:tc>
          <w:tcPr>
            <w:tcW w:w="29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Certa</w:t>
            </w:r>
          </w:p>
        </w:tc>
        <w:tc>
          <w:tcPr>
            <w:tcW w:w="409" w:type="pct"/>
            <w:shd w:val="clear" w:color="auto" w:fill="auto"/>
            <w:vAlign w:val="center"/>
          </w:tcPr>
          <w:p w:rsidR="00465F53" w:rsidRPr="00E660FD" w:rsidRDefault="00465F53" w:rsidP="008A7364">
            <w:pPr>
              <w:spacing w:line="240" w:lineRule="auto"/>
              <w:jc w:val="left"/>
              <w:rPr>
                <w:rFonts w:cs="Arial"/>
                <w:sz w:val="16"/>
                <w:szCs w:val="16"/>
              </w:rPr>
            </w:pPr>
            <w:r w:rsidRPr="00E660FD">
              <w:rPr>
                <w:rFonts w:cs="Arial"/>
                <w:sz w:val="16"/>
                <w:szCs w:val="16"/>
              </w:rPr>
              <w:t>Curto Prazo</w:t>
            </w:r>
          </w:p>
        </w:tc>
        <w:tc>
          <w:tcPr>
            <w:tcW w:w="390"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Irreversível</w:t>
            </w:r>
          </w:p>
        </w:tc>
        <w:tc>
          <w:tcPr>
            <w:tcW w:w="38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Pequena</w:t>
            </w:r>
          </w:p>
        </w:tc>
        <w:tc>
          <w:tcPr>
            <w:tcW w:w="343"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Baixa</w:t>
            </w:r>
          </w:p>
        </w:tc>
        <w:tc>
          <w:tcPr>
            <w:tcW w:w="397" w:type="pct"/>
            <w:shd w:val="clear" w:color="auto" w:fill="auto"/>
            <w:vAlign w:val="center"/>
          </w:tcPr>
          <w:p w:rsidR="00465F53" w:rsidRPr="008A7364" w:rsidRDefault="00465F53" w:rsidP="008A7364">
            <w:pPr>
              <w:spacing w:line="240" w:lineRule="auto"/>
              <w:jc w:val="left"/>
              <w:rPr>
                <w:rFonts w:cs="Arial"/>
                <w:sz w:val="16"/>
                <w:szCs w:val="16"/>
              </w:rPr>
            </w:pPr>
            <w:r w:rsidRPr="008A7364">
              <w:rPr>
                <w:rFonts w:cs="Arial"/>
                <w:sz w:val="16"/>
                <w:szCs w:val="16"/>
              </w:rPr>
              <w:t>Não Mitigável</w:t>
            </w:r>
          </w:p>
        </w:tc>
      </w:tr>
      <w:tr w:rsidR="00465F53" w:rsidRPr="008A7364" w:rsidTr="00E660FD">
        <w:trPr>
          <w:trHeight w:hRule="exact" w:val="808"/>
        </w:trPr>
        <w:tc>
          <w:tcPr>
            <w:tcW w:w="188" w:type="pct"/>
            <w:tcBorders>
              <w:top w:val="single" w:sz="4" w:space="0" w:color="auto"/>
              <w:left w:val="single" w:sz="4" w:space="0" w:color="auto"/>
              <w:bottom w:val="single" w:sz="4" w:space="0" w:color="auto"/>
              <w:right w:val="single" w:sz="4" w:space="0" w:color="auto"/>
            </w:tcBorders>
            <w:shd w:val="clear" w:color="auto" w:fill="auto"/>
            <w:vAlign w:val="center"/>
          </w:tcPr>
          <w:p w:rsidR="00465F53" w:rsidRPr="008A7364" w:rsidRDefault="00465F53" w:rsidP="00C55FEC">
            <w:pPr>
              <w:spacing w:line="240" w:lineRule="auto"/>
              <w:jc w:val="left"/>
              <w:rPr>
                <w:rFonts w:cs="Arial"/>
                <w:sz w:val="16"/>
                <w:szCs w:val="16"/>
              </w:rPr>
            </w:pPr>
            <w:r>
              <w:rPr>
                <w:rFonts w:cs="Arial"/>
                <w:sz w:val="16"/>
                <w:szCs w:val="16"/>
              </w:rPr>
              <w:t>44</w:t>
            </w:r>
          </w:p>
        </w:tc>
        <w:tc>
          <w:tcPr>
            <w:tcW w:w="249" w:type="pct"/>
            <w:vMerge/>
            <w:shd w:val="clear" w:color="auto" w:fill="auto"/>
            <w:vAlign w:val="center"/>
          </w:tcPr>
          <w:p w:rsidR="00465F53" w:rsidRPr="008A7364" w:rsidRDefault="00465F53" w:rsidP="00C55FEC">
            <w:pPr>
              <w:spacing w:line="240" w:lineRule="auto"/>
              <w:ind w:left="113" w:right="113"/>
              <w:jc w:val="center"/>
              <w:rPr>
                <w:rFonts w:cs="Arial"/>
                <w:sz w:val="20"/>
              </w:rPr>
            </w:pPr>
          </w:p>
        </w:tc>
        <w:tc>
          <w:tcPr>
            <w:tcW w:w="894" w:type="pct"/>
            <w:tcBorders>
              <w:top w:val="single" w:sz="4" w:space="0" w:color="auto"/>
              <w:left w:val="single" w:sz="4" w:space="0" w:color="auto"/>
              <w:bottom w:val="single" w:sz="4" w:space="0" w:color="auto"/>
              <w:right w:val="single" w:sz="4" w:space="0" w:color="auto"/>
            </w:tcBorders>
            <w:shd w:val="clear" w:color="auto" w:fill="auto"/>
            <w:vAlign w:val="center"/>
          </w:tcPr>
          <w:p w:rsidR="00465F53" w:rsidRPr="00A42969" w:rsidRDefault="00465F53" w:rsidP="007A3613">
            <w:pPr>
              <w:spacing w:before="120" w:after="120" w:line="240" w:lineRule="auto"/>
              <w:rPr>
                <w:sz w:val="16"/>
                <w:szCs w:val="16"/>
              </w:rPr>
            </w:pPr>
            <w:r w:rsidRPr="00A42969">
              <w:rPr>
                <w:sz w:val="16"/>
                <w:szCs w:val="16"/>
              </w:rPr>
              <w:t>Maior Mobilidade da Sociedade Civil Organizada</w:t>
            </w:r>
            <w:r>
              <w:rPr>
                <w:sz w:val="16"/>
                <w:szCs w:val="16"/>
              </w:rPr>
              <w:t>. Planejamento e Implantação.</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tcPr>
          <w:p w:rsidR="00465F53" w:rsidRPr="008A7364" w:rsidRDefault="00465F53" w:rsidP="00A42969">
            <w:pPr>
              <w:spacing w:before="120" w:after="120" w:line="240" w:lineRule="auto"/>
              <w:jc w:val="left"/>
              <w:rPr>
                <w:sz w:val="16"/>
                <w:szCs w:val="16"/>
              </w:rPr>
            </w:pPr>
            <w:r w:rsidRPr="008A7364">
              <w:rPr>
                <w:sz w:val="16"/>
                <w:szCs w:val="16"/>
              </w:rPr>
              <w:t>Positivo</w:t>
            </w:r>
          </w:p>
        </w:tc>
        <w:tc>
          <w:tcPr>
            <w:tcW w:w="266" w:type="pct"/>
            <w:tcBorders>
              <w:top w:val="single" w:sz="4" w:space="0" w:color="auto"/>
              <w:left w:val="single" w:sz="4" w:space="0" w:color="auto"/>
              <w:bottom w:val="single" w:sz="4" w:space="0" w:color="auto"/>
              <w:right w:val="single" w:sz="4" w:space="0" w:color="auto"/>
            </w:tcBorders>
            <w:shd w:val="clear" w:color="auto" w:fill="auto"/>
            <w:vAlign w:val="center"/>
          </w:tcPr>
          <w:p w:rsidR="00465F53" w:rsidRPr="00A42969" w:rsidRDefault="00465F53" w:rsidP="00A42969">
            <w:pPr>
              <w:spacing w:line="240" w:lineRule="auto"/>
              <w:jc w:val="left"/>
              <w:rPr>
                <w:rFonts w:cs="Arial"/>
                <w:sz w:val="16"/>
                <w:szCs w:val="16"/>
              </w:rPr>
            </w:pPr>
            <w:r w:rsidRPr="00A42969">
              <w:rPr>
                <w:rFonts w:cs="Arial"/>
                <w:sz w:val="16"/>
                <w:szCs w:val="16"/>
              </w:rPr>
              <w:t>Indireto</w:t>
            </w:r>
          </w:p>
        </w:tc>
        <w:tc>
          <w:tcPr>
            <w:tcW w:w="449" w:type="pct"/>
            <w:tcBorders>
              <w:top w:val="single" w:sz="4" w:space="0" w:color="auto"/>
              <w:left w:val="single" w:sz="4" w:space="0" w:color="auto"/>
              <w:bottom w:val="single" w:sz="4" w:space="0" w:color="auto"/>
              <w:right w:val="single" w:sz="4" w:space="0" w:color="auto"/>
            </w:tcBorders>
            <w:shd w:val="clear" w:color="auto" w:fill="auto"/>
            <w:vAlign w:val="center"/>
          </w:tcPr>
          <w:p w:rsidR="00465F53" w:rsidRPr="00A42969" w:rsidRDefault="00465F53" w:rsidP="00A42969">
            <w:pPr>
              <w:spacing w:line="240" w:lineRule="auto"/>
              <w:jc w:val="left"/>
              <w:rPr>
                <w:rFonts w:cs="Arial"/>
                <w:sz w:val="16"/>
                <w:szCs w:val="16"/>
              </w:rPr>
            </w:pPr>
            <w:r w:rsidRPr="00A42969">
              <w:rPr>
                <w:rFonts w:cs="Arial"/>
                <w:sz w:val="16"/>
                <w:szCs w:val="16"/>
              </w:rPr>
              <w:t>Local</w:t>
            </w:r>
          </w:p>
        </w:tc>
        <w:tc>
          <w:tcPr>
            <w:tcW w:w="398" w:type="pct"/>
            <w:tcBorders>
              <w:top w:val="single" w:sz="4" w:space="0" w:color="auto"/>
              <w:left w:val="single" w:sz="4" w:space="0" w:color="auto"/>
              <w:bottom w:val="single" w:sz="4" w:space="0" w:color="auto"/>
              <w:right w:val="single" w:sz="4" w:space="0" w:color="auto"/>
            </w:tcBorders>
            <w:shd w:val="clear" w:color="auto" w:fill="auto"/>
            <w:vAlign w:val="center"/>
          </w:tcPr>
          <w:p w:rsidR="00465F53" w:rsidRPr="00A42969" w:rsidRDefault="00465F53" w:rsidP="00A42969">
            <w:pPr>
              <w:spacing w:line="240" w:lineRule="auto"/>
              <w:jc w:val="left"/>
              <w:rPr>
                <w:rFonts w:cs="Arial"/>
                <w:sz w:val="16"/>
                <w:szCs w:val="16"/>
              </w:rPr>
            </w:pPr>
            <w:r w:rsidRPr="00A42969">
              <w:rPr>
                <w:rFonts w:cs="Arial"/>
                <w:sz w:val="16"/>
                <w:szCs w:val="16"/>
              </w:rPr>
              <w:t>Temporário</w:t>
            </w:r>
          </w:p>
        </w:tc>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465F53" w:rsidRPr="00E660FD" w:rsidRDefault="00465F53" w:rsidP="00A42969">
            <w:pPr>
              <w:spacing w:line="240" w:lineRule="auto"/>
              <w:jc w:val="left"/>
              <w:rPr>
                <w:rFonts w:cs="Arial"/>
                <w:sz w:val="16"/>
                <w:szCs w:val="16"/>
              </w:rPr>
            </w:pPr>
            <w:r w:rsidRPr="00E660FD">
              <w:rPr>
                <w:rFonts w:cs="Arial"/>
                <w:sz w:val="16"/>
                <w:szCs w:val="16"/>
              </w:rPr>
              <w:t>Certa</w:t>
            </w:r>
          </w:p>
        </w:tc>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rsidR="00465F53" w:rsidRPr="00E660FD" w:rsidRDefault="00465F53" w:rsidP="00A42969">
            <w:pPr>
              <w:spacing w:line="240" w:lineRule="auto"/>
              <w:jc w:val="left"/>
              <w:rPr>
                <w:rFonts w:cs="Arial"/>
                <w:sz w:val="16"/>
                <w:szCs w:val="16"/>
              </w:rPr>
            </w:pPr>
            <w:r w:rsidRPr="00E660FD">
              <w:rPr>
                <w:rFonts w:cs="Arial"/>
                <w:sz w:val="16"/>
                <w:szCs w:val="16"/>
              </w:rPr>
              <w:t>Curto e Médio Prazo</w:t>
            </w:r>
          </w:p>
        </w:tc>
        <w:tc>
          <w:tcPr>
            <w:tcW w:w="390" w:type="pct"/>
            <w:tcBorders>
              <w:top w:val="single" w:sz="4" w:space="0" w:color="auto"/>
              <w:left w:val="single" w:sz="4" w:space="0" w:color="auto"/>
              <w:bottom w:val="single" w:sz="4" w:space="0" w:color="auto"/>
              <w:right w:val="single" w:sz="4" w:space="0" w:color="auto"/>
            </w:tcBorders>
            <w:shd w:val="clear" w:color="auto" w:fill="auto"/>
            <w:vAlign w:val="center"/>
          </w:tcPr>
          <w:p w:rsidR="00465F53" w:rsidRPr="00A42969" w:rsidRDefault="00465F53" w:rsidP="00A42969">
            <w:pPr>
              <w:spacing w:line="240" w:lineRule="auto"/>
              <w:jc w:val="left"/>
              <w:rPr>
                <w:rFonts w:cs="Arial"/>
                <w:sz w:val="16"/>
                <w:szCs w:val="16"/>
              </w:rPr>
            </w:pPr>
            <w:r w:rsidRPr="00A42969">
              <w:rPr>
                <w:rFonts w:cs="Arial"/>
                <w:sz w:val="16"/>
                <w:szCs w:val="16"/>
              </w:rPr>
              <w:t>Irreversível</w:t>
            </w:r>
          </w:p>
        </w:tc>
        <w:tc>
          <w:tcPr>
            <w:tcW w:w="383" w:type="pct"/>
            <w:tcBorders>
              <w:top w:val="single" w:sz="4" w:space="0" w:color="auto"/>
              <w:left w:val="single" w:sz="4" w:space="0" w:color="auto"/>
              <w:bottom w:val="single" w:sz="4" w:space="0" w:color="auto"/>
              <w:right w:val="single" w:sz="4" w:space="0" w:color="auto"/>
            </w:tcBorders>
            <w:shd w:val="clear" w:color="auto" w:fill="auto"/>
            <w:vAlign w:val="center"/>
          </w:tcPr>
          <w:p w:rsidR="00465F53" w:rsidRPr="00A42969" w:rsidRDefault="00465F53" w:rsidP="00A42969">
            <w:pPr>
              <w:spacing w:line="240" w:lineRule="auto"/>
              <w:jc w:val="left"/>
              <w:rPr>
                <w:rFonts w:cs="Arial"/>
                <w:sz w:val="16"/>
                <w:szCs w:val="16"/>
              </w:rPr>
            </w:pPr>
            <w:r w:rsidRPr="00A42969">
              <w:rPr>
                <w:rFonts w:cs="Arial"/>
                <w:sz w:val="16"/>
                <w:szCs w:val="16"/>
              </w:rPr>
              <w:t>Média</w:t>
            </w:r>
          </w:p>
        </w:tc>
        <w:tc>
          <w:tcPr>
            <w:tcW w:w="343" w:type="pct"/>
            <w:tcBorders>
              <w:top w:val="single" w:sz="4" w:space="0" w:color="auto"/>
              <w:left w:val="single" w:sz="4" w:space="0" w:color="auto"/>
              <w:bottom w:val="single" w:sz="4" w:space="0" w:color="auto"/>
              <w:right w:val="single" w:sz="4" w:space="0" w:color="auto"/>
            </w:tcBorders>
            <w:shd w:val="clear" w:color="auto" w:fill="auto"/>
            <w:vAlign w:val="center"/>
          </w:tcPr>
          <w:p w:rsidR="00465F53" w:rsidRPr="00A42969" w:rsidRDefault="00465F53" w:rsidP="00A42969">
            <w:pPr>
              <w:spacing w:line="240" w:lineRule="auto"/>
              <w:jc w:val="left"/>
              <w:rPr>
                <w:rFonts w:cs="Arial"/>
                <w:sz w:val="16"/>
                <w:szCs w:val="16"/>
              </w:rPr>
            </w:pPr>
            <w:r w:rsidRPr="00A42969">
              <w:rPr>
                <w:rFonts w:cs="Arial"/>
                <w:sz w:val="16"/>
                <w:szCs w:val="16"/>
              </w:rPr>
              <w:t>Alta</w:t>
            </w:r>
          </w:p>
        </w:tc>
        <w:tc>
          <w:tcPr>
            <w:tcW w:w="397" w:type="pct"/>
            <w:tcBorders>
              <w:top w:val="single" w:sz="4" w:space="0" w:color="auto"/>
              <w:left w:val="single" w:sz="4" w:space="0" w:color="auto"/>
              <w:bottom w:val="single" w:sz="4" w:space="0" w:color="auto"/>
              <w:right w:val="single" w:sz="4" w:space="0" w:color="auto"/>
            </w:tcBorders>
            <w:shd w:val="clear" w:color="auto" w:fill="auto"/>
            <w:vAlign w:val="center"/>
          </w:tcPr>
          <w:p w:rsidR="00465F53" w:rsidRPr="00A42969" w:rsidRDefault="00465F53" w:rsidP="00465F53">
            <w:pPr>
              <w:spacing w:line="240" w:lineRule="auto"/>
              <w:jc w:val="center"/>
              <w:rPr>
                <w:rFonts w:cs="Arial"/>
                <w:sz w:val="16"/>
                <w:szCs w:val="16"/>
              </w:rPr>
            </w:pPr>
            <w:r>
              <w:rPr>
                <w:rFonts w:cs="Arial"/>
                <w:sz w:val="16"/>
                <w:szCs w:val="16"/>
              </w:rPr>
              <w:t>---</w:t>
            </w:r>
          </w:p>
        </w:tc>
      </w:tr>
    </w:tbl>
    <w:p w:rsidR="00B42047" w:rsidRDefault="00B42047">
      <w:r>
        <w:br w:type="page"/>
      </w:r>
    </w:p>
    <w:p w:rsidR="002E29E3" w:rsidRDefault="002E29E3" w:rsidP="002E29E3">
      <w:r>
        <w:t>(continuação)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722"/>
        <w:gridCol w:w="2593"/>
        <w:gridCol w:w="972"/>
        <w:gridCol w:w="772"/>
        <w:gridCol w:w="1302"/>
        <w:gridCol w:w="1155"/>
        <w:gridCol w:w="867"/>
        <w:gridCol w:w="1186"/>
        <w:gridCol w:w="1131"/>
        <w:gridCol w:w="1111"/>
        <w:gridCol w:w="995"/>
        <w:gridCol w:w="1152"/>
      </w:tblGrid>
      <w:tr w:rsidR="00E660FD" w:rsidRPr="008A7364" w:rsidTr="00C55FEC">
        <w:trPr>
          <w:trHeight w:val="336"/>
          <w:tblHeader/>
        </w:trPr>
        <w:tc>
          <w:tcPr>
            <w:tcW w:w="188" w:type="pct"/>
            <w:vMerge w:val="restart"/>
            <w:shd w:val="clear" w:color="auto" w:fill="D9D9D9"/>
            <w:vAlign w:val="center"/>
          </w:tcPr>
          <w:p w:rsidR="00E660FD" w:rsidRPr="008A7364" w:rsidRDefault="00E660FD" w:rsidP="00C55FEC">
            <w:pPr>
              <w:spacing w:before="120" w:after="120" w:line="240" w:lineRule="auto"/>
              <w:jc w:val="center"/>
              <w:rPr>
                <w:rFonts w:cs="Arial"/>
                <w:b/>
                <w:sz w:val="18"/>
                <w:szCs w:val="18"/>
              </w:rPr>
            </w:pPr>
            <w:r w:rsidRPr="008A7364">
              <w:rPr>
                <w:rFonts w:cs="Arial"/>
                <w:b/>
                <w:sz w:val="18"/>
                <w:szCs w:val="18"/>
              </w:rPr>
              <w:t>N°</w:t>
            </w:r>
          </w:p>
        </w:tc>
        <w:tc>
          <w:tcPr>
            <w:tcW w:w="249" w:type="pct"/>
            <w:vMerge w:val="restart"/>
            <w:shd w:val="clear" w:color="auto" w:fill="D9D9D9"/>
            <w:vAlign w:val="center"/>
          </w:tcPr>
          <w:p w:rsidR="00E660FD" w:rsidRPr="008A7364" w:rsidRDefault="00E660FD" w:rsidP="00C55FEC">
            <w:pPr>
              <w:spacing w:before="120" w:after="120" w:line="240" w:lineRule="auto"/>
              <w:rPr>
                <w:rFonts w:cs="Arial"/>
                <w:b/>
                <w:sz w:val="18"/>
                <w:szCs w:val="18"/>
              </w:rPr>
            </w:pPr>
            <w:r>
              <w:rPr>
                <w:rFonts w:cs="Arial"/>
                <w:b/>
                <w:sz w:val="18"/>
                <w:szCs w:val="18"/>
              </w:rPr>
              <w:t>MEIO</w:t>
            </w:r>
          </w:p>
        </w:tc>
        <w:tc>
          <w:tcPr>
            <w:tcW w:w="894" w:type="pct"/>
            <w:vMerge w:val="restart"/>
            <w:shd w:val="clear" w:color="auto" w:fill="D9D9D9"/>
            <w:vAlign w:val="center"/>
          </w:tcPr>
          <w:p w:rsidR="00E660FD" w:rsidRPr="008A7364" w:rsidRDefault="00E660FD" w:rsidP="00C55FEC">
            <w:pPr>
              <w:spacing w:before="120" w:after="120" w:line="240" w:lineRule="auto"/>
              <w:jc w:val="center"/>
              <w:rPr>
                <w:rFonts w:cs="Arial"/>
                <w:b/>
                <w:sz w:val="18"/>
                <w:szCs w:val="18"/>
              </w:rPr>
            </w:pPr>
            <w:r w:rsidRPr="008A7364">
              <w:rPr>
                <w:rFonts w:cs="Arial"/>
                <w:b/>
                <w:sz w:val="18"/>
                <w:szCs w:val="18"/>
              </w:rPr>
              <w:t>IMPACTO</w:t>
            </w:r>
          </w:p>
        </w:tc>
        <w:tc>
          <w:tcPr>
            <w:tcW w:w="3669" w:type="pct"/>
            <w:gridSpan w:val="10"/>
            <w:shd w:val="clear" w:color="auto" w:fill="D9D9D9"/>
          </w:tcPr>
          <w:p w:rsidR="00E660FD" w:rsidRPr="008A7364" w:rsidRDefault="00E660FD" w:rsidP="00C55FEC">
            <w:pPr>
              <w:spacing w:before="60" w:after="40" w:line="240" w:lineRule="auto"/>
              <w:jc w:val="center"/>
              <w:rPr>
                <w:rFonts w:cs="Arial"/>
                <w:b/>
                <w:sz w:val="18"/>
                <w:szCs w:val="18"/>
              </w:rPr>
            </w:pPr>
            <w:r w:rsidRPr="008A7364">
              <w:rPr>
                <w:rFonts w:cs="Arial"/>
                <w:b/>
                <w:sz w:val="18"/>
                <w:szCs w:val="18"/>
              </w:rPr>
              <w:t>CARACTERIZAÇÃO</w:t>
            </w:r>
          </w:p>
        </w:tc>
      </w:tr>
      <w:tr w:rsidR="00E660FD" w:rsidRPr="008A7364" w:rsidTr="00C55FEC">
        <w:trPr>
          <w:trHeight w:hRule="exact" w:val="340"/>
          <w:tblHeader/>
        </w:trPr>
        <w:tc>
          <w:tcPr>
            <w:tcW w:w="188" w:type="pct"/>
            <w:vMerge/>
            <w:shd w:val="clear" w:color="auto" w:fill="D9D9D9"/>
          </w:tcPr>
          <w:p w:rsidR="00E660FD" w:rsidRPr="008A7364" w:rsidRDefault="00E660FD" w:rsidP="00C55FEC">
            <w:pPr>
              <w:spacing w:before="120" w:after="120" w:line="240" w:lineRule="auto"/>
              <w:jc w:val="center"/>
              <w:rPr>
                <w:rFonts w:cs="Arial"/>
                <w:b/>
                <w:sz w:val="18"/>
                <w:szCs w:val="18"/>
              </w:rPr>
            </w:pPr>
          </w:p>
        </w:tc>
        <w:tc>
          <w:tcPr>
            <w:tcW w:w="249" w:type="pct"/>
            <w:vMerge/>
            <w:shd w:val="clear" w:color="auto" w:fill="D9D9D9"/>
          </w:tcPr>
          <w:p w:rsidR="00E660FD" w:rsidRPr="008A7364" w:rsidRDefault="00E660FD" w:rsidP="00C55FEC">
            <w:pPr>
              <w:spacing w:before="120" w:after="120" w:line="240" w:lineRule="auto"/>
              <w:jc w:val="center"/>
              <w:rPr>
                <w:rFonts w:cs="Arial"/>
                <w:b/>
                <w:sz w:val="18"/>
                <w:szCs w:val="18"/>
              </w:rPr>
            </w:pPr>
          </w:p>
        </w:tc>
        <w:tc>
          <w:tcPr>
            <w:tcW w:w="894" w:type="pct"/>
            <w:vMerge/>
            <w:shd w:val="clear" w:color="auto" w:fill="D9D9D9"/>
          </w:tcPr>
          <w:p w:rsidR="00E660FD" w:rsidRPr="008A7364" w:rsidRDefault="00E660FD" w:rsidP="00C55FEC">
            <w:pPr>
              <w:spacing w:before="120" w:after="120" w:line="240" w:lineRule="auto"/>
              <w:jc w:val="center"/>
              <w:rPr>
                <w:rFonts w:cs="Arial"/>
                <w:b/>
                <w:sz w:val="18"/>
                <w:szCs w:val="18"/>
              </w:rPr>
            </w:pPr>
          </w:p>
        </w:tc>
        <w:tc>
          <w:tcPr>
            <w:tcW w:w="2546" w:type="pct"/>
            <w:gridSpan w:val="7"/>
            <w:shd w:val="clear" w:color="auto" w:fill="D9D9D9"/>
            <w:vAlign w:val="center"/>
          </w:tcPr>
          <w:p w:rsidR="00E660FD" w:rsidRPr="008A7364" w:rsidRDefault="00E660FD" w:rsidP="00C55FEC">
            <w:pPr>
              <w:spacing w:before="120" w:after="120" w:line="240" w:lineRule="auto"/>
              <w:jc w:val="center"/>
              <w:rPr>
                <w:rFonts w:cs="Arial"/>
                <w:b/>
                <w:sz w:val="16"/>
                <w:szCs w:val="16"/>
              </w:rPr>
            </w:pPr>
            <w:r w:rsidRPr="008A7364">
              <w:rPr>
                <w:rFonts w:cs="Arial"/>
                <w:b/>
                <w:sz w:val="16"/>
                <w:szCs w:val="16"/>
              </w:rPr>
              <w:t>Classificação</w:t>
            </w:r>
          </w:p>
        </w:tc>
        <w:tc>
          <w:tcPr>
            <w:tcW w:w="726" w:type="pct"/>
            <w:gridSpan w:val="2"/>
            <w:shd w:val="clear" w:color="auto" w:fill="D9D9D9"/>
            <w:vAlign w:val="center"/>
          </w:tcPr>
          <w:p w:rsidR="00E660FD" w:rsidRPr="008A7364" w:rsidRDefault="00E660FD" w:rsidP="00C55FEC">
            <w:pPr>
              <w:spacing w:before="120" w:after="120" w:line="240" w:lineRule="auto"/>
              <w:jc w:val="center"/>
              <w:rPr>
                <w:rFonts w:cs="Arial"/>
                <w:b/>
                <w:sz w:val="16"/>
                <w:szCs w:val="16"/>
              </w:rPr>
            </w:pPr>
            <w:r w:rsidRPr="008A7364">
              <w:rPr>
                <w:rFonts w:cs="Arial"/>
                <w:b/>
                <w:sz w:val="16"/>
                <w:szCs w:val="16"/>
              </w:rPr>
              <w:t>Mensuração</w:t>
            </w:r>
          </w:p>
        </w:tc>
        <w:tc>
          <w:tcPr>
            <w:tcW w:w="397" w:type="pct"/>
            <w:vMerge w:val="restart"/>
            <w:shd w:val="clear" w:color="auto" w:fill="D9D9D9"/>
            <w:vAlign w:val="center"/>
          </w:tcPr>
          <w:p w:rsidR="00E660FD" w:rsidRPr="008A7364" w:rsidRDefault="00E660FD" w:rsidP="00C55FEC">
            <w:pPr>
              <w:spacing w:before="120" w:after="120" w:line="240" w:lineRule="auto"/>
              <w:jc w:val="center"/>
              <w:rPr>
                <w:rFonts w:cs="Arial"/>
                <w:b/>
                <w:sz w:val="16"/>
                <w:szCs w:val="16"/>
              </w:rPr>
            </w:pPr>
            <w:r w:rsidRPr="008A7364">
              <w:rPr>
                <w:rFonts w:cs="Arial"/>
                <w:b/>
                <w:sz w:val="16"/>
                <w:szCs w:val="16"/>
              </w:rPr>
              <w:t>Mitigação</w:t>
            </w:r>
          </w:p>
        </w:tc>
      </w:tr>
      <w:tr w:rsidR="00E660FD" w:rsidRPr="008A7364" w:rsidTr="00C55FEC">
        <w:trPr>
          <w:trHeight w:val="447"/>
          <w:tblHeader/>
        </w:trPr>
        <w:tc>
          <w:tcPr>
            <w:tcW w:w="188" w:type="pct"/>
            <w:vMerge/>
            <w:shd w:val="clear" w:color="auto" w:fill="auto"/>
          </w:tcPr>
          <w:p w:rsidR="00E660FD" w:rsidRPr="008A7364" w:rsidRDefault="00E660FD" w:rsidP="00C55FEC">
            <w:pPr>
              <w:spacing w:before="120" w:after="120" w:line="240" w:lineRule="auto"/>
              <w:jc w:val="center"/>
              <w:rPr>
                <w:rFonts w:cs="Arial"/>
                <w:b/>
              </w:rPr>
            </w:pPr>
          </w:p>
        </w:tc>
        <w:tc>
          <w:tcPr>
            <w:tcW w:w="249" w:type="pct"/>
            <w:vMerge/>
            <w:shd w:val="clear" w:color="auto" w:fill="D9D9D9"/>
          </w:tcPr>
          <w:p w:rsidR="00E660FD" w:rsidRPr="008A7364" w:rsidRDefault="00E660FD" w:rsidP="00C55FEC">
            <w:pPr>
              <w:spacing w:before="120" w:after="120" w:line="240" w:lineRule="auto"/>
              <w:jc w:val="center"/>
              <w:rPr>
                <w:rFonts w:cs="Arial"/>
                <w:b/>
              </w:rPr>
            </w:pPr>
          </w:p>
        </w:tc>
        <w:tc>
          <w:tcPr>
            <w:tcW w:w="894" w:type="pct"/>
            <w:vMerge/>
            <w:shd w:val="clear" w:color="auto" w:fill="auto"/>
          </w:tcPr>
          <w:p w:rsidR="00E660FD" w:rsidRPr="008A7364" w:rsidRDefault="00E660FD" w:rsidP="00C55FEC">
            <w:pPr>
              <w:spacing w:before="120" w:after="120" w:line="240" w:lineRule="auto"/>
              <w:jc w:val="center"/>
              <w:rPr>
                <w:rFonts w:cs="Arial"/>
                <w:b/>
                <w:sz w:val="20"/>
              </w:rPr>
            </w:pPr>
          </w:p>
        </w:tc>
        <w:tc>
          <w:tcPr>
            <w:tcW w:w="335" w:type="pct"/>
            <w:shd w:val="clear" w:color="auto" w:fill="D9D9D9"/>
            <w:vAlign w:val="center"/>
          </w:tcPr>
          <w:p w:rsidR="00E660FD" w:rsidRPr="008A7364" w:rsidRDefault="00E660FD" w:rsidP="00C55FEC">
            <w:pPr>
              <w:spacing w:before="120" w:after="120" w:line="240" w:lineRule="auto"/>
              <w:jc w:val="center"/>
              <w:rPr>
                <w:rFonts w:cs="Arial"/>
                <w:b/>
                <w:sz w:val="16"/>
                <w:szCs w:val="16"/>
              </w:rPr>
            </w:pPr>
            <w:r w:rsidRPr="008A7364">
              <w:rPr>
                <w:rFonts w:cs="Arial"/>
                <w:b/>
                <w:sz w:val="16"/>
                <w:szCs w:val="16"/>
              </w:rPr>
              <w:t>Natureza</w:t>
            </w:r>
          </w:p>
        </w:tc>
        <w:tc>
          <w:tcPr>
            <w:tcW w:w="266" w:type="pct"/>
            <w:shd w:val="clear" w:color="auto" w:fill="D9D9D9"/>
            <w:vAlign w:val="center"/>
          </w:tcPr>
          <w:p w:rsidR="00E660FD" w:rsidRPr="008A7364" w:rsidRDefault="00E660FD" w:rsidP="00C55FEC">
            <w:pPr>
              <w:spacing w:before="120" w:after="120" w:line="240" w:lineRule="auto"/>
              <w:jc w:val="center"/>
              <w:rPr>
                <w:rFonts w:cs="Arial"/>
                <w:b/>
                <w:sz w:val="16"/>
                <w:szCs w:val="16"/>
              </w:rPr>
            </w:pPr>
            <w:r w:rsidRPr="008A7364">
              <w:rPr>
                <w:rFonts w:cs="Arial"/>
                <w:b/>
                <w:sz w:val="16"/>
                <w:szCs w:val="16"/>
              </w:rPr>
              <w:t>Ordem</w:t>
            </w:r>
          </w:p>
        </w:tc>
        <w:tc>
          <w:tcPr>
            <w:tcW w:w="449" w:type="pct"/>
            <w:shd w:val="clear" w:color="auto" w:fill="D9D9D9"/>
            <w:vAlign w:val="center"/>
          </w:tcPr>
          <w:p w:rsidR="00E660FD" w:rsidRPr="008A7364" w:rsidRDefault="00E660FD" w:rsidP="00C55FEC">
            <w:pPr>
              <w:spacing w:before="120" w:after="120" w:line="240" w:lineRule="auto"/>
              <w:jc w:val="center"/>
              <w:rPr>
                <w:rFonts w:cs="Arial"/>
                <w:b/>
                <w:sz w:val="16"/>
                <w:szCs w:val="16"/>
              </w:rPr>
            </w:pPr>
            <w:r w:rsidRPr="008A7364">
              <w:rPr>
                <w:rFonts w:cs="Arial"/>
                <w:b/>
                <w:sz w:val="16"/>
                <w:szCs w:val="16"/>
              </w:rPr>
              <w:t>Abrangência</w:t>
            </w:r>
          </w:p>
        </w:tc>
        <w:tc>
          <w:tcPr>
            <w:tcW w:w="398" w:type="pct"/>
            <w:shd w:val="clear" w:color="auto" w:fill="D9D9D9"/>
            <w:vAlign w:val="center"/>
          </w:tcPr>
          <w:p w:rsidR="00E660FD" w:rsidRPr="008A7364" w:rsidRDefault="00E660FD" w:rsidP="00C55FEC">
            <w:pPr>
              <w:spacing w:before="120" w:after="120" w:line="240" w:lineRule="auto"/>
              <w:jc w:val="center"/>
              <w:rPr>
                <w:rFonts w:cs="Arial"/>
                <w:b/>
                <w:sz w:val="16"/>
                <w:szCs w:val="16"/>
              </w:rPr>
            </w:pPr>
            <w:r w:rsidRPr="008A7364">
              <w:rPr>
                <w:rFonts w:cs="Arial"/>
                <w:b/>
                <w:sz w:val="16"/>
                <w:szCs w:val="16"/>
              </w:rPr>
              <w:t>Duração</w:t>
            </w:r>
          </w:p>
        </w:tc>
        <w:tc>
          <w:tcPr>
            <w:tcW w:w="299" w:type="pct"/>
            <w:shd w:val="clear" w:color="auto" w:fill="D9D9D9"/>
            <w:vAlign w:val="center"/>
          </w:tcPr>
          <w:p w:rsidR="00E660FD" w:rsidRPr="008A7364" w:rsidRDefault="00E660FD" w:rsidP="00C55FEC">
            <w:pPr>
              <w:spacing w:before="120" w:after="120" w:line="240" w:lineRule="auto"/>
              <w:jc w:val="center"/>
              <w:rPr>
                <w:rFonts w:cs="Arial"/>
                <w:b/>
                <w:sz w:val="16"/>
                <w:szCs w:val="16"/>
              </w:rPr>
            </w:pPr>
            <w:r w:rsidRPr="008A7364">
              <w:rPr>
                <w:rFonts w:cs="Arial"/>
                <w:b/>
                <w:sz w:val="16"/>
                <w:szCs w:val="16"/>
              </w:rPr>
              <w:t>Probabilidade</w:t>
            </w:r>
          </w:p>
        </w:tc>
        <w:tc>
          <w:tcPr>
            <w:tcW w:w="409" w:type="pct"/>
            <w:shd w:val="clear" w:color="auto" w:fill="D9D9D9"/>
            <w:vAlign w:val="center"/>
          </w:tcPr>
          <w:p w:rsidR="00E660FD" w:rsidRPr="008A7364" w:rsidRDefault="00E660FD" w:rsidP="00C55FEC">
            <w:pPr>
              <w:spacing w:before="120" w:after="120" w:line="240" w:lineRule="auto"/>
              <w:jc w:val="center"/>
              <w:rPr>
                <w:rFonts w:cs="Arial"/>
                <w:b/>
                <w:sz w:val="16"/>
                <w:szCs w:val="16"/>
              </w:rPr>
            </w:pPr>
            <w:r w:rsidRPr="008A7364">
              <w:rPr>
                <w:rFonts w:cs="Arial"/>
                <w:b/>
                <w:sz w:val="16"/>
                <w:szCs w:val="16"/>
              </w:rPr>
              <w:t>Época</w:t>
            </w:r>
          </w:p>
        </w:tc>
        <w:tc>
          <w:tcPr>
            <w:tcW w:w="390" w:type="pct"/>
            <w:shd w:val="clear" w:color="auto" w:fill="D9D9D9"/>
          </w:tcPr>
          <w:p w:rsidR="00E660FD" w:rsidRPr="008A7364" w:rsidRDefault="00E660FD" w:rsidP="00C55FEC">
            <w:pPr>
              <w:spacing w:before="120" w:after="120" w:line="240" w:lineRule="auto"/>
              <w:jc w:val="center"/>
              <w:rPr>
                <w:rFonts w:cs="Arial"/>
                <w:b/>
                <w:sz w:val="16"/>
                <w:szCs w:val="16"/>
              </w:rPr>
            </w:pPr>
            <w:r w:rsidRPr="008A7364">
              <w:rPr>
                <w:rFonts w:cs="Arial"/>
                <w:b/>
                <w:sz w:val="16"/>
                <w:szCs w:val="16"/>
              </w:rPr>
              <w:t>Reversibi</w:t>
            </w:r>
            <w:r w:rsidR="0053626B">
              <w:rPr>
                <w:rFonts w:cs="Arial"/>
                <w:b/>
                <w:sz w:val="16"/>
                <w:szCs w:val="16"/>
              </w:rPr>
              <w:t>-</w:t>
            </w:r>
            <w:r w:rsidRPr="008A7364">
              <w:rPr>
                <w:rFonts w:cs="Arial"/>
                <w:b/>
                <w:sz w:val="16"/>
                <w:szCs w:val="16"/>
              </w:rPr>
              <w:t>lidade</w:t>
            </w:r>
          </w:p>
        </w:tc>
        <w:tc>
          <w:tcPr>
            <w:tcW w:w="383" w:type="pct"/>
            <w:shd w:val="clear" w:color="auto" w:fill="D9D9D9"/>
            <w:vAlign w:val="center"/>
          </w:tcPr>
          <w:p w:rsidR="00E660FD" w:rsidRPr="008A7364" w:rsidRDefault="00E660FD" w:rsidP="00C55FEC">
            <w:pPr>
              <w:spacing w:before="120" w:after="120" w:line="240" w:lineRule="auto"/>
              <w:jc w:val="center"/>
              <w:rPr>
                <w:rFonts w:cs="Arial"/>
                <w:b/>
                <w:sz w:val="16"/>
                <w:szCs w:val="16"/>
              </w:rPr>
            </w:pPr>
            <w:r w:rsidRPr="008A7364">
              <w:rPr>
                <w:rFonts w:cs="Arial"/>
                <w:b/>
                <w:sz w:val="16"/>
                <w:szCs w:val="16"/>
              </w:rPr>
              <w:t>Magnitude</w:t>
            </w:r>
          </w:p>
        </w:tc>
        <w:tc>
          <w:tcPr>
            <w:tcW w:w="343" w:type="pct"/>
            <w:shd w:val="clear" w:color="auto" w:fill="D9D9D9"/>
            <w:vAlign w:val="center"/>
          </w:tcPr>
          <w:p w:rsidR="00E660FD" w:rsidRPr="008A7364" w:rsidRDefault="00E660FD" w:rsidP="00C55FEC">
            <w:pPr>
              <w:spacing w:before="120" w:after="120" w:line="240" w:lineRule="auto"/>
              <w:jc w:val="center"/>
              <w:rPr>
                <w:rFonts w:cs="Arial"/>
                <w:b/>
                <w:sz w:val="16"/>
                <w:szCs w:val="16"/>
              </w:rPr>
            </w:pPr>
            <w:r w:rsidRPr="008A7364">
              <w:rPr>
                <w:rFonts w:cs="Arial"/>
                <w:b/>
                <w:sz w:val="16"/>
                <w:szCs w:val="16"/>
              </w:rPr>
              <w:t>Impor</w:t>
            </w:r>
            <w:r w:rsidR="0053626B">
              <w:rPr>
                <w:rFonts w:cs="Arial"/>
                <w:b/>
                <w:sz w:val="16"/>
                <w:szCs w:val="16"/>
              </w:rPr>
              <w:t>-</w:t>
            </w:r>
            <w:r w:rsidRPr="008A7364">
              <w:rPr>
                <w:rFonts w:cs="Arial"/>
                <w:b/>
                <w:sz w:val="16"/>
                <w:szCs w:val="16"/>
              </w:rPr>
              <w:t>tância</w:t>
            </w:r>
          </w:p>
        </w:tc>
        <w:tc>
          <w:tcPr>
            <w:tcW w:w="397" w:type="pct"/>
            <w:vMerge/>
            <w:shd w:val="clear" w:color="auto" w:fill="auto"/>
          </w:tcPr>
          <w:p w:rsidR="00E660FD" w:rsidRPr="008A7364" w:rsidRDefault="00E660FD" w:rsidP="00C55FEC">
            <w:pPr>
              <w:spacing w:before="120" w:after="120" w:line="240" w:lineRule="auto"/>
              <w:jc w:val="center"/>
              <w:rPr>
                <w:rFonts w:cs="Arial"/>
                <w:b/>
                <w:sz w:val="16"/>
                <w:szCs w:val="16"/>
              </w:rPr>
            </w:pPr>
          </w:p>
        </w:tc>
      </w:tr>
      <w:tr w:rsidR="005432A8" w:rsidRPr="008A7364" w:rsidTr="00E660FD">
        <w:trPr>
          <w:trHeight w:hRule="exact" w:val="876"/>
        </w:trPr>
        <w:tc>
          <w:tcPr>
            <w:tcW w:w="188" w:type="pct"/>
            <w:shd w:val="clear" w:color="auto" w:fill="auto"/>
            <w:vAlign w:val="center"/>
          </w:tcPr>
          <w:p w:rsidR="005432A8" w:rsidRPr="008A7364" w:rsidRDefault="00E660FD" w:rsidP="008A7364">
            <w:pPr>
              <w:spacing w:line="240" w:lineRule="auto"/>
              <w:jc w:val="left"/>
              <w:rPr>
                <w:rFonts w:cs="Arial"/>
                <w:sz w:val="16"/>
                <w:szCs w:val="16"/>
              </w:rPr>
            </w:pPr>
            <w:r>
              <w:rPr>
                <w:rFonts w:cs="Arial"/>
                <w:sz w:val="16"/>
                <w:szCs w:val="16"/>
              </w:rPr>
              <w:t>45</w:t>
            </w:r>
          </w:p>
        </w:tc>
        <w:tc>
          <w:tcPr>
            <w:tcW w:w="249" w:type="pct"/>
            <w:vMerge w:val="restart"/>
            <w:shd w:val="clear" w:color="auto" w:fill="auto"/>
            <w:textDirection w:val="btLr"/>
            <w:vAlign w:val="center"/>
          </w:tcPr>
          <w:p w:rsidR="005432A8" w:rsidRPr="008A7364" w:rsidRDefault="00E660FD" w:rsidP="00E660FD">
            <w:pPr>
              <w:spacing w:line="240" w:lineRule="auto"/>
              <w:ind w:left="113" w:right="113"/>
              <w:jc w:val="center"/>
              <w:rPr>
                <w:rFonts w:cs="Arial"/>
                <w:sz w:val="16"/>
                <w:szCs w:val="16"/>
              </w:rPr>
            </w:pPr>
            <w:r w:rsidRPr="00870CD7">
              <w:rPr>
                <w:rFonts w:cs="Arial"/>
                <w:b/>
                <w:szCs w:val="22"/>
              </w:rPr>
              <w:t>Meio Socioeconômico</w:t>
            </w:r>
          </w:p>
        </w:tc>
        <w:tc>
          <w:tcPr>
            <w:tcW w:w="894" w:type="pct"/>
            <w:shd w:val="clear" w:color="auto" w:fill="auto"/>
            <w:vAlign w:val="center"/>
          </w:tcPr>
          <w:p w:rsidR="005432A8" w:rsidRPr="008A7364" w:rsidRDefault="005432A8" w:rsidP="00373099">
            <w:pPr>
              <w:spacing w:line="240" w:lineRule="auto"/>
              <w:rPr>
                <w:sz w:val="16"/>
                <w:szCs w:val="16"/>
              </w:rPr>
            </w:pPr>
            <w:r w:rsidRPr="008A7364">
              <w:rPr>
                <w:sz w:val="16"/>
                <w:szCs w:val="16"/>
              </w:rPr>
              <w:t>Aumento da Pressão sobre</w:t>
            </w:r>
            <w:r w:rsidR="00373099">
              <w:rPr>
                <w:sz w:val="16"/>
                <w:szCs w:val="16"/>
              </w:rPr>
              <w:t xml:space="preserve"> </w:t>
            </w:r>
            <w:r w:rsidRPr="008A7364">
              <w:rPr>
                <w:sz w:val="16"/>
                <w:szCs w:val="16"/>
              </w:rPr>
              <w:t>Serviços e Equipamentos Públicos</w:t>
            </w:r>
            <w:r w:rsidR="00E660FD">
              <w:rPr>
                <w:sz w:val="16"/>
                <w:szCs w:val="16"/>
              </w:rPr>
              <w:t>. Implantação.</w:t>
            </w:r>
          </w:p>
        </w:tc>
        <w:tc>
          <w:tcPr>
            <w:tcW w:w="335"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Negativo</w:t>
            </w:r>
          </w:p>
        </w:tc>
        <w:tc>
          <w:tcPr>
            <w:tcW w:w="266"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Indireto</w:t>
            </w:r>
          </w:p>
        </w:tc>
        <w:tc>
          <w:tcPr>
            <w:tcW w:w="449"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Localizado</w:t>
            </w:r>
          </w:p>
        </w:tc>
        <w:tc>
          <w:tcPr>
            <w:tcW w:w="398"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Temporário</w:t>
            </w:r>
          </w:p>
        </w:tc>
        <w:tc>
          <w:tcPr>
            <w:tcW w:w="299" w:type="pct"/>
            <w:shd w:val="clear" w:color="auto" w:fill="auto"/>
            <w:vAlign w:val="center"/>
          </w:tcPr>
          <w:p w:rsidR="005432A8" w:rsidRPr="00FF5296" w:rsidRDefault="005432A8" w:rsidP="00E660FD">
            <w:pPr>
              <w:autoSpaceDE w:val="0"/>
              <w:autoSpaceDN w:val="0"/>
              <w:adjustRightInd w:val="0"/>
              <w:spacing w:line="240" w:lineRule="auto"/>
              <w:jc w:val="center"/>
              <w:rPr>
                <w:sz w:val="16"/>
                <w:szCs w:val="16"/>
              </w:rPr>
            </w:pPr>
            <w:r w:rsidRPr="00FF5296">
              <w:rPr>
                <w:sz w:val="16"/>
                <w:szCs w:val="16"/>
              </w:rPr>
              <w:t>Certo</w:t>
            </w:r>
          </w:p>
        </w:tc>
        <w:tc>
          <w:tcPr>
            <w:tcW w:w="409"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Médio Prazo</w:t>
            </w:r>
          </w:p>
        </w:tc>
        <w:tc>
          <w:tcPr>
            <w:tcW w:w="390"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Reversível</w:t>
            </w:r>
          </w:p>
        </w:tc>
        <w:tc>
          <w:tcPr>
            <w:tcW w:w="383"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Média</w:t>
            </w:r>
          </w:p>
        </w:tc>
        <w:tc>
          <w:tcPr>
            <w:tcW w:w="343"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Média</w:t>
            </w:r>
          </w:p>
        </w:tc>
        <w:tc>
          <w:tcPr>
            <w:tcW w:w="397"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Mitigável</w:t>
            </w:r>
          </w:p>
        </w:tc>
      </w:tr>
      <w:tr w:rsidR="005432A8" w:rsidRPr="008A7364" w:rsidTr="003031D7">
        <w:trPr>
          <w:trHeight w:hRule="exact" w:val="802"/>
        </w:trPr>
        <w:tc>
          <w:tcPr>
            <w:tcW w:w="188" w:type="pct"/>
            <w:shd w:val="clear" w:color="auto" w:fill="auto"/>
            <w:vAlign w:val="center"/>
          </w:tcPr>
          <w:p w:rsidR="005432A8" w:rsidRPr="008A7364" w:rsidRDefault="00E660FD" w:rsidP="008A7364">
            <w:pPr>
              <w:spacing w:line="240" w:lineRule="auto"/>
              <w:jc w:val="left"/>
              <w:rPr>
                <w:rFonts w:cs="Arial"/>
                <w:sz w:val="16"/>
                <w:szCs w:val="16"/>
              </w:rPr>
            </w:pPr>
            <w:r>
              <w:rPr>
                <w:rFonts w:cs="Arial"/>
                <w:sz w:val="16"/>
                <w:szCs w:val="16"/>
              </w:rPr>
              <w:t>46</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5432A8" w:rsidRPr="008A7364" w:rsidRDefault="005432A8" w:rsidP="007A3613">
            <w:pPr>
              <w:spacing w:before="120" w:after="120" w:line="240" w:lineRule="auto"/>
              <w:rPr>
                <w:sz w:val="16"/>
                <w:szCs w:val="16"/>
              </w:rPr>
            </w:pPr>
            <w:r w:rsidRPr="008A7364">
              <w:rPr>
                <w:sz w:val="16"/>
                <w:szCs w:val="16"/>
              </w:rPr>
              <w:t>Alteração nas Condições de Saúde na Região</w:t>
            </w:r>
            <w:r w:rsidR="00E660FD">
              <w:rPr>
                <w:sz w:val="16"/>
                <w:szCs w:val="16"/>
              </w:rPr>
              <w:t>. Implantação</w:t>
            </w:r>
          </w:p>
        </w:tc>
        <w:tc>
          <w:tcPr>
            <w:tcW w:w="335"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Negativo</w:t>
            </w:r>
          </w:p>
        </w:tc>
        <w:tc>
          <w:tcPr>
            <w:tcW w:w="266"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Direto</w:t>
            </w:r>
          </w:p>
        </w:tc>
        <w:tc>
          <w:tcPr>
            <w:tcW w:w="449"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Localizado</w:t>
            </w:r>
          </w:p>
        </w:tc>
        <w:tc>
          <w:tcPr>
            <w:tcW w:w="398"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Temporário</w:t>
            </w:r>
          </w:p>
        </w:tc>
        <w:tc>
          <w:tcPr>
            <w:tcW w:w="299" w:type="pct"/>
            <w:shd w:val="clear" w:color="auto" w:fill="auto"/>
            <w:vAlign w:val="center"/>
          </w:tcPr>
          <w:p w:rsidR="005432A8" w:rsidRPr="00FF5296" w:rsidRDefault="005432A8" w:rsidP="008A7364">
            <w:pPr>
              <w:autoSpaceDE w:val="0"/>
              <w:autoSpaceDN w:val="0"/>
              <w:adjustRightInd w:val="0"/>
              <w:spacing w:line="240" w:lineRule="auto"/>
              <w:jc w:val="center"/>
              <w:rPr>
                <w:sz w:val="16"/>
                <w:szCs w:val="16"/>
              </w:rPr>
            </w:pPr>
            <w:r w:rsidRPr="00FF5296">
              <w:rPr>
                <w:sz w:val="16"/>
                <w:szCs w:val="16"/>
              </w:rPr>
              <w:t>Provável</w:t>
            </w:r>
          </w:p>
        </w:tc>
        <w:tc>
          <w:tcPr>
            <w:tcW w:w="409"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Médio Prazo</w:t>
            </w:r>
          </w:p>
        </w:tc>
        <w:tc>
          <w:tcPr>
            <w:tcW w:w="390"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Reversível</w:t>
            </w:r>
          </w:p>
        </w:tc>
        <w:tc>
          <w:tcPr>
            <w:tcW w:w="383"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Pequena</w:t>
            </w:r>
          </w:p>
        </w:tc>
        <w:tc>
          <w:tcPr>
            <w:tcW w:w="343"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Média</w:t>
            </w:r>
          </w:p>
        </w:tc>
        <w:tc>
          <w:tcPr>
            <w:tcW w:w="397"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Mitigável</w:t>
            </w:r>
          </w:p>
        </w:tc>
      </w:tr>
      <w:tr w:rsidR="00087C57" w:rsidRPr="008A7364" w:rsidTr="00087C57">
        <w:trPr>
          <w:trHeight w:hRule="exact" w:val="334"/>
        </w:trPr>
        <w:tc>
          <w:tcPr>
            <w:tcW w:w="188" w:type="pct"/>
            <w:shd w:val="clear" w:color="auto" w:fill="auto"/>
            <w:vAlign w:val="center"/>
          </w:tcPr>
          <w:p w:rsidR="00087C57" w:rsidRDefault="00087C57" w:rsidP="008A7364">
            <w:pPr>
              <w:spacing w:line="240" w:lineRule="auto"/>
              <w:jc w:val="left"/>
              <w:rPr>
                <w:rFonts w:cs="Arial"/>
                <w:sz w:val="16"/>
                <w:szCs w:val="16"/>
              </w:rPr>
            </w:pPr>
            <w:r>
              <w:rPr>
                <w:rFonts w:cs="Arial"/>
                <w:sz w:val="16"/>
                <w:szCs w:val="16"/>
              </w:rPr>
              <w:t>47</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4563" w:type="pct"/>
            <w:gridSpan w:val="11"/>
            <w:shd w:val="clear" w:color="auto" w:fill="auto"/>
            <w:vAlign w:val="center"/>
          </w:tcPr>
          <w:p w:rsidR="00087C57" w:rsidRPr="008A7364" w:rsidRDefault="00087C57" w:rsidP="007A3613">
            <w:pPr>
              <w:autoSpaceDE w:val="0"/>
              <w:autoSpaceDN w:val="0"/>
              <w:adjustRightInd w:val="0"/>
              <w:spacing w:line="240" w:lineRule="auto"/>
              <w:rPr>
                <w:sz w:val="16"/>
                <w:szCs w:val="16"/>
              </w:rPr>
            </w:pPr>
            <w:r w:rsidRPr="008A7364">
              <w:rPr>
                <w:sz w:val="16"/>
                <w:szCs w:val="16"/>
              </w:rPr>
              <w:t xml:space="preserve">Incômodos </w:t>
            </w:r>
            <w:r>
              <w:rPr>
                <w:sz w:val="16"/>
                <w:szCs w:val="16"/>
              </w:rPr>
              <w:t xml:space="preserve">à População </w:t>
            </w:r>
            <w:r w:rsidRPr="008A7364">
              <w:rPr>
                <w:sz w:val="16"/>
                <w:szCs w:val="16"/>
              </w:rPr>
              <w:t>devido à alteração nos níveis de ruído</w:t>
            </w:r>
          </w:p>
        </w:tc>
      </w:tr>
      <w:tr w:rsidR="005432A8" w:rsidRPr="008A7364" w:rsidTr="00E660FD">
        <w:trPr>
          <w:trHeight w:hRule="exact" w:val="720"/>
        </w:trPr>
        <w:tc>
          <w:tcPr>
            <w:tcW w:w="188" w:type="pct"/>
            <w:shd w:val="clear" w:color="auto" w:fill="auto"/>
            <w:vAlign w:val="center"/>
          </w:tcPr>
          <w:p w:rsidR="005432A8" w:rsidRPr="008A7364" w:rsidRDefault="00E660FD" w:rsidP="008A7364">
            <w:pPr>
              <w:spacing w:line="240" w:lineRule="auto"/>
              <w:jc w:val="left"/>
              <w:rPr>
                <w:rFonts w:cs="Arial"/>
                <w:sz w:val="16"/>
                <w:szCs w:val="16"/>
              </w:rPr>
            </w:pPr>
            <w:r>
              <w:rPr>
                <w:rFonts w:cs="Arial"/>
                <w:sz w:val="16"/>
                <w:szCs w:val="16"/>
              </w:rPr>
              <w:t>47a</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5432A8" w:rsidRPr="008A7364" w:rsidRDefault="005432A8" w:rsidP="007A3613">
            <w:pPr>
              <w:spacing w:before="120" w:after="120" w:line="240" w:lineRule="auto"/>
              <w:rPr>
                <w:sz w:val="16"/>
                <w:szCs w:val="16"/>
              </w:rPr>
            </w:pPr>
            <w:r w:rsidRPr="008A7364">
              <w:rPr>
                <w:sz w:val="16"/>
                <w:szCs w:val="16"/>
              </w:rPr>
              <w:t xml:space="preserve">Incômodos </w:t>
            </w:r>
            <w:r w:rsidR="00E660FD">
              <w:rPr>
                <w:sz w:val="16"/>
                <w:szCs w:val="16"/>
              </w:rPr>
              <w:t xml:space="preserve">à População </w:t>
            </w:r>
            <w:r w:rsidRPr="008A7364">
              <w:rPr>
                <w:sz w:val="16"/>
                <w:szCs w:val="16"/>
              </w:rPr>
              <w:t>devido à alteração nos níveis de ruído</w:t>
            </w:r>
            <w:r w:rsidR="00E660FD">
              <w:rPr>
                <w:sz w:val="16"/>
                <w:szCs w:val="16"/>
              </w:rPr>
              <w:t>. Implantação</w:t>
            </w:r>
          </w:p>
        </w:tc>
        <w:tc>
          <w:tcPr>
            <w:tcW w:w="335"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Negativo</w:t>
            </w:r>
          </w:p>
        </w:tc>
        <w:tc>
          <w:tcPr>
            <w:tcW w:w="266"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Direto</w:t>
            </w:r>
          </w:p>
        </w:tc>
        <w:tc>
          <w:tcPr>
            <w:tcW w:w="449"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Local</w:t>
            </w:r>
          </w:p>
        </w:tc>
        <w:tc>
          <w:tcPr>
            <w:tcW w:w="398"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Temporário</w:t>
            </w:r>
          </w:p>
        </w:tc>
        <w:tc>
          <w:tcPr>
            <w:tcW w:w="299" w:type="pct"/>
            <w:shd w:val="clear" w:color="auto" w:fill="auto"/>
            <w:vAlign w:val="center"/>
          </w:tcPr>
          <w:p w:rsidR="005432A8" w:rsidRPr="00FF5296" w:rsidRDefault="005432A8" w:rsidP="008A7364">
            <w:pPr>
              <w:autoSpaceDE w:val="0"/>
              <w:autoSpaceDN w:val="0"/>
              <w:adjustRightInd w:val="0"/>
              <w:spacing w:line="240" w:lineRule="auto"/>
              <w:jc w:val="center"/>
              <w:rPr>
                <w:sz w:val="16"/>
                <w:szCs w:val="16"/>
              </w:rPr>
            </w:pPr>
            <w:r w:rsidRPr="00FF5296">
              <w:rPr>
                <w:sz w:val="16"/>
                <w:szCs w:val="16"/>
              </w:rPr>
              <w:t>Provável</w:t>
            </w:r>
          </w:p>
        </w:tc>
        <w:tc>
          <w:tcPr>
            <w:tcW w:w="409"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Curto Prazo</w:t>
            </w:r>
          </w:p>
        </w:tc>
        <w:tc>
          <w:tcPr>
            <w:tcW w:w="390"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Reversível</w:t>
            </w:r>
          </w:p>
        </w:tc>
        <w:tc>
          <w:tcPr>
            <w:tcW w:w="383"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Média</w:t>
            </w:r>
          </w:p>
        </w:tc>
        <w:tc>
          <w:tcPr>
            <w:tcW w:w="343"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Baixa</w:t>
            </w:r>
          </w:p>
        </w:tc>
        <w:tc>
          <w:tcPr>
            <w:tcW w:w="397"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Mitigável</w:t>
            </w:r>
          </w:p>
        </w:tc>
      </w:tr>
      <w:tr w:rsidR="005432A8" w:rsidRPr="008A7364" w:rsidTr="00E660FD">
        <w:trPr>
          <w:trHeight w:hRule="exact" w:val="972"/>
        </w:trPr>
        <w:tc>
          <w:tcPr>
            <w:tcW w:w="188" w:type="pct"/>
            <w:shd w:val="clear" w:color="auto" w:fill="auto"/>
            <w:vAlign w:val="center"/>
          </w:tcPr>
          <w:p w:rsidR="005432A8" w:rsidRPr="008A7364" w:rsidRDefault="00E660FD" w:rsidP="00E660FD">
            <w:pPr>
              <w:spacing w:line="240" w:lineRule="auto"/>
              <w:jc w:val="left"/>
              <w:rPr>
                <w:rFonts w:cs="Arial"/>
                <w:sz w:val="16"/>
                <w:szCs w:val="16"/>
              </w:rPr>
            </w:pPr>
            <w:r>
              <w:rPr>
                <w:rFonts w:cs="Arial"/>
                <w:sz w:val="16"/>
                <w:szCs w:val="16"/>
              </w:rPr>
              <w:t>47b</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5432A8" w:rsidRPr="008A7364" w:rsidRDefault="005432A8" w:rsidP="007A3613">
            <w:pPr>
              <w:spacing w:before="120" w:after="120" w:line="240" w:lineRule="auto"/>
              <w:rPr>
                <w:sz w:val="16"/>
                <w:szCs w:val="16"/>
              </w:rPr>
            </w:pPr>
            <w:r w:rsidRPr="008A7364">
              <w:rPr>
                <w:sz w:val="16"/>
                <w:szCs w:val="16"/>
              </w:rPr>
              <w:t xml:space="preserve">Incômodos </w:t>
            </w:r>
            <w:r w:rsidR="00E660FD">
              <w:rPr>
                <w:sz w:val="16"/>
                <w:szCs w:val="16"/>
              </w:rPr>
              <w:t>à População</w:t>
            </w:r>
            <w:r w:rsidR="000729FB">
              <w:rPr>
                <w:sz w:val="16"/>
                <w:szCs w:val="16"/>
              </w:rPr>
              <w:t xml:space="preserve"> </w:t>
            </w:r>
            <w:r w:rsidRPr="008A7364">
              <w:rPr>
                <w:sz w:val="16"/>
                <w:szCs w:val="16"/>
              </w:rPr>
              <w:t>devido à disposição inadequada de resíduos sólidos</w:t>
            </w:r>
            <w:r w:rsidR="00E660FD">
              <w:rPr>
                <w:sz w:val="16"/>
                <w:szCs w:val="16"/>
              </w:rPr>
              <w:t>. Implantação</w:t>
            </w:r>
          </w:p>
        </w:tc>
        <w:tc>
          <w:tcPr>
            <w:tcW w:w="335"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Negativo</w:t>
            </w:r>
          </w:p>
        </w:tc>
        <w:tc>
          <w:tcPr>
            <w:tcW w:w="266"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Direto</w:t>
            </w:r>
          </w:p>
        </w:tc>
        <w:tc>
          <w:tcPr>
            <w:tcW w:w="449"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Local</w:t>
            </w:r>
          </w:p>
        </w:tc>
        <w:tc>
          <w:tcPr>
            <w:tcW w:w="398"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Temporário</w:t>
            </w:r>
          </w:p>
        </w:tc>
        <w:tc>
          <w:tcPr>
            <w:tcW w:w="299" w:type="pct"/>
            <w:shd w:val="clear" w:color="auto" w:fill="auto"/>
            <w:vAlign w:val="center"/>
          </w:tcPr>
          <w:p w:rsidR="005432A8" w:rsidRPr="00FF5296" w:rsidRDefault="005432A8" w:rsidP="008A7364">
            <w:pPr>
              <w:autoSpaceDE w:val="0"/>
              <w:autoSpaceDN w:val="0"/>
              <w:adjustRightInd w:val="0"/>
              <w:spacing w:line="240" w:lineRule="auto"/>
              <w:jc w:val="center"/>
              <w:rPr>
                <w:sz w:val="16"/>
                <w:szCs w:val="16"/>
              </w:rPr>
            </w:pPr>
            <w:r w:rsidRPr="00FF5296">
              <w:rPr>
                <w:sz w:val="16"/>
                <w:szCs w:val="16"/>
              </w:rPr>
              <w:t>Provável</w:t>
            </w:r>
          </w:p>
        </w:tc>
        <w:tc>
          <w:tcPr>
            <w:tcW w:w="409"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Curto Prazo</w:t>
            </w:r>
          </w:p>
        </w:tc>
        <w:tc>
          <w:tcPr>
            <w:tcW w:w="390"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Reversível</w:t>
            </w:r>
          </w:p>
        </w:tc>
        <w:tc>
          <w:tcPr>
            <w:tcW w:w="383"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Média</w:t>
            </w:r>
          </w:p>
        </w:tc>
        <w:tc>
          <w:tcPr>
            <w:tcW w:w="343"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Baixa</w:t>
            </w:r>
          </w:p>
        </w:tc>
        <w:tc>
          <w:tcPr>
            <w:tcW w:w="397"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Mitigável</w:t>
            </w:r>
          </w:p>
        </w:tc>
      </w:tr>
      <w:tr w:rsidR="005432A8" w:rsidRPr="008A7364" w:rsidTr="00E660FD">
        <w:trPr>
          <w:trHeight w:hRule="exact" w:val="716"/>
        </w:trPr>
        <w:tc>
          <w:tcPr>
            <w:tcW w:w="188" w:type="pct"/>
            <w:shd w:val="clear" w:color="auto" w:fill="auto"/>
            <w:vAlign w:val="center"/>
          </w:tcPr>
          <w:p w:rsidR="005432A8" w:rsidRPr="008A7364" w:rsidRDefault="00E660FD" w:rsidP="008A7364">
            <w:pPr>
              <w:spacing w:line="240" w:lineRule="auto"/>
              <w:jc w:val="left"/>
              <w:rPr>
                <w:rFonts w:cs="Arial"/>
                <w:sz w:val="16"/>
                <w:szCs w:val="16"/>
              </w:rPr>
            </w:pPr>
            <w:r>
              <w:rPr>
                <w:rFonts w:cs="Arial"/>
                <w:sz w:val="16"/>
                <w:szCs w:val="16"/>
              </w:rPr>
              <w:t>47c</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5432A8" w:rsidRPr="008A7364" w:rsidRDefault="005432A8" w:rsidP="007A3613">
            <w:pPr>
              <w:spacing w:before="120" w:after="120" w:line="240" w:lineRule="auto"/>
              <w:rPr>
                <w:sz w:val="16"/>
                <w:szCs w:val="16"/>
              </w:rPr>
            </w:pPr>
            <w:r w:rsidRPr="008A7364">
              <w:rPr>
                <w:sz w:val="16"/>
                <w:szCs w:val="16"/>
              </w:rPr>
              <w:t xml:space="preserve">Incômodos </w:t>
            </w:r>
            <w:r w:rsidR="00E660FD">
              <w:rPr>
                <w:sz w:val="16"/>
                <w:szCs w:val="16"/>
              </w:rPr>
              <w:t xml:space="preserve">à população </w:t>
            </w:r>
            <w:r w:rsidRPr="008A7364">
              <w:rPr>
                <w:sz w:val="16"/>
                <w:szCs w:val="16"/>
              </w:rPr>
              <w:t>devido à lançamento de efluentes líquidos nefastos</w:t>
            </w:r>
            <w:r w:rsidR="00E660FD">
              <w:rPr>
                <w:sz w:val="16"/>
                <w:szCs w:val="16"/>
              </w:rPr>
              <w:t>. Implantação</w:t>
            </w:r>
          </w:p>
        </w:tc>
        <w:tc>
          <w:tcPr>
            <w:tcW w:w="335"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Negativo</w:t>
            </w:r>
          </w:p>
        </w:tc>
        <w:tc>
          <w:tcPr>
            <w:tcW w:w="266"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Direto</w:t>
            </w:r>
          </w:p>
        </w:tc>
        <w:tc>
          <w:tcPr>
            <w:tcW w:w="449"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Local</w:t>
            </w:r>
          </w:p>
        </w:tc>
        <w:tc>
          <w:tcPr>
            <w:tcW w:w="398"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Temporário</w:t>
            </w:r>
          </w:p>
        </w:tc>
        <w:tc>
          <w:tcPr>
            <w:tcW w:w="299" w:type="pct"/>
            <w:shd w:val="clear" w:color="auto" w:fill="auto"/>
            <w:vAlign w:val="center"/>
          </w:tcPr>
          <w:p w:rsidR="005432A8" w:rsidRPr="00FF5296" w:rsidRDefault="005432A8" w:rsidP="008A7364">
            <w:pPr>
              <w:autoSpaceDE w:val="0"/>
              <w:autoSpaceDN w:val="0"/>
              <w:adjustRightInd w:val="0"/>
              <w:spacing w:line="240" w:lineRule="auto"/>
              <w:jc w:val="center"/>
              <w:rPr>
                <w:sz w:val="16"/>
                <w:szCs w:val="16"/>
              </w:rPr>
            </w:pPr>
            <w:r w:rsidRPr="00FF5296">
              <w:rPr>
                <w:sz w:val="16"/>
                <w:szCs w:val="16"/>
              </w:rPr>
              <w:t>Provável</w:t>
            </w:r>
          </w:p>
        </w:tc>
        <w:tc>
          <w:tcPr>
            <w:tcW w:w="409"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Curto Prazo</w:t>
            </w:r>
          </w:p>
        </w:tc>
        <w:tc>
          <w:tcPr>
            <w:tcW w:w="390"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Reversível</w:t>
            </w:r>
          </w:p>
        </w:tc>
        <w:tc>
          <w:tcPr>
            <w:tcW w:w="383"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Média</w:t>
            </w:r>
          </w:p>
        </w:tc>
        <w:tc>
          <w:tcPr>
            <w:tcW w:w="343"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Média</w:t>
            </w:r>
          </w:p>
        </w:tc>
        <w:tc>
          <w:tcPr>
            <w:tcW w:w="397" w:type="pct"/>
            <w:shd w:val="clear" w:color="auto" w:fill="auto"/>
            <w:vAlign w:val="center"/>
          </w:tcPr>
          <w:p w:rsidR="005432A8" w:rsidRPr="008A7364" w:rsidRDefault="005432A8" w:rsidP="008A7364">
            <w:pPr>
              <w:autoSpaceDE w:val="0"/>
              <w:autoSpaceDN w:val="0"/>
              <w:adjustRightInd w:val="0"/>
              <w:spacing w:line="240" w:lineRule="auto"/>
              <w:jc w:val="center"/>
              <w:rPr>
                <w:sz w:val="16"/>
                <w:szCs w:val="16"/>
              </w:rPr>
            </w:pPr>
            <w:r w:rsidRPr="008A7364">
              <w:rPr>
                <w:sz w:val="16"/>
                <w:szCs w:val="16"/>
              </w:rPr>
              <w:t>Mitigável</w:t>
            </w:r>
          </w:p>
        </w:tc>
      </w:tr>
      <w:tr w:rsidR="00087C57" w:rsidRPr="008A7364" w:rsidTr="00087C57">
        <w:trPr>
          <w:trHeight w:hRule="exact" w:val="416"/>
        </w:trPr>
        <w:tc>
          <w:tcPr>
            <w:tcW w:w="188" w:type="pct"/>
            <w:shd w:val="clear" w:color="auto" w:fill="auto"/>
            <w:vAlign w:val="center"/>
          </w:tcPr>
          <w:p w:rsidR="00087C57" w:rsidRDefault="00087C57" w:rsidP="008A7364">
            <w:pPr>
              <w:spacing w:line="240" w:lineRule="auto"/>
              <w:jc w:val="left"/>
              <w:rPr>
                <w:rFonts w:cs="Arial"/>
                <w:sz w:val="16"/>
                <w:szCs w:val="16"/>
              </w:rPr>
            </w:pPr>
            <w:r>
              <w:rPr>
                <w:rFonts w:cs="Arial"/>
                <w:sz w:val="16"/>
                <w:szCs w:val="16"/>
              </w:rPr>
              <w:t>48</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4563" w:type="pct"/>
            <w:gridSpan w:val="11"/>
            <w:shd w:val="clear" w:color="auto" w:fill="auto"/>
            <w:vAlign w:val="center"/>
          </w:tcPr>
          <w:p w:rsidR="00087C57" w:rsidRPr="008A7364" w:rsidRDefault="00087C57" w:rsidP="007A3613">
            <w:pPr>
              <w:spacing w:before="60" w:after="60" w:line="240" w:lineRule="auto"/>
              <w:rPr>
                <w:sz w:val="16"/>
                <w:szCs w:val="16"/>
              </w:rPr>
            </w:pPr>
            <w:r w:rsidRPr="00087C57">
              <w:rPr>
                <w:sz w:val="16"/>
                <w:szCs w:val="16"/>
              </w:rPr>
              <w:t>Interferências com a Infraestrutura</w:t>
            </w:r>
          </w:p>
        </w:tc>
      </w:tr>
      <w:tr w:rsidR="005432A8" w:rsidRPr="008A7364" w:rsidTr="00087C57">
        <w:trPr>
          <w:trHeight w:hRule="exact" w:val="704"/>
        </w:trPr>
        <w:tc>
          <w:tcPr>
            <w:tcW w:w="188" w:type="pct"/>
            <w:shd w:val="clear" w:color="auto" w:fill="auto"/>
            <w:vAlign w:val="center"/>
          </w:tcPr>
          <w:p w:rsidR="005432A8" w:rsidRPr="008A7364" w:rsidRDefault="00FF5296" w:rsidP="008A7364">
            <w:pPr>
              <w:spacing w:line="240" w:lineRule="auto"/>
              <w:jc w:val="left"/>
              <w:rPr>
                <w:rFonts w:cs="Arial"/>
                <w:sz w:val="16"/>
                <w:szCs w:val="16"/>
              </w:rPr>
            </w:pPr>
            <w:r>
              <w:rPr>
                <w:rFonts w:cs="Arial"/>
                <w:sz w:val="16"/>
                <w:szCs w:val="16"/>
              </w:rPr>
              <w:t>48a</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5432A8" w:rsidRPr="008A7364" w:rsidRDefault="005432A8" w:rsidP="007A3613">
            <w:pPr>
              <w:spacing w:before="120" w:after="120" w:line="240" w:lineRule="auto"/>
              <w:rPr>
                <w:sz w:val="16"/>
                <w:szCs w:val="16"/>
              </w:rPr>
            </w:pPr>
            <w:r w:rsidRPr="008A7364">
              <w:rPr>
                <w:sz w:val="16"/>
                <w:szCs w:val="16"/>
              </w:rPr>
              <w:t xml:space="preserve">Interferências com a Infraestrutura </w:t>
            </w:r>
            <w:r w:rsidR="00E660FD">
              <w:rPr>
                <w:sz w:val="16"/>
                <w:szCs w:val="16"/>
              </w:rPr>
              <w:t>Viária. Implantação</w:t>
            </w:r>
          </w:p>
        </w:tc>
        <w:tc>
          <w:tcPr>
            <w:tcW w:w="335" w:type="pct"/>
            <w:shd w:val="clear" w:color="auto" w:fill="auto"/>
            <w:vAlign w:val="center"/>
          </w:tcPr>
          <w:p w:rsidR="005432A8" w:rsidRPr="008A7364" w:rsidRDefault="005432A8" w:rsidP="008A7364">
            <w:pPr>
              <w:spacing w:before="60" w:after="60" w:line="240" w:lineRule="auto"/>
              <w:jc w:val="center"/>
              <w:rPr>
                <w:sz w:val="16"/>
                <w:szCs w:val="16"/>
              </w:rPr>
            </w:pPr>
            <w:r w:rsidRPr="008A7364">
              <w:rPr>
                <w:sz w:val="16"/>
                <w:szCs w:val="16"/>
              </w:rPr>
              <w:t>Negativa</w:t>
            </w:r>
          </w:p>
        </w:tc>
        <w:tc>
          <w:tcPr>
            <w:tcW w:w="266" w:type="pct"/>
            <w:shd w:val="clear" w:color="auto" w:fill="auto"/>
            <w:vAlign w:val="center"/>
          </w:tcPr>
          <w:p w:rsidR="005432A8" w:rsidRPr="008A7364" w:rsidRDefault="005432A8" w:rsidP="008A7364">
            <w:pPr>
              <w:spacing w:before="60" w:after="60" w:line="240" w:lineRule="auto"/>
              <w:jc w:val="center"/>
              <w:rPr>
                <w:sz w:val="16"/>
                <w:szCs w:val="16"/>
              </w:rPr>
            </w:pPr>
            <w:r w:rsidRPr="008A7364">
              <w:rPr>
                <w:sz w:val="16"/>
                <w:szCs w:val="16"/>
              </w:rPr>
              <w:t>Direta</w:t>
            </w:r>
          </w:p>
        </w:tc>
        <w:tc>
          <w:tcPr>
            <w:tcW w:w="449" w:type="pct"/>
            <w:shd w:val="clear" w:color="auto" w:fill="auto"/>
            <w:vAlign w:val="center"/>
          </w:tcPr>
          <w:p w:rsidR="005432A8" w:rsidRPr="008A7364" w:rsidRDefault="005432A8" w:rsidP="008A7364">
            <w:pPr>
              <w:spacing w:before="60" w:after="60" w:line="240" w:lineRule="auto"/>
              <w:jc w:val="center"/>
              <w:rPr>
                <w:sz w:val="16"/>
                <w:szCs w:val="16"/>
              </w:rPr>
            </w:pPr>
            <w:r w:rsidRPr="008A7364">
              <w:rPr>
                <w:sz w:val="16"/>
                <w:szCs w:val="16"/>
              </w:rPr>
              <w:t>ADA</w:t>
            </w:r>
          </w:p>
        </w:tc>
        <w:tc>
          <w:tcPr>
            <w:tcW w:w="398" w:type="pct"/>
            <w:shd w:val="clear" w:color="auto" w:fill="auto"/>
            <w:vAlign w:val="center"/>
          </w:tcPr>
          <w:p w:rsidR="005432A8" w:rsidRPr="008A7364" w:rsidRDefault="005432A8" w:rsidP="008A7364">
            <w:pPr>
              <w:spacing w:before="60" w:after="60" w:line="240" w:lineRule="auto"/>
              <w:jc w:val="center"/>
              <w:rPr>
                <w:sz w:val="16"/>
                <w:szCs w:val="16"/>
              </w:rPr>
            </w:pPr>
            <w:r w:rsidRPr="008A7364">
              <w:rPr>
                <w:sz w:val="16"/>
                <w:szCs w:val="16"/>
              </w:rPr>
              <w:t>Temporária/ Permanente</w:t>
            </w:r>
          </w:p>
        </w:tc>
        <w:tc>
          <w:tcPr>
            <w:tcW w:w="299" w:type="pct"/>
            <w:shd w:val="clear" w:color="auto" w:fill="auto"/>
            <w:vAlign w:val="center"/>
          </w:tcPr>
          <w:p w:rsidR="005432A8" w:rsidRPr="00FF5296" w:rsidRDefault="005432A8" w:rsidP="008A7364">
            <w:pPr>
              <w:spacing w:before="60" w:after="60" w:line="240" w:lineRule="auto"/>
              <w:jc w:val="center"/>
              <w:rPr>
                <w:sz w:val="16"/>
                <w:szCs w:val="16"/>
              </w:rPr>
            </w:pPr>
            <w:r w:rsidRPr="00FF5296">
              <w:rPr>
                <w:sz w:val="16"/>
                <w:szCs w:val="16"/>
              </w:rPr>
              <w:t>Certa</w:t>
            </w:r>
          </w:p>
        </w:tc>
        <w:tc>
          <w:tcPr>
            <w:tcW w:w="409" w:type="pct"/>
            <w:shd w:val="clear" w:color="auto" w:fill="auto"/>
            <w:vAlign w:val="center"/>
          </w:tcPr>
          <w:p w:rsidR="005432A8" w:rsidRPr="008A7364" w:rsidRDefault="005432A8" w:rsidP="008A7364">
            <w:pPr>
              <w:spacing w:before="60" w:after="60" w:line="240" w:lineRule="auto"/>
              <w:jc w:val="center"/>
              <w:rPr>
                <w:sz w:val="16"/>
                <w:szCs w:val="16"/>
              </w:rPr>
            </w:pPr>
            <w:r w:rsidRPr="008A7364">
              <w:rPr>
                <w:sz w:val="16"/>
                <w:szCs w:val="16"/>
              </w:rPr>
              <w:t>Curto Prazo</w:t>
            </w:r>
          </w:p>
        </w:tc>
        <w:tc>
          <w:tcPr>
            <w:tcW w:w="390" w:type="pct"/>
            <w:shd w:val="clear" w:color="auto" w:fill="auto"/>
            <w:vAlign w:val="center"/>
          </w:tcPr>
          <w:p w:rsidR="005432A8" w:rsidRPr="008A7364" w:rsidRDefault="005432A8" w:rsidP="008A7364">
            <w:pPr>
              <w:spacing w:before="60" w:after="60" w:line="240" w:lineRule="auto"/>
              <w:jc w:val="center"/>
              <w:rPr>
                <w:sz w:val="16"/>
                <w:szCs w:val="16"/>
              </w:rPr>
            </w:pPr>
            <w:r w:rsidRPr="008A7364">
              <w:rPr>
                <w:sz w:val="16"/>
                <w:szCs w:val="16"/>
              </w:rPr>
              <w:t>Reversível</w:t>
            </w:r>
          </w:p>
        </w:tc>
        <w:tc>
          <w:tcPr>
            <w:tcW w:w="383" w:type="pct"/>
            <w:shd w:val="clear" w:color="auto" w:fill="auto"/>
            <w:vAlign w:val="center"/>
          </w:tcPr>
          <w:p w:rsidR="005432A8" w:rsidRPr="008A7364" w:rsidRDefault="005432A8" w:rsidP="008A7364">
            <w:pPr>
              <w:spacing w:before="60" w:after="60" w:line="240" w:lineRule="auto"/>
              <w:jc w:val="center"/>
              <w:rPr>
                <w:sz w:val="16"/>
                <w:szCs w:val="16"/>
              </w:rPr>
            </w:pPr>
            <w:r w:rsidRPr="008A7364">
              <w:rPr>
                <w:sz w:val="16"/>
                <w:szCs w:val="16"/>
              </w:rPr>
              <w:t>Média</w:t>
            </w:r>
          </w:p>
        </w:tc>
        <w:tc>
          <w:tcPr>
            <w:tcW w:w="343" w:type="pct"/>
            <w:shd w:val="clear" w:color="auto" w:fill="auto"/>
            <w:vAlign w:val="center"/>
          </w:tcPr>
          <w:p w:rsidR="005432A8" w:rsidRPr="008A7364" w:rsidRDefault="005432A8" w:rsidP="008A7364">
            <w:pPr>
              <w:spacing w:before="60" w:after="60" w:line="240" w:lineRule="auto"/>
              <w:jc w:val="center"/>
              <w:rPr>
                <w:sz w:val="16"/>
                <w:szCs w:val="16"/>
              </w:rPr>
            </w:pPr>
            <w:r w:rsidRPr="008A7364">
              <w:rPr>
                <w:sz w:val="16"/>
                <w:szCs w:val="16"/>
              </w:rPr>
              <w:t>Alta</w:t>
            </w:r>
          </w:p>
        </w:tc>
        <w:tc>
          <w:tcPr>
            <w:tcW w:w="397" w:type="pct"/>
            <w:shd w:val="clear" w:color="auto" w:fill="auto"/>
            <w:vAlign w:val="center"/>
          </w:tcPr>
          <w:p w:rsidR="005432A8" w:rsidRPr="008A7364" w:rsidRDefault="005432A8" w:rsidP="008A7364">
            <w:pPr>
              <w:spacing w:before="60" w:after="60" w:line="240" w:lineRule="auto"/>
              <w:jc w:val="center"/>
              <w:rPr>
                <w:sz w:val="16"/>
                <w:szCs w:val="16"/>
              </w:rPr>
            </w:pPr>
            <w:r w:rsidRPr="008A7364">
              <w:rPr>
                <w:sz w:val="16"/>
                <w:szCs w:val="16"/>
              </w:rPr>
              <w:t>Mitigável</w:t>
            </w:r>
          </w:p>
        </w:tc>
      </w:tr>
      <w:tr w:rsidR="005432A8" w:rsidRPr="008A7364" w:rsidTr="00FF5296">
        <w:trPr>
          <w:trHeight w:hRule="exact" w:val="1250"/>
        </w:trPr>
        <w:tc>
          <w:tcPr>
            <w:tcW w:w="188" w:type="pct"/>
            <w:shd w:val="clear" w:color="auto" w:fill="auto"/>
            <w:vAlign w:val="center"/>
          </w:tcPr>
          <w:p w:rsidR="005432A8" w:rsidRPr="00993F00" w:rsidRDefault="00FF5296" w:rsidP="008A7364">
            <w:pPr>
              <w:spacing w:line="240" w:lineRule="auto"/>
              <w:jc w:val="left"/>
              <w:rPr>
                <w:rFonts w:cs="Arial"/>
                <w:sz w:val="16"/>
                <w:szCs w:val="16"/>
              </w:rPr>
            </w:pPr>
            <w:r w:rsidRPr="00993F00">
              <w:rPr>
                <w:rFonts w:cs="Arial"/>
                <w:sz w:val="16"/>
                <w:szCs w:val="16"/>
              </w:rPr>
              <w:t>48b</w:t>
            </w:r>
          </w:p>
        </w:tc>
        <w:tc>
          <w:tcPr>
            <w:tcW w:w="249" w:type="pct"/>
            <w:vMerge/>
            <w:shd w:val="clear" w:color="auto" w:fill="auto"/>
            <w:vAlign w:val="center"/>
          </w:tcPr>
          <w:p w:rsidR="005432A8" w:rsidRPr="008A7364" w:rsidRDefault="005432A8" w:rsidP="008A7364">
            <w:pPr>
              <w:spacing w:line="240" w:lineRule="auto"/>
              <w:jc w:val="left"/>
              <w:rPr>
                <w:rFonts w:cs="Arial"/>
                <w:sz w:val="16"/>
                <w:szCs w:val="16"/>
              </w:rPr>
            </w:pPr>
          </w:p>
        </w:tc>
        <w:tc>
          <w:tcPr>
            <w:tcW w:w="894" w:type="pct"/>
            <w:shd w:val="clear" w:color="auto" w:fill="auto"/>
            <w:vAlign w:val="center"/>
          </w:tcPr>
          <w:p w:rsidR="005432A8" w:rsidRPr="008A7364" w:rsidRDefault="005432A8" w:rsidP="007A3613">
            <w:pPr>
              <w:spacing w:before="120" w:after="120" w:line="240" w:lineRule="auto"/>
              <w:rPr>
                <w:sz w:val="16"/>
                <w:szCs w:val="16"/>
              </w:rPr>
            </w:pPr>
            <w:r w:rsidRPr="008A7364">
              <w:rPr>
                <w:sz w:val="16"/>
                <w:szCs w:val="16"/>
              </w:rPr>
              <w:t xml:space="preserve">Interferências com </w:t>
            </w:r>
            <w:r w:rsidR="00FF5296">
              <w:rPr>
                <w:sz w:val="16"/>
                <w:szCs w:val="16"/>
              </w:rPr>
              <w:t xml:space="preserve">a Infraestrutura - </w:t>
            </w:r>
            <w:r w:rsidRPr="008A7364">
              <w:rPr>
                <w:sz w:val="16"/>
                <w:szCs w:val="16"/>
              </w:rPr>
              <w:t>Linhas de Transmissão e Rede de Distribuição de Energia Elétrica</w:t>
            </w:r>
            <w:r w:rsidR="00FF5296">
              <w:rPr>
                <w:sz w:val="16"/>
                <w:szCs w:val="16"/>
              </w:rPr>
              <w:t xml:space="preserve">. Implantação. </w:t>
            </w:r>
          </w:p>
        </w:tc>
        <w:tc>
          <w:tcPr>
            <w:tcW w:w="335" w:type="pct"/>
            <w:shd w:val="clear" w:color="auto" w:fill="auto"/>
            <w:vAlign w:val="center"/>
          </w:tcPr>
          <w:p w:rsidR="005432A8" w:rsidRPr="008A7364" w:rsidRDefault="005432A8" w:rsidP="008A7364">
            <w:pPr>
              <w:spacing w:before="120" w:after="120" w:line="240" w:lineRule="auto"/>
              <w:jc w:val="center"/>
              <w:rPr>
                <w:sz w:val="16"/>
                <w:szCs w:val="16"/>
              </w:rPr>
            </w:pPr>
            <w:r w:rsidRPr="008A7364">
              <w:rPr>
                <w:sz w:val="16"/>
                <w:szCs w:val="16"/>
              </w:rPr>
              <w:t>Negativa</w:t>
            </w:r>
          </w:p>
        </w:tc>
        <w:tc>
          <w:tcPr>
            <w:tcW w:w="266" w:type="pct"/>
            <w:shd w:val="clear" w:color="auto" w:fill="auto"/>
            <w:vAlign w:val="center"/>
          </w:tcPr>
          <w:p w:rsidR="005432A8" w:rsidRPr="008A7364" w:rsidRDefault="005432A8" w:rsidP="008A7364">
            <w:pPr>
              <w:spacing w:before="120" w:after="120" w:line="240" w:lineRule="auto"/>
              <w:jc w:val="center"/>
              <w:rPr>
                <w:sz w:val="16"/>
                <w:szCs w:val="16"/>
              </w:rPr>
            </w:pPr>
            <w:r w:rsidRPr="008A7364">
              <w:rPr>
                <w:sz w:val="16"/>
                <w:szCs w:val="16"/>
              </w:rPr>
              <w:t>Direta</w:t>
            </w:r>
          </w:p>
        </w:tc>
        <w:tc>
          <w:tcPr>
            <w:tcW w:w="449" w:type="pct"/>
            <w:shd w:val="clear" w:color="auto" w:fill="auto"/>
            <w:vAlign w:val="center"/>
          </w:tcPr>
          <w:p w:rsidR="005432A8" w:rsidRPr="008A7364" w:rsidRDefault="005432A8" w:rsidP="008A7364">
            <w:pPr>
              <w:spacing w:before="120" w:after="120" w:line="240" w:lineRule="auto"/>
              <w:jc w:val="center"/>
              <w:rPr>
                <w:sz w:val="16"/>
                <w:szCs w:val="16"/>
              </w:rPr>
            </w:pPr>
            <w:r w:rsidRPr="008A7364">
              <w:rPr>
                <w:sz w:val="16"/>
                <w:szCs w:val="16"/>
              </w:rPr>
              <w:t>ADA</w:t>
            </w:r>
          </w:p>
        </w:tc>
        <w:tc>
          <w:tcPr>
            <w:tcW w:w="398" w:type="pct"/>
            <w:shd w:val="clear" w:color="auto" w:fill="auto"/>
            <w:vAlign w:val="center"/>
          </w:tcPr>
          <w:p w:rsidR="005432A8" w:rsidRPr="008A7364" w:rsidRDefault="005432A8" w:rsidP="008A7364">
            <w:pPr>
              <w:spacing w:before="120" w:after="120" w:line="240" w:lineRule="auto"/>
              <w:jc w:val="center"/>
              <w:rPr>
                <w:sz w:val="16"/>
                <w:szCs w:val="16"/>
              </w:rPr>
            </w:pPr>
            <w:r w:rsidRPr="008A7364">
              <w:rPr>
                <w:sz w:val="16"/>
                <w:szCs w:val="16"/>
              </w:rPr>
              <w:t>Temporário</w:t>
            </w:r>
          </w:p>
        </w:tc>
        <w:tc>
          <w:tcPr>
            <w:tcW w:w="299" w:type="pct"/>
            <w:shd w:val="clear" w:color="auto" w:fill="auto"/>
            <w:vAlign w:val="center"/>
          </w:tcPr>
          <w:p w:rsidR="005432A8" w:rsidRPr="00FF5296" w:rsidRDefault="005432A8" w:rsidP="008A7364">
            <w:pPr>
              <w:spacing w:before="120" w:after="120" w:line="240" w:lineRule="auto"/>
              <w:jc w:val="center"/>
              <w:rPr>
                <w:sz w:val="16"/>
                <w:szCs w:val="16"/>
              </w:rPr>
            </w:pPr>
            <w:r w:rsidRPr="00FF5296">
              <w:rPr>
                <w:sz w:val="16"/>
                <w:szCs w:val="16"/>
              </w:rPr>
              <w:t>Certa</w:t>
            </w:r>
          </w:p>
        </w:tc>
        <w:tc>
          <w:tcPr>
            <w:tcW w:w="409" w:type="pct"/>
            <w:shd w:val="clear" w:color="auto" w:fill="auto"/>
            <w:vAlign w:val="center"/>
          </w:tcPr>
          <w:p w:rsidR="005432A8" w:rsidRPr="008A7364" w:rsidRDefault="005432A8" w:rsidP="008A7364">
            <w:pPr>
              <w:spacing w:before="120" w:after="120" w:line="240" w:lineRule="auto"/>
              <w:jc w:val="center"/>
              <w:rPr>
                <w:sz w:val="16"/>
                <w:szCs w:val="16"/>
              </w:rPr>
            </w:pPr>
            <w:r w:rsidRPr="008A7364">
              <w:rPr>
                <w:sz w:val="16"/>
                <w:szCs w:val="16"/>
              </w:rPr>
              <w:t>Curto Prazo</w:t>
            </w:r>
          </w:p>
        </w:tc>
        <w:tc>
          <w:tcPr>
            <w:tcW w:w="390" w:type="pct"/>
            <w:shd w:val="clear" w:color="auto" w:fill="auto"/>
            <w:vAlign w:val="center"/>
          </w:tcPr>
          <w:p w:rsidR="005432A8" w:rsidRPr="008A7364" w:rsidRDefault="005432A8" w:rsidP="008A7364">
            <w:pPr>
              <w:spacing w:before="120" w:after="120" w:line="240" w:lineRule="auto"/>
              <w:jc w:val="center"/>
              <w:rPr>
                <w:sz w:val="16"/>
                <w:szCs w:val="16"/>
              </w:rPr>
            </w:pPr>
            <w:r w:rsidRPr="008A7364">
              <w:rPr>
                <w:sz w:val="16"/>
                <w:szCs w:val="16"/>
              </w:rPr>
              <w:t>Reversível</w:t>
            </w:r>
          </w:p>
        </w:tc>
        <w:tc>
          <w:tcPr>
            <w:tcW w:w="383" w:type="pct"/>
            <w:shd w:val="clear" w:color="auto" w:fill="auto"/>
            <w:vAlign w:val="center"/>
          </w:tcPr>
          <w:p w:rsidR="005432A8" w:rsidRPr="008A7364" w:rsidRDefault="005432A8" w:rsidP="008A7364">
            <w:pPr>
              <w:spacing w:before="120" w:after="120" w:line="240" w:lineRule="auto"/>
              <w:jc w:val="center"/>
              <w:rPr>
                <w:sz w:val="16"/>
                <w:szCs w:val="16"/>
              </w:rPr>
            </w:pPr>
            <w:r w:rsidRPr="008A7364">
              <w:rPr>
                <w:sz w:val="16"/>
                <w:szCs w:val="16"/>
              </w:rPr>
              <w:t>Pequena</w:t>
            </w:r>
          </w:p>
        </w:tc>
        <w:tc>
          <w:tcPr>
            <w:tcW w:w="343" w:type="pct"/>
            <w:shd w:val="clear" w:color="auto" w:fill="auto"/>
            <w:vAlign w:val="center"/>
          </w:tcPr>
          <w:p w:rsidR="005432A8" w:rsidRPr="008A7364" w:rsidRDefault="005432A8" w:rsidP="008A7364">
            <w:pPr>
              <w:spacing w:before="120" w:after="120" w:line="240" w:lineRule="auto"/>
              <w:jc w:val="center"/>
              <w:rPr>
                <w:sz w:val="16"/>
                <w:szCs w:val="16"/>
              </w:rPr>
            </w:pPr>
            <w:r w:rsidRPr="008A7364">
              <w:rPr>
                <w:sz w:val="16"/>
                <w:szCs w:val="16"/>
              </w:rPr>
              <w:t>Baixa</w:t>
            </w:r>
          </w:p>
        </w:tc>
        <w:tc>
          <w:tcPr>
            <w:tcW w:w="397" w:type="pct"/>
            <w:shd w:val="clear" w:color="auto" w:fill="auto"/>
            <w:vAlign w:val="center"/>
          </w:tcPr>
          <w:p w:rsidR="005432A8" w:rsidRPr="008A7364" w:rsidRDefault="005432A8" w:rsidP="008A7364">
            <w:pPr>
              <w:spacing w:before="120" w:after="120" w:line="240" w:lineRule="auto"/>
              <w:jc w:val="center"/>
              <w:rPr>
                <w:sz w:val="16"/>
                <w:szCs w:val="16"/>
              </w:rPr>
            </w:pPr>
            <w:r w:rsidRPr="008A7364">
              <w:rPr>
                <w:sz w:val="16"/>
                <w:szCs w:val="16"/>
              </w:rPr>
              <w:t>Mitigável</w:t>
            </w:r>
          </w:p>
        </w:tc>
      </w:tr>
    </w:tbl>
    <w:p w:rsidR="00B42047" w:rsidRDefault="00B42047">
      <w:r>
        <w:br w:type="page"/>
      </w:r>
    </w:p>
    <w:p w:rsidR="002E29E3" w:rsidRDefault="002E29E3" w:rsidP="002E29E3">
      <w:r>
        <w:t>(continuação)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722"/>
        <w:gridCol w:w="2593"/>
        <w:gridCol w:w="972"/>
        <w:gridCol w:w="772"/>
        <w:gridCol w:w="1302"/>
        <w:gridCol w:w="1155"/>
        <w:gridCol w:w="867"/>
        <w:gridCol w:w="1186"/>
        <w:gridCol w:w="1131"/>
        <w:gridCol w:w="1111"/>
        <w:gridCol w:w="995"/>
        <w:gridCol w:w="1152"/>
      </w:tblGrid>
      <w:tr w:rsidR="00FF5296" w:rsidRPr="008A7364" w:rsidTr="00C55FEC">
        <w:trPr>
          <w:trHeight w:val="336"/>
          <w:tblHeader/>
        </w:trPr>
        <w:tc>
          <w:tcPr>
            <w:tcW w:w="188" w:type="pct"/>
            <w:vMerge w:val="restart"/>
            <w:shd w:val="clear" w:color="auto" w:fill="D9D9D9"/>
            <w:vAlign w:val="center"/>
          </w:tcPr>
          <w:p w:rsidR="00FF5296" w:rsidRPr="008A7364" w:rsidRDefault="00FF5296" w:rsidP="00C55FEC">
            <w:pPr>
              <w:spacing w:before="120" w:after="120" w:line="240" w:lineRule="auto"/>
              <w:jc w:val="center"/>
              <w:rPr>
                <w:rFonts w:cs="Arial"/>
                <w:b/>
                <w:sz w:val="18"/>
                <w:szCs w:val="18"/>
              </w:rPr>
            </w:pPr>
            <w:r w:rsidRPr="008A7364">
              <w:rPr>
                <w:rFonts w:cs="Arial"/>
                <w:b/>
                <w:sz w:val="18"/>
                <w:szCs w:val="18"/>
              </w:rPr>
              <w:t>N°</w:t>
            </w:r>
          </w:p>
        </w:tc>
        <w:tc>
          <w:tcPr>
            <w:tcW w:w="249" w:type="pct"/>
            <w:vMerge w:val="restart"/>
            <w:shd w:val="clear" w:color="auto" w:fill="D9D9D9"/>
            <w:vAlign w:val="center"/>
          </w:tcPr>
          <w:p w:rsidR="00FF5296" w:rsidRPr="008A7364" w:rsidRDefault="00FF5296" w:rsidP="00C55FEC">
            <w:pPr>
              <w:spacing w:before="120" w:after="120" w:line="240" w:lineRule="auto"/>
              <w:rPr>
                <w:rFonts w:cs="Arial"/>
                <w:b/>
                <w:sz w:val="18"/>
                <w:szCs w:val="18"/>
              </w:rPr>
            </w:pPr>
            <w:r>
              <w:rPr>
                <w:rFonts w:cs="Arial"/>
                <w:b/>
                <w:sz w:val="18"/>
                <w:szCs w:val="18"/>
              </w:rPr>
              <w:t>MEIO</w:t>
            </w:r>
          </w:p>
        </w:tc>
        <w:tc>
          <w:tcPr>
            <w:tcW w:w="894" w:type="pct"/>
            <w:vMerge w:val="restart"/>
            <w:shd w:val="clear" w:color="auto" w:fill="D9D9D9"/>
            <w:vAlign w:val="center"/>
          </w:tcPr>
          <w:p w:rsidR="00FF5296" w:rsidRPr="008A7364" w:rsidRDefault="00FF5296" w:rsidP="00C55FEC">
            <w:pPr>
              <w:spacing w:before="120" w:after="120" w:line="240" w:lineRule="auto"/>
              <w:jc w:val="center"/>
              <w:rPr>
                <w:rFonts w:cs="Arial"/>
                <w:b/>
                <w:sz w:val="18"/>
                <w:szCs w:val="18"/>
              </w:rPr>
            </w:pPr>
            <w:r w:rsidRPr="008A7364">
              <w:rPr>
                <w:rFonts w:cs="Arial"/>
                <w:b/>
                <w:sz w:val="18"/>
                <w:szCs w:val="18"/>
              </w:rPr>
              <w:t>IMPACTO</w:t>
            </w:r>
          </w:p>
        </w:tc>
        <w:tc>
          <w:tcPr>
            <w:tcW w:w="3669" w:type="pct"/>
            <w:gridSpan w:val="10"/>
            <w:shd w:val="clear" w:color="auto" w:fill="D9D9D9"/>
          </w:tcPr>
          <w:p w:rsidR="00FF5296" w:rsidRPr="008A7364" w:rsidRDefault="00FF5296" w:rsidP="00C55FEC">
            <w:pPr>
              <w:spacing w:before="60" w:after="40" w:line="240" w:lineRule="auto"/>
              <w:jc w:val="center"/>
              <w:rPr>
                <w:rFonts w:cs="Arial"/>
                <w:b/>
                <w:sz w:val="18"/>
                <w:szCs w:val="18"/>
              </w:rPr>
            </w:pPr>
            <w:r w:rsidRPr="008A7364">
              <w:rPr>
                <w:rFonts w:cs="Arial"/>
                <w:b/>
                <w:sz w:val="18"/>
                <w:szCs w:val="18"/>
              </w:rPr>
              <w:t>CARACTERIZAÇÃO</w:t>
            </w:r>
          </w:p>
        </w:tc>
      </w:tr>
      <w:tr w:rsidR="00FF5296" w:rsidRPr="008A7364" w:rsidTr="00C55FEC">
        <w:trPr>
          <w:trHeight w:hRule="exact" w:val="340"/>
          <w:tblHeader/>
        </w:trPr>
        <w:tc>
          <w:tcPr>
            <w:tcW w:w="188" w:type="pct"/>
            <w:vMerge/>
            <w:shd w:val="clear" w:color="auto" w:fill="D9D9D9"/>
          </w:tcPr>
          <w:p w:rsidR="00FF5296" w:rsidRPr="008A7364" w:rsidRDefault="00FF5296" w:rsidP="00C55FEC">
            <w:pPr>
              <w:spacing w:before="120" w:after="120" w:line="240" w:lineRule="auto"/>
              <w:jc w:val="center"/>
              <w:rPr>
                <w:rFonts w:cs="Arial"/>
                <w:b/>
                <w:sz w:val="18"/>
                <w:szCs w:val="18"/>
              </w:rPr>
            </w:pPr>
          </w:p>
        </w:tc>
        <w:tc>
          <w:tcPr>
            <w:tcW w:w="249" w:type="pct"/>
            <w:vMerge/>
            <w:shd w:val="clear" w:color="auto" w:fill="D9D9D9"/>
          </w:tcPr>
          <w:p w:rsidR="00FF5296" w:rsidRPr="008A7364" w:rsidRDefault="00FF5296" w:rsidP="00C55FEC">
            <w:pPr>
              <w:spacing w:before="120" w:after="120" w:line="240" w:lineRule="auto"/>
              <w:jc w:val="center"/>
              <w:rPr>
                <w:rFonts w:cs="Arial"/>
                <w:b/>
                <w:sz w:val="18"/>
                <w:szCs w:val="18"/>
              </w:rPr>
            </w:pPr>
          </w:p>
        </w:tc>
        <w:tc>
          <w:tcPr>
            <w:tcW w:w="894" w:type="pct"/>
            <w:vMerge/>
            <w:shd w:val="clear" w:color="auto" w:fill="D9D9D9"/>
          </w:tcPr>
          <w:p w:rsidR="00FF5296" w:rsidRPr="008A7364" w:rsidRDefault="00FF5296" w:rsidP="00C55FEC">
            <w:pPr>
              <w:spacing w:before="120" w:after="120" w:line="240" w:lineRule="auto"/>
              <w:jc w:val="center"/>
              <w:rPr>
                <w:rFonts w:cs="Arial"/>
                <w:b/>
                <w:sz w:val="18"/>
                <w:szCs w:val="18"/>
              </w:rPr>
            </w:pPr>
          </w:p>
        </w:tc>
        <w:tc>
          <w:tcPr>
            <w:tcW w:w="2546" w:type="pct"/>
            <w:gridSpan w:val="7"/>
            <w:shd w:val="clear" w:color="auto" w:fill="D9D9D9"/>
            <w:vAlign w:val="center"/>
          </w:tcPr>
          <w:p w:rsidR="00FF5296" w:rsidRPr="008A7364" w:rsidRDefault="00FF5296" w:rsidP="00C55FEC">
            <w:pPr>
              <w:spacing w:before="120" w:after="120" w:line="240" w:lineRule="auto"/>
              <w:jc w:val="center"/>
              <w:rPr>
                <w:rFonts w:cs="Arial"/>
                <w:b/>
                <w:sz w:val="16"/>
                <w:szCs w:val="16"/>
              </w:rPr>
            </w:pPr>
            <w:r w:rsidRPr="008A7364">
              <w:rPr>
                <w:rFonts w:cs="Arial"/>
                <w:b/>
                <w:sz w:val="16"/>
                <w:szCs w:val="16"/>
              </w:rPr>
              <w:t>Classificação</w:t>
            </w:r>
          </w:p>
        </w:tc>
        <w:tc>
          <w:tcPr>
            <w:tcW w:w="726" w:type="pct"/>
            <w:gridSpan w:val="2"/>
            <w:shd w:val="clear" w:color="auto" w:fill="D9D9D9"/>
            <w:vAlign w:val="center"/>
          </w:tcPr>
          <w:p w:rsidR="00FF5296" w:rsidRPr="008A7364" w:rsidRDefault="00FF5296" w:rsidP="00C55FEC">
            <w:pPr>
              <w:spacing w:before="120" w:after="120" w:line="240" w:lineRule="auto"/>
              <w:jc w:val="center"/>
              <w:rPr>
                <w:rFonts w:cs="Arial"/>
                <w:b/>
                <w:sz w:val="16"/>
                <w:szCs w:val="16"/>
              </w:rPr>
            </w:pPr>
            <w:r w:rsidRPr="008A7364">
              <w:rPr>
                <w:rFonts w:cs="Arial"/>
                <w:b/>
                <w:sz w:val="16"/>
                <w:szCs w:val="16"/>
              </w:rPr>
              <w:t>Mensuração</w:t>
            </w:r>
          </w:p>
        </w:tc>
        <w:tc>
          <w:tcPr>
            <w:tcW w:w="397" w:type="pct"/>
            <w:vMerge w:val="restart"/>
            <w:shd w:val="clear" w:color="auto" w:fill="D9D9D9"/>
            <w:vAlign w:val="center"/>
          </w:tcPr>
          <w:p w:rsidR="00FF5296" w:rsidRPr="008A7364" w:rsidRDefault="00FF5296" w:rsidP="00C55FEC">
            <w:pPr>
              <w:spacing w:before="120" w:after="120" w:line="240" w:lineRule="auto"/>
              <w:jc w:val="center"/>
              <w:rPr>
                <w:rFonts w:cs="Arial"/>
                <w:b/>
                <w:sz w:val="16"/>
                <w:szCs w:val="16"/>
              </w:rPr>
            </w:pPr>
            <w:r w:rsidRPr="008A7364">
              <w:rPr>
                <w:rFonts w:cs="Arial"/>
                <w:b/>
                <w:sz w:val="16"/>
                <w:szCs w:val="16"/>
              </w:rPr>
              <w:t>Mitigação</w:t>
            </w:r>
          </w:p>
        </w:tc>
      </w:tr>
      <w:tr w:rsidR="00FF5296" w:rsidRPr="008A7364" w:rsidTr="00C55FEC">
        <w:trPr>
          <w:trHeight w:val="447"/>
          <w:tblHeader/>
        </w:trPr>
        <w:tc>
          <w:tcPr>
            <w:tcW w:w="188" w:type="pct"/>
            <w:vMerge/>
            <w:shd w:val="clear" w:color="auto" w:fill="auto"/>
          </w:tcPr>
          <w:p w:rsidR="00FF5296" w:rsidRPr="008A7364" w:rsidRDefault="00FF5296" w:rsidP="00C55FEC">
            <w:pPr>
              <w:spacing w:before="120" w:after="120" w:line="240" w:lineRule="auto"/>
              <w:jc w:val="center"/>
              <w:rPr>
                <w:rFonts w:cs="Arial"/>
                <w:b/>
              </w:rPr>
            </w:pPr>
          </w:p>
        </w:tc>
        <w:tc>
          <w:tcPr>
            <w:tcW w:w="249" w:type="pct"/>
            <w:vMerge/>
            <w:shd w:val="clear" w:color="auto" w:fill="D9D9D9"/>
          </w:tcPr>
          <w:p w:rsidR="00FF5296" w:rsidRPr="008A7364" w:rsidRDefault="00FF5296" w:rsidP="00C55FEC">
            <w:pPr>
              <w:spacing w:before="120" w:after="120" w:line="240" w:lineRule="auto"/>
              <w:jc w:val="center"/>
              <w:rPr>
                <w:rFonts w:cs="Arial"/>
                <w:b/>
              </w:rPr>
            </w:pPr>
          </w:p>
        </w:tc>
        <w:tc>
          <w:tcPr>
            <w:tcW w:w="894" w:type="pct"/>
            <w:vMerge/>
            <w:shd w:val="clear" w:color="auto" w:fill="auto"/>
          </w:tcPr>
          <w:p w:rsidR="00FF5296" w:rsidRPr="008A7364" w:rsidRDefault="00FF5296" w:rsidP="00C55FEC">
            <w:pPr>
              <w:spacing w:before="120" w:after="120" w:line="240" w:lineRule="auto"/>
              <w:jc w:val="center"/>
              <w:rPr>
                <w:rFonts w:cs="Arial"/>
                <w:b/>
                <w:sz w:val="20"/>
              </w:rPr>
            </w:pPr>
          </w:p>
        </w:tc>
        <w:tc>
          <w:tcPr>
            <w:tcW w:w="335" w:type="pct"/>
            <w:shd w:val="clear" w:color="auto" w:fill="D9D9D9"/>
            <w:vAlign w:val="center"/>
          </w:tcPr>
          <w:p w:rsidR="00FF5296" w:rsidRPr="008A7364" w:rsidRDefault="00FF5296" w:rsidP="00C55FEC">
            <w:pPr>
              <w:spacing w:before="120" w:after="120" w:line="240" w:lineRule="auto"/>
              <w:jc w:val="center"/>
              <w:rPr>
                <w:rFonts w:cs="Arial"/>
                <w:b/>
                <w:sz w:val="16"/>
                <w:szCs w:val="16"/>
              </w:rPr>
            </w:pPr>
            <w:r w:rsidRPr="008A7364">
              <w:rPr>
                <w:rFonts w:cs="Arial"/>
                <w:b/>
                <w:sz w:val="16"/>
                <w:szCs w:val="16"/>
              </w:rPr>
              <w:t>Natureza</w:t>
            </w:r>
          </w:p>
        </w:tc>
        <w:tc>
          <w:tcPr>
            <w:tcW w:w="266" w:type="pct"/>
            <w:shd w:val="clear" w:color="auto" w:fill="D9D9D9"/>
            <w:vAlign w:val="center"/>
          </w:tcPr>
          <w:p w:rsidR="00FF5296" w:rsidRPr="008A7364" w:rsidRDefault="00FF5296" w:rsidP="00C55FEC">
            <w:pPr>
              <w:spacing w:before="120" w:after="120" w:line="240" w:lineRule="auto"/>
              <w:jc w:val="center"/>
              <w:rPr>
                <w:rFonts w:cs="Arial"/>
                <w:b/>
                <w:sz w:val="16"/>
                <w:szCs w:val="16"/>
              </w:rPr>
            </w:pPr>
            <w:r w:rsidRPr="008A7364">
              <w:rPr>
                <w:rFonts w:cs="Arial"/>
                <w:b/>
                <w:sz w:val="16"/>
                <w:szCs w:val="16"/>
              </w:rPr>
              <w:t>Ordem</w:t>
            </w:r>
          </w:p>
        </w:tc>
        <w:tc>
          <w:tcPr>
            <w:tcW w:w="449" w:type="pct"/>
            <w:shd w:val="clear" w:color="auto" w:fill="D9D9D9"/>
            <w:vAlign w:val="center"/>
          </w:tcPr>
          <w:p w:rsidR="00FF5296" w:rsidRPr="008A7364" w:rsidRDefault="00FF5296" w:rsidP="00C55FEC">
            <w:pPr>
              <w:spacing w:before="120" w:after="120" w:line="240" w:lineRule="auto"/>
              <w:jc w:val="center"/>
              <w:rPr>
                <w:rFonts w:cs="Arial"/>
                <w:b/>
                <w:sz w:val="16"/>
                <w:szCs w:val="16"/>
              </w:rPr>
            </w:pPr>
            <w:r w:rsidRPr="008A7364">
              <w:rPr>
                <w:rFonts w:cs="Arial"/>
                <w:b/>
                <w:sz w:val="16"/>
                <w:szCs w:val="16"/>
              </w:rPr>
              <w:t>Abrangência</w:t>
            </w:r>
          </w:p>
        </w:tc>
        <w:tc>
          <w:tcPr>
            <w:tcW w:w="398" w:type="pct"/>
            <w:shd w:val="clear" w:color="auto" w:fill="D9D9D9"/>
            <w:vAlign w:val="center"/>
          </w:tcPr>
          <w:p w:rsidR="00FF5296" w:rsidRPr="008A7364" w:rsidRDefault="00FF5296" w:rsidP="00C55FEC">
            <w:pPr>
              <w:spacing w:before="120" w:after="120" w:line="240" w:lineRule="auto"/>
              <w:jc w:val="center"/>
              <w:rPr>
                <w:rFonts w:cs="Arial"/>
                <w:b/>
                <w:sz w:val="16"/>
                <w:szCs w:val="16"/>
              </w:rPr>
            </w:pPr>
            <w:r w:rsidRPr="008A7364">
              <w:rPr>
                <w:rFonts w:cs="Arial"/>
                <w:b/>
                <w:sz w:val="16"/>
                <w:szCs w:val="16"/>
              </w:rPr>
              <w:t>Duração</w:t>
            </w:r>
          </w:p>
        </w:tc>
        <w:tc>
          <w:tcPr>
            <w:tcW w:w="299" w:type="pct"/>
            <w:shd w:val="clear" w:color="auto" w:fill="D9D9D9"/>
            <w:vAlign w:val="center"/>
          </w:tcPr>
          <w:p w:rsidR="00FF5296" w:rsidRPr="008A7364" w:rsidRDefault="00FF5296" w:rsidP="00C55FEC">
            <w:pPr>
              <w:spacing w:before="120" w:after="120" w:line="240" w:lineRule="auto"/>
              <w:jc w:val="center"/>
              <w:rPr>
                <w:rFonts w:cs="Arial"/>
                <w:b/>
                <w:sz w:val="16"/>
                <w:szCs w:val="16"/>
              </w:rPr>
            </w:pPr>
            <w:r w:rsidRPr="008A7364">
              <w:rPr>
                <w:rFonts w:cs="Arial"/>
                <w:b/>
                <w:sz w:val="16"/>
                <w:szCs w:val="16"/>
              </w:rPr>
              <w:t>Probabilidade</w:t>
            </w:r>
          </w:p>
        </w:tc>
        <w:tc>
          <w:tcPr>
            <w:tcW w:w="409" w:type="pct"/>
            <w:shd w:val="clear" w:color="auto" w:fill="D9D9D9"/>
            <w:vAlign w:val="center"/>
          </w:tcPr>
          <w:p w:rsidR="00FF5296" w:rsidRPr="008A7364" w:rsidRDefault="00FF5296" w:rsidP="00C55FEC">
            <w:pPr>
              <w:spacing w:before="120" w:after="120" w:line="240" w:lineRule="auto"/>
              <w:jc w:val="center"/>
              <w:rPr>
                <w:rFonts w:cs="Arial"/>
                <w:b/>
                <w:sz w:val="16"/>
                <w:szCs w:val="16"/>
              </w:rPr>
            </w:pPr>
            <w:r w:rsidRPr="008A7364">
              <w:rPr>
                <w:rFonts w:cs="Arial"/>
                <w:b/>
                <w:sz w:val="16"/>
                <w:szCs w:val="16"/>
              </w:rPr>
              <w:t>Época</w:t>
            </w:r>
          </w:p>
        </w:tc>
        <w:tc>
          <w:tcPr>
            <w:tcW w:w="390" w:type="pct"/>
            <w:shd w:val="clear" w:color="auto" w:fill="D9D9D9"/>
          </w:tcPr>
          <w:p w:rsidR="00FF5296" w:rsidRPr="008A7364" w:rsidRDefault="00FF5296" w:rsidP="00C55FEC">
            <w:pPr>
              <w:spacing w:before="120" w:after="120" w:line="240" w:lineRule="auto"/>
              <w:jc w:val="center"/>
              <w:rPr>
                <w:rFonts w:cs="Arial"/>
                <w:b/>
                <w:sz w:val="16"/>
                <w:szCs w:val="16"/>
              </w:rPr>
            </w:pPr>
            <w:r w:rsidRPr="008A7364">
              <w:rPr>
                <w:rFonts w:cs="Arial"/>
                <w:b/>
                <w:sz w:val="16"/>
                <w:szCs w:val="16"/>
              </w:rPr>
              <w:t>Reversibi</w:t>
            </w:r>
            <w:r w:rsidR="0053626B">
              <w:rPr>
                <w:rFonts w:cs="Arial"/>
                <w:b/>
                <w:sz w:val="16"/>
                <w:szCs w:val="16"/>
              </w:rPr>
              <w:t>-</w:t>
            </w:r>
            <w:r w:rsidRPr="008A7364">
              <w:rPr>
                <w:rFonts w:cs="Arial"/>
                <w:b/>
                <w:sz w:val="16"/>
                <w:szCs w:val="16"/>
              </w:rPr>
              <w:t>lidade</w:t>
            </w:r>
          </w:p>
        </w:tc>
        <w:tc>
          <w:tcPr>
            <w:tcW w:w="383" w:type="pct"/>
            <w:shd w:val="clear" w:color="auto" w:fill="D9D9D9"/>
            <w:vAlign w:val="center"/>
          </w:tcPr>
          <w:p w:rsidR="00FF5296" w:rsidRPr="008A7364" w:rsidRDefault="00FF5296" w:rsidP="00C55FEC">
            <w:pPr>
              <w:spacing w:before="120" w:after="120" w:line="240" w:lineRule="auto"/>
              <w:jc w:val="center"/>
              <w:rPr>
                <w:rFonts w:cs="Arial"/>
                <w:b/>
                <w:sz w:val="16"/>
                <w:szCs w:val="16"/>
              </w:rPr>
            </w:pPr>
            <w:r w:rsidRPr="008A7364">
              <w:rPr>
                <w:rFonts w:cs="Arial"/>
                <w:b/>
                <w:sz w:val="16"/>
                <w:szCs w:val="16"/>
              </w:rPr>
              <w:t>Magnitude</w:t>
            </w:r>
          </w:p>
        </w:tc>
        <w:tc>
          <w:tcPr>
            <w:tcW w:w="343" w:type="pct"/>
            <w:shd w:val="clear" w:color="auto" w:fill="D9D9D9"/>
            <w:vAlign w:val="center"/>
          </w:tcPr>
          <w:p w:rsidR="00FF5296" w:rsidRPr="008A7364" w:rsidRDefault="00FF5296" w:rsidP="00C55FEC">
            <w:pPr>
              <w:spacing w:before="120" w:after="120" w:line="240" w:lineRule="auto"/>
              <w:jc w:val="center"/>
              <w:rPr>
                <w:rFonts w:cs="Arial"/>
                <w:b/>
                <w:sz w:val="16"/>
                <w:szCs w:val="16"/>
              </w:rPr>
            </w:pPr>
            <w:r w:rsidRPr="008A7364">
              <w:rPr>
                <w:rFonts w:cs="Arial"/>
                <w:b/>
                <w:sz w:val="16"/>
                <w:szCs w:val="16"/>
              </w:rPr>
              <w:t>Impor</w:t>
            </w:r>
            <w:r w:rsidR="0053626B">
              <w:rPr>
                <w:rFonts w:cs="Arial"/>
                <w:b/>
                <w:sz w:val="16"/>
                <w:szCs w:val="16"/>
              </w:rPr>
              <w:t>-</w:t>
            </w:r>
            <w:r w:rsidRPr="008A7364">
              <w:rPr>
                <w:rFonts w:cs="Arial"/>
                <w:b/>
                <w:sz w:val="16"/>
                <w:szCs w:val="16"/>
              </w:rPr>
              <w:t>tância</w:t>
            </w:r>
          </w:p>
        </w:tc>
        <w:tc>
          <w:tcPr>
            <w:tcW w:w="397" w:type="pct"/>
            <w:vMerge/>
            <w:shd w:val="clear" w:color="auto" w:fill="auto"/>
          </w:tcPr>
          <w:p w:rsidR="00FF5296" w:rsidRPr="008A7364" w:rsidRDefault="00FF5296" w:rsidP="00C55FEC">
            <w:pPr>
              <w:spacing w:before="120" w:after="120" w:line="240" w:lineRule="auto"/>
              <w:jc w:val="center"/>
              <w:rPr>
                <w:rFonts w:cs="Arial"/>
                <w:b/>
                <w:sz w:val="16"/>
                <w:szCs w:val="16"/>
              </w:rPr>
            </w:pPr>
          </w:p>
        </w:tc>
      </w:tr>
      <w:tr w:rsidR="00C55FEC" w:rsidRPr="008A7364" w:rsidTr="00C55FEC">
        <w:trPr>
          <w:trHeight w:hRule="exact" w:val="876"/>
        </w:trPr>
        <w:tc>
          <w:tcPr>
            <w:tcW w:w="188" w:type="pct"/>
            <w:shd w:val="clear" w:color="auto" w:fill="auto"/>
            <w:vAlign w:val="center"/>
          </w:tcPr>
          <w:p w:rsidR="00C55FEC" w:rsidRPr="00B731C6" w:rsidRDefault="00C55FEC" w:rsidP="008A7364">
            <w:pPr>
              <w:spacing w:line="240" w:lineRule="auto"/>
              <w:jc w:val="left"/>
              <w:rPr>
                <w:rFonts w:cs="Arial"/>
                <w:b/>
                <w:sz w:val="16"/>
                <w:szCs w:val="16"/>
              </w:rPr>
            </w:pPr>
            <w:r>
              <w:rPr>
                <w:rFonts w:cs="Arial"/>
                <w:b/>
                <w:sz w:val="16"/>
                <w:szCs w:val="16"/>
              </w:rPr>
              <w:t>49</w:t>
            </w:r>
          </w:p>
        </w:tc>
        <w:tc>
          <w:tcPr>
            <w:tcW w:w="249" w:type="pct"/>
            <w:vMerge w:val="restart"/>
            <w:shd w:val="clear" w:color="auto" w:fill="auto"/>
            <w:textDirection w:val="btLr"/>
            <w:vAlign w:val="center"/>
          </w:tcPr>
          <w:p w:rsidR="00C55FEC" w:rsidRPr="00C55FEC" w:rsidRDefault="00C55FEC" w:rsidP="008A7364">
            <w:pPr>
              <w:ind w:left="113" w:right="113"/>
              <w:jc w:val="center"/>
              <w:rPr>
                <w:rFonts w:cs="Arial"/>
                <w:b/>
                <w:szCs w:val="22"/>
              </w:rPr>
            </w:pPr>
            <w:r w:rsidRPr="00C55FEC">
              <w:rPr>
                <w:rFonts w:cs="Arial"/>
                <w:b/>
                <w:szCs w:val="22"/>
              </w:rPr>
              <w:t>Meio Socioeconômico</w:t>
            </w:r>
          </w:p>
        </w:tc>
        <w:tc>
          <w:tcPr>
            <w:tcW w:w="894" w:type="pct"/>
            <w:shd w:val="clear" w:color="auto" w:fill="auto"/>
            <w:vAlign w:val="center"/>
          </w:tcPr>
          <w:p w:rsidR="00C55FEC" w:rsidRPr="008A7364" w:rsidRDefault="00C55FEC" w:rsidP="007A3613">
            <w:pPr>
              <w:spacing w:before="120" w:after="120" w:line="240" w:lineRule="auto"/>
              <w:rPr>
                <w:sz w:val="16"/>
                <w:szCs w:val="16"/>
              </w:rPr>
            </w:pPr>
            <w:r w:rsidRPr="008A7364">
              <w:rPr>
                <w:sz w:val="16"/>
                <w:szCs w:val="16"/>
              </w:rPr>
              <w:t>Pressão na Infraestrutura Viária</w:t>
            </w:r>
            <w:r>
              <w:rPr>
                <w:sz w:val="16"/>
                <w:szCs w:val="16"/>
              </w:rPr>
              <w:t>. Implantação.</w:t>
            </w:r>
          </w:p>
        </w:tc>
        <w:tc>
          <w:tcPr>
            <w:tcW w:w="335"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Negativa</w:t>
            </w:r>
          </w:p>
        </w:tc>
        <w:tc>
          <w:tcPr>
            <w:tcW w:w="266"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Direta</w:t>
            </w:r>
          </w:p>
        </w:tc>
        <w:tc>
          <w:tcPr>
            <w:tcW w:w="449"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Local/Regional</w:t>
            </w:r>
          </w:p>
        </w:tc>
        <w:tc>
          <w:tcPr>
            <w:tcW w:w="398"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Temporária</w:t>
            </w:r>
          </w:p>
        </w:tc>
        <w:tc>
          <w:tcPr>
            <w:tcW w:w="299" w:type="pct"/>
            <w:shd w:val="clear" w:color="auto" w:fill="auto"/>
            <w:vAlign w:val="center"/>
          </w:tcPr>
          <w:p w:rsidR="00C55FEC" w:rsidRPr="00C55FEC" w:rsidRDefault="00C55FEC" w:rsidP="008A7364">
            <w:pPr>
              <w:spacing w:before="60" w:after="60" w:line="240" w:lineRule="auto"/>
              <w:jc w:val="center"/>
              <w:rPr>
                <w:sz w:val="16"/>
                <w:szCs w:val="16"/>
              </w:rPr>
            </w:pPr>
            <w:r w:rsidRPr="00C55FEC">
              <w:rPr>
                <w:sz w:val="16"/>
                <w:szCs w:val="16"/>
              </w:rPr>
              <w:t>Certa</w:t>
            </w:r>
          </w:p>
        </w:tc>
        <w:tc>
          <w:tcPr>
            <w:tcW w:w="409"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Curto Prazo</w:t>
            </w:r>
          </w:p>
        </w:tc>
        <w:tc>
          <w:tcPr>
            <w:tcW w:w="390"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Reversível</w:t>
            </w:r>
          </w:p>
        </w:tc>
        <w:tc>
          <w:tcPr>
            <w:tcW w:w="383"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Média</w:t>
            </w:r>
          </w:p>
        </w:tc>
        <w:tc>
          <w:tcPr>
            <w:tcW w:w="343"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Média</w:t>
            </w:r>
          </w:p>
        </w:tc>
        <w:tc>
          <w:tcPr>
            <w:tcW w:w="397"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Mitigável</w:t>
            </w:r>
          </w:p>
        </w:tc>
      </w:tr>
      <w:tr w:rsidR="00087C57" w:rsidRPr="008A7364" w:rsidTr="00087C57">
        <w:trPr>
          <w:trHeight w:hRule="exact" w:val="279"/>
        </w:trPr>
        <w:tc>
          <w:tcPr>
            <w:tcW w:w="188" w:type="pct"/>
            <w:shd w:val="clear" w:color="auto" w:fill="auto"/>
            <w:vAlign w:val="center"/>
          </w:tcPr>
          <w:p w:rsidR="00087C57" w:rsidRDefault="00087C57" w:rsidP="0069493E">
            <w:pPr>
              <w:spacing w:line="240" w:lineRule="auto"/>
              <w:jc w:val="left"/>
              <w:rPr>
                <w:rFonts w:cs="Arial"/>
                <w:b/>
                <w:sz w:val="16"/>
                <w:szCs w:val="16"/>
              </w:rPr>
            </w:pPr>
            <w:r>
              <w:rPr>
                <w:rFonts w:cs="Arial"/>
                <w:b/>
                <w:sz w:val="16"/>
                <w:szCs w:val="16"/>
              </w:rPr>
              <w:t>50</w:t>
            </w:r>
          </w:p>
        </w:tc>
        <w:tc>
          <w:tcPr>
            <w:tcW w:w="249" w:type="pct"/>
            <w:vMerge/>
            <w:shd w:val="clear" w:color="auto" w:fill="auto"/>
            <w:vAlign w:val="center"/>
          </w:tcPr>
          <w:p w:rsidR="00087C57" w:rsidRPr="008A7364" w:rsidRDefault="00087C57" w:rsidP="008A7364">
            <w:pPr>
              <w:ind w:left="113" w:right="113"/>
              <w:jc w:val="center"/>
              <w:rPr>
                <w:rFonts w:cs="Arial"/>
                <w:sz w:val="16"/>
                <w:szCs w:val="16"/>
              </w:rPr>
            </w:pPr>
          </w:p>
        </w:tc>
        <w:tc>
          <w:tcPr>
            <w:tcW w:w="4563" w:type="pct"/>
            <w:gridSpan w:val="11"/>
            <w:shd w:val="clear" w:color="auto" w:fill="auto"/>
            <w:vAlign w:val="center"/>
          </w:tcPr>
          <w:p w:rsidR="00087C57" w:rsidRPr="008A7364" w:rsidRDefault="00087C57" w:rsidP="007A3613">
            <w:pPr>
              <w:spacing w:before="60" w:after="60" w:line="240" w:lineRule="auto"/>
              <w:rPr>
                <w:sz w:val="16"/>
                <w:szCs w:val="16"/>
              </w:rPr>
            </w:pPr>
            <w:r w:rsidRPr="008A7364">
              <w:rPr>
                <w:sz w:val="16"/>
                <w:szCs w:val="16"/>
              </w:rPr>
              <w:t xml:space="preserve">Interferências </w:t>
            </w:r>
            <w:r>
              <w:rPr>
                <w:sz w:val="16"/>
                <w:szCs w:val="16"/>
              </w:rPr>
              <w:t>nos Usos Múltiplos da Água</w:t>
            </w:r>
          </w:p>
        </w:tc>
      </w:tr>
      <w:tr w:rsidR="00C55FEC" w:rsidRPr="008A7364" w:rsidTr="003031D7">
        <w:trPr>
          <w:trHeight w:hRule="exact" w:val="876"/>
        </w:trPr>
        <w:tc>
          <w:tcPr>
            <w:tcW w:w="188" w:type="pct"/>
            <w:shd w:val="clear" w:color="auto" w:fill="auto"/>
            <w:vAlign w:val="center"/>
          </w:tcPr>
          <w:p w:rsidR="00C55FEC" w:rsidRPr="00B731C6" w:rsidRDefault="00C55FEC" w:rsidP="0069493E">
            <w:pPr>
              <w:spacing w:line="240" w:lineRule="auto"/>
              <w:jc w:val="left"/>
              <w:rPr>
                <w:rFonts w:cs="Arial"/>
                <w:b/>
                <w:sz w:val="16"/>
                <w:szCs w:val="16"/>
              </w:rPr>
            </w:pPr>
            <w:r>
              <w:rPr>
                <w:rFonts w:cs="Arial"/>
                <w:b/>
                <w:sz w:val="16"/>
                <w:szCs w:val="16"/>
              </w:rPr>
              <w:t>50</w:t>
            </w:r>
            <w:r w:rsidRPr="00B731C6">
              <w:rPr>
                <w:rFonts w:cs="Arial"/>
                <w:b/>
                <w:sz w:val="16"/>
                <w:szCs w:val="16"/>
              </w:rPr>
              <w:t>a</w:t>
            </w:r>
          </w:p>
        </w:tc>
        <w:tc>
          <w:tcPr>
            <w:tcW w:w="249" w:type="pct"/>
            <w:vMerge/>
            <w:shd w:val="clear" w:color="auto" w:fill="auto"/>
            <w:vAlign w:val="center"/>
          </w:tcPr>
          <w:p w:rsidR="00C55FEC" w:rsidRPr="008A7364" w:rsidRDefault="00C55FEC" w:rsidP="008A7364">
            <w:pPr>
              <w:ind w:left="113" w:right="113"/>
              <w:jc w:val="center"/>
              <w:rPr>
                <w:rFonts w:cs="Arial"/>
                <w:sz w:val="16"/>
                <w:szCs w:val="16"/>
              </w:rPr>
            </w:pPr>
          </w:p>
        </w:tc>
        <w:tc>
          <w:tcPr>
            <w:tcW w:w="894" w:type="pct"/>
            <w:shd w:val="clear" w:color="auto" w:fill="auto"/>
            <w:vAlign w:val="center"/>
          </w:tcPr>
          <w:p w:rsidR="00C55FEC" w:rsidRPr="008A7364" w:rsidRDefault="00C55FEC" w:rsidP="007A3613">
            <w:pPr>
              <w:spacing w:before="120" w:after="120" w:line="240" w:lineRule="auto"/>
              <w:rPr>
                <w:sz w:val="16"/>
                <w:szCs w:val="16"/>
              </w:rPr>
            </w:pPr>
            <w:r w:rsidRPr="008A7364">
              <w:rPr>
                <w:sz w:val="16"/>
                <w:szCs w:val="16"/>
              </w:rPr>
              <w:t xml:space="preserve">Interferências </w:t>
            </w:r>
            <w:r>
              <w:rPr>
                <w:sz w:val="16"/>
                <w:szCs w:val="16"/>
              </w:rPr>
              <w:t xml:space="preserve">nos Usos Múltiplos da Água. Implantação e Operação. </w:t>
            </w:r>
            <w:r w:rsidRPr="008A7364">
              <w:rPr>
                <w:sz w:val="16"/>
                <w:szCs w:val="16"/>
              </w:rPr>
              <w:t>(PEDREIRA)</w:t>
            </w:r>
          </w:p>
        </w:tc>
        <w:tc>
          <w:tcPr>
            <w:tcW w:w="335"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Negativa</w:t>
            </w:r>
          </w:p>
        </w:tc>
        <w:tc>
          <w:tcPr>
            <w:tcW w:w="266"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Direta</w:t>
            </w:r>
          </w:p>
        </w:tc>
        <w:tc>
          <w:tcPr>
            <w:tcW w:w="449"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Local (AID)</w:t>
            </w:r>
          </w:p>
        </w:tc>
        <w:tc>
          <w:tcPr>
            <w:tcW w:w="398"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Permanente</w:t>
            </w:r>
          </w:p>
        </w:tc>
        <w:tc>
          <w:tcPr>
            <w:tcW w:w="299" w:type="pct"/>
            <w:shd w:val="clear" w:color="auto" w:fill="auto"/>
            <w:vAlign w:val="center"/>
          </w:tcPr>
          <w:p w:rsidR="00C55FEC" w:rsidRPr="00C55FEC" w:rsidRDefault="00C55FEC" w:rsidP="008A7364">
            <w:pPr>
              <w:spacing w:before="60" w:after="60" w:line="240" w:lineRule="auto"/>
              <w:jc w:val="center"/>
              <w:rPr>
                <w:sz w:val="16"/>
                <w:szCs w:val="16"/>
              </w:rPr>
            </w:pPr>
            <w:r w:rsidRPr="00C55FEC">
              <w:rPr>
                <w:sz w:val="16"/>
                <w:szCs w:val="16"/>
              </w:rPr>
              <w:t>Certa</w:t>
            </w:r>
          </w:p>
        </w:tc>
        <w:tc>
          <w:tcPr>
            <w:tcW w:w="409"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Curto Prazo</w:t>
            </w:r>
          </w:p>
        </w:tc>
        <w:tc>
          <w:tcPr>
            <w:tcW w:w="390"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Irreversível</w:t>
            </w:r>
          </w:p>
        </w:tc>
        <w:tc>
          <w:tcPr>
            <w:tcW w:w="383"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Média</w:t>
            </w:r>
          </w:p>
        </w:tc>
        <w:tc>
          <w:tcPr>
            <w:tcW w:w="343"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Média</w:t>
            </w:r>
          </w:p>
        </w:tc>
        <w:tc>
          <w:tcPr>
            <w:tcW w:w="397"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Mitigável</w:t>
            </w:r>
          </w:p>
        </w:tc>
      </w:tr>
      <w:tr w:rsidR="00C55FEC" w:rsidRPr="008A7364" w:rsidTr="003031D7">
        <w:trPr>
          <w:trHeight w:hRule="exact" w:val="876"/>
        </w:trPr>
        <w:tc>
          <w:tcPr>
            <w:tcW w:w="188" w:type="pct"/>
            <w:shd w:val="clear" w:color="auto" w:fill="auto"/>
            <w:vAlign w:val="center"/>
          </w:tcPr>
          <w:p w:rsidR="00C55FEC" w:rsidRPr="008A7364" w:rsidRDefault="00C55FEC" w:rsidP="00465F53">
            <w:pPr>
              <w:spacing w:line="240" w:lineRule="auto"/>
              <w:jc w:val="left"/>
              <w:rPr>
                <w:rFonts w:cs="Arial"/>
                <w:sz w:val="16"/>
                <w:szCs w:val="16"/>
              </w:rPr>
            </w:pPr>
            <w:r>
              <w:rPr>
                <w:rFonts w:cs="Arial"/>
                <w:sz w:val="16"/>
                <w:szCs w:val="16"/>
              </w:rPr>
              <w:t>50</w:t>
            </w:r>
            <w:r w:rsidR="00465F53">
              <w:rPr>
                <w:rFonts w:cs="Arial"/>
                <w:sz w:val="16"/>
                <w:szCs w:val="16"/>
              </w:rPr>
              <w:t>b</w:t>
            </w:r>
          </w:p>
        </w:tc>
        <w:tc>
          <w:tcPr>
            <w:tcW w:w="249" w:type="pct"/>
            <w:vMerge/>
            <w:shd w:val="clear" w:color="auto" w:fill="auto"/>
            <w:vAlign w:val="center"/>
          </w:tcPr>
          <w:p w:rsidR="00C55FEC" w:rsidRPr="008A7364" w:rsidRDefault="00C55FEC" w:rsidP="008A7364">
            <w:pPr>
              <w:ind w:left="113" w:right="113"/>
              <w:jc w:val="center"/>
              <w:rPr>
                <w:rFonts w:cs="Arial"/>
                <w:sz w:val="16"/>
                <w:szCs w:val="16"/>
              </w:rPr>
            </w:pPr>
          </w:p>
        </w:tc>
        <w:tc>
          <w:tcPr>
            <w:tcW w:w="894" w:type="pct"/>
            <w:shd w:val="clear" w:color="auto" w:fill="auto"/>
            <w:vAlign w:val="center"/>
          </w:tcPr>
          <w:p w:rsidR="00C55FEC" w:rsidRPr="008A7364" w:rsidRDefault="00C55FEC" w:rsidP="007A3613">
            <w:pPr>
              <w:spacing w:before="120" w:after="120" w:line="240" w:lineRule="auto"/>
              <w:rPr>
                <w:sz w:val="16"/>
                <w:szCs w:val="16"/>
              </w:rPr>
            </w:pPr>
            <w:r w:rsidRPr="008A7364">
              <w:rPr>
                <w:sz w:val="16"/>
                <w:szCs w:val="16"/>
              </w:rPr>
              <w:t xml:space="preserve">Interferências </w:t>
            </w:r>
            <w:r>
              <w:rPr>
                <w:sz w:val="16"/>
                <w:szCs w:val="16"/>
              </w:rPr>
              <w:t>nos Usos Múltiplos da Água</w:t>
            </w:r>
            <w:r w:rsidR="00465F53">
              <w:rPr>
                <w:sz w:val="16"/>
                <w:szCs w:val="16"/>
              </w:rPr>
              <w:t xml:space="preserve"> (Incremento)</w:t>
            </w:r>
            <w:r>
              <w:rPr>
                <w:sz w:val="16"/>
                <w:szCs w:val="16"/>
              </w:rPr>
              <w:t>. Implantação e Operação</w:t>
            </w:r>
            <w:r w:rsidR="00465F53">
              <w:rPr>
                <w:sz w:val="16"/>
                <w:szCs w:val="16"/>
              </w:rPr>
              <w:t>.</w:t>
            </w:r>
            <w:r>
              <w:rPr>
                <w:sz w:val="16"/>
                <w:szCs w:val="16"/>
              </w:rPr>
              <w:t xml:space="preserve"> </w:t>
            </w:r>
            <w:r w:rsidRPr="008A7364">
              <w:rPr>
                <w:sz w:val="16"/>
                <w:szCs w:val="16"/>
              </w:rPr>
              <w:t>(PEDREIRA</w:t>
            </w:r>
            <w:r>
              <w:rPr>
                <w:sz w:val="16"/>
                <w:szCs w:val="16"/>
              </w:rPr>
              <w:t>)</w:t>
            </w:r>
          </w:p>
        </w:tc>
        <w:tc>
          <w:tcPr>
            <w:tcW w:w="335"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Positiva</w:t>
            </w:r>
          </w:p>
        </w:tc>
        <w:tc>
          <w:tcPr>
            <w:tcW w:w="266"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Direta</w:t>
            </w:r>
          </w:p>
        </w:tc>
        <w:tc>
          <w:tcPr>
            <w:tcW w:w="449"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Local (AID)</w:t>
            </w:r>
          </w:p>
        </w:tc>
        <w:tc>
          <w:tcPr>
            <w:tcW w:w="398"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Permanente</w:t>
            </w:r>
          </w:p>
        </w:tc>
        <w:tc>
          <w:tcPr>
            <w:tcW w:w="299" w:type="pct"/>
            <w:shd w:val="clear" w:color="auto" w:fill="auto"/>
            <w:vAlign w:val="center"/>
          </w:tcPr>
          <w:p w:rsidR="00C55FEC" w:rsidRPr="00C55FEC" w:rsidRDefault="00C55FEC" w:rsidP="008A7364">
            <w:pPr>
              <w:spacing w:before="60" w:after="60" w:line="240" w:lineRule="auto"/>
              <w:jc w:val="center"/>
              <w:rPr>
                <w:sz w:val="16"/>
                <w:szCs w:val="16"/>
              </w:rPr>
            </w:pPr>
            <w:r w:rsidRPr="00C55FEC">
              <w:rPr>
                <w:sz w:val="16"/>
                <w:szCs w:val="16"/>
              </w:rPr>
              <w:t>Certa</w:t>
            </w:r>
          </w:p>
        </w:tc>
        <w:tc>
          <w:tcPr>
            <w:tcW w:w="409"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Curto e Médio Prazo</w:t>
            </w:r>
          </w:p>
        </w:tc>
        <w:tc>
          <w:tcPr>
            <w:tcW w:w="390"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Irreversível</w:t>
            </w:r>
          </w:p>
        </w:tc>
        <w:tc>
          <w:tcPr>
            <w:tcW w:w="383"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Grande</w:t>
            </w:r>
          </w:p>
        </w:tc>
        <w:tc>
          <w:tcPr>
            <w:tcW w:w="343"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Alta</w:t>
            </w:r>
          </w:p>
        </w:tc>
        <w:tc>
          <w:tcPr>
            <w:tcW w:w="397" w:type="pct"/>
            <w:shd w:val="clear" w:color="auto" w:fill="auto"/>
            <w:vAlign w:val="center"/>
          </w:tcPr>
          <w:p w:rsidR="00C55FEC" w:rsidRPr="008A7364" w:rsidRDefault="00465F53" w:rsidP="008A7364">
            <w:pPr>
              <w:spacing w:before="60" w:after="60" w:line="240" w:lineRule="auto"/>
              <w:jc w:val="center"/>
              <w:rPr>
                <w:sz w:val="16"/>
                <w:szCs w:val="16"/>
              </w:rPr>
            </w:pPr>
            <w:r>
              <w:rPr>
                <w:sz w:val="16"/>
                <w:szCs w:val="16"/>
              </w:rPr>
              <w:t>---</w:t>
            </w:r>
          </w:p>
        </w:tc>
      </w:tr>
      <w:tr w:rsidR="00C55FEC" w:rsidRPr="008A7364" w:rsidTr="003031D7">
        <w:trPr>
          <w:trHeight w:hRule="exact" w:val="876"/>
        </w:trPr>
        <w:tc>
          <w:tcPr>
            <w:tcW w:w="188" w:type="pct"/>
            <w:shd w:val="clear" w:color="auto" w:fill="auto"/>
            <w:vAlign w:val="center"/>
          </w:tcPr>
          <w:p w:rsidR="00C55FEC" w:rsidRDefault="00C55FEC" w:rsidP="00465F53">
            <w:pPr>
              <w:spacing w:line="240" w:lineRule="auto"/>
              <w:jc w:val="left"/>
              <w:rPr>
                <w:rFonts w:cs="Arial"/>
                <w:sz w:val="16"/>
                <w:szCs w:val="16"/>
              </w:rPr>
            </w:pPr>
            <w:r>
              <w:rPr>
                <w:rFonts w:cs="Arial"/>
                <w:sz w:val="16"/>
                <w:szCs w:val="16"/>
              </w:rPr>
              <w:t>50</w:t>
            </w:r>
            <w:r w:rsidR="00465F53">
              <w:rPr>
                <w:rFonts w:cs="Arial"/>
                <w:sz w:val="16"/>
                <w:szCs w:val="16"/>
              </w:rPr>
              <w:t>a</w:t>
            </w:r>
          </w:p>
        </w:tc>
        <w:tc>
          <w:tcPr>
            <w:tcW w:w="249" w:type="pct"/>
            <w:vMerge/>
            <w:shd w:val="clear" w:color="auto" w:fill="auto"/>
            <w:vAlign w:val="center"/>
          </w:tcPr>
          <w:p w:rsidR="00C55FEC" w:rsidRPr="008A7364" w:rsidRDefault="00C55FEC" w:rsidP="008A7364">
            <w:pPr>
              <w:ind w:left="113" w:right="113"/>
              <w:jc w:val="center"/>
              <w:rPr>
                <w:rFonts w:cs="Arial"/>
                <w:sz w:val="16"/>
                <w:szCs w:val="16"/>
              </w:rPr>
            </w:pPr>
          </w:p>
        </w:tc>
        <w:tc>
          <w:tcPr>
            <w:tcW w:w="894" w:type="pct"/>
            <w:shd w:val="clear" w:color="auto" w:fill="auto"/>
            <w:vAlign w:val="center"/>
          </w:tcPr>
          <w:p w:rsidR="00C55FEC" w:rsidRPr="008A7364" w:rsidRDefault="00C55FEC" w:rsidP="007A3613">
            <w:pPr>
              <w:spacing w:before="120" w:after="120" w:line="240" w:lineRule="auto"/>
              <w:rPr>
                <w:sz w:val="16"/>
                <w:szCs w:val="16"/>
              </w:rPr>
            </w:pPr>
            <w:r w:rsidRPr="008A7364">
              <w:rPr>
                <w:sz w:val="16"/>
                <w:szCs w:val="16"/>
              </w:rPr>
              <w:t xml:space="preserve">Interferências </w:t>
            </w:r>
            <w:r>
              <w:rPr>
                <w:sz w:val="16"/>
                <w:szCs w:val="16"/>
              </w:rPr>
              <w:t>nos Usos Múltiplos da Água. Implantação e Operação. (DUAS PONTES)</w:t>
            </w:r>
          </w:p>
        </w:tc>
        <w:tc>
          <w:tcPr>
            <w:tcW w:w="335"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Negativa</w:t>
            </w:r>
          </w:p>
        </w:tc>
        <w:tc>
          <w:tcPr>
            <w:tcW w:w="266"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Direta</w:t>
            </w:r>
          </w:p>
        </w:tc>
        <w:tc>
          <w:tcPr>
            <w:tcW w:w="449"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Local (AID)</w:t>
            </w:r>
          </w:p>
        </w:tc>
        <w:tc>
          <w:tcPr>
            <w:tcW w:w="398"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Permanente</w:t>
            </w:r>
          </w:p>
        </w:tc>
        <w:tc>
          <w:tcPr>
            <w:tcW w:w="299" w:type="pct"/>
            <w:shd w:val="clear" w:color="auto" w:fill="auto"/>
            <w:vAlign w:val="center"/>
          </w:tcPr>
          <w:p w:rsidR="00C55FEC" w:rsidRPr="00C55FEC" w:rsidRDefault="00C55FEC" w:rsidP="00C55FEC">
            <w:pPr>
              <w:spacing w:before="60" w:after="60" w:line="240" w:lineRule="auto"/>
              <w:jc w:val="center"/>
              <w:rPr>
                <w:sz w:val="16"/>
                <w:szCs w:val="16"/>
              </w:rPr>
            </w:pPr>
            <w:r w:rsidRPr="00C55FEC">
              <w:rPr>
                <w:sz w:val="16"/>
                <w:szCs w:val="16"/>
              </w:rPr>
              <w:t>Certa</w:t>
            </w:r>
          </w:p>
        </w:tc>
        <w:tc>
          <w:tcPr>
            <w:tcW w:w="409"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Curto Prazo</w:t>
            </w:r>
          </w:p>
        </w:tc>
        <w:tc>
          <w:tcPr>
            <w:tcW w:w="390"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Irreversível</w:t>
            </w:r>
          </w:p>
        </w:tc>
        <w:tc>
          <w:tcPr>
            <w:tcW w:w="383" w:type="pct"/>
            <w:shd w:val="clear" w:color="auto" w:fill="auto"/>
            <w:vAlign w:val="center"/>
          </w:tcPr>
          <w:p w:rsidR="00C55FEC" w:rsidRPr="008A7364" w:rsidRDefault="00C55FEC" w:rsidP="00C55FEC">
            <w:pPr>
              <w:spacing w:before="60" w:after="60" w:line="240" w:lineRule="auto"/>
              <w:jc w:val="center"/>
              <w:rPr>
                <w:sz w:val="16"/>
                <w:szCs w:val="16"/>
              </w:rPr>
            </w:pPr>
            <w:r>
              <w:rPr>
                <w:sz w:val="16"/>
                <w:szCs w:val="16"/>
              </w:rPr>
              <w:t>Pequena</w:t>
            </w:r>
          </w:p>
        </w:tc>
        <w:tc>
          <w:tcPr>
            <w:tcW w:w="343" w:type="pct"/>
            <w:shd w:val="clear" w:color="auto" w:fill="auto"/>
            <w:vAlign w:val="center"/>
          </w:tcPr>
          <w:p w:rsidR="00C55FEC" w:rsidRPr="008A7364" w:rsidRDefault="00C55FEC" w:rsidP="00C55FEC">
            <w:pPr>
              <w:spacing w:before="60" w:after="60" w:line="240" w:lineRule="auto"/>
              <w:jc w:val="center"/>
              <w:rPr>
                <w:sz w:val="16"/>
                <w:szCs w:val="16"/>
              </w:rPr>
            </w:pPr>
            <w:r>
              <w:rPr>
                <w:sz w:val="16"/>
                <w:szCs w:val="16"/>
              </w:rPr>
              <w:t>Baixa</w:t>
            </w:r>
          </w:p>
        </w:tc>
        <w:tc>
          <w:tcPr>
            <w:tcW w:w="397"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Mitigável</w:t>
            </w:r>
          </w:p>
        </w:tc>
      </w:tr>
      <w:tr w:rsidR="00C55FEC" w:rsidRPr="008A7364" w:rsidTr="003031D7">
        <w:trPr>
          <w:trHeight w:hRule="exact" w:val="876"/>
        </w:trPr>
        <w:tc>
          <w:tcPr>
            <w:tcW w:w="188" w:type="pct"/>
            <w:shd w:val="clear" w:color="auto" w:fill="auto"/>
            <w:vAlign w:val="center"/>
          </w:tcPr>
          <w:p w:rsidR="00C55FEC" w:rsidRDefault="00C55FEC" w:rsidP="00FF5296">
            <w:pPr>
              <w:spacing w:line="240" w:lineRule="auto"/>
              <w:jc w:val="left"/>
              <w:rPr>
                <w:rFonts w:cs="Arial"/>
                <w:sz w:val="16"/>
                <w:szCs w:val="16"/>
              </w:rPr>
            </w:pPr>
            <w:r>
              <w:rPr>
                <w:rFonts w:cs="Arial"/>
                <w:sz w:val="16"/>
                <w:szCs w:val="16"/>
              </w:rPr>
              <w:t>50b</w:t>
            </w:r>
          </w:p>
        </w:tc>
        <w:tc>
          <w:tcPr>
            <w:tcW w:w="249" w:type="pct"/>
            <w:vMerge/>
            <w:shd w:val="clear" w:color="auto" w:fill="auto"/>
            <w:vAlign w:val="center"/>
          </w:tcPr>
          <w:p w:rsidR="00C55FEC" w:rsidRPr="008A7364" w:rsidRDefault="00C55FEC" w:rsidP="008A7364">
            <w:pPr>
              <w:ind w:left="113" w:right="113"/>
              <w:jc w:val="center"/>
              <w:rPr>
                <w:rFonts w:cs="Arial"/>
                <w:sz w:val="16"/>
                <w:szCs w:val="16"/>
              </w:rPr>
            </w:pPr>
          </w:p>
        </w:tc>
        <w:tc>
          <w:tcPr>
            <w:tcW w:w="894" w:type="pct"/>
            <w:shd w:val="clear" w:color="auto" w:fill="auto"/>
            <w:vAlign w:val="center"/>
          </w:tcPr>
          <w:p w:rsidR="00C55FEC" w:rsidRPr="008A7364" w:rsidRDefault="00C55FEC" w:rsidP="007A3613">
            <w:pPr>
              <w:spacing w:before="120" w:after="120" w:line="240" w:lineRule="auto"/>
              <w:rPr>
                <w:sz w:val="16"/>
                <w:szCs w:val="16"/>
              </w:rPr>
            </w:pPr>
            <w:r w:rsidRPr="008A7364">
              <w:rPr>
                <w:sz w:val="16"/>
                <w:szCs w:val="16"/>
              </w:rPr>
              <w:t xml:space="preserve">Interferências </w:t>
            </w:r>
            <w:r>
              <w:rPr>
                <w:sz w:val="16"/>
                <w:szCs w:val="16"/>
              </w:rPr>
              <w:t>nos Usos Múltiplos da Água</w:t>
            </w:r>
            <w:r w:rsidR="00465F53">
              <w:rPr>
                <w:sz w:val="16"/>
                <w:szCs w:val="16"/>
              </w:rPr>
              <w:t xml:space="preserve"> (Incremento)</w:t>
            </w:r>
            <w:r>
              <w:rPr>
                <w:sz w:val="16"/>
                <w:szCs w:val="16"/>
              </w:rPr>
              <w:t xml:space="preserve">. Implantação e Operação. </w:t>
            </w:r>
            <w:r w:rsidRPr="008A7364">
              <w:rPr>
                <w:sz w:val="16"/>
                <w:szCs w:val="16"/>
              </w:rPr>
              <w:t>(</w:t>
            </w:r>
            <w:r>
              <w:rPr>
                <w:sz w:val="16"/>
                <w:szCs w:val="16"/>
              </w:rPr>
              <w:t>DUAS PONTES)</w:t>
            </w:r>
          </w:p>
        </w:tc>
        <w:tc>
          <w:tcPr>
            <w:tcW w:w="335"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Positiva</w:t>
            </w:r>
          </w:p>
        </w:tc>
        <w:tc>
          <w:tcPr>
            <w:tcW w:w="266"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Direta</w:t>
            </w:r>
          </w:p>
        </w:tc>
        <w:tc>
          <w:tcPr>
            <w:tcW w:w="449"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Local (AID)</w:t>
            </w:r>
          </w:p>
        </w:tc>
        <w:tc>
          <w:tcPr>
            <w:tcW w:w="398"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Permanente</w:t>
            </w:r>
          </w:p>
        </w:tc>
        <w:tc>
          <w:tcPr>
            <w:tcW w:w="299" w:type="pct"/>
            <w:shd w:val="clear" w:color="auto" w:fill="auto"/>
            <w:vAlign w:val="center"/>
          </w:tcPr>
          <w:p w:rsidR="00C55FEC" w:rsidRPr="00C55FEC" w:rsidRDefault="00C55FEC" w:rsidP="00C55FEC">
            <w:pPr>
              <w:spacing w:before="60" w:after="60" w:line="240" w:lineRule="auto"/>
              <w:jc w:val="center"/>
              <w:rPr>
                <w:sz w:val="16"/>
                <w:szCs w:val="16"/>
              </w:rPr>
            </w:pPr>
            <w:r w:rsidRPr="00C55FEC">
              <w:rPr>
                <w:sz w:val="16"/>
                <w:szCs w:val="16"/>
              </w:rPr>
              <w:t>Certa</w:t>
            </w:r>
          </w:p>
        </w:tc>
        <w:tc>
          <w:tcPr>
            <w:tcW w:w="409"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Curto e Médio Prazo</w:t>
            </w:r>
          </w:p>
        </w:tc>
        <w:tc>
          <w:tcPr>
            <w:tcW w:w="390"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Irreversível</w:t>
            </w:r>
          </w:p>
        </w:tc>
        <w:tc>
          <w:tcPr>
            <w:tcW w:w="383"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Grande</w:t>
            </w:r>
          </w:p>
        </w:tc>
        <w:tc>
          <w:tcPr>
            <w:tcW w:w="343" w:type="pct"/>
            <w:shd w:val="clear" w:color="auto" w:fill="auto"/>
            <w:vAlign w:val="center"/>
          </w:tcPr>
          <w:p w:rsidR="00C55FEC" w:rsidRPr="008A7364" w:rsidRDefault="00C55FEC" w:rsidP="00C55FEC">
            <w:pPr>
              <w:spacing w:before="60" w:after="60" w:line="240" w:lineRule="auto"/>
              <w:jc w:val="center"/>
              <w:rPr>
                <w:sz w:val="16"/>
                <w:szCs w:val="16"/>
              </w:rPr>
            </w:pPr>
            <w:r w:rsidRPr="008A7364">
              <w:rPr>
                <w:sz w:val="16"/>
                <w:szCs w:val="16"/>
              </w:rPr>
              <w:t>Alta</w:t>
            </w:r>
          </w:p>
        </w:tc>
        <w:tc>
          <w:tcPr>
            <w:tcW w:w="397" w:type="pct"/>
            <w:shd w:val="clear" w:color="auto" w:fill="auto"/>
            <w:vAlign w:val="center"/>
          </w:tcPr>
          <w:p w:rsidR="00C55FEC" w:rsidRPr="008A7364" w:rsidRDefault="00465F53" w:rsidP="00C55FEC">
            <w:pPr>
              <w:spacing w:before="60" w:after="60" w:line="240" w:lineRule="auto"/>
              <w:jc w:val="center"/>
              <w:rPr>
                <w:sz w:val="16"/>
                <w:szCs w:val="16"/>
              </w:rPr>
            </w:pPr>
            <w:r>
              <w:rPr>
                <w:sz w:val="16"/>
                <w:szCs w:val="16"/>
              </w:rPr>
              <w:t>---</w:t>
            </w:r>
          </w:p>
        </w:tc>
      </w:tr>
      <w:tr w:rsidR="00C55FEC" w:rsidRPr="008A7364" w:rsidTr="007F08B3">
        <w:trPr>
          <w:trHeight w:hRule="exact" w:val="972"/>
        </w:trPr>
        <w:tc>
          <w:tcPr>
            <w:tcW w:w="188" w:type="pct"/>
            <w:shd w:val="clear" w:color="auto" w:fill="auto"/>
            <w:vAlign w:val="center"/>
          </w:tcPr>
          <w:p w:rsidR="00C55FEC" w:rsidRPr="008A7364" w:rsidRDefault="00C55FEC" w:rsidP="00465F53">
            <w:pPr>
              <w:spacing w:line="240" w:lineRule="auto"/>
              <w:jc w:val="left"/>
              <w:rPr>
                <w:rFonts w:cs="Arial"/>
                <w:sz w:val="16"/>
                <w:szCs w:val="16"/>
              </w:rPr>
            </w:pPr>
            <w:r w:rsidRPr="008A7364">
              <w:rPr>
                <w:rFonts w:cs="Arial"/>
                <w:sz w:val="16"/>
                <w:szCs w:val="16"/>
              </w:rPr>
              <w:t>5</w:t>
            </w:r>
            <w:r>
              <w:rPr>
                <w:rFonts w:cs="Arial"/>
                <w:sz w:val="16"/>
                <w:szCs w:val="16"/>
              </w:rPr>
              <w:t>1</w:t>
            </w:r>
          </w:p>
        </w:tc>
        <w:tc>
          <w:tcPr>
            <w:tcW w:w="249" w:type="pct"/>
            <w:vMerge/>
            <w:shd w:val="clear" w:color="auto" w:fill="auto"/>
            <w:vAlign w:val="center"/>
          </w:tcPr>
          <w:p w:rsidR="00C55FEC" w:rsidRPr="008A7364" w:rsidRDefault="00C55FEC" w:rsidP="008A7364">
            <w:pPr>
              <w:ind w:left="113" w:right="113"/>
              <w:jc w:val="center"/>
              <w:rPr>
                <w:rFonts w:cs="Arial"/>
                <w:sz w:val="16"/>
                <w:szCs w:val="16"/>
              </w:rPr>
            </w:pPr>
          </w:p>
        </w:tc>
        <w:tc>
          <w:tcPr>
            <w:tcW w:w="894" w:type="pct"/>
            <w:shd w:val="clear" w:color="auto" w:fill="auto"/>
            <w:vAlign w:val="center"/>
          </w:tcPr>
          <w:p w:rsidR="00C55FEC" w:rsidRPr="007F08B3" w:rsidRDefault="00C55FEC" w:rsidP="007A3613">
            <w:pPr>
              <w:spacing w:before="120" w:after="120" w:line="240" w:lineRule="auto"/>
              <w:rPr>
                <w:sz w:val="16"/>
                <w:szCs w:val="16"/>
              </w:rPr>
            </w:pPr>
            <w:r w:rsidRPr="007F08B3">
              <w:rPr>
                <w:sz w:val="16"/>
                <w:szCs w:val="16"/>
              </w:rPr>
              <w:t>Aumento/Retração da Oferta de Emprego e Renda em função das obras de Implantação das Barragens. Implantação</w:t>
            </w:r>
          </w:p>
        </w:tc>
        <w:tc>
          <w:tcPr>
            <w:tcW w:w="335"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Positivo</w:t>
            </w:r>
            <w:r>
              <w:rPr>
                <w:sz w:val="16"/>
                <w:szCs w:val="16"/>
              </w:rPr>
              <w:t>/ Negativo</w:t>
            </w:r>
          </w:p>
        </w:tc>
        <w:tc>
          <w:tcPr>
            <w:tcW w:w="266"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Direto</w:t>
            </w:r>
          </w:p>
        </w:tc>
        <w:tc>
          <w:tcPr>
            <w:tcW w:w="449"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Localizado</w:t>
            </w:r>
          </w:p>
        </w:tc>
        <w:tc>
          <w:tcPr>
            <w:tcW w:w="398"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Temporário</w:t>
            </w:r>
          </w:p>
        </w:tc>
        <w:tc>
          <w:tcPr>
            <w:tcW w:w="299"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Certo</w:t>
            </w:r>
          </w:p>
        </w:tc>
        <w:tc>
          <w:tcPr>
            <w:tcW w:w="409"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Médio Prazo</w:t>
            </w:r>
          </w:p>
        </w:tc>
        <w:tc>
          <w:tcPr>
            <w:tcW w:w="390"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Reversível</w:t>
            </w:r>
          </w:p>
        </w:tc>
        <w:tc>
          <w:tcPr>
            <w:tcW w:w="383"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Grande</w:t>
            </w:r>
          </w:p>
        </w:tc>
        <w:tc>
          <w:tcPr>
            <w:tcW w:w="343" w:type="pct"/>
            <w:shd w:val="clear" w:color="auto" w:fill="auto"/>
            <w:vAlign w:val="center"/>
          </w:tcPr>
          <w:p w:rsidR="00C55FEC" w:rsidRPr="008A7364" w:rsidRDefault="00C55FEC" w:rsidP="008A7364">
            <w:pPr>
              <w:spacing w:before="60" w:after="60" w:line="240" w:lineRule="auto"/>
              <w:jc w:val="center"/>
              <w:rPr>
                <w:sz w:val="16"/>
                <w:szCs w:val="16"/>
              </w:rPr>
            </w:pPr>
            <w:r w:rsidRPr="008A7364">
              <w:rPr>
                <w:sz w:val="16"/>
                <w:szCs w:val="16"/>
              </w:rPr>
              <w:t>Média</w:t>
            </w:r>
          </w:p>
        </w:tc>
        <w:tc>
          <w:tcPr>
            <w:tcW w:w="397" w:type="pct"/>
            <w:shd w:val="clear" w:color="auto" w:fill="auto"/>
            <w:vAlign w:val="center"/>
          </w:tcPr>
          <w:p w:rsidR="00C55FEC" w:rsidRPr="008A7364" w:rsidRDefault="00465F53" w:rsidP="008A7364">
            <w:pPr>
              <w:spacing w:before="60" w:after="60" w:line="240" w:lineRule="auto"/>
              <w:jc w:val="center"/>
              <w:rPr>
                <w:sz w:val="16"/>
                <w:szCs w:val="16"/>
              </w:rPr>
            </w:pPr>
            <w:r>
              <w:rPr>
                <w:sz w:val="16"/>
                <w:szCs w:val="16"/>
              </w:rPr>
              <w:t>---</w:t>
            </w:r>
          </w:p>
        </w:tc>
      </w:tr>
    </w:tbl>
    <w:p w:rsidR="00B42047" w:rsidRDefault="00B42047">
      <w:r>
        <w:br w:type="page"/>
      </w:r>
    </w:p>
    <w:p w:rsidR="002E29E3" w:rsidRDefault="002E29E3" w:rsidP="002E29E3">
      <w:r>
        <w:t>(continuação)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722"/>
        <w:gridCol w:w="2593"/>
        <w:gridCol w:w="972"/>
        <w:gridCol w:w="772"/>
        <w:gridCol w:w="1302"/>
        <w:gridCol w:w="1155"/>
        <w:gridCol w:w="867"/>
        <w:gridCol w:w="1186"/>
        <w:gridCol w:w="1131"/>
        <w:gridCol w:w="1111"/>
        <w:gridCol w:w="995"/>
        <w:gridCol w:w="1152"/>
      </w:tblGrid>
      <w:tr w:rsidR="00C55FEC" w:rsidRPr="008A7364" w:rsidTr="00C55FEC">
        <w:trPr>
          <w:trHeight w:val="336"/>
          <w:tblHeader/>
        </w:trPr>
        <w:tc>
          <w:tcPr>
            <w:tcW w:w="188" w:type="pct"/>
            <w:vMerge w:val="restart"/>
            <w:shd w:val="clear" w:color="auto" w:fill="D9D9D9"/>
            <w:vAlign w:val="center"/>
          </w:tcPr>
          <w:p w:rsidR="00C55FEC" w:rsidRPr="008A7364" w:rsidRDefault="00C55FEC" w:rsidP="00C55FEC">
            <w:pPr>
              <w:spacing w:before="120" w:after="120" w:line="240" w:lineRule="auto"/>
              <w:jc w:val="center"/>
              <w:rPr>
                <w:rFonts w:cs="Arial"/>
                <w:b/>
                <w:sz w:val="18"/>
                <w:szCs w:val="18"/>
              </w:rPr>
            </w:pPr>
            <w:r w:rsidRPr="008A7364">
              <w:rPr>
                <w:rFonts w:cs="Arial"/>
                <w:b/>
                <w:sz w:val="18"/>
                <w:szCs w:val="18"/>
              </w:rPr>
              <w:t>N°</w:t>
            </w:r>
          </w:p>
        </w:tc>
        <w:tc>
          <w:tcPr>
            <w:tcW w:w="249" w:type="pct"/>
            <w:vMerge w:val="restart"/>
            <w:shd w:val="clear" w:color="auto" w:fill="D9D9D9"/>
            <w:vAlign w:val="center"/>
          </w:tcPr>
          <w:p w:rsidR="00C55FEC" w:rsidRPr="008A7364" w:rsidRDefault="00C55FEC" w:rsidP="00C55FEC">
            <w:pPr>
              <w:spacing w:before="120" w:after="120" w:line="240" w:lineRule="auto"/>
              <w:rPr>
                <w:rFonts w:cs="Arial"/>
                <w:b/>
                <w:sz w:val="18"/>
                <w:szCs w:val="18"/>
              </w:rPr>
            </w:pPr>
            <w:r>
              <w:rPr>
                <w:rFonts w:cs="Arial"/>
                <w:b/>
                <w:sz w:val="18"/>
                <w:szCs w:val="18"/>
              </w:rPr>
              <w:t>MEIO</w:t>
            </w:r>
          </w:p>
        </w:tc>
        <w:tc>
          <w:tcPr>
            <w:tcW w:w="894" w:type="pct"/>
            <w:vMerge w:val="restart"/>
            <w:shd w:val="clear" w:color="auto" w:fill="D9D9D9"/>
            <w:vAlign w:val="center"/>
          </w:tcPr>
          <w:p w:rsidR="00C55FEC" w:rsidRPr="008A7364" w:rsidRDefault="00C55FEC" w:rsidP="00C55FEC">
            <w:pPr>
              <w:spacing w:before="120" w:after="120" w:line="240" w:lineRule="auto"/>
              <w:jc w:val="center"/>
              <w:rPr>
                <w:rFonts w:cs="Arial"/>
                <w:b/>
                <w:sz w:val="18"/>
                <w:szCs w:val="18"/>
              </w:rPr>
            </w:pPr>
            <w:r w:rsidRPr="008A7364">
              <w:rPr>
                <w:rFonts w:cs="Arial"/>
                <w:b/>
                <w:sz w:val="18"/>
                <w:szCs w:val="18"/>
              </w:rPr>
              <w:t>IMPACTO</w:t>
            </w:r>
          </w:p>
        </w:tc>
        <w:tc>
          <w:tcPr>
            <w:tcW w:w="3669" w:type="pct"/>
            <w:gridSpan w:val="10"/>
            <w:shd w:val="clear" w:color="auto" w:fill="D9D9D9"/>
          </w:tcPr>
          <w:p w:rsidR="00C55FEC" w:rsidRPr="008A7364" w:rsidRDefault="00C55FEC" w:rsidP="00C55FEC">
            <w:pPr>
              <w:spacing w:before="60" w:after="40" w:line="240" w:lineRule="auto"/>
              <w:jc w:val="center"/>
              <w:rPr>
                <w:rFonts w:cs="Arial"/>
                <w:b/>
                <w:sz w:val="18"/>
                <w:szCs w:val="18"/>
              </w:rPr>
            </w:pPr>
            <w:r w:rsidRPr="008A7364">
              <w:rPr>
                <w:rFonts w:cs="Arial"/>
                <w:b/>
                <w:sz w:val="18"/>
                <w:szCs w:val="18"/>
              </w:rPr>
              <w:t>CARACTERIZAÇÃO</w:t>
            </w:r>
          </w:p>
        </w:tc>
      </w:tr>
      <w:tr w:rsidR="00C55FEC" w:rsidRPr="008A7364" w:rsidTr="00C55FEC">
        <w:trPr>
          <w:trHeight w:hRule="exact" w:val="340"/>
          <w:tblHeader/>
        </w:trPr>
        <w:tc>
          <w:tcPr>
            <w:tcW w:w="188" w:type="pct"/>
            <w:vMerge/>
            <w:shd w:val="clear" w:color="auto" w:fill="D9D9D9"/>
          </w:tcPr>
          <w:p w:rsidR="00C55FEC" w:rsidRPr="008A7364" w:rsidRDefault="00C55FEC" w:rsidP="00C55FEC">
            <w:pPr>
              <w:spacing w:before="120" w:after="120" w:line="240" w:lineRule="auto"/>
              <w:jc w:val="center"/>
              <w:rPr>
                <w:rFonts w:cs="Arial"/>
                <w:b/>
                <w:sz w:val="18"/>
                <w:szCs w:val="18"/>
              </w:rPr>
            </w:pPr>
          </w:p>
        </w:tc>
        <w:tc>
          <w:tcPr>
            <w:tcW w:w="249" w:type="pct"/>
            <w:vMerge/>
            <w:shd w:val="clear" w:color="auto" w:fill="D9D9D9"/>
          </w:tcPr>
          <w:p w:rsidR="00C55FEC" w:rsidRPr="008A7364" w:rsidRDefault="00C55FEC" w:rsidP="00C55FEC">
            <w:pPr>
              <w:spacing w:before="120" w:after="120" w:line="240" w:lineRule="auto"/>
              <w:jc w:val="center"/>
              <w:rPr>
                <w:rFonts w:cs="Arial"/>
                <w:b/>
                <w:sz w:val="18"/>
                <w:szCs w:val="18"/>
              </w:rPr>
            </w:pPr>
          </w:p>
        </w:tc>
        <w:tc>
          <w:tcPr>
            <w:tcW w:w="894" w:type="pct"/>
            <w:vMerge/>
            <w:shd w:val="clear" w:color="auto" w:fill="D9D9D9"/>
          </w:tcPr>
          <w:p w:rsidR="00C55FEC" w:rsidRPr="008A7364" w:rsidRDefault="00C55FEC" w:rsidP="00C55FEC">
            <w:pPr>
              <w:spacing w:before="120" w:after="120" w:line="240" w:lineRule="auto"/>
              <w:jc w:val="center"/>
              <w:rPr>
                <w:rFonts w:cs="Arial"/>
                <w:b/>
                <w:sz w:val="18"/>
                <w:szCs w:val="18"/>
              </w:rPr>
            </w:pPr>
          </w:p>
        </w:tc>
        <w:tc>
          <w:tcPr>
            <w:tcW w:w="2546" w:type="pct"/>
            <w:gridSpan w:val="7"/>
            <w:shd w:val="clear" w:color="auto" w:fill="D9D9D9"/>
            <w:vAlign w:val="center"/>
          </w:tcPr>
          <w:p w:rsidR="00C55FEC" w:rsidRPr="008A7364" w:rsidRDefault="00C55FEC" w:rsidP="00C55FEC">
            <w:pPr>
              <w:spacing w:before="120" w:after="120" w:line="240" w:lineRule="auto"/>
              <w:jc w:val="center"/>
              <w:rPr>
                <w:rFonts w:cs="Arial"/>
                <w:b/>
                <w:sz w:val="16"/>
                <w:szCs w:val="16"/>
              </w:rPr>
            </w:pPr>
            <w:r w:rsidRPr="008A7364">
              <w:rPr>
                <w:rFonts w:cs="Arial"/>
                <w:b/>
                <w:sz w:val="16"/>
                <w:szCs w:val="16"/>
              </w:rPr>
              <w:t>Classificação</w:t>
            </w:r>
          </w:p>
        </w:tc>
        <w:tc>
          <w:tcPr>
            <w:tcW w:w="726" w:type="pct"/>
            <w:gridSpan w:val="2"/>
            <w:shd w:val="clear" w:color="auto" w:fill="D9D9D9"/>
            <w:vAlign w:val="center"/>
          </w:tcPr>
          <w:p w:rsidR="00C55FEC" w:rsidRPr="008A7364" w:rsidRDefault="00C55FEC" w:rsidP="00C55FEC">
            <w:pPr>
              <w:spacing w:before="120" w:after="120" w:line="240" w:lineRule="auto"/>
              <w:jc w:val="center"/>
              <w:rPr>
                <w:rFonts w:cs="Arial"/>
                <w:b/>
                <w:sz w:val="16"/>
                <w:szCs w:val="16"/>
              </w:rPr>
            </w:pPr>
            <w:r w:rsidRPr="008A7364">
              <w:rPr>
                <w:rFonts w:cs="Arial"/>
                <w:b/>
                <w:sz w:val="16"/>
                <w:szCs w:val="16"/>
              </w:rPr>
              <w:t>Mensuração</w:t>
            </w:r>
          </w:p>
        </w:tc>
        <w:tc>
          <w:tcPr>
            <w:tcW w:w="397" w:type="pct"/>
            <w:vMerge w:val="restart"/>
            <w:shd w:val="clear" w:color="auto" w:fill="D9D9D9"/>
            <w:vAlign w:val="center"/>
          </w:tcPr>
          <w:p w:rsidR="00C55FEC" w:rsidRPr="008A7364" w:rsidRDefault="00C55FEC" w:rsidP="00C55FEC">
            <w:pPr>
              <w:spacing w:before="120" w:after="120" w:line="240" w:lineRule="auto"/>
              <w:jc w:val="center"/>
              <w:rPr>
                <w:rFonts w:cs="Arial"/>
                <w:b/>
                <w:sz w:val="16"/>
                <w:szCs w:val="16"/>
              </w:rPr>
            </w:pPr>
            <w:r w:rsidRPr="008A7364">
              <w:rPr>
                <w:rFonts w:cs="Arial"/>
                <w:b/>
                <w:sz w:val="16"/>
                <w:szCs w:val="16"/>
              </w:rPr>
              <w:t>Mitigação</w:t>
            </w:r>
          </w:p>
        </w:tc>
      </w:tr>
      <w:tr w:rsidR="00C55FEC" w:rsidRPr="008A7364" w:rsidTr="00C55FEC">
        <w:trPr>
          <w:trHeight w:val="447"/>
          <w:tblHeader/>
        </w:trPr>
        <w:tc>
          <w:tcPr>
            <w:tcW w:w="188" w:type="pct"/>
            <w:vMerge/>
            <w:shd w:val="clear" w:color="auto" w:fill="auto"/>
          </w:tcPr>
          <w:p w:rsidR="00C55FEC" w:rsidRPr="008A7364" w:rsidRDefault="00C55FEC" w:rsidP="00C55FEC">
            <w:pPr>
              <w:spacing w:before="120" w:after="120" w:line="240" w:lineRule="auto"/>
              <w:jc w:val="center"/>
              <w:rPr>
                <w:rFonts w:cs="Arial"/>
                <w:b/>
              </w:rPr>
            </w:pPr>
          </w:p>
        </w:tc>
        <w:tc>
          <w:tcPr>
            <w:tcW w:w="249" w:type="pct"/>
            <w:vMerge/>
            <w:shd w:val="clear" w:color="auto" w:fill="D9D9D9"/>
          </w:tcPr>
          <w:p w:rsidR="00C55FEC" w:rsidRPr="008A7364" w:rsidRDefault="00C55FEC" w:rsidP="00C55FEC">
            <w:pPr>
              <w:spacing w:before="120" w:after="120" w:line="240" w:lineRule="auto"/>
              <w:jc w:val="center"/>
              <w:rPr>
                <w:rFonts w:cs="Arial"/>
                <w:b/>
              </w:rPr>
            </w:pPr>
          </w:p>
        </w:tc>
        <w:tc>
          <w:tcPr>
            <w:tcW w:w="894" w:type="pct"/>
            <w:vMerge/>
            <w:shd w:val="clear" w:color="auto" w:fill="auto"/>
          </w:tcPr>
          <w:p w:rsidR="00C55FEC" w:rsidRPr="008A7364" w:rsidRDefault="00C55FEC" w:rsidP="00C55FEC">
            <w:pPr>
              <w:spacing w:before="120" w:after="120" w:line="240" w:lineRule="auto"/>
              <w:jc w:val="center"/>
              <w:rPr>
                <w:rFonts w:cs="Arial"/>
                <w:b/>
                <w:sz w:val="20"/>
              </w:rPr>
            </w:pPr>
          </w:p>
        </w:tc>
        <w:tc>
          <w:tcPr>
            <w:tcW w:w="335" w:type="pct"/>
            <w:shd w:val="clear" w:color="auto" w:fill="D9D9D9"/>
            <w:vAlign w:val="center"/>
          </w:tcPr>
          <w:p w:rsidR="00C55FEC" w:rsidRPr="008A7364" w:rsidRDefault="00C55FEC" w:rsidP="00C55FEC">
            <w:pPr>
              <w:spacing w:before="120" w:after="120" w:line="240" w:lineRule="auto"/>
              <w:jc w:val="center"/>
              <w:rPr>
                <w:rFonts w:cs="Arial"/>
                <w:b/>
                <w:sz w:val="16"/>
                <w:szCs w:val="16"/>
              </w:rPr>
            </w:pPr>
            <w:r w:rsidRPr="008A7364">
              <w:rPr>
                <w:rFonts w:cs="Arial"/>
                <w:b/>
                <w:sz w:val="16"/>
                <w:szCs w:val="16"/>
              </w:rPr>
              <w:t>Natureza</w:t>
            </w:r>
          </w:p>
        </w:tc>
        <w:tc>
          <w:tcPr>
            <w:tcW w:w="266" w:type="pct"/>
            <w:shd w:val="clear" w:color="auto" w:fill="D9D9D9"/>
            <w:vAlign w:val="center"/>
          </w:tcPr>
          <w:p w:rsidR="00C55FEC" w:rsidRPr="008A7364" w:rsidRDefault="00C55FEC" w:rsidP="00C55FEC">
            <w:pPr>
              <w:spacing w:before="120" w:after="120" w:line="240" w:lineRule="auto"/>
              <w:jc w:val="center"/>
              <w:rPr>
                <w:rFonts w:cs="Arial"/>
                <w:b/>
                <w:sz w:val="16"/>
                <w:szCs w:val="16"/>
              </w:rPr>
            </w:pPr>
            <w:r w:rsidRPr="008A7364">
              <w:rPr>
                <w:rFonts w:cs="Arial"/>
                <w:b/>
                <w:sz w:val="16"/>
                <w:szCs w:val="16"/>
              </w:rPr>
              <w:t>Ordem</w:t>
            </w:r>
          </w:p>
        </w:tc>
        <w:tc>
          <w:tcPr>
            <w:tcW w:w="449" w:type="pct"/>
            <w:shd w:val="clear" w:color="auto" w:fill="D9D9D9"/>
            <w:vAlign w:val="center"/>
          </w:tcPr>
          <w:p w:rsidR="00C55FEC" w:rsidRPr="008A7364" w:rsidRDefault="00C55FEC" w:rsidP="00C55FEC">
            <w:pPr>
              <w:spacing w:before="120" w:after="120" w:line="240" w:lineRule="auto"/>
              <w:jc w:val="center"/>
              <w:rPr>
                <w:rFonts w:cs="Arial"/>
                <w:b/>
                <w:sz w:val="16"/>
                <w:szCs w:val="16"/>
              </w:rPr>
            </w:pPr>
            <w:r w:rsidRPr="008A7364">
              <w:rPr>
                <w:rFonts w:cs="Arial"/>
                <w:b/>
                <w:sz w:val="16"/>
                <w:szCs w:val="16"/>
              </w:rPr>
              <w:t>Abrangência</w:t>
            </w:r>
          </w:p>
        </w:tc>
        <w:tc>
          <w:tcPr>
            <w:tcW w:w="398" w:type="pct"/>
            <w:shd w:val="clear" w:color="auto" w:fill="D9D9D9"/>
            <w:vAlign w:val="center"/>
          </w:tcPr>
          <w:p w:rsidR="00C55FEC" w:rsidRPr="008A7364" w:rsidRDefault="00C55FEC" w:rsidP="00C55FEC">
            <w:pPr>
              <w:spacing w:before="120" w:after="120" w:line="240" w:lineRule="auto"/>
              <w:jc w:val="center"/>
              <w:rPr>
                <w:rFonts w:cs="Arial"/>
                <w:b/>
                <w:sz w:val="16"/>
                <w:szCs w:val="16"/>
              </w:rPr>
            </w:pPr>
            <w:r w:rsidRPr="008A7364">
              <w:rPr>
                <w:rFonts w:cs="Arial"/>
                <w:b/>
                <w:sz w:val="16"/>
                <w:szCs w:val="16"/>
              </w:rPr>
              <w:t>Duração</w:t>
            </w:r>
          </w:p>
        </w:tc>
        <w:tc>
          <w:tcPr>
            <w:tcW w:w="299" w:type="pct"/>
            <w:shd w:val="clear" w:color="auto" w:fill="D9D9D9"/>
            <w:vAlign w:val="center"/>
          </w:tcPr>
          <w:p w:rsidR="00C55FEC" w:rsidRPr="008A7364" w:rsidRDefault="00C55FEC" w:rsidP="00C55FEC">
            <w:pPr>
              <w:spacing w:before="120" w:after="120" w:line="240" w:lineRule="auto"/>
              <w:jc w:val="center"/>
              <w:rPr>
                <w:rFonts w:cs="Arial"/>
                <w:b/>
                <w:sz w:val="16"/>
                <w:szCs w:val="16"/>
              </w:rPr>
            </w:pPr>
            <w:r w:rsidRPr="008A7364">
              <w:rPr>
                <w:rFonts w:cs="Arial"/>
                <w:b/>
                <w:sz w:val="16"/>
                <w:szCs w:val="16"/>
              </w:rPr>
              <w:t>Probabilidade</w:t>
            </w:r>
          </w:p>
        </w:tc>
        <w:tc>
          <w:tcPr>
            <w:tcW w:w="409" w:type="pct"/>
            <w:shd w:val="clear" w:color="auto" w:fill="D9D9D9"/>
            <w:vAlign w:val="center"/>
          </w:tcPr>
          <w:p w:rsidR="00C55FEC" w:rsidRPr="008A7364" w:rsidRDefault="00C55FEC" w:rsidP="00C55FEC">
            <w:pPr>
              <w:spacing w:before="120" w:after="120" w:line="240" w:lineRule="auto"/>
              <w:jc w:val="center"/>
              <w:rPr>
                <w:rFonts w:cs="Arial"/>
                <w:b/>
                <w:sz w:val="16"/>
                <w:szCs w:val="16"/>
              </w:rPr>
            </w:pPr>
            <w:r w:rsidRPr="008A7364">
              <w:rPr>
                <w:rFonts w:cs="Arial"/>
                <w:b/>
                <w:sz w:val="16"/>
                <w:szCs w:val="16"/>
              </w:rPr>
              <w:t>Época</w:t>
            </w:r>
          </w:p>
        </w:tc>
        <w:tc>
          <w:tcPr>
            <w:tcW w:w="390" w:type="pct"/>
            <w:shd w:val="clear" w:color="auto" w:fill="D9D9D9"/>
          </w:tcPr>
          <w:p w:rsidR="00C55FEC" w:rsidRPr="008A7364" w:rsidRDefault="00C55FEC" w:rsidP="00C55FEC">
            <w:pPr>
              <w:spacing w:before="120" w:after="120" w:line="240" w:lineRule="auto"/>
              <w:jc w:val="center"/>
              <w:rPr>
                <w:rFonts w:cs="Arial"/>
                <w:b/>
                <w:sz w:val="16"/>
                <w:szCs w:val="16"/>
              </w:rPr>
            </w:pPr>
            <w:r w:rsidRPr="008A7364">
              <w:rPr>
                <w:rFonts w:cs="Arial"/>
                <w:b/>
                <w:sz w:val="16"/>
                <w:szCs w:val="16"/>
              </w:rPr>
              <w:t>Reversibi</w:t>
            </w:r>
            <w:r w:rsidR="0053626B">
              <w:rPr>
                <w:rFonts w:cs="Arial"/>
                <w:b/>
                <w:sz w:val="16"/>
                <w:szCs w:val="16"/>
              </w:rPr>
              <w:t>-</w:t>
            </w:r>
            <w:r w:rsidRPr="008A7364">
              <w:rPr>
                <w:rFonts w:cs="Arial"/>
                <w:b/>
                <w:sz w:val="16"/>
                <w:szCs w:val="16"/>
              </w:rPr>
              <w:t>lidade</w:t>
            </w:r>
          </w:p>
        </w:tc>
        <w:tc>
          <w:tcPr>
            <w:tcW w:w="383" w:type="pct"/>
            <w:shd w:val="clear" w:color="auto" w:fill="D9D9D9"/>
            <w:vAlign w:val="center"/>
          </w:tcPr>
          <w:p w:rsidR="00C55FEC" w:rsidRPr="008A7364" w:rsidRDefault="00C55FEC" w:rsidP="00C55FEC">
            <w:pPr>
              <w:spacing w:before="120" w:after="120" w:line="240" w:lineRule="auto"/>
              <w:jc w:val="center"/>
              <w:rPr>
                <w:rFonts w:cs="Arial"/>
                <w:b/>
                <w:sz w:val="16"/>
                <w:szCs w:val="16"/>
              </w:rPr>
            </w:pPr>
            <w:r w:rsidRPr="008A7364">
              <w:rPr>
                <w:rFonts w:cs="Arial"/>
                <w:b/>
                <w:sz w:val="16"/>
                <w:szCs w:val="16"/>
              </w:rPr>
              <w:t>Magnitude</w:t>
            </w:r>
          </w:p>
        </w:tc>
        <w:tc>
          <w:tcPr>
            <w:tcW w:w="343" w:type="pct"/>
            <w:shd w:val="clear" w:color="auto" w:fill="D9D9D9"/>
            <w:vAlign w:val="center"/>
          </w:tcPr>
          <w:p w:rsidR="00C55FEC" w:rsidRPr="008A7364" w:rsidRDefault="00C55FEC" w:rsidP="00C55FEC">
            <w:pPr>
              <w:spacing w:before="120" w:after="120" w:line="240" w:lineRule="auto"/>
              <w:jc w:val="center"/>
              <w:rPr>
                <w:rFonts w:cs="Arial"/>
                <w:b/>
                <w:sz w:val="16"/>
                <w:szCs w:val="16"/>
              </w:rPr>
            </w:pPr>
            <w:r w:rsidRPr="008A7364">
              <w:rPr>
                <w:rFonts w:cs="Arial"/>
                <w:b/>
                <w:sz w:val="16"/>
                <w:szCs w:val="16"/>
              </w:rPr>
              <w:t>Impor</w:t>
            </w:r>
            <w:r w:rsidR="0053626B">
              <w:rPr>
                <w:rFonts w:cs="Arial"/>
                <w:b/>
                <w:sz w:val="16"/>
                <w:szCs w:val="16"/>
              </w:rPr>
              <w:t>-</w:t>
            </w:r>
            <w:r w:rsidRPr="008A7364">
              <w:rPr>
                <w:rFonts w:cs="Arial"/>
                <w:b/>
                <w:sz w:val="16"/>
                <w:szCs w:val="16"/>
              </w:rPr>
              <w:t>tância</w:t>
            </w:r>
          </w:p>
        </w:tc>
        <w:tc>
          <w:tcPr>
            <w:tcW w:w="397" w:type="pct"/>
            <w:vMerge/>
            <w:shd w:val="clear" w:color="auto" w:fill="auto"/>
          </w:tcPr>
          <w:p w:rsidR="00C55FEC" w:rsidRPr="008A7364" w:rsidRDefault="00C55FEC" w:rsidP="00C55FEC">
            <w:pPr>
              <w:spacing w:before="120" w:after="120" w:line="240" w:lineRule="auto"/>
              <w:jc w:val="center"/>
              <w:rPr>
                <w:rFonts w:cs="Arial"/>
                <w:b/>
                <w:sz w:val="16"/>
                <w:szCs w:val="16"/>
              </w:rPr>
            </w:pPr>
          </w:p>
        </w:tc>
      </w:tr>
      <w:tr w:rsidR="00087C57" w:rsidRPr="008A7364" w:rsidTr="00087C57">
        <w:trPr>
          <w:trHeight w:hRule="exact" w:val="324"/>
        </w:trPr>
        <w:tc>
          <w:tcPr>
            <w:tcW w:w="188" w:type="pct"/>
            <w:shd w:val="clear" w:color="auto" w:fill="auto"/>
            <w:vAlign w:val="center"/>
          </w:tcPr>
          <w:p w:rsidR="00087C57" w:rsidRPr="008A7364" w:rsidRDefault="00087C57" w:rsidP="00C55FEC">
            <w:pPr>
              <w:spacing w:line="240" w:lineRule="auto"/>
              <w:jc w:val="left"/>
              <w:rPr>
                <w:rFonts w:cs="Arial"/>
                <w:sz w:val="16"/>
                <w:szCs w:val="16"/>
              </w:rPr>
            </w:pPr>
            <w:r>
              <w:rPr>
                <w:rFonts w:cs="Arial"/>
                <w:sz w:val="16"/>
                <w:szCs w:val="16"/>
              </w:rPr>
              <w:t>52</w:t>
            </w:r>
          </w:p>
        </w:tc>
        <w:tc>
          <w:tcPr>
            <w:tcW w:w="249" w:type="pct"/>
            <w:vMerge w:val="restart"/>
            <w:shd w:val="clear" w:color="auto" w:fill="auto"/>
            <w:textDirection w:val="btLr"/>
            <w:vAlign w:val="center"/>
          </w:tcPr>
          <w:p w:rsidR="00087C57" w:rsidRPr="00C55FEC" w:rsidRDefault="00087C57" w:rsidP="008A7364">
            <w:pPr>
              <w:spacing w:line="240" w:lineRule="auto"/>
              <w:ind w:left="113" w:right="113"/>
              <w:jc w:val="center"/>
              <w:rPr>
                <w:rFonts w:cs="Arial"/>
                <w:b/>
                <w:szCs w:val="22"/>
              </w:rPr>
            </w:pPr>
            <w:r w:rsidRPr="00C55FEC">
              <w:rPr>
                <w:rFonts w:cs="Arial"/>
                <w:b/>
                <w:szCs w:val="22"/>
              </w:rPr>
              <w:t>Meio Socioeconômico</w:t>
            </w:r>
          </w:p>
        </w:tc>
        <w:tc>
          <w:tcPr>
            <w:tcW w:w="4563" w:type="pct"/>
            <w:gridSpan w:val="11"/>
            <w:shd w:val="clear" w:color="auto" w:fill="auto"/>
            <w:vAlign w:val="center"/>
          </w:tcPr>
          <w:p w:rsidR="00087C57" w:rsidRDefault="00087C57" w:rsidP="007A3613">
            <w:pPr>
              <w:spacing w:before="60" w:after="60" w:line="240" w:lineRule="auto"/>
              <w:rPr>
                <w:sz w:val="16"/>
                <w:szCs w:val="16"/>
              </w:rPr>
            </w:pPr>
            <w:r w:rsidRPr="00C55FEC">
              <w:rPr>
                <w:sz w:val="16"/>
                <w:szCs w:val="16"/>
              </w:rPr>
              <w:t>Aumento da Arrecadação Financeira nos Municípios da AID</w:t>
            </w:r>
          </w:p>
        </w:tc>
      </w:tr>
      <w:tr w:rsidR="00087C57" w:rsidRPr="008A7364" w:rsidTr="003031D7">
        <w:trPr>
          <w:trHeight w:hRule="exact" w:val="717"/>
        </w:trPr>
        <w:tc>
          <w:tcPr>
            <w:tcW w:w="188" w:type="pct"/>
            <w:shd w:val="clear" w:color="auto" w:fill="auto"/>
            <w:vAlign w:val="center"/>
          </w:tcPr>
          <w:p w:rsidR="00087C57" w:rsidRPr="008A7364" w:rsidRDefault="00087C57" w:rsidP="00C55FEC">
            <w:pPr>
              <w:spacing w:line="240" w:lineRule="auto"/>
              <w:jc w:val="left"/>
              <w:rPr>
                <w:rFonts w:cs="Arial"/>
                <w:sz w:val="16"/>
                <w:szCs w:val="16"/>
              </w:rPr>
            </w:pPr>
            <w:r w:rsidRPr="008A7364">
              <w:rPr>
                <w:rFonts w:cs="Arial"/>
                <w:sz w:val="16"/>
                <w:szCs w:val="16"/>
              </w:rPr>
              <w:t>5</w:t>
            </w:r>
            <w:r>
              <w:rPr>
                <w:rFonts w:cs="Arial"/>
                <w:sz w:val="16"/>
                <w:szCs w:val="16"/>
              </w:rPr>
              <w:t>2a</w:t>
            </w:r>
          </w:p>
        </w:tc>
        <w:tc>
          <w:tcPr>
            <w:tcW w:w="249" w:type="pct"/>
            <w:vMerge/>
            <w:shd w:val="clear" w:color="auto" w:fill="auto"/>
            <w:textDirection w:val="btLr"/>
            <w:vAlign w:val="center"/>
          </w:tcPr>
          <w:p w:rsidR="00087C57" w:rsidRPr="008A7364" w:rsidRDefault="00087C57" w:rsidP="008A7364">
            <w:pPr>
              <w:spacing w:line="240" w:lineRule="auto"/>
              <w:ind w:left="113" w:right="113"/>
              <w:jc w:val="center"/>
              <w:rPr>
                <w:rFonts w:cs="Arial"/>
                <w:sz w:val="20"/>
              </w:rPr>
            </w:pPr>
          </w:p>
        </w:tc>
        <w:tc>
          <w:tcPr>
            <w:tcW w:w="894" w:type="pct"/>
            <w:shd w:val="clear" w:color="auto" w:fill="auto"/>
            <w:vAlign w:val="center"/>
          </w:tcPr>
          <w:p w:rsidR="00087C57" w:rsidRPr="00C55FEC" w:rsidRDefault="00087C57" w:rsidP="007A3613">
            <w:pPr>
              <w:spacing w:before="120" w:after="120" w:line="240" w:lineRule="auto"/>
              <w:rPr>
                <w:sz w:val="16"/>
                <w:szCs w:val="16"/>
              </w:rPr>
            </w:pPr>
            <w:r w:rsidRPr="00C55FEC">
              <w:rPr>
                <w:sz w:val="16"/>
                <w:szCs w:val="16"/>
              </w:rPr>
              <w:t>Aumento da Arrecadação Financeira nos Municípios da AID</w:t>
            </w:r>
            <w:r>
              <w:rPr>
                <w:sz w:val="16"/>
                <w:szCs w:val="16"/>
              </w:rPr>
              <w:t>. Implantação</w:t>
            </w:r>
          </w:p>
        </w:tc>
        <w:tc>
          <w:tcPr>
            <w:tcW w:w="335"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Positivo</w:t>
            </w:r>
          </w:p>
        </w:tc>
        <w:tc>
          <w:tcPr>
            <w:tcW w:w="266"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Direto</w:t>
            </w:r>
          </w:p>
        </w:tc>
        <w:tc>
          <w:tcPr>
            <w:tcW w:w="449"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Local</w:t>
            </w:r>
          </w:p>
        </w:tc>
        <w:tc>
          <w:tcPr>
            <w:tcW w:w="398" w:type="pct"/>
            <w:shd w:val="clear" w:color="auto" w:fill="auto"/>
            <w:vAlign w:val="center"/>
          </w:tcPr>
          <w:p w:rsidR="00087C57" w:rsidRPr="008A7364" w:rsidRDefault="00087C57" w:rsidP="008A7364">
            <w:pPr>
              <w:spacing w:before="60" w:after="60" w:line="240" w:lineRule="auto"/>
              <w:jc w:val="center"/>
              <w:rPr>
                <w:sz w:val="16"/>
                <w:szCs w:val="16"/>
              </w:rPr>
            </w:pPr>
            <w:r>
              <w:rPr>
                <w:sz w:val="16"/>
                <w:szCs w:val="16"/>
              </w:rPr>
              <w:t>Temporário</w:t>
            </w:r>
          </w:p>
        </w:tc>
        <w:tc>
          <w:tcPr>
            <w:tcW w:w="299" w:type="pct"/>
            <w:shd w:val="clear" w:color="auto" w:fill="auto"/>
            <w:vAlign w:val="center"/>
          </w:tcPr>
          <w:p w:rsidR="00087C57" w:rsidRPr="00D91A38" w:rsidRDefault="00087C57" w:rsidP="008A7364">
            <w:pPr>
              <w:spacing w:before="60" w:after="60" w:line="240" w:lineRule="auto"/>
              <w:jc w:val="center"/>
              <w:rPr>
                <w:sz w:val="16"/>
                <w:szCs w:val="16"/>
              </w:rPr>
            </w:pPr>
            <w:r w:rsidRPr="00D91A38">
              <w:rPr>
                <w:sz w:val="16"/>
                <w:szCs w:val="16"/>
              </w:rPr>
              <w:t>Certa</w:t>
            </w:r>
          </w:p>
        </w:tc>
        <w:tc>
          <w:tcPr>
            <w:tcW w:w="409" w:type="pct"/>
            <w:shd w:val="clear" w:color="auto" w:fill="auto"/>
            <w:vAlign w:val="center"/>
          </w:tcPr>
          <w:p w:rsidR="00087C57" w:rsidRPr="008A7364" w:rsidRDefault="00087C57" w:rsidP="00C55FEC">
            <w:pPr>
              <w:spacing w:before="60" w:after="60" w:line="240" w:lineRule="auto"/>
              <w:jc w:val="center"/>
              <w:rPr>
                <w:sz w:val="16"/>
                <w:szCs w:val="16"/>
              </w:rPr>
            </w:pPr>
            <w:r>
              <w:rPr>
                <w:sz w:val="16"/>
                <w:szCs w:val="16"/>
              </w:rPr>
              <w:t>Curto P</w:t>
            </w:r>
            <w:r w:rsidRPr="008A7364">
              <w:rPr>
                <w:sz w:val="16"/>
                <w:szCs w:val="16"/>
              </w:rPr>
              <w:t>razo</w:t>
            </w:r>
          </w:p>
        </w:tc>
        <w:tc>
          <w:tcPr>
            <w:tcW w:w="390" w:type="pct"/>
            <w:shd w:val="clear" w:color="auto" w:fill="auto"/>
            <w:vAlign w:val="center"/>
          </w:tcPr>
          <w:p w:rsidR="00087C57" w:rsidRPr="008A7364" w:rsidRDefault="00087C57" w:rsidP="008A7364">
            <w:pPr>
              <w:spacing w:before="60" w:after="60" w:line="240" w:lineRule="auto"/>
              <w:jc w:val="center"/>
              <w:rPr>
                <w:sz w:val="16"/>
                <w:szCs w:val="16"/>
              </w:rPr>
            </w:pPr>
            <w:r>
              <w:rPr>
                <w:sz w:val="16"/>
                <w:szCs w:val="16"/>
              </w:rPr>
              <w:t>R</w:t>
            </w:r>
            <w:r w:rsidRPr="008A7364">
              <w:rPr>
                <w:sz w:val="16"/>
                <w:szCs w:val="16"/>
              </w:rPr>
              <w:t>eversível</w:t>
            </w:r>
          </w:p>
        </w:tc>
        <w:tc>
          <w:tcPr>
            <w:tcW w:w="383"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Média</w:t>
            </w:r>
          </w:p>
        </w:tc>
        <w:tc>
          <w:tcPr>
            <w:tcW w:w="343"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Média</w:t>
            </w:r>
          </w:p>
        </w:tc>
        <w:tc>
          <w:tcPr>
            <w:tcW w:w="397" w:type="pct"/>
            <w:shd w:val="clear" w:color="auto" w:fill="auto"/>
            <w:vAlign w:val="center"/>
          </w:tcPr>
          <w:p w:rsidR="00087C57" w:rsidRPr="008A7364" w:rsidRDefault="00087C57" w:rsidP="008A7364">
            <w:pPr>
              <w:spacing w:before="60" w:after="60" w:line="240" w:lineRule="auto"/>
              <w:jc w:val="center"/>
              <w:rPr>
                <w:sz w:val="16"/>
                <w:szCs w:val="16"/>
              </w:rPr>
            </w:pPr>
            <w:r>
              <w:rPr>
                <w:sz w:val="16"/>
                <w:szCs w:val="16"/>
              </w:rPr>
              <w:t>---</w:t>
            </w:r>
          </w:p>
        </w:tc>
      </w:tr>
      <w:tr w:rsidR="00087C57" w:rsidRPr="008A7364" w:rsidTr="003031D7">
        <w:trPr>
          <w:trHeight w:hRule="exact" w:val="717"/>
        </w:trPr>
        <w:tc>
          <w:tcPr>
            <w:tcW w:w="188" w:type="pct"/>
            <w:shd w:val="clear" w:color="auto" w:fill="auto"/>
            <w:vAlign w:val="center"/>
          </w:tcPr>
          <w:p w:rsidR="00087C57" w:rsidRPr="008A7364" w:rsidRDefault="00087C57" w:rsidP="00C55FEC">
            <w:pPr>
              <w:spacing w:line="240" w:lineRule="auto"/>
              <w:jc w:val="left"/>
              <w:rPr>
                <w:rFonts w:cs="Arial"/>
                <w:sz w:val="16"/>
                <w:szCs w:val="16"/>
              </w:rPr>
            </w:pPr>
            <w:r>
              <w:rPr>
                <w:rFonts w:cs="Arial"/>
                <w:sz w:val="16"/>
                <w:szCs w:val="16"/>
              </w:rPr>
              <w:t>52b</w:t>
            </w:r>
          </w:p>
        </w:tc>
        <w:tc>
          <w:tcPr>
            <w:tcW w:w="249" w:type="pct"/>
            <w:vMerge/>
            <w:shd w:val="clear" w:color="auto" w:fill="auto"/>
            <w:textDirection w:val="btLr"/>
            <w:vAlign w:val="center"/>
          </w:tcPr>
          <w:p w:rsidR="00087C57" w:rsidRPr="00C55FEC" w:rsidRDefault="00087C57" w:rsidP="008A7364">
            <w:pPr>
              <w:spacing w:line="240" w:lineRule="auto"/>
              <w:ind w:left="113" w:right="113"/>
              <w:jc w:val="center"/>
              <w:rPr>
                <w:rFonts w:cs="Arial"/>
                <w:b/>
                <w:szCs w:val="22"/>
              </w:rPr>
            </w:pPr>
          </w:p>
        </w:tc>
        <w:tc>
          <w:tcPr>
            <w:tcW w:w="894" w:type="pct"/>
            <w:shd w:val="clear" w:color="auto" w:fill="auto"/>
            <w:vAlign w:val="center"/>
          </w:tcPr>
          <w:p w:rsidR="00087C57" w:rsidRPr="00C55FEC" w:rsidRDefault="00087C57" w:rsidP="007A3613">
            <w:pPr>
              <w:spacing w:before="120" w:after="120" w:line="240" w:lineRule="auto"/>
              <w:rPr>
                <w:sz w:val="16"/>
                <w:szCs w:val="16"/>
              </w:rPr>
            </w:pPr>
            <w:r w:rsidRPr="00C55FEC">
              <w:rPr>
                <w:sz w:val="16"/>
                <w:szCs w:val="16"/>
              </w:rPr>
              <w:t>Aumento da Arrecadação Financeira nos Municípios da AID</w:t>
            </w:r>
            <w:r>
              <w:rPr>
                <w:sz w:val="16"/>
                <w:szCs w:val="16"/>
              </w:rPr>
              <w:t>. Operação</w:t>
            </w:r>
          </w:p>
        </w:tc>
        <w:tc>
          <w:tcPr>
            <w:tcW w:w="335" w:type="pct"/>
            <w:shd w:val="clear" w:color="auto" w:fill="auto"/>
            <w:vAlign w:val="center"/>
          </w:tcPr>
          <w:p w:rsidR="00087C57" w:rsidRPr="008A7364" w:rsidRDefault="00087C57" w:rsidP="00C55FEC">
            <w:pPr>
              <w:spacing w:before="60" w:after="60" w:line="240" w:lineRule="auto"/>
              <w:jc w:val="center"/>
              <w:rPr>
                <w:sz w:val="16"/>
                <w:szCs w:val="16"/>
              </w:rPr>
            </w:pPr>
            <w:r w:rsidRPr="008A7364">
              <w:rPr>
                <w:sz w:val="16"/>
                <w:szCs w:val="16"/>
              </w:rPr>
              <w:t>Positivo</w:t>
            </w:r>
          </w:p>
        </w:tc>
        <w:tc>
          <w:tcPr>
            <w:tcW w:w="266" w:type="pct"/>
            <w:shd w:val="clear" w:color="auto" w:fill="auto"/>
            <w:vAlign w:val="center"/>
          </w:tcPr>
          <w:p w:rsidR="00087C57" w:rsidRPr="008A7364" w:rsidRDefault="00087C57" w:rsidP="00C55FEC">
            <w:pPr>
              <w:spacing w:before="60" w:after="60" w:line="240" w:lineRule="auto"/>
              <w:jc w:val="center"/>
              <w:rPr>
                <w:sz w:val="16"/>
                <w:szCs w:val="16"/>
              </w:rPr>
            </w:pPr>
            <w:r w:rsidRPr="008A7364">
              <w:rPr>
                <w:sz w:val="16"/>
                <w:szCs w:val="16"/>
              </w:rPr>
              <w:t>Direto</w:t>
            </w:r>
          </w:p>
        </w:tc>
        <w:tc>
          <w:tcPr>
            <w:tcW w:w="449" w:type="pct"/>
            <w:shd w:val="clear" w:color="auto" w:fill="auto"/>
            <w:vAlign w:val="center"/>
          </w:tcPr>
          <w:p w:rsidR="00087C57" w:rsidRPr="008A7364" w:rsidRDefault="00087C57" w:rsidP="00C55FEC">
            <w:pPr>
              <w:spacing w:before="60" w:after="60" w:line="240" w:lineRule="auto"/>
              <w:jc w:val="center"/>
              <w:rPr>
                <w:sz w:val="16"/>
                <w:szCs w:val="16"/>
              </w:rPr>
            </w:pPr>
            <w:r w:rsidRPr="008A7364">
              <w:rPr>
                <w:sz w:val="16"/>
                <w:szCs w:val="16"/>
              </w:rPr>
              <w:t>Local</w:t>
            </w:r>
          </w:p>
        </w:tc>
        <w:tc>
          <w:tcPr>
            <w:tcW w:w="398" w:type="pct"/>
            <w:shd w:val="clear" w:color="auto" w:fill="auto"/>
            <w:vAlign w:val="center"/>
          </w:tcPr>
          <w:p w:rsidR="00087C57" w:rsidRPr="008A7364" w:rsidRDefault="00087C57" w:rsidP="00C55FEC">
            <w:pPr>
              <w:spacing w:before="60" w:after="60" w:line="240" w:lineRule="auto"/>
              <w:jc w:val="center"/>
              <w:rPr>
                <w:sz w:val="16"/>
                <w:szCs w:val="16"/>
              </w:rPr>
            </w:pPr>
            <w:r>
              <w:rPr>
                <w:sz w:val="16"/>
                <w:szCs w:val="16"/>
              </w:rPr>
              <w:t>Permanente</w:t>
            </w:r>
          </w:p>
        </w:tc>
        <w:tc>
          <w:tcPr>
            <w:tcW w:w="299" w:type="pct"/>
            <w:shd w:val="clear" w:color="auto" w:fill="auto"/>
            <w:vAlign w:val="center"/>
          </w:tcPr>
          <w:p w:rsidR="00087C57" w:rsidRPr="00D91A38" w:rsidRDefault="00087C57" w:rsidP="00C55FEC">
            <w:pPr>
              <w:spacing w:before="60" w:after="60" w:line="240" w:lineRule="auto"/>
              <w:jc w:val="center"/>
              <w:rPr>
                <w:sz w:val="16"/>
                <w:szCs w:val="16"/>
              </w:rPr>
            </w:pPr>
            <w:r w:rsidRPr="00D91A38">
              <w:rPr>
                <w:sz w:val="16"/>
                <w:szCs w:val="16"/>
              </w:rPr>
              <w:t>Certa</w:t>
            </w:r>
          </w:p>
        </w:tc>
        <w:tc>
          <w:tcPr>
            <w:tcW w:w="409" w:type="pct"/>
            <w:shd w:val="clear" w:color="auto" w:fill="auto"/>
            <w:vAlign w:val="center"/>
          </w:tcPr>
          <w:p w:rsidR="00087C57" w:rsidRPr="008A7364" w:rsidRDefault="00087C57" w:rsidP="00C55FEC">
            <w:pPr>
              <w:spacing w:before="60" w:after="60" w:line="240" w:lineRule="auto"/>
              <w:jc w:val="center"/>
              <w:rPr>
                <w:sz w:val="16"/>
                <w:szCs w:val="16"/>
              </w:rPr>
            </w:pPr>
            <w:r>
              <w:rPr>
                <w:sz w:val="16"/>
                <w:szCs w:val="16"/>
              </w:rPr>
              <w:t>Longo P</w:t>
            </w:r>
            <w:r w:rsidRPr="008A7364">
              <w:rPr>
                <w:sz w:val="16"/>
                <w:szCs w:val="16"/>
              </w:rPr>
              <w:t>razo</w:t>
            </w:r>
          </w:p>
        </w:tc>
        <w:tc>
          <w:tcPr>
            <w:tcW w:w="390" w:type="pct"/>
            <w:shd w:val="clear" w:color="auto" w:fill="auto"/>
            <w:vAlign w:val="center"/>
          </w:tcPr>
          <w:p w:rsidR="00087C57" w:rsidRPr="008A7364" w:rsidRDefault="00087C57" w:rsidP="00C55FEC">
            <w:pPr>
              <w:spacing w:before="60" w:after="60" w:line="240" w:lineRule="auto"/>
              <w:jc w:val="center"/>
              <w:rPr>
                <w:sz w:val="16"/>
                <w:szCs w:val="16"/>
              </w:rPr>
            </w:pPr>
            <w:r>
              <w:rPr>
                <w:sz w:val="16"/>
                <w:szCs w:val="16"/>
              </w:rPr>
              <w:t>Irr</w:t>
            </w:r>
            <w:r w:rsidRPr="008A7364">
              <w:rPr>
                <w:sz w:val="16"/>
                <w:szCs w:val="16"/>
              </w:rPr>
              <w:t>eversível</w:t>
            </w:r>
          </w:p>
        </w:tc>
        <w:tc>
          <w:tcPr>
            <w:tcW w:w="383" w:type="pct"/>
            <w:shd w:val="clear" w:color="auto" w:fill="auto"/>
            <w:vAlign w:val="center"/>
          </w:tcPr>
          <w:p w:rsidR="00087C57" w:rsidRPr="008A7364" w:rsidRDefault="00087C57" w:rsidP="00C55FEC">
            <w:pPr>
              <w:spacing w:before="60" w:after="60" w:line="240" w:lineRule="auto"/>
              <w:jc w:val="center"/>
              <w:rPr>
                <w:sz w:val="16"/>
                <w:szCs w:val="16"/>
              </w:rPr>
            </w:pPr>
            <w:r w:rsidRPr="008A7364">
              <w:rPr>
                <w:sz w:val="16"/>
                <w:szCs w:val="16"/>
              </w:rPr>
              <w:t>Média</w:t>
            </w:r>
          </w:p>
        </w:tc>
        <w:tc>
          <w:tcPr>
            <w:tcW w:w="343" w:type="pct"/>
            <w:shd w:val="clear" w:color="auto" w:fill="auto"/>
            <w:vAlign w:val="center"/>
          </w:tcPr>
          <w:p w:rsidR="00087C57" w:rsidRPr="008A7364" w:rsidRDefault="00087C57" w:rsidP="00C55FEC">
            <w:pPr>
              <w:spacing w:before="60" w:after="60" w:line="240" w:lineRule="auto"/>
              <w:jc w:val="center"/>
              <w:rPr>
                <w:sz w:val="16"/>
                <w:szCs w:val="16"/>
              </w:rPr>
            </w:pPr>
            <w:r w:rsidRPr="008A7364">
              <w:rPr>
                <w:sz w:val="16"/>
                <w:szCs w:val="16"/>
              </w:rPr>
              <w:t>Média</w:t>
            </w:r>
          </w:p>
        </w:tc>
        <w:tc>
          <w:tcPr>
            <w:tcW w:w="397" w:type="pct"/>
            <w:shd w:val="clear" w:color="auto" w:fill="auto"/>
            <w:vAlign w:val="center"/>
          </w:tcPr>
          <w:p w:rsidR="00087C57" w:rsidRPr="008A7364" w:rsidRDefault="00087C57" w:rsidP="00C55FEC">
            <w:pPr>
              <w:spacing w:before="60" w:after="60" w:line="240" w:lineRule="auto"/>
              <w:jc w:val="center"/>
              <w:rPr>
                <w:sz w:val="16"/>
                <w:szCs w:val="16"/>
              </w:rPr>
            </w:pPr>
            <w:r>
              <w:rPr>
                <w:sz w:val="16"/>
                <w:szCs w:val="16"/>
              </w:rPr>
              <w:t>---</w:t>
            </w:r>
          </w:p>
        </w:tc>
      </w:tr>
      <w:tr w:rsidR="00087C57" w:rsidRPr="008A7364" w:rsidTr="00087C57">
        <w:trPr>
          <w:trHeight w:hRule="exact" w:val="251"/>
        </w:trPr>
        <w:tc>
          <w:tcPr>
            <w:tcW w:w="188" w:type="pct"/>
            <w:shd w:val="clear" w:color="auto" w:fill="auto"/>
            <w:vAlign w:val="center"/>
          </w:tcPr>
          <w:p w:rsidR="00087C57" w:rsidRPr="008A7364" w:rsidRDefault="00087C57" w:rsidP="00C55FEC">
            <w:pPr>
              <w:spacing w:line="240" w:lineRule="auto"/>
              <w:jc w:val="left"/>
              <w:rPr>
                <w:rFonts w:cs="Arial"/>
                <w:sz w:val="16"/>
                <w:szCs w:val="16"/>
              </w:rPr>
            </w:pPr>
            <w:r>
              <w:rPr>
                <w:rFonts w:cs="Arial"/>
                <w:sz w:val="16"/>
                <w:szCs w:val="16"/>
              </w:rPr>
              <w:t>53</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4563" w:type="pct"/>
            <w:gridSpan w:val="11"/>
            <w:shd w:val="clear" w:color="auto" w:fill="auto"/>
            <w:vAlign w:val="center"/>
          </w:tcPr>
          <w:p w:rsidR="00087C57" w:rsidRPr="008A7364" w:rsidRDefault="00087C57" w:rsidP="007A3613">
            <w:pPr>
              <w:spacing w:before="60" w:after="60" w:line="240" w:lineRule="auto"/>
              <w:rPr>
                <w:sz w:val="16"/>
                <w:szCs w:val="16"/>
              </w:rPr>
            </w:pPr>
            <w:r w:rsidRPr="008A7364">
              <w:rPr>
                <w:sz w:val="16"/>
                <w:szCs w:val="16"/>
              </w:rPr>
              <w:t>Contribuição ao Desenvolvimento Econômico e Social Regional</w:t>
            </w:r>
          </w:p>
        </w:tc>
      </w:tr>
      <w:tr w:rsidR="00087C57" w:rsidRPr="008A7364" w:rsidTr="001856B7">
        <w:trPr>
          <w:trHeight w:hRule="exact" w:val="675"/>
        </w:trPr>
        <w:tc>
          <w:tcPr>
            <w:tcW w:w="188" w:type="pct"/>
            <w:shd w:val="clear" w:color="auto" w:fill="auto"/>
            <w:vAlign w:val="center"/>
          </w:tcPr>
          <w:p w:rsidR="00087C57" w:rsidRPr="008A7364" w:rsidRDefault="00087C57" w:rsidP="00C55FEC">
            <w:pPr>
              <w:spacing w:line="240" w:lineRule="auto"/>
              <w:jc w:val="left"/>
              <w:rPr>
                <w:rFonts w:cs="Arial"/>
                <w:sz w:val="16"/>
                <w:szCs w:val="16"/>
              </w:rPr>
            </w:pPr>
            <w:r w:rsidRPr="008A7364">
              <w:rPr>
                <w:rFonts w:cs="Arial"/>
                <w:sz w:val="16"/>
                <w:szCs w:val="16"/>
              </w:rPr>
              <w:t>5</w:t>
            </w:r>
            <w:r>
              <w:rPr>
                <w:rFonts w:cs="Arial"/>
                <w:sz w:val="16"/>
                <w:szCs w:val="16"/>
              </w:rPr>
              <w:t>3a</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8A7364" w:rsidRDefault="00087C57" w:rsidP="007A3613">
            <w:pPr>
              <w:spacing w:before="120" w:after="120" w:line="240" w:lineRule="auto"/>
              <w:rPr>
                <w:sz w:val="16"/>
                <w:szCs w:val="16"/>
              </w:rPr>
            </w:pPr>
            <w:r w:rsidRPr="008A7364">
              <w:rPr>
                <w:sz w:val="16"/>
                <w:szCs w:val="16"/>
              </w:rPr>
              <w:t>Contribuição ao Desenvol</w:t>
            </w:r>
            <w:r w:rsidR="00373099">
              <w:rPr>
                <w:sz w:val="16"/>
                <w:szCs w:val="16"/>
              </w:rPr>
              <w:t>-</w:t>
            </w:r>
            <w:r w:rsidRPr="008A7364">
              <w:rPr>
                <w:sz w:val="16"/>
                <w:szCs w:val="16"/>
              </w:rPr>
              <w:t>vimento Econômico e Social Regional</w:t>
            </w:r>
            <w:r>
              <w:rPr>
                <w:sz w:val="16"/>
                <w:szCs w:val="16"/>
              </w:rPr>
              <w:t>. Implantação</w:t>
            </w:r>
          </w:p>
        </w:tc>
        <w:tc>
          <w:tcPr>
            <w:tcW w:w="335"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Positivo</w:t>
            </w:r>
          </w:p>
        </w:tc>
        <w:tc>
          <w:tcPr>
            <w:tcW w:w="266"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Direto</w:t>
            </w:r>
          </w:p>
        </w:tc>
        <w:tc>
          <w:tcPr>
            <w:tcW w:w="449"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Local/Regional</w:t>
            </w:r>
          </w:p>
        </w:tc>
        <w:tc>
          <w:tcPr>
            <w:tcW w:w="398"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Temporária</w:t>
            </w:r>
          </w:p>
        </w:tc>
        <w:tc>
          <w:tcPr>
            <w:tcW w:w="299" w:type="pct"/>
            <w:shd w:val="clear" w:color="auto" w:fill="auto"/>
            <w:vAlign w:val="center"/>
          </w:tcPr>
          <w:p w:rsidR="00087C57" w:rsidRPr="00D91A38" w:rsidRDefault="00087C57" w:rsidP="008A7364">
            <w:pPr>
              <w:spacing w:before="60" w:after="60" w:line="240" w:lineRule="auto"/>
              <w:jc w:val="center"/>
              <w:rPr>
                <w:sz w:val="16"/>
                <w:szCs w:val="16"/>
              </w:rPr>
            </w:pPr>
            <w:r w:rsidRPr="00D91A38">
              <w:rPr>
                <w:sz w:val="16"/>
                <w:szCs w:val="16"/>
              </w:rPr>
              <w:t>Certa</w:t>
            </w:r>
          </w:p>
        </w:tc>
        <w:tc>
          <w:tcPr>
            <w:tcW w:w="409"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Curto Prazo</w:t>
            </w:r>
          </w:p>
        </w:tc>
        <w:tc>
          <w:tcPr>
            <w:tcW w:w="390"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Reversível</w:t>
            </w:r>
          </w:p>
        </w:tc>
        <w:tc>
          <w:tcPr>
            <w:tcW w:w="383"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Média</w:t>
            </w:r>
          </w:p>
        </w:tc>
        <w:tc>
          <w:tcPr>
            <w:tcW w:w="343"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Média</w:t>
            </w:r>
          </w:p>
        </w:tc>
        <w:tc>
          <w:tcPr>
            <w:tcW w:w="397"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w:t>
            </w:r>
          </w:p>
        </w:tc>
      </w:tr>
      <w:tr w:rsidR="00087C57" w:rsidRPr="008A7364" w:rsidTr="001856B7">
        <w:trPr>
          <w:trHeight w:hRule="exact" w:val="713"/>
        </w:trPr>
        <w:tc>
          <w:tcPr>
            <w:tcW w:w="188" w:type="pct"/>
            <w:shd w:val="clear" w:color="auto" w:fill="auto"/>
            <w:vAlign w:val="center"/>
          </w:tcPr>
          <w:p w:rsidR="00087C57" w:rsidRPr="008A7364" w:rsidRDefault="00087C57" w:rsidP="001856B7">
            <w:pPr>
              <w:spacing w:line="240" w:lineRule="auto"/>
              <w:jc w:val="left"/>
              <w:rPr>
                <w:rFonts w:cs="Arial"/>
                <w:sz w:val="16"/>
                <w:szCs w:val="16"/>
              </w:rPr>
            </w:pPr>
            <w:r w:rsidRPr="008A7364">
              <w:rPr>
                <w:rFonts w:cs="Arial"/>
                <w:sz w:val="16"/>
                <w:szCs w:val="16"/>
              </w:rPr>
              <w:t>5</w:t>
            </w:r>
            <w:r>
              <w:rPr>
                <w:rFonts w:cs="Arial"/>
                <w:sz w:val="16"/>
                <w:szCs w:val="16"/>
              </w:rPr>
              <w:t>3b</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8A7364" w:rsidRDefault="00087C57" w:rsidP="007A3613">
            <w:pPr>
              <w:spacing w:before="120" w:after="120" w:line="240" w:lineRule="auto"/>
              <w:rPr>
                <w:sz w:val="16"/>
                <w:szCs w:val="16"/>
              </w:rPr>
            </w:pPr>
            <w:r w:rsidRPr="008A7364">
              <w:rPr>
                <w:sz w:val="16"/>
                <w:szCs w:val="16"/>
              </w:rPr>
              <w:t>Contribuição ao Desenvol</w:t>
            </w:r>
            <w:r w:rsidR="00373099">
              <w:rPr>
                <w:sz w:val="16"/>
                <w:szCs w:val="16"/>
              </w:rPr>
              <w:t>-</w:t>
            </w:r>
            <w:r w:rsidRPr="008A7364">
              <w:rPr>
                <w:sz w:val="16"/>
                <w:szCs w:val="16"/>
              </w:rPr>
              <w:t>vimento Econômico e Social Regional</w:t>
            </w:r>
            <w:r>
              <w:rPr>
                <w:sz w:val="16"/>
                <w:szCs w:val="16"/>
              </w:rPr>
              <w:t>. Operação</w:t>
            </w:r>
          </w:p>
        </w:tc>
        <w:tc>
          <w:tcPr>
            <w:tcW w:w="335"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Positivo</w:t>
            </w:r>
          </w:p>
        </w:tc>
        <w:tc>
          <w:tcPr>
            <w:tcW w:w="266"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Indireto</w:t>
            </w:r>
          </w:p>
        </w:tc>
        <w:tc>
          <w:tcPr>
            <w:tcW w:w="449"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Regional/ Estratégica</w:t>
            </w:r>
          </w:p>
        </w:tc>
        <w:tc>
          <w:tcPr>
            <w:tcW w:w="398"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Permanente</w:t>
            </w:r>
          </w:p>
        </w:tc>
        <w:tc>
          <w:tcPr>
            <w:tcW w:w="299" w:type="pct"/>
            <w:shd w:val="clear" w:color="auto" w:fill="auto"/>
            <w:vAlign w:val="center"/>
          </w:tcPr>
          <w:p w:rsidR="00087C57" w:rsidRPr="00D91A38" w:rsidRDefault="00087C57" w:rsidP="008A7364">
            <w:pPr>
              <w:spacing w:before="60" w:after="60" w:line="240" w:lineRule="auto"/>
              <w:jc w:val="center"/>
              <w:rPr>
                <w:sz w:val="16"/>
                <w:szCs w:val="16"/>
              </w:rPr>
            </w:pPr>
            <w:r w:rsidRPr="00D91A38">
              <w:rPr>
                <w:sz w:val="16"/>
                <w:szCs w:val="16"/>
              </w:rPr>
              <w:t>Certa</w:t>
            </w:r>
          </w:p>
        </w:tc>
        <w:tc>
          <w:tcPr>
            <w:tcW w:w="409"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Médio/Longo Prazo</w:t>
            </w:r>
          </w:p>
        </w:tc>
        <w:tc>
          <w:tcPr>
            <w:tcW w:w="390"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Irreversível</w:t>
            </w:r>
          </w:p>
        </w:tc>
        <w:tc>
          <w:tcPr>
            <w:tcW w:w="383"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Grande</w:t>
            </w:r>
          </w:p>
        </w:tc>
        <w:tc>
          <w:tcPr>
            <w:tcW w:w="343"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Alta</w:t>
            </w:r>
          </w:p>
        </w:tc>
        <w:tc>
          <w:tcPr>
            <w:tcW w:w="397"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w:t>
            </w:r>
          </w:p>
        </w:tc>
      </w:tr>
      <w:tr w:rsidR="00087C57" w:rsidRPr="008A7364" w:rsidTr="001856B7">
        <w:trPr>
          <w:trHeight w:hRule="exact" w:val="708"/>
        </w:trPr>
        <w:tc>
          <w:tcPr>
            <w:tcW w:w="188" w:type="pct"/>
            <w:shd w:val="clear" w:color="auto" w:fill="auto"/>
            <w:vAlign w:val="center"/>
          </w:tcPr>
          <w:p w:rsidR="00087C57" w:rsidRPr="008A7364" w:rsidRDefault="00087C57" w:rsidP="001856B7">
            <w:pPr>
              <w:spacing w:line="240" w:lineRule="auto"/>
              <w:jc w:val="left"/>
              <w:rPr>
                <w:rFonts w:cs="Arial"/>
                <w:sz w:val="16"/>
                <w:szCs w:val="16"/>
              </w:rPr>
            </w:pPr>
            <w:r>
              <w:rPr>
                <w:rFonts w:cs="Arial"/>
                <w:sz w:val="16"/>
                <w:szCs w:val="16"/>
              </w:rPr>
              <w:t>54</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8A7364" w:rsidRDefault="00087C57" w:rsidP="007A3613">
            <w:pPr>
              <w:spacing w:before="120" w:after="120" w:line="240" w:lineRule="auto"/>
              <w:rPr>
                <w:sz w:val="16"/>
                <w:szCs w:val="16"/>
              </w:rPr>
            </w:pPr>
            <w:r>
              <w:rPr>
                <w:sz w:val="16"/>
                <w:szCs w:val="16"/>
              </w:rPr>
              <w:t>Interferência com o Patrimônio Histórico, Cultural e Arqueológico. Implantação</w:t>
            </w:r>
          </w:p>
        </w:tc>
        <w:tc>
          <w:tcPr>
            <w:tcW w:w="335" w:type="pct"/>
            <w:shd w:val="clear" w:color="auto" w:fill="auto"/>
            <w:vAlign w:val="center"/>
          </w:tcPr>
          <w:p w:rsidR="00087C57" w:rsidRPr="008A7364" w:rsidRDefault="00087C57" w:rsidP="008A7364">
            <w:pPr>
              <w:spacing w:before="60" w:after="60" w:line="240" w:lineRule="auto"/>
              <w:jc w:val="center"/>
              <w:rPr>
                <w:sz w:val="16"/>
                <w:szCs w:val="16"/>
              </w:rPr>
            </w:pPr>
            <w:r>
              <w:rPr>
                <w:sz w:val="16"/>
                <w:szCs w:val="16"/>
              </w:rPr>
              <w:t>Negativo</w:t>
            </w:r>
          </w:p>
        </w:tc>
        <w:tc>
          <w:tcPr>
            <w:tcW w:w="266" w:type="pct"/>
            <w:shd w:val="clear" w:color="auto" w:fill="auto"/>
            <w:vAlign w:val="center"/>
          </w:tcPr>
          <w:p w:rsidR="00087C57" w:rsidRPr="008A7364" w:rsidRDefault="00087C57" w:rsidP="008A7364">
            <w:pPr>
              <w:spacing w:before="60" w:after="60" w:line="240" w:lineRule="auto"/>
              <w:jc w:val="center"/>
              <w:rPr>
                <w:sz w:val="16"/>
                <w:szCs w:val="16"/>
              </w:rPr>
            </w:pPr>
            <w:r>
              <w:rPr>
                <w:sz w:val="16"/>
                <w:szCs w:val="16"/>
              </w:rPr>
              <w:t>Direta</w:t>
            </w:r>
          </w:p>
        </w:tc>
        <w:tc>
          <w:tcPr>
            <w:tcW w:w="449" w:type="pct"/>
            <w:shd w:val="clear" w:color="auto" w:fill="auto"/>
            <w:vAlign w:val="center"/>
          </w:tcPr>
          <w:p w:rsidR="00087C57" w:rsidRPr="008A7364" w:rsidRDefault="00087C57" w:rsidP="008A7364">
            <w:pPr>
              <w:spacing w:before="60" w:after="60" w:line="240" w:lineRule="auto"/>
              <w:jc w:val="center"/>
              <w:rPr>
                <w:sz w:val="16"/>
                <w:szCs w:val="16"/>
              </w:rPr>
            </w:pPr>
            <w:r>
              <w:rPr>
                <w:sz w:val="16"/>
                <w:szCs w:val="16"/>
              </w:rPr>
              <w:t>ADA</w:t>
            </w:r>
          </w:p>
        </w:tc>
        <w:tc>
          <w:tcPr>
            <w:tcW w:w="398" w:type="pct"/>
            <w:shd w:val="clear" w:color="auto" w:fill="auto"/>
            <w:vAlign w:val="center"/>
          </w:tcPr>
          <w:p w:rsidR="00087C57" w:rsidRPr="008A7364" w:rsidRDefault="00087C57" w:rsidP="008A7364">
            <w:pPr>
              <w:spacing w:before="60" w:after="60" w:line="240" w:lineRule="auto"/>
              <w:jc w:val="center"/>
              <w:rPr>
                <w:sz w:val="16"/>
                <w:szCs w:val="16"/>
              </w:rPr>
            </w:pPr>
            <w:r>
              <w:rPr>
                <w:sz w:val="16"/>
                <w:szCs w:val="16"/>
              </w:rPr>
              <w:t>Permanente</w:t>
            </w:r>
          </w:p>
        </w:tc>
        <w:tc>
          <w:tcPr>
            <w:tcW w:w="299" w:type="pct"/>
            <w:shd w:val="clear" w:color="auto" w:fill="auto"/>
            <w:vAlign w:val="center"/>
          </w:tcPr>
          <w:p w:rsidR="00087C57" w:rsidRPr="00D91A38" w:rsidRDefault="00087C57" w:rsidP="008A7364">
            <w:pPr>
              <w:spacing w:before="60" w:after="60" w:line="240" w:lineRule="auto"/>
              <w:jc w:val="center"/>
              <w:rPr>
                <w:sz w:val="16"/>
                <w:szCs w:val="16"/>
              </w:rPr>
            </w:pPr>
            <w:r w:rsidRPr="00D91A38">
              <w:rPr>
                <w:sz w:val="16"/>
                <w:szCs w:val="16"/>
              </w:rPr>
              <w:t>Certa</w:t>
            </w:r>
          </w:p>
        </w:tc>
        <w:tc>
          <w:tcPr>
            <w:tcW w:w="409" w:type="pct"/>
            <w:shd w:val="clear" w:color="auto" w:fill="auto"/>
            <w:vAlign w:val="center"/>
          </w:tcPr>
          <w:p w:rsidR="00087C57" w:rsidRPr="008A7364" w:rsidRDefault="00087C57" w:rsidP="008A7364">
            <w:pPr>
              <w:spacing w:before="60" w:after="60" w:line="240" w:lineRule="auto"/>
              <w:jc w:val="center"/>
              <w:rPr>
                <w:sz w:val="16"/>
                <w:szCs w:val="16"/>
              </w:rPr>
            </w:pPr>
            <w:r>
              <w:rPr>
                <w:sz w:val="16"/>
                <w:szCs w:val="16"/>
              </w:rPr>
              <w:t>Curto Prazo</w:t>
            </w:r>
          </w:p>
        </w:tc>
        <w:tc>
          <w:tcPr>
            <w:tcW w:w="390" w:type="pct"/>
            <w:shd w:val="clear" w:color="auto" w:fill="auto"/>
            <w:vAlign w:val="center"/>
          </w:tcPr>
          <w:p w:rsidR="00087C57" w:rsidRPr="008A7364" w:rsidRDefault="00087C57" w:rsidP="008A7364">
            <w:pPr>
              <w:spacing w:before="60" w:after="60" w:line="240" w:lineRule="auto"/>
              <w:jc w:val="center"/>
              <w:rPr>
                <w:sz w:val="16"/>
                <w:szCs w:val="16"/>
              </w:rPr>
            </w:pPr>
            <w:r>
              <w:rPr>
                <w:sz w:val="16"/>
                <w:szCs w:val="16"/>
              </w:rPr>
              <w:t>Irreversível</w:t>
            </w:r>
          </w:p>
        </w:tc>
        <w:tc>
          <w:tcPr>
            <w:tcW w:w="383" w:type="pct"/>
            <w:shd w:val="clear" w:color="auto" w:fill="auto"/>
            <w:vAlign w:val="center"/>
          </w:tcPr>
          <w:p w:rsidR="00087C57" w:rsidRPr="008A7364" w:rsidRDefault="00087C57" w:rsidP="008A7364">
            <w:pPr>
              <w:spacing w:before="60" w:after="60" w:line="240" w:lineRule="auto"/>
              <w:jc w:val="center"/>
              <w:rPr>
                <w:sz w:val="16"/>
                <w:szCs w:val="16"/>
              </w:rPr>
            </w:pPr>
            <w:r>
              <w:rPr>
                <w:sz w:val="16"/>
                <w:szCs w:val="16"/>
              </w:rPr>
              <w:t>Média</w:t>
            </w:r>
          </w:p>
        </w:tc>
        <w:tc>
          <w:tcPr>
            <w:tcW w:w="343" w:type="pct"/>
            <w:shd w:val="clear" w:color="auto" w:fill="auto"/>
            <w:vAlign w:val="center"/>
          </w:tcPr>
          <w:p w:rsidR="00087C57" w:rsidRPr="008A7364" w:rsidRDefault="00087C57" w:rsidP="00465F53">
            <w:pPr>
              <w:spacing w:before="60" w:after="60" w:line="240" w:lineRule="auto"/>
              <w:jc w:val="center"/>
              <w:rPr>
                <w:sz w:val="16"/>
                <w:szCs w:val="16"/>
              </w:rPr>
            </w:pPr>
            <w:r>
              <w:rPr>
                <w:sz w:val="16"/>
                <w:szCs w:val="16"/>
              </w:rPr>
              <w:t xml:space="preserve">Alta </w:t>
            </w:r>
          </w:p>
        </w:tc>
        <w:tc>
          <w:tcPr>
            <w:tcW w:w="397" w:type="pct"/>
            <w:shd w:val="clear" w:color="auto" w:fill="auto"/>
            <w:vAlign w:val="center"/>
          </w:tcPr>
          <w:p w:rsidR="00087C57" w:rsidRPr="008A7364" w:rsidRDefault="00087C57" w:rsidP="008A7364">
            <w:pPr>
              <w:spacing w:before="60" w:after="60" w:line="240" w:lineRule="auto"/>
              <w:jc w:val="center"/>
              <w:rPr>
                <w:sz w:val="16"/>
                <w:szCs w:val="16"/>
              </w:rPr>
            </w:pPr>
            <w:r>
              <w:rPr>
                <w:sz w:val="16"/>
                <w:szCs w:val="16"/>
              </w:rPr>
              <w:t>Mitigável</w:t>
            </w:r>
          </w:p>
        </w:tc>
      </w:tr>
      <w:tr w:rsidR="00087C57" w:rsidRPr="008A7364" w:rsidTr="001856B7">
        <w:trPr>
          <w:trHeight w:hRule="exact" w:val="846"/>
        </w:trPr>
        <w:tc>
          <w:tcPr>
            <w:tcW w:w="188" w:type="pct"/>
            <w:shd w:val="clear" w:color="auto" w:fill="auto"/>
            <w:vAlign w:val="center"/>
          </w:tcPr>
          <w:p w:rsidR="00087C57" w:rsidRDefault="00087C57" w:rsidP="001856B7">
            <w:pPr>
              <w:spacing w:line="240" w:lineRule="auto"/>
              <w:jc w:val="left"/>
              <w:rPr>
                <w:rFonts w:cs="Arial"/>
                <w:sz w:val="16"/>
                <w:szCs w:val="16"/>
              </w:rPr>
            </w:pPr>
            <w:r>
              <w:rPr>
                <w:rFonts w:cs="Arial"/>
                <w:sz w:val="16"/>
                <w:szCs w:val="16"/>
              </w:rPr>
              <w:t>55</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Default="00087C57" w:rsidP="00373099">
            <w:pPr>
              <w:spacing w:before="120" w:after="120" w:line="240" w:lineRule="auto"/>
              <w:rPr>
                <w:sz w:val="16"/>
                <w:szCs w:val="16"/>
              </w:rPr>
            </w:pPr>
            <w:r>
              <w:rPr>
                <w:sz w:val="16"/>
                <w:szCs w:val="16"/>
              </w:rPr>
              <w:t xml:space="preserve">Regularização de Vazões dos </w:t>
            </w:r>
            <w:r w:rsidR="00373099">
              <w:rPr>
                <w:sz w:val="16"/>
                <w:szCs w:val="16"/>
              </w:rPr>
              <w:t>r</w:t>
            </w:r>
            <w:r>
              <w:rPr>
                <w:sz w:val="16"/>
                <w:szCs w:val="16"/>
              </w:rPr>
              <w:t xml:space="preserve">ios Jaguari e Camanducaia. Operação </w:t>
            </w:r>
          </w:p>
        </w:tc>
        <w:tc>
          <w:tcPr>
            <w:tcW w:w="335" w:type="pct"/>
            <w:shd w:val="clear" w:color="auto" w:fill="auto"/>
            <w:vAlign w:val="center"/>
          </w:tcPr>
          <w:p w:rsidR="00087C57" w:rsidRPr="008A7364" w:rsidRDefault="00087C57" w:rsidP="00AE65ED">
            <w:pPr>
              <w:spacing w:before="60" w:after="60" w:line="240" w:lineRule="auto"/>
              <w:jc w:val="center"/>
              <w:rPr>
                <w:sz w:val="16"/>
                <w:szCs w:val="16"/>
              </w:rPr>
            </w:pPr>
            <w:r w:rsidRPr="008A7364">
              <w:rPr>
                <w:sz w:val="16"/>
                <w:szCs w:val="16"/>
              </w:rPr>
              <w:t>Positivo</w:t>
            </w:r>
          </w:p>
        </w:tc>
        <w:tc>
          <w:tcPr>
            <w:tcW w:w="266" w:type="pct"/>
            <w:shd w:val="clear" w:color="auto" w:fill="auto"/>
            <w:vAlign w:val="center"/>
          </w:tcPr>
          <w:p w:rsidR="00087C57" w:rsidRPr="008A7364" w:rsidRDefault="00087C57" w:rsidP="00AE65ED">
            <w:pPr>
              <w:spacing w:before="60" w:after="60" w:line="240" w:lineRule="auto"/>
              <w:jc w:val="center"/>
              <w:rPr>
                <w:sz w:val="16"/>
                <w:szCs w:val="16"/>
              </w:rPr>
            </w:pPr>
            <w:r w:rsidRPr="008A7364">
              <w:rPr>
                <w:sz w:val="16"/>
                <w:szCs w:val="16"/>
              </w:rPr>
              <w:t>Indireto</w:t>
            </w:r>
          </w:p>
        </w:tc>
        <w:tc>
          <w:tcPr>
            <w:tcW w:w="449" w:type="pct"/>
            <w:shd w:val="clear" w:color="auto" w:fill="auto"/>
            <w:vAlign w:val="center"/>
          </w:tcPr>
          <w:p w:rsidR="00087C57" w:rsidRPr="008A7364" w:rsidRDefault="00087C57" w:rsidP="00AE65ED">
            <w:pPr>
              <w:spacing w:before="60" w:after="60" w:line="240" w:lineRule="auto"/>
              <w:jc w:val="center"/>
              <w:rPr>
                <w:sz w:val="16"/>
                <w:szCs w:val="16"/>
              </w:rPr>
            </w:pPr>
            <w:r w:rsidRPr="008A7364">
              <w:rPr>
                <w:sz w:val="16"/>
                <w:szCs w:val="16"/>
              </w:rPr>
              <w:t>Regional/ Estratégica</w:t>
            </w:r>
          </w:p>
        </w:tc>
        <w:tc>
          <w:tcPr>
            <w:tcW w:w="398" w:type="pct"/>
            <w:shd w:val="clear" w:color="auto" w:fill="auto"/>
            <w:vAlign w:val="center"/>
          </w:tcPr>
          <w:p w:rsidR="00087C57" w:rsidRPr="008A7364" w:rsidRDefault="00087C57" w:rsidP="00AE65ED">
            <w:pPr>
              <w:spacing w:before="60" w:after="60" w:line="240" w:lineRule="auto"/>
              <w:jc w:val="center"/>
              <w:rPr>
                <w:sz w:val="16"/>
                <w:szCs w:val="16"/>
              </w:rPr>
            </w:pPr>
            <w:r w:rsidRPr="008A7364">
              <w:rPr>
                <w:sz w:val="16"/>
                <w:szCs w:val="16"/>
              </w:rPr>
              <w:t>Permanente</w:t>
            </w:r>
          </w:p>
        </w:tc>
        <w:tc>
          <w:tcPr>
            <w:tcW w:w="299" w:type="pct"/>
            <w:shd w:val="clear" w:color="auto" w:fill="auto"/>
            <w:vAlign w:val="center"/>
          </w:tcPr>
          <w:p w:rsidR="00087C57" w:rsidRPr="00D91A38" w:rsidRDefault="00087C57" w:rsidP="00AE65ED">
            <w:pPr>
              <w:spacing w:before="60" w:after="60" w:line="240" w:lineRule="auto"/>
              <w:jc w:val="center"/>
              <w:rPr>
                <w:sz w:val="16"/>
                <w:szCs w:val="16"/>
              </w:rPr>
            </w:pPr>
            <w:r w:rsidRPr="00D91A38">
              <w:rPr>
                <w:sz w:val="16"/>
                <w:szCs w:val="16"/>
              </w:rPr>
              <w:t>Certa</w:t>
            </w:r>
          </w:p>
        </w:tc>
        <w:tc>
          <w:tcPr>
            <w:tcW w:w="409" w:type="pct"/>
            <w:shd w:val="clear" w:color="auto" w:fill="auto"/>
            <w:vAlign w:val="center"/>
          </w:tcPr>
          <w:p w:rsidR="00087C57" w:rsidRPr="008A7364" w:rsidRDefault="00087C57" w:rsidP="00AE65ED">
            <w:pPr>
              <w:spacing w:before="60" w:after="60" w:line="240" w:lineRule="auto"/>
              <w:jc w:val="center"/>
              <w:rPr>
                <w:sz w:val="16"/>
                <w:szCs w:val="16"/>
              </w:rPr>
            </w:pPr>
            <w:r w:rsidRPr="008A7364">
              <w:rPr>
                <w:sz w:val="16"/>
                <w:szCs w:val="16"/>
              </w:rPr>
              <w:t>Médio/Longo Prazo</w:t>
            </w:r>
          </w:p>
        </w:tc>
        <w:tc>
          <w:tcPr>
            <w:tcW w:w="390" w:type="pct"/>
            <w:shd w:val="clear" w:color="auto" w:fill="auto"/>
            <w:vAlign w:val="center"/>
          </w:tcPr>
          <w:p w:rsidR="00087C57" w:rsidRPr="008A7364" w:rsidRDefault="00087C57" w:rsidP="00AE65ED">
            <w:pPr>
              <w:spacing w:before="60" w:after="60" w:line="240" w:lineRule="auto"/>
              <w:jc w:val="center"/>
              <w:rPr>
                <w:sz w:val="16"/>
                <w:szCs w:val="16"/>
              </w:rPr>
            </w:pPr>
            <w:r w:rsidRPr="008A7364">
              <w:rPr>
                <w:sz w:val="16"/>
                <w:szCs w:val="16"/>
              </w:rPr>
              <w:t>Irreversível</w:t>
            </w:r>
          </w:p>
        </w:tc>
        <w:tc>
          <w:tcPr>
            <w:tcW w:w="383" w:type="pct"/>
            <w:shd w:val="clear" w:color="auto" w:fill="auto"/>
            <w:vAlign w:val="center"/>
          </w:tcPr>
          <w:p w:rsidR="00087C57" w:rsidRPr="008A7364" w:rsidRDefault="00087C57" w:rsidP="00AE65ED">
            <w:pPr>
              <w:spacing w:before="60" w:after="60" w:line="240" w:lineRule="auto"/>
              <w:jc w:val="center"/>
              <w:rPr>
                <w:sz w:val="16"/>
                <w:szCs w:val="16"/>
              </w:rPr>
            </w:pPr>
            <w:r w:rsidRPr="008A7364">
              <w:rPr>
                <w:sz w:val="16"/>
                <w:szCs w:val="16"/>
              </w:rPr>
              <w:t>Grande</w:t>
            </w:r>
          </w:p>
        </w:tc>
        <w:tc>
          <w:tcPr>
            <w:tcW w:w="343" w:type="pct"/>
            <w:shd w:val="clear" w:color="auto" w:fill="auto"/>
            <w:vAlign w:val="center"/>
          </w:tcPr>
          <w:p w:rsidR="00087C57" w:rsidRPr="008A7364" w:rsidRDefault="00087C57" w:rsidP="00AE65ED">
            <w:pPr>
              <w:spacing w:before="60" w:after="60" w:line="240" w:lineRule="auto"/>
              <w:jc w:val="center"/>
              <w:rPr>
                <w:sz w:val="16"/>
                <w:szCs w:val="16"/>
              </w:rPr>
            </w:pPr>
            <w:r w:rsidRPr="008A7364">
              <w:rPr>
                <w:sz w:val="16"/>
                <w:szCs w:val="16"/>
              </w:rPr>
              <w:t>Alta</w:t>
            </w:r>
          </w:p>
        </w:tc>
        <w:tc>
          <w:tcPr>
            <w:tcW w:w="397" w:type="pct"/>
            <w:shd w:val="clear" w:color="auto" w:fill="auto"/>
            <w:vAlign w:val="center"/>
          </w:tcPr>
          <w:p w:rsidR="00087C57" w:rsidRPr="008A7364" w:rsidRDefault="00087C57" w:rsidP="00AE65ED">
            <w:pPr>
              <w:spacing w:before="60" w:after="60" w:line="240" w:lineRule="auto"/>
              <w:jc w:val="center"/>
              <w:rPr>
                <w:sz w:val="16"/>
                <w:szCs w:val="16"/>
              </w:rPr>
            </w:pPr>
            <w:r w:rsidRPr="008A7364">
              <w:rPr>
                <w:sz w:val="16"/>
                <w:szCs w:val="16"/>
              </w:rPr>
              <w:t>---</w:t>
            </w:r>
          </w:p>
        </w:tc>
      </w:tr>
      <w:tr w:rsidR="00087C57" w:rsidRPr="008A7364" w:rsidTr="00087C57">
        <w:trPr>
          <w:trHeight w:hRule="exact" w:val="309"/>
        </w:trPr>
        <w:tc>
          <w:tcPr>
            <w:tcW w:w="188" w:type="pct"/>
            <w:shd w:val="clear" w:color="auto" w:fill="auto"/>
            <w:vAlign w:val="center"/>
          </w:tcPr>
          <w:p w:rsidR="00087C57" w:rsidRDefault="00087C57" w:rsidP="001856B7">
            <w:pPr>
              <w:spacing w:line="240" w:lineRule="auto"/>
              <w:jc w:val="left"/>
              <w:rPr>
                <w:rFonts w:cs="Arial"/>
                <w:sz w:val="16"/>
                <w:szCs w:val="16"/>
              </w:rPr>
            </w:pPr>
            <w:r>
              <w:rPr>
                <w:rFonts w:cs="Arial"/>
                <w:sz w:val="16"/>
                <w:szCs w:val="16"/>
              </w:rPr>
              <w:t>56</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4563" w:type="pct"/>
            <w:gridSpan w:val="11"/>
            <w:shd w:val="clear" w:color="auto" w:fill="auto"/>
            <w:vAlign w:val="center"/>
          </w:tcPr>
          <w:p w:rsidR="00087C57" w:rsidRPr="008A7364" w:rsidRDefault="00087C57" w:rsidP="007A3613">
            <w:pPr>
              <w:spacing w:before="60" w:after="60" w:line="240" w:lineRule="auto"/>
              <w:rPr>
                <w:sz w:val="16"/>
                <w:szCs w:val="16"/>
              </w:rPr>
            </w:pPr>
            <w:r w:rsidRPr="00EE73EC">
              <w:rPr>
                <w:sz w:val="16"/>
                <w:szCs w:val="16"/>
              </w:rPr>
              <w:t>Interferência na Geração de Energia Elétrica.</w:t>
            </w:r>
          </w:p>
        </w:tc>
      </w:tr>
      <w:tr w:rsidR="00087C57" w:rsidRPr="008A7364" w:rsidTr="00087C57">
        <w:trPr>
          <w:trHeight w:hRule="exact" w:val="569"/>
        </w:trPr>
        <w:tc>
          <w:tcPr>
            <w:tcW w:w="188" w:type="pct"/>
            <w:shd w:val="clear" w:color="auto" w:fill="auto"/>
            <w:vAlign w:val="center"/>
          </w:tcPr>
          <w:p w:rsidR="00087C57" w:rsidRPr="008A7364" w:rsidRDefault="00087C57" w:rsidP="001856B7">
            <w:pPr>
              <w:spacing w:line="240" w:lineRule="auto"/>
              <w:jc w:val="left"/>
              <w:rPr>
                <w:rFonts w:cs="Arial"/>
                <w:sz w:val="16"/>
                <w:szCs w:val="16"/>
              </w:rPr>
            </w:pPr>
            <w:r>
              <w:rPr>
                <w:rFonts w:cs="Arial"/>
                <w:sz w:val="16"/>
                <w:szCs w:val="16"/>
              </w:rPr>
              <w:t>56a</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EE73EC" w:rsidRDefault="00087C57" w:rsidP="007A3613">
            <w:pPr>
              <w:spacing w:before="120" w:after="120" w:line="240" w:lineRule="auto"/>
              <w:rPr>
                <w:sz w:val="16"/>
                <w:szCs w:val="16"/>
              </w:rPr>
            </w:pPr>
            <w:r w:rsidRPr="00EE73EC">
              <w:rPr>
                <w:sz w:val="16"/>
                <w:szCs w:val="16"/>
              </w:rPr>
              <w:t>Interferência na Geração de Energia Elétrica. Implantação</w:t>
            </w:r>
          </w:p>
        </w:tc>
        <w:tc>
          <w:tcPr>
            <w:tcW w:w="335"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Negativa</w:t>
            </w:r>
          </w:p>
        </w:tc>
        <w:tc>
          <w:tcPr>
            <w:tcW w:w="266"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Direta</w:t>
            </w:r>
          </w:p>
        </w:tc>
        <w:tc>
          <w:tcPr>
            <w:tcW w:w="449"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Local/Regional</w:t>
            </w:r>
          </w:p>
        </w:tc>
        <w:tc>
          <w:tcPr>
            <w:tcW w:w="398"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Permanente</w:t>
            </w:r>
          </w:p>
        </w:tc>
        <w:tc>
          <w:tcPr>
            <w:tcW w:w="299"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Certa</w:t>
            </w:r>
          </w:p>
        </w:tc>
        <w:tc>
          <w:tcPr>
            <w:tcW w:w="409"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Curto Prazo</w:t>
            </w:r>
          </w:p>
        </w:tc>
        <w:tc>
          <w:tcPr>
            <w:tcW w:w="390"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Reversível</w:t>
            </w:r>
          </w:p>
        </w:tc>
        <w:tc>
          <w:tcPr>
            <w:tcW w:w="383"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Pequena</w:t>
            </w:r>
          </w:p>
        </w:tc>
        <w:tc>
          <w:tcPr>
            <w:tcW w:w="343"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Média</w:t>
            </w:r>
          </w:p>
        </w:tc>
        <w:tc>
          <w:tcPr>
            <w:tcW w:w="397"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Mitigável</w:t>
            </w:r>
          </w:p>
        </w:tc>
      </w:tr>
      <w:tr w:rsidR="00087C57" w:rsidRPr="008A7364" w:rsidTr="00087C57">
        <w:trPr>
          <w:trHeight w:hRule="exact" w:val="861"/>
        </w:trPr>
        <w:tc>
          <w:tcPr>
            <w:tcW w:w="188" w:type="pct"/>
            <w:shd w:val="clear" w:color="auto" w:fill="auto"/>
            <w:vAlign w:val="center"/>
          </w:tcPr>
          <w:p w:rsidR="00087C57" w:rsidRPr="008A7364" w:rsidRDefault="00087C57" w:rsidP="00D91A38">
            <w:pPr>
              <w:spacing w:line="240" w:lineRule="auto"/>
              <w:jc w:val="left"/>
              <w:rPr>
                <w:rFonts w:cs="Arial"/>
                <w:sz w:val="16"/>
                <w:szCs w:val="16"/>
              </w:rPr>
            </w:pPr>
            <w:r w:rsidRPr="008A7364">
              <w:rPr>
                <w:rFonts w:cs="Arial"/>
                <w:sz w:val="16"/>
                <w:szCs w:val="16"/>
              </w:rPr>
              <w:t>5</w:t>
            </w:r>
            <w:r>
              <w:rPr>
                <w:rFonts w:cs="Arial"/>
                <w:sz w:val="16"/>
                <w:szCs w:val="16"/>
              </w:rPr>
              <w:t>6b</w:t>
            </w:r>
          </w:p>
        </w:tc>
        <w:tc>
          <w:tcPr>
            <w:tcW w:w="249" w:type="pct"/>
            <w:vMerge/>
            <w:shd w:val="clear" w:color="auto" w:fill="auto"/>
            <w:vAlign w:val="center"/>
          </w:tcPr>
          <w:p w:rsidR="00087C57" w:rsidRPr="008A7364" w:rsidRDefault="00087C57" w:rsidP="008A7364">
            <w:pPr>
              <w:spacing w:line="240" w:lineRule="auto"/>
              <w:jc w:val="left"/>
              <w:rPr>
                <w:rFonts w:cs="Arial"/>
                <w:sz w:val="16"/>
                <w:szCs w:val="16"/>
              </w:rPr>
            </w:pPr>
          </w:p>
        </w:tc>
        <w:tc>
          <w:tcPr>
            <w:tcW w:w="894" w:type="pct"/>
            <w:shd w:val="clear" w:color="auto" w:fill="auto"/>
            <w:vAlign w:val="center"/>
          </w:tcPr>
          <w:p w:rsidR="00087C57" w:rsidRPr="00EE73EC" w:rsidRDefault="00087C57" w:rsidP="007A3613">
            <w:pPr>
              <w:spacing w:before="120" w:after="120" w:line="240" w:lineRule="auto"/>
              <w:rPr>
                <w:sz w:val="16"/>
                <w:szCs w:val="16"/>
              </w:rPr>
            </w:pPr>
            <w:r w:rsidRPr="00EE73EC">
              <w:rPr>
                <w:sz w:val="16"/>
                <w:szCs w:val="16"/>
              </w:rPr>
              <w:t xml:space="preserve">Interferência na Geração de Energia Elétrica. Operação </w:t>
            </w:r>
          </w:p>
        </w:tc>
        <w:tc>
          <w:tcPr>
            <w:tcW w:w="335"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 xml:space="preserve">Positiva </w:t>
            </w:r>
          </w:p>
        </w:tc>
        <w:tc>
          <w:tcPr>
            <w:tcW w:w="266"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Direta</w:t>
            </w:r>
          </w:p>
        </w:tc>
        <w:tc>
          <w:tcPr>
            <w:tcW w:w="449"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Local/Regional</w:t>
            </w:r>
          </w:p>
        </w:tc>
        <w:tc>
          <w:tcPr>
            <w:tcW w:w="398"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Permanente</w:t>
            </w:r>
          </w:p>
        </w:tc>
        <w:tc>
          <w:tcPr>
            <w:tcW w:w="299"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Certa</w:t>
            </w:r>
          </w:p>
        </w:tc>
        <w:tc>
          <w:tcPr>
            <w:tcW w:w="409"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Médio Prazo</w:t>
            </w:r>
          </w:p>
        </w:tc>
        <w:tc>
          <w:tcPr>
            <w:tcW w:w="390"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Irreversível</w:t>
            </w:r>
          </w:p>
        </w:tc>
        <w:tc>
          <w:tcPr>
            <w:tcW w:w="383"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Pequena</w:t>
            </w:r>
          </w:p>
        </w:tc>
        <w:tc>
          <w:tcPr>
            <w:tcW w:w="343" w:type="pct"/>
            <w:shd w:val="clear" w:color="auto" w:fill="auto"/>
            <w:vAlign w:val="center"/>
          </w:tcPr>
          <w:p w:rsidR="00087C57" w:rsidRPr="008A7364" w:rsidRDefault="00087C57" w:rsidP="008A7364">
            <w:pPr>
              <w:spacing w:before="60" w:after="60" w:line="240" w:lineRule="auto"/>
              <w:jc w:val="center"/>
              <w:rPr>
                <w:sz w:val="16"/>
                <w:szCs w:val="16"/>
              </w:rPr>
            </w:pPr>
            <w:r w:rsidRPr="008A7364">
              <w:rPr>
                <w:sz w:val="16"/>
                <w:szCs w:val="16"/>
              </w:rPr>
              <w:t>Média</w:t>
            </w:r>
          </w:p>
        </w:tc>
        <w:tc>
          <w:tcPr>
            <w:tcW w:w="397" w:type="pct"/>
            <w:shd w:val="clear" w:color="auto" w:fill="auto"/>
            <w:vAlign w:val="center"/>
          </w:tcPr>
          <w:p w:rsidR="00087C57" w:rsidRPr="008A7364" w:rsidRDefault="00087C57" w:rsidP="008A7364">
            <w:pPr>
              <w:spacing w:before="60" w:after="60" w:line="240" w:lineRule="auto"/>
              <w:jc w:val="center"/>
              <w:rPr>
                <w:sz w:val="16"/>
                <w:szCs w:val="16"/>
              </w:rPr>
            </w:pPr>
            <w:r>
              <w:rPr>
                <w:sz w:val="16"/>
                <w:szCs w:val="16"/>
              </w:rPr>
              <w:t>---</w:t>
            </w:r>
          </w:p>
        </w:tc>
      </w:tr>
    </w:tbl>
    <w:p w:rsidR="008A7364" w:rsidRPr="005B6D82" w:rsidRDefault="008A7364" w:rsidP="000E1EAC">
      <w:pPr>
        <w:autoSpaceDE w:val="0"/>
        <w:autoSpaceDN w:val="0"/>
        <w:adjustRightInd w:val="0"/>
        <w:spacing w:before="120" w:after="120" w:line="240" w:lineRule="auto"/>
        <w:rPr>
          <w:rFonts w:cs="Arial"/>
          <w:b/>
          <w:szCs w:val="22"/>
        </w:rPr>
      </w:pPr>
    </w:p>
    <w:p w:rsidR="008A7364" w:rsidRDefault="008A7364">
      <w:pPr>
        <w:sectPr w:rsidR="008A7364" w:rsidSect="00C942E4">
          <w:headerReference w:type="default" r:id="rId44"/>
          <w:footerReference w:type="even" r:id="rId45"/>
          <w:footerReference w:type="default" r:id="rId46"/>
          <w:pgSz w:w="16840" w:h="11907" w:orient="landscape" w:code="9"/>
          <w:pgMar w:top="1701" w:right="851" w:bottom="1134" w:left="1701" w:header="567" w:footer="567" w:gutter="0"/>
          <w:cols w:space="720"/>
          <w:docGrid w:linePitch="299"/>
        </w:sectPr>
      </w:pPr>
    </w:p>
    <w:p w:rsidR="005B6D82" w:rsidRPr="00184EF9" w:rsidRDefault="009453A2" w:rsidP="00C81961">
      <w:pPr>
        <w:pStyle w:val="Ttulo1"/>
      </w:pPr>
      <w:bookmarkStart w:id="482" w:name="_Toc418758275"/>
      <w:bookmarkStart w:id="483" w:name="_Toc418758877"/>
      <w:bookmarkStart w:id="484" w:name="_Toc419813637"/>
      <w:bookmarkEnd w:id="22"/>
      <w:r w:rsidRPr="00184EF9">
        <w:t>PLANOS E PROGRAMAS AMBIENTAIS E DE MONITORAMENTO</w:t>
      </w:r>
      <w:bookmarkEnd w:id="482"/>
      <w:bookmarkEnd w:id="483"/>
      <w:bookmarkEnd w:id="484"/>
    </w:p>
    <w:p w:rsidR="009453A2" w:rsidRDefault="009453A2" w:rsidP="009453A2">
      <w:pPr>
        <w:autoSpaceDE w:val="0"/>
        <w:autoSpaceDN w:val="0"/>
        <w:adjustRightInd w:val="0"/>
        <w:spacing w:before="120" w:after="120" w:line="240" w:lineRule="auto"/>
        <w:rPr>
          <w:rFonts w:cs="Arial"/>
          <w:szCs w:val="22"/>
        </w:rPr>
      </w:pPr>
      <w:r>
        <w:rPr>
          <w:rFonts w:cs="Arial"/>
          <w:szCs w:val="22"/>
        </w:rPr>
        <w:t>No C</w:t>
      </w:r>
      <w:r w:rsidR="00FF206A">
        <w:rPr>
          <w:rFonts w:cs="Arial"/>
          <w:szCs w:val="22"/>
        </w:rPr>
        <w:t>apítulo 1 dest</w:t>
      </w:r>
      <w:r w:rsidRPr="009453A2">
        <w:rPr>
          <w:rFonts w:cs="Arial"/>
          <w:szCs w:val="22"/>
        </w:rPr>
        <w:t xml:space="preserve">e Volume foram analisados e avaliados os impactos ambientais </w:t>
      </w:r>
      <w:r w:rsidR="00184EF9" w:rsidRPr="009453A2">
        <w:rPr>
          <w:rFonts w:cs="Arial"/>
          <w:szCs w:val="22"/>
        </w:rPr>
        <w:t xml:space="preserve">negativos </w:t>
      </w:r>
      <w:r w:rsidR="00184EF9">
        <w:rPr>
          <w:rFonts w:cs="Arial"/>
          <w:szCs w:val="22"/>
        </w:rPr>
        <w:t xml:space="preserve">e benéficos </w:t>
      </w:r>
      <w:r w:rsidRPr="009453A2">
        <w:rPr>
          <w:rFonts w:cs="Arial"/>
          <w:szCs w:val="22"/>
        </w:rPr>
        <w:t>decorrentes do planejam</w:t>
      </w:r>
      <w:r w:rsidR="00FF206A">
        <w:rPr>
          <w:rFonts w:cs="Arial"/>
          <w:szCs w:val="22"/>
        </w:rPr>
        <w:t>ento, implantação ou operação das Barragens Pedreira e Duas Pontes.</w:t>
      </w:r>
      <w:r w:rsidRPr="009453A2">
        <w:rPr>
          <w:rFonts w:cs="Arial"/>
          <w:szCs w:val="22"/>
        </w:rPr>
        <w:t xml:space="preserve"> Nesta avaliação foram apresentadas as medidas para mitigar os impactos negativos ou, potencializar os impactos positivos. Estas medidas foram consolidadas em planos, programas ou projetos ambientais abaixo apresentados.</w:t>
      </w:r>
    </w:p>
    <w:p w:rsidR="00FF206A" w:rsidRPr="00C81961" w:rsidRDefault="00FF206A" w:rsidP="00C81961">
      <w:pPr>
        <w:pStyle w:val="Ttulo2"/>
      </w:pPr>
      <w:bookmarkStart w:id="485" w:name="_Toc418590239"/>
      <w:bookmarkStart w:id="486" w:name="_Toc418590705"/>
      <w:bookmarkStart w:id="487" w:name="_Toc418595765"/>
      <w:bookmarkStart w:id="488" w:name="_Toc418758276"/>
      <w:bookmarkStart w:id="489" w:name="_Toc418758878"/>
      <w:bookmarkStart w:id="490" w:name="_Toc419813105"/>
      <w:bookmarkStart w:id="491" w:name="_Toc419813638"/>
      <w:r w:rsidRPr="00C81961">
        <w:t>Programas de Âmbito Geral</w:t>
      </w:r>
      <w:bookmarkEnd w:id="485"/>
      <w:bookmarkEnd w:id="486"/>
      <w:bookmarkEnd w:id="487"/>
      <w:bookmarkEnd w:id="488"/>
      <w:bookmarkEnd w:id="489"/>
      <w:bookmarkEnd w:id="490"/>
      <w:bookmarkEnd w:id="491"/>
    </w:p>
    <w:p w:rsidR="00FF206A" w:rsidRPr="00C81961" w:rsidRDefault="00FF206A" w:rsidP="00431A97">
      <w:pPr>
        <w:pStyle w:val="Ttulo3"/>
        <w:numPr>
          <w:ilvl w:val="1"/>
          <w:numId w:val="34"/>
        </w:numPr>
        <w:spacing w:after="240"/>
        <w:rPr>
          <w:rFonts w:cs="Arial"/>
          <w:bCs/>
          <w:szCs w:val="22"/>
        </w:rPr>
      </w:pPr>
      <w:bookmarkStart w:id="492" w:name="_Toc418758277"/>
      <w:bookmarkStart w:id="493" w:name="_Toc418758879"/>
      <w:bookmarkStart w:id="494" w:name="_Toc419813639"/>
      <w:r w:rsidRPr="00C81961">
        <w:rPr>
          <w:rFonts w:cs="Arial"/>
          <w:bCs/>
          <w:szCs w:val="22"/>
        </w:rPr>
        <w:t>Programa de Gestão Ambiental da Obra</w:t>
      </w:r>
      <w:bookmarkEnd w:id="492"/>
      <w:bookmarkEnd w:id="493"/>
      <w:bookmarkEnd w:id="494"/>
    </w:p>
    <w:p w:rsidR="00751AA8" w:rsidRPr="00C81961" w:rsidRDefault="00751AA8" w:rsidP="00431A97">
      <w:pPr>
        <w:pStyle w:val="Ttulo3"/>
        <w:numPr>
          <w:ilvl w:val="2"/>
          <w:numId w:val="34"/>
        </w:numPr>
        <w:ind w:left="709" w:hanging="709"/>
        <w:rPr>
          <w:rFonts w:eastAsia="Calibri"/>
        </w:rPr>
      </w:pPr>
      <w:bookmarkStart w:id="495" w:name="_Toc418758278"/>
      <w:bookmarkStart w:id="496" w:name="_Toc418758880"/>
      <w:bookmarkStart w:id="497" w:name="_Toc419813640"/>
      <w:r w:rsidRPr="00C81961">
        <w:rPr>
          <w:rFonts w:eastAsia="Calibri"/>
        </w:rPr>
        <w:t>Apresentação e Justificativas</w:t>
      </w:r>
      <w:bookmarkEnd w:id="495"/>
      <w:bookmarkEnd w:id="496"/>
      <w:bookmarkEnd w:id="497"/>
    </w:p>
    <w:p w:rsidR="00751AA8" w:rsidRPr="00751AA8" w:rsidRDefault="00751AA8" w:rsidP="00751AA8">
      <w:pPr>
        <w:spacing w:before="120" w:after="120" w:line="240" w:lineRule="auto"/>
        <w:rPr>
          <w:rFonts w:eastAsia="Calibri"/>
          <w:szCs w:val="22"/>
          <w:lang w:eastAsia="en-US"/>
        </w:rPr>
      </w:pPr>
      <w:r w:rsidRPr="00751AA8">
        <w:rPr>
          <w:rFonts w:eastAsia="Calibri"/>
          <w:szCs w:val="22"/>
          <w:lang w:eastAsia="en-US"/>
        </w:rPr>
        <w:t xml:space="preserve">O escopo deste programa abrange a </w:t>
      </w:r>
      <w:r w:rsidR="007C0B16">
        <w:rPr>
          <w:rFonts w:eastAsia="Calibri"/>
          <w:szCs w:val="22"/>
          <w:lang w:eastAsia="en-US"/>
        </w:rPr>
        <w:t xml:space="preserve">gestão, </w:t>
      </w:r>
      <w:r w:rsidRPr="00751AA8">
        <w:rPr>
          <w:rFonts w:eastAsia="Calibri"/>
          <w:szCs w:val="22"/>
          <w:lang w:eastAsia="en-US"/>
        </w:rPr>
        <w:t>supervisão e o controle dos demais programas ambientais propostos com o objetivo de monitorar a implantação das medidas propostas nos estudos ambientais, além das exigências e condicionantes estabelecidas pelos órgãos ambientais que intervieram no processo de licenciamento ambiental. O escopo do programa abrange, também, a preparação dos documentos necessários à obtenção da Licença de Operação (LO) ao final das obras de implantação das Barragens Pedreira e Duas Pontes.</w:t>
      </w:r>
    </w:p>
    <w:p w:rsidR="00751AA8" w:rsidRPr="00751AA8" w:rsidRDefault="00751AA8" w:rsidP="00751AA8">
      <w:pPr>
        <w:spacing w:before="120" w:after="120" w:line="240" w:lineRule="auto"/>
        <w:rPr>
          <w:rFonts w:eastAsia="Calibri"/>
          <w:szCs w:val="22"/>
          <w:lang w:eastAsia="en-US"/>
        </w:rPr>
      </w:pPr>
      <w:r w:rsidRPr="00751AA8">
        <w:rPr>
          <w:rFonts w:eastAsia="Calibri"/>
          <w:szCs w:val="22"/>
          <w:lang w:eastAsia="en-US"/>
        </w:rPr>
        <w:t xml:space="preserve">A quase totalidade dos impactos ocorre durante a implantação, e a obtenção dos resultados esperados com os programas propostos nos estudos ambientais precisa de um trabalho eficiente de gerenciamento da execução dos mesmos, de forma a assegurar a sua efetiva implantação em termos do seu conteúdo e cronograma. </w:t>
      </w:r>
    </w:p>
    <w:p w:rsidR="00751AA8" w:rsidRPr="00751AA8" w:rsidRDefault="00751AA8" w:rsidP="00751AA8">
      <w:pPr>
        <w:spacing w:before="120" w:after="120" w:line="240" w:lineRule="auto"/>
        <w:rPr>
          <w:rFonts w:eastAsia="Calibri"/>
          <w:szCs w:val="22"/>
          <w:lang w:eastAsia="en-US"/>
        </w:rPr>
      </w:pPr>
      <w:r w:rsidRPr="00751AA8">
        <w:rPr>
          <w:rFonts w:eastAsia="Calibri"/>
          <w:szCs w:val="22"/>
          <w:lang w:eastAsia="en-US"/>
        </w:rPr>
        <w:t>Fica, assim, claro que este será o programa estruturador, em torno do qual todos os demais programas ambientais propostos estarão interligados.</w:t>
      </w:r>
    </w:p>
    <w:p w:rsidR="00751AA8" w:rsidRPr="00751AA8" w:rsidRDefault="00751AA8" w:rsidP="00751AA8">
      <w:pPr>
        <w:spacing w:before="120" w:after="120" w:line="240" w:lineRule="auto"/>
        <w:rPr>
          <w:rFonts w:eastAsia="Calibri"/>
          <w:szCs w:val="22"/>
          <w:lang w:eastAsia="en-US"/>
        </w:rPr>
      </w:pPr>
      <w:r w:rsidRPr="00751AA8">
        <w:rPr>
          <w:rFonts w:eastAsia="Calibri"/>
          <w:szCs w:val="22"/>
          <w:lang w:eastAsia="en-US"/>
        </w:rPr>
        <w:t>Entende-se que com esta concepção estará sendo assegurada a continuidade de todas as atividades ambientais posteriores à obtenção da Licença de Instalação (LI).</w:t>
      </w:r>
    </w:p>
    <w:p w:rsidR="00751AA8" w:rsidRPr="00751AA8" w:rsidRDefault="00751AA8" w:rsidP="00431A97">
      <w:pPr>
        <w:pStyle w:val="Ttulo3"/>
        <w:numPr>
          <w:ilvl w:val="2"/>
          <w:numId w:val="34"/>
        </w:numPr>
        <w:ind w:left="851" w:hanging="851"/>
        <w:rPr>
          <w:rFonts w:eastAsia="Calibri"/>
          <w:lang w:eastAsia="en-US"/>
        </w:rPr>
      </w:pPr>
      <w:bookmarkStart w:id="498" w:name="_Toc365478509"/>
      <w:bookmarkStart w:id="499" w:name="_Toc370810283"/>
      <w:bookmarkStart w:id="500" w:name="_Toc370923238"/>
      <w:bookmarkStart w:id="501" w:name="_Toc370985364"/>
      <w:bookmarkStart w:id="502" w:name="_Toc418758279"/>
      <w:bookmarkStart w:id="503" w:name="_Toc418758881"/>
      <w:bookmarkStart w:id="504" w:name="_Toc419813641"/>
      <w:r w:rsidRPr="00751AA8">
        <w:rPr>
          <w:rFonts w:eastAsia="Calibri"/>
          <w:lang w:eastAsia="en-US"/>
        </w:rPr>
        <w:t>Objetivos</w:t>
      </w:r>
      <w:bookmarkEnd w:id="498"/>
      <w:bookmarkEnd w:id="499"/>
      <w:bookmarkEnd w:id="500"/>
      <w:bookmarkEnd w:id="501"/>
      <w:bookmarkEnd w:id="502"/>
      <w:bookmarkEnd w:id="503"/>
      <w:bookmarkEnd w:id="504"/>
    </w:p>
    <w:p w:rsidR="00751AA8" w:rsidRPr="00751AA8" w:rsidRDefault="00751AA8" w:rsidP="00751AA8">
      <w:pPr>
        <w:spacing w:before="120" w:after="120" w:line="240" w:lineRule="auto"/>
        <w:rPr>
          <w:rFonts w:eastAsia="Calibri"/>
          <w:szCs w:val="22"/>
          <w:lang w:eastAsia="en-US"/>
        </w:rPr>
      </w:pPr>
      <w:r w:rsidRPr="00751AA8">
        <w:rPr>
          <w:rFonts w:eastAsia="Calibri"/>
          <w:szCs w:val="22"/>
          <w:lang w:eastAsia="en-US"/>
        </w:rPr>
        <w:t>O</w:t>
      </w:r>
      <w:r w:rsidR="007C0B16">
        <w:rPr>
          <w:rFonts w:eastAsia="Calibri"/>
          <w:szCs w:val="22"/>
          <w:lang w:eastAsia="en-US"/>
        </w:rPr>
        <w:t xml:space="preserve"> Programa de Gestão</w:t>
      </w:r>
      <w:r w:rsidRPr="00751AA8">
        <w:rPr>
          <w:rFonts w:eastAsia="Calibri"/>
          <w:szCs w:val="22"/>
          <w:lang w:eastAsia="en-US"/>
        </w:rPr>
        <w:t xml:space="preserve"> Ambiental </w:t>
      </w:r>
      <w:r w:rsidR="007C0B16">
        <w:rPr>
          <w:rFonts w:eastAsia="Calibri"/>
          <w:szCs w:val="22"/>
          <w:lang w:eastAsia="en-US"/>
        </w:rPr>
        <w:t xml:space="preserve">da Obra </w:t>
      </w:r>
      <w:r w:rsidRPr="00751AA8">
        <w:rPr>
          <w:rFonts w:eastAsia="Calibri"/>
          <w:szCs w:val="22"/>
          <w:lang w:eastAsia="en-US"/>
        </w:rPr>
        <w:t xml:space="preserve">destina-se ao gerenciamento e supervisão das atividades relacionadas à implementação dos programas ambientais </w:t>
      </w:r>
      <w:r w:rsidR="007C0B16">
        <w:rPr>
          <w:rFonts w:eastAsia="Calibri"/>
          <w:szCs w:val="22"/>
          <w:lang w:eastAsia="en-US"/>
        </w:rPr>
        <w:t xml:space="preserve">propostos no EIA/RIMA </w:t>
      </w:r>
      <w:r w:rsidRPr="00751AA8">
        <w:rPr>
          <w:rFonts w:eastAsia="Calibri"/>
          <w:szCs w:val="22"/>
          <w:lang w:eastAsia="en-US"/>
        </w:rPr>
        <w:t xml:space="preserve">e à supervisão da execução </w:t>
      </w:r>
      <w:r w:rsidR="007C0B16">
        <w:rPr>
          <w:rFonts w:eastAsia="Calibri"/>
          <w:szCs w:val="22"/>
          <w:lang w:eastAsia="en-US"/>
        </w:rPr>
        <w:t>dos serviços</w:t>
      </w:r>
      <w:r w:rsidRPr="00751AA8">
        <w:rPr>
          <w:rFonts w:eastAsia="Calibri"/>
          <w:szCs w:val="22"/>
          <w:lang w:eastAsia="en-US"/>
        </w:rPr>
        <w:t xml:space="preserve"> no que se refere ao atendimento das diretrizes e </w:t>
      </w:r>
      <w:r w:rsidR="007C0B16" w:rsidRPr="007C0B16">
        <w:rPr>
          <w:rFonts w:eastAsia="Calibri"/>
          <w:szCs w:val="22"/>
          <w:lang w:eastAsia="en-US"/>
        </w:rPr>
        <w:t>condicionantes</w:t>
      </w:r>
      <w:r w:rsidR="007C0B16" w:rsidRPr="00120E18">
        <w:rPr>
          <w:rFonts w:eastAsia="Calibri"/>
          <w:szCs w:val="22"/>
          <w:lang w:eastAsia="en-US"/>
        </w:rPr>
        <w:t xml:space="preserve"> ambientais</w:t>
      </w:r>
      <w:r w:rsidR="007C0B16" w:rsidRPr="007C0B16">
        <w:rPr>
          <w:rFonts w:eastAsia="Calibri"/>
          <w:szCs w:val="22"/>
          <w:lang w:eastAsia="en-US"/>
        </w:rPr>
        <w:t xml:space="preserve"> solicitadas pelo órgão ambiental na outorga das licenças ambientais (LP e LI)</w:t>
      </w:r>
      <w:r w:rsidR="007C0B16" w:rsidRPr="00120E18">
        <w:rPr>
          <w:rFonts w:eastAsia="Calibri"/>
          <w:szCs w:val="22"/>
          <w:lang w:eastAsia="en-US"/>
        </w:rPr>
        <w:t>, bem como a obtenção da LO.</w:t>
      </w:r>
    </w:p>
    <w:p w:rsidR="00751AA8" w:rsidRPr="00751AA8" w:rsidRDefault="00751AA8" w:rsidP="00751AA8">
      <w:pPr>
        <w:spacing w:before="120" w:line="240" w:lineRule="auto"/>
        <w:rPr>
          <w:rFonts w:eastAsia="Calibri"/>
          <w:szCs w:val="22"/>
          <w:lang w:eastAsia="en-US"/>
        </w:rPr>
      </w:pPr>
      <w:r w:rsidRPr="00751AA8">
        <w:rPr>
          <w:rFonts w:eastAsia="Calibri"/>
          <w:szCs w:val="22"/>
          <w:lang w:eastAsia="en-US"/>
        </w:rPr>
        <w:t>Este programa terá os seguintes objetivos específicos:</w:t>
      </w:r>
    </w:p>
    <w:p w:rsidR="00751AA8" w:rsidRPr="00751AA8" w:rsidRDefault="00751AA8" w:rsidP="00431A97">
      <w:pPr>
        <w:numPr>
          <w:ilvl w:val="0"/>
          <w:numId w:val="40"/>
        </w:numPr>
        <w:tabs>
          <w:tab w:val="num" w:pos="-142"/>
          <w:tab w:val="left" w:pos="567"/>
          <w:tab w:val="num" w:pos="786"/>
        </w:tabs>
        <w:spacing w:before="120" w:line="240" w:lineRule="auto"/>
        <w:ind w:left="567" w:hanging="567"/>
      </w:pPr>
      <w:r w:rsidRPr="00751AA8">
        <w:t>Preparar documentos técnicos necessários para a obtenção da LO, onde se inclui o atendimento às exigências e condicionantes estabelecidas pela CETESB no processo de licenciamento ambiental do empreendimento;</w:t>
      </w:r>
    </w:p>
    <w:p w:rsidR="00751AA8" w:rsidRPr="00751AA8" w:rsidRDefault="00751AA8" w:rsidP="00431A97">
      <w:pPr>
        <w:numPr>
          <w:ilvl w:val="0"/>
          <w:numId w:val="40"/>
        </w:numPr>
        <w:tabs>
          <w:tab w:val="num" w:pos="-142"/>
          <w:tab w:val="left" w:pos="567"/>
          <w:tab w:val="num" w:pos="786"/>
        </w:tabs>
        <w:spacing w:before="120" w:line="240" w:lineRule="auto"/>
        <w:ind w:left="567" w:hanging="567"/>
      </w:pPr>
      <w:r w:rsidRPr="00751AA8">
        <w:t>Acompanhar e avaliar a implementação dos programas ambientais propostos no EIA/RIMA e detalhados no PBA;</w:t>
      </w:r>
    </w:p>
    <w:p w:rsidR="00751AA8" w:rsidRPr="00751AA8" w:rsidRDefault="00751AA8" w:rsidP="00431A97">
      <w:pPr>
        <w:numPr>
          <w:ilvl w:val="0"/>
          <w:numId w:val="40"/>
        </w:numPr>
        <w:tabs>
          <w:tab w:val="num" w:pos="-142"/>
          <w:tab w:val="left" w:pos="567"/>
          <w:tab w:val="num" w:pos="786"/>
        </w:tabs>
        <w:spacing w:before="120" w:line="240" w:lineRule="auto"/>
        <w:ind w:left="567" w:hanging="567"/>
      </w:pPr>
      <w:r w:rsidRPr="00751AA8">
        <w:t>Elaborar e operar um sistema de informações que permita registrar e acompanhar o desenvolvimento dos programas ambientais propostos a partir dos indicadores selecionados;</w:t>
      </w:r>
    </w:p>
    <w:p w:rsidR="00751AA8" w:rsidRPr="00751AA8" w:rsidRDefault="00751AA8" w:rsidP="00431A97">
      <w:pPr>
        <w:numPr>
          <w:ilvl w:val="0"/>
          <w:numId w:val="40"/>
        </w:numPr>
        <w:tabs>
          <w:tab w:val="num" w:pos="-142"/>
          <w:tab w:val="left" w:pos="567"/>
          <w:tab w:val="num" w:pos="786"/>
        </w:tabs>
        <w:spacing w:before="120" w:line="240" w:lineRule="auto"/>
        <w:ind w:left="567" w:hanging="567"/>
      </w:pPr>
      <w:r w:rsidRPr="00751AA8">
        <w:t>Acompanhar o detalhamento do projeto executivo, visando à inserção da componente ambiental no projeto e assegurar o atendimento à legislação ambiental e urbanística aplicável;</w:t>
      </w:r>
    </w:p>
    <w:p w:rsidR="00751AA8" w:rsidRPr="00751AA8" w:rsidRDefault="00751AA8" w:rsidP="00431A97">
      <w:pPr>
        <w:numPr>
          <w:ilvl w:val="0"/>
          <w:numId w:val="40"/>
        </w:numPr>
        <w:tabs>
          <w:tab w:val="num" w:pos="-142"/>
          <w:tab w:val="left" w:pos="567"/>
          <w:tab w:val="num" w:pos="786"/>
        </w:tabs>
        <w:spacing w:before="120" w:line="240" w:lineRule="auto"/>
        <w:ind w:left="567" w:hanging="567"/>
      </w:pPr>
      <w:r w:rsidRPr="00751AA8">
        <w:t>Preparar um Manual para a Supervisão Ambiental de Obras;</w:t>
      </w:r>
    </w:p>
    <w:p w:rsidR="00751AA8" w:rsidRPr="00751AA8" w:rsidRDefault="00751AA8" w:rsidP="00431A97">
      <w:pPr>
        <w:numPr>
          <w:ilvl w:val="0"/>
          <w:numId w:val="40"/>
        </w:numPr>
        <w:tabs>
          <w:tab w:val="num" w:pos="-142"/>
          <w:tab w:val="left" w:pos="567"/>
          <w:tab w:val="num" w:pos="786"/>
        </w:tabs>
        <w:spacing w:before="120" w:line="240" w:lineRule="auto"/>
        <w:ind w:left="567" w:hanging="567"/>
      </w:pPr>
      <w:r w:rsidRPr="00751AA8">
        <w:t>Preparar diretrizes e especificações ambientais, sempre que verificar a necessidade de complementação das especificações de obras;</w:t>
      </w:r>
    </w:p>
    <w:p w:rsidR="00751AA8" w:rsidRPr="00751AA8" w:rsidRDefault="00751AA8" w:rsidP="00431A97">
      <w:pPr>
        <w:numPr>
          <w:ilvl w:val="0"/>
          <w:numId w:val="40"/>
        </w:numPr>
        <w:tabs>
          <w:tab w:val="num" w:pos="-142"/>
          <w:tab w:val="left" w:pos="567"/>
          <w:tab w:val="num" w:pos="786"/>
        </w:tabs>
        <w:spacing w:before="120" w:line="240" w:lineRule="auto"/>
        <w:ind w:left="567" w:hanging="567"/>
      </w:pPr>
      <w:r w:rsidRPr="00751AA8">
        <w:t>Articular todos os envolvidos na execução dos programas ambientais propostos, de maneira a se obter a conformidade dos seus prazos com as atividades das obras, antecipando as ações em relação aos impactos ambientais previstos;</w:t>
      </w:r>
    </w:p>
    <w:p w:rsidR="00751AA8" w:rsidRPr="00751AA8" w:rsidRDefault="00751AA8" w:rsidP="00431A97">
      <w:pPr>
        <w:numPr>
          <w:ilvl w:val="0"/>
          <w:numId w:val="40"/>
        </w:numPr>
        <w:tabs>
          <w:tab w:val="num" w:pos="-142"/>
          <w:tab w:val="left" w:pos="567"/>
          <w:tab w:val="num" w:pos="786"/>
        </w:tabs>
        <w:spacing w:before="120" w:after="120" w:line="240" w:lineRule="auto"/>
        <w:ind w:left="567" w:hanging="567"/>
      </w:pPr>
      <w:r w:rsidRPr="00751AA8">
        <w:t>Realizar a supervisão das obras para verificar se a construtora está adotando medidas e procedimentos de prevenção, controle e mitigação de impactos ambientais, conforme previstos nas especificações ambientais do Projeto.</w:t>
      </w:r>
    </w:p>
    <w:p w:rsidR="00751AA8" w:rsidRPr="00C81961" w:rsidRDefault="00751AA8" w:rsidP="00431A97">
      <w:pPr>
        <w:pStyle w:val="Ttulo3"/>
        <w:numPr>
          <w:ilvl w:val="2"/>
          <w:numId w:val="34"/>
        </w:numPr>
        <w:spacing w:after="240"/>
        <w:ind w:left="709" w:hanging="709"/>
        <w:rPr>
          <w:rFonts w:eastAsia="Calibri"/>
          <w:bCs/>
          <w:szCs w:val="22"/>
          <w:lang w:eastAsia="en-US"/>
        </w:rPr>
      </w:pPr>
      <w:bookmarkStart w:id="505" w:name="_Toc365478510"/>
      <w:bookmarkStart w:id="506" w:name="_Toc370810284"/>
      <w:bookmarkStart w:id="507" w:name="_Toc370923239"/>
      <w:bookmarkStart w:id="508" w:name="_Toc370985365"/>
      <w:bookmarkStart w:id="509" w:name="_Toc418758280"/>
      <w:bookmarkStart w:id="510" w:name="_Toc418758882"/>
      <w:bookmarkStart w:id="511" w:name="_Toc419813642"/>
      <w:r w:rsidRPr="00C81961">
        <w:rPr>
          <w:rFonts w:eastAsia="Calibri"/>
          <w:bCs/>
          <w:szCs w:val="22"/>
          <w:lang w:eastAsia="en-US"/>
        </w:rPr>
        <w:t>Metas</w:t>
      </w:r>
      <w:bookmarkEnd w:id="505"/>
      <w:bookmarkEnd w:id="506"/>
      <w:bookmarkEnd w:id="507"/>
      <w:bookmarkEnd w:id="508"/>
      <w:bookmarkEnd w:id="509"/>
      <w:bookmarkEnd w:id="510"/>
      <w:bookmarkEnd w:id="511"/>
    </w:p>
    <w:p w:rsidR="00751AA8" w:rsidRPr="00751AA8" w:rsidRDefault="00751AA8" w:rsidP="00751AA8">
      <w:pPr>
        <w:spacing w:before="120" w:after="120" w:line="240" w:lineRule="auto"/>
        <w:rPr>
          <w:rFonts w:eastAsia="Calibri" w:cs="Arial"/>
          <w:szCs w:val="22"/>
          <w:lang w:eastAsia="en-US"/>
        </w:rPr>
      </w:pPr>
      <w:r w:rsidRPr="00751AA8">
        <w:rPr>
          <w:rFonts w:eastAsia="Calibri" w:cs="Arial"/>
          <w:szCs w:val="22"/>
          <w:lang w:eastAsia="en-US"/>
        </w:rPr>
        <w:t>Esse Programa tem suas metas atreladas às principais ações que deverão ser desenvolvidas, divididas em módulos, conforme descrito no Item Procedimentos.</w:t>
      </w:r>
    </w:p>
    <w:p w:rsidR="00751AA8" w:rsidRPr="00751AA8" w:rsidRDefault="00751AA8" w:rsidP="00431A97">
      <w:pPr>
        <w:pStyle w:val="Ttulo3"/>
        <w:numPr>
          <w:ilvl w:val="2"/>
          <w:numId w:val="34"/>
        </w:numPr>
        <w:ind w:left="709" w:hanging="709"/>
        <w:rPr>
          <w:rFonts w:eastAsia="Calibri"/>
          <w:lang w:eastAsia="en-US"/>
        </w:rPr>
      </w:pPr>
      <w:bookmarkStart w:id="512" w:name="_Toc365478511"/>
      <w:bookmarkStart w:id="513" w:name="_Toc370810285"/>
      <w:bookmarkStart w:id="514" w:name="_Toc370923240"/>
      <w:bookmarkStart w:id="515" w:name="_Toc370985366"/>
      <w:bookmarkStart w:id="516" w:name="_Toc418758281"/>
      <w:bookmarkStart w:id="517" w:name="_Toc418758883"/>
      <w:bookmarkStart w:id="518" w:name="_Toc419813643"/>
      <w:r w:rsidRPr="00751AA8">
        <w:rPr>
          <w:rFonts w:eastAsia="Calibri"/>
          <w:lang w:eastAsia="en-US"/>
        </w:rPr>
        <w:t>Público Alvo</w:t>
      </w:r>
      <w:bookmarkEnd w:id="512"/>
      <w:bookmarkEnd w:id="513"/>
      <w:bookmarkEnd w:id="514"/>
      <w:bookmarkEnd w:id="515"/>
      <w:bookmarkEnd w:id="516"/>
      <w:bookmarkEnd w:id="517"/>
      <w:bookmarkEnd w:id="518"/>
    </w:p>
    <w:p w:rsidR="00751AA8" w:rsidRPr="00C81961" w:rsidRDefault="00751AA8" w:rsidP="00C81961">
      <w:pPr>
        <w:pStyle w:val="Ttulo3"/>
        <w:rPr>
          <w:rFonts w:eastAsia="Calibri"/>
          <w:b w:val="0"/>
          <w:lang w:eastAsia="en-US"/>
        </w:rPr>
      </w:pPr>
      <w:bookmarkStart w:id="519" w:name="_Toc418590245"/>
      <w:bookmarkStart w:id="520" w:name="_Toc418595771"/>
      <w:bookmarkStart w:id="521" w:name="_Toc418758282"/>
      <w:bookmarkStart w:id="522" w:name="_Toc418758884"/>
      <w:bookmarkStart w:id="523" w:name="_Toc419813111"/>
      <w:bookmarkStart w:id="524" w:name="_Toc419813644"/>
      <w:r w:rsidRPr="00C81961">
        <w:rPr>
          <w:rFonts w:eastAsia="Calibri"/>
          <w:b w:val="0"/>
          <w:lang w:eastAsia="en-US"/>
        </w:rPr>
        <w:t>Esse Programa tem como público alvo:</w:t>
      </w:r>
      <w:bookmarkEnd w:id="519"/>
      <w:bookmarkEnd w:id="520"/>
      <w:bookmarkEnd w:id="521"/>
      <w:bookmarkEnd w:id="522"/>
      <w:bookmarkEnd w:id="523"/>
      <w:bookmarkEnd w:id="524"/>
    </w:p>
    <w:p w:rsidR="00751AA8" w:rsidRPr="00751AA8" w:rsidRDefault="00751AA8" w:rsidP="00DF7A9A">
      <w:pPr>
        <w:numPr>
          <w:ilvl w:val="0"/>
          <w:numId w:val="5"/>
        </w:numPr>
        <w:spacing w:before="120" w:line="240" w:lineRule="auto"/>
        <w:ind w:left="357" w:hanging="357"/>
        <w:rPr>
          <w:rFonts w:cs="Arial"/>
          <w:snapToGrid w:val="0"/>
          <w:szCs w:val="22"/>
        </w:rPr>
      </w:pPr>
      <w:r w:rsidRPr="00751AA8">
        <w:rPr>
          <w:rFonts w:cs="Arial"/>
          <w:snapToGrid w:val="0"/>
          <w:szCs w:val="22"/>
        </w:rPr>
        <w:t xml:space="preserve">O órgão ambiental – CETESB; </w:t>
      </w:r>
    </w:p>
    <w:p w:rsidR="00751AA8" w:rsidRPr="00751AA8" w:rsidRDefault="00751AA8" w:rsidP="00DF7A9A">
      <w:pPr>
        <w:numPr>
          <w:ilvl w:val="0"/>
          <w:numId w:val="5"/>
        </w:numPr>
        <w:spacing w:before="120" w:line="240" w:lineRule="auto"/>
        <w:ind w:left="357" w:hanging="357"/>
        <w:rPr>
          <w:rFonts w:cs="Arial"/>
          <w:snapToGrid w:val="0"/>
          <w:szCs w:val="22"/>
        </w:rPr>
      </w:pPr>
      <w:r w:rsidRPr="00751AA8">
        <w:rPr>
          <w:rFonts w:cs="Arial"/>
          <w:snapToGrid w:val="0"/>
          <w:szCs w:val="22"/>
        </w:rPr>
        <w:t>Empresa responsável pela implantação do empreendimento (Departamento de Águas e Energia Elétrica - DAEE);</w:t>
      </w:r>
    </w:p>
    <w:p w:rsidR="00751AA8" w:rsidRPr="00751AA8" w:rsidRDefault="00751AA8" w:rsidP="00DF7A9A">
      <w:pPr>
        <w:numPr>
          <w:ilvl w:val="0"/>
          <w:numId w:val="5"/>
        </w:numPr>
        <w:spacing w:before="120" w:line="240" w:lineRule="auto"/>
        <w:ind w:left="357" w:hanging="357"/>
        <w:rPr>
          <w:rFonts w:cs="Arial"/>
          <w:snapToGrid w:val="0"/>
          <w:szCs w:val="22"/>
        </w:rPr>
      </w:pPr>
      <w:r w:rsidRPr="00751AA8">
        <w:rPr>
          <w:rFonts w:cs="Arial"/>
          <w:snapToGrid w:val="0"/>
          <w:szCs w:val="22"/>
        </w:rPr>
        <w:t xml:space="preserve">Empresa responsável pela supervisão e gerenciamento da execução dos planos e programas ambientais propostos; </w:t>
      </w:r>
    </w:p>
    <w:p w:rsidR="00751AA8" w:rsidRPr="00751AA8" w:rsidRDefault="00751AA8" w:rsidP="00DF7A9A">
      <w:pPr>
        <w:numPr>
          <w:ilvl w:val="0"/>
          <w:numId w:val="5"/>
        </w:numPr>
        <w:spacing w:before="120" w:line="240" w:lineRule="auto"/>
        <w:ind w:left="357" w:hanging="357"/>
        <w:rPr>
          <w:rFonts w:cs="Arial"/>
          <w:snapToGrid w:val="0"/>
          <w:szCs w:val="22"/>
        </w:rPr>
      </w:pPr>
      <w:r w:rsidRPr="00751AA8">
        <w:rPr>
          <w:rFonts w:cs="Arial"/>
          <w:snapToGrid w:val="0"/>
          <w:szCs w:val="22"/>
        </w:rPr>
        <w:t>Sociedade Civil.</w:t>
      </w:r>
    </w:p>
    <w:p w:rsidR="00751AA8" w:rsidRPr="00254F74" w:rsidRDefault="00751AA8" w:rsidP="00431A97">
      <w:pPr>
        <w:pStyle w:val="Ttulo3"/>
        <w:numPr>
          <w:ilvl w:val="2"/>
          <w:numId w:val="34"/>
        </w:numPr>
        <w:spacing w:after="240"/>
        <w:ind w:left="709" w:hanging="709"/>
        <w:rPr>
          <w:rFonts w:eastAsia="Calibri"/>
          <w:b w:val="0"/>
          <w:bCs/>
          <w:lang w:eastAsia="en-US"/>
        </w:rPr>
      </w:pPr>
      <w:bookmarkStart w:id="525" w:name="_Toc418758283"/>
      <w:bookmarkStart w:id="526" w:name="_Toc418758885"/>
      <w:bookmarkStart w:id="527" w:name="_Toc419813645"/>
      <w:r w:rsidRPr="00254F74">
        <w:rPr>
          <w:rFonts w:eastAsia="Calibri"/>
          <w:b w:val="0"/>
          <w:bCs/>
          <w:lang w:eastAsia="en-US"/>
        </w:rPr>
        <w:t>Métodos e Descrição do Programa</w:t>
      </w:r>
      <w:bookmarkEnd w:id="525"/>
      <w:bookmarkEnd w:id="526"/>
      <w:bookmarkEnd w:id="527"/>
    </w:p>
    <w:p w:rsidR="00751AA8" w:rsidRPr="00751AA8" w:rsidRDefault="00751AA8" w:rsidP="00751AA8">
      <w:pPr>
        <w:spacing w:before="120" w:after="120" w:line="240" w:lineRule="auto"/>
        <w:rPr>
          <w:rFonts w:eastAsia="Calibri" w:cs="Arial"/>
          <w:szCs w:val="22"/>
          <w:lang w:eastAsia="en-US"/>
        </w:rPr>
      </w:pPr>
      <w:r w:rsidRPr="00751AA8">
        <w:rPr>
          <w:rFonts w:eastAsia="Calibri" w:cs="Arial"/>
          <w:szCs w:val="22"/>
          <w:lang w:eastAsia="en-US"/>
        </w:rPr>
        <w:t>O Programa deverá ser estruturado em três módulos cobrindo as atividades de licenciamento ambiental, gestão dos programas ambientais e supervisão ambiental das obras, cuja descrição sumária é feita a seguir:</w:t>
      </w:r>
    </w:p>
    <w:p w:rsidR="00751AA8" w:rsidRPr="00751AA8" w:rsidRDefault="00751AA8" w:rsidP="00DF7A9A">
      <w:pPr>
        <w:numPr>
          <w:ilvl w:val="0"/>
          <w:numId w:val="5"/>
        </w:numPr>
        <w:spacing w:before="120" w:after="120" w:line="240" w:lineRule="auto"/>
        <w:ind w:left="357" w:hanging="357"/>
        <w:rPr>
          <w:rFonts w:cs="Arial"/>
          <w:snapToGrid w:val="0"/>
          <w:szCs w:val="22"/>
        </w:rPr>
      </w:pPr>
      <w:r w:rsidRPr="00751AA8">
        <w:rPr>
          <w:rFonts w:cs="Arial"/>
          <w:b/>
          <w:snapToGrid w:val="0"/>
          <w:szCs w:val="22"/>
        </w:rPr>
        <w:t>Módulo I</w:t>
      </w:r>
      <w:r w:rsidRPr="00751AA8">
        <w:rPr>
          <w:rFonts w:cs="Arial"/>
          <w:snapToGrid w:val="0"/>
          <w:szCs w:val="22"/>
        </w:rPr>
        <w:t xml:space="preserve"> – Compreende a preparação de documentos técnicos necessários para a obtenção da LO;</w:t>
      </w:r>
    </w:p>
    <w:p w:rsidR="00751AA8" w:rsidRPr="00751AA8" w:rsidRDefault="00751AA8" w:rsidP="00751AA8">
      <w:pPr>
        <w:numPr>
          <w:ilvl w:val="0"/>
          <w:numId w:val="5"/>
        </w:numPr>
        <w:spacing w:before="120" w:after="120" w:line="240" w:lineRule="auto"/>
        <w:rPr>
          <w:rFonts w:cs="Arial"/>
          <w:snapToGrid w:val="0"/>
          <w:szCs w:val="22"/>
        </w:rPr>
      </w:pPr>
      <w:r w:rsidRPr="00751AA8">
        <w:rPr>
          <w:rFonts w:cs="Arial"/>
          <w:b/>
          <w:snapToGrid w:val="0"/>
          <w:szCs w:val="22"/>
        </w:rPr>
        <w:t>Módulo II</w:t>
      </w:r>
      <w:r w:rsidRPr="00751AA8">
        <w:rPr>
          <w:rFonts w:cs="Arial"/>
          <w:snapToGrid w:val="0"/>
          <w:szCs w:val="22"/>
        </w:rPr>
        <w:t xml:space="preserve"> – Abrange a gestão dos Programas Ambientais, que compreende as atividades relacionadas ao gerenciamento da execução dos programas ambientais propostos no presente Estudo de Impacto Ambiental, assegurando que a sua implementação atenda aos objetivos e prazos previstos. Insere-se nesse módulo a elaboração e operação do sistema de informações que permita a organização racional das informações relativas a todas as metas e indicadores ambientais inerentes aos diversos planos e programas ambientais, permitindo o acompanhamento e adoção de medidas de adequação quando necessário, conforme detalhado no Item Sistema de Registros;</w:t>
      </w:r>
    </w:p>
    <w:p w:rsidR="00751AA8" w:rsidRDefault="00751AA8" w:rsidP="00751AA8">
      <w:pPr>
        <w:numPr>
          <w:ilvl w:val="0"/>
          <w:numId w:val="5"/>
        </w:numPr>
        <w:spacing w:before="120" w:after="120" w:line="240" w:lineRule="auto"/>
        <w:rPr>
          <w:rFonts w:cs="Arial"/>
          <w:snapToGrid w:val="0"/>
          <w:szCs w:val="22"/>
        </w:rPr>
      </w:pPr>
      <w:r w:rsidRPr="00751AA8">
        <w:rPr>
          <w:rFonts w:cs="Arial"/>
          <w:b/>
          <w:snapToGrid w:val="0"/>
          <w:szCs w:val="22"/>
        </w:rPr>
        <w:t>Módulo III</w:t>
      </w:r>
      <w:r w:rsidRPr="00751AA8">
        <w:rPr>
          <w:rFonts w:cs="Arial"/>
          <w:snapToGrid w:val="0"/>
          <w:szCs w:val="22"/>
        </w:rPr>
        <w:t xml:space="preserve"> – Compreende a Supervisão Ambiental das Obras, que abrange as atividades de acompanhamento e fiscalização diária das frentes de obras, para a verificação da efetiva adoção das medidas e procedimentos voltados para a prevenção, controle e correção de impactos ambientais.</w:t>
      </w:r>
    </w:p>
    <w:p w:rsidR="00254F74" w:rsidRDefault="00254F74" w:rsidP="00254F74">
      <w:pPr>
        <w:spacing w:before="120" w:after="120" w:line="240" w:lineRule="auto"/>
        <w:rPr>
          <w:rFonts w:cs="Arial"/>
          <w:snapToGrid w:val="0"/>
          <w:szCs w:val="22"/>
        </w:rPr>
      </w:pPr>
      <w:r>
        <w:rPr>
          <w:rFonts w:cs="Arial"/>
          <w:snapToGrid w:val="0"/>
          <w:szCs w:val="22"/>
        </w:rPr>
        <w:br w:type="page"/>
      </w:r>
    </w:p>
    <w:p w:rsidR="00254F74" w:rsidRDefault="00254F74" w:rsidP="00254F74">
      <w:pPr>
        <w:spacing w:before="120" w:after="120" w:line="240" w:lineRule="auto"/>
        <w:rPr>
          <w:rFonts w:cs="Arial"/>
          <w:snapToGrid w:val="0"/>
          <w:szCs w:val="22"/>
        </w:rPr>
      </w:pPr>
    </w:p>
    <w:p w:rsidR="00751AA8" w:rsidRPr="00B42047" w:rsidRDefault="00751AA8" w:rsidP="00B42047">
      <w:pPr>
        <w:pStyle w:val="Item-Trainho"/>
        <w:rPr>
          <w:rFonts w:eastAsia="Calibri"/>
          <w:b/>
          <w:lang w:eastAsia="en-US"/>
        </w:rPr>
      </w:pPr>
      <w:r w:rsidRPr="00B42047">
        <w:rPr>
          <w:rFonts w:eastAsia="Calibri"/>
          <w:b/>
          <w:lang w:eastAsia="en-US"/>
        </w:rPr>
        <w:t>Módulo I</w:t>
      </w:r>
    </w:p>
    <w:p w:rsidR="00751AA8" w:rsidRPr="00751AA8" w:rsidRDefault="00751AA8" w:rsidP="00751AA8">
      <w:pPr>
        <w:spacing w:before="120" w:after="120" w:line="240" w:lineRule="auto"/>
        <w:rPr>
          <w:rFonts w:eastAsia="Calibri" w:cs="Arial"/>
          <w:szCs w:val="22"/>
          <w:lang w:eastAsia="en-US"/>
        </w:rPr>
      </w:pPr>
      <w:r w:rsidRPr="00751AA8">
        <w:rPr>
          <w:rFonts w:eastAsia="Calibri" w:cs="Arial"/>
          <w:szCs w:val="22"/>
          <w:lang w:eastAsia="en-US"/>
        </w:rPr>
        <w:t>Este módulo reúne as atividades voltadas para a preparação de documentos para a obtenção da LO. As principais atividades são as seguintes:</w:t>
      </w:r>
    </w:p>
    <w:p w:rsidR="00751AA8" w:rsidRPr="00751AA8" w:rsidRDefault="00751AA8" w:rsidP="00DF7A9A">
      <w:pPr>
        <w:numPr>
          <w:ilvl w:val="0"/>
          <w:numId w:val="5"/>
        </w:numPr>
        <w:spacing w:before="120" w:line="240" w:lineRule="auto"/>
        <w:ind w:left="357" w:hanging="357"/>
        <w:rPr>
          <w:rFonts w:cs="Arial"/>
          <w:snapToGrid w:val="0"/>
          <w:szCs w:val="22"/>
        </w:rPr>
      </w:pPr>
      <w:r w:rsidRPr="00751AA8">
        <w:rPr>
          <w:rFonts w:cs="Arial"/>
          <w:snapToGrid w:val="0"/>
          <w:szCs w:val="22"/>
        </w:rPr>
        <w:t>Preparação dos documentos necessários para a obtenção das autorizações legais para implementação das obras e programas;</w:t>
      </w:r>
    </w:p>
    <w:p w:rsidR="00751AA8" w:rsidRPr="00751AA8" w:rsidRDefault="00751AA8" w:rsidP="00DF7A9A">
      <w:pPr>
        <w:numPr>
          <w:ilvl w:val="0"/>
          <w:numId w:val="5"/>
        </w:numPr>
        <w:spacing w:before="120" w:line="240" w:lineRule="auto"/>
        <w:ind w:left="357" w:hanging="357"/>
        <w:rPr>
          <w:rFonts w:cs="Arial"/>
          <w:snapToGrid w:val="0"/>
          <w:szCs w:val="22"/>
        </w:rPr>
      </w:pPr>
      <w:r w:rsidRPr="00751AA8">
        <w:rPr>
          <w:rFonts w:cs="Arial"/>
          <w:snapToGrid w:val="0"/>
          <w:szCs w:val="22"/>
        </w:rPr>
        <w:t>Elaboração de documento técnico para solicitação da LO, que inclui registros da conclusão das obras e a demonstração do cumprimento de todas as exigências e recomendações contidas na LI;</w:t>
      </w:r>
    </w:p>
    <w:p w:rsidR="00751AA8" w:rsidRPr="00751AA8" w:rsidRDefault="00751AA8" w:rsidP="00DF7A9A">
      <w:pPr>
        <w:numPr>
          <w:ilvl w:val="0"/>
          <w:numId w:val="5"/>
        </w:numPr>
        <w:spacing w:before="120" w:line="240" w:lineRule="auto"/>
        <w:ind w:left="357" w:hanging="357"/>
        <w:rPr>
          <w:rFonts w:ascii="Verdana" w:hAnsi="Verdana"/>
          <w:snapToGrid w:val="0"/>
          <w:sz w:val="21"/>
        </w:rPr>
      </w:pPr>
      <w:r w:rsidRPr="00751AA8">
        <w:rPr>
          <w:rFonts w:cs="Arial"/>
          <w:snapToGrid w:val="0"/>
          <w:szCs w:val="22"/>
        </w:rPr>
        <w:t>Acompanhamento do processo de obtenção da LO, atendendo as eventuais solicitações de esclarecimentos e/ou complementações de documentos</w:t>
      </w:r>
      <w:r w:rsidRPr="00751AA8">
        <w:rPr>
          <w:rFonts w:ascii="Verdana" w:hAnsi="Verdana"/>
          <w:snapToGrid w:val="0"/>
          <w:sz w:val="21"/>
        </w:rPr>
        <w:t xml:space="preserve">. </w:t>
      </w:r>
    </w:p>
    <w:p w:rsidR="00751AA8" w:rsidRPr="00B42047" w:rsidRDefault="00751AA8" w:rsidP="00B42047">
      <w:pPr>
        <w:pStyle w:val="Item-Trainho"/>
        <w:rPr>
          <w:rFonts w:eastAsia="Calibri"/>
          <w:b/>
          <w:lang w:eastAsia="en-US"/>
        </w:rPr>
      </w:pPr>
      <w:r w:rsidRPr="00B42047">
        <w:rPr>
          <w:rFonts w:eastAsia="Calibri"/>
          <w:b/>
          <w:lang w:eastAsia="en-US"/>
        </w:rPr>
        <w:t>Módulo II</w:t>
      </w:r>
    </w:p>
    <w:p w:rsidR="00751AA8" w:rsidRPr="00751AA8" w:rsidRDefault="00751AA8" w:rsidP="00751AA8">
      <w:pPr>
        <w:spacing w:before="120" w:after="120" w:line="240" w:lineRule="auto"/>
        <w:rPr>
          <w:rFonts w:eastAsia="Calibri" w:cs="Arial"/>
          <w:szCs w:val="22"/>
          <w:lang w:eastAsia="en-US"/>
        </w:rPr>
      </w:pPr>
      <w:r w:rsidRPr="00751AA8">
        <w:rPr>
          <w:rFonts w:eastAsia="Calibri" w:cs="Arial"/>
          <w:szCs w:val="22"/>
          <w:lang w:eastAsia="en-US"/>
        </w:rPr>
        <w:t>Esse módulo reúne as atividades voltadas para o gerenciamento da implementação dos programas ambientais propostos no presente Estudo de Impacto Ambiental e detalhados no PBA, envolvendo as seguintes atividades principais:</w:t>
      </w:r>
    </w:p>
    <w:p w:rsidR="00751AA8" w:rsidRPr="00751AA8" w:rsidRDefault="00751AA8" w:rsidP="00751AA8">
      <w:pPr>
        <w:spacing w:before="120" w:after="120" w:line="240" w:lineRule="auto"/>
        <w:rPr>
          <w:rFonts w:eastAsia="Calibri" w:cs="Arial"/>
          <w:szCs w:val="22"/>
          <w:lang w:eastAsia="en-US"/>
        </w:rPr>
      </w:pPr>
      <w:r w:rsidRPr="00751AA8">
        <w:rPr>
          <w:rFonts w:eastAsia="Calibri" w:cs="Arial"/>
          <w:szCs w:val="22"/>
          <w:lang w:eastAsia="en-US"/>
        </w:rPr>
        <w:t>1. Preparação de instrumentos gerenciais, tais como: i) elaboração do cronograma geral para contratação e execução dos programas ambientais; ii) preparação de Termos de Referência para a contratação de empresas e/ou consultores para a execução de programas específicos; iii) estruturação de sistema de informações contendo um banco de dados sobre os estudos realizados, o andamento e resultados dos programas avaliados com base nos indicadores propostos nos diversos programas (ver item Sistema de Registros deste Programa); iv) preparação de relatórios gerenciais mensais;</w:t>
      </w:r>
    </w:p>
    <w:p w:rsidR="00751AA8" w:rsidRPr="00751AA8" w:rsidRDefault="00751AA8" w:rsidP="00751AA8">
      <w:pPr>
        <w:spacing w:before="120" w:after="120" w:line="240" w:lineRule="auto"/>
        <w:rPr>
          <w:rFonts w:eastAsia="Calibri" w:cs="Arial"/>
          <w:szCs w:val="22"/>
          <w:lang w:eastAsia="en-US"/>
        </w:rPr>
      </w:pPr>
      <w:r w:rsidRPr="00751AA8">
        <w:rPr>
          <w:rFonts w:eastAsia="Calibri" w:cs="Arial"/>
          <w:szCs w:val="22"/>
          <w:lang w:eastAsia="en-US"/>
        </w:rPr>
        <w:t>2. Desenvolver as atividades de gestão e acompanhamento dos programas, em apoio ao empreendedor, durante as fases de execução das obras, de obtenção da LO e até a conclusão dos programas ambientais.</w:t>
      </w:r>
    </w:p>
    <w:p w:rsidR="00751AA8" w:rsidRPr="00B42047" w:rsidRDefault="00751AA8" w:rsidP="00B42047">
      <w:pPr>
        <w:pStyle w:val="Item-Trainho"/>
        <w:rPr>
          <w:rFonts w:eastAsia="Calibri"/>
          <w:b/>
          <w:lang w:eastAsia="en-US"/>
        </w:rPr>
      </w:pPr>
      <w:r w:rsidRPr="00B42047">
        <w:rPr>
          <w:rFonts w:eastAsia="Calibri"/>
          <w:b/>
          <w:lang w:eastAsia="en-US"/>
        </w:rPr>
        <w:t>Módulo III</w:t>
      </w:r>
    </w:p>
    <w:p w:rsidR="00751AA8" w:rsidRPr="00751AA8" w:rsidRDefault="00751AA8" w:rsidP="00751AA8">
      <w:pPr>
        <w:spacing w:before="120" w:after="120" w:line="240" w:lineRule="auto"/>
        <w:rPr>
          <w:rFonts w:eastAsia="Calibri" w:cs="Arial"/>
          <w:szCs w:val="22"/>
          <w:lang w:eastAsia="en-US"/>
        </w:rPr>
      </w:pPr>
      <w:r w:rsidRPr="00751AA8">
        <w:rPr>
          <w:rFonts w:eastAsia="Calibri" w:cs="Arial"/>
          <w:szCs w:val="22"/>
          <w:lang w:eastAsia="en-US"/>
        </w:rPr>
        <w:t>O módulo III compreende o conjunto de atividades voltado para a Supervisão Ambiental das Obras, sendo as principais atividades as seguintes:</w:t>
      </w:r>
    </w:p>
    <w:p w:rsidR="00751AA8" w:rsidRPr="00751AA8" w:rsidRDefault="00751AA8" w:rsidP="00751AA8">
      <w:pPr>
        <w:spacing w:before="120" w:after="120" w:line="240" w:lineRule="auto"/>
        <w:ind w:left="709" w:hanging="709"/>
        <w:rPr>
          <w:rFonts w:eastAsia="Calibri" w:cs="Arial"/>
          <w:szCs w:val="22"/>
          <w:lang w:eastAsia="en-US"/>
        </w:rPr>
      </w:pPr>
      <w:r w:rsidRPr="00751AA8">
        <w:rPr>
          <w:rFonts w:eastAsia="Calibri" w:cs="Arial"/>
          <w:szCs w:val="22"/>
          <w:lang w:eastAsia="en-US"/>
        </w:rPr>
        <w:t>1.</w:t>
      </w:r>
      <w:r w:rsidRPr="00751AA8">
        <w:rPr>
          <w:rFonts w:eastAsia="Calibri" w:cs="Arial"/>
          <w:szCs w:val="22"/>
          <w:lang w:eastAsia="en-US"/>
        </w:rPr>
        <w:tab/>
        <w:t>Estabelecimento dos procedimentos de supervisão ambiental e preparação do Manual de Supervisão Ambiental, onde serão definidos os instrumentos de registros de inspeções de campo, de ocorrências ambientais e de acompanhamento de medidas de prevenção/controle/mitigação de impactos e recuperação de áreas degradadas;</w:t>
      </w:r>
    </w:p>
    <w:p w:rsidR="00751AA8" w:rsidRPr="00751AA8" w:rsidRDefault="00751AA8" w:rsidP="00751AA8">
      <w:pPr>
        <w:spacing w:before="120" w:after="120" w:line="240" w:lineRule="auto"/>
        <w:ind w:left="709" w:hanging="709"/>
        <w:rPr>
          <w:rFonts w:eastAsia="Calibri" w:cs="Arial"/>
          <w:szCs w:val="22"/>
          <w:lang w:eastAsia="en-US"/>
        </w:rPr>
      </w:pPr>
      <w:r w:rsidRPr="00751AA8">
        <w:rPr>
          <w:rFonts w:eastAsia="Calibri" w:cs="Arial"/>
          <w:szCs w:val="22"/>
          <w:lang w:eastAsia="en-US"/>
        </w:rPr>
        <w:t>2.</w:t>
      </w:r>
      <w:r w:rsidRPr="00751AA8">
        <w:rPr>
          <w:rFonts w:eastAsia="Calibri" w:cs="Arial"/>
          <w:szCs w:val="22"/>
          <w:lang w:eastAsia="en-US"/>
        </w:rPr>
        <w:tab/>
        <w:t>Estabelecer procedimentos de monitoramento de parâmetros de qualidade ambiental na área de intervenção, tais como: ruídos, emissões veiculares e poeiras decorrentes das atividades de obras, bem como de impactos sobre o tráfego nas rodovias e outros;</w:t>
      </w:r>
    </w:p>
    <w:p w:rsidR="00751AA8" w:rsidRPr="00751AA8" w:rsidRDefault="00751AA8" w:rsidP="00751AA8">
      <w:pPr>
        <w:spacing w:before="120" w:after="120" w:line="240" w:lineRule="auto"/>
        <w:ind w:left="709" w:hanging="709"/>
        <w:rPr>
          <w:rFonts w:eastAsia="Calibri" w:cs="Arial"/>
          <w:szCs w:val="22"/>
          <w:lang w:eastAsia="en-US"/>
        </w:rPr>
      </w:pPr>
      <w:r w:rsidRPr="00751AA8">
        <w:rPr>
          <w:rFonts w:eastAsia="Calibri" w:cs="Arial"/>
          <w:szCs w:val="22"/>
          <w:lang w:eastAsia="en-US"/>
        </w:rPr>
        <w:t>3.</w:t>
      </w:r>
      <w:r w:rsidRPr="00751AA8">
        <w:rPr>
          <w:rFonts w:eastAsia="Calibri" w:cs="Arial"/>
          <w:szCs w:val="22"/>
          <w:lang w:eastAsia="en-US"/>
        </w:rPr>
        <w:tab/>
        <w:t>Estabelecer procedimentos de relacionamento entre a Supervisão Ambiental, a Fiscalização de Obras e a Construtora, incluindo o fluxo de documentos para a informação de ocorrências ambientais, notificação de não conformidade ambiental grave, reuniões periódicas para discutir o planejamento das atividades de obras visando a redução dos impactos ambientais;</w:t>
      </w:r>
    </w:p>
    <w:p w:rsidR="00751AA8" w:rsidRPr="00751AA8" w:rsidRDefault="00751AA8" w:rsidP="00751AA8">
      <w:pPr>
        <w:spacing w:before="120" w:after="120" w:line="240" w:lineRule="auto"/>
        <w:ind w:left="709" w:hanging="709"/>
        <w:rPr>
          <w:rFonts w:eastAsia="Calibri" w:cs="Arial"/>
          <w:szCs w:val="22"/>
          <w:lang w:eastAsia="en-US"/>
        </w:rPr>
      </w:pPr>
      <w:r w:rsidRPr="00751AA8">
        <w:rPr>
          <w:rFonts w:eastAsia="Calibri" w:cs="Arial"/>
          <w:szCs w:val="22"/>
          <w:lang w:eastAsia="en-US"/>
        </w:rPr>
        <w:t>4.</w:t>
      </w:r>
      <w:r w:rsidRPr="00751AA8">
        <w:rPr>
          <w:rFonts w:eastAsia="Calibri" w:cs="Arial"/>
          <w:szCs w:val="22"/>
          <w:lang w:eastAsia="en-US"/>
        </w:rPr>
        <w:tab/>
        <w:t>Acompanhamento dos estudos e licenciamento ambiental das instalações de apoio (canteiro de obras, área de empréstimo, dentre outros)</w:t>
      </w:r>
    </w:p>
    <w:p w:rsidR="00751AA8" w:rsidRPr="00751AA8" w:rsidRDefault="00751AA8" w:rsidP="00751AA8">
      <w:pPr>
        <w:spacing w:before="120" w:after="120" w:line="240" w:lineRule="auto"/>
        <w:ind w:left="709" w:hanging="709"/>
        <w:rPr>
          <w:rFonts w:eastAsia="Calibri" w:cs="Arial"/>
          <w:szCs w:val="22"/>
          <w:lang w:eastAsia="en-US"/>
        </w:rPr>
      </w:pPr>
      <w:r w:rsidRPr="00751AA8">
        <w:rPr>
          <w:rFonts w:eastAsia="Calibri" w:cs="Arial"/>
          <w:szCs w:val="22"/>
          <w:lang w:eastAsia="en-US"/>
        </w:rPr>
        <w:t>5.</w:t>
      </w:r>
      <w:r w:rsidRPr="00751AA8">
        <w:rPr>
          <w:rFonts w:eastAsia="Calibri" w:cs="Arial"/>
          <w:szCs w:val="22"/>
          <w:lang w:eastAsia="en-US"/>
        </w:rPr>
        <w:tab/>
        <w:t>Acompanhamento sistemático das obras, verificando o cumprimento das especificações ambientais, a ocorrência de impactos no meio ambiente e a adoção de medidas para a prevenção/controle/mitigação de impactos;</w:t>
      </w:r>
    </w:p>
    <w:p w:rsidR="00751AA8" w:rsidRPr="00751AA8" w:rsidRDefault="00751AA8" w:rsidP="00751AA8">
      <w:pPr>
        <w:spacing w:before="120" w:after="120" w:line="240" w:lineRule="auto"/>
        <w:ind w:left="709" w:hanging="709"/>
        <w:rPr>
          <w:rFonts w:eastAsia="Calibri" w:cs="Arial"/>
          <w:szCs w:val="22"/>
          <w:lang w:eastAsia="en-US"/>
        </w:rPr>
      </w:pPr>
      <w:r w:rsidRPr="00751AA8">
        <w:rPr>
          <w:rFonts w:eastAsia="Calibri" w:cs="Arial"/>
          <w:szCs w:val="22"/>
          <w:lang w:eastAsia="en-US"/>
        </w:rPr>
        <w:t>6.</w:t>
      </w:r>
      <w:r w:rsidRPr="00751AA8">
        <w:rPr>
          <w:rFonts w:eastAsia="Calibri" w:cs="Arial"/>
          <w:szCs w:val="22"/>
          <w:lang w:eastAsia="en-US"/>
        </w:rPr>
        <w:tab/>
        <w:t>Acompanhar as atividades geradoras de resíduos sólidos e líquidos, principalmente no que se refere a produtos oleosos, químicos e inflamáveis. Acompanhar o manejo adequado da retirada de eventuais solos contaminados produzidos durante a obra;</w:t>
      </w:r>
    </w:p>
    <w:p w:rsidR="00751AA8" w:rsidRPr="00751AA8" w:rsidRDefault="00751AA8" w:rsidP="00751AA8">
      <w:pPr>
        <w:spacing w:before="120" w:after="120" w:line="240" w:lineRule="auto"/>
        <w:ind w:left="709" w:hanging="709"/>
        <w:rPr>
          <w:rFonts w:eastAsia="Calibri" w:cs="Arial"/>
          <w:szCs w:val="22"/>
          <w:lang w:eastAsia="en-US"/>
        </w:rPr>
      </w:pPr>
      <w:r w:rsidRPr="00751AA8">
        <w:rPr>
          <w:rFonts w:eastAsia="Calibri" w:cs="Arial"/>
          <w:szCs w:val="22"/>
          <w:lang w:eastAsia="en-US"/>
        </w:rPr>
        <w:t>7.</w:t>
      </w:r>
      <w:r w:rsidRPr="00751AA8">
        <w:rPr>
          <w:rFonts w:eastAsia="Calibri" w:cs="Arial"/>
          <w:szCs w:val="22"/>
          <w:lang w:eastAsia="en-US"/>
        </w:rPr>
        <w:tab/>
        <w:t>Elaborar relatórios mensais com o registro das ocorrências ambientais, avaliação do desempenho da construtora no atendimento aos requisitos ambientais e emissão do Certificado de Conformidade Ambiental;</w:t>
      </w:r>
    </w:p>
    <w:p w:rsidR="00751AA8" w:rsidRPr="00751AA8" w:rsidRDefault="00751AA8" w:rsidP="00751AA8">
      <w:pPr>
        <w:spacing w:before="120" w:after="120" w:line="240" w:lineRule="auto"/>
        <w:ind w:left="709" w:hanging="709"/>
        <w:rPr>
          <w:rFonts w:eastAsia="Calibri" w:cs="Arial"/>
          <w:szCs w:val="22"/>
          <w:lang w:eastAsia="en-US"/>
        </w:rPr>
      </w:pPr>
      <w:r w:rsidRPr="00751AA8">
        <w:rPr>
          <w:rFonts w:eastAsia="Calibri" w:cs="Arial"/>
          <w:szCs w:val="22"/>
          <w:lang w:eastAsia="en-US"/>
        </w:rPr>
        <w:t>8.</w:t>
      </w:r>
      <w:r w:rsidRPr="00751AA8">
        <w:rPr>
          <w:rFonts w:eastAsia="Calibri" w:cs="Arial"/>
          <w:szCs w:val="22"/>
          <w:lang w:eastAsia="en-US"/>
        </w:rPr>
        <w:tab/>
        <w:t>Acompanhar a desativação de instalações de apoio à obra e recuperação de áreas utilizadas;</w:t>
      </w:r>
    </w:p>
    <w:p w:rsidR="00751AA8" w:rsidRPr="00751AA8" w:rsidRDefault="00751AA8" w:rsidP="00751AA8">
      <w:pPr>
        <w:spacing w:before="120" w:after="120" w:line="240" w:lineRule="auto"/>
        <w:ind w:left="709" w:hanging="709"/>
        <w:rPr>
          <w:rFonts w:eastAsia="Calibri" w:cs="Arial"/>
          <w:szCs w:val="22"/>
          <w:lang w:eastAsia="en-US"/>
        </w:rPr>
      </w:pPr>
      <w:r w:rsidRPr="00751AA8">
        <w:rPr>
          <w:rFonts w:eastAsia="Calibri" w:cs="Arial"/>
          <w:szCs w:val="22"/>
          <w:lang w:eastAsia="en-US"/>
        </w:rPr>
        <w:t>9.</w:t>
      </w:r>
      <w:r w:rsidRPr="00751AA8">
        <w:rPr>
          <w:rFonts w:eastAsia="Calibri" w:cs="Arial"/>
          <w:szCs w:val="22"/>
          <w:lang w:eastAsia="en-US"/>
        </w:rPr>
        <w:tab/>
        <w:t>Preparar Relatório Ambiental de Encerramento da Obra, registrando o cumprimento de todos os requisitos previstos nas Especificações Ambientais e nas Condicionantes Ambientais previstas na LI para a obtenção da LO. Este documento ou parte dele será utilizado para a preparação do documento para a obtenção da LO.</w:t>
      </w:r>
    </w:p>
    <w:p w:rsidR="00751AA8" w:rsidRPr="00254F74" w:rsidRDefault="00254F74" w:rsidP="00254F74">
      <w:pPr>
        <w:pStyle w:val="Ttulo3"/>
        <w:spacing w:after="240"/>
        <w:rPr>
          <w:rFonts w:eastAsia="Calibri"/>
          <w:bCs/>
          <w:szCs w:val="22"/>
          <w:lang w:eastAsia="en-US"/>
        </w:rPr>
      </w:pPr>
      <w:bookmarkStart w:id="528" w:name="_Toc365478513"/>
      <w:bookmarkStart w:id="529" w:name="_Toc370810287"/>
      <w:bookmarkStart w:id="530" w:name="_Toc370923242"/>
      <w:bookmarkStart w:id="531" w:name="_Toc370985368"/>
      <w:bookmarkStart w:id="532" w:name="_Toc418758284"/>
      <w:bookmarkStart w:id="533" w:name="_Toc418758886"/>
      <w:bookmarkStart w:id="534" w:name="_Toc419813646"/>
      <w:r w:rsidRPr="00254F74">
        <w:rPr>
          <w:rFonts w:eastAsia="Calibri"/>
          <w:bCs/>
          <w:szCs w:val="22"/>
          <w:lang w:eastAsia="en-US"/>
        </w:rPr>
        <w:t xml:space="preserve">2.1.6. </w:t>
      </w:r>
      <w:r w:rsidR="00751AA8" w:rsidRPr="00254F74">
        <w:rPr>
          <w:rFonts w:eastAsia="Calibri"/>
          <w:bCs/>
          <w:szCs w:val="22"/>
          <w:lang w:eastAsia="en-US"/>
        </w:rPr>
        <w:t>Indicadores Ambientais</w:t>
      </w:r>
      <w:bookmarkEnd w:id="528"/>
      <w:bookmarkEnd w:id="529"/>
      <w:bookmarkEnd w:id="530"/>
      <w:bookmarkEnd w:id="531"/>
      <w:bookmarkEnd w:id="532"/>
      <w:bookmarkEnd w:id="533"/>
      <w:bookmarkEnd w:id="534"/>
    </w:p>
    <w:p w:rsidR="00751AA8" w:rsidRPr="00751AA8" w:rsidRDefault="00751AA8" w:rsidP="00751AA8">
      <w:pPr>
        <w:spacing w:before="120" w:after="120" w:line="240" w:lineRule="auto"/>
        <w:rPr>
          <w:rFonts w:eastAsia="Calibri"/>
          <w:szCs w:val="22"/>
          <w:lang w:eastAsia="en-US"/>
        </w:rPr>
      </w:pPr>
      <w:r w:rsidRPr="00751AA8">
        <w:rPr>
          <w:rFonts w:eastAsia="Calibri"/>
          <w:szCs w:val="22"/>
          <w:lang w:eastAsia="en-US"/>
        </w:rPr>
        <w:t xml:space="preserve">O principal indicador do Programa se constituirá na emissão dos relatórios gerenciais que deverão ser gerados com periodicidade mensal, envolvendo a evolução dos procedimentos descritos no Item Procedimentos, e que deverão compor o Subprograma </w:t>
      </w:r>
      <w:r w:rsidRPr="00751AA8">
        <w:rPr>
          <w:rFonts w:eastAsia="Calibri" w:cs="Arial"/>
          <w:szCs w:val="22"/>
          <w:lang w:eastAsia="en-US"/>
        </w:rPr>
        <w:t>Sistematização de Informações - Metas e Indicadores Ambientais</w:t>
      </w:r>
      <w:r w:rsidRPr="00751AA8">
        <w:rPr>
          <w:rFonts w:eastAsia="Calibri"/>
          <w:szCs w:val="22"/>
          <w:lang w:eastAsia="en-US"/>
        </w:rPr>
        <w:t xml:space="preserve"> proposto no âmbito do Programa.</w:t>
      </w:r>
    </w:p>
    <w:p w:rsidR="00751AA8" w:rsidRPr="00254F74" w:rsidRDefault="00254F74" w:rsidP="00254F74">
      <w:pPr>
        <w:pStyle w:val="Ttulo3"/>
        <w:spacing w:after="240"/>
        <w:rPr>
          <w:rFonts w:ascii="Arial Negrito" w:eastAsia="Calibri" w:hAnsi="Arial Negrito"/>
          <w:b w:val="0"/>
          <w:bCs/>
          <w:szCs w:val="22"/>
          <w:lang w:eastAsia="en-US"/>
        </w:rPr>
      </w:pPr>
      <w:bookmarkStart w:id="535" w:name="_Toc418758285"/>
      <w:bookmarkStart w:id="536" w:name="_Toc418758887"/>
      <w:bookmarkStart w:id="537" w:name="_Toc419813647"/>
      <w:r>
        <w:rPr>
          <w:rFonts w:ascii="Arial Negrito" w:eastAsia="Calibri" w:hAnsi="Arial Negrito"/>
          <w:b w:val="0"/>
          <w:bCs/>
          <w:szCs w:val="22"/>
          <w:lang w:eastAsia="en-US"/>
        </w:rPr>
        <w:t xml:space="preserve">2.1.7. </w:t>
      </w:r>
      <w:bookmarkStart w:id="538" w:name="_Toc365478514"/>
      <w:bookmarkStart w:id="539" w:name="_Toc370810288"/>
      <w:bookmarkStart w:id="540" w:name="_Toc370923243"/>
      <w:bookmarkStart w:id="541" w:name="_Toc370985369"/>
      <w:r w:rsidR="00751AA8" w:rsidRPr="00254F74">
        <w:rPr>
          <w:rFonts w:ascii="Arial Negrito" w:eastAsia="Calibri" w:hAnsi="Arial Negrito"/>
          <w:b w:val="0"/>
          <w:bCs/>
          <w:szCs w:val="22"/>
          <w:lang w:eastAsia="en-US"/>
        </w:rPr>
        <w:t>Recursos Materiais e Humanos</w:t>
      </w:r>
      <w:bookmarkEnd w:id="535"/>
      <w:bookmarkEnd w:id="536"/>
      <w:bookmarkEnd w:id="537"/>
      <w:bookmarkEnd w:id="538"/>
      <w:bookmarkEnd w:id="539"/>
      <w:bookmarkEnd w:id="540"/>
      <w:bookmarkEnd w:id="541"/>
    </w:p>
    <w:p w:rsidR="00751AA8" w:rsidRPr="00751AA8" w:rsidRDefault="00751AA8" w:rsidP="00751AA8">
      <w:pPr>
        <w:spacing w:before="120" w:after="120" w:line="240" w:lineRule="auto"/>
        <w:rPr>
          <w:rFonts w:eastAsia="Calibri"/>
          <w:szCs w:val="22"/>
          <w:lang w:eastAsia="en-US"/>
        </w:rPr>
      </w:pPr>
      <w:r w:rsidRPr="00751AA8">
        <w:rPr>
          <w:rFonts w:eastAsia="Calibri"/>
          <w:szCs w:val="22"/>
          <w:lang w:eastAsia="en-US"/>
        </w:rPr>
        <w:t>A execução do Programa deverá contar com uma equipe multidisciplinar, estruturada com técnicos capacitados para supervisionar e gerenciar a execução dos programas propostos e, ainda, supervisionar as obras para aferir a implantação das medidas e procedimentos ambientais propostos nos estudos ambientais por parte da construtora.</w:t>
      </w:r>
    </w:p>
    <w:p w:rsidR="00751AA8" w:rsidRPr="00751AA8" w:rsidRDefault="00254F74" w:rsidP="00254F74">
      <w:pPr>
        <w:pStyle w:val="Ttulo3"/>
        <w:rPr>
          <w:rFonts w:eastAsia="Calibri"/>
          <w:lang w:eastAsia="en-US"/>
        </w:rPr>
      </w:pPr>
      <w:bookmarkStart w:id="542" w:name="_Toc365478515"/>
      <w:bookmarkStart w:id="543" w:name="_Toc370810289"/>
      <w:bookmarkStart w:id="544" w:name="_Toc370923244"/>
      <w:bookmarkStart w:id="545" w:name="_Toc370985370"/>
      <w:bookmarkStart w:id="546" w:name="_Toc418758286"/>
      <w:bookmarkStart w:id="547" w:name="_Toc418758888"/>
      <w:bookmarkStart w:id="548" w:name="_Toc419813648"/>
      <w:r>
        <w:rPr>
          <w:rFonts w:eastAsia="Calibri"/>
          <w:lang w:eastAsia="en-US"/>
        </w:rPr>
        <w:t xml:space="preserve">2.1.8. </w:t>
      </w:r>
      <w:r w:rsidR="00751AA8" w:rsidRPr="00751AA8">
        <w:rPr>
          <w:rFonts w:eastAsia="Calibri"/>
          <w:lang w:eastAsia="en-US"/>
        </w:rPr>
        <w:t>Atendimento a Requisitos Legais e/ou Outros Requisitos</w:t>
      </w:r>
      <w:bookmarkEnd w:id="542"/>
      <w:bookmarkEnd w:id="543"/>
      <w:bookmarkEnd w:id="544"/>
      <w:bookmarkEnd w:id="545"/>
      <w:bookmarkEnd w:id="546"/>
      <w:bookmarkEnd w:id="547"/>
      <w:bookmarkEnd w:id="548"/>
    </w:p>
    <w:p w:rsidR="00751AA8" w:rsidRPr="00751AA8" w:rsidRDefault="00751AA8" w:rsidP="00751AA8">
      <w:pPr>
        <w:spacing w:before="240" w:after="240" w:line="240" w:lineRule="auto"/>
        <w:rPr>
          <w:rFonts w:eastAsia="Calibri"/>
          <w:szCs w:val="22"/>
          <w:lang w:eastAsia="en-US"/>
        </w:rPr>
      </w:pPr>
      <w:bookmarkStart w:id="549" w:name="_Toc365478516"/>
      <w:bookmarkStart w:id="550" w:name="_Toc370810290"/>
      <w:bookmarkStart w:id="551" w:name="_Toc370923245"/>
      <w:bookmarkStart w:id="552" w:name="_Toc370985371"/>
      <w:r w:rsidRPr="00751AA8">
        <w:rPr>
          <w:rFonts w:eastAsia="Calibri"/>
          <w:szCs w:val="22"/>
          <w:lang w:eastAsia="en-US"/>
        </w:rPr>
        <w:t>O programa atende ao disposto no Termo de Referência para a elaboração do EIA/RIMA das Barragens Pedreira e Duas Pontes, apresentado no Parecer Técnico nº 410/13/IE de 28/08/2013, Processo 189/13.</w:t>
      </w:r>
    </w:p>
    <w:p w:rsidR="00751AA8" w:rsidRPr="00751AA8" w:rsidRDefault="00254F74" w:rsidP="00254F74">
      <w:pPr>
        <w:pStyle w:val="Ttulo3"/>
        <w:rPr>
          <w:rFonts w:eastAsia="Calibri"/>
          <w:lang w:eastAsia="en-US"/>
        </w:rPr>
      </w:pPr>
      <w:bookmarkStart w:id="553" w:name="_Toc418758287"/>
      <w:bookmarkStart w:id="554" w:name="_Toc418758889"/>
      <w:bookmarkStart w:id="555" w:name="_Toc419813649"/>
      <w:r>
        <w:rPr>
          <w:rFonts w:eastAsia="Calibri"/>
          <w:lang w:eastAsia="en-US"/>
        </w:rPr>
        <w:t xml:space="preserve">2.1.9. </w:t>
      </w:r>
      <w:r w:rsidR="00751AA8" w:rsidRPr="00751AA8">
        <w:rPr>
          <w:rFonts w:eastAsia="Calibri"/>
          <w:lang w:eastAsia="en-US"/>
        </w:rPr>
        <w:t>Inter-relação com outros Planos e Programas</w:t>
      </w:r>
      <w:bookmarkEnd w:id="549"/>
      <w:bookmarkEnd w:id="550"/>
      <w:bookmarkEnd w:id="551"/>
      <w:bookmarkEnd w:id="552"/>
      <w:bookmarkEnd w:id="553"/>
      <w:bookmarkEnd w:id="554"/>
      <w:bookmarkEnd w:id="555"/>
    </w:p>
    <w:p w:rsidR="00751AA8" w:rsidRPr="00751AA8" w:rsidRDefault="00751AA8" w:rsidP="00751AA8">
      <w:pPr>
        <w:spacing w:before="120" w:after="120" w:line="240" w:lineRule="auto"/>
        <w:rPr>
          <w:rFonts w:eastAsia="Calibri"/>
          <w:szCs w:val="22"/>
          <w:lang w:eastAsia="en-US"/>
        </w:rPr>
      </w:pPr>
      <w:r w:rsidRPr="00751AA8">
        <w:rPr>
          <w:rFonts w:eastAsia="Calibri"/>
          <w:szCs w:val="22"/>
          <w:lang w:eastAsia="en-US"/>
        </w:rPr>
        <w:t>O Programa possui inter-relação com todos os demais planos e programas propostos no âmbito desse estudo ambiental, na medida em que será um programa estruturador, em torno do qual todos os demais estarão interligados.</w:t>
      </w:r>
    </w:p>
    <w:p w:rsidR="00751AA8" w:rsidRPr="00751AA8" w:rsidRDefault="00254F74" w:rsidP="00254F74">
      <w:pPr>
        <w:pStyle w:val="Ttulo3"/>
        <w:rPr>
          <w:rFonts w:eastAsia="Calibri"/>
          <w:lang w:eastAsia="en-US"/>
        </w:rPr>
      </w:pPr>
      <w:bookmarkStart w:id="556" w:name="_Toc365478517"/>
      <w:bookmarkStart w:id="557" w:name="_Toc370810291"/>
      <w:bookmarkStart w:id="558" w:name="_Toc370923246"/>
      <w:bookmarkStart w:id="559" w:name="_Toc370985372"/>
      <w:bookmarkStart w:id="560" w:name="_Toc418758288"/>
      <w:bookmarkStart w:id="561" w:name="_Toc418758890"/>
      <w:bookmarkStart w:id="562" w:name="_Toc419813650"/>
      <w:r>
        <w:rPr>
          <w:rFonts w:eastAsia="Calibri"/>
          <w:lang w:eastAsia="en-US"/>
        </w:rPr>
        <w:t xml:space="preserve">2.1.10. </w:t>
      </w:r>
      <w:r w:rsidR="00751AA8" w:rsidRPr="00751AA8">
        <w:rPr>
          <w:rFonts w:eastAsia="Calibri"/>
          <w:lang w:eastAsia="en-US"/>
        </w:rPr>
        <w:t>Etapa dos Empreendimento</w:t>
      </w:r>
      <w:bookmarkEnd w:id="556"/>
      <w:bookmarkEnd w:id="557"/>
      <w:bookmarkEnd w:id="558"/>
      <w:bookmarkEnd w:id="559"/>
      <w:r w:rsidR="00751AA8" w:rsidRPr="00751AA8">
        <w:rPr>
          <w:rFonts w:eastAsia="Calibri"/>
          <w:lang w:eastAsia="en-US"/>
        </w:rPr>
        <w:t>s</w:t>
      </w:r>
      <w:bookmarkEnd w:id="560"/>
      <w:bookmarkEnd w:id="561"/>
      <w:bookmarkEnd w:id="562"/>
    </w:p>
    <w:p w:rsidR="00751AA8" w:rsidRDefault="00751AA8" w:rsidP="00751AA8">
      <w:pPr>
        <w:spacing w:before="120" w:after="120" w:line="240" w:lineRule="auto"/>
        <w:rPr>
          <w:rFonts w:eastAsia="Calibri" w:cs="Arial"/>
          <w:szCs w:val="22"/>
          <w:lang w:eastAsia="en-US"/>
        </w:rPr>
      </w:pPr>
      <w:r w:rsidRPr="00751AA8">
        <w:rPr>
          <w:rFonts w:eastAsia="Calibri" w:cs="Arial"/>
          <w:szCs w:val="22"/>
          <w:lang w:eastAsia="en-US"/>
        </w:rPr>
        <w:t>Em face às características do Plano ele se estenderá desde a obtenção da Licença Prévia até as fases de implantação e operação.</w:t>
      </w:r>
    </w:p>
    <w:p w:rsidR="003D2AD3" w:rsidRDefault="00254F74" w:rsidP="00254F74">
      <w:pPr>
        <w:pStyle w:val="Ttulo3"/>
        <w:rPr>
          <w:rFonts w:eastAsia="Calibri"/>
          <w:lang w:eastAsia="en-US"/>
        </w:rPr>
      </w:pPr>
      <w:bookmarkStart w:id="563" w:name="_Toc418758289"/>
      <w:bookmarkStart w:id="564" w:name="_Toc418758891"/>
      <w:bookmarkStart w:id="565" w:name="_Toc419813651"/>
      <w:r>
        <w:rPr>
          <w:rFonts w:eastAsia="Calibri"/>
          <w:lang w:eastAsia="en-US"/>
        </w:rPr>
        <w:t xml:space="preserve">2.1.11. </w:t>
      </w:r>
      <w:r w:rsidR="003D2AD3">
        <w:rPr>
          <w:rFonts w:eastAsia="Calibri"/>
          <w:lang w:eastAsia="en-US"/>
        </w:rPr>
        <w:t>Cronograma de Execução</w:t>
      </w:r>
      <w:bookmarkEnd w:id="563"/>
      <w:bookmarkEnd w:id="564"/>
      <w:bookmarkEnd w:id="565"/>
      <w:r w:rsidR="003D2AD3">
        <w:rPr>
          <w:rFonts w:eastAsia="Calibri"/>
          <w:lang w:eastAsia="en-US"/>
        </w:rPr>
        <w:t xml:space="preserve"> </w:t>
      </w:r>
    </w:p>
    <w:p w:rsidR="003D2AD3" w:rsidRPr="00751AA8" w:rsidRDefault="003D2AD3" w:rsidP="003D2AD3">
      <w:pPr>
        <w:spacing w:before="120" w:after="120" w:line="240" w:lineRule="auto"/>
        <w:rPr>
          <w:rFonts w:eastAsia="Calibri"/>
          <w:b/>
          <w:bCs/>
          <w:szCs w:val="22"/>
          <w:lang w:eastAsia="en-US"/>
        </w:rPr>
      </w:pPr>
      <w:r w:rsidRPr="00751AA8">
        <w:rPr>
          <w:rFonts w:eastAsia="Calibri" w:cs="Arial"/>
          <w:szCs w:val="22"/>
          <w:lang w:eastAsia="en-US"/>
        </w:rPr>
        <w:t>Em face às características do Plano ele se estenderá desde a obtenção da Licença Prévia até as fases de implantação e operação.</w:t>
      </w:r>
    </w:p>
    <w:p w:rsidR="00751AA8" w:rsidRPr="00751AA8" w:rsidRDefault="00254F74" w:rsidP="00254F74">
      <w:pPr>
        <w:pStyle w:val="Ttulo3"/>
        <w:rPr>
          <w:rFonts w:eastAsia="Calibri"/>
          <w:lang w:eastAsia="en-US"/>
        </w:rPr>
      </w:pPr>
      <w:bookmarkStart w:id="566" w:name="_Toc365478519"/>
      <w:bookmarkStart w:id="567" w:name="_Toc370810293"/>
      <w:bookmarkStart w:id="568" w:name="_Toc370923248"/>
      <w:bookmarkStart w:id="569" w:name="_Toc370985374"/>
      <w:bookmarkStart w:id="570" w:name="_Toc418758290"/>
      <w:bookmarkStart w:id="571" w:name="_Toc418758892"/>
      <w:bookmarkStart w:id="572" w:name="_Toc419813652"/>
      <w:r>
        <w:rPr>
          <w:rFonts w:eastAsia="Calibri"/>
          <w:lang w:eastAsia="en-US"/>
        </w:rPr>
        <w:t xml:space="preserve">2.1.12. </w:t>
      </w:r>
      <w:r w:rsidR="00751AA8" w:rsidRPr="00751AA8">
        <w:rPr>
          <w:rFonts w:eastAsia="Calibri"/>
          <w:lang w:eastAsia="en-US"/>
        </w:rPr>
        <w:t>Responsável pela Implementação</w:t>
      </w:r>
      <w:bookmarkEnd w:id="566"/>
      <w:bookmarkEnd w:id="567"/>
      <w:bookmarkEnd w:id="568"/>
      <w:bookmarkEnd w:id="569"/>
      <w:r w:rsidR="003D2AD3">
        <w:rPr>
          <w:rFonts w:eastAsia="Calibri"/>
          <w:lang w:eastAsia="en-US"/>
        </w:rPr>
        <w:t xml:space="preserve"> do Programa</w:t>
      </w:r>
      <w:bookmarkEnd w:id="570"/>
      <w:bookmarkEnd w:id="571"/>
      <w:bookmarkEnd w:id="572"/>
    </w:p>
    <w:p w:rsidR="00751AA8" w:rsidRDefault="00751AA8" w:rsidP="00751AA8">
      <w:pPr>
        <w:spacing w:before="120" w:after="120" w:line="240" w:lineRule="auto"/>
        <w:rPr>
          <w:rFonts w:eastAsia="Calibri" w:cs="Arial"/>
          <w:szCs w:val="22"/>
          <w:lang w:eastAsia="en-US"/>
        </w:rPr>
      </w:pPr>
      <w:r w:rsidRPr="00751AA8">
        <w:rPr>
          <w:rFonts w:eastAsia="Calibri" w:cs="Arial"/>
          <w:szCs w:val="22"/>
          <w:lang w:eastAsia="en-US"/>
        </w:rPr>
        <w:t>O Departamento de Águas e Energia Elétrica - DAEE será o responsável pela sua implementação, com a assessoria da empresa contratada para apoio técnico à gestão dos Programas Ambientais e à Supervisão Ambiental das Obras.</w:t>
      </w:r>
    </w:p>
    <w:p w:rsidR="00751AA8" w:rsidRPr="00254F74" w:rsidRDefault="00254F74" w:rsidP="00254F74">
      <w:pPr>
        <w:pStyle w:val="Ttulo3"/>
        <w:spacing w:after="240"/>
        <w:rPr>
          <w:rFonts w:ascii="Arial Negrito" w:eastAsia="Calibri" w:hAnsi="Arial Negrito"/>
          <w:b w:val="0"/>
          <w:bCs/>
          <w:szCs w:val="22"/>
          <w:lang w:eastAsia="en-US"/>
        </w:rPr>
      </w:pPr>
      <w:bookmarkStart w:id="573" w:name="_Toc365478520"/>
      <w:bookmarkStart w:id="574" w:name="_Toc370810294"/>
      <w:bookmarkStart w:id="575" w:name="_Toc370923249"/>
      <w:bookmarkStart w:id="576" w:name="_Toc370985375"/>
      <w:bookmarkStart w:id="577" w:name="_Toc418758291"/>
      <w:bookmarkStart w:id="578" w:name="_Toc418758893"/>
      <w:bookmarkStart w:id="579" w:name="_Toc419813653"/>
      <w:r>
        <w:rPr>
          <w:rFonts w:ascii="Arial Negrito" w:eastAsia="Calibri" w:hAnsi="Arial Negrito"/>
          <w:b w:val="0"/>
          <w:bCs/>
          <w:szCs w:val="22"/>
          <w:lang w:eastAsia="en-US"/>
        </w:rPr>
        <w:t xml:space="preserve">2.1.13. </w:t>
      </w:r>
      <w:r w:rsidR="00751AA8" w:rsidRPr="00254F74">
        <w:rPr>
          <w:rFonts w:ascii="Arial Negrito" w:eastAsia="Calibri" w:hAnsi="Arial Negrito"/>
          <w:b w:val="0"/>
          <w:bCs/>
          <w:szCs w:val="22"/>
          <w:lang w:eastAsia="en-US"/>
        </w:rPr>
        <w:t>Sistema</w:t>
      </w:r>
      <w:r w:rsidR="003D2AD3" w:rsidRPr="00254F74">
        <w:rPr>
          <w:rFonts w:ascii="Arial Negrito" w:eastAsia="Calibri" w:hAnsi="Arial Negrito"/>
          <w:b w:val="0"/>
          <w:bCs/>
          <w:szCs w:val="22"/>
          <w:lang w:eastAsia="en-US"/>
        </w:rPr>
        <w:t>s</w:t>
      </w:r>
      <w:r w:rsidR="00751AA8" w:rsidRPr="00254F74">
        <w:rPr>
          <w:rFonts w:ascii="Arial Negrito" w:eastAsia="Calibri" w:hAnsi="Arial Negrito"/>
          <w:b w:val="0"/>
          <w:bCs/>
          <w:szCs w:val="22"/>
          <w:lang w:eastAsia="en-US"/>
        </w:rPr>
        <w:t xml:space="preserve"> de Registros</w:t>
      </w:r>
      <w:bookmarkEnd w:id="573"/>
      <w:bookmarkEnd w:id="574"/>
      <w:bookmarkEnd w:id="575"/>
      <w:bookmarkEnd w:id="576"/>
      <w:bookmarkEnd w:id="577"/>
      <w:bookmarkEnd w:id="578"/>
      <w:bookmarkEnd w:id="579"/>
    </w:p>
    <w:p w:rsidR="00751AA8" w:rsidRPr="00751AA8" w:rsidRDefault="00751AA8" w:rsidP="00751AA8">
      <w:pPr>
        <w:autoSpaceDE w:val="0"/>
        <w:autoSpaceDN w:val="0"/>
        <w:adjustRightInd w:val="0"/>
        <w:spacing w:before="120" w:after="120" w:line="240" w:lineRule="auto"/>
        <w:rPr>
          <w:rFonts w:eastAsia="Calibri" w:cs="Arial"/>
          <w:szCs w:val="22"/>
          <w:lang w:eastAsia="en-US"/>
        </w:rPr>
      </w:pPr>
      <w:r w:rsidRPr="00751AA8">
        <w:rPr>
          <w:rFonts w:eastAsia="Calibri" w:cs="Arial"/>
          <w:szCs w:val="22"/>
          <w:lang w:eastAsia="en-US"/>
        </w:rPr>
        <w:t>O Programa tem dentre as atividades previstas a elaboração de um sistema de informações que contenha em sua plataforma um banco de dados para registro dos indicadores ambientais inerentes aos planos e programas propostos nesse estudo ambiental, permitindo a organização racional das informações relativas às metas e indicadores ambientais específicos de cada um deles.</w:t>
      </w:r>
    </w:p>
    <w:p w:rsidR="00751AA8" w:rsidRPr="00254F74" w:rsidRDefault="00254F74" w:rsidP="00254F74">
      <w:pPr>
        <w:pStyle w:val="Ttulo3"/>
        <w:spacing w:after="240"/>
        <w:rPr>
          <w:rFonts w:ascii="Arial Negrito" w:eastAsia="Calibri" w:hAnsi="Arial Negrito"/>
          <w:b w:val="0"/>
          <w:bCs/>
          <w:szCs w:val="22"/>
          <w:lang w:eastAsia="en-US"/>
        </w:rPr>
      </w:pPr>
      <w:bookmarkStart w:id="580" w:name="_Toc418758292"/>
      <w:bookmarkStart w:id="581" w:name="_Toc418758894"/>
      <w:bookmarkStart w:id="582" w:name="_Toc419813654"/>
      <w:r>
        <w:rPr>
          <w:rFonts w:ascii="Arial Negrito" w:eastAsia="Calibri" w:hAnsi="Arial Negrito"/>
          <w:b w:val="0"/>
          <w:bCs/>
          <w:szCs w:val="22"/>
          <w:lang w:eastAsia="en-US"/>
        </w:rPr>
        <w:t xml:space="preserve">2.1.14. </w:t>
      </w:r>
      <w:r w:rsidR="003D2AD3" w:rsidRPr="00254F74">
        <w:rPr>
          <w:rFonts w:ascii="Arial Negrito" w:eastAsia="Calibri" w:hAnsi="Arial Negrito"/>
          <w:b w:val="0"/>
          <w:bCs/>
          <w:szCs w:val="22"/>
          <w:lang w:eastAsia="en-US"/>
        </w:rPr>
        <w:t>Referências Bibliográficas</w:t>
      </w:r>
      <w:bookmarkEnd w:id="580"/>
      <w:bookmarkEnd w:id="581"/>
      <w:bookmarkEnd w:id="582"/>
    </w:p>
    <w:p w:rsidR="00751AA8" w:rsidRDefault="00061111" w:rsidP="00254F74">
      <w:pPr>
        <w:pStyle w:val="Item-Trainho"/>
      </w:pPr>
      <w:r w:rsidRPr="00061111">
        <w:t xml:space="preserve">Departamento Hidroviário do Estado de São Paulo, Estudo de Impacto Ambiental Aproveitamento Múltiplo Santa Maria da Serra. </w:t>
      </w:r>
      <w:r w:rsidR="00254F74" w:rsidRPr="00061111">
        <w:t>THEMAG/EBEI/VETEC/UMAH</w:t>
      </w:r>
      <w:r w:rsidRPr="00061111">
        <w:t>, 2013.</w:t>
      </w:r>
    </w:p>
    <w:p w:rsidR="00FF206A" w:rsidRDefault="00254F74" w:rsidP="00254F74">
      <w:pPr>
        <w:pStyle w:val="Ttulo"/>
        <w:jc w:val="left"/>
      </w:pPr>
      <w:bookmarkStart w:id="583" w:name="_Toc418758293"/>
      <w:bookmarkStart w:id="584" w:name="_Toc418758895"/>
      <w:bookmarkStart w:id="585" w:name="_Toc419813655"/>
      <w:r>
        <w:t xml:space="preserve">3. </w:t>
      </w:r>
      <w:r w:rsidR="00FF206A" w:rsidRPr="00FF206A">
        <w:t>Programa de Controle Ambiental das Obras</w:t>
      </w:r>
      <w:bookmarkEnd w:id="583"/>
      <w:bookmarkEnd w:id="584"/>
      <w:bookmarkEnd w:id="585"/>
    </w:p>
    <w:p w:rsidR="00727621" w:rsidRPr="00455A51" w:rsidRDefault="00254F74" w:rsidP="00254F74">
      <w:pPr>
        <w:pStyle w:val="Ttulo2"/>
      </w:pPr>
      <w:bookmarkStart w:id="586" w:name="_Toc418758294"/>
      <w:bookmarkStart w:id="587" w:name="_Toc418758896"/>
      <w:bookmarkStart w:id="588" w:name="_Toc419813656"/>
      <w:r>
        <w:t xml:space="preserve">3.1. </w:t>
      </w:r>
      <w:r w:rsidR="00727621" w:rsidRPr="00455A51">
        <w:t>Apresentação e Justificativa</w:t>
      </w:r>
      <w:bookmarkEnd w:id="586"/>
      <w:bookmarkEnd w:id="587"/>
      <w:bookmarkEnd w:id="588"/>
    </w:p>
    <w:p w:rsidR="00727621" w:rsidRPr="00455A51" w:rsidRDefault="00727621" w:rsidP="00727621">
      <w:pPr>
        <w:pStyle w:val="Corpodetexto"/>
        <w:rPr>
          <w:szCs w:val="22"/>
        </w:rPr>
      </w:pPr>
      <w:r w:rsidRPr="00455A51">
        <w:rPr>
          <w:szCs w:val="22"/>
        </w:rPr>
        <w:t>O Plano de Controle Ambiental das Obras deve fornecer ao empreendedor, o qual deverá repassar aos empreiteiros a serem contratados, os critérios ambientais e procedimentos a serem respeitados durante as várias etapas da construção. Caberá à Empreiteira responsável pela construção e montagem das Barragens Pedreira e Duas Pontes conciliarem as atividades relativas à execução das obras com as necessidades de conservação ambiental, visando provocar o mínimo possível de alterações no meio ambiente, facilitando os trabalhos de recomposição dos locais afetados e atendendo à legislação sobre a matéria.</w:t>
      </w:r>
    </w:p>
    <w:p w:rsidR="00727621" w:rsidRPr="00455A51" w:rsidRDefault="00727621" w:rsidP="00727621">
      <w:pPr>
        <w:pStyle w:val="Corpodetexto"/>
        <w:rPr>
          <w:szCs w:val="22"/>
        </w:rPr>
      </w:pPr>
      <w:r w:rsidRPr="00455A51">
        <w:rPr>
          <w:szCs w:val="22"/>
        </w:rPr>
        <w:t>Ações preventivas serão desencadeadas desde o início das obras e mantidas ao longo de toda a sua duração, visando contribuir para a manutenção de um nível aceitável de qualidade ambiental e minimizar as ações posteriores de recomposição das áreas afetadas.</w:t>
      </w:r>
    </w:p>
    <w:p w:rsidR="00727621" w:rsidRPr="00455A51" w:rsidRDefault="00727621" w:rsidP="00727621">
      <w:pPr>
        <w:pStyle w:val="Corpodetexto"/>
        <w:rPr>
          <w:szCs w:val="22"/>
        </w:rPr>
      </w:pPr>
      <w:r w:rsidRPr="00455A51">
        <w:rPr>
          <w:szCs w:val="22"/>
        </w:rPr>
        <w:t>Esse plano ambiental contempla as exigências da legislação vigente.</w:t>
      </w:r>
    </w:p>
    <w:p w:rsidR="00727621" w:rsidRPr="00455A51" w:rsidRDefault="00254F74" w:rsidP="00254F74">
      <w:pPr>
        <w:pStyle w:val="Ttulo3"/>
      </w:pPr>
      <w:bookmarkStart w:id="589" w:name="_Toc418758295"/>
      <w:bookmarkStart w:id="590" w:name="_Toc418758897"/>
      <w:bookmarkStart w:id="591" w:name="_Toc419813657"/>
      <w:r>
        <w:t xml:space="preserve">3.1.1. </w:t>
      </w:r>
      <w:r w:rsidR="00727621" w:rsidRPr="00455A51">
        <w:t>Objetivos</w:t>
      </w:r>
      <w:bookmarkEnd w:id="589"/>
      <w:bookmarkEnd w:id="590"/>
      <w:bookmarkEnd w:id="591"/>
    </w:p>
    <w:p w:rsidR="00727621" w:rsidRPr="00455A51" w:rsidRDefault="00727621" w:rsidP="008B0822">
      <w:pPr>
        <w:pStyle w:val="Item-Trainho"/>
      </w:pPr>
      <w:r w:rsidRPr="00455A51">
        <w:rPr>
          <w:rFonts w:cs="Arial"/>
          <w:b/>
        </w:rPr>
        <w:t>Objetivo Geral:</w:t>
      </w:r>
      <w:r w:rsidRPr="00455A51">
        <w:rPr>
          <w:rFonts w:cs="Arial"/>
        </w:rPr>
        <w:t xml:space="preserve"> </w:t>
      </w:r>
      <w:r w:rsidRPr="00455A51">
        <w:t>O principal objetivo do Plano Ambiental para a Construção é o estabelecimento de critérios e requisitos destinados a nortear as ações dos construtores em relação ao trato com o meio ambiente, ao longo da execução das obras, minimizando impactos ambientais durante a construção.</w:t>
      </w:r>
    </w:p>
    <w:p w:rsidR="00727621" w:rsidRPr="00455A51" w:rsidRDefault="00727621" w:rsidP="008B0822">
      <w:pPr>
        <w:pStyle w:val="Item-Trainho"/>
        <w:rPr>
          <w:rFonts w:cs="Arial"/>
          <w:b/>
        </w:rPr>
      </w:pPr>
      <w:r w:rsidRPr="00455A51">
        <w:rPr>
          <w:rFonts w:cs="Arial"/>
          <w:b/>
        </w:rPr>
        <w:t>Objetivos Específicos:</w:t>
      </w:r>
      <w:r>
        <w:rPr>
          <w:rFonts w:cs="Arial"/>
          <w:b/>
        </w:rPr>
        <w:t xml:space="preserve"> </w:t>
      </w:r>
    </w:p>
    <w:p w:rsidR="00727621" w:rsidRPr="008B0822" w:rsidRDefault="00727621" w:rsidP="008B0822">
      <w:pPr>
        <w:pStyle w:val="Item-Bolinha"/>
      </w:pPr>
      <w:r w:rsidRPr="008B0822">
        <w:t>Prevenir o desencadeamento de processos erosivos e de sedimentação que possam afetar negativamente a implantação do empreendimento e sua operação.</w:t>
      </w:r>
    </w:p>
    <w:p w:rsidR="00727621" w:rsidRPr="008B0822" w:rsidRDefault="00727621" w:rsidP="008B0822">
      <w:pPr>
        <w:pStyle w:val="Item-Bolinha"/>
      </w:pPr>
      <w:r w:rsidRPr="008B0822">
        <w:t>Minimizar os riscos de contaminação dos solos e dos recursos hídricos.</w:t>
      </w:r>
    </w:p>
    <w:p w:rsidR="00727621" w:rsidRPr="008B0822" w:rsidRDefault="00727621" w:rsidP="008B0822">
      <w:pPr>
        <w:pStyle w:val="Item-Bolinha"/>
      </w:pPr>
      <w:r w:rsidRPr="008B0822">
        <w:t>Garantir saúde e segurança aos trabalhadores das obras.</w:t>
      </w:r>
    </w:p>
    <w:p w:rsidR="00727621" w:rsidRDefault="00727621" w:rsidP="008B0822">
      <w:pPr>
        <w:pStyle w:val="Item-Bolinha"/>
      </w:pPr>
      <w:r w:rsidRPr="008B0822">
        <w:t>Otimizar</w:t>
      </w:r>
      <w:r>
        <w:t xml:space="preserve"> a recomposição futura das áreas utilizadas pelo canteiro de obras.</w:t>
      </w:r>
    </w:p>
    <w:p w:rsidR="00727621" w:rsidRPr="00761454" w:rsidRDefault="00254F74" w:rsidP="00254F74">
      <w:pPr>
        <w:pStyle w:val="Ttulo3"/>
      </w:pPr>
      <w:bookmarkStart w:id="592" w:name="_Toc418758296"/>
      <w:bookmarkStart w:id="593" w:name="_Toc418758898"/>
      <w:bookmarkStart w:id="594" w:name="_Toc419813658"/>
      <w:r>
        <w:t xml:space="preserve">3.1.2. </w:t>
      </w:r>
      <w:r w:rsidR="00727621" w:rsidRPr="00761454">
        <w:t>Metas</w:t>
      </w:r>
      <w:bookmarkEnd w:id="592"/>
      <w:bookmarkEnd w:id="593"/>
      <w:bookmarkEnd w:id="594"/>
    </w:p>
    <w:p w:rsidR="00727621" w:rsidRPr="008B0822" w:rsidRDefault="00727621" w:rsidP="008B0822">
      <w:pPr>
        <w:pStyle w:val="Item-Bolinha"/>
      </w:pPr>
      <w:r w:rsidRPr="008B0822">
        <w:t xml:space="preserve">Planejamento das obras de modo a minimizar os impactos ambientais durante a construção das barragens; </w:t>
      </w:r>
    </w:p>
    <w:p w:rsidR="00727621" w:rsidRPr="008B0822" w:rsidRDefault="00727621" w:rsidP="008B0822">
      <w:pPr>
        <w:pStyle w:val="Item-Bolinha"/>
      </w:pPr>
      <w:r w:rsidRPr="008B0822">
        <w:t>Controle das diversas atividades realizadas durante a construção, verificando a aplicação das medidas técnicas e ambientais adequadas;</w:t>
      </w:r>
    </w:p>
    <w:p w:rsidR="00727621" w:rsidRPr="008B0822" w:rsidRDefault="00727621" w:rsidP="008B0822">
      <w:pPr>
        <w:pStyle w:val="Item-Bolinha"/>
      </w:pPr>
      <w:r w:rsidRPr="008B0822">
        <w:t>Atingir a meta zero de acidentes e incidentes de trabalho;</w:t>
      </w:r>
    </w:p>
    <w:p w:rsidR="00727621" w:rsidRPr="00727621" w:rsidRDefault="00727621" w:rsidP="008B0822">
      <w:pPr>
        <w:pStyle w:val="Item-Bolinha"/>
      </w:pPr>
      <w:r w:rsidRPr="008B0822">
        <w:t>Recuperação</w:t>
      </w:r>
      <w:r w:rsidRPr="00727621">
        <w:t xml:space="preserve"> das áreas degradadas depois de concluídas </w:t>
      </w:r>
      <w:r>
        <w:t>a</w:t>
      </w:r>
      <w:r w:rsidRPr="00727621">
        <w:t>s obras.</w:t>
      </w:r>
    </w:p>
    <w:p w:rsidR="00727621" w:rsidRPr="00254F74" w:rsidRDefault="00254F74" w:rsidP="00254F74">
      <w:pPr>
        <w:pStyle w:val="Ttulo3"/>
        <w:spacing w:after="240"/>
        <w:rPr>
          <w:rFonts w:ascii="Arial Negrito" w:hAnsi="Arial Negrito" w:cs="Arial"/>
          <w:b w:val="0"/>
          <w:bCs/>
        </w:rPr>
      </w:pPr>
      <w:bookmarkStart w:id="595" w:name="_Toc418758297"/>
      <w:bookmarkStart w:id="596" w:name="_Toc418758899"/>
      <w:bookmarkStart w:id="597" w:name="_Toc419813659"/>
      <w:r>
        <w:rPr>
          <w:rFonts w:ascii="Arial Negrito" w:hAnsi="Arial Negrito" w:cs="Arial"/>
          <w:b w:val="0"/>
          <w:bCs/>
        </w:rPr>
        <w:t xml:space="preserve">3.1.3. </w:t>
      </w:r>
      <w:r w:rsidR="00727621" w:rsidRPr="00254F74">
        <w:rPr>
          <w:rFonts w:ascii="Arial Negrito" w:hAnsi="Arial Negrito" w:cs="Arial"/>
          <w:b w:val="0"/>
          <w:bCs/>
        </w:rPr>
        <w:t>Público-alvo</w:t>
      </w:r>
      <w:bookmarkEnd w:id="595"/>
      <w:bookmarkEnd w:id="596"/>
      <w:bookmarkEnd w:id="597"/>
    </w:p>
    <w:p w:rsidR="00727621" w:rsidRPr="008B0822" w:rsidRDefault="00727621" w:rsidP="008B0822">
      <w:pPr>
        <w:pStyle w:val="Item-Bolinha"/>
      </w:pPr>
      <w:r w:rsidRPr="008B0822">
        <w:t>Empresa responsável pela implantação do empreendimento (Departamento de Águas e Energia Elétrica - DAEE);</w:t>
      </w:r>
    </w:p>
    <w:p w:rsidR="00727621" w:rsidRPr="008B0822" w:rsidRDefault="00727621" w:rsidP="008B0822">
      <w:pPr>
        <w:pStyle w:val="Item-Bolinha"/>
      </w:pPr>
      <w:r w:rsidRPr="008B0822">
        <w:t xml:space="preserve">Empresa responsável pela execução das obras; </w:t>
      </w:r>
    </w:p>
    <w:p w:rsidR="00727621" w:rsidRPr="008B0822" w:rsidRDefault="00727621" w:rsidP="008B0822">
      <w:pPr>
        <w:pStyle w:val="Item-Bolinha"/>
      </w:pPr>
      <w:r w:rsidRPr="008B0822">
        <w:t xml:space="preserve">Empresa responsável pela supervisão e gerenciamento da execução dos planos e programas ambientais propostos; </w:t>
      </w:r>
    </w:p>
    <w:p w:rsidR="00727621" w:rsidRPr="00727621" w:rsidRDefault="00727621" w:rsidP="008B0822">
      <w:pPr>
        <w:pStyle w:val="Item-Bolinha"/>
      </w:pPr>
      <w:r w:rsidRPr="008B0822">
        <w:t>Trab</w:t>
      </w:r>
      <w:r w:rsidRPr="00727621">
        <w:t>alhadores envolvidos na implantação do empreendimento.</w:t>
      </w:r>
    </w:p>
    <w:p w:rsidR="00727621" w:rsidRPr="00254F74" w:rsidRDefault="00254F74" w:rsidP="00254F74">
      <w:pPr>
        <w:pStyle w:val="Ttulo3"/>
        <w:spacing w:after="240"/>
        <w:rPr>
          <w:rFonts w:ascii="Arial Negrito" w:hAnsi="Arial Negrito" w:cs="Arial"/>
          <w:b w:val="0"/>
        </w:rPr>
      </w:pPr>
      <w:bookmarkStart w:id="598" w:name="_Toc418758298"/>
      <w:bookmarkStart w:id="599" w:name="_Toc418758900"/>
      <w:bookmarkStart w:id="600" w:name="_Toc419813660"/>
      <w:r>
        <w:rPr>
          <w:rFonts w:ascii="Arial Negrito" w:hAnsi="Arial Negrito" w:cs="Arial"/>
          <w:b w:val="0"/>
        </w:rPr>
        <w:t xml:space="preserve">3.1.4. </w:t>
      </w:r>
      <w:r w:rsidR="00727621" w:rsidRPr="00254F74">
        <w:rPr>
          <w:rFonts w:ascii="Arial Negrito" w:hAnsi="Arial Negrito" w:cs="Arial"/>
          <w:b w:val="0"/>
        </w:rPr>
        <w:t>Métodos e Descrição do Programa</w:t>
      </w:r>
      <w:bookmarkEnd w:id="598"/>
      <w:bookmarkEnd w:id="599"/>
      <w:bookmarkEnd w:id="600"/>
    </w:p>
    <w:p w:rsidR="00727621" w:rsidRPr="00F760B0" w:rsidRDefault="00727621" w:rsidP="00727621">
      <w:pPr>
        <w:spacing w:before="120" w:after="120" w:line="240" w:lineRule="auto"/>
        <w:rPr>
          <w:rFonts w:cs="Arial"/>
        </w:rPr>
      </w:pPr>
      <w:r w:rsidRPr="00F760B0">
        <w:rPr>
          <w:rFonts w:cs="Arial"/>
        </w:rPr>
        <w:t>Este Programa abrange atividades da etapa pré-construtiva e da obra propriamente dita.</w:t>
      </w:r>
    </w:p>
    <w:p w:rsidR="00727621" w:rsidRPr="00F760B0" w:rsidRDefault="00727621" w:rsidP="00727621">
      <w:pPr>
        <w:spacing w:before="120" w:after="120" w:line="240" w:lineRule="auto"/>
        <w:rPr>
          <w:rFonts w:cs="Arial"/>
        </w:rPr>
      </w:pPr>
      <w:r w:rsidRPr="00F760B0">
        <w:rPr>
          <w:rFonts w:cs="Arial"/>
        </w:rPr>
        <w:t>O seu desenvolvimento requer as seguintes ações principais:</w:t>
      </w:r>
    </w:p>
    <w:p w:rsidR="00727621" w:rsidRPr="00727621" w:rsidRDefault="00727621" w:rsidP="008B0822">
      <w:pPr>
        <w:pStyle w:val="Item-Trainho"/>
      </w:pPr>
      <w:r w:rsidRPr="00727621">
        <w:t>Análise detalhada pelas empresas contratadas das atividades da obra, identificação dos impactos potenciais, local de incidência e magnitude e a identificação de medidas de controle e normas aplicáveis na execução dos serviços. São atividades que foram identificadas e desenvolvidas no âmbito do EIA;</w:t>
      </w:r>
    </w:p>
    <w:p w:rsidR="00727621" w:rsidRPr="00727621" w:rsidRDefault="00727621" w:rsidP="008B0822">
      <w:pPr>
        <w:pStyle w:val="Item-Trainho"/>
      </w:pPr>
      <w:r w:rsidRPr="00727621">
        <w:t>Estabelecimento de especificações ambientais para construção. Trata-se de atividade a ser desenvolvida no detalhamento dos programas (PBA) e consiste em um conjunto de diretrizes e especificações destinadas a: i) orientar as atividades de operação do canteiro e das frentes de obra; ii) indicar a melhor forma de utilizar e recuperar áreas de apoio (empréstimo e bota-fora); iii) apontar as medidas de segurança para os trabalhadores, para os usuários da rodovia e para a população lindeira às obras. Estas especificações ambientais devem fazer parte dos editais de licitação das obras;</w:t>
      </w:r>
    </w:p>
    <w:p w:rsidR="00727621" w:rsidRPr="00727621" w:rsidRDefault="00727621" w:rsidP="008B0822">
      <w:pPr>
        <w:pStyle w:val="Item-Trainho"/>
      </w:pPr>
      <w:r w:rsidRPr="00727621">
        <w:t>Planejamento ambiental da construção, que consiste em adequar o plano de ataque das obras proposto pela construtora contratada de modo a considerar os requisitos ambientais decorrentes do processo de licenciamento, localização do canteiro e das instalações de apoio. Trata-se de atividade a ser desenvolvida pela construtora e submetida à aprovação da Supervisão Ambiental, antes do início das obras.</w:t>
      </w:r>
      <w:bookmarkStart w:id="601" w:name="_Toc365478527"/>
      <w:bookmarkStart w:id="602" w:name="_Toc370923256"/>
      <w:bookmarkStart w:id="603" w:name="_Toc370985382"/>
    </w:p>
    <w:p w:rsidR="00727621" w:rsidRDefault="00727621" w:rsidP="00727621">
      <w:pPr>
        <w:pStyle w:val="CorpodetextoBodyTextCharCharCharCharCharCharCharCharBodyTextCharBodyTextCharCharCharCharCharCharCharCharCharCharCharCharCharCharChar"/>
        <w:rPr>
          <w:b/>
        </w:rPr>
      </w:pPr>
      <w:r w:rsidRPr="00DB44E4">
        <w:rPr>
          <w:b/>
        </w:rPr>
        <w:t>Principais Atividades</w:t>
      </w:r>
      <w:bookmarkEnd w:id="601"/>
      <w:bookmarkEnd w:id="602"/>
      <w:bookmarkEnd w:id="603"/>
    </w:p>
    <w:p w:rsidR="00727621" w:rsidRDefault="00727621" w:rsidP="00656EA3">
      <w:pPr>
        <w:pStyle w:val="CorpodetextoBodyTextCharCharCharCharCharCharCharCharBodyTextCharBodyTextCharCharCharCharCharCharCharCharCharCharCharCharCharCharChar"/>
        <w:spacing w:before="240" w:after="240"/>
        <w:rPr>
          <w:b/>
          <w:szCs w:val="22"/>
        </w:rPr>
      </w:pPr>
      <w:r w:rsidRPr="00491D0A">
        <w:rPr>
          <w:b/>
          <w:szCs w:val="22"/>
        </w:rPr>
        <w:t xml:space="preserve">1) </w:t>
      </w:r>
      <w:r>
        <w:rPr>
          <w:b/>
          <w:szCs w:val="22"/>
        </w:rPr>
        <w:t>Mobilização de Mão de Obra</w:t>
      </w:r>
    </w:p>
    <w:p w:rsidR="00727621" w:rsidRDefault="00727621" w:rsidP="00727621">
      <w:pPr>
        <w:pStyle w:val="CorpodetextoBodyTextCharCharCharCharCharCharCharCharBodyTextCharBodyTextCharCharCharCharCharCharCharCharCharCharCharCharCharCharChar"/>
        <w:rPr>
          <w:szCs w:val="22"/>
        </w:rPr>
      </w:pPr>
      <w:r>
        <w:rPr>
          <w:rFonts w:cs="Arial"/>
          <w:spacing w:val="-2"/>
          <w:szCs w:val="22"/>
        </w:rPr>
        <w:t>Dentro do princípio de que se dará preferência à contratação de mão de obra local para construir as Barragens Pedreira e Duas Pontes, as</w:t>
      </w:r>
      <w:r w:rsidRPr="00491D0A">
        <w:rPr>
          <w:szCs w:val="22"/>
        </w:rPr>
        <w:t xml:space="preserve"> Empreiteiras, ao se instalarem no local da obra, devem </w:t>
      </w:r>
      <w:r>
        <w:rPr>
          <w:szCs w:val="22"/>
        </w:rPr>
        <w:t xml:space="preserve">divulgar amplamente as </w:t>
      </w:r>
      <w:r w:rsidRPr="00491D0A">
        <w:rPr>
          <w:szCs w:val="22"/>
        </w:rPr>
        <w:t xml:space="preserve">informações às comunidades </w:t>
      </w:r>
      <w:r>
        <w:rPr>
          <w:szCs w:val="22"/>
        </w:rPr>
        <w:t>dos municípios do entorno das obras, em especial em</w:t>
      </w:r>
      <w:r w:rsidRPr="00491D0A">
        <w:rPr>
          <w:szCs w:val="22"/>
        </w:rPr>
        <w:t xml:space="preserve"> </w:t>
      </w:r>
      <w:r>
        <w:rPr>
          <w:szCs w:val="22"/>
        </w:rPr>
        <w:t xml:space="preserve">Pedreira, Amparo e Campinas, </w:t>
      </w:r>
      <w:r w:rsidRPr="00491D0A">
        <w:rPr>
          <w:szCs w:val="22"/>
        </w:rPr>
        <w:t xml:space="preserve">a respeito do volume e tipo de contratação que </w:t>
      </w:r>
      <w:r>
        <w:rPr>
          <w:szCs w:val="22"/>
        </w:rPr>
        <w:t>pretende</w:t>
      </w:r>
      <w:r w:rsidRPr="00491D0A">
        <w:rPr>
          <w:szCs w:val="22"/>
        </w:rPr>
        <w:t xml:space="preserve">m efetuar, bem como do período programado para realizar os serviços e do tipo de trabalho a ser feito. </w:t>
      </w:r>
    </w:p>
    <w:p w:rsidR="00727621" w:rsidRPr="00491D0A" w:rsidRDefault="00727621" w:rsidP="00727621">
      <w:pPr>
        <w:pStyle w:val="CorpodetextoBodyTextCharCharCharCharCharCharCharCharBodyTextCharBodyTextCharCharCharCharCharCharCharCharCharCharCharCharCharCharChar"/>
        <w:rPr>
          <w:szCs w:val="22"/>
        </w:rPr>
      </w:pPr>
      <w:r w:rsidRPr="00491D0A">
        <w:rPr>
          <w:szCs w:val="22"/>
        </w:rPr>
        <w:t xml:space="preserve">A divulgação das informações deve utilizar os meios de comunicação disponíveis na </w:t>
      </w:r>
      <w:r>
        <w:rPr>
          <w:szCs w:val="22"/>
        </w:rPr>
        <w:t>região</w:t>
      </w:r>
      <w:r w:rsidRPr="00491D0A">
        <w:rPr>
          <w:szCs w:val="22"/>
        </w:rPr>
        <w:t xml:space="preserve">: emissoras de rádio, jornais, serviços de alto-falantes, distribuição de panfletos, </w:t>
      </w:r>
      <w:r>
        <w:rPr>
          <w:szCs w:val="22"/>
        </w:rPr>
        <w:t>etc.</w:t>
      </w:r>
    </w:p>
    <w:p w:rsidR="00727621" w:rsidRPr="00DB44E4" w:rsidRDefault="00727621" w:rsidP="00656EA3">
      <w:pPr>
        <w:spacing w:before="240" w:after="240" w:line="240" w:lineRule="auto"/>
        <w:rPr>
          <w:rFonts w:cs="Arial"/>
          <w:b/>
        </w:rPr>
      </w:pPr>
      <w:bookmarkStart w:id="604" w:name="_Toc370923257"/>
      <w:bookmarkStart w:id="605" w:name="_Toc370985383"/>
      <w:r>
        <w:rPr>
          <w:rFonts w:cs="Arial"/>
          <w:b/>
        </w:rPr>
        <w:t>2</w:t>
      </w:r>
      <w:r w:rsidRPr="00DB44E4">
        <w:rPr>
          <w:rFonts w:cs="Arial"/>
          <w:b/>
        </w:rPr>
        <w:t xml:space="preserve">) Treinamento e Conscientização Ambiental da </w:t>
      </w:r>
      <w:bookmarkEnd w:id="604"/>
      <w:bookmarkEnd w:id="605"/>
      <w:r w:rsidRPr="00DB44E4">
        <w:rPr>
          <w:rFonts w:cs="Arial"/>
          <w:b/>
        </w:rPr>
        <w:t>Mão de Obra</w:t>
      </w:r>
    </w:p>
    <w:p w:rsidR="00727621" w:rsidRPr="00F760B0" w:rsidRDefault="00727621" w:rsidP="00727621">
      <w:pPr>
        <w:spacing w:before="120" w:after="120" w:line="240" w:lineRule="auto"/>
        <w:rPr>
          <w:rFonts w:cs="Arial"/>
        </w:rPr>
      </w:pPr>
      <w:r w:rsidRPr="00F760B0">
        <w:rPr>
          <w:rFonts w:cs="Arial"/>
        </w:rPr>
        <w:t>Todos os trabalhadores envolvidos com a implantação d</w:t>
      </w:r>
      <w:r>
        <w:rPr>
          <w:rFonts w:cs="Arial"/>
        </w:rPr>
        <w:t>as Barragens Pedreira e Duas Pontes</w:t>
      </w:r>
      <w:r w:rsidRPr="00F760B0">
        <w:rPr>
          <w:rFonts w:cs="Arial"/>
        </w:rPr>
        <w:t xml:space="preserve"> deverão receber treinamento e conscientização ambiental, no que se refere às medidas, aos cuidados e aos procedimentos de controle ambiental a serem observados durante a execução das obras, bem como, sobre a sua conduta no relacionamento com a comunidade do entorno, de modo a evitar eventuais conflitos.</w:t>
      </w:r>
    </w:p>
    <w:p w:rsidR="00727621" w:rsidRPr="00F760B0" w:rsidRDefault="00727621" w:rsidP="00727621">
      <w:pPr>
        <w:spacing w:before="120" w:after="120" w:line="240" w:lineRule="auto"/>
        <w:rPr>
          <w:rFonts w:cs="Arial"/>
        </w:rPr>
      </w:pPr>
      <w:r w:rsidRPr="00F760B0">
        <w:rPr>
          <w:rFonts w:cs="Arial"/>
        </w:rPr>
        <w:t>O treinamento deverá fornecer, para todos os funcionários, informações úteis com respeito aos seguintes assuntos:</w:t>
      </w:r>
    </w:p>
    <w:p w:rsidR="00727621" w:rsidRPr="00F760B0" w:rsidRDefault="00727621" w:rsidP="008B0822">
      <w:pPr>
        <w:pStyle w:val="Item-Trainho"/>
      </w:pPr>
      <w:r w:rsidRPr="00F760B0">
        <w:t>Aspectos pertinentes da legislação ambiental;</w:t>
      </w:r>
    </w:p>
    <w:p w:rsidR="00727621" w:rsidRPr="00F760B0" w:rsidRDefault="00727621" w:rsidP="008B0822">
      <w:pPr>
        <w:pStyle w:val="Item-Trainho"/>
      </w:pPr>
      <w:r w:rsidRPr="00F760B0">
        <w:t>Prevenção de incêndios;</w:t>
      </w:r>
    </w:p>
    <w:p w:rsidR="00727621" w:rsidRPr="00F760B0" w:rsidRDefault="00727621" w:rsidP="008B0822">
      <w:pPr>
        <w:pStyle w:val="Item-Trainho"/>
      </w:pPr>
      <w:r w:rsidRPr="00F760B0">
        <w:t>Procedimentos para situações de emergência (acidentes, incêndio etc.);</w:t>
      </w:r>
    </w:p>
    <w:p w:rsidR="00727621" w:rsidRPr="00F760B0" w:rsidRDefault="00727621" w:rsidP="008B0822">
      <w:pPr>
        <w:pStyle w:val="Item-Trainho"/>
      </w:pPr>
      <w:r w:rsidRPr="00F760B0">
        <w:t>Cuidados com a vegetação e fauna;</w:t>
      </w:r>
    </w:p>
    <w:p w:rsidR="00727621" w:rsidRPr="00F760B0" w:rsidRDefault="00727621" w:rsidP="008B0822">
      <w:pPr>
        <w:pStyle w:val="Item-Trainho"/>
      </w:pPr>
      <w:r w:rsidRPr="00F760B0">
        <w:t>Cuidados com o patrimônio histórico e arqueológico;</w:t>
      </w:r>
    </w:p>
    <w:p w:rsidR="00727621" w:rsidRPr="00F760B0" w:rsidRDefault="00727621" w:rsidP="008B0822">
      <w:pPr>
        <w:pStyle w:val="Item-Trainho"/>
      </w:pPr>
      <w:r w:rsidRPr="00F760B0">
        <w:t>Coleta, acondicionamento, armazenamento e destinação final de resíduos sólidos;</w:t>
      </w:r>
    </w:p>
    <w:p w:rsidR="00727621" w:rsidRPr="00F760B0" w:rsidRDefault="00727621" w:rsidP="008B0822">
      <w:pPr>
        <w:pStyle w:val="Item-Trainho"/>
      </w:pPr>
      <w:r w:rsidRPr="00F760B0">
        <w:t>Informações sobre animais peçonhentos;</w:t>
      </w:r>
    </w:p>
    <w:p w:rsidR="00727621" w:rsidRPr="00F760B0" w:rsidRDefault="00727621" w:rsidP="008B0822">
      <w:pPr>
        <w:pStyle w:val="Item-Trainho"/>
      </w:pPr>
      <w:r w:rsidRPr="00F760B0">
        <w:t>Utilização de equipamentos de segurança;</w:t>
      </w:r>
    </w:p>
    <w:p w:rsidR="00727621" w:rsidRPr="00F760B0" w:rsidRDefault="00727621" w:rsidP="008B0822">
      <w:pPr>
        <w:pStyle w:val="Item-Trainho"/>
      </w:pPr>
      <w:r w:rsidRPr="00F760B0">
        <w:t>Prevenção e controle de erosão; e,</w:t>
      </w:r>
    </w:p>
    <w:p w:rsidR="00727621" w:rsidRDefault="00727621" w:rsidP="008B0822">
      <w:pPr>
        <w:pStyle w:val="Item-Trainho"/>
      </w:pPr>
      <w:r w:rsidRPr="00F760B0">
        <w:t>Prevenção à poluição e contaminação dos recursos hídricos etc.</w:t>
      </w:r>
    </w:p>
    <w:p w:rsidR="00727621" w:rsidRPr="00DB44E4" w:rsidRDefault="00727621" w:rsidP="00656EA3">
      <w:pPr>
        <w:spacing w:before="240" w:after="240" w:line="240" w:lineRule="auto"/>
        <w:rPr>
          <w:rFonts w:cs="Arial"/>
          <w:b/>
        </w:rPr>
      </w:pPr>
      <w:bookmarkStart w:id="606" w:name="_Toc370923258"/>
      <w:bookmarkStart w:id="607" w:name="_Toc370985384"/>
      <w:r>
        <w:rPr>
          <w:rFonts w:cs="Arial"/>
          <w:b/>
        </w:rPr>
        <w:t>3</w:t>
      </w:r>
      <w:r w:rsidRPr="00DB44E4">
        <w:rPr>
          <w:rFonts w:cs="Arial"/>
          <w:b/>
        </w:rPr>
        <w:t>) Controle de Saúde Ocupacional e Segurança do Trabalho</w:t>
      </w:r>
      <w:bookmarkEnd w:id="606"/>
      <w:bookmarkEnd w:id="607"/>
    </w:p>
    <w:p w:rsidR="00727621" w:rsidRDefault="00727621" w:rsidP="00727621">
      <w:pPr>
        <w:spacing w:before="120" w:after="120" w:line="240" w:lineRule="auto"/>
        <w:rPr>
          <w:rFonts w:cs="Arial"/>
        </w:rPr>
      </w:pPr>
      <w:r w:rsidRPr="00F760B0">
        <w:rPr>
          <w:rFonts w:cs="Arial"/>
        </w:rPr>
        <w:t>A construtora a ser contratada deverá atender a toda a legislação relativa à segurança do trabalho e saúde ocupacional</w:t>
      </w:r>
      <w:r>
        <w:rPr>
          <w:rFonts w:cs="Arial"/>
        </w:rPr>
        <w:t>, de forma a manter a integridade física dos trabalhadores, com reflexos positivos sobre a população residente ou usuária do entorno das obras</w:t>
      </w:r>
      <w:r w:rsidRPr="00F760B0">
        <w:rPr>
          <w:rFonts w:cs="Arial"/>
        </w:rPr>
        <w:t xml:space="preserve">. </w:t>
      </w:r>
      <w:r>
        <w:rPr>
          <w:rFonts w:cs="Arial"/>
        </w:rPr>
        <w:t>Deve envolver os trabalhadores contratados diretamente pelo empreendedor, construtor, bem como os demais subcontratados.</w:t>
      </w:r>
    </w:p>
    <w:p w:rsidR="00727621" w:rsidRDefault="00727621" w:rsidP="008B0822">
      <w:pPr>
        <w:pStyle w:val="Item-Bolinha"/>
      </w:pPr>
      <w:r w:rsidRPr="00F760B0">
        <w:t>Para tanto deverá implantar o</w:t>
      </w:r>
      <w:r>
        <w:t>s seguintes programas:</w:t>
      </w:r>
    </w:p>
    <w:p w:rsidR="00727621" w:rsidRDefault="00727621" w:rsidP="008B0822">
      <w:pPr>
        <w:pStyle w:val="Item-Bolinha"/>
      </w:pPr>
      <w:r w:rsidRPr="00F760B0">
        <w:t>Programa de Controle Médico de Saúde Ocupacional (PCMSO)</w:t>
      </w:r>
      <w:r>
        <w:t>;</w:t>
      </w:r>
    </w:p>
    <w:p w:rsidR="00727621" w:rsidRDefault="00727621" w:rsidP="008B0822">
      <w:pPr>
        <w:pStyle w:val="Item-Bolinha"/>
      </w:pPr>
      <w:r w:rsidRPr="00F760B0">
        <w:t>Programa de Prevenção de Riscos Ambientais (PPRA)</w:t>
      </w:r>
      <w:r>
        <w:t>;</w:t>
      </w:r>
    </w:p>
    <w:p w:rsidR="00727621" w:rsidRDefault="00727621" w:rsidP="008B0822">
      <w:pPr>
        <w:pStyle w:val="Item-Bolinha"/>
      </w:pPr>
      <w:r w:rsidRPr="00F760B0">
        <w:t>Serviço Especializado em Engenharia de Segurança e em Medicina do Trabalho (SESMT)</w:t>
      </w:r>
      <w:r>
        <w:t>;</w:t>
      </w:r>
      <w:r w:rsidRPr="00F760B0">
        <w:t xml:space="preserve"> e constituir a </w:t>
      </w:r>
    </w:p>
    <w:p w:rsidR="00727621" w:rsidRPr="00F760B0" w:rsidRDefault="00727621" w:rsidP="008B0822">
      <w:pPr>
        <w:pStyle w:val="Item-Bolinha"/>
      </w:pPr>
      <w:r w:rsidRPr="00F760B0">
        <w:t>Comissão Interna de Prevenção de Acidentes (CIPA).</w:t>
      </w:r>
    </w:p>
    <w:p w:rsidR="00727621" w:rsidRPr="00F760B0" w:rsidRDefault="00727621" w:rsidP="00727621">
      <w:pPr>
        <w:spacing w:before="120" w:after="120" w:line="240" w:lineRule="auto"/>
        <w:jc w:val="left"/>
        <w:rPr>
          <w:rFonts w:cs="Arial"/>
        </w:rPr>
      </w:pPr>
      <w:r w:rsidRPr="00F760B0">
        <w:rPr>
          <w:rFonts w:cs="Arial"/>
        </w:rPr>
        <w:t>Para a estruturação desses programas e demais providências devem ser obedecidas as Normas Regulamentadoras (NR’s) do Ministério do Trabalho e Emprego, disponíveis no site:</w:t>
      </w:r>
      <w:r>
        <w:rPr>
          <w:rFonts w:cs="Arial"/>
        </w:rPr>
        <w:t xml:space="preserve"> </w:t>
      </w:r>
      <w:r w:rsidRPr="00F760B0">
        <w:rPr>
          <w:rFonts w:cs="Arial"/>
        </w:rPr>
        <w:t>http://www.mte.gov.br/legislacao/normas_regulamentadoras/default.asp</w:t>
      </w:r>
      <w:r>
        <w:rPr>
          <w:rFonts w:cs="Arial"/>
        </w:rPr>
        <w:t>.</w:t>
      </w:r>
    </w:p>
    <w:p w:rsidR="00727621" w:rsidRPr="00F760B0" w:rsidRDefault="00727621" w:rsidP="00727621">
      <w:pPr>
        <w:spacing w:before="120" w:after="120" w:line="240" w:lineRule="auto"/>
        <w:rPr>
          <w:rFonts w:cs="Arial"/>
        </w:rPr>
      </w:pPr>
      <w:r w:rsidRPr="00F760B0">
        <w:rPr>
          <w:rFonts w:cs="Arial"/>
        </w:rPr>
        <w:t>Além de assegurar a legalidade das ações de segurança do trabalho e saúde ocupacional, este programa visa o controle da qualidade dos ambientes de trabalho, sob a ótica de higiene, saneamento e segurança de todos os funcionários, à prevenção de doenças infectocontagiosas e ao controle médico da saúde ocupacional.</w:t>
      </w:r>
    </w:p>
    <w:p w:rsidR="00727621" w:rsidRPr="00F760B0" w:rsidRDefault="00727621" w:rsidP="00727621">
      <w:pPr>
        <w:spacing w:before="120" w:after="120" w:line="240" w:lineRule="auto"/>
        <w:rPr>
          <w:rFonts w:cs="Arial"/>
        </w:rPr>
      </w:pPr>
      <w:r w:rsidRPr="00F760B0">
        <w:rPr>
          <w:rFonts w:cs="Arial"/>
        </w:rPr>
        <w:t>A construtora a ser contratada deverá constituir a CIPA</w:t>
      </w:r>
      <w:r>
        <w:rPr>
          <w:rFonts w:cs="Arial"/>
        </w:rPr>
        <w:t>,</w:t>
      </w:r>
      <w:r w:rsidRPr="00F760B0">
        <w:rPr>
          <w:rFonts w:cs="Arial"/>
        </w:rPr>
        <w:t xml:space="preserve"> que terá como objetivo a prevenção de acidentes e doenças decorrentes do trabalho, de modo a tornar compatível o trabalho com a preservação da vida e a promoção da saúde do trabalhador.</w:t>
      </w:r>
    </w:p>
    <w:p w:rsidR="00727621" w:rsidRPr="00D55DEB" w:rsidRDefault="00727621" w:rsidP="00656EA3">
      <w:pPr>
        <w:spacing w:before="240" w:after="240"/>
        <w:rPr>
          <w:rFonts w:cs="Arial"/>
          <w:b/>
        </w:rPr>
      </w:pPr>
      <w:bookmarkStart w:id="608" w:name="_Toc370923259"/>
      <w:bookmarkStart w:id="609" w:name="_Toc370985385"/>
      <w:r>
        <w:rPr>
          <w:rFonts w:cs="Arial"/>
          <w:b/>
        </w:rPr>
        <w:t>4</w:t>
      </w:r>
      <w:r w:rsidRPr="00D55DEB">
        <w:rPr>
          <w:rFonts w:cs="Arial"/>
          <w:b/>
        </w:rPr>
        <w:t>) Implant</w:t>
      </w:r>
      <w:r>
        <w:rPr>
          <w:rFonts w:cs="Arial"/>
          <w:b/>
        </w:rPr>
        <w:t>ação, Operação e Encerramento dos</w:t>
      </w:r>
      <w:r w:rsidRPr="00D55DEB">
        <w:rPr>
          <w:rFonts w:cs="Arial"/>
          <w:b/>
        </w:rPr>
        <w:t xml:space="preserve"> Canteiro</w:t>
      </w:r>
      <w:r>
        <w:rPr>
          <w:rFonts w:cs="Arial"/>
          <w:b/>
        </w:rPr>
        <w:t>s</w:t>
      </w:r>
      <w:r w:rsidRPr="00D55DEB">
        <w:rPr>
          <w:rFonts w:cs="Arial"/>
          <w:b/>
        </w:rPr>
        <w:t xml:space="preserve"> de Obras</w:t>
      </w:r>
      <w:bookmarkEnd w:id="608"/>
      <w:bookmarkEnd w:id="609"/>
    </w:p>
    <w:p w:rsidR="00727621" w:rsidRPr="00F760B0" w:rsidRDefault="00727621" w:rsidP="008B0822">
      <w:pPr>
        <w:spacing w:before="120" w:after="120" w:line="240" w:lineRule="auto"/>
        <w:rPr>
          <w:rFonts w:cs="Arial"/>
        </w:rPr>
      </w:pPr>
      <w:r w:rsidRPr="00F760B0">
        <w:rPr>
          <w:rFonts w:cs="Arial"/>
        </w:rPr>
        <w:t>As diretrizes para o</w:t>
      </w:r>
      <w:r>
        <w:rPr>
          <w:rFonts w:cs="Arial"/>
        </w:rPr>
        <w:t>s</w:t>
      </w:r>
      <w:r w:rsidRPr="00F760B0">
        <w:rPr>
          <w:rFonts w:cs="Arial"/>
        </w:rPr>
        <w:t xml:space="preserve"> Canteiro</w:t>
      </w:r>
      <w:r>
        <w:rPr>
          <w:rFonts w:cs="Arial"/>
        </w:rPr>
        <w:t>s</w:t>
      </w:r>
      <w:r w:rsidRPr="00F760B0">
        <w:rPr>
          <w:rFonts w:cs="Arial"/>
        </w:rPr>
        <w:t xml:space="preserve"> de Obras deverão contemplar, entre outros, os seguintes aspectos:</w:t>
      </w:r>
    </w:p>
    <w:p w:rsidR="00727621" w:rsidRPr="00727621" w:rsidRDefault="00727621" w:rsidP="008B0822">
      <w:pPr>
        <w:pStyle w:val="Item-Bolinha"/>
      </w:pPr>
      <w:r w:rsidRPr="00727621">
        <w:t>Critérios para a escolha do local para a implantação dos canteiros de obras;</w:t>
      </w:r>
    </w:p>
    <w:p w:rsidR="00727621" w:rsidRPr="00727621" w:rsidRDefault="00727621" w:rsidP="008B0822">
      <w:pPr>
        <w:pStyle w:val="Item-Bolinha"/>
      </w:pPr>
      <w:r w:rsidRPr="00727621">
        <w:t>Definição da infraestrutura necessária quanto à drenagem superficial, sistema de tratamento de efluentes (esgotos sanitários, efluentes de lavador de veículos, drenagem de oficinas, etc.);</w:t>
      </w:r>
    </w:p>
    <w:p w:rsidR="00727621" w:rsidRPr="00727621" w:rsidRDefault="00727621" w:rsidP="008B0822">
      <w:pPr>
        <w:pStyle w:val="Item-Bolinha"/>
      </w:pPr>
      <w:r w:rsidRPr="00727621">
        <w:t>Programa de gestão de resíduos sólidos;</w:t>
      </w:r>
    </w:p>
    <w:p w:rsidR="00727621" w:rsidRPr="00727621" w:rsidRDefault="00727621" w:rsidP="008B0822">
      <w:pPr>
        <w:pStyle w:val="Item-Bolinha"/>
      </w:pPr>
      <w:r w:rsidRPr="00727621">
        <w:t>Tratamento das vias de circulação interna dos canteiros de obras;</w:t>
      </w:r>
    </w:p>
    <w:p w:rsidR="00727621" w:rsidRPr="00727621" w:rsidRDefault="00727621" w:rsidP="008B0822">
      <w:pPr>
        <w:pStyle w:val="Item-Bolinha"/>
      </w:pPr>
      <w:r w:rsidRPr="00727621">
        <w:t>Procedimentos para a recomposição das áreas após o término das obras e encerramento das atividades dos canteiros.</w:t>
      </w:r>
    </w:p>
    <w:p w:rsidR="00727621" w:rsidRPr="00922A9F" w:rsidRDefault="00727621" w:rsidP="00656EA3">
      <w:pPr>
        <w:pStyle w:val="Item-Bolinha"/>
        <w:numPr>
          <w:ilvl w:val="0"/>
          <w:numId w:val="0"/>
        </w:numPr>
        <w:spacing w:before="240" w:after="240"/>
        <w:rPr>
          <w:b/>
        </w:rPr>
      </w:pPr>
      <w:r>
        <w:rPr>
          <w:b/>
        </w:rPr>
        <w:t>5) Supressão de Vegetação na Área de Canteiro, Áreas de Empréstimo e Bota Fora</w:t>
      </w:r>
    </w:p>
    <w:p w:rsidR="00727621" w:rsidRPr="00922A9F" w:rsidRDefault="00727621" w:rsidP="00727621">
      <w:pPr>
        <w:pStyle w:val="Corpodetexto"/>
        <w:widowControl w:val="0"/>
        <w:autoSpaceDE w:val="0"/>
        <w:autoSpaceDN w:val="0"/>
        <w:adjustRightInd w:val="0"/>
        <w:rPr>
          <w:rFonts w:cs="Arial"/>
          <w:szCs w:val="22"/>
        </w:rPr>
      </w:pPr>
      <w:r w:rsidRPr="00922A9F">
        <w:rPr>
          <w:rFonts w:cs="Arial"/>
          <w:szCs w:val="22"/>
        </w:rPr>
        <w:t xml:space="preserve">A supressão de vegetação para permitir escavações e preparo das fundações, relativos às obras de desvio do rio e à construção da barragem, </w:t>
      </w:r>
      <w:r>
        <w:rPr>
          <w:rFonts w:cs="Arial"/>
          <w:szCs w:val="22"/>
        </w:rPr>
        <w:t>ensecadeiras</w:t>
      </w:r>
      <w:r w:rsidRPr="00922A9F">
        <w:rPr>
          <w:rFonts w:cs="Arial"/>
          <w:szCs w:val="22"/>
        </w:rPr>
        <w:t xml:space="preserve">, vertedouros, </w:t>
      </w:r>
      <w:r>
        <w:rPr>
          <w:rFonts w:cs="Arial"/>
          <w:szCs w:val="22"/>
        </w:rPr>
        <w:t>tomada d’água</w:t>
      </w:r>
      <w:r w:rsidRPr="00922A9F">
        <w:rPr>
          <w:rFonts w:cs="Arial"/>
          <w:szCs w:val="22"/>
        </w:rPr>
        <w:t>,</w:t>
      </w:r>
      <w:r>
        <w:rPr>
          <w:rFonts w:cs="Arial"/>
          <w:szCs w:val="22"/>
        </w:rPr>
        <w:t xml:space="preserve"> áreas de empréstimo e</w:t>
      </w:r>
      <w:r w:rsidRPr="00922A9F">
        <w:rPr>
          <w:rFonts w:cs="Arial"/>
          <w:szCs w:val="22"/>
        </w:rPr>
        <w:t xml:space="preserve"> bota-foras, só poderão ser realizadas após a o</w:t>
      </w:r>
      <w:r>
        <w:rPr>
          <w:rFonts w:cs="Arial"/>
          <w:szCs w:val="22"/>
        </w:rPr>
        <w:t>btenção pela Empreiteira responsável pela obra</w:t>
      </w:r>
      <w:r w:rsidRPr="00922A9F">
        <w:rPr>
          <w:rFonts w:cs="Arial"/>
          <w:szCs w:val="22"/>
        </w:rPr>
        <w:t xml:space="preserve"> da Autorização de Supressão de Vegetação, emitida pelo </w:t>
      </w:r>
      <w:r>
        <w:rPr>
          <w:rFonts w:cs="Arial"/>
          <w:szCs w:val="22"/>
        </w:rPr>
        <w:t>órgão ambiental – CETESB,</w:t>
      </w:r>
      <w:r w:rsidRPr="00922A9F">
        <w:rPr>
          <w:rFonts w:cs="Arial"/>
          <w:szCs w:val="22"/>
        </w:rPr>
        <w:t xml:space="preserve"> e deverá limitar-se aos volumes e/ou áreas estabelecidas na mesma.</w:t>
      </w:r>
    </w:p>
    <w:p w:rsidR="00727621" w:rsidRPr="00922A9F" w:rsidRDefault="00727621" w:rsidP="00727621">
      <w:pPr>
        <w:pStyle w:val="Corpodetexto"/>
        <w:rPr>
          <w:szCs w:val="22"/>
        </w:rPr>
      </w:pPr>
      <w:r w:rsidRPr="00922A9F">
        <w:rPr>
          <w:szCs w:val="22"/>
        </w:rPr>
        <w:t xml:space="preserve">As áreas a serem desmatadas e destocadas serão aquelas previstas no projeto das escavações obrigatórias ou aquelas utilizadas para acessos, aterros, </w:t>
      </w:r>
      <w:r>
        <w:rPr>
          <w:szCs w:val="22"/>
        </w:rPr>
        <w:t xml:space="preserve">áreas de empréstimo </w:t>
      </w:r>
      <w:r w:rsidRPr="00922A9F">
        <w:rPr>
          <w:szCs w:val="22"/>
        </w:rPr>
        <w:t>bota-foras, estocagem de materiais e áreas de empréstimo.</w:t>
      </w:r>
    </w:p>
    <w:p w:rsidR="00727621" w:rsidRPr="00B558BC" w:rsidRDefault="00727621" w:rsidP="00656EA3">
      <w:pPr>
        <w:spacing w:before="240" w:after="240"/>
        <w:rPr>
          <w:rFonts w:cs="Arial"/>
          <w:b/>
        </w:rPr>
      </w:pPr>
      <w:r>
        <w:rPr>
          <w:rFonts w:cs="Arial"/>
          <w:b/>
        </w:rPr>
        <w:t>6</w:t>
      </w:r>
      <w:r w:rsidRPr="00B558BC">
        <w:rPr>
          <w:rFonts w:cs="Arial"/>
          <w:b/>
        </w:rPr>
        <w:t>) Estradas e Vias de Acesso</w:t>
      </w:r>
    </w:p>
    <w:p w:rsidR="00727621" w:rsidRPr="00B558BC" w:rsidRDefault="00727621" w:rsidP="00727621">
      <w:pPr>
        <w:pStyle w:val="Corpodetexto"/>
        <w:rPr>
          <w:szCs w:val="22"/>
        </w:rPr>
      </w:pPr>
      <w:r w:rsidRPr="00B558BC">
        <w:rPr>
          <w:szCs w:val="22"/>
        </w:rPr>
        <w:t xml:space="preserve">A implantação de acessos </w:t>
      </w:r>
      <w:r>
        <w:rPr>
          <w:szCs w:val="22"/>
        </w:rPr>
        <w:t xml:space="preserve">ao canteiro de obras, </w:t>
      </w:r>
      <w:r w:rsidRPr="00B558BC">
        <w:rPr>
          <w:szCs w:val="22"/>
        </w:rPr>
        <w:t>áreas industriais, áreas de empréstimo, bota-fora ou outras, deve respeitar a ordem de prioridades indicada a seguir:</w:t>
      </w:r>
    </w:p>
    <w:p w:rsidR="00727621" w:rsidRPr="00D85A22" w:rsidRDefault="00727621" w:rsidP="008B0822">
      <w:pPr>
        <w:pStyle w:val="Item-Bolinha"/>
      </w:pPr>
      <w:r w:rsidRPr="00D85A22">
        <w:t>aproveitamento de estradas existentes no estado em que se encontram;</w:t>
      </w:r>
    </w:p>
    <w:p w:rsidR="00727621" w:rsidRPr="00D85A22" w:rsidRDefault="00727621" w:rsidP="008B0822">
      <w:pPr>
        <w:pStyle w:val="Item-Bolinha"/>
      </w:pPr>
      <w:r w:rsidRPr="00D85A22">
        <w:t>aproveitamento de estradas existentes com execução de melhorias;</w:t>
      </w:r>
    </w:p>
    <w:p w:rsidR="00727621" w:rsidRPr="00D85A22" w:rsidRDefault="00727621" w:rsidP="008B0822">
      <w:pPr>
        <w:pStyle w:val="Item-Bolinha"/>
      </w:pPr>
      <w:r w:rsidRPr="00D85A22">
        <w:t>construção de novas estradas.</w:t>
      </w:r>
    </w:p>
    <w:p w:rsidR="00727621" w:rsidRPr="00B558BC" w:rsidRDefault="00727621" w:rsidP="00D85A22">
      <w:pPr>
        <w:pStyle w:val="Corpodetexto"/>
        <w:rPr>
          <w:szCs w:val="22"/>
        </w:rPr>
      </w:pPr>
      <w:r w:rsidRPr="00B558BC">
        <w:rPr>
          <w:szCs w:val="22"/>
        </w:rPr>
        <w:t>A definição do traçado deve visar à mínima interferência com o meio ambiente, especialmente em áreas de vegetação densa, evitando desmatamento desnecessário e futura susceptibilidade a processos erosivos.</w:t>
      </w:r>
    </w:p>
    <w:p w:rsidR="00727621" w:rsidRPr="00B558BC" w:rsidRDefault="00727621" w:rsidP="00D85A22">
      <w:pPr>
        <w:pStyle w:val="Corpodetexto"/>
        <w:rPr>
          <w:szCs w:val="22"/>
        </w:rPr>
      </w:pPr>
      <w:r w:rsidRPr="00B558BC">
        <w:rPr>
          <w:szCs w:val="22"/>
        </w:rPr>
        <w:t>Nos casos em que seja absolutamente necessário atravessar áreas com restrição ou protegidas por lei, o projeto e execução da via devem ser executados de acordo com o aprovado pelo Órgão Ambiental.</w:t>
      </w:r>
    </w:p>
    <w:p w:rsidR="00727621" w:rsidRPr="00B558BC" w:rsidRDefault="00727621" w:rsidP="00D85A22">
      <w:pPr>
        <w:pStyle w:val="Corpodetexto"/>
        <w:rPr>
          <w:szCs w:val="22"/>
        </w:rPr>
      </w:pPr>
      <w:r w:rsidRPr="00B558BC">
        <w:rPr>
          <w:szCs w:val="22"/>
        </w:rPr>
        <w:t xml:space="preserve">As vias deverão, tanto quanto possível, acompanhar as curvas de nível. Nos casos em que não seja possível evitar rampa acentuada, deverá ser previsto revestimento com pedra e/ou cascalho, facilitando o tráfego e evitando erosão. </w:t>
      </w:r>
    </w:p>
    <w:p w:rsidR="00727621" w:rsidRPr="00B558BC" w:rsidRDefault="00727621" w:rsidP="00D85A22">
      <w:pPr>
        <w:pStyle w:val="Corpodetexto"/>
        <w:rPr>
          <w:szCs w:val="22"/>
        </w:rPr>
      </w:pPr>
      <w:r w:rsidRPr="00B558BC">
        <w:rPr>
          <w:szCs w:val="22"/>
        </w:rPr>
        <w:t xml:space="preserve">Deverão ser previstas inclinações transversais nas plataformas e acostamentos para garantir a boa drenagem da via. </w:t>
      </w:r>
    </w:p>
    <w:p w:rsidR="00727621" w:rsidRDefault="00727621" w:rsidP="00D85A22">
      <w:pPr>
        <w:pStyle w:val="Corpodetexto"/>
        <w:rPr>
          <w:szCs w:val="22"/>
        </w:rPr>
      </w:pPr>
      <w:r w:rsidRPr="00B558BC">
        <w:rPr>
          <w:szCs w:val="22"/>
        </w:rPr>
        <w:t xml:space="preserve">No caso de remodelação de pontes e transposições de cursos d’água em geral, as seções de escoamento deverão ser dimensionadas, através de estudo específico, devendo as obras garantir o livre escoamento das águas. </w:t>
      </w:r>
      <w:bookmarkStart w:id="610" w:name="_Toc370923260"/>
      <w:bookmarkStart w:id="611" w:name="_Toc370985386"/>
    </w:p>
    <w:p w:rsidR="00727621" w:rsidRPr="00470003" w:rsidRDefault="00727621" w:rsidP="00656EA3">
      <w:pPr>
        <w:pStyle w:val="Corpodetexto"/>
        <w:spacing w:before="240" w:after="240"/>
        <w:rPr>
          <w:rFonts w:cs="Arial"/>
          <w:b/>
          <w:szCs w:val="22"/>
        </w:rPr>
      </w:pPr>
      <w:r>
        <w:rPr>
          <w:rFonts w:cs="Arial"/>
          <w:b/>
          <w:szCs w:val="22"/>
        </w:rPr>
        <w:t>7</w:t>
      </w:r>
      <w:r w:rsidRPr="00470003">
        <w:rPr>
          <w:rFonts w:cs="Arial"/>
          <w:b/>
          <w:szCs w:val="22"/>
        </w:rPr>
        <w:t>) Abastecimento de Água no Canteiro de Obras</w:t>
      </w:r>
    </w:p>
    <w:p w:rsidR="00727621" w:rsidRPr="00470003" w:rsidRDefault="00727621" w:rsidP="008B0822">
      <w:pPr>
        <w:pStyle w:val="Corpodetexto"/>
        <w:rPr>
          <w:szCs w:val="22"/>
        </w:rPr>
      </w:pPr>
      <w:r w:rsidRPr="00470003">
        <w:rPr>
          <w:szCs w:val="22"/>
        </w:rPr>
        <w:t xml:space="preserve">Deverá ser realizada análise físico-química e bacteriológica da água </w:t>
      </w:r>
      <w:r>
        <w:rPr>
          <w:szCs w:val="22"/>
        </w:rPr>
        <w:t>para consumo</w:t>
      </w:r>
      <w:r w:rsidRPr="00470003">
        <w:rPr>
          <w:szCs w:val="22"/>
        </w:rPr>
        <w:t xml:space="preserve"> antes do início de sua utilização. Esta análise deve ser repetida pelo menos a cada quatro meses.</w:t>
      </w:r>
    </w:p>
    <w:p w:rsidR="00727621" w:rsidRPr="00470003" w:rsidRDefault="00727621" w:rsidP="008B0822">
      <w:pPr>
        <w:pStyle w:val="Corpodetexto"/>
        <w:rPr>
          <w:szCs w:val="22"/>
        </w:rPr>
      </w:pPr>
      <w:r w:rsidRPr="00470003">
        <w:rPr>
          <w:szCs w:val="22"/>
        </w:rPr>
        <w:t>Em função das análises iniciais devem ser definidos os sistemas de filtragem e tratamento (cloração, decantação, etc.) a serem instalados.</w:t>
      </w:r>
    </w:p>
    <w:p w:rsidR="00727621" w:rsidRPr="00470003" w:rsidRDefault="00727621" w:rsidP="008B0822">
      <w:pPr>
        <w:pStyle w:val="Corpodetexto"/>
        <w:rPr>
          <w:szCs w:val="22"/>
        </w:rPr>
      </w:pPr>
      <w:r w:rsidRPr="00470003">
        <w:rPr>
          <w:szCs w:val="22"/>
        </w:rPr>
        <w:t>No caso da utilização de qualquer produto químico para tratamento, seu armazenamento e manipulação devem ser efetuados de forma segura, evitando riscos às pessoas, animais e meio ambiente.</w:t>
      </w:r>
      <w:r>
        <w:rPr>
          <w:szCs w:val="22"/>
        </w:rPr>
        <w:t xml:space="preserve"> </w:t>
      </w:r>
      <w:r w:rsidRPr="00470003">
        <w:rPr>
          <w:szCs w:val="22"/>
        </w:rPr>
        <w:t>Os efluentes eventualmente resultantes do processo de tratamento devem ser direcionados a um sistema de esgoto industrial.</w:t>
      </w:r>
    </w:p>
    <w:p w:rsidR="00727621" w:rsidRPr="00470003" w:rsidRDefault="00727621" w:rsidP="008B0822">
      <w:pPr>
        <w:pStyle w:val="Corpodetexto"/>
        <w:rPr>
          <w:szCs w:val="22"/>
        </w:rPr>
      </w:pPr>
      <w:r w:rsidRPr="00470003">
        <w:rPr>
          <w:szCs w:val="22"/>
        </w:rPr>
        <w:t>Todo o sistema de abastecimento deve estar protegido contra contaminação, especialmente caixas d'água e poços, através da escolha adequada de sua localização, e da utilização de cercas, sobre</w:t>
      </w:r>
      <w:r>
        <w:rPr>
          <w:szCs w:val="22"/>
        </w:rPr>
        <w:t xml:space="preserve"> e</w:t>
      </w:r>
      <w:r w:rsidRPr="00470003">
        <w:rPr>
          <w:szCs w:val="22"/>
        </w:rPr>
        <w:t>levações e dispositivos similares.</w:t>
      </w:r>
    </w:p>
    <w:p w:rsidR="00727621" w:rsidRPr="00470003" w:rsidRDefault="00727621" w:rsidP="008B0822">
      <w:pPr>
        <w:pStyle w:val="Corpodetexto"/>
        <w:rPr>
          <w:szCs w:val="22"/>
        </w:rPr>
      </w:pPr>
      <w:r w:rsidRPr="00470003">
        <w:rPr>
          <w:szCs w:val="22"/>
        </w:rPr>
        <w:t xml:space="preserve">O projeto e a operação do sistema deverão seguir as normas </w:t>
      </w:r>
      <w:r>
        <w:rPr>
          <w:szCs w:val="22"/>
        </w:rPr>
        <w:t>técnicas correspondentes.</w:t>
      </w:r>
    </w:p>
    <w:p w:rsidR="00727621" w:rsidRPr="00470003" w:rsidRDefault="00727621" w:rsidP="00656EA3">
      <w:pPr>
        <w:pStyle w:val="Corpodetexto"/>
        <w:spacing w:before="240" w:after="240"/>
        <w:rPr>
          <w:rFonts w:cs="Arial"/>
          <w:b/>
          <w:szCs w:val="22"/>
        </w:rPr>
      </w:pPr>
      <w:r>
        <w:rPr>
          <w:rFonts w:cs="Arial"/>
          <w:b/>
          <w:szCs w:val="22"/>
        </w:rPr>
        <w:t>8</w:t>
      </w:r>
      <w:r w:rsidRPr="00470003">
        <w:rPr>
          <w:rFonts w:cs="Arial"/>
          <w:b/>
          <w:szCs w:val="22"/>
        </w:rPr>
        <w:t>) Esgotamento Sanitário Doméstico e Industrial</w:t>
      </w:r>
    </w:p>
    <w:p w:rsidR="00727621" w:rsidRPr="00470003" w:rsidRDefault="00727621" w:rsidP="00727621">
      <w:pPr>
        <w:pStyle w:val="Corpodetexto"/>
        <w:rPr>
          <w:szCs w:val="22"/>
        </w:rPr>
      </w:pPr>
      <w:r w:rsidRPr="00470003">
        <w:rPr>
          <w:szCs w:val="22"/>
        </w:rPr>
        <w:t xml:space="preserve">Os efluentes líquidos gerados no canteiro </w:t>
      </w:r>
      <w:r>
        <w:rPr>
          <w:szCs w:val="22"/>
        </w:rPr>
        <w:t>podem ter as seguintes origens:</w:t>
      </w:r>
    </w:p>
    <w:p w:rsidR="00727621" w:rsidRPr="00470003" w:rsidRDefault="00727621" w:rsidP="00727621">
      <w:pPr>
        <w:pStyle w:val="Item-Bolinha"/>
        <w:rPr>
          <w:szCs w:val="22"/>
        </w:rPr>
      </w:pPr>
      <w:r w:rsidRPr="00470003">
        <w:rPr>
          <w:szCs w:val="22"/>
        </w:rPr>
        <w:t>efluentes sanit</w:t>
      </w:r>
      <w:r>
        <w:rPr>
          <w:szCs w:val="22"/>
        </w:rPr>
        <w:t>ários de escritórios</w:t>
      </w:r>
      <w:r w:rsidRPr="00470003">
        <w:rPr>
          <w:szCs w:val="22"/>
        </w:rPr>
        <w:t xml:space="preserve"> e demais instalações de apoio; </w:t>
      </w:r>
    </w:p>
    <w:p w:rsidR="00727621" w:rsidRPr="00470003" w:rsidRDefault="00727621" w:rsidP="00727621">
      <w:pPr>
        <w:pStyle w:val="Item-Bolinha"/>
        <w:rPr>
          <w:szCs w:val="22"/>
        </w:rPr>
      </w:pPr>
      <w:r w:rsidRPr="00470003">
        <w:rPr>
          <w:szCs w:val="22"/>
        </w:rPr>
        <w:t xml:space="preserve">efluentes domésticos dos refeitórios; </w:t>
      </w:r>
    </w:p>
    <w:p w:rsidR="00727621" w:rsidRPr="00470003" w:rsidRDefault="00727621" w:rsidP="00727621">
      <w:pPr>
        <w:pStyle w:val="Item-Bolinha"/>
        <w:rPr>
          <w:szCs w:val="22"/>
        </w:rPr>
      </w:pPr>
      <w:r w:rsidRPr="00470003">
        <w:rPr>
          <w:szCs w:val="22"/>
        </w:rPr>
        <w:t>efluentes industriais das oficinas, instalações de manutenção, pátios de estocagem de materiais e operações de montagem.</w:t>
      </w:r>
    </w:p>
    <w:p w:rsidR="00727621" w:rsidRPr="00470003" w:rsidRDefault="00727621" w:rsidP="00727621">
      <w:pPr>
        <w:pStyle w:val="Corpodetexto"/>
        <w:rPr>
          <w:szCs w:val="22"/>
        </w:rPr>
      </w:pPr>
      <w:r w:rsidRPr="00470003">
        <w:rPr>
          <w:szCs w:val="22"/>
        </w:rPr>
        <w:t xml:space="preserve">As redes de coleta de efluentes líquidos separarão os domésticos e sanitários dos industriais. </w:t>
      </w:r>
    </w:p>
    <w:p w:rsidR="00727621" w:rsidRPr="00470003" w:rsidRDefault="00727621" w:rsidP="00727621">
      <w:pPr>
        <w:pStyle w:val="Corpodetexto"/>
        <w:rPr>
          <w:szCs w:val="22"/>
        </w:rPr>
      </w:pPr>
      <w:r w:rsidRPr="00470003">
        <w:rPr>
          <w:szCs w:val="22"/>
        </w:rPr>
        <w:t xml:space="preserve">Em nenhuma hipótese deverão ser interligados os sistemas de drenagem de águas pluviais e de esgotamento sanitário. Para óleos, graxas, etc. deverão ser previstas caixas de separação e acumulação e procedimentos de remoção adequados. </w:t>
      </w:r>
    </w:p>
    <w:p w:rsidR="00727621" w:rsidRPr="00470003" w:rsidRDefault="00727621" w:rsidP="00727621">
      <w:pPr>
        <w:pStyle w:val="Corpodetexto"/>
        <w:rPr>
          <w:szCs w:val="22"/>
        </w:rPr>
      </w:pPr>
      <w:r w:rsidRPr="00470003">
        <w:rPr>
          <w:szCs w:val="22"/>
        </w:rPr>
        <w:t>Os locais de disposição final deverão atender as normas e procedimentos pertinentes.</w:t>
      </w:r>
    </w:p>
    <w:p w:rsidR="00727621" w:rsidRPr="00470003" w:rsidRDefault="00727621" w:rsidP="00727621">
      <w:pPr>
        <w:pStyle w:val="Corpodetexto"/>
        <w:rPr>
          <w:szCs w:val="22"/>
        </w:rPr>
      </w:pPr>
      <w:r>
        <w:rPr>
          <w:szCs w:val="22"/>
        </w:rPr>
        <w:t>O Canteiro de O</w:t>
      </w:r>
      <w:r w:rsidRPr="00470003">
        <w:rPr>
          <w:szCs w:val="22"/>
        </w:rPr>
        <w:t xml:space="preserve">bras deverá contar com um sistema de tratamento de águas residuais adequado à carga orgânica existente, podendo ser adotadas fossas sépticas, poços de absorção ou filtros anaeróbicos, atendendo às </w:t>
      </w:r>
      <w:r>
        <w:rPr>
          <w:szCs w:val="22"/>
        </w:rPr>
        <w:t>especificações</w:t>
      </w:r>
      <w:r w:rsidRPr="00470003">
        <w:rPr>
          <w:szCs w:val="22"/>
        </w:rPr>
        <w:t xml:space="preserve"> </w:t>
      </w:r>
      <w:r>
        <w:rPr>
          <w:szCs w:val="22"/>
        </w:rPr>
        <w:t>da NBR.</w:t>
      </w:r>
    </w:p>
    <w:p w:rsidR="00727621" w:rsidRPr="00470003" w:rsidRDefault="00727621" w:rsidP="00727621">
      <w:pPr>
        <w:pStyle w:val="Corpodetexto"/>
        <w:rPr>
          <w:szCs w:val="22"/>
        </w:rPr>
      </w:pPr>
      <w:r w:rsidRPr="00470003">
        <w:rPr>
          <w:szCs w:val="22"/>
        </w:rPr>
        <w:t xml:space="preserve">Não será permitido o uso de valas a céu aberto ou de caixas sem tampas adequadas. </w:t>
      </w:r>
    </w:p>
    <w:p w:rsidR="00727621" w:rsidRPr="00470003" w:rsidRDefault="00727621" w:rsidP="00727621">
      <w:pPr>
        <w:pStyle w:val="Corpodetexto"/>
        <w:rPr>
          <w:szCs w:val="22"/>
        </w:rPr>
      </w:pPr>
      <w:r w:rsidRPr="00470003">
        <w:rPr>
          <w:szCs w:val="22"/>
        </w:rPr>
        <w:t xml:space="preserve">Os efluentes domésticos dos refeitórios passarão previamente em caixa retentora de gordura, antes de serem levados ao tratamento normal em fossa séptica e filtro anaeróbio. </w:t>
      </w:r>
    </w:p>
    <w:p w:rsidR="00727621" w:rsidRPr="00DD4A39" w:rsidRDefault="00727621" w:rsidP="00727621">
      <w:pPr>
        <w:pStyle w:val="Corpodetexto"/>
        <w:rPr>
          <w:szCs w:val="22"/>
        </w:rPr>
      </w:pPr>
      <w:r w:rsidRPr="00DD4A39">
        <w:rPr>
          <w:szCs w:val="22"/>
        </w:rPr>
        <w:t>As águas de lavagem de veículos e peças, de drenagem dos pátios de estocagem de materiais e derivados de petróleo, como os óleos lubrificantes usados, deverão passar por caix</w:t>
      </w:r>
      <w:r>
        <w:rPr>
          <w:szCs w:val="22"/>
        </w:rPr>
        <w:t>a</w:t>
      </w:r>
      <w:r w:rsidRPr="00DD4A39">
        <w:rPr>
          <w:szCs w:val="22"/>
        </w:rPr>
        <w:t xml:space="preserve"> retentora de óleos. O efluente da caixa de retenção de óleos deverá passar por filtro de areia, por gravidade, antes de sua disposição final. </w:t>
      </w:r>
    </w:p>
    <w:p w:rsidR="00727621" w:rsidRPr="00DD4A39" w:rsidRDefault="00727621" w:rsidP="00727621">
      <w:pPr>
        <w:pStyle w:val="Corpodetexto"/>
        <w:rPr>
          <w:szCs w:val="22"/>
        </w:rPr>
      </w:pPr>
      <w:r w:rsidRPr="00DD4A39">
        <w:rPr>
          <w:szCs w:val="22"/>
        </w:rPr>
        <w:t>Os demais óleos e materiais derivados de petróleo retirados dos veículos e equipamentos deverão ser armazenados para posterior reciclagem. A armazenagem desses resíduos deverá ser feita em local com piso impermeável e dotado de sistema retentor de óleo para evitar os riscos de contaminação de águas pluviais e dos solos nas áreas próximas.</w:t>
      </w:r>
    </w:p>
    <w:p w:rsidR="00727621" w:rsidRPr="00DD4A39" w:rsidRDefault="00727621" w:rsidP="00727621">
      <w:pPr>
        <w:pStyle w:val="Corpodetexto"/>
        <w:rPr>
          <w:szCs w:val="22"/>
        </w:rPr>
      </w:pPr>
      <w:r w:rsidRPr="00DD4A39">
        <w:rPr>
          <w:szCs w:val="22"/>
        </w:rPr>
        <w:t>Águas de resfriamento de equipamentos - as águas com temperatura superior a 40ºC em nenhuma hipótese poderão ser lançadas diretamente nos cursos d’água, mas, antes, serão encaminhadas à bacia de equalização que permita sua adequação ao padrão correspondente</w:t>
      </w:r>
      <w:r>
        <w:rPr>
          <w:szCs w:val="22"/>
        </w:rPr>
        <w:t>.</w:t>
      </w:r>
    </w:p>
    <w:p w:rsidR="00727621" w:rsidRPr="00470003" w:rsidRDefault="00727621" w:rsidP="00656EA3">
      <w:pPr>
        <w:pStyle w:val="Corpodetexto"/>
        <w:spacing w:before="240" w:after="240"/>
        <w:rPr>
          <w:rFonts w:cs="Arial"/>
          <w:b/>
          <w:szCs w:val="22"/>
        </w:rPr>
      </w:pPr>
      <w:r>
        <w:rPr>
          <w:rFonts w:cs="Arial"/>
          <w:b/>
          <w:szCs w:val="22"/>
        </w:rPr>
        <w:t>9</w:t>
      </w:r>
      <w:r w:rsidRPr="00470003">
        <w:rPr>
          <w:rFonts w:cs="Arial"/>
          <w:b/>
          <w:szCs w:val="22"/>
        </w:rPr>
        <w:t xml:space="preserve">) </w:t>
      </w:r>
      <w:r>
        <w:rPr>
          <w:rFonts w:cs="Arial"/>
          <w:b/>
          <w:szCs w:val="22"/>
        </w:rPr>
        <w:t>Coleta e Disposição de Resíduos Sólidos</w:t>
      </w:r>
    </w:p>
    <w:p w:rsidR="00727621" w:rsidRPr="00DD4A39" w:rsidRDefault="00727621" w:rsidP="00D85A22">
      <w:pPr>
        <w:pStyle w:val="Corpodetexto"/>
        <w:rPr>
          <w:szCs w:val="22"/>
        </w:rPr>
      </w:pPr>
      <w:r w:rsidRPr="00DD4A39">
        <w:rPr>
          <w:szCs w:val="22"/>
        </w:rPr>
        <w:t>Os resíduos sólidos e líquidos devem ser convenientemente tratados e/ou dispostos, de forma a evitar riscos à saúde e a segurança dos trabalhadores e das comunidades vizinhas.</w:t>
      </w:r>
    </w:p>
    <w:p w:rsidR="00727621" w:rsidRPr="00DD4A39" w:rsidRDefault="00727621" w:rsidP="00D85A22">
      <w:pPr>
        <w:pStyle w:val="Corpodetexto"/>
        <w:rPr>
          <w:szCs w:val="22"/>
        </w:rPr>
      </w:pPr>
      <w:r w:rsidRPr="00DD4A39">
        <w:rPr>
          <w:szCs w:val="22"/>
        </w:rPr>
        <w:t>Lixo, dejetos, restos de comida e resíduos industriais devem ser depositados em recipientes apropriados, com tampas, mantendo o canteiro, permanentemente limpo.</w:t>
      </w:r>
    </w:p>
    <w:p w:rsidR="00727621" w:rsidRPr="00DD4A39" w:rsidRDefault="00727621" w:rsidP="00D85A22">
      <w:pPr>
        <w:pStyle w:val="Corpodetexto"/>
        <w:rPr>
          <w:szCs w:val="22"/>
        </w:rPr>
      </w:pPr>
      <w:r w:rsidRPr="00DD4A39">
        <w:rPr>
          <w:szCs w:val="22"/>
        </w:rPr>
        <w:t>Recomenda-se a separação de lixo orgânico e inorgânico, podendo-se dar tratamento diferenciado a cada caso no tocante à frequência de coleta, tratamento e destino final, inclusive visando a eventual reciclagem.</w:t>
      </w:r>
    </w:p>
    <w:p w:rsidR="00727621" w:rsidRPr="00DD4A39" w:rsidRDefault="00727621" w:rsidP="00D85A22">
      <w:pPr>
        <w:pStyle w:val="Corpodetexto"/>
        <w:rPr>
          <w:szCs w:val="22"/>
        </w:rPr>
      </w:pPr>
      <w:r w:rsidRPr="00DD4A39">
        <w:rPr>
          <w:szCs w:val="22"/>
        </w:rPr>
        <w:t xml:space="preserve">O recolhimento do lixo no canteiro de obras e seu transporte ao destino final é de responsabilidade das Empreiteiras e devem ser feitos </w:t>
      </w:r>
      <w:r>
        <w:rPr>
          <w:szCs w:val="22"/>
        </w:rPr>
        <w:t>diariamente</w:t>
      </w:r>
      <w:r w:rsidRPr="00DD4A39">
        <w:rPr>
          <w:szCs w:val="22"/>
        </w:rPr>
        <w:t xml:space="preserve">, de modo a evitar a proliferação de animais e insetos. </w:t>
      </w:r>
    </w:p>
    <w:p w:rsidR="00727621" w:rsidRPr="00DD4A39" w:rsidRDefault="00727621" w:rsidP="00D85A22">
      <w:pPr>
        <w:pStyle w:val="Corpodetexto"/>
        <w:rPr>
          <w:szCs w:val="22"/>
        </w:rPr>
      </w:pPr>
      <w:r w:rsidRPr="00DD4A39">
        <w:rPr>
          <w:szCs w:val="22"/>
        </w:rPr>
        <w:t>O transporte do lixo deve ser feito por caminhões apropriados que não permitam o seu espalhamento ou o despejo de chorume pelo caminho.</w:t>
      </w:r>
    </w:p>
    <w:p w:rsidR="00727621" w:rsidRPr="00DD4A39" w:rsidRDefault="00727621" w:rsidP="00D85A22">
      <w:pPr>
        <w:pStyle w:val="Corpodetexto"/>
        <w:rPr>
          <w:szCs w:val="22"/>
        </w:rPr>
      </w:pPr>
      <w:r w:rsidRPr="00DD4A39">
        <w:rPr>
          <w:szCs w:val="22"/>
        </w:rPr>
        <w:t xml:space="preserve">As Empreiteiras devem procurar o Poder Público local, os Órgãos Ambientais e juntamente com a Fiscalização do Empreendedor determinar, de comum acordo, o local e a melhor maneira de dispor o lixo e resíduos que irão produzir. O lixo deverá ser encaminhado para aterro sanitário controlado </w:t>
      </w:r>
      <w:r>
        <w:rPr>
          <w:szCs w:val="22"/>
        </w:rPr>
        <w:t>existente na região.</w:t>
      </w:r>
    </w:p>
    <w:p w:rsidR="00727621" w:rsidRPr="00DD4A39" w:rsidRDefault="00727621" w:rsidP="00D85A22">
      <w:pPr>
        <w:pStyle w:val="Corpodetexto"/>
        <w:rPr>
          <w:szCs w:val="22"/>
        </w:rPr>
      </w:pPr>
      <w:r w:rsidRPr="00DD4A39">
        <w:rPr>
          <w:szCs w:val="22"/>
        </w:rPr>
        <w:t xml:space="preserve">Os resíduos que não oferecerem riscos de </w:t>
      </w:r>
      <w:r>
        <w:rPr>
          <w:szCs w:val="22"/>
        </w:rPr>
        <w:t>contaminação d</w:t>
      </w:r>
      <w:r w:rsidRPr="00DD4A39">
        <w:rPr>
          <w:szCs w:val="22"/>
        </w:rPr>
        <w:t>o solo poderão ser dispostos em aterros apropriados.</w:t>
      </w:r>
    </w:p>
    <w:p w:rsidR="00727621" w:rsidRPr="00343257" w:rsidRDefault="00727621" w:rsidP="00D85A22">
      <w:pPr>
        <w:pStyle w:val="Corpodetexto"/>
        <w:rPr>
          <w:szCs w:val="22"/>
        </w:rPr>
      </w:pPr>
      <w:r w:rsidRPr="00343257">
        <w:rPr>
          <w:szCs w:val="22"/>
        </w:rPr>
        <w:t xml:space="preserve">Os resíduos sólidos gerados no ambulatório, tais como seringas, restos de materiais de primeiros socorros, medicamentos e outros não poderão ser reaproveitados e deverão ser incinerados em instalação apropriada e exclusiva, e as cinzas levadas a aterro sanitário. </w:t>
      </w:r>
    </w:p>
    <w:p w:rsidR="00727621" w:rsidRPr="00343257" w:rsidRDefault="00727621" w:rsidP="00D85A22">
      <w:pPr>
        <w:pStyle w:val="Corpodetexto"/>
        <w:rPr>
          <w:szCs w:val="22"/>
        </w:rPr>
      </w:pPr>
      <w:r w:rsidRPr="00343257">
        <w:rPr>
          <w:szCs w:val="22"/>
        </w:rPr>
        <w:t>Os resíduos sólidos industriais compostos de peças de reposição inutilizadas, filtros e embalagens, plásticos e outros derivados de petróleo, trapos utilizados na limpeza de peças, pneus e peças de madeira, etc</w:t>
      </w:r>
      <w:r>
        <w:rPr>
          <w:szCs w:val="22"/>
        </w:rPr>
        <w:t>.</w:t>
      </w:r>
      <w:r w:rsidRPr="00343257">
        <w:rPr>
          <w:szCs w:val="22"/>
        </w:rPr>
        <w:t>, deverão ser objeto de coleta seletiva, separando-se os resíduos metálicos, os inertes e os contaminados com derivados de petróleo. Os inertes, poderão ser lançados no aterro sanitário, e os contaminados com derivados de petróleo, como as estopas, incinerados em instalação apropriada.</w:t>
      </w:r>
    </w:p>
    <w:p w:rsidR="00727621" w:rsidRPr="00343257" w:rsidRDefault="00727621" w:rsidP="00D85A22">
      <w:pPr>
        <w:pStyle w:val="Corpodetexto"/>
        <w:rPr>
          <w:szCs w:val="22"/>
        </w:rPr>
      </w:pPr>
      <w:r w:rsidRPr="00343257">
        <w:rPr>
          <w:szCs w:val="22"/>
        </w:rPr>
        <w:t xml:space="preserve">Os resíduos sólidos inertes tais como entulhos, restos de materiais dos pátios de estocagem e restos de lavagem dos misturadores de concreto, poderão ser lançados em bota-fora da obra, preferencialmente dentro do futuro reservatório, a ser posteriormente coberto com solo, antes do enchimento. </w:t>
      </w:r>
    </w:p>
    <w:p w:rsidR="00727621" w:rsidRPr="00491D0A" w:rsidRDefault="00727621" w:rsidP="00656EA3">
      <w:pPr>
        <w:pStyle w:val="Corpodetexto"/>
        <w:spacing w:before="240" w:after="240"/>
        <w:rPr>
          <w:rFonts w:cs="Arial"/>
          <w:b/>
          <w:szCs w:val="22"/>
        </w:rPr>
      </w:pPr>
      <w:r>
        <w:rPr>
          <w:rFonts w:cs="Arial"/>
          <w:b/>
          <w:szCs w:val="22"/>
        </w:rPr>
        <w:t>10</w:t>
      </w:r>
      <w:r w:rsidRPr="00491D0A">
        <w:rPr>
          <w:rFonts w:cs="Arial"/>
          <w:b/>
          <w:szCs w:val="22"/>
        </w:rPr>
        <w:t>) Controle de Erosão e Assoreamento</w:t>
      </w:r>
      <w:bookmarkEnd w:id="610"/>
      <w:bookmarkEnd w:id="611"/>
    </w:p>
    <w:p w:rsidR="00727621" w:rsidRPr="00D85A22" w:rsidRDefault="00727621" w:rsidP="00D85A22">
      <w:pPr>
        <w:pStyle w:val="Corpodetexto"/>
        <w:rPr>
          <w:szCs w:val="22"/>
        </w:rPr>
      </w:pPr>
      <w:r w:rsidRPr="00D85A22">
        <w:rPr>
          <w:szCs w:val="22"/>
        </w:rPr>
        <w:t>Os procedimentos de controle ambiental de serviços de terraplenagem e drenagem incluirão a adoção de medidas preventivas, mitigadoras e corretivas para o controle de erosão e assoreamento de cursos de água ou de redes de águas pluviais existentes, que poderão ser afetadas pelas obras. Esses procedimentos serão de aplicação não somente nas frentes da obra principal, mas também em áreas de empréstimo, depósitos de materiais excedentes e acessos provisórios. Entre outras, deverão ser previstas as seguintes diretrizes:</w:t>
      </w:r>
    </w:p>
    <w:p w:rsidR="00727621" w:rsidRPr="008B0822" w:rsidRDefault="00727621" w:rsidP="008B0822">
      <w:pPr>
        <w:pStyle w:val="Item-Bolinha"/>
      </w:pPr>
      <w:r w:rsidRPr="008B0822">
        <w:t>Reduzir ao mínimo possível as áreas com solo exposto e, quando necessário, deverão ser previstas medidas de proteção deste solo exposto e/ou instalação de medidas para retenção de sedimentos;</w:t>
      </w:r>
    </w:p>
    <w:p w:rsidR="00727621" w:rsidRPr="008B0822" w:rsidRDefault="00727621" w:rsidP="008B0822">
      <w:pPr>
        <w:pStyle w:val="Item-Bolinha"/>
      </w:pPr>
      <w:r w:rsidRPr="008B0822">
        <w:t>Implantar dispositivos de drenagem provisória de forma a permitir que as águas escoem sem o surgimento de processos erosivos e carreamento de material para os locais com as cotas mais baixas;</w:t>
      </w:r>
    </w:p>
    <w:p w:rsidR="00727621" w:rsidRPr="008B0822" w:rsidRDefault="00727621" w:rsidP="008B0822">
      <w:pPr>
        <w:pStyle w:val="Item-Bolinha"/>
      </w:pPr>
      <w:r w:rsidRPr="008B0822">
        <w:t>Corrigir ou estabilizar, no menor prazo possível, todas as feições erosivas surgidas na área de terraplanagem ou que, de alguma forma, se originaram das alterações ocasionadas pela obra;</w:t>
      </w:r>
    </w:p>
    <w:p w:rsidR="00727621" w:rsidRPr="00F760B0" w:rsidRDefault="00727621" w:rsidP="008B0822">
      <w:pPr>
        <w:pStyle w:val="Item-Bolinha"/>
      </w:pPr>
      <w:r w:rsidRPr="008B0822">
        <w:t>Limpar</w:t>
      </w:r>
      <w:r w:rsidRPr="00F760B0">
        <w:t xml:space="preserve"> e manter os dispositivos de retenção de sedimentos instalados.</w:t>
      </w:r>
    </w:p>
    <w:p w:rsidR="00727621" w:rsidRPr="00BB573D" w:rsidRDefault="00727621" w:rsidP="00656EA3">
      <w:pPr>
        <w:spacing w:before="240" w:after="240"/>
        <w:rPr>
          <w:rFonts w:eastAsia="Calibri" w:cs="Arial"/>
          <w:b/>
        </w:rPr>
      </w:pPr>
      <w:bookmarkStart w:id="612" w:name="_Toc370923261"/>
      <w:bookmarkStart w:id="613" w:name="_Toc370985387"/>
      <w:r>
        <w:rPr>
          <w:rFonts w:cs="Arial"/>
          <w:b/>
        </w:rPr>
        <w:t>11</w:t>
      </w:r>
      <w:r w:rsidRPr="00BB573D">
        <w:rPr>
          <w:rFonts w:eastAsia="Calibri" w:cs="Arial"/>
          <w:b/>
        </w:rPr>
        <w:t>) Exploração de Jazida de Solo - Áreas de Empréstimo</w:t>
      </w:r>
      <w:bookmarkEnd w:id="612"/>
      <w:bookmarkEnd w:id="613"/>
    </w:p>
    <w:p w:rsidR="00727621" w:rsidRDefault="00727621" w:rsidP="00D85A22">
      <w:pPr>
        <w:spacing w:before="120" w:after="120" w:line="240" w:lineRule="auto"/>
        <w:rPr>
          <w:rFonts w:cs="Arial"/>
        </w:rPr>
      </w:pPr>
      <w:r w:rsidRPr="00BB573D">
        <w:rPr>
          <w:rFonts w:eastAsia="Calibri" w:cs="Arial"/>
        </w:rPr>
        <w:t xml:space="preserve">Conforme consta do capítulo 7 – </w:t>
      </w:r>
      <w:r>
        <w:rPr>
          <w:rFonts w:cs="Arial"/>
        </w:rPr>
        <w:t>Descrição e C</w:t>
      </w:r>
      <w:r w:rsidRPr="00BB573D">
        <w:rPr>
          <w:rFonts w:cs="Arial"/>
        </w:rPr>
        <w:t>a</w:t>
      </w:r>
      <w:r>
        <w:rPr>
          <w:rFonts w:cs="Arial"/>
        </w:rPr>
        <w:t>ra</w:t>
      </w:r>
      <w:r w:rsidRPr="00BB573D">
        <w:rPr>
          <w:rFonts w:cs="Arial"/>
        </w:rPr>
        <w:t>cterização do Empreendimento</w:t>
      </w:r>
      <w:r w:rsidRPr="00BB573D">
        <w:rPr>
          <w:rFonts w:eastAsia="Calibri" w:cs="Arial"/>
        </w:rPr>
        <w:t xml:space="preserve"> (Volume I, Tomo </w:t>
      </w:r>
      <w:r w:rsidRPr="00BB573D">
        <w:rPr>
          <w:rFonts w:cs="Arial"/>
        </w:rPr>
        <w:t>1</w:t>
      </w:r>
      <w:r w:rsidRPr="00BB573D">
        <w:rPr>
          <w:rFonts w:eastAsia="Calibri" w:cs="Arial"/>
        </w:rPr>
        <w:t>)</w:t>
      </w:r>
      <w:r>
        <w:rPr>
          <w:rFonts w:cs="Arial"/>
        </w:rPr>
        <w:t xml:space="preserve">: </w:t>
      </w:r>
    </w:p>
    <w:p w:rsidR="00727621" w:rsidRDefault="00727621" w:rsidP="008B0822">
      <w:pPr>
        <w:pStyle w:val="Item-Trainho"/>
      </w:pPr>
      <w:r>
        <w:rPr>
          <w:rFonts w:cs="Arial"/>
        </w:rPr>
        <w:t>A Barragem Pedreira</w:t>
      </w:r>
      <w:r w:rsidRPr="00BF7D3F">
        <w:t xml:space="preserve"> é do tipo de terra, homogênea, exceto na região dos encontros com as estruturas, onde é prevista barragem de terra-enrocamento. </w:t>
      </w:r>
      <w:r>
        <w:t xml:space="preserve">O comprimento total é de 694,25 m, </w:t>
      </w:r>
      <w:r w:rsidRPr="00BF7D3F">
        <w:t>O coroamento está previsto na cota 639,0m, com alturas máximas da ordem de 49 m</w:t>
      </w:r>
      <w:r>
        <w:t xml:space="preserve">, sendo </w:t>
      </w:r>
      <w:r w:rsidRPr="00191B73">
        <w:t>o comprimento de 694,25 m</w:t>
      </w:r>
      <w:r>
        <w:t>.</w:t>
      </w:r>
    </w:p>
    <w:p w:rsidR="00727621" w:rsidRPr="009C6D19" w:rsidRDefault="00727621" w:rsidP="008B0822">
      <w:pPr>
        <w:pStyle w:val="Item-Trainho"/>
        <w:rPr>
          <w:rFonts w:cs="Arial"/>
        </w:rPr>
      </w:pPr>
      <w:r w:rsidRPr="009C6D19">
        <w:rPr>
          <w:rFonts w:cs="Arial"/>
        </w:rPr>
        <w:t xml:space="preserve">A Barragem </w:t>
      </w:r>
      <w:r>
        <w:rPr>
          <w:rFonts w:cs="Arial"/>
        </w:rPr>
        <w:t>Duas Pontes é do tipo d</w:t>
      </w:r>
      <w:r w:rsidRPr="009C6D19">
        <w:rPr>
          <w:rFonts w:cs="Arial"/>
        </w:rPr>
        <w:t>e Terra, com um comprimento de 792m, será constituída de um maciço de terra compactado, com crista na elevação 648 m e 7 m de largura e com taludes 1V:3H no paramento de montante (adotado em função da elevada altura de rebaixamento rápido do Reservatório) e 1V:2H no paramento de jusante.</w:t>
      </w:r>
    </w:p>
    <w:p w:rsidR="00727621" w:rsidRDefault="00727621" w:rsidP="00D85A22">
      <w:pPr>
        <w:spacing w:before="120" w:after="120" w:line="240" w:lineRule="auto"/>
        <w:rPr>
          <w:rFonts w:eastAsia="Calibri" w:cs="Arial"/>
          <w:lang w:eastAsia="zh-CN"/>
        </w:rPr>
      </w:pPr>
      <w:r>
        <w:rPr>
          <w:rFonts w:eastAsia="Calibri" w:cs="Arial"/>
          <w:lang w:eastAsia="zh-CN"/>
        </w:rPr>
        <w:t xml:space="preserve">O material </w:t>
      </w:r>
      <w:r>
        <w:rPr>
          <w:rFonts w:cs="Arial"/>
          <w:lang w:eastAsia="zh-CN"/>
        </w:rPr>
        <w:t xml:space="preserve">necessário para a construção das barragens e </w:t>
      </w:r>
      <w:r>
        <w:rPr>
          <w:rFonts w:eastAsia="Calibri" w:cs="Arial"/>
          <w:lang w:eastAsia="zh-CN"/>
        </w:rPr>
        <w:t xml:space="preserve">execução das estruturas de concreto </w:t>
      </w:r>
      <w:r>
        <w:rPr>
          <w:rFonts w:cs="Arial"/>
          <w:lang w:eastAsia="zh-CN"/>
        </w:rPr>
        <w:t>de ambas as Barragens (Vertedouro, Obras de Desvio, Tomada D’água, Conduto de Adução, Escada para Peixes, etc.), deverá ser utilizado a partir de escavações de</w:t>
      </w:r>
      <w:r w:rsidRPr="00EA5312">
        <w:rPr>
          <w:rFonts w:cs="Arial"/>
          <w:lang w:eastAsia="zh-CN"/>
        </w:rPr>
        <w:t xml:space="preserve"> </w:t>
      </w:r>
      <w:r>
        <w:rPr>
          <w:rFonts w:cs="Arial"/>
          <w:lang w:eastAsia="zh-CN"/>
        </w:rPr>
        <w:t xml:space="preserve">áreas de empréstimo e jazidas localizadas a montante dos eixos das barragens, em áreas que serão posteriormente inundadas pela formação dos reservatórios. O material escavado ou produzido nas jazidas (solo, brita e areia) </w:t>
      </w:r>
      <w:r w:rsidRPr="00EA5312">
        <w:rPr>
          <w:rFonts w:eastAsia="Calibri" w:cs="Arial"/>
          <w:lang w:eastAsia="zh-CN"/>
        </w:rPr>
        <w:t>deve ser utilizado diretamente na construção</w:t>
      </w:r>
      <w:r>
        <w:rPr>
          <w:rFonts w:cs="Arial"/>
          <w:lang w:eastAsia="zh-CN"/>
        </w:rPr>
        <w:t xml:space="preserve">, </w:t>
      </w:r>
      <w:r w:rsidRPr="00EA5312">
        <w:rPr>
          <w:rFonts w:eastAsia="Calibri" w:cs="Arial"/>
          <w:lang w:eastAsia="zh-CN"/>
        </w:rPr>
        <w:t xml:space="preserve">de preferência sem estoques intermediários, </w:t>
      </w:r>
      <w:r>
        <w:rPr>
          <w:rFonts w:eastAsia="Calibri" w:cs="Arial"/>
          <w:lang w:eastAsia="zh-CN"/>
        </w:rPr>
        <w:t>para maximizar a</w:t>
      </w:r>
      <w:r w:rsidRPr="00EA5312">
        <w:rPr>
          <w:rFonts w:eastAsia="Calibri" w:cs="Arial"/>
          <w:lang w:eastAsia="zh-CN"/>
        </w:rPr>
        <w:t xml:space="preserve"> economia no custo da obra</w:t>
      </w:r>
      <w:r>
        <w:rPr>
          <w:rFonts w:eastAsia="Calibri" w:cs="Arial"/>
          <w:lang w:eastAsia="zh-CN"/>
        </w:rPr>
        <w:t>, além de minimizar a exploração de jazidas de solo.</w:t>
      </w:r>
      <w:r>
        <w:rPr>
          <w:rFonts w:cs="Arial"/>
          <w:lang w:eastAsia="zh-CN"/>
        </w:rPr>
        <w:t xml:space="preserve"> O cimento e os vergalhões de aço devem ser fornecidos por empresas localizadas fora da região de inserção das Barragens Pedreira e Duas Pontes. </w:t>
      </w:r>
    </w:p>
    <w:p w:rsidR="00727621" w:rsidRPr="00F760B0" w:rsidRDefault="00727621" w:rsidP="00D85A22">
      <w:pPr>
        <w:spacing w:before="120" w:after="120" w:line="240" w:lineRule="auto"/>
        <w:rPr>
          <w:rFonts w:eastAsia="Calibri" w:cs="Arial"/>
        </w:rPr>
      </w:pPr>
      <w:r>
        <w:rPr>
          <w:rFonts w:cs="Arial"/>
        </w:rPr>
        <w:t>Na exploração das</w:t>
      </w:r>
      <w:r w:rsidRPr="00F760B0">
        <w:rPr>
          <w:rFonts w:eastAsia="Calibri" w:cs="Arial"/>
        </w:rPr>
        <w:t xml:space="preserve"> </w:t>
      </w:r>
      <w:r>
        <w:rPr>
          <w:rFonts w:cs="Arial"/>
        </w:rPr>
        <w:t xml:space="preserve">áreas de empréstimo de solo, </w:t>
      </w:r>
      <w:r>
        <w:rPr>
          <w:rFonts w:eastAsia="Calibri" w:cs="Arial"/>
        </w:rPr>
        <w:t xml:space="preserve">areia e </w:t>
      </w:r>
      <w:r>
        <w:rPr>
          <w:rFonts w:cs="Arial"/>
        </w:rPr>
        <w:t xml:space="preserve">brita, </w:t>
      </w:r>
      <w:r w:rsidRPr="00F760B0">
        <w:rPr>
          <w:rFonts w:eastAsia="Calibri" w:cs="Arial"/>
        </w:rPr>
        <w:t>deverão ser seguidas as seguintes diretrizes:</w:t>
      </w:r>
    </w:p>
    <w:p w:rsidR="00727621" w:rsidRPr="008B0822" w:rsidRDefault="00727621" w:rsidP="008B0822">
      <w:pPr>
        <w:pStyle w:val="Item-Bolinha"/>
      </w:pPr>
      <w:r w:rsidRPr="008B0822">
        <w:t>Elaborar projeto definindo o plano de exploração, volume do material a ser retirado e a configuração topográfica dos taludes finais da escavação. O projeto deverá contemplar, ainda, todas as medidas necessárias prevendo o posterior afogamento dessas áreas pela formação dos reservatórios;</w:t>
      </w:r>
    </w:p>
    <w:p w:rsidR="00727621" w:rsidRPr="008B0822" w:rsidRDefault="00727621" w:rsidP="008B0822">
      <w:pPr>
        <w:pStyle w:val="Item-Bolinha"/>
      </w:pPr>
      <w:r w:rsidRPr="008B0822">
        <w:t>Promover estudos criteriosos quanto à localização das áreas de empréstimo, evitando as áreas muito inclinadas e propensas aos problemas de estabilidade de encostas, bem como áreas com a presença de cobertura vegetal significativa;</w:t>
      </w:r>
    </w:p>
    <w:p w:rsidR="00727621" w:rsidRPr="008B0822" w:rsidRDefault="00727621" w:rsidP="008B0822">
      <w:pPr>
        <w:pStyle w:val="Item-Bolinha"/>
      </w:pPr>
      <w:r w:rsidRPr="008B0822">
        <w:t>Durante todo o período de utilização das áreas de empréstimo deverão ser observadas as medidas de controle de erosão e assoreamento;</w:t>
      </w:r>
    </w:p>
    <w:p w:rsidR="00727621" w:rsidRDefault="00727621" w:rsidP="008B0822">
      <w:pPr>
        <w:pStyle w:val="Item-Bolinha"/>
      </w:pPr>
      <w:r w:rsidRPr="008B0822">
        <w:t>No final da exploração, as áreas utilizadas serão tratadas de maneira adequada à sua destinação final, considerando-se o afogamento dessas áreas pela formação dos</w:t>
      </w:r>
      <w:r>
        <w:t xml:space="preserve"> reservatórios.</w:t>
      </w:r>
    </w:p>
    <w:p w:rsidR="00727621" w:rsidRPr="009C6D19" w:rsidRDefault="00727621" w:rsidP="00656EA3">
      <w:pPr>
        <w:spacing w:before="240" w:after="240"/>
        <w:rPr>
          <w:rFonts w:cs="Arial"/>
          <w:b/>
        </w:rPr>
      </w:pPr>
      <w:r>
        <w:rPr>
          <w:rFonts w:cs="Arial"/>
          <w:b/>
        </w:rPr>
        <w:t>12) Bota-foras</w:t>
      </w:r>
    </w:p>
    <w:p w:rsidR="00727621" w:rsidRPr="00F760B0" w:rsidRDefault="00727621" w:rsidP="00D85A22">
      <w:pPr>
        <w:spacing w:before="120" w:after="120" w:line="240" w:lineRule="auto"/>
        <w:rPr>
          <w:rFonts w:eastAsia="Calibri" w:cs="Arial"/>
        </w:rPr>
      </w:pPr>
      <w:r w:rsidRPr="00F760B0">
        <w:rPr>
          <w:rFonts w:eastAsia="Calibri" w:cs="Arial"/>
        </w:rPr>
        <w:t xml:space="preserve">O material de bota fora </w:t>
      </w:r>
      <w:r>
        <w:rPr>
          <w:rFonts w:cs="Arial"/>
        </w:rPr>
        <w:t xml:space="preserve">a ser produzido pelas obras </w:t>
      </w:r>
      <w:r w:rsidRPr="00F760B0">
        <w:rPr>
          <w:rFonts w:eastAsia="Calibri" w:cs="Arial"/>
        </w:rPr>
        <w:t>será constituído</w:t>
      </w:r>
      <w:r>
        <w:rPr>
          <w:rFonts w:cs="Arial"/>
        </w:rPr>
        <w:t>, principalmente,</w:t>
      </w:r>
      <w:r w:rsidRPr="00F760B0">
        <w:rPr>
          <w:rFonts w:eastAsia="Calibri" w:cs="Arial"/>
        </w:rPr>
        <w:t xml:space="preserve"> por solo, material rochoso</w:t>
      </w:r>
      <w:r>
        <w:rPr>
          <w:rFonts w:cs="Arial"/>
        </w:rPr>
        <w:t xml:space="preserve"> e outros componentes utilizados nas obras.</w:t>
      </w:r>
      <w:r w:rsidRPr="00F760B0">
        <w:rPr>
          <w:rFonts w:eastAsia="Calibri" w:cs="Arial"/>
        </w:rPr>
        <w:t xml:space="preserve"> São resíduos formados essencialmente de materiais inertes, sem potencial de poluição, considerados como de classe II B, conforme classificação estabelecida pela</w:t>
      </w:r>
      <w:r>
        <w:rPr>
          <w:rFonts w:cs="Arial"/>
        </w:rPr>
        <w:t>s</w:t>
      </w:r>
      <w:r w:rsidRPr="00F760B0">
        <w:rPr>
          <w:rFonts w:eastAsia="Calibri" w:cs="Arial"/>
        </w:rPr>
        <w:t xml:space="preserve"> Norma</w:t>
      </w:r>
      <w:r>
        <w:rPr>
          <w:rFonts w:cs="Arial"/>
        </w:rPr>
        <w:t>s da ABNT.</w:t>
      </w:r>
    </w:p>
    <w:p w:rsidR="00727621" w:rsidRDefault="00727621" w:rsidP="00D85A22">
      <w:pPr>
        <w:widowControl w:val="0"/>
        <w:autoSpaceDE w:val="0"/>
        <w:autoSpaceDN w:val="0"/>
        <w:adjustRightInd w:val="0"/>
        <w:spacing w:before="120" w:after="120" w:line="240" w:lineRule="auto"/>
        <w:rPr>
          <w:rFonts w:cs="Arial"/>
        </w:rPr>
      </w:pPr>
      <w:r>
        <w:rPr>
          <w:rFonts w:cs="Arial"/>
        </w:rPr>
        <w:t>No descarte desse material deverão ser aproveitadas as áreas de empréstimo já utilizadas, localizadas em áreas a ser inundadas adequando o terreno de modo a poder cobrir o material depositado com solo.</w:t>
      </w:r>
    </w:p>
    <w:p w:rsidR="00727621" w:rsidRPr="00182EF9" w:rsidRDefault="00727621" w:rsidP="00656EA3">
      <w:pPr>
        <w:spacing w:before="240" w:after="240"/>
        <w:rPr>
          <w:rFonts w:eastAsia="Calibri" w:cs="Arial"/>
          <w:b/>
        </w:rPr>
      </w:pPr>
      <w:bookmarkStart w:id="614" w:name="_Toc370923263"/>
      <w:bookmarkStart w:id="615" w:name="_Toc370985389"/>
      <w:r>
        <w:rPr>
          <w:rFonts w:cs="Arial"/>
          <w:b/>
        </w:rPr>
        <w:t>13)</w:t>
      </w:r>
      <w:r w:rsidRPr="00182EF9">
        <w:rPr>
          <w:rFonts w:eastAsia="Calibri" w:cs="Arial"/>
          <w:b/>
        </w:rPr>
        <w:t xml:space="preserve"> Controle do Tráfego de Veículos e de Máquinas Durante as Obras</w:t>
      </w:r>
      <w:bookmarkEnd w:id="614"/>
      <w:bookmarkEnd w:id="615"/>
    </w:p>
    <w:p w:rsidR="00727621" w:rsidRPr="00D85A22" w:rsidRDefault="00727621" w:rsidP="00857735">
      <w:pPr>
        <w:spacing w:before="100" w:after="100" w:line="240" w:lineRule="auto"/>
        <w:rPr>
          <w:rFonts w:eastAsia="Calibri" w:cs="Arial"/>
        </w:rPr>
      </w:pPr>
      <w:r w:rsidRPr="00F760B0">
        <w:rPr>
          <w:rFonts w:eastAsia="Calibri" w:cs="Arial"/>
        </w:rPr>
        <w:t xml:space="preserve">Deverá ser desenvolvido um Plano de Tráfego </w:t>
      </w:r>
      <w:r w:rsidRPr="00D85A22">
        <w:rPr>
          <w:rFonts w:eastAsia="Calibri" w:cs="Arial"/>
        </w:rPr>
        <w:t xml:space="preserve">para as estradas de acesso às obras, </w:t>
      </w:r>
      <w:r w:rsidRPr="00F760B0">
        <w:rPr>
          <w:rFonts w:eastAsia="Calibri" w:cs="Arial"/>
        </w:rPr>
        <w:t xml:space="preserve">no qual constarão os trajetos a serem utilizados para transporte de </w:t>
      </w:r>
      <w:r w:rsidRPr="00D85A22">
        <w:rPr>
          <w:rFonts w:eastAsia="Calibri" w:cs="Arial"/>
        </w:rPr>
        <w:t>insumos, máquinas e equipamentos necessários às obras, como também a circulação dos trabalhadores e equipes de apoio.</w:t>
      </w:r>
    </w:p>
    <w:p w:rsidR="00727621" w:rsidRPr="00D85A22" w:rsidRDefault="00727621" w:rsidP="00857735">
      <w:pPr>
        <w:spacing w:before="100" w:after="100" w:line="240" w:lineRule="auto"/>
        <w:rPr>
          <w:rFonts w:eastAsia="Calibri" w:cs="Arial"/>
        </w:rPr>
      </w:pPr>
      <w:r w:rsidRPr="00D85A22">
        <w:rPr>
          <w:rFonts w:eastAsia="Calibri" w:cs="Arial"/>
        </w:rPr>
        <w:t xml:space="preserve">O Plano deve identificar vias alternativas, como também definir ações de regulação, orientação e fiscalização adequadas para evitar e/ou minimizar os incômodos à população usuária das vias de acesso, principalmente na cidade de Pedreira, localizada no acesso ao local da Barragem Pedreira. </w:t>
      </w:r>
    </w:p>
    <w:p w:rsidR="00727621" w:rsidRPr="00D85A22" w:rsidRDefault="00727621" w:rsidP="00857735">
      <w:pPr>
        <w:spacing w:before="100" w:after="100" w:line="240" w:lineRule="auto"/>
        <w:rPr>
          <w:rFonts w:eastAsia="Calibri" w:cs="Arial"/>
        </w:rPr>
      </w:pPr>
      <w:r w:rsidRPr="00D85A22">
        <w:rPr>
          <w:rFonts w:eastAsia="Calibri" w:cs="Arial"/>
        </w:rPr>
        <w:t xml:space="preserve">Os insumos mais volumosos, que demandarão um transporte mais intenso, como o caso de solo, rochas, brita e areia, material necessário para a formação das barragens, serão extraídos das áreas de empréstimo localizadas logo a montante dos barramentos ou próximos às obras, pelo que a distância de transporte será reduzida, minimizando a utilização das estradas e, por tanto, a interferência com usuários das estradas. </w:t>
      </w:r>
    </w:p>
    <w:p w:rsidR="00727621" w:rsidRDefault="00727621" w:rsidP="00857735">
      <w:pPr>
        <w:spacing w:before="100" w:after="100" w:line="240" w:lineRule="auto"/>
        <w:rPr>
          <w:rFonts w:eastAsia="Calibri" w:cs="Arial"/>
        </w:rPr>
      </w:pPr>
      <w:r w:rsidRPr="00F760B0">
        <w:rPr>
          <w:rFonts w:eastAsia="Calibri" w:cs="Arial"/>
        </w:rPr>
        <w:t xml:space="preserve">O plano deverá contemplar </w:t>
      </w:r>
      <w:r w:rsidRPr="00D85A22">
        <w:rPr>
          <w:rFonts w:eastAsia="Calibri" w:cs="Arial"/>
        </w:rPr>
        <w:t xml:space="preserve">reforços na </w:t>
      </w:r>
      <w:r w:rsidR="000E1D69" w:rsidRPr="00D85A22">
        <w:rPr>
          <w:rFonts w:eastAsia="Calibri" w:cs="Arial"/>
        </w:rPr>
        <w:t>sinalizaç</w:t>
      </w:r>
      <w:r w:rsidR="000E1D69">
        <w:rPr>
          <w:rFonts w:eastAsia="Calibri" w:cs="Arial"/>
        </w:rPr>
        <w:t xml:space="preserve">ão nas estradas e </w:t>
      </w:r>
      <w:r w:rsidRPr="00D85A22">
        <w:rPr>
          <w:rFonts w:eastAsia="Calibri" w:cs="Arial"/>
        </w:rPr>
        <w:t>nas áreas urbanas próximas à obra</w:t>
      </w:r>
      <w:r w:rsidR="000E1D69">
        <w:rPr>
          <w:rFonts w:eastAsia="Calibri" w:cs="Arial"/>
        </w:rPr>
        <w:t>;</w:t>
      </w:r>
      <w:r w:rsidRPr="00D85A22">
        <w:rPr>
          <w:rFonts w:eastAsia="Calibri" w:cs="Arial"/>
        </w:rPr>
        <w:t xml:space="preserve"> </w:t>
      </w:r>
      <w:r w:rsidRPr="00F760B0">
        <w:rPr>
          <w:rFonts w:eastAsia="Calibri" w:cs="Arial"/>
        </w:rPr>
        <w:t>horário e restrições de circulação</w:t>
      </w:r>
      <w:r w:rsidRPr="00D85A22">
        <w:rPr>
          <w:rFonts w:eastAsia="Calibri" w:cs="Arial"/>
        </w:rPr>
        <w:t xml:space="preserve"> de veículos ligados à obra</w:t>
      </w:r>
      <w:r w:rsidR="000E1D69">
        <w:rPr>
          <w:rFonts w:eastAsia="Calibri" w:cs="Arial"/>
        </w:rPr>
        <w:t>;</w:t>
      </w:r>
      <w:r w:rsidRPr="00D85A22">
        <w:rPr>
          <w:rFonts w:eastAsia="Calibri" w:cs="Arial"/>
        </w:rPr>
        <w:t xml:space="preserve"> </w:t>
      </w:r>
      <w:r w:rsidR="000E1D69">
        <w:rPr>
          <w:rFonts w:eastAsia="Calibri" w:cs="Arial"/>
        </w:rPr>
        <w:t>interrupções de tráfego e de</w:t>
      </w:r>
      <w:r w:rsidRPr="00F760B0">
        <w:rPr>
          <w:rFonts w:eastAsia="Calibri" w:cs="Arial"/>
        </w:rPr>
        <w:t xml:space="preserve"> desvios provisórios e/ou estreitamentos de pistas</w:t>
      </w:r>
      <w:r w:rsidRPr="00D85A22">
        <w:rPr>
          <w:rFonts w:eastAsia="Calibri" w:cs="Arial"/>
        </w:rPr>
        <w:t>,</w:t>
      </w:r>
      <w:r w:rsidRPr="00F760B0">
        <w:rPr>
          <w:rFonts w:eastAsia="Calibri" w:cs="Arial"/>
        </w:rPr>
        <w:t xml:space="preserve"> de forma a garantir a execução das obras </w:t>
      </w:r>
      <w:r w:rsidR="000E1D69">
        <w:rPr>
          <w:rFonts w:eastAsia="Calibri" w:cs="Arial"/>
        </w:rPr>
        <w:t>minimizando a interferência com usuários e fortalecendo as</w:t>
      </w:r>
      <w:r w:rsidRPr="00F760B0">
        <w:rPr>
          <w:rFonts w:eastAsia="Calibri" w:cs="Arial"/>
        </w:rPr>
        <w:t xml:space="preserve"> condições de segurança das vias</w:t>
      </w:r>
      <w:r w:rsidRPr="00D85A22">
        <w:rPr>
          <w:rFonts w:eastAsia="Calibri" w:cs="Arial"/>
        </w:rPr>
        <w:t xml:space="preserve"> públicas</w:t>
      </w:r>
      <w:r w:rsidRPr="00F760B0">
        <w:rPr>
          <w:rFonts w:eastAsia="Calibri" w:cs="Arial"/>
        </w:rPr>
        <w:t>.</w:t>
      </w:r>
    </w:p>
    <w:p w:rsidR="00656EA3" w:rsidRPr="00F760B0" w:rsidRDefault="00656EA3" w:rsidP="00857735">
      <w:pPr>
        <w:spacing w:before="100" w:after="100" w:line="240" w:lineRule="auto"/>
        <w:rPr>
          <w:rFonts w:eastAsia="Calibri" w:cs="Arial"/>
        </w:rPr>
      </w:pPr>
    </w:p>
    <w:p w:rsidR="00727621" w:rsidRPr="00B558BC" w:rsidRDefault="00727621" w:rsidP="00656EA3">
      <w:pPr>
        <w:spacing w:before="240" w:after="240"/>
        <w:rPr>
          <w:rFonts w:cs="Arial"/>
          <w:b/>
        </w:rPr>
      </w:pPr>
      <w:r>
        <w:rPr>
          <w:rFonts w:cs="Arial"/>
          <w:b/>
        </w:rPr>
        <w:t>14</w:t>
      </w:r>
      <w:r w:rsidRPr="00B558BC">
        <w:rPr>
          <w:rFonts w:cs="Arial"/>
          <w:b/>
        </w:rPr>
        <w:t>)</w:t>
      </w:r>
      <w:r>
        <w:rPr>
          <w:rFonts w:cs="Arial"/>
          <w:b/>
        </w:rPr>
        <w:t xml:space="preserve"> Controle da Formação de Poeira</w:t>
      </w:r>
    </w:p>
    <w:p w:rsidR="00727621" w:rsidRPr="00D85A22" w:rsidRDefault="00727621" w:rsidP="00857735">
      <w:pPr>
        <w:spacing w:before="100" w:after="100" w:line="240" w:lineRule="auto"/>
        <w:rPr>
          <w:rFonts w:eastAsia="Calibri" w:cs="Arial"/>
        </w:rPr>
      </w:pPr>
      <w:r w:rsidRPr="00F760B0">
        <w:rPr>
          <w:rFonts w:eastAsia="Calibri" w:cs="Arial"/>
        </w:rPr>
        <w:t>Para evitar a geração de poeira que possa causar incômodos aos usuários das vias e aos moradores próximos às obras, a construtora deverá providenciar a irrigação constante das vias e dos acessos, sempre que isto se mostrar necessário, mediante a utilização de caminhões pipas para umectação das vias afetadas.</w:t>
      </w:r>
    </w:p>
    <w:p w:rsidR="00727621" w:rsidRPr="00D85A22" w:rsidRDefault="00727621" w:rsidP="00857735">
      <w:pPr>
        <w:spacing w:before="100" w:after="100" w:line="240" w:lineRule="auto"/>
        <w:rPr>
          <w:rFonts w:eastAsia="Calibri" w:cs="Arial"/>
        </w:rPr>
      </w:pPr>
      <w:r w:rsidRPr="00D85A22">
        <w:rPr>
          <w:rFonts w:eastAsia="Calibri" w:cs="Arial"/>
        </w:rPr>
        <w:t xml:space="preserve">Outros poluentes atmosféricos que podem afetar a qualidade do ar no entorno da obra são as partículas em suspensão oriundas dos silos de estocagem de cimento e do manuseio de agregados na central de britagem. Os silos de cimento deverão ser equipados com filtros para retenção da poeira gerada nas operações de carga e descarga. </w:t>
      </w:r>
    </w:p>
    <w:p w:rsidR="00727621" w:rsidRPr="00857735" w:rsidRDefault="00727621" w:rsidP="00857735">
      <w:pPr>
        <w:spacing w:before="100" w:after="100" w:line="240" w:lineRule="auto"/>
        <w:rPr>
          <w:rFonts w:eastAsia="Calibri" w:cs="Arial"/>
        </w:rPr>
      </w:pPr>
      <w:r w:rsidRPr="00D85A22">
        <w:rPr>
          <w:rFonts w:eastAsia="Calibri" w:cs="Arial"/>
        </w:rPr>
        <w:t>As instalações de britagem e de transferência de agregados deverão ser equipadas com aspersores de água para evitar o lançamento de material particulado na atmosfera.</w:t>
      </w:r>
      <w:r w:rsidRPr="00857735">
        <w:rPr>
          <w:rFonts w:eastAsia="Calibri" w:cs="Arial"/>
        </w:rPr>
        <w:t xml:space="preserve"> </w:t>
      </w:r>
    </w:p>
    <w:p w:rsidR="00727621" w:rsidRPr="00B558BC" w:rsidRDefault="00727621" w:rsidP="00656EA3">
      <w:pPr>
        <w:spacing w:before="240" w:after="240"/>
        <w:rPr>
          <w:rFonts w:cs="Arial"/>
          <w:b/>
        </w:rPr>
      </w:pPr>
      <w:r>
        <w:rPr>
          <w:rFonts w:cs="Arial"/>
          <w:b/>
        </w:rPr>
        <w:t>15</w:t>
      </w:r>
      <w:r w:rsidRPr="00B558BC">
        <w:rPr>
          <w:rFonts w:cs="Arial"/>
          <w:b/>
        </w:rPr>
        <w:t>)</w:t>
      </w:r>
      <w:r>
        <w:rPr>
          <w:rFonts w:cs="Arial"/>
          <w:b/>
        </w:rPr>
        <w:t xml:space="preserve"> Emissão de Ruído</w:t>
      </w:r>
    </w:p>
    <w:p w:rsidR="00727621" w:rsidRPr="00F760B0" w:rsidRDefault="00727621" w:rsidP="00D85A22">
      <w:pPr>
        <w:spacing w:before="120" w:after="120" w:line="240" w:lineRule="auto"/>
        <w:rPr>
          <w:rFonts w:eastAsia="Calibri" w:cs="Arial"/>
        </w:rPr>
      </w:pPr>
      <w:r w:rsidRPr="00F760B0">
        <w:rPr>
          <w:rFonts w:eastAsia="Calibri" w:cs="Arial"/>
        </w:rPr>
        <w:t>Os veículos e equipamentos a serem utilizados nas obras deverão ser objeto de manutenção periódica para eliminação de problemas mecânicos operacionais, de forma a manter sob controle a emissão de ruído. Na manutenção deverá ser dada ênfase nas questões de regulagem das máquinas e equipamentos que produzem ruídos excessivos, tais como compressores e marteletes.</w:t>
      </w:r>
    </w:p>
    <w:p w:rsidR="00727621" w:rsidRPr="00D85A22" w:rsidRDefault="00727621" w:rsidP="00D85A22">
      <w:pPr>
        <w:spacing w:before="120" w:after="120" w:line="240" w:lineRule="auto"/>
        <w:rPr>
          <w:rFonts w:eastAsia="Calibri" w:cs="Arial"/>
        </w:rPr>
      </w:pPr>
      <w:r w:rsidRPr="00F760B0">
        <w:rPr>
          <w:rFonts w:eastAsia="Calibri" w:cs="Arial"/>
        </w:rPr>
        <w:t>A operação do canteiro de obras deverá observar a mínima geração de ruído, exigindo-se da construtora o respeito aos horários de funcionamento, de modo a não incomodar os moradores que habitam as áreas de entorno da obra. Equipamentos que geram</w:t>
      </w:r>
      <w:r>
        <w:rPr>
          <w:rFonts w:eastAsia="Calibri" w:cs="Arial"/>
        </w:rPr>
        <w:t xml:space="preserve"> ruídos elevados, tais como serras elétricas, devem</w:t>
      </w:r>
      <w:r w:rsidRPr="00F760B0">
        <w:rPr>
          <w:rFonts w:eastAsia="Calibri" w:cs="Arial"/>
        </w:rPr>
        <w:t xml:space="preserve"> ser confinados de forma a reduzir os níveis de ruído.</w:t>
      </w:r>
    </w:p>
    <w:p w:rsidR="00727621" w:rsidRPr="001D48F3" w:rsidRDefault="00727621" w:rsidP="00656EA3">
      <w:pPr>
        <w:spacing w:before="240" w:after="240"/>
        <w:rPr>
          <w:b/>
        </w:rPr>
      </w:pPr>
      <w:r w:rsidRPr="001D48F3">
        <w:rPr>
          <w:b/>
        </w:rPr>
        <w:t>1</w:t>
      </w:r>
      <w:r>
        <w:rPr>
          <w:b/>
        </w:rPr>
        <w:t>6</w:t>
      </w:r>
      <w:r w:rsidRPr="001D48F3">
        <w:rPr>
          <w:b/>
        </w:rPr>
        <w:t>) Recomposição de Áreas Utilizadas pelas Obras</w:t>
      </w:r>
    </w:p>
    <w:p w:rsidR="00727621" w:rsidRPr="006F7AD1" w:rsidRDefault="00727621" w:rsidP="00D85A22">
      <w:pPr>
        <w:spacing w:before="120" w:after="120" w:line="240" w:lineRule="auto"/>
        <w:rPr>
          <w:rFonts w:eastAsia="Calibri" w:cs="Arial"/>
        </w:rPr>
      </w:pPr>
      <w:r w:rsidRPr="006F7AD1">
        <w:rPr>
          <w:rFonts w:eastAsia="Calibri" w:cs="Arial"/>
        </w:rPr>
        <w:t>A desativação das frentes de obras ocorrerá somente quando forem encerradas todas as atividades previstas no projeto e adotadas todas as medidas de mitigação, compensação e recuperação das áreas diretamente afetadas, incluindo a área das obras, as áreas de apoio e os caminhos de serviço. Ao final das obras todas as áreas utilizadas durante a construção deverão estar completamente limpas, recuperadas e, se necessário, vegetadas.</w:t>
      </w:r>
    </w:p>
    <w:p w:rsidR="00727621" w:rsidRPr="006F7AD1" w:rsidRDefault="00727621" w:rsidP="00D85A22">
      <w:pPr>
        <w:spacing w:before="120" w:after="120" w:line="240" w:lineRule="auto"/>
        <w:rPr>
          <w:rFonts w:eastAsia="Calibri" w:cs="Arial"/>
        </w:rPr>
      </w:pPr>
      <w:r w:rsidRPr="006F7AD1">
        <w:rPr>
          <w:rFonts w:eastAsia="Calibri" w:cs="Arial"/>
        </w:rPr>
        <w:t xml:space="preserve">Em todo local que houver deposição acentuada de material que comprometa as condições naturais da drenagem e com possibilidades de danos à vegetação ou obstrução do sistema de </w:t>
      </w:r>
      <w:r w:rsidRPr="00D85A22">
        <w:rPr>
          <w:rFonts w:eastAsia="Calibri" w:cs="Arial"/>
        </w:rPr>
        <w:t>drenagem pré-existente ou recém-construído</w:t>
      </w:r>
      <w:r w:rsidRPr="006F7AD1">
        <w:rPr>
          <w:rFonts w:eastAsia="Calibri" w:cs="Arial"/>
        </w:rPr>
        <w:t>, esse obstáculo deverá ser removido</w:t>
      </w:r>
      <w:r w:rsidRPr="00D85A22">
        <w:rPr>
          <w:rFonts w:eastAsia="Calibri" w:cs="Arial"/>
        </w:rPr>
        <w:t>.</w:t>
      </w:r>
      <w:r w:rsidRPr="006F7AD1">
        <w:rPr>
          <w:rFonts w:eastAsia="Calibri" w:cs="Arial"/>
        </w:rPr>
        <w:t xml:space="preserve"> A remoção terá como objetivo devolver, na medida do possível, as drenagens às suas condições naturais. </w:t>
      </w:r>
    </w:p>
    <w:p w:rsidR="00727621" w:rsidRPr="006F7AD1" w:rsidRDefault="00727621" w:rsidP="00D85A22">
      <w:pPr>
        <w:spacing w:before="120" w:after="120" w:line="240" w:lineRule="auto"/>
        <w:rPr>
          <w:rFonts w:eastAsia="Calibri" w:cs="Arial"/>
        </w:rPr>
      </w:pPr>
      <w:r w:rsidRPr="006F7AD1">
        <w:rPr>
          <w:rFonts w:eastAsia="Calibri" w:cs="Arial"/>
        </w:rPr>
        <w:t>Deverá ser efetuada a limpeza geral de todas as áreas afetadas, inclusive a remoção de restos de obra, entulho, materiais contaminados e outros. Todos os materiais oriundos da limpeza e demolição, para liberação da área das obras, deverão ser encaminhados para locais de disposição final, adequados e licenciados.</w:t>
      </w:r>
    </w:p>
    <w:p w:rsidR="00727621" w:rsidRPr="006F7AD1" w:rsidRDefault="00727621" w:rsidP="00D85A22">
      <w:pPr>
        <w:spacing w:before="120" w:after="120" w:line="240" w:lineRule="auto"/>
        <w:rPr>
          <w:rFonts w:eastAsia="Calibri" w:cs="Arial"/>
        </w:rPr>
      </w:pPr>
      <w:r w:rsidRPr="006F7AD1">
        <w:rPr>
          <w:rFonts w:eastAsia="Calibri" w:cs="Arial"/>
        </w:rPr>
        <w:t>As vias utilizadas pelas obras devem ser devolvidas à normalidade, no mínimo, em condições de uso compatível com a sua situação antes do início das obras. De acordo com a situação, poderão ser necessários serviços de recuperação do pavimento, das calçadas, da sinalização e do sistema de drenagem.</w:t>
      </w:r>
    </w:p>
    <w:p w:rsidR="00727621" w:rsidRPr="00D85A22" w:rsidRDefault="00727621" w:rsidP="00D85A22">
      <w:pPr>
        <w:spacing w:before="120" w:after="120" w:line="240" w:lineRule="auto"/>
        <w:rPr>
          <w:rFonts w:eastAsia="Calibri" w:cs="Arial"/>
        </w:rPr>
      </w:pPr>
      <w:r w:rsidRPr="006F7AD1">
        <w:rPr>
          <w:rFonts w:eastAsia="Calibri" w:cs="Arial"/>
        </w:rPr>
        <w:t>Deverá ser realizada a remoção da sinalização da obra, incluindo a reinstalação ou recuperação da sinalização normal nos casos das vias locais utilizadas.</w:t>
      </w:r>
    </w:p>
    <w:p w:rsidR="00727621" w:rsidRPr="00254F74" w:rsidRDefault="00254F74" w:rsidP="00656EA3">
      <w:pPr>
        <w:pStyle w:val="Ttulo3"/>
        <w:spacing w:after="240"/>
        <w:rPr>
          <w:rFonts w:ascii="Arial Negrito" w:hAnsi="Arial Negrito" w:cs="Arial"/>
          <w:b w:val="0"/>
          <w:bCs/>
        </w:rPr>
      </w:pPr>
      <w:bookmarkStart w:id="616" w:name="_Toc418758299"/>
      <w:bookmarkStart w:id="617" w:name="_Toc418758901"/>
      <w:bookmarkStart w:id="618" w:name="_Toc419813661"/>
      <w:r>
        <w:rPr>
          <w:rFonts w:ascii="Arial Negrito" w:hAnsi="Arial Negrito" w:cs="Arial"/>
          <w:b w:val="0"/>
          <w:bCs/>
        </w:rPr>
        <w:t xml:space="preserve">3.1.5. </w:t>
      </w:r>
      <w:r w:rsidR="00727621" w:rsidRPr="00254F74">
        <w:rPr>
          <w:rFonts w:ascii="Arial Negrito" w:hAnsi="Arial Negrito" w:cs="Arial"/>
          <w:b w:val="0"/>
          <w:bCs/>
        </w:rPr>
        <w:t>Indicadores Ambientais</w:t>
      </w:r>
      <w:bookmarkEnd w:id="616"/>
      <w:bookmarkEnd w:id="617"/>
      <w:bookmarkEnd w:id="618"/>
    </w:p>
    <w:p w:rsidR="00727621" w:rsidRPr="00D85A22" w:rsidRDefault="00727621" w:rsidP="00D85A22">
      <w:pPr>
        <w:spacing w:before="120" w:after="120" w:line="240" w:lineRule="auto"/>
        <w:rPr>
          <w:rFonts w:eastAsia="Calibri" w:cs="Arial"/>
        </w:rPr>
      </w:pPr>
      <w:r w:rsidRPr="00D85A22">
        <w:rPr>
          <w:rFonts w:eastAsia="Calibri" w:cs="Arial"/>
        </w:rPr>
        <w:t>Considerando a diversidade das atividades que deverão ser desenvolvidas no âmbito desse Programa foram selecionados os seguintes indicadores:</w:t>
      </w:r>
    </w:p>
    <w:p w:rsidR="00727621" w:rsidRPr="00901552" w:rsidRDefault="00727621" w:rsidP="008B0822">
      <w:pPr>
        <w:pStyle w:val="Item-Bolinha"/>
      </w:pPr>
      <w:r w:rsidRPr="00901552">
        <w:t>Índice de acidentes e incidentes, por gravidade da situação;</w:t>
      </w:r>
    </w:p>
    <w:p w:rsidR="00727621" w:rsidRPr="00901552" w:rsidRDefault="00727621" w:rsidP="008B0822">
      <w:pPr>
        <w:pStyle w:val="Item-Bolinha"/>
      </w:pPr>
      <w:r w:rsidRPr="00901552">
        <w:t>Índice de afastamento do local de trabalho por agravamento de situação de saúde;</w:t>
      </w:r>
    </w:p>
    <w:p w:rsidR="00727621" w:rsidRPr="00901552" w:rsidRDefault="00727621" w:rsidP="008B0822">
      <w:pPr>
        <w:pStyle w:val="Item-Bolinha"/>
      </w:pPr>
      <w:r w:rsidRPr="00901552">
        <w:t>Percentual de recomposição da área após o término das obras e encerramento das atividades do canteiro;</w:t>
      </w:r>
    </w:p>
    <w:p w:rsidR="00727621" w:rsidRPr="00901552" w:rsidRDefault="00727621" w:rsidP="008B0822">
      <w:pPr>
        <w:pStyle w:val="Item-Bolinha"/>
      </w:pPr>
      <w:r w:rsidRPr="00901552">
        <w:t>Percentual de material escavado e utilizado na própria obra;</w:t>
      </w:r>
    </w:p>
    <w:p w:rsidR="00727621" w:rsidRPr="00901552" w:rsidRDefault="00727621" w:rsidP="008B0822">
      <w:pPr>
        <w:pStyle w:val="Item-Bolinha"/>
      </w:pPr>
      <w:r w:rsidRPr="00901552">
        <w:t>Percentual de material escavado e encaminhado para áreas de depósito de material excedente;</w:t>
      </w:r>
    </w:p>
    <w:p w:rsidR="00727621" w:rsidRPr="00901552" w:rsidRDefault="00727621" w:rsidP="008B0822">
      <w:pPr>
        <w:pStyle w:val="Item-Bolinha"/>
      </w:pPr>
      <w:r w:rsidRPr="00901552">
        <w:t>Índice de acidentes nas vias;</w:t>
      </w:r>
    </w:p>
    <w:p w:rsidR="00727621" w:rsidRPr="00901552" w:rsidRDefault="00727621" w:rsidP="008B0822">
      <w:pPr>
        <w:pStyle w:val="Item-Bolinha"/>
      </w:pPr>
      <w:r w:rsidRPr="00901552">
        <w:t>Percentual de veículos e equipamentos com motores regulados</w:t>
      </w:r>
      <w:r>
        <w:t>;</w:t>
      </w:r>
    </w:p>
    <w:p w:rsidR="00727621" w:rsidRDefault="00727621" w:rsidP="008B0822">
      <w:pPr>
        <w:pStyle w:val="Item-Bolinha"/>
      </w:pPr>
      <w:r w:rsidRPr="00901552">
        <w:t>Percentual de recomposição</w:t>
      </w:r>
      <w:r>
        <w:t xml:space="preserve"> das áreas degradadas pela obra; e</w:t>
      </w:r>
    </w:p>
    <w:p w:rsidR="00727621" w:rsidRDefault="00727621" w:rsidP="008B0822">
      <w:pPr>
        <w:pStyle w:val="Item-Bolinha"/>
      </w:pPr>
      <w:r>
        <w:t xml:space="preserve">Número de acidentes e incidentes ambientais. </w:t>
      </w:r>
    </w:p>
    <w:p w:rsidR="00727621" w:rsidRPr="00254F74" w:rsidRDefault="00254F74" w:rsidP="00254F74">
      <w:pPr>
        <w:pStyle w:val="Ttulo3"/>
        <w:spacing w:after="240"/>
        <w:rPr>
          <w:rFonts w:ascii="Arial Negrito" w:hAnsi="Arial Negrito"/>
          <w:b w:val="0"/>
        </w:rPr>
      </w:pPr>
      <w:bookmarkStart w:id="619" w:name="_Toc418758300"/>
      <w:bookmarkStart w:id="620" w:name="_Toc418758902"/>
      <w:bookmarkStart w:id="621" w:name="_Toc419813662"/>
      <w:r>
        <w:rPr>
          <w:rFonts w:ascii="Arial Negrito" w:hAnsi="Arial Negrito"/>
          <w:b w:val="0"/>
        </w:rPr>
        <w:t xml:space="preserve">3.1.6. </w:t>
      </w:r>
      <w:r w:rsidR="00727621" w:rsidRPr="00254F74">
        <w:rPr>
          <w:rFonts w:ascii="Arial Negrito" w:hAnsi="Arial Negrito"/>
          <w:b w:val="0"/>
        </w:rPr>
        <w:t>Recursos Materiais e Humanos</w:t>
      </w:r>
      <w:bookmarkEnd w:id="619"/>
      <w:bookmarkEnd w:id="620"/>
      <w:bookmarkEnd w:id="621"/>
    </w:p>
    <w:p w:rsidR="00727621" w:rsidRPr="006B63FA" w:rsidRDefault="00727621" w:rsidP="00D85A22">
      <w:pPr>
        <w:spacing w:before="120" w:after="120" w:line="240" w:lineRule="auto"/>
        <w:rPr>
          <w:rFonts w:eastAsia="Calibri"/>
        </w:rPr>
      </w:pPr>
      <w:r>
        <w:rPr>
          <w:rFonts w:eastAsia="Calibri"/>
        </w:rPr>
        <w:t>Os recursos materiais e humanos para a execução desse programa serão disponibilizados pela empresa contratada para a execução das obras.</w:t>
      </w:r>
    </w:p>
    <w:p w:rsidR="00727621" w:rsidRPr="00254F74" w:rsidRDefault="00254F74" w:rsidP="00254F74">
      <w:pPr>
        <w:pStyle w:val="Ttulo3"/>
        <w:rPr>
          <w:rFonts w:ascii="Arial Negrito" w:hAnsi="Arial Negrito"/>
          <w:bCs/>
        </w:rPr>
      </w:pPr>
      <w:bookmarkStart w:id="622" w:name="_Toc418758301"/>
      <w:bookmarkStart w:id="623" w:name="_Toc418758903"/>
      <w:bookmarkStart w:id="624" w:name="_Toc419813663"/>
      <w:r>
        <w:rPr>
          <w:rFonts w:ascii="Arial Negrito" w:hAnsi="Arial Negrito"/>
          <w:bCs/>
        </w:rPr>
        <w:t xml:space="preserve">3.1.7. </w:t>
      </w:r>
      <w:r w:rsidR="00727621" w:rsidRPr="00254F74">
        <w:rPr>
          <w:rFonts w:ascii="Arial Negrito" w:hAnsi="Arial Negrito"/>
          <w:bCs/>
        </w:rPr>
        <w:t>Atendimento a Requisitos Legais e/ou Outros Requisitos</w:t>
      </w:r>
      <w:bookmarkEnd w:id="622"/>
      <w:bookmarkEnd w:id="623"/>
      <w:bookmarkEnd w:id="624"/>
    </w:p>
    <w:p w:rsidR="00727621" w:rsidRDefault="00727621" w:rsidP="00D85A22">
      <w:pPr>
        <w:spacing w:before="120" w:after="120" w:line="240" w:lineRule="auto"/>
        <w:rPr>
          <w:rFonts w:eastAsia="Calibri"/>
        </w:rPr>
      </w:pPr>
      <w:r>
        <w:rPr>
          <w:rFonts w:eastAsia="Calibri"/>
        </w:rPr>
        <w:t>Os requisitos legais e normativos referem-se à:</w:t>
      </w:r>
    </w:p>
    <w:p w:rsidR="00727621" w:rsidRPr="00901552" w:rsidRDefault="00727621" w:rsidP="008B0822">
      <w:pPr>
        <w:pStyle w:val="Item-Bolinha"/>
      </w:pPr>
      <w:r w:rsidRPr="00901552">
        <w:t>Legislação trabalhista, às normas regulamentadoras de segurança e medicina do trabalho;</w:t>
      </w:r>
    </w:p>
    <w:p w:rsidR="00727621" w:rsidRPr="00901552" w:rsidRDefault="00727621" w:rsidP="008B0822">
      <w:pPr>
        <w:pStyle w:val="Item-Bolinha"/>
      </w:pPr>
      <w:r w:rsidRPr="00901552">
        <w:t>Normas da ABNT relativas à execução das obras e atividades.</w:t>
      </w:r>
    </w:p>
    <w:p w:rsidR="00727621" w:rsidRPr="00254F74" w:rsidRDefault="00254F74" w:rsidP="00254F74">
      <w:pPr>
        <w:pStyle w:val="Ttulo3"/>
        <w:rPr>
          <w:rFonts w:ascii="Arial Negrito" w:hAnsi="Arial Negrito"/>
          <w:bCs/>
        </w:rPr>
      </w:pPr>
      <w:bookmarkStart w:id="625" w:name="_Toc418758302"/>
      <w:bookmarkStart w:id="626" w:name="_Toc418758904"/>
      <w:bookmarkStart w:id="627" w:name="_Toc419813664"/>
      <w:r>
        <w:rPr>
          <w:rFonts w:ascii="Arial Negrito" w:hAnsi="Arial Negrito"/>
          <w:bCs/>
        </w:rPr>
        <w:t xml:space="preserve">3.1.8. </w:t>
      </w:r>
      <w:r w:rsidR="00727621" w:rsidRPr="00254F74">
        <w:rPr>
          <w:rFonts w:ascii="Arial Negrito" w:hAnsi="Arial Negrito"/>
          <w:bCs/>
        </w:rPr>
        <w:t>Inter-relação com Outros Planos e Programas</w:t>
      </w:r>
      <w:bookmarkEnd w:id="625"/>
      <w:bookmarkEnd w:id="626"/>
      <w:bookmarkEnd w:id="627"/>
    </w:p>
    <w:p w:rsidR="00727621" w:rsidRPr="00D85A22" w:rsidRDefault="00727621" w:rsidP="008B0822">
      <w:pPr>
        <w:pStyle w:val="Item-Bolinha"/>
      </w:pPr>
      <w:r w:rsidRPr="00D85A22">
        <w:t xml:space="preserve">Programa de Gestão Ambiental das Obras; </w:t>
      </w:r>
    </w:p>
    <w:p w:rsidR="00727621" w:rsidRPr="00D85A22" w:rsidRDefault="00727621" w:rsidP="008B0822">
      <w:pPr>
        <w:pStyle w:val="Item-Bolinha"/>
      </w:pPr>
      <w:r w:rsidRPr="00D85A22">
        <w:t>Programa de Recuperação de Áreas Degradadas;</w:t>
      </w:r>
    </w:p>
    <w:p w:rsidR="00727621" w:rsidRPr="00D85A22" w:rsidRDefault="00727621" w:rsidP="008B0822">
      <w:pPr>
        <w:pStyle w:val="Item-Bolinha"/>
      </w:pPr>
      <w:r w:rsidRPr="00D85A22">
        <w:t>Programa de Supressão da Vegetação;</w:t>
      </w:r>
    </w:p>
    <w:p w:rsidR="00727621" w:rsidRPr="00D85A22" w:rsidRDefault="00727621" w:rsidP="008B0822">
      <w:pPr>
        <w:pStyle w:val="Item-Bolinha"/>
      </w:pPr>
      <w:r w:rsidRPr="00D85A22">
        <w:t>Programa de Resgate e Relocação da Fauna;</w:t>
      </w:r>
    </w:p>
    <w:p w:rsidR="00727621" w:rsidRPr="00D85A22" w:rsidRDefault="00061111" w:rsidP="008B0822">
      <w:pPr>
        <w:pStyle w:val="Item-Bolinha"/>
      </w:pPr>
      <w:r w:rsidRPr="00D85A22">
        <w:t>Subprograma</w:t>
      </w:r>
      <w:r w:rsidR="00727621" w:rsidRPr="00D85A22">
        <w:t xml:space="preserve"> de Resgate de Ictiofauna das Ensecadeiras;</w:t>
      </w:r>
    </w:p>
    <w:p w:rsidR="00727621" w:rsidRPr="00D85A22" w:rsidRDefault="00727621" w:rsidP="008B0822">
      <w:pPr>
        <w:pStyle w:val="Item-Bolinha"/>
      </w:pPr>
      <w:r w:rsidRPr="00D85A22">
        <w:t>Programa de Prospecção, Resgate Arqueológico;</w:t>
      </w:r>
    </w:p>
    <w:p w:rsidR="00727621" w:rsidRPr="00D85A22" w:rsidRDefault="00727621" w:rsidP="008B0822">
      <w:pPr>
        <w:pStyle w:val="Item-Bolinha"/>
      </w:pPr>
      <w:r w:rsidRPr="00D85A22">
        <w:t>Programa de Acompanhamento dos Direitos Minerários (Áreas de Empréstimo)</w:t>
      </w:r>
    </w:p>
    <w:p w:rsidR="00727621" w:rsidRPr="00D85A22" w:rsidRDefault="00727621" w:rsidP="008B0822">
      <w:pPr>
        <w:pStyle w:val="Item-Bolinha"/>
      </w:pPr>
      <w:r w:rsidRPr="00D85A22">
        <w:t>Programa de Mobilização e Desmobilização de Mão de Obra.</w:t>
      </w:r>
    </w:p>
    <w:p w:rsidR="00727621" w:rsidRPr="00254F74" w:rsidRDefault="00254F74" w:rsidP="00254F74">
      <w:pPr>
        <w:pStyle w:val="Ttulo3"/>
        <w:rPr>
          <w:rFonts w:ascii="Arial Negrito" w:hAnsi="Arial Negrito"/>
          <w:bCs/>
        </w:rPr>
      </w:pPr>
      <w:bookmarkStart w:id="628" w:name="_Toc418758303"/>
      <w:bookmarkStart w:id="629" w:name="_Toc418758905"/>
      <w:bookmarkStart w:id="630" w:name="_Toc419813665"/>
      <w:r>
        <w:rPr>
          <w:rFonts w:ascii="Arial Negrito" w:hAnsi="Arial Negrito"/>
          <w:bCs/>
        </w:rPr>
        <w:t xml:space="preserve">3.1.9. </w:t>
      </w:r>
      <w:r w:rsidR="00727621" w:rsidRPr="00254F74">
        <w:rPr>
          <w:rFonts w:ascii="Arial Negrito" w:hAnsi="Arial Negrito"/>
          <w:bCs/>
        </w:rPr>
        <w:t>Etapa dos Empreendimentos</w:t>
      </w:r>
      <w:bookmarkEnd w:id="628"/>
      <w:bookmarkEnd w:id="629"/>
      <w:bookmarkEnd w:id="630"/>
    </w:p>
    <w:p w:rsidR="00727621" w:rsidRDefault="00727621" w:rsidP="00D85A22">
      <w:pPr>
        <w:spacing w:before="120" w:after="120" w:line="240" w:lineRule="auto"/>
        <w:rPr>
          <w:rFonts w:eastAsia="Calibri" w:cs="Arial"/>
        </w:rPr>
      </w:pPr>
      <w:r w:rsidRPr="00F760B0">
        <w:rPr>
          <w:rFonts w:eastAsia="Calibri" w:cs="Arial"/>
        </w:rPr>
        <w:t>Este programa deverá ser desenvolvido desde o início até o final das obras, incluindo a desativação das áreas de apoio e a recuperação de eventuais áreas degradadas pelas obras.</w:t>
      </w:r>
    </w:p>
    <w:p w:rsidR="00727621" w:rsidRPr="00254F74" w:rsidRDefault="00254F74" w:rsidP="00254F74">
      <w:pPr>
        <w:pStyle w:val="Ttulo3"/>
        <w:rPr>
          <w:rFonts w:ascii="Arial Negrito" w:hAnsi="Arial Negrito"/>
          <w:bCs/>
        </w:rPr>
      </w:pPr>
      <w:bookmarkStart w:id="631" w:name="_Toc418758304"/>
      <w:bookmarkStart w:id="632" w:name="_Toc418758906"/>
      <w:bookmarkStart w:id="633" w:name="_Toc419813666"/>
      <w:r>
        <w:rPr>
          <w:rFonts w:ascii="Arial Negrito" w:hAnsi="Arial Negrito"/>
          <w:bCs/>
        </w:rPr>
        <w:t xml:space="preserve">3.1.10. </w:t>
      </w:r>
      <w:r w:rsidR="00727621" w:rsidRPr="00254F74">
        <w:rPr>
          <w:rFonts w:ascii="Arial Negrito" w:hAnsi="Arial Negrito"/>
          <w:bCs/>
        </w:rPr>
        <w:t>Cronograma de Execução</w:t>
      </w:r>
      <w:bookmarkEnd w:id="631"/>
      <w:bookmarkEnd w:id="632"/>
      <w:bookmarkEnd w:id="633"/>
    </w:p>
    <w:p w:rsidR="00727621" w:rsidRPr="00D85A22" w:rsidRDefault="00727621" w:rsidP="00D85A22">
      <w:pPr>
        <w:spacing w:before="120" w:after="120" w:line="240" w:lineRule="auto"/>
        <w:rPr>
          <w:rFonts w:eastAsia="Calibri" w:cs="Arial"/>
        </w:rPr>
      </w:pPr>
      <w:r w:rsidRPr="00D85A22">
        <w:rPr>
          <w:rFonts w:eastAsia="Calibri" w:cs="Arial"/>
        </w:rPr>
        <w:t>O Programa de Controle Ambiental das Obras deverá ser executado pelas empresas contratadas para a construção das Barragens Pedreira e Duas Pontes. Desse modo, o Planejamento da execução das obras e, consequentemente, do Programa de Controle Ambiental das obras, deverá ser iniciado logo após serem assinados os contratos de construção entre o Empreendedor e as Empresas que ganharam a licitação. Estima-se que esse processo tenha início na fase de solicitação da Licença de Instalação, devendo ter continuidade até a finalização das obras.</w:t>
      </w:r>
    </w:p>
    <w:p w:rsidR="00727621" w:rsidRPr="00254F74" w:rsidRDefault="00254F74" w:rsidP="00254F74">
      <w:pPr>
        <w:pStyle w:val="Ttulo3"/>
        <w:rPr>
          <w:rFonts w:ascii="Arial Negrito" w:hAnsi="Arial Negrito"/>
          <w:bCs/>
        </w:rPr>
      </w:pPr>
      <w:bookmarkStart w:id="634" w:name="_Toc418758305"/>
      <w:bookmarkStart w:id="635" w:name="_Toc418758907"/>
      <w:bookmarkStart w:id="636" w:name="_Toc419813667"/>
      <w:r>
        <w:rPr>
          <w:rFonts w:ascii="Arial Negrito" w:hAnsi="Arial Negrito"/>
          <w:bCs/>
        </w:rPr>
        <w:t xml:space="preserve">3.1.11. </w:t>
      </w:r>
      <w:r w:rsidR="00727621" w:rsidRPr="00254F74">
        <w:rPr>
          <w:rFonts w:ascii="Arial Negrito" w:hAnsi="Arial Negrito"/>
          <w:bCs/>
        </w:rPr>
        <w:t>Responsável pela Implementação do Programa</w:t>
      </w:r>
      <w:bookmarkEnd w:id="634"/>
      <w:bookmarkEnd w:id="635"/>
      <w:bookmarkEnd w:id="636"/>
    </w:p>
    <w:p w:rsidR="00727621" w:rsidRPr="00F760B0" w:rsidRDefault="00727621" w:rsidP="00D85A22">
      <w:pPr>
        <w:spacing w:before="120" w:after="120" w:line="240" w:lineRule="auto"/>
        <w:rPr>
          <w:rFonts w:eastAsia="Calibri" w:cs="Arial"/>
        </w:rPr>
      </w:pPr>
      <w:r w:rsidRPr="00F760B0">
        <w:rPr>
          <w:rFonts w:eastAsia="Calibri" w:cs="Arial"/>
        </w:rPr>
        <w:t xml:space="preserve">A responsabilidade pela execução deste programa </w:t>
      </w:r>
      <w:r w:rsidRPr="00D85A22">
        <w:rPr>
          <w:rFonts w:eastAsia="Calibri" w:cs="Arial"/>
        </w:rPr>
        <w:t>será</w:t>
      </w:r>
      <w:r w:rsidRPr="00F760B0">
        <w:rPr>
          <w:rFonts w:eastAsia="Calibri" w:cs="Arial"/>
        </w:rPr>
        <w:t xml:space="preserve"> da</w:t>
      </w:r>
      <w:r w:rsidRPr="00D85A22">
        <w:rPr>
          <w:rFonts w:eastAsia="Calibri" w:cs="Arial"/>
        </w:rPr>
        <w:t>s</w:t>
      </w:r>
      <w:r w:rsidRPr="00F760B0">
        <w:rPr>
          <w:rFonts w:eastAsia="Calibri" w:cs="Arial"/>
        </w:rPr>
        <w:t xml:space="preserve"> empresa</w:t>
      </w:r>
      <w:r w:rsidRPr="00D85A22">
        <w:rPr>
          <w:rFonts w:eastAsia="Calibri" w:cs="Arial"/>
        </w:rPr>
        <w:t>s</w:t>
      </w:r>
      <w:r w:rsidRPr="00F760B0">
        <w:rPr>
          <w:rFonts w:eastAsia="Calibri" w:cs="Arial"/>
        </w:rPr>
        <w:t xml:space="preserve"> contratada</w:t>
      </w:r>
      <w:r w:rsidRPr="00D85A22">
        <w:rPr>
          <w:rFonts w:eastAsia="Calibri" w:cs="Arial"/>
        </w:rPr>
        <w:t>s</w:t>
      </w:r>
      <w:r w:rsidRPr="00F760B0">
        <w:rPr>
          <w:rFonts w:eastAsia="Calibri" w:cs="Arial"/>
        </w:rPr>
        <w:t xml:space="preserve"> para a construção d</w:t>
      </w:r>
      <w:r w:rsidRPr="00D85A22">
        <w:rPr>
          <w:rFonts w:eastAsia="Calibri" w:cs="Arial"/>
        </w:rPr>
        <w:t>as Barragens Pedreira e Duas Pontes, sob a fiscalização do E</w:t>
      </w:r>
      <w:r w:rsidRPr="00F760B0">
        <w:rPr>
          <w:rFonts w:eastAsia="Calibri" w:cs="Arial"/>
        </w:rPr>
        <w:t>mpreendedor.</w:t>
      </w:r>
    </w:p>
    <w:p w:rsidR="00727621" w:rsidRPr="00254F74" w:rsidRDefault="00254F74" w:rsidP="00254F74">
      <w:pPr>
        <w:pStyle w:val="Ttulo3"/>
        <w:rPr>
          <w:rFonts w:ascii="Arial Negrito" w:hAnsi="Arial Negrito"/>
          <w:bCs/>
        </w:rPr>
      </w:pPr>
      <w:bookmarkStart w:id="637" w:name="_Toc418758306"/>
      <w:bookmarkStart w:id="638" w:name="_Toc418758908"/>
      <w:bookmarkStart w:id="639" w:name="_Toc419813668"/>
      <w:r>
        <w:rPr>
          <w:rFonts w:ascii="Arial Negrito" w:hAnsi="Arial Negrito"/>
          <w:bCs/>
        </w:rPr>
        <w:t xml:space="preserve">3.1.12. </w:t>
      </w:r>
      <w:r w:rsidR="00727621" w:rsidRPr="00254F74">
        <w:rPr>
          <w:rFonts w:ascii="Arial Negrito" w:hAnsi="Arial Negrito"/>
          <w:bCs/>
        </w:rPr>
        <w:t>Sistemas de Registros</w:t>
      </w:r>
      <w:bookmarkEnd w:id="637"/>
      <w:bookmarkEnd w:id="638"/>
      <w:bookmarkEnd w:id="639"/>
    </w:p>
    <w:p w:rsidR="00727621" w:rsidRDefault="00727621" w:rsidP="00D85A22">
      <w:pPr>
        <w:spacing w:before="120" w:after="120" w:line="240" w:lineRule="auto"/>
        <w:rPr>
          <w:rFonts w:eastAsia="Calibri" w:cs="Arial"/>
        </w:rPr>
      </w:pPr>
      <w:r w:rsidRPr="00D85A22">
        <w:rPr>
          <w:rFonts w:eastAsia="Calibri" w:cs="Arial"/>
        </w:rPr>
        <w:t xml:space="preserve">Em função da diversidade de atividades envolvidas neste programa, deverá ser implementado </w:t>
      </w:r>
      <w:r w:rsidRPr="00907BB3">
        <w:rPr>
          <w:rFonts w:eastAsia="Calibri" w:cs="Arial"/>
        </w:rPr>
        <w:t xml:space="preserve">um sistema de informações que contenha em sua plataforma um banco de dados para registro dos indicadores ambientais inerentes aos planos e programas propostos nesse estudo ambiental, permitindo a organização racional das informações relativas às metas e indicadores ambientais específicos </w:t>
      </w:r>
      <w:r w:rsidRPr="00D85A22">
        <w:rPr>
          <w:rFonts w:eastAsia="Calibri" w:cs="Arial"/>
        </w:rPr>
        <w:t xml:space="preserve">para </w:t>
      </w:r>
      <w:r w:rsidRPr="00907BB3">
        <w:rPr>
          <w:rFonts w:eastAsia="Calibri" w:cs="Arial"/>
        </w:rPr>
        <w:t>cada um</w:t>
      </w:r>
      <w:r w:rsidRPr="00D85A22">
        <w:rPr>
          <w:rFonts w:eastAsia="Calibri" w:cs="Arial"/>
        </w:rPr>
        <w:t>a das atividades.</w:t>
      </w:r>
    </w:p>
    <w:p w:rsidR="00727621" w:rsidRPr="00254F74" w:rsidRDefault="00254F74" w:rsidP="00254F74">
      <w:pPr>
        <w:pStyle w:val="Ttulo3"/>
        <w:rPr>
          <w:rFonts w:ascii="Arial Negrito" w:hAnsi="Arial Negrito"/>
          <w:bCs/>
        </w:rPr>
      </w:pPr>
      <w:bookmarkStart w:id="640" w:name="_Toc418758307"/>
      <w:bookmarkStart w:id="641" w:name="_Toc418758909"/>
      <w:bookmarkStart w:id="642" w:name="_Toc419813669"/>
      <w:r>
        <w:rPr>
          <w:rFonts w:ascii="Arial Negrito" w:hAnsi="Arial Negrito"/>
          <w:bCs/>
        </w:rPr>
        <w:t xml:space="preserve">3.1.13. </w:t>
      </w:r>
      <w:r w:rsidR="00727621" w:rsidRPr="00254F74">
        <w:rPr>
          <w:rFonts w:ascii="Arial Negrito" w:hAnsi="Arial Negrito"/>
          <w:bCs/>
        </w:rPr>
        <w:t>Referências Bibliográficas</w:t>
      </w:r>
      <w:bookmarkEnd w:id="640"/>
      <w:bookmarkEnd w:id="641"/>
      <w:bookmarkEnd w:id="642"/>
    </w:p>
    <w:p w:rsidR="00727621" w:rsidRDefault="00D85A22" w:rsidP="008B0822">
      <w:pPr>
        <w:pStyle w:val="Item-Trainho"/>
      </w:pPr>
      <w:r>
        <w:t xml:space="preserve">Departamento Hidroviário do Estado de São Paulo, </w:t>
      </w:r>
      <w:r w:rsidR="00727621" w:rsidRPr="00761454">
        <w:t>Estudo de Impacto Ambiental Aproveitamento Múltiplo Santa Maria da Serra.</w:t>
      </w:r>
      <w:r w:rsidR="00061111">
        <w:t xml:space="preserve"> </w:t>
      </w:r>
      <w:r w:rsidR="00FC59A6">
        <w:t>THEMAG/EBEI/VETEC/UMAH</w:t>
      </w:r>
      <w:r w:rsidR="00061111">
        <w:t>, 2013.</w:t>
      </w:r>
    </w:p>
    <w:p w:rsidR="00FF206A" w:rsidRPr="00254F74" w:rsidRDefault="00254F74" w:rsidP="00254F74">
      <w:pPr>
        <w:pStyle w:val="Ttulo3"/>
        <w:spacing w:after="240"/>
        <w:rPr>
          <w:rFonts w:ascii="Arial Negrito" w:hAnsi="Arial Negrito" w:cs="Arial"/>
          <w:b w:val="0"/>
          <w:bCs/>
          <w:szCs w:val="22"/>
        </w:rPr>
      </w:pPr>
      <w:bookmarkStart w:id="643" w:name="_Toc418758308"/>
      <w:bookmarkStart w:id="644" w:name="_Toc418758910"/>
      <w:bookmarkStart w:id="645" w:name="_Toc419813670"/>
      <w:r w:rsidRPr="00254F74">
        <w:rPr>
          <w:rFonts w:ascii="Arial Negrito" w:hAnsi="Arial Negrito" w:cs="Arial"/>
          <w:b w:val="0"/>
          <w:bCs/>
          <w:szCs w:val="22"/>
        </w:rPr>
        <w:t xml:space="preserve">3.2. </w:t>
      </w:r>
      <w:r w:rsidR="00FF206A" w:rsidRPr="00254F74">
        <w:rPr>
          <w:rFonts w:ascii="Arial Negrito" w:hAnsi="Arial Negrito" w:cs="Arial"/>
          <w:b w:val="0"/>
          <w:bCs/>
          <w:szCs w:val="22"/>
        </w:rPr>
        <w:t>Programas do Meio Físico</w:t>
      </w:r>
      <w:bookmarkEnd w:id="643"/>
      <w:bookmarkEnd w:id="644"/>
      <w:bookmarkEnd w:id="645"/>
    </w:p>
    <w:p w:rsidR="00857735" w:rsidRPr="00254F74" w:rsidRDefault="00254F74" w:rsidP="00254F74">
      <w:pPr>
        <w:pStyle w:val="Ttulo3"/>
        <w:rPr>
          <w:rFonts w:ascii="Arial Negrito" w:hAnsi="Arial Negrito"/>
          <w:bCs/>
        </w:rPr>
      </w:pPr>
      <w:bookmarkStart w:id="646" w:name="_Toc418758309"/>
      <w:bookmarkStart w:id="647" w:name="_Toc418758911"/>
      <w:bookmarkStart w:id="648" w:name="_Toc419813671"/>
      <w:r>
        <w:rPr>
          <w:rFonts w:ascii="Arial Negrito" w:hAnsi="Arial Negrito"/>
          <w:bCs/>
        </w:rPr>
        <w:t xml:space="preserve">3.2.1. </w:t>
      </w:r>
      <w:r w:rsidR="00FF206A" w:rsidRPr="00254F74">
        <w:rPr>
          <w:rFonts w:ascii="Arial Negrito" w:hAnsi="Arial Negrito"/>
          <w:bCs/>
        </w:rPr>
        <w:t>Programa de Monitoramento do Clima Local</w:t>
      </w:r>
      <w:bookmarkStart w:id="649" w:name="_Toc370810310"/>
      <w:bookmarkStart w:id="650" w:name="_Toc370923276"/>
      <w:bookmarkStart w:id="651" w:name="_Toc370985402"/>
      <w:bookmarkStart w:id="652" w:name="_Toc373145600"/>
      <w:bookmarkEnd w:id="646"/>
      <w:bookmarkEnd w:id="647"/>
      <w:bookmarkEnd w:id="648"/>
    </w:p>
    <w:p w:rsidR="00857735" w:rsidRPr="00254F74" w:rsidRDefault="00254F74" w:rsidP="00254F74">
      <w:pPr>
        <w:pStyle w:val="Ttulo3"/>
        <w:rPr>
          <w:rFonts w:ascii="Arial Negrito" w:hAnsi="Arial Negrito" w:cs="Arial"/>
          <w:bCs/>
          <w:szCs w:val="22"/>
        </w:rPr>
      </w:pPr>
      <w:bookmarkStart w:id="653" w:name="_Toc418758310"/>
      <w:bookmarkStart w:id="654" w:name="_Toc418758912"/>
      <w:bookmarkStart w:id="655" w:name="_Toc419813672"/>
      <w:r>
        <w:rPr>
          <w:rFonts w:ascii="Arial Negrito" w:hAnsi="Arial Negrito"/>
          <w:bCs/>
        </w:rPr>
        <w:t xml:space="preserve">3.2.1.1. </w:t>
      </w:r>
      <w:r w:rsidR="00857735" w:rsidRPr="00254F74">
        <w:rPr>
          <w:rFonts w:ascii="Arial Negrito" w:hAnsi="Arial Negrito"/>
          <w:bCs/>
        </w:rPr>
        <w:t>Apresentação e Justificativas</w:t>
      </w:r>
      <w:bookmarkEnd w:id="649"/>
      <w:bookmarkEnd w:id="650"/>
      <w:bookmarkEnd w:id="651"/>
      <w:bookmarkEnd w:id="653"/>
      <w:bookmarkEnd w:id="654"/>
      <w:bookmarkEnd w:id="655"/>
    </w:p>
    <w:p w:rsidR="00857735" w:rsidRPr="00D9732E" w:rsidRDefault="00857735" w:rsidP="00857735">
      <w:pPr>
        <w:spacing w:before="120" w:after="120" w:line="240" w:lineRule="auto"/>
        <w:rPr>
          <w:rFonts w:cs="Arial"/>
          <w:szCs w:val="22"/>
        </w:rPr>
      </w:pPr>
      <w:r w:rsidRPr="00D9732E">
        <w:rPr>
          <w:rFonts w:cs="Arial"/>
          <w:szCs w:val="22"/>
        </w:rPr>
        <w:t xml:space="preserve">A </w:t>
      </w:r>
      <w:r w:rsidR="00B85B16" w:rsidRPr="00B85B16">
        <w:rPr>
          <w:rFonts w:cs="Arial"/>
          <w:szCs w:val="22"/>
        </w:rPr>
        <w:t>criação do espelho d’água propicia alterações em alguns parâmetros meteorológicos, destacando-se a umidade relativa, ventos, nevoeiros, etc., alterando desta forma, o clima no entorno do reservatório</w:t>
      </w:r>
      <w:r w:rsidRPr="00D9732E">
        <w:rPr>
          <w:rFonts w:cs="Arial"/>
          <w:szCs w:val="22"/>
        </w:rPr>
        <w:t>.</w:t>
      </w:r>
    </w:p>
    <w:p w:rsidR="00857735" w:rsidRPr="00D9732E" w:rsidRDefault="00B85B16" w:rsidP="00857735">
      <w:pPr>
        <w:spacing w:before="120" w:after="120" w:line="240" w:lineRule="auto"/>
        <w:rPr>
          <w:rFonts w:cs="Arial"/>
          <w:szCs w:val="22"/>
        </w:rPr>
      </w:pPr>
      <w:r w:rsidRPr="00B85B16">
        <w:rPr>
          <w:rFonts w:cs="Arial"/>
          <w:szCs w:val="22"/>
        </w:rPr>
        <w:t>O monitoramento de longo prazo permite quantificar as alterações e auxiliar na proposição de soluções alternativas</w:t>
      </w:r>
      <w:r>
        <w:rPr>
          <w:rFonts w:cs="Arial"/>
          <w:szCs w:val="22"/>
        </w:rPr>
        <w:t>.</w:t>
      </w:r>
    </w:p>
    <w:p w:rsidR="00857735" w:rsidRPr="00254F74" w:rsidRDefault="00254F74" w:rsidP="00254F74">
      <w:pPr>
        <w:pStyle w:val="Ttulo3"/>
        <w:rPr>
          <w:rFonts w:ascii="Arial Negrito" w:hAnsi="Arial Negrito"/>
          <w:bCs/>
        </w:rPr>
      </w:pPr>
      <w:bookmarkStart w:id="656" w:name="_Toc370810311"/>
      <w:bookmarkStart w:id="657" w:name="_Toc370923277"/>
      <w:bookmarkStart w:id="658" w:name="_Toc370985403"/>
      <w:bookmarkStart w:id="659" w:name="_Toc418758311"/>
      <w:bookmarkStart w:id="660" w:name="_Toc418758913"/>
      <w:bookmarkStart w:id="661" w:name="_Toc419813673"/>
      <w:r>
        <w:rPr>
          <w:rFonts w:ascii="Arial Negrito" w:hAnsi="Arial Negrito"/>
          <w:bCs/>
        </w:rPr>
        <w:t xml:space="preserve">3.2.1.2. </w:t>
      </w:r>
      <w:r w:rsidR="00857735" w:rsidRPr="00254F74">
        <w:rPr>
          <w:rFonts w:ascii="Arial Negrito" w:hAnsi="Arial Negrito"/>
          <w:bCs/>
        </w:rPr>
        <w:t>Objetivos</w:t>
      </w:r>
      <w:bookmarkEnd w:id="656"/>
      <w:bookmarkEnd w:id="657"/>
      <w:bookmarkEnd w:id="658"/>
      <w:bookmarkEnd w:id="659"/>
      <w:bookmarkEnd w:id="660"/>
      <w:bookmarkEnd w:id="661"/>
    </w:p>
    <w:p w:rsidR="00857735" w:rsidRPr="00857735" w:rsidRDefault="00857735" w:rsidP="00857735">
      <w:pPr>
        <w:spacing w:before="120" w:after="120" w:line="240" w:lineRule="auto"/>
        <w:rPr>
          <w:rFonts w:cs="Arial"/>
          <w:szCs w:val="22"/>
        </w:rPr>
      </w:pPr>
      <w:r w:rsidRPr="00857735">
        <w:rPr>
          <w:rFonts w:cs="Arial"/>
          <w:szCs w:val="22"/>
        </w:rPr>
        <w:t xml:space="preserve">O objetivo deste programa é detectar possíveis alterações nos parâmetros meteorológicos, após a formação dos reservatórios </w:t>
      </w:r>
      <w:r>
        <w:rPr>
          <w:rFonts w:cs="Arial"/>
          <w:szCs w:val="22"/>
        </w:rPr>
        <w:t xml:space="preserve">das Barragens </w:t>
      </w:r>
      <w:r w:rsidRPr="00857735">
        <w:rPr>
          <w:rFonts w:cs="Arial"/>
          <w:szCs w:val="22"/>
        </w:rPr>
        <w:t>Pedreira e Duas Pontes.</w:t>
      </w:r>
    </w:p>
    <w:p w:rsidR="00857735" w:rsidRPr="00857735" w:rsidRDefault="00857735" w:rsidP="00857735">
      <w:pPr>
        <w:spacing w:before="120" w:after="120" w:line="240" w:lineRule="auto"/>
        <w:rPr>
          <w:rFonts w:cs="Arial"/>
          <w:szCs w:val="22"/>
        </w:rPr>
      </w:pPr>
      <w:r w:rsidRPr="00857735">
        <w:rPr>
          <w:rFonts w:cs="Arial"/>
          <w:szCs w:val="22"/>
        </w:rPr>
        <w:t xml:space="preserve">A partir do conhecimento dos parâmetros meteorológicos na fase antes e após reservatório, poderão ser identificados os efeitos da implantação do empreendimento, ampliando o conhecimento sobre o assunto, o que poderá ser de grande utilidade para futuros projetos. </w:t>
      </w:r>
    </w:p>
    <w:p w:rsidR="00857735" w:rsidRPr="00D9732E" w:rsidRDefault="00857735" w:rsidP="00857735">
      <w:pPr>
        <w:spacing w:before="120" w:after="120" w:line="240" w:lineRule="auto"/>
        <w:rPr>
          <w:rFonts w:cs="Arial"/>
          <w:szCs w:val="22"/>
        </w:rPr>
      </w:pPr>
      <w:r w:rsidRPr="00D9732E">
        <w:rPr>
          <w:rFonts w:cs="Arial"/>
          <w:szCs w:val="22"/>
        </w:rPr>
        <w:t xml:space="preserve">Para tanto, recomenda-se a implantação de uma estação meteorológica automática na área de influência dos dois barramentos. </w:t>
      </w:r>
    </w:p>
    <w:p w:rsidR="00857735" w:rsidRPr="00254F74" w:rsidRDefault="00254F74" w:rsidP="00254F74">
      <w:pPr>
        <w:pStyle w:val="Ttulo3"/>
        <w:rPr>
          <w:rFonts w:ascii="Arial Negrito" w:hAnsi="Arial Negrito"/>
          <w:bCs/>
        </w:rPr>
      </w:pPr>
      <w:bookmarkStart w:id="662" w:name="_Toc370810312"/>
      <w:bookmarkStart w:id="663" w:name="_Toc370923278"/>
      <w:bookmarkStart w:id="664" w:name="_Toc370985404"/>
      <w:bookmarkStart w:id="665" w:name="_Toc418758312"/>
      <w:bookmarkStart w:id="666" w:name="_Toc418758914"/>
      <w:bookmarkStart w:id="667" w:name="_Toc419813674"/>
      <w:r>
        <w:rPr>
          <w:rFonts w:ascii="Arial Negrito" w:hAnsi="Arial Negrito"/>
          <w:bCs/>
        </w:rPr>
        <w:t xml:space="preserve">3.2.1.3. </w:t>
      </w:r>
      <w:r w:rsidR="00857735" w:rsidRPr="00254F74">
        <w:rPr>
          <w:rFonts w:ascii="Arial Negrito" w:hAnsi="Arial Negrito"/>
          <w:bCs/>
        </w:rPr>
        <w:t>Metas</w:t>
      </w:r>
      <w:bookmarkEnd w:id="662"/>
      <w:bookmarkEnd w:id="663"/>
      <w:bookmarkEnd w:id="664"/>
      <w:bookmarkEnd w:id="665"/>
      <w:bookmarkEnd w:id="666"/>
      <w:bookmarkEnd w:id="667"/>
    </w:p>
    <w:p w:rsidR="00857735" w:rsidRPr="00D9732E" w:rsidRDefault="00857735" w:rsidP="00431A97">
      <w:pPr>
        <w:pStyle w:val="Bolinha"/>
        <w:numPr>
          <w:ilvl w:val="0"/>
          <w:numId w:val="44"/>
        </w:numPr>
        <w:rPr>
          <w:i/>
        </w:rPr>
      </w:pPr>
      <w:r w:rsidRPr="00D9732E">
        <w:rPr>
          <w:rFonts w:ascii="Arial" w:hAnsi="Arial"/>
          <w:i/>
          <w:sz w:val="22"/>
        </w:rPr>
        <w:t>Escolha do Local para a Estação Climatológica Automática</w:t>
      </w:r>
      <w:r w:rsidRPr="00D9732E">
        <w:rPr>
          <w:i/>
        </w:rPr>
        <w:t xml:space="preserve"> da Barragem</w:t>
      </w:r>
    </w:p>
    <w:p w:rsidR="00857735" w:rsidRPr="00D9732E" w:rsidRDefault="00857735" w:rsidP="00811C6D">
      <w:pPr>
        <w:spacing w:before="120" w:after="120" w:line="240" w:lineRule="auto"/>
        <w:rPr>
          <w:rFonts w:cs="Arial"/>
          <w:szCs w:val="22"/>
        </w:rPr>
      </w:pPr>
      <w:r w:rsidRPr="00D9732E">
        <w:rPr>
          <w:rFonts w:cs="Arial"/>
          <w:szCs w:val="22"/>
        </w:rPr>
        <w:t>A estação automática deverá se situar em local que permita fácil acesso, de forma a permitir um constante acompanhamento de seus equipamentos.</w:t>
      </w:r>
    </w:p>
    <w:p w:rsidR="00857735" w:rsidRPr="00D9732E" w:rsidRDefault="00857735" w:rsidP="00811C6D">
      <w:pPr>
        <w:spacing w:before="120" w:after="120" w:line="240" w:lineRule="auto"/>
        <w:rPr>
          <w:rFonts w:cs="Arial"/>
          <w:szCs w:val="22"/>
        </w:rPr>
      </w:pPr>
      <w:r w:rsidRPr="00D9732E">
        <w:rPr>
          <w:rFonts w:cs="Arial"/>
          <w:szCs w:val="22"/>
        </w:rPr>
        <w:t xml:space="preserve">Portanto, a mesma deverá se situar em local livre de obstáculos e o mais próximo possível do </w:t>
      </w:r>
      <w:r w:rsidRPr="00136C69">
        <w:rPr>
          <w:rFonts w:cs="Arial"/>
          <w:szCs w:val="22"/>
        </w:rPr>
        <w:t>setor de operação de uma das duas barragens.</w:t>
      </w:r>
    </w:p>
    <w:p w:rsidR="00857735" w:rsidRPr="00811C6D" w:rsidRDefault="00857735" w:rsidP="00431A97">
      <w:pPr>
        <w:pStyle w:val="Bolinha"/>
        <w:numPr>
          <w:ilvl w:val="0"/>
          <w:numId w:val="44"/>
        </w:numPr>
        <w:rPr>
          <w:rFonts w:ascii="Arial" w:hAnsi="Arial"/>
          <w:i/>
          <w:sz w:val="22"/>
        </w:rPr>
      </w:pPr>
      <w:r w:rsidRPr="00811C6D">
        <w:rPr>
          <w:rFonts w:ascii="Arial" w:hAnsi="Arial"/>
          <w:i/>
          <w:sz w:val="22"/>
        </w:rPr>
        <w:t>Convênio</w:t>
      </w:r>
    </w:p>
    <w:p w:rsidR="00857735" w:rsidRPr="00D9732E" w:rsidRDefault="00857735" w:rsidP="00811C6D">
      <w:pPr>
        <w:spacing w:before="120" w:after="120" w:line="240" w:lineRule="auto"/>
        <w:rPr>
          <w:rFonts w:cs="Arial"/>
          <w:szCs w:val="22"/>
        </w:rPr>
      </w:pPr>
      <w:r w:rsidRPr="00D9732E">
        <w:rPr>
          <w:rFonts w:cs="Arial"/>
          <w:szCs w:val="22"/>
        </w:rPr>
        <w:t>Consulta ao</w:t>
      </w:r>
      <w:r w:rsidR="00B85B16">
        <w:rPr>
          <w:rFonts w:cs="Arial"/>
          <w:szCs w:val="22"/>
        </w:rPr>
        <w:t xml:space="preserve"> órgão ambiental do estado quant</w:t>
      </w:r>
      <w:r w:rsidRPr="00D9732E">
        <w:rPr>
          <w:rFonts w:cs="Arial"/>
          <w:szCs w:val="22"/>
        </w:rPr>
        <w:t>o ao interesse de dispor dos dados meteorológicos coletados.</w:t>
      </w:r>
    </w:p>
    <w:p w:rsidR="00857735" w:rsidRPr="00254F74" w:rsidRDefault="00254F74" w:rsidP="00254F74">
      <w:pPr>
        <w:pStyle w:val="Ttulo3"/>
        <w:rPr>
          <w:rFonts w:ascii="Arial Negrito" w:hAnsi="Arial Negrito"/>
          <w:bCs/>
        </w:rPr>
      </w:pPr>
      <w:bookmarkStart w:id="668" w:name="_Toc370810313"/>
      <w:bookmarkStart w:id="669" w:name="_Toc370923279"/>
      <w:bookmarkStart w:id="670" w:name="_Toc370985405"/>
      <w:bookmarkStart w:id="671" w:name="_Toc418758313"/>
      <w:bookmarkStart w:id="672" w:name="_Toc418758915"/>
      <w:bookmarkStart w:id="673" w:name="_Toc419813675"/>
      <w:r>
        <w:rPr>
          <w:rFonts w:ascii="Arial Negrito" w:hAnsi="Arial Negrito"/>
          <w:bCs/>
        </w:rPr>
        <w:t xml:space="preserve">3.2.1.4. </w:t>
      </w:r>
      <w:r w:rsidR="00857735" w:rsidRPr="00254F74">
        <w:rPr>
          <w:rFonts w:ascii="Arial Negrito" w:hAnsi="Arial Negrito"/>
          <w:bCs/>
        </w:rPr>
        <w:t>Público Alvo</w:t>
      </w:r>
      <w:bookmarkEnd w:id="668"/>
      <w:bookmarkEnd w:id="669"/>
      <w:bookmarkEnd w:id="670"/>
      <w:bookmarkEnd w:id="671"/>
      <w:bookmarkEnd w:id="672"/>
      <w:bookmarkEnd w:id="673"/>
      <w:r w:rsidR="00857735" w:rsidRPr="00254F74">
        <w:rPr>
          <w:rFonts w:ascii="Arial Negrito" w:hAnsi="Arial Negrito"/>
          <w:bCs/>
        </w:rPr>
        <w:t xml:space="preserve"> </w:t>
      </w:r>
    </w:p>
    <w:p w:rsidR="00857735" w:rsidRPr="00D9732E" w:rsidRDefault="00857735" w:rsidP="00811C6D">
      <w:pPr>
        <w:spacing w:before="120" w:after="120" w:line="240" w:lineRule="auto"/>
        <w:rPr>
          <w:rFonts w:cs="Arial"/>
          <w:szCs w:val="22"/>
        </w:rPr>
      </w:pPr>
      <w:r w:rsidRPr="00D9732E">
        <w:rPr>
          <w:rFonts w:cs="Arial"/>
          <w:szCs w:val="22"/>
        </w:rPr>
        <w:t>A comunidade em geral, e o empreendimento em particular, pela disponibilização de informações climáticas do local. As informações disponibilizadas devem ser utilizadas por outros programas, tais como o de Monitoramento Hidrológico e Sedimentológico e o de Educação Ambiental.</w:t>
      </w:r>
    </w:p>
    <w:p w:rsidR="00857735" w:rsidRPr="00254F74" w:rsidRDefault="00254F74" w:rsidP="00254F74">
      <w:pPr>
        <w:pStyle w:val="Ttulo3"/>
        <w:rPr>
          <w:rFonts w:ascii="Arial Negrito" w:hAnsi="Arial Negrito"/>
          <w:bCs/>
        </w:rPr>
      </w:pPr>
      <w:bookmarkStart w:id="674" w:name="_Toc370810314"/>
      <w:bookmarkStart w:id="675" w:name="_Toc370923280"/>
      <w:bookmarkStart w:id="676" w:name="_Toc370985406"/>
      <w:bookmarkStart w:id="677" w:name="_Toc418758314"/>
      <w:bookmarkStart w:id="678" w:name="_Toc418758916"/>
      <w:bookmarkStart w:id="679" w:name="_Toc419813676"/>
      <w:r>
        <w:rPr>
          <w:rFonts w:ascii="Arial Negrito" w:hAnsi="Arial Negrito"/>
          <w:bCs/>
        </w:rPr>
        <w:t xml:space="preserve">3.2.1.5. </w:t>
      </w:r>
      <w:r w:rsidR="00857735" w:rsidRPr="00254F74">
        <w:rPr>
          <w:rFonts w:ascii="Arial Negrito" w:hAnsi="Arial Negrito"/>
          <w:bCs/>
        </w:rPr>
        <w:t>Procedimentos</w:t>
      </w:r>
      <w:bookmarkEnd w:id="674"/>
      <w:bookmarkEnd w:id="675"/>
      <w:bookmarkEnd w:id="676"/>
      <w:bookmarkEnd w:id="677"/>
      <w:bookmarkEnd w:id="678"/>
      <w:bookmarkEnd w:id="679"/>
    </w:p>
    <w:p w:rsidR="00857735" w:rsidRPr="00D9732E" w:rsidRDefault="00857735" w:rsidP="00811C6D">
      <w:pPr>
        <w:spacing w:before="120" w:after="120" w:line="240" w:lineRule="auto"/>
        <w:rPr>
          <w:rFonts w:cs="Arial"/>
          <w:szCs w:val="22"/>
        </w:rPr>
      </w:pPr>
      <w:r w:rsidRPr="00D9732E">
        <w:rPr>
          <w:rFonts w:cs="Arial"/>
          <w:szCs w:val="22"/>
        </w:rPr>
        <w:t>Os horários previstos para observação e coleta dos dados são: 07:00 h; 09:00 h; 15:00 h e 21:00 h. Os três últimos horários estão de acordo com as recomendações da OMM - Organização Meteorológica Mundial. O horário das 07:00 h é recomendado com vistas a atender necessidades dos canteiros de obras e da operação dos barramentos.</w:t>
      </w:r>
    </w:p>
    <w:p w:rsidR="00857735" w:rsidRPr="00D9732E" w:rsidRDefault="00857735" w:rsidP="00811C6D">
      <w:pPr>
        <w:spacing w:before="120" w:after="120" w:line="240" w:lineRule="auto"/>
        <w:rPr>
          <w:rFonts w:cs="Arial"/>
          <w:szCs w:val="22"/>
        </w:rPr>
      </w:pPr>
      <w:r w:rsidRPr="00D9732E">
        <w:rPr>
          <w:rFonts w:cs="Arial"/>
          <w:szCs w:val="22"/>
        </w:rPr>
        <w:t xml:space="preserve">Após a coleta dos dados, os mesmos serão enviados a área de operação de uma das barragens, para análise, consistência e processamento, devendo ser posteriormente armazenados em um banco de dados. </w:t>
      </w:r>
    </w:p>
    <w:p w:rsidR="00857735" w:rsidRPr="00D9732E" w:rsidRDefault="00857735" w:rsidP="00811C6D">
      <w:pPr>
        <w:spacing w:before="120" w:after="120" w:line="240" w:lineRule="auto"/>
        <w:rPr>
          <w:rFonts w:cs="Arial"/>
          <w:szCs w:val="22"/>
        </w:rPr>
      </w:pPr>
      <w:r w:rsidRPr="00D9732E">
        <w:rPr>
          <w:rFonts w:cs="Arial"/>
          <w:szCs w:val="22"/>
        </w:rPr>
        <w:t xml:space="preserve">Em termos de armazenamento digital, os dados climáticos a serem considerados são os seguintes: </w:t>
      </w:r>
    </w:p>
    <w:p w:rsidR="00857735" w:rsidRPr="00D9732E" w:rsidRDefault="00FC59A6" w:rsidP="00431A97">
      <w:pPr>
        <w:pStyle w:val="Bolinha"/>
        <w:numPr>
          <w:ilvl w:val="0"/>
          <w:numId w:val="45"/>
        </w:numPr>
        <w:spacing w:after="0"/>
        <w:ind w:left="357" w:hanging="357"/>
        <w:rPr>
          <w:rFonts w:ascii="Arial" w:hAnsi="Arial"/>
          <w:sz w:val="22"/>
        </w:rPr>
      </w:pPr>
      <w:r>
        <w:rPr>
          <w:rFonts w:ascii="Arial" w:hAnsi="Arial"/>
          <w:sz w:val="22"/>
        </w:rPr>
        <w:t>T</w:t>
      </w:r>
      <w:r w:rsidR="00857735" w:rsidRPr="00D9732E">
        <w:rPr>
          <w:rFonts w:ascii="Arial" w:hAnsi="Arial"/>
          <w:sz w:val="22"/>
        </w:rPr>
        <w:t>otais diários de precipitação;</w:t>
      </w:r>
    </w:p>
    <w:p w:rsidR="00857735" w:rsidRPr="00D9732E" w:rsidRDefault="00FC59A6" w:rsidP="00431A97">
      <w:pPr>
        <w:pStyle w:val="Bolinha"/>
        <w:numPr>
          <w:ilvl w:val="0"/>
          <w:numId w:val="45"/>
        </w:numPr>
        <w:spacing w:after="0"/>
        <w:ind w:left="357" w:hanging="357"/>
        <w:rPr>
          <w:rFonts w:ascii="Arial" w:hAnsi="Arial"/>
          <w:sz w:val="22"/>
        </w:rPr>
      </w:pPr>
      <w:r>
        <w:rPr>
          <w:rFonts w:ascii="Arial" w:hAnsi="Arial"/>
          <w:sz w:val="22"/>
        </w:rPr>
        <w:t>T</w:t>
      </w:r>
      <w:r w:rsidR="00857735" w:rsidRPr="00D9732E">
        <w:rPr>
          <w:rFonts w:ascii="Arial" w:hAnsi="Arial"/>
          <w:sz w:val="22"/>
        </w:rPr>
        <w:t xml:space="preserve">emperaturas do ar médias, máximas e mínimas diárias; </w:t>
      </w:r>
    </w:p>
    <w:p w:rsidR="00857735" w:rsidRPr="00D9732E" w:rsidRDefault="00FC59A6" w:rsidP="00431A97">
      <w:pPr>
        <w:pStyle w:val="Bolinha"/>
        <w:numPr>
          <w:ilvl w:val="0"/>
          <w:numId w:val="45"/>
        </w:numPr>
        <w:spacing w:after="0"/>
        <w:ind w:left="357" w:hanging="357"/>
        <w:rPr>
          <w:rFonts w:ascii="Arial" w:hAnsi="Arial"/>
          <w:sz w:val="22"/>
        </w:rPr>
      </w:pPr>
      <w:r>
        <w:rPr>
          <w:rFonts w:ascii="Arial" w:hAnsi="Arial"/>
          <w:sz w:val="22"/>
        </w:rPr>
        <w:t>I</w:t>
      </w:r>
      <w:r w:rsidR="00857735" w:rsidRPr="00D9732E">
        <w:rPr>
          <w:rFonts w:ascii="Arial" w:hAnsi="Arial"/>
          <w:sz w:val="22"/>
        </w:rPr>
        <w:t>ntensidade e direção dos ventos;</w:t>
      </w:r>
    </w:p>
    <w:p w:rsidR="00857735" w:rsidRPr="00D9732E" w:rsidRDefault="00FC59A6" w:rsidP="00431A97">
      <w:pPr>
        <w:pStyle w:val="Bolinha"/>
        <w:numPr>
          <w:ilvl w:val="0"/>
          <w:numId w:val="45"/>
        </w:numPr>
        <w:spacing w:after="0"/>
        <w:ind w:left="357" w:hanging="357"/>
        <w:rPr>
          <w:rFonts w:ascii="Arial" w:hAnsi="Arial"/>
          <w:sz w:val="22"/>
        </w:rPr>
      </w:pPr>
      <w:r>
        <w:rPr>
          <w:rFonts w:ascii="Arial" w:hAnsi="Arial"/>
          <w:sz w:val="22"/>
        </w:rPr>
        <w:t>T</w:t>
      </w:r>
      <w:r w:rsidR="00857735" w:rsidRPr="00D9732E">
        <w:rPr>
          <w:rFonts w:ascii="Arial" w:hAnsi="Arial"/>
          <w:sz w:val="22"/>
        </w:rPr>
        <w:t>otais mensais de evaporação;</w:t>
      </w:r>
    </w:p>
    <w:p w:rsidR="00857735" w:rsidRPr="00D9732E" w:rsidRDefault="00FC59A6" w:rsidP="00431A97">
      <w:pPr>
        <w:pStyle w:val="Bolinha"/>
        <w:numPr>
          <w:ilvl w:val="0"/>
          <w:numId w:val="45"/>
        </w:numPr>
        <w:spacing w:after="0"/>
        <w:ind w:left="357" w:hanging="357"/>
        <w:rPr>
          <w:rFonts w:ascii="Arial" w:hAnsi="Arial"/>
          <w:sz w:val="22"/>
        </w:rPr>
      </w:pPr>
      <w:r>
        <w:rPr>
          <w:rFonts w:ascii="Arial" w:hAnsi="Arial"/>
          <w:sz w:val="22"/>
        </w:rPr>
        <w:t>M</w:t>
      </w:r>
      <w:r w:rsidR="00857735" w:rsidRPr="00D9732E">
        <w:rPr>
          <w:rFonts w:ascii="Arial" w:hAnsi="Arial"/>
          <w:sz w:val="22"/>
        </w:rPr>
        <w:t>édias diárias de umidade relativa do ar;</w:t>
      </w:r>
    </w:p>
    <w:p w:rsidR="00857735" w:rsidRPr="00D9732E" w:rsidRDefault="00FC59A6" w:rsidP="00431A97">
      <w:pPr>
        <w:pStyle w:val="Bolinha"/>
        <w:numPr>
          <w:ilvl w:val="0"/>
          <w:numId w:val="45"/>
        </w:numPr>
        <w:spacing w:after="0"/>
        <w:ind w:left="357" w:hanging="357"/>
        <w:rPr>
          <w:rFonts w:ascii="Arial" w:hAnsi="Arial"/>
          <w:sz w:val="22"/>
        </w:rPr>
      </w:pPr>
      <w:r>
        <w:rPr>
          <w:rFonts w:ascii="Arial" w:hAnsi="Arial"/>
          <w:sz w:val="22"/>
        </w:rPr>
        <w:t>M</w:t>
      </w:r>
      <w:r w:rsidR="00857735" w:rsidRPr="00D9732E">
        <w:rPr>
          <w:rFonts w:ascii="Arial" w:hAnsi="Arial"/>
          <w:sz w:val="22"/>
        </w:rPr>
        <w:t>édias</w:t>
      </w:r>
      <w:r w:rsidR="00811C6D">
        <w:rPr>
          <w:rFonts w:ascii="Arial" w:hAnsi="Arial"/>
          <w:sz w:val="22"/>
        </w:rPr>
        <w:t xml:space="preserve"> diárias de pressão atmosférica;</w:t>
      </w:r>
    </w:p>
    <w:p w:rsidR="00857735" w:rsidRPr="00D9732E" w:rsidRDefault="00FC59A6" w:rsidP="00431A97">
      <w:pPr>
        <w:pStyle w:val="Bolinha"/>
        <w:numPr>
          <w:ilvl w:val="0"/>
          <w:numId w:val="45"/>
        </w:numPr>
        <w:spacing w:after="0"/>
        <w:ind w:left="357" w:hanging="357"/>
      </w:pPr>
      <w:r>
        <w:rPr>
          <w:rFonts w:ascii="Arial" w:hAnsi="Arial"/>
          <w:sz w:val="22"/>
        </w:rPr>
        <w:t>T</w:t>
      </w:r>
      <w:r w:rsidR="00857735" w:rsidRPr="00D9732E">
        <w:rPr>
          <w:rFonts w:ascii="Arial" w:hAnsi="Arial"/>
          <w:sz w:val="22"/>
        </w:rPr>
        <w:t>otais</w:t>
      </w:r>
      <w:r w:rsidR="00857735" w:rsidRPr="00D9732E">
        <w:t xml:space="preserve"> diários de horas de insolação</w:t>
      </w:r>
      <w:r w:rsidR="00811C6D">
        <w:t>.</w:t>
      </w:r>
    </w:p>
    <w:p w:rsidR="00857735" w:rsidRPr="00D9732E" w:rsidRDefault="00857735" w:rsidP="00811C6D">
      <w:pPr>
        <w:spacing w:before="120" w:after="120" w:line="240" w:lineRule="auto"/>
        <w:rPr>
          <w:rFonts w:cs="Arial"/>
          <w:szCs w:val="22"/>
        </w:rPr>
      </w:pPr>
      <w:r w:rsidRPr="00D9732E">
        <w:rPr>
          <w:rFonts w:cs="Arial"/>
          <w:szCs w:val="22"/>
        </w:rPr>
        <w:t>A partir do carregamento do banco de dados com os elementos anteriormente citados, será possível sistematizar as informações da seguinte forma:</w:t>
      </w:r>
    </w:p>
    <w:p w:rsidR="00857735" w:rsidRPr="00D9732E" w:rsidRDefault="00FC59A6" w:rsidP="00431A97">
      <w:pPr>
        <w:pStyle w:val="Bolinha"/>
        <w:numPr>
          <w:ilvl w:val="0"/>
          <w:numId w:val="46"/>
        </w:numPr>
        <w:rPr>
          <w:rFonts w:ascii="Arial" w:hAnsi="Arial"/>
          <w:sz w:val="22"/>
        </w:rPr>
      </w:pPr>
      <w:r>
        <w:rPr>
          <w:rFonts w:ascii="Arial" w:hAnsi="Arial"/>
          <w:sz w:val="22"/>
        </w:rPr>
        <w:t>O</w:t>
      </w:r>
      <w:r w:rsidR="00857735" w:rsidRPr="00D9732E">
        <w:rPr>
          <w:rFonts w:ascii="Arial" w:hAnsi="Arial"/>
          <w:sz w:val="22"/>
        </w:rPr>
        <w:t>btenção de parâmetros estatísticos como média, desvio padrão, valores máximos e mínimos, etc.</w:t>
      </w:r>
    </w:p>
    <w:p w:rsidR="00857735" w:rsidRPr="00D9732E" w:rsidRDefault="00FC59A6" w:rsidP="00431A97">
      <w:pPr>
        <w:pStyle w:val="Bolinha"/>
        <w:numPr>
          <w:ilvl w:val="0"/>
          <w:numId w:val="46"/>
        </w:numPr>
      </w:pPr>
      <w:r>
        <w:rPr>
          <w:rFonts w:ascii="Arial" w:hAnsi="Arial"/>
          <w:sz w:val="22"/>
        </w:rPr>
        <w:t>C</w:t>
      </w:r>
      <w:r w:rsidR="00857735" w:rsidRPr="00D9732E">
        <w:rPr>
          <w:rFonts w:ascii="Arial" w:hAnsi="Arial"/>
          <w:sz w:val="22"/>
        </w:rPr>
        <w:t>riação de arquivos digitais de séries temporais, para</w:t>
      </w:r>
      <w:r w:rsidR="00857735" w:rsidRPr="00D9732E">
        <w:t xml:space="preserve"> utilização em estudos de análise de tendência.</w:t>
      </w:r>
    </w:p>
    <w:p w:rsidR="00857735" w:rsidRPr="00D9732E" w:rsidRDefault="00857735" w:rsidP="00811C6D">
      <w:pPr>
        <w:spacing w:before="120" w:after="120" w:line="240" w:lineRule="auto"/>
        <w:rPr>
          <w:rFonts w:cs="Arial"/>
          <w:szCs w:val="22"/>
        </w:rPr>
      </w:pPr>
      <w:r w:rsidRPr="00D9732E">
        <w:rPr>
          <w:rFonts w:cs="Arial"/>
          <w:szCs w:val="22"/>
        </w:rPr>
        <w:t>Em resumo, os dados obtidos terão a finalidade de subsidiar estudos e pesquisas no âmbito do monitoramento de impactos no clima no entorno dos reservatórios d</w:t>
      </w:r>
      <w:r w:rsidR="00811C6D">
        <w:rPr>
          <w:rFonts w:cs="Arial"/>
          <w:szCs w:val="22"/>
        </w:rPr>
        <w:t>as Barragens</w:t>
      </w:r>
      <w:r w:rsidRPr="00D9732E">
        <w:rPr>
          <w:rFonts w:cs="Arial"/>
          <w:szCs w:val="22"/>
        </w:rPr>
        <w:t xml:space="preserve"> Pedreira e Duas Pontes. </w:t>
      </w:r>
    </w:p>
    <w:p w:rsidR="00857735" w:rsidRPr="00254F74" w:rsidRDefault="00254F74" w:rsidP="00254F74">
      <w:pPr>
        <w:pStyle w:val="Ttulo3"/>
        <w:rPr>
          <w:rFonts w:ascii="Arial Negrito" w:hAnsi="Arial Negrito"/>
          <w:bCs/>
        </w:rPr>
      </w:pPr>
      <w:bookmarkStart w:id="680" w:name="_Toc370810315"/>
      <w:bookmarkStart w:id="681" w:name="_Toc370923281"/>
      <w:bookmarkStart w:id="682" w:name="_Toc370985407"/>
      <w:bookmarkStart w:id="683" w:name="_Toc418758315"/>
      <w:bookmarkStart w:id="684" w:name="_Toc418758917"/>
      <w:bookmarkStart w:id="685" w:name="_Toc419813677"/>
      <w:r>
        <w:rPr>
          <w:rFonts w:ascii="Arial Negrito" w:hAnsi="Arial Negrito"/>
          <w:bCs/>
        </w:rPr>
        <w:t xml:space="preserve">3.2.1.6. </w:t>
      </w:r>
      <w:r w:rsidR="00857735" w:rsidRPr="00254F74">
        <w:rPr>
          <w:rFonts w:ascii="Arial Negrito" w:hAnsi="Arial Negrito"/>
          <w:bCs/>
        </w:rPr>
        <w:t>Indicadores Ambientais</w:t>
      </w:r>
      <w:bookmarkEnd w:id="680"/>
      <w:bookmarkEnd w:id="681"/>
      <w:bookmarkEnd w:id="682"/>
      <w:bookmarkEnd w:id="683"/>
      <w:bookmarkEnd w:id="684"/>
      <w:bookmarkEnd w:id="685"/>
    </w:p>
    <w:p w:rsidR="00857735" w:rsidRPr="00D9732E" w:rsidRDefault="00857735" w:rsidP="00811C6D">
      <w:pPr>
        <w:spacing w:before="120" w:after="120" w:line="240" w:lineRule="auto"/>
        <w:rPr>
          <w:rFonts w:cs="Arial"/>
          <w:szCs w:val="22"/>
        </w:rPr>
      </w:pPr>
      <w:r w:rsidRPr="00D9732E">
        <w:rPr>
          <w:rFonts w:cs="Arial"/>
          <w:szCs w:val="22"/>
        </w:rPr>
        <w:t xml:space="preserve">Anualmente deverá se fazer uma análise de consistência dos dados fornecidos pela estação, avaliando a evolução dos parâmetros climáticos medidos, como também uma comparação com dados existentes de anos anteriores. </w:t>
      </w:r>
    </w:p>
    <w:p w:rsidR="00857735" w:rsidRPr="00254F74" w:rsidRDefault="00254F74" w:rsidP="00254F74">
      <w:pPr>
        <w:pStyle w:val="Ttulo3"/>
        <w:rPr>
          <w:rFonts w:ascii="Arial Negrito" w:hAnsi="Arial Negrito"/>
          <w:bCs/>
        </w:rPr>
      </w:pPr>
      <w:bookmarkStart w:id="686" w:name="_Toc370810316"/>
      <w:bookmarkStart w:id="687" w:name="_Toc370923282"/>
      <w:bookmarkStart w:id="688" w:name="_Toc370985408"/>
      <w:bookmarkStart w:id="689" w:name="_Toc418758316"/>
      <w:bookmarkStart w:id="690" w:name="_Toc418758918"/>
      <w:bookmarkStart w:id="691" w:name="_Toc419813678"/>
      <w:r>
        <w:rPr>
          <w:rFonts w:ascii="Arial Negrito" w:hAnsi="Arial Negrito"/>
          <w:bCs/>
        </w:rPr>
        <w:t xml:space="preserve">3.2.1.7. </w:t>
      </w:r>
      <w:r w:rsidR="00857735" w:rsidRPr="00254F74">
        <w:rPr>
          <w:rFonts w:ascii="Arial Negrito" w:hAnsi="Arial Negrito"/>
          <w:bCs/>
        </w:rPr>
        <w:t>Recursos Materiais e Humanos</w:t>
      </w:r>
      <w:bookmarkEnd w:id="686"/>
      <w:bookmarkEnd w:id="687"/>
      <w:bookmarkEnd w:id="688"/>
      <w:bookmarkEnd w:id="689"/>
      <w:bookmarkEnd w:id="690"/>
      <w:bookmarkEnd w:id="691"/>
    </w:p>
    <w:p w:rsidR="00857735" w:rsidRPr="00D9732E" w:rsidRDefault="00857735" w:rsidP="00811C6D">
      <w:pPr>
        <w:spacing w:before="120" w:after="120" w:line="240" w:lineRule="auto"/>
        <w:rPr>
          <w:rFonts w:cs="Arial"/>
          <w:szCs w:val="22"/>
        </w:rPr>
      </w:pPr>
      <w:r w:rsidRPr="00D9732E">
        <w:rPr>
          <w:rFonts w:cs="Arial"/>
          <w:szCs w:val="22"/>
        </w:rPr>
        <w:t>Para a estação climatológica, deverá ser prevista a aquisição de equipamentos que permitam o monitoramento climático dos seguintes parâmetros:</w:t>
      </w:r>
    </w:p>
    <w:p w:rsidR="00857735" w:rsidRPr="00D9732E" w:rsidRDefault="00857735" w:rsidP="008B0822">
      <w:pPr>
        <w:pStyle w:val="Item-Bolinha"/>
      </w:pPr>
      <w:r w:rsidRPr="00D9732E">
        <w:t>Precipitação</w:t>
      </w:r>
    </w:p>
    <w:p w:rsidR="00857735" w:rsidRPr="00D9732E" w:rsidRDefault="00857735" w:rsidP="008B0822">
      <w:pPr>
        <w:pStyle w:val="Item-Bolinha"/>
      </w:pPr>
      <w:r w:rsidRPr="00D9732E">
        <w:t>Temperatura do ar</w:t>
      </w:r>
    </w:p>
    <w:p w:rsidR="00857735" w:rsidRPr="00D9732E" w:rsidRDefault="00857735" w:rsidP="008B0822">
      <w:pPr>
        <w:pStyle w:val="Item-Bolinha"/>
      </w:pPr>
      <w:r w:rsidRPr="00D9732E">
        <w:t>Intensidade e direção dos ventos</w:t>
      </w:r>
    </w:p>
    <w:p w:rsidR="00857735" w:rsidRPr="00D9732E" w:rsidRDefault="00857735" w:rsidP="008B0822">
      <w:pPr>
        <w:pStyle w:val="Item-Bolinha"/>
      </w:pPr>
      <w:r w:rsidRPr="00D9732E">
        <w:t>Evaporação</w:t>
      </w:r>
    </w:p>
    <w:p w:rsidR="00857735" w:rsidRPr="00D9732E" w:rsidRDefault="00857735" w:rsidP="008B0822">
      <w:pPr>
        <w:pStyle w:val="Item-Bolinha"/>
      </w:pPr>
      <w:r w:rsidRPr="00D9732E">
        <w:t>Umidade relativa do ar</w:t>
      </w:r>
    </w:p>
    <w:p w:rsidR="00857735" w:rsidRPr="00D9732E" w:rsidRDefault="00857735" w:rsidP="008B0822">
      <w:pPr>
        <w:pStyle w:val="Item-Bolinha"/>
      </w:pPr>
      <w:r w:rsidRPr="00D9732E">
        <w:t>Pressão atmosférica</w:t>
      </w:r>
    </w:p>
    <w:p w:rsidR="00857735" w:rsidRDefault="00857735" w:rsidP="008B0822">
      <w:pPr>
        <w:pStyle w:val="Item-Bolinha"/>
      </w:pPr>
      <w:r w:rsidRPr="00D9732E">
        <w:t xml:space="preserve">Horas de insolação </w:t>
      </w:r>
    </w:p>
    <w:p w:rsidR="00857735" w:rsidRPr="00D9732E" w:rsidRDefault="00857735" w:rsidP="00656EA3">
      <w:pPr>
        <w:pStyle w:val="Item-Trainho"/>
        <w:spacing w:before="240" w:after="240"/>
        <w:rPr>
          <w:b/>
        </w:rPr>
      </w:pPr>
      <w:r w:rsidRPr="00D9732E">
        <w:rPr>
          <w:b/>
        </w:rPr>
        <w:t>Recursos materiais:</w:t>
      </w:r>
    </w:p>
    <w:p w:rsidR="00857735" w:rsidRPr="00D9732E" w:rsidRDefault="009B417A" w:rsidP="00BC68A7">
      <w:pPr>
        <w:pStyle w:val="Bolinha"/>
        <w:spacing w:after="0"/>
        <w:ind w:left="357" w:hanging="357"/>
        <w:rPr>
          <w:rFonts w:ascii="Arial" w:hAnsi="Arial"/>
          <w:sz w:val="22"/>
        </w:rPr>
      </w:pPr>
      <w:r>
        <w:rPr>
          <w:rFonts w:ascii="Arial" w:hAnsi="Arial"/>
          <w:sz w:val="22"/>
        </w:rPr>
        <w:t>1 C</w:t>
      </w:r>
      <w:r w:rsidR="00857735" w:rsidRPr="00D9732E">
        <w:rPr>
          <w:rFonts w:ascii="Arial" w:hAnsi="Arial"/>
          <w:sz w:val="22"/>
        </w:rPr>
        <w:t xml:space="preserve">omputador e </w:t>
      </w:r>
      <w:r>
        <w:rPr>
          <w:rFonts w:ascii="Arial" w:hAnsi="Arial"/>
          <w:sz w:val="22"/>
        </w:rPr>
        <w:t>1</w:t>
      </w:r>
      <w:r w:rsidR="00857735" w:rsidRPr="00D9732E">
        <w:rPr>
          <w:rFonts w:ascii="Arial" w:hAnsi="Arial"/>
          <w:sz w:val="22"/>
        </w:rPr>
        <w:t xml:space="preserve"> impressora;</w:t>
      </w:r>
    </w:p>
    <w:p w:rsidR="00857735" w:rsidRPr="00D9732E" w:rsidRDefault="00857735" w:rsidP="00BC68A7">
      <w:pPr>
        <w:pStyle w:val="Bolinha"/>
        <w:spacing w:after="0"/>
        <w:ind w:left="357" w:hanging="357"/>
        <w:rPr>
          <w:rFonts w:ascii="Arial" w:hAnsi="Arial"/>
          <w:sz w:val="22"/>
        </w:rPr>
      </w:pPr>
      <w:r w:rsidRPr="00D9732E">
        <w:rPr>
          <w:rFonts w:ascii="Arial" w:hAnsi="Arial"/>
          <w:sz w:val="22"/>
        </w:rPr>
        <w:t>2 Sistemas de radio comunicação;</w:t>
      </w:r>
    </w:p>
    <w:p w:rsidR="00857735" w:rsidRPr="00D9732E" w:rsidRDefault="00857735" w:rsidP="00656EA3">
      <w:pPr>
        <w:pStyle w:val="Item-Trainho"/>
        <w:spacing w:before="240" w:after="240"/>
        <w:rPr>
          <w:b/>
        </w:rPr>
      </w:pPr>
      <w:r w:rsidRPr="00D9732E">
        <w:rPr>
          <w:b/>
        </w:rPr>
        <w:t>Recursos humanos:</w:t>
      </w:r>
    </w:p>
    <w:p w:rsidR="00857735" w:rsidRPr="00D9732E" w:rsidRDefault="009B417A" w:rsidP="00BC68A7">
      <w:pPr>
        <w:pStyle w:val="Bolinha"/>
        <w:spacing w:after="0"/>
        <w:ind w:left="357" w:hanging="357"/>
        <w:rPr>
          <w:rFonts w:ascii="Arial" w:hAnsi="Arial"/>
          <w:sz w:val="22"/>
        </w:rPr>
      </w:pPr>
      <w:r>
        <w:rPr>
          <w:rFonts w:ascii="Arial" w:hAnsi="Arial"/>
          <w:sz w:val="22"/>
        </w:rPr>
        <w:t>1</w:t>
      </w:r>
      <w:r w:rsidR="00857735" w:rsidRPr="00D9732E">
        <w:rPr>
          <w:rFonts w:ascii="Arial" w:hAnsi="Arial"/>
          <w:sz w:val="22"/>
        </w:rPr>
        <w:t xml:space="preserve"> técnico em meteorologia;</w:t>
      </w:r>
    </w:p>
    <w:p w:rsidR="00857735" w:rsidRDefault="00B85B16" w:rsidP="00BC68A7">
      <w:pPr>
        <w:pStyle w:val="Bolinha"/>
        <w:spacing w:after="0"/>
        <w:ind w:left="357" w:hanging="357"/>
        <w:rPr>
          <w:rFonts w:ascii="Arial" w:hAnsi="Arial"/>
          <w:sz w:val="22"/>
        </w:rPr>
      </w:pPr>
      <w:r>
        <w:rPr>
          <w:rFonts w:ascii="Arial" w:hAnsi="Arial"/>
          <w:sz w:val="22"/>
        </w:rPr>
        <w:t>2</w:t>
      </w:r>
      <w:r w:rsidR="00857735" w:rsidRPr="00811C6D">
        <w:rPr>
          <w:rFonts w:ascii="Arial" w:hAnsi="Arial"/>
          <w:sz w:val="22"/>
        </w:rPr>
        <w:t xml:space="preserve"> auxiliar</w:t>
      </w:r>
      <w:r>
        <w:rPr>
          <w:rFonts w:ascii="Arial" w:hAnsi="Arial"/>
          <w:sz w:val="22"/>
        </w:rPr>
        <w:t>es (um para campo e um para escritório)</w:t>
      </w:r>
      <w:r w:rsidR="00857735" w:rsidRPr="00811C6D">
        <w:rPr>
          <w:rFonts w:ascii="Arial" w:hAnsi="Arial"/>
          <w:sz w:val="22"/>
        </w:rPr>
        <w:t>.</w:t>
      </w:r>
    </w:p>
    <w:p w:rsidR="00857735" w:rsidRPr="00254F74" w:rsidRDefault="00254F74" w:rsidP="00254F74">
      <w:pPr>
        <w:pStyle w:val="Ttulo3"/>
        <w:rPr>
          <w:rFonts w:ascii="Arial Negrito" w:hAnsi="Arial Negrito"/>
          <w:bCs/>
        </w:rPr>
      </w:pPr>
      <w:bookmarkStart w:id="692" w:name="_Toc370810317"/>
      <w:bookmarkStart w:id="693" w:name="_Toc370923283"/>
      <w:bookmarkStart w:id="694" w:name="_Toc370985409"/>
      <w:bookmarkStart w:id="695" w:name="_Toc418758317"/>
      <w:bookmarkStart w:id="696" w:name="_Toc418758919"/>
      <w:bookmarkStart w:id="697" w:name="_Toc419813679"/>
      <w:r>
        <w:rPr>
          <w:rFonts w:ascii="Arial Negrito" w:hAnsi="Arial Negrito"/>
          <w:bCs/>
        </w:rPr>
        <w:t xml:space="preserve">3.2.1.8. </w:t>
      </w:r>
      <w:r w:rsidR="00857735" w:rsidRPr="00254F74">
        <w:rPr>
          <w:rFonts w:ascii="Arial Negrito" w:hAnsi="Arial Negrito"/>
          <w:bCs/>
        </w:rPr>
        <w:t>Atendimento a Requisitos Legais e/ou Outros Requisitos</w:t>
      </w:r>
      <w:bookmarkEnd w:id="692"/>
      <w:bookmarkEnd w:id="693"/>
      <w:bookmarkEnd w:id="694"/>
      <w:bookmarkEnd w:id="695"/>
      <w:bookmarkEnd w:id="696"/>
      <w:bookmarkEnd w:id="697"/>
    </w:p>
    <w:p w:rsidR="00857735" w:rsidRPr="00D9732E" w:rsidRDefault="00857735" w:rsidP="00811C6D">
      <w:pPr>
        <w:spacing w:before="120" w:after="120" w:line="240" w:lineRule="auto"/>
        <w:rPr>
          <w:rFonts w:cs="Arial"/>
          <w:szCs w:val="22"/>
        </w:rPr>
      </w:pPr>
      <w:r w:rsidRPr="00D9732E">
        <w:rPr>
          <w:rFonts w:cs="Arial"/>
          <w:szCs w:val="22"/>
        </w:rPr>
        <w:t>Atendimento ao Manual de Observação de Superfície editado pelo INMET-Instituto Nacional de Meteorologia.</w:t>
      </w:r>
    </w:p>
    <w:p w:rsidR="00857735" w:rsidRPr="00254F74" w:rsidRDefault="00254F74" w:rsidP="00254F74">
      <w:pPr>
        <w:pStyle w:val="Ttulo3"/>
        <w:rPr>
          <w:rFonts w:ascii="Arial Negrito" w:hAnsi="Arial Negrito"/>
          <w:bCs/>
        </w:rPr>
      </w:pPr>
      <w:bookmarkStart w:id="698" w:name="_Toc370810318"/>
      <w:bookmarkStart w:id="699" w:name="_Toc370923284"/>
      <w:bookmarkStart w:id="700" w:name="_Toc370985410"/>
      <w:bookmarkStart w:id="701" w:name="_Toc418758318"/>
      <w:bookmarkStart w:id="702" w:name="_Toc418758920"/>
      <w:bookmarkStart w:id="703" w:name="_Toc419813680"/>
      <w:r>
        <w:rPr>
          <w:rFonts w:ascii="Arial Negrito" w:hAnsi="Arial Negrito"/>
          <w:bCs/>
        </w:rPr>
        <w:t xml:space="preserve">3.2.1.9. </w:t>
      </w:r>
      <w:r w:rsidR="00857735" w:rsidRPr="00254F74">
        <w:rPr>
          <w:rFonts w:ascii="Arial Negrito" w:hAnsi="Arial Negrito"/>
          <w:bCs/>
        </w:rPr>
        <w:t>Inter-relação com outros Planos e Programas</w:t>
      </w:r>
      <w:bookmarkEnd w:id="698"/>
      <w:bookmarkEnd w:id="699"/>
      <w:bookmarkEnd w:id="700"/>
      <w:bookmarkEnd w:id="701"/>
      <w:bookmarkEnd w:id="702"/>
      <w:bookmarkEnd w:id="703"/>
    </w:p>
    <w:p w:rsidR="00857735" w:rsidRPr="00D9732E" w:rsidRDefault="00857735" w:rsidP="00811C6D">
      <w:pPr>
        <w:spacing w:before="120" w:after="120" w:line="240" w:lineRule="auto"/>
        <w:rPr>
          <w:rFonts w:cs="Arial"/>
          <w:szCs w:val="22"/>
        </w:rPr>
      </w:pPr>
      <w:r w:rsidRPr="00D9732E">
        <w:rPr>
          <w:rFonts w:cs="Arial"/>
          <w:szCs w:val="22"/>
        </w:rPr>
        <w:t>O Programa de Monitoramento Climatológico apresenta interface com programas tais como: o de Monitoramento Hidrológico e Sedimentológico e de Monitoramento da Qualidade da Água. As informações sobre o clima também poderão subsidiar ações de Educação Ambiental.</w:t>
      </w:r>
      <w:r w:rsidR="00811C6D">
        <w:rPr>
          <w:rFonts w:cs="Arial"/>
          <w:szCs w:val="22"/>
        </w:rPr>
        <w:t xml:space="preserve"> </w:t>
      </w:r>
      <w:r w:rsidRPr="00D9732E">
        <w:rPr>
          <w:rFonts w:cs="Arial"/>
          <w:szCs w:val="22"/>
        </w:rPr>
        <w:t>Este Programa também tem relação com o Programa de Gestão e Supervisão Ambiental das Obras.</w:t>
      </w:r>
    </w:p>
    <w:p w:rsidR="00857735" w:rsidRPr="00254F74" w:rsidRDefault="00254F74" w:rsidP="00254F74">
      <w:pPr>
        <w:pStyle w:val="Ttulo3"/>
        <w:rPr>
          <w:rFonts w:ascii="Arial Negrito" w:hAnsi="Arial Negrito"/>
          <w:bCs/>
        </w:rPr>
      </w:pPr>
      <w:bookmarkStart w:id="704" w:name="_Toc370810319"/>
      <w:bookmarkStart w:id="705" w:name="_Toc370923285"/>
      <w:bookmarkStart w:id="706" w:name="_Toc370985411"/>
      <w:bookmarkStart w:id="707" w:name="_Toc418758319"/>
      <w:bookmarkStart w:id="708" w:name="_Toc418758921"/>
      <w:bookmarkStart w:id="709" w:name="_Toc419813681"/>
      <w:r>
        <w:rPr>
          <w:rFonts w:ascii="Arial Negrito" w:hAnsi="Arial Negrito"/>
          <w:bCs/>
        </w:rPr>
        <w:t xml:space="preserve">3.2.1.10. </w:t>
      </w:r>
      <w:r w:rsidR="00857735" w:rsidRPr="00254F74">
        <w:rPr>
          <w:rFonts w:ascii="Arial Negrito" w:hAnsi="Arial Negrito"/>
          <w:bCs/>
        </w:rPr>
        <w:t>Etapa do Empreendimento</w:t>
      </w:r>
      <w:bookmarkEnd w:id="704"/>
      <w:bookmarkEnd w:id="705"/>
      <w:bookmarkEnd w:id="706"/>
      <w:bookmarkEnd w:id="707"/>
      <w:bookmarkEnd w:id="708"/>
      <w:bookmarkEnd w:id="709"/>
    </w:p>
    <w:p w:rsidR="00857735" w:rsidRPr="00D9732E" w:rsidRDefault="00857735" w:rsidP="00811C6D">
      <w:pPr>
        <w:spacing w:before="120" w:after="120" w:line="240" w:lineRule="auto"/>
        <w:rPr>
          <w:rFonts w:cs="Arial"/>
          <w:szCs w:val="22"/>
        </w:rPr>
      </w:pPr>
      <w:r w:rsidRPr="00D9732E">
        <w:rPr>
          <w:rFonts w:cs="Arial"/>
          <w:szCs w:val="22"/>
        </w:rPr>
        <w:t>O desenvolvimento deste programa deve ser aplicado no início da implantação do empreendimento, de forma que o período para leitura dos dados climatológicos abranja um período antes do enchimento, todo o período de enchimento e prossiga após o enchimento, na etapa de operação por dois anos, no mínimo.</w:t>
      </w:r>
    </w:p>
    <w:p w:rsidR="00857735" w:rsidRPr="00254F74" w:rsidRDefault="00254F74" w:rsidP="00254F74">
      <w:pPr>
        <w:pStyle w:val="Ttulo3"/>
        <w:rPr>
          <w:rFonts w:ascii="Arial Negrito" w:hAnsi="Arial Negrito"/>
          <w:bCs/>
        </w:rPr>
      </w:pPr>
      <w:bookmarkStart w:id="710" w:name="_Toc370810320"/>
      <w:bookmarkStart w:id="711" w:name="_Toc370923286"/>
      <w:bookmarkStart w:id="712" w:name="_Toc370985412"/>
      <w:bookmarkStart w:id="713" w:name="_Toc418758320"/>
      <w:bookmarkStart w:id="714" w:name="_Toc418758922"/>
      <w:bookmarkStart w:id="715" w:name="_Toc419813682"/>
      <w:r>
        <w:rPr>
          <w:rFonts w:ascii="Arial Negrito" w:hAnsi="Arial Negrito"/>
          <w:bCs/>
        </w:rPr>
        <w:t xml:space="preserve">3.2.1.11. </w:t>
      </w:r>
      <w:r w:rsidR="00857735" w:rsidRPr="00254F74">
        <w:rPr>
          <w:rFonts w:ascii="Arial Negrito" w:hAnsi="Arial Negrito"/>
          <w:bCs/>
        </w:rPr>
        <w:t>Cronograma de Execução</w:t>
      </w:r>
      <w:bookmarkEnd w:id="710"/>
      <w:bookmarkEnd w:id="711"/>
      <w:bookmarkEnd w:id="712"/>
      <w:bookmarkEnd w:id="713"/>
      <w:bookmarkEnd w:id="714"/>
      <w:bookmarkEnd w:id="715"/>
    </w:p>
    <w:p w:rsidR="00857735" w:rsidRDefault="00857735" w:rsidP="00811C6D">
      <w:pPr>
        <w:spacing w:before="120" w:after="120" w:line="240" w:lineRule="auto"/>
        <w:rPr>
          <w:rFonts w:cs="Arial"/>
          <w:szCs w:val="22"/>
        </w:rPr>
      </w:pPr>
      <w:r w:rsidRPr="00D9732E">
        <w:rPr>
          <w:rFonts w:cs="Arial"/>
          <w:szCs w:val="22"/>
        </w:rPr>
        <w:t xml:space="preserve">Recomenda-se que o início da operação efetiva da estação automática junto a barragem, por parte do empreendedor, ocorra com antecedência de </w:t>
      </w:r>
      <w:r w:rsidR="00280D58">
        <w:rPr>
          <w:rFonts w:cs="Arial"/>
          <w:szCs w:val="22"/>
        </w:rPr>
        <w:t>2 anos</w:t>
      </w:r>
      <w:r w:rsidRPr="00D9732E">
        <w:rPr>
          <w:rFonts w:cs="Arial"/>
          <w:szCs w:val="22"/>
        </w:rPr>
        <w:t xml:space="preserve"> da data a ser definida para o início do enchimento, de forma a permitir a coleta de informações para a situação de antes do enchimento, com pelo menos 24 meses de antecedência.</w:t>
      </w:r>
    </w:p>
    <w:p w:rsidR="00280D58" w:rsidRDefault="00280D58" w:rsidP="00280D58">
      <w:pPr>
        <w:pStyle w:val="Corpodetexto"/>
        <w:spacing w:after="0"/>
      </w:pPr>
      <w:r>
        <w:t>As datas marco definidas para este programa seriam:</w:t>
      </w:r>
    </w:p>
    <w:p w:rsidR="00280D58" w:rsidRDefault="00280D58" w:rsidP="00656EA3">
      <w:pPr>
        <w:pStyle w:val="Item-Trainho"/>
      </w:pPr>
      <w:r>
        <w:t>Aquisição e Implantação da estação automática: 2 anos antes do inicio do enchimento dos reservatórios;</w:t>
      </w:r>
    </w:p>
    <w:p w:rsidR="00857735" w:rsidRPr="00280D58" w:rsidRDefault="00280D58" w:rsidP="00656EA3">
      <w:pPr>
        <w:pStyle w:val="Item-Trainho"/>
      </w:pPr>
      <w:r>
        <w:t>Monitoramento: Coleta de Dados, Análise e Armazenamento das informações: 24 meses antes do enchimento dos reservatórios.</w:t>
      </w:r>
    </w:p>
    <w:p w:rsidR="00857735" w:rsidRPr="00254F74" w:rsidRDefault="00254F74" w:rsidP="00254F74">
      <w:pPr>
        <w:pStyle w:val="Ttulo3"/>
        <w:rPr>
          <w:rFonts w:ascii="Arial Negrito" w:hAnsi="Arial Negrito"/>
          <w:bCs/>
        </w:rPr>
      </w:pPr>
      <w:bookmarkStart w:id="716" w:name="_Toc370810321"/>
      <w:bookmarkStart w:id="717" w:name="_Toc370923287"/>
      <w:bookmarkStart w:id="718" w:name="_Toc370985413"/>
      <w:bookmarkStart w:id="719" w:name="_Toc418758321"/>
      <w:bookmarkStart w:id="720" w:name="_Toc418758923"/>
      <w:bookmarkStart w:id="721" w:name="_Toc419813683"/>
      <w:r>
        <w:rPr>
          <w:rFonts w:ascii="Arial Negrito" w:hAnsi="Arial Negrito"/>
          <w:bCs/>
        </w:rPr>
        <w:t xml:space="preserve">3.2.1.12. </w:t>
      </w:r>
      <w:r w:rsidR="00857735" w:rsidRPr="00254F74">
        <w:rPr>
          <w:rFonts w:ascii="Arial Negrito" w:hAnsi="Arial Negrito"/>
          <w:bCs/>
        </w:rPr>
        <w:t>Responsável pela Implementação</w:t>
      </w:r>
      <w:bookmarkEnd w:id="716"/>
      <w:bookmarkEnd w:id="717"/>
      <w:bookmarkEnd w:id="718"/>
      <w:bookmarkEnd w:id="719"/>
      <w:bookmarkEnd w:id="720"/>
      <w:bookmarkEnd w:id="721"/>
    </w:p>
    <w:p w:rsidR="00857735" w:rsidRDefault="00857735" w:rsidP="00857735">
      <w:pPr>
        <w:rPr>
          <w:rFonts w:cs="Arial"/>
          <w:szCs w:val="22"/>
        </w:rPr>
      </w:pPr>
      <w:r w:rsidRPr="00D9732E">
        <w:rPr>
          <w:rFonts w:cs="Arial"/>
          <w:szCs w:val="22"/>
        </w:rPr>
        <w:t>O responsável pela implementação deste programa é o empreendedor</w:t>
      </w:r>
      <w:r w:rsidR="00280D58">
        <w:rPr>
          <w:rFonts w:cs="Arial"/>
          <w:szCs w:val="22"/>
        </w:rPr>
        <w:t>.</w:t>
      </w:r>
    </w:p>
    <w:p w:rsidR="00857735" w:rsidRPr="00254F74" w:rsidRDefault="00254F74" w:rsidP="00254F74">
      <w:pPr>
        <w:pStyle w:val="Ttulo3"/>
        <w:rPr>
          <w:rFonts w:ascii="Arial Negrito" w:hAnsi="Arial Negrito"/>
          <w:bCs/>
        </w:rPr>
      </w:pPr>
      <w:bookmarkStart w:id="722" w:name="_Toc370810322"/>
      <w:bookmarkStart w:id="723" w:name="_Toc370923288"/>
      <w:bookmarkStart w:id="724" w:name="_Toc370985414"/>
      <w:bookmarkStart w:id="725" w:name="_Toc418758322"/>
      <w:bookmarkStart w:id="726" w:name="_Toc418758924"/>
      <w:bookmarkStart w:id="727" w:name="_Toc419813684"/>
      <w:r>
        <w:rPr>
          <w:rFonts w:ascii="Arial Negrito" w:hAnsi="Arial Negrito"/>
          <w:bCs/>
        </w:rPr>
        <w:t xml:space="preserve">3.2.1.13. </w:t>
      </w:r>
      <w:r w:rsidR="00857735" w:rsidRPr="00254F74">
        <w:rPr>
          <w:rFonts w:ascii="Arial Negrito" w:hAnsi="Arial Negrito"/>
          <w:bCs/>
        </w:rPr>
        <w:t>Sistema de Registros</w:t>
      </w:r>
      <w:bookmarkEnd w:id="722"/>
      <w:bookmarkEnd w:id="723"/>
      <w:bookmarkEnd w:id="724"/>
      <w:bookmarkEnd w:id="725"/>
      <w:bookmarkEnd w:id="726"/>
      <w:bookmarkEnd w:id="727"/>
    </w:p>
    <w:p w:rsidR="00401138" w:rsidRPr="00D9732E" w:rsidRDefault="00857735" w:rsidP="00280D58">
      <w:pPr>
        <w:spacing w:before="120" w:after="120" w:line="240" w:lineRule="auto"/>
        <w:rPr>
          <w:rFonts w:cs="Arial"/>
          <w:szCs w:val="22"/>
        </w:rPr>
      </w:pPr>
      <w:r w:rsidRPr="00D9732E">
        <w:rPr>
          <w:rFonts w:cs="Arial"/>
          <w:szCs w:val="22"/>
        </w:rPr>
        <w:t>Os dados coletados deverão ser analisados e consistidos, emitindo relatórios analíticos semestrais. Os dados deverão integrar o banco de dados do Programa de Gestão e Supervisão Ambiental das Obras.</w:t>
      </w:r>
    </w:p>
    <w:p w:rsidR="00857735" w:rsidRPr="00254F74" w:rsidRDefault="00254F74" w:rsidP="00254F74">
      <w:pPr>
        <w:pStyle w:val="Ttulo3"/>
        <w:rPr>
          <w:rFonts w:ascii="Arial Negrito" w:hAnsi="Arial Negrito"/>
          <w:bCs/>
        </w:rPr>
      </w:pPr>
      <w:bookmarkStart w:id="728" w:name="_Toc418758323"/>
      <w:bookmarkStart w:id="729" w:name="_Toc418758925"/>
      <w:bookmarkStart w:id="730" w:name="_Toc419813685"/>
      <w:r>
        <w:rPr>
          <w:rFonts w:ascii="Arial Negrito" w:hAnsi="Arial Negrito"/>
          <w:bCs/>
        </w:rPr>
        <w:t xml:space="preserve">3.2.1.14. </w:t>
      </w:r>
      <w:r w:rsidR="00857735" w:rsidRPr="00254F74">
        <w:rPr>
          <w:rFonts w:ascii="Arial Negrito" w:hAnsi="Arial Negrito"/>
          <w:bCs/>
        </w:rPr>
        <w:t>Referências Bibliográficas</w:t>
      </w:r>
      <w:bookmarkEnd w:id="728"/>
      <w:bookmarkEnd w:id="729"/>
      <w:bookmarkEnd w:id="730"/>
    </w:p>
    <w:p w:rsidR="00857735" w:rsidRPr="00D9732E" w:rsidRDefault="00857735" w:rsidP="008B0822">
      <w:pPr>
        <w:pStyle w:val="Item-Trainho"/>
      </w:pPr>
      <w:r w:rsidRPr="00D9732E">
        <w:t>Aproveitamento Múltiplo Santa Maria da Serra,</w:t>
      </w:r>
      <w:r w:rsidR="00B85B16">
        <w:t xml:space="preserve"> </w:t>
      </w:r>
      <w:r w:rsidRPr="00D9732E">
        <w:t>Projeto Básico, Secretaria Estadual de Logística e Transportes Departamento Hidroviário,</w:t>
      </w:r>
      <w:r w:rsidR="002C0476">
        <w:t xml:space="preserve"> </w:t>
      </w:r>
      <w:r w:rsidRPr="00D9732E">
        <w:t>2013;</w:t>
      </w:r>
    </w:p>
    <w:p w:rsidR="00857735" w:rsidRDefault="00857735" w:rsidP="008B0822">
      <w:pPr>
        <w:pStyle w:val="Item-Trainho"/>
      </w:pPr>
      <w:r w:rsidRPr="00D9732E">
        <w:t>Manual de Observação de Superfície,</w:t>
      </w:r>
      <w:r w:rsidR="00280D58">
        <w:t xml:space="preserve"> </w:t>
      </w:r>
      <w:r w:rsidRPr="00D9732E">
        <w:t>INMET,1977.</w:t>
      </w:r>
    </w:p>
    <w:p w:rsidR="008B0822" w:rsidRPr="008B0822" w:rsidRDefault="008B0822" w:rsidP="008B0822">
      <w:pPr>
        <w:pStyle w:val="Ttulo3"/>
        <w:rPr>
          <w:rFonts w:ascii="Arial Negrito" w:hAnsi="Arial Negrito"/>
          <w:bCs/>
        </w:rPr>
      </w:pPr>
      <w:bookmarkStart w:id="731" w:name="_Toc418758325"/>
      <w:bookmarkStart w:id="732" w:name="_Toc418758927"/>
      <w:bookmarkStart w:id="733" w:name="_Toc419813686"/>
      <w:bookmarkEnd w:id="652"/>
      <w:r>
        <w:rPr>
          <w:rFonts w:ascii="Arial Negrito" w:hAnsi="Arial Negrito"/>
          <w:bCs/>
        </w:rPr>
        <w:t>3.3.</w:t>
      </w:r>
      <w:r w:rsidR="008604C1">
        <w:rPr>
          <w:rFonts w:ascii="Arial Negrito" w:hAnsi="Arial Negrito"/>
          <w:bCs/>
        </w:rPr>
        <w:t>2</w:t>
      </w:r>
      <w:r>
        <w:rPr>
          <w:rFonts w:ascii="Arial Negrito" w:hAnsi="Arial Negrito"/>
          <w:bCs/>
        </w:rPr>
        <w:t xml:space="preserve">. </w:t>
      </w:r>
      <w:r w:rsidR="00FF206A" w:rsidRPr="008B0822">
        <w:rPr>
          <w:rFonts w:ascii="Arial Negrito" w:hAnsi="Arial Negrito"/>
          <w:bCs/>
        </w:rPr>
        <w:t>Programa de Monitoramento Hidrológico</w:t>
      </w:r>
      <w:bookmarkEnd w:id="731"/>
      <w:bookmarkEnd w:id="732"/>
      <w:bookmarkEnd w:id="733"/>
    </w:p>
    <w:p w:rsidR="002C0476" w:rsidRPr="008B0822" w:rsidRDefault="008B0822" w:rsidP="008B0822">
      <w:pPr>
        <w:pStyle w:val="Ttulo3"/>
        <w:rPr>
          <w:rFonts w:ascii="Arial Negrito" w:hAnsi="Arial Negrito"/>
          <w:bCs/>
        </w:rPr>
      </w:pPr>
      <w:bookmarkStart w:id="734" w:name="_Toc418758327"/>
      <w:bookmarkStart w:id="735" w:name="_Toc418758929"/>
      <w:bookmarkStart w:id="736" w:name="_Toc419813687"/>
      <w:r>
        <w:rPr>
          <w:rFonts w:ascii="Arial Negrito" w:hAnsi="Arial Negrito"/>
          <w:bCs/>
        </w:rPr>
        <w:t xml:space="preserve">3.3.2.1. </w:t>
      </w:r>
      <w:r w:rsidR="002C0476" w:rsidRPr="008B0822">
        <w:rPr>
          <w:rFonts w:ascii="Arial Negrito" w:hAnsi="Arial Negrito"/>
          <w:bCs/>
        </w:rPr>
        <w:t>Apresentação e Justificativa</w:t>
      </w:r>
      <w:bookmarkEnd w:id="734"/>
      <w:bookmarkEnd w:id="735"/>
      <w:bookmarkEnd w:id="736"/>
    </w:p>
    <w:p w:rsidR="002C0476" w:rsidRPr="00D92458" w:rsidRDefault="002C0476" w:rsidP="002C0476">
      <w:pPr>
        <w:pStyle w:val="Corpodetexto"/>
        <w:rPr>
          <w:rFonts w:cs="Arial"/>
          <w:szCs w:val="22"/>
        </w:rPr>
      </w:pPr>
      <w:r w:rsidRPr="00D92458">
        <w:rPr>
          <w:rFonts w:cs="Arial"/>
          <w:szCs w:val="22"/>
        </w:rPr>
        <w:t>O monitoramento dos níveis e vazões tem por finalidade registrar as variações, tanto espaciais como temporais que ocorrerão nos reservatórios das Barragens Pedreira e Duas Pontes, como no trecho de jusante das barragens.</w:t>
      </w:r>
    </w:p>
    <w:p w:rsidR="002C0476" w:rsidRDefault="002C0476" w:rsidP="002C0476">
      <w:pPr>
        <w:pStyle w:val="Corpodetexto"/>
        <w:rPr>
          <w:rFonts w:cs="Arial"/>
          <w:szCs w:val="22"/>
        </w:rPr>
      </w:pPr>
      <w:r w:rsidRPr="00D92458">
        <w:rPr>
          <w:rFonts w:cs="Arial"/>
          <w:szCs w:val="22"/>
        </w:rPr>
        <w:t xml:space="preserve">Dessa forma, será possível estabelecer com maior precisão a extensão das superfícies inundadas em função das vazões afluentes e do nível d’água na barragem. Durante a fase de operação, esse monitoramento será de vital importância para a determinação precisa das áreas inundadas e avaliação dos volumes do reservatório. </w:t>
      </w:r>
    </w:p>
    <w:p w:rsidR="002C0476" w:rsidRPr="008B0822" w:rsidRDefault="008B0822" w:rsidP="008B0822">
      <w:pPr>
        <w:pStyle w:val="Ttulo3"/>
        <w:rPr>
          <w:rFonts w:ascii="Arial Negrito" w:hAnsi="Arial Negrito"/>
          <w:bCs/>
        </w:rPr>
      </w:pPr>
      <w:bookmarkStart w:id="737" w:name="_Toc418758328"/>
      <w:bookmarkStart w:id="738" w:name="_Toc418758930"/>
      <w:bookmarkStart w:id="739" w:name="_Toc419813688"/>
      <w:r>
        <w:rPr>
          <w:rFonts w:ascii="Arial Negrito" w:hAnsi="Arial Negrito"/>
          <w:bCs/>
        </w:rPr>
        <w:t xml:space="preserve">3.3.2.2. </w:t>
      </w:r>
      <w:r w:rsidR="002C0476" w:rsidRPr="008B0822">
        <w:rPr>
          <w:rFonts w:ascii="Arial Negrito" w:hAnsi="Arial Negrito"/>
          <w:bCs/>
        </w:rPr>
        <w:t>Objetivos</w:t>
      </w:r>
      <w:bookmarkEnd w:id="737"/>
      <w:bookmarkEnd w:id="738"/>
      <w:bookmarkEnd w:id="739"/>
    </w:p>
    <w:p w:rsidR="002C0476" w:rsidRDefault="002C0476" w:rsidP="002C0476">
      <w:pPr>
        <w:pStyle w:val="Corpodetexto"/>
        <w:rPr>
          <w:rFonts w:cs="Arial"/>
          <w:szCs w:val="22"/>
        </w:rPr>
      </w:pPr>
      <w:r w:rsidRPr="00D92458">
        <w:rPr>
          <w:rFonts w:cs="Arial"/>
          <w:szCs w:val="22"/>
        </w:rPr>
        <w:t xml:space="preserve">O objetivo deste monitoramento é permitir uma avaliação mais detalhada da superfície inundada nos trechos do rio Jaguari e Camanducaia, no trecho de montante das barragens, onde, devido aos efeitos de remanso no reservatório, verifica-se uma variabilidade nas superfícies de inundação, em função das condições de escoamento. </w:t>
      </w:r>
    </w:p>
    <w:p w:rsidR="002C0476" w:rsidRDefault="002C0476" w:rsidP="002C0476">
      <w:pPr>
        <w:pStyle w:val="Corpodetexto"/>
        <w:rPr>
          <w:rFonts w:cs="Arial"/>
          <w:szCs w:val="22"/>
        </w:rPr>
      </w:pPr>
      <w:r w:rsidRPr="00D92458">
        <w:rPr>
          <w:rFonts w:cs="Arial"/>
          <w:szCs w:val="22"/>
        </w:rPr>
        <w:t xml:space="preserve">Avaliar as afluências ao reservatório, a partir de medições de vazões líquidas em postos situados fora da área de remanso. </w:t>
      </w:r>
    </w:p>
    <w:p w:rsidR="002C0476" w:rsidRPr="00D92458" w:rsidRDefault="002C0476" w:rsidP="002C0476">
      <w:pPr>
        <w:pStyle w:val="Corpodetexto"/>
        <w:rPr>
          <w:rFonts w:cs="Arial"/>
          <w:szCs w:val="22"/>
        </w:rPr>
      </w:pPr>
      <w:r w:rsidRPr="00D92458">
        <w:rPr>
          <w:rFonts w:cs="Arial"/>
          <w:szCs w:val="22"/>
        </w:rPr>
        <w:t>Avaliação das defluências das barragens com a implantação de um posto fluviométrico a jusante, de forma a acompanhar a variação dos níveis e vazões.</w:t>
      </w:r>
    </w:p>
    <w:p w:rsidR="002C0476" w:rsidRPr="008B0822" w:rsidRDefault="008B0822" w:rsidP="008B0822">
      <w:pPr>
        <w:pStyle w:val="Ttulo3"/>
        <w:rPr>
          <w:rFonts w:ascii="Arial Negrito" w:hAnsi="Arial Negrito"/>
          <w:bCs/>
        </w:rPr>
      </w:pPr>
      <w:bookmarkStart w:id="740" w:name="_Toc418758329"/>
      <w:bookmarkStart w:id="741" w:name="_Toc418758931"/>
      <w:bookmarkStart w:id="742" w:name="_Toc419813689"/>
      <w:r>
        <w:rPr>
          <w:rFonts w:ascii="Arial Negrito" w:hAnsi="Arial Negrito"/>
          <w:bCs/>
        </w:rPr>
        <w:t xml:space="preserve">3.3.2.3. </w:t>
      </w:r>
      <w:r w:rsidR="002C0476" w:rsidRPr="008B0822">
        <w:rPr>
          <w:rFonts w:ascii="Arial Negrito" w:hAnsi="Arial Negrito"/>
          <w:bCs/>
        </w:rPr>
        <w:t>Metas</w:t>
      </w:r>
      <w:bookmarkEnd w:id="740"/>
      <w:bookmarkEnd w:id="741"/>
      <w:bookmarkEnd w:id="742"/>
    </w:p>
    <w:p w:rsidR="002C0476" w:rsidRPr="00D92458" w:rsidRDefault="002C0476" w:rsidP="002C0476">
      <w:pPr>
        <w:pStyle w:val="Bolinha"/>
        <w:rPr>
          <w:rFonts w:ascii="Arial" w:hAnsi="Arial"/>
          <w:sz w:val="22"/>
        </w:rPr>
      </w:pPr>
      <w:r w:rsidRPr="00D92458">
        <w:rPr>
          <w:rFonts w:ascii="Arial" w:hAnsi="Arial"/>
          <w:sz w:val="22"/>
        </w:rPr>
        <w:t>Instalações de Réguas Limnimétricas e de Limnígrafos nas Barragens</w:t>
      </w:r>
    </w:p>
    <w:p w:rsidR="002C0476" w:rsidRPr="00D92458" w:rsidRDefault="002C0476" w:rsidP="0058538A">
      <w:pPr>
        <w:pStyle w:val="Corpodetexto"/>
        <w:rPr>
          <w:rFonts w:cs="Arial"/>
          <w:szCs w:val="22"/>
        </w:rPr>
      </w:pPr>
      <w:r w:rsidRPr="00D92458">
        <w:rPr>
          <w:rFonts w:cs="Arial"/>
          <w:szCs w:val="22"/>
        </w:rPr>
        <w:t xml:space="preserve">Para acompanhamento da variação dos níveis d’água, prevê-se, a instalação de réguas limnimétricas, ao longo dos reservatórios </w:t>
      </w:r>
      <w:r w:rsidR="00B85B16">
        <w:rPr>
          <w:rFonts w:cs="Arial"/>
          <w:szCs w:val="22"/>
        </w:rPr>
        <w:t>das B</w:t>
      </w:r>
      <w:r w:rsidR="0058538A">
        <w:rPr>
          <w:rFonts w:cs="Arial"/>
          <w:szCs w:val="22"/>
        </w:rPr>
        <w:t xml:space="preserve">arragens </w:t>
      </w:r>
      <w:r w:rsidRPr="00D92458">
        <w:rPr>
          <w:rFonts w:cs="Arial"/>
          <w:szCs w:val="22"/>
        </w:rPr>
        <w:t>Pedreira e Duas Pontes.</w:t>
      </w:r>
    </w:p>
    <w:p w:rsidR="002C0476" w:rsidRPr="00D92458" w:rsidRDefault="002C0476" w:rsidP="0058538A">
      <w:pPr>
        <w:pStyle w:val="Corpodetexto"/>
        <w:rPr>
          <w:rFonts w:cs="Arial"/>
          <w:szCs w:val="22"/>
        </w:rPr>
      </w:pPr>
      <w:r w:rsidRPr="00D92458">
        <w:rPr>
          <w:rFonts w:cs="Arial"/>
          <w:szCs w:val="22"/>
        </w:rPr>
        <w:t>Afora os postos aqui previstos, prevê-se também a instalação de limnígrafos nos reservatório</w:t>
      </w:r>
      <w:r w:rsidR="0058538A">
        <w:rPr>
          <w:rFonts w:cs="Arial"/>
          <w:szCs w:val="22"/>
        </w:rPr>
        <w:t xml:space="preserve">s, junto ao corpo de cada </w:t>
      </w:r>
      <w:r w:rsidRPr="00D92458">
        <w:rPr>
          <w:rFonts w:cs="Arial"/>
          <w:szCs w:val="22"/>
        </w:rPr>
        <w:t>barragem.</w:t>
      </w:r>
    </w:p>
    <w:p w:rsidR="002C0476" w:rsidRDefault="002C0476" w:rsidP="002C0476">
      <w:pPr>
        <w:pStyle w:val="Corpodetexto"/>
        <w:rPr>
          <w:rFonts w:cs="Arial"/>
          <w:szCs w:val="22"/>
        </w:rPr>
      </w:pPr>
      <w:r w:rsidRPr="00D92458">
        <w:rPr>
          <w:rFonts w:cs="Arial"/>
          <w:szCs w:val="22"/>
        </w:rPr>
        <w:t>Os postos limnimétricos deverão estar instalados até o início do enchimento dos reservatórios e os limnígrafos logo após a conclusão da fase de enchimento.</w:t>
      </w:r>
    </w:p>
    <w:p w:rsidR="00E379BE" w:rsidRDefault="00E379BE" w:rsidP="00E379BE">
      <w:pPr>
        <w:pStyle w:val="Bolinha"/>
        <w:rPr>
          <w:rFonts w:ascii="Arial" w:hAnsi="Arial"/>
          <w:sz w:val="22"/>
        </w:rPr>
      </w:pPr>
      <w:r>
        <w:rPr>
          <w:rFonts w:ascii="Arial" w:hAnsi="Arial"/>
          <w:sz w:val="22"/>
        </w:rPr>
        <w:t>Implantação de Postos Fluviométricos</w:t>
      </w:r>
    </w:p>
    <w:p w:rsidR="00E379BE" w:rsidRPr="00E379BE" w:rsidRDefault="00E379BE" w:rsidP="00E379BE">
      <w:pPr>
        <w:pStyle w:val="Corpodetexto"/>
        <w:rPr>
          <w:rFonts w:cs="Arial"/>
          <w:szCs w:val="22"/>
        </w:rPr>
      </w:pPr>
      <w:r w:rsidRPr="00E379BE">
        <w:rPr>
          <w:rFonts w:cs="Arial"/>
          <w:szCs w:val="22"/>
        </w:rPr>
        <w:t>Definição de Curvas Chave para acompanhamento das vazões afluentes aos reservatórios.</w:t>
      </w:r>
    </w:p>
    <w:p w:rsidR="002C0476" w:rsidRPr="008B0822" w:rsidRDefault="008B0822" w:rsidP="008B0822">
      <w:pPr>
        <w:pStyle w:val="Ttulo3"/>
        <w:rPr>
          <w:rFonts w:ascii="Arial Negrito" w:hAnsi="Arial Negrito"/>
          <w:bCs/>
        </w:rPr>
      </w:pPr>
      <w:bookmarkStart w:id="743" w:name="_Toc418758330"/>
      <w:bookmarkStart w:id="744" w:name="_Toc418758932"/>
      <w:bookmarkStart w:id="745" w:name="_Toc419813690"/>
      <w:r>
        <w:rPr>
          <w:rFonts w:ascii="Arial Negrito" w:hAnsi="Arial Negrito"/>
          <w:bCs/>
        </w:rPr>
        <w:t xml:space="preserve">3.3.2.4. </w:t>
      </w:r>
      <w:r w:rsidR="002C0476" w:rsidRPr="008B0822">
        <w:rPr>
          <w:rFonts w:ascii="Arial Negrito" w:hAnsi="Arial Negrito"/>
          <w:bCs/>
        </w:rPr>
        <w:t>Público Alvo</w:t>
      </w:r>
      <w:bookmarkEnd w:id="743"/>
      <w:bookmarkEnd w:id="744"/>
      <w:bookmarkEnd w:id="745"/>
    </w:p>
    <w:p w:rsidR="002C0476" w:rsidRPr="00D92458" w:rsidRDefault="002C0476" w:rsidP="0058538A">
      <w:pPr>
        <w:spacing w:line="240" w:lineRule="auto"/>
        <w:rPr>
          <w:rFonts w:cs="Arial"/>
          <w:szCs w:val="22"/>
        </w:rPr>
      </w:pPr>
      <w:r w:rsidRPr="00D92458">
        <w:rPr>
          <w:rFonts w:cs="Arial"/>
          <w:szCs w:val="22"/>
        </w:rPr>
        <w:t xml:space="preserve">A comunidade em geral, e os empreendimentos em particular, pela disponibilização de informações hidrológicas dos dois barramentos. </w:t>
      </w:r>
    </w:p>
    <w:p w:rsidR="002C0476" w:rsidRPr="008B0822" w:rsidRDefault="008B0822" w:rsidP="008B0822">
      <w:pPr>
        <w:pStyle w:val="Ttulo3"/>
        <w:rPr>
          <w:rFonts w:ascii="Arial Negrito" w:hAnsi="Arial Negrito"/>
          <w:bCs/>
        </w:rPr>
      </w:pPr>
      <w:bookmarkStart w:id="746" w:name="_Toc418758331"/>
      <w:bookmarkStart w:id="747" w:name="_Toc418758933"/>
      <w:bookmarkStart w:id="748" w:name="_Toc419813691"/>
      <w:r>
        <w:rPr>
          <w:rFonts w:ascii="Arial Negrito" w:hAnsi="Arial Negrito"/>
          <w:bCs/>
        </w:rPr>
        <w:t xml:space="preserve">3.3.2.5. </w:t>
      </w:r>
      <w:r w:rsidR="002C0476" w:rsidRPr="008B0822">
        <w:rPr>
          <w:rFonts w:ascii="Arial Negrito" w:hAnsi="Arial Negrito"/>
          <w:bCs/>
        </w:rPr>
        <w:t>Procedimentos</w:t>
      </w:r>
      <w:bookmarkEnd w:id="746"/>
      <w:bookmarkEnd w:id="747"/>
      <w:bookmarkEnd w:id="748"/>
    </w:p>
    <w:p w:rsidR="002C0476" w:rsidRPr="00D92458" w:rsidRDefault="002C0476" w:rsidP="002C0476">
      <w:pPr>
        <w:pStyle w:val="Corpodetexto"/>
        <w:rPr>
          <w:rFonts w:cs="Arial"/>
          <w:szCs w:val="22"/>
        </w:rPr>
      </w:pPr>
      <w:r w:rsidRPr="00D92458">
        <w:rPr>
          <w:rFonts w:cs="Arial"/>
          <w:szCs w:val="22"/>
        </w:rPr>
        <w:t xml:space="preserve">Para monitorar a afluência da água ao reservatório e a efluência para jusante das barragens deverão ser instalados postos fluviométricos para realizar as respectivas medições.  </w:t>
      </w:r>
    </w:p>
    <w:p w:rsidR="002C0476" w:rsidRPr="00656EA3" w:rsidRDefault="002C0476" w:rsidP="00656EA3">
      <w:pPr>
        <w:pStyle w:val="Item-Bolinha"/>
        <w:rPr>
          <w:i/>
        </w:rPr>
      </w:pPr>
      <w:r w:rsidRPr="00656EA3">
        <w:rPr>
          <w:i/>
        </w:rPr>
        <w:t>Postos Fluviométricos de Montante</w:t>
      </w:r>
    </w:p>
    <w:p w:rsidR="002C0476" w:rsidRPr="00D92458" w:rsidRDefault="002C0476" w:rsidP="002C0476">
      <w:pPr>
        <w:pStyle w:val="Corpodetexto"/>
        <w:rPr>
          <w:rFonts w:cs="Arial"/>
          <w:szCs w:val="22"/>
        </w:rPr>
      </w:pPr>
      <w:r w:rsidRPr="00D92458">
        <w:rPr>
          <w:rFonts w:cs="Arial"/>
          <w:szCs w:val="22"/>
        </w:rPr>
        <w:t>Prevê-se a implantação de postos fluviométricos a montante dos reservatórios, fora de sua área de influência. Estes postos serão chave para definição das afluências aos reservatórios e cálculo de seu balanço hídrico.</w:t>
      </w:r>
    </w:p>
    <w:p w:rsidR="002C0476" w:rsidRPr="00656EA3" w:rsidRDefault="002C0476" w:rsidP="00656EA3">
      <w:pPr>
        <w:pStyle w:val="Item-Bolinha"/>
        <w:rPr>
          <w:i/>
        </w:rPr>
      </w:pPr>
      <w:r w:rsidRPr="00656EA3">
        <w:rPr>
          <w:i/>
        </w:rPr>
        <w:t>Postos Fluviométricos a Jusante</w:t>
      </w:r>
    </w:p>
    <w:p w:rsidR="002C0476" w:rsidRPr="00D92458" w:rsidRDefault="002C0476" w:rsidP="002C0476">
      <w:pPr>
        <w:pStyle w:val="Corpodetexto"/>
        <w:rPr>
          <w:rFonts w:cs="Arial"/>
          <w:szCs w:val="22"/>
        </w:rPr>
      </w:pPr>
      <w:r w:rsidRPr="00D92458">
        <w:rPr>
          <w:rFonts w:cs="Arial"/>
          <w:szCs w:val="22"/>
        </w:rPr>
        <w:t>Implantação de um posto fluviométrico a jusante de cada barragem de forma a quantificar as suas defluências, levando-se em conta o efeito de regularização neste trecho.</w:t>
      </w:r>
    </w:p>
    <w:p w:rsidR="002C0476" w:rsidRPr="00656EA3" w:rsidRDefault="002C0476" w:rsidP="00656EA3">
      <w:pPr>
        <w:pStyle w:val="Item-Bolinha"/>
        <w:rPr>
          <w:i/>
        </w:rPr>
      </w:pPr>
      <w:r w:rsidRPr="00656EA3">
        <w:rPr>
          <w:i/>
        </w:rPr>
        <w:t>Instalações de Réguas Limnimétricas e do Limnígrafo da Barragem</w:t>
      </w:r>
    </w:p>
    <w:p w:rsidR="002C0476" w:rsidRPr="00D92458" w:rsidRDefault="002C0476" w:rsidP="002C0476">
      <w:pPr>
        <w:pStyle w:val="Corpodetexto"/>
        <w:rPr>
          <w:rFonts w:cs="Arial"/>
          <w:szCs w:val="22"/>
        </w:rPr>
      </w:pPr>
      <w:r w:rsidRPr="00D92458">
        <w:rPr>
          <w:rFonts w:cs="Arial"/>
          <w:szCs w:val="22"/>
        </w:rPr>
        <w:t>Para acompanhamento da variação dos níveis d’água, prevê-se, caso necessário, a instalação de réguas limnimétricas complementares, ao longo do reservatório, nos rios Jaguari e Camanducaia.</w:t>
      </w:r>
    </w:p>
    <w:p w:rsidR="002C0476" w:rsidRPr="00D92458" w:rsidRDefault="002C0476" w:rsidP="002C0476">
      <w:pPr>
        <w:pStyle w:val="Corpodetexto"/>
        <w:rPr>
          <w:rFonts w:cs="Arial"/>
          <w:szCs w:val="22"/>
        </w:rPr>
      </w:pPr>
      <w:r w:rsidRPr="00D92458">
        <w:rPr>
          <w:rFonts w:cs="Arial"/>
          <w:szCs w:val="22"/>
        </w:rPr>
        <w:t>Afora os postos aqui previstos, prevê-se também a instalação de um limnígrafo nas barragens, junto à estrutura principal.</w:t>
      </w:r>
    </w:p>
    <w:p w:rsidR="002C0476" w:rsidRPr="00D92458" w:rsidRDefault="002C0476" w:rsidP="002C0476">
      <w:pPr>
        <w:pStyle w:val="Corpodetexto"/>
        <w:rPr>
          <w:rFonts w:cs="Arial"/>
          <w:szCs w:val="22"/>
        </w:rPr>
      </w:pPr>
      <w:r w:rsidRPr="00D92458">
        <w:rPr>
          <w:rFonts w:cs="Arial"/>
          <w:szCs w:val="22"/>
        </w:rPr>
        <w:t>O posto limnigráfico e os postos limnimétricos deverão estar instalados antes do início do enchimento dos reservatórios.</w:t>
      </w:r>
    </w:p>
    <w:p w:rsidR="002C0476" w:rsidRPr="00656EA3" w:rsidRDefault="002C0476" w:rsidP="00656EA3">
      <w:pPr>
        <w:pStyle w:val="Item-Bolinha"/>
        <w:rPr>
          <w:b/>
          <w:i/>
        </w:rPr>
      </w:pPr>
      <w:r w:rsidRPr="00656EA3">
        <w:rPr>
          <w:i/>
        </w:rPr>
        <w:t>Monitoramento dos Postos</w:t>
      </w:r>
    </w:p>
    <w:p w:rsidR="002C0476" w:rsidRPr="00D92458" w:rsidRDefault="002C0476" w:rsidP="002C0476">
      <w:pPr>
        <w:pStyle w:val="Corpodetexto"/>
        <w:rPr>
          <w:rFonts w:cs="Arial"/>
          <w:szCs w:val="22"/>
        </w:rPr>
      </w:pPr>
      <w:r w:rsidRPr="00D92458">
        <w:rPr>
          <w:rFonts w:cs="Arial"/>
          <w:szCs w:val="22"/>
        </w:rPr>
        <w:t xml:space="preserve">Sugere-se para as réguas limnimétricas, que o registro de níveis, mesmo que manual, acompanhe o ritmo de enchimento do reservatório, de forma a se levantar as superfícies de inundação durante as operações de resgate da fauna e acompanhamento dos limites da área inundada. Para a fase de operação, deverão ser alvo de leituras diárias feitas por observador local, segundo procedimento usual de duas leituras diárias, as 7 e às 17 horas. </w:t>
      </w:r>
    </w:p>
    <w:p w:rsidR="002C0476" w:rsidRPr="00D92458" w:rsidRDefault="002C0476" w:rsidP="002C0476">
      <w:pPr>
        <w:pStyle w:val="Corpodetexto"/>
        <w:rPr>
          <w:rFonts w:cs="Arial"/>
          <w:szCs w:val="22"/>
        </w:rPr>
      </w:pPr>
      <w:r w:rsidRPr="00D92458">
        <w:rPr>
          <w:rFonts w:cs="Arial"/>
          <w:szCs w:val="22"/>
        </w:rPr>
        <w:t xml:space="preserve">A coleta de dados e a manutenção dos postos limnimétricos, do posto limnigráfico e dos postos fluviométricos, deverão ser realizadas por uma equipe de hidrometeorologia, dentro da estrutura da operação das barragens. </w:t>
      </w:r>
    </w:p>
    <w:p w:rsidR="002C0476" w:rsidRPr="00D92458" w:rsidRDefault="002C0476" w:rsidP="002C0476">
      <w:pPr>
        <w:pStyle w:val="Corpodetexto"/>
        <w:rPr>
          <w:rFonts w:cs="Arial"/>
          <w:szCs w:val="22"/>
        </w:rPr>
      </w:pPr>
      <w:r w:rsidRPr="00D92458">
        <w:rPr>
          <w:rFonts w:cs="Arial"/>
          <w:szCs w:val="22"/>
        </w:rPr>
        <w:t xml:space="preserve">Recomenda-se que os dados dos postos limnimétricos, do posto limnigráfico e dos postos fluviométricos sejam analisados, consistidos e processados pela equipe de operação do aproveitamento. </w:t>
      </w:r>
    </w:p>
    <w:p w:rsidR="002C0476" w:rsidRPr="00D92458" w:rsidRDefault="002C0476" w:rsidP="002C0476">
      <w:pPr>
        <w:pStyle w:val="Corpodetexto"/>
        <w:rPr>
          <w:rFonts w:cs="Arial"/>
          <w:szCs w:val="22"/>
        </w:rPr>
      </w:pPr>
      <w:r w:rsidRPr="00D92458">
        <w:rPr>
          <w:rFonts w:cs="Arial"/>
          <w:szCs w:val="22"/>
        </w:rPr>
        <w:t>Após o procedimento usual de consistência, análise e processamento, os resultados deverão ser armazenados em banco</w:t>
      </w:r>
      <w:r w:rsidR="0058538A">
        <w:rPr>
          <w:rFonts w:cs="Arial"/>
          <w:szCs w:val="22"/>
        </w:rPr>
        <w:t xml:space="preserve"> de dados junto às barragens </w:t>
      </w:r>
      <w:r w:rsidRPr="00D92458">
        <w:rPr>
          <w:rFonts w:cs="Arial"/>
          <w:szCs w:val="22"/>
        </w:rPr>
        <w:t>Pedreira e Duas Pontes. Os dados a serem considerados serão os seguintes:</w:t>
      </w:r>
    </w:p>
    <w:p w:rsidR="002C0476" w:rsidRPr="00D92458" w:rsidRDefault="002C0476" w:rsidP="00656EA3">
      <w:pPr>
        <w:pStyle w:val="Item-Bolinha"/>
      </w:pPr>
      <w:r w:rsidRPr="00D92458">
        <w:t xml:space="preserve">posto limnigráfico: armazenamento dos níveis d’água a cada 1 hora; </w:t>
      </w:r>
    </w:p>
    <w:p w:rsidR="002C0476" w:rsidRPr="00D92458" w:rsidRDefault="002C0476" w:rsidP="00656EA3">
      <w:pPr>
        <w:pStyle w:val="Item-Bolinha"/>
      </w:pPr>
      <w:r w:rsidRPr="00D92458">
        <w:t>posto limnimétrico: armazenamento das duas leituras diárias (7 e 17 horas);</w:t>
      </w:r>
    </w:p>
    <w:p w:rsidR="002C0476" w:rsidRPr="00D92458" w:rsidRDefault="002C0476" w:rsidP="00656EA3">
      <w:pPr>
        <w:pStyle w:val="Item-Bolinha"/>
      </w:pPr>
      <w:r w:rsidRPr="00D92458">
        <w:t>posto fluviométrico: armazenamento das planilhas de medições de descargas líquidas.</w:t>
      </w:r>
    </w:p>
    <w:p w:rsidR="002C0476" w:rsidRPr="00D92458" w:rsidRDefault="002C0476" w:rsidP="002C0476">
      <w:pPr>
        <w:pStyle w:val="Corpodetexto"/>
        <w:spacing w:after="0"/>
        <w:rPr>
          <w:rFonts w:cs="Arial"/>
          <w:szCs w:val="22"/>
        </w:rPr>
      </w:pPr>
      <w:r w:rsidRPr="00D92458">
        <w:rPr>
          <w:rFonts w:cs="Arial"/>
          <w:szCs w:val="22"/>
        </w:rPr>
        <w:t xml:space="preserve">Os dados oriundos do monitoramento dos níveis e vazões das barragens serão utilizados para subsidiar as seguintes atividades: </w:t>
      </w:r>
    </w:p>
    <w:p w:rsidR="002C0476" w:rsidRPr="00656EA3" w:rsidRDefault="002C0476" w:rsidP="00656EA3">
      <w:pPr>
        <w:pStyle w:val="Item-Trainho"/>
      </w:pPr>
      <w:r w:rsidRPr="00656EA3">
        <w:t>determinação mais precisa da disponibilidade hídrica do reservatório durante a fase de operação (cálculo do volume em função dos níveis d’água);</w:t>
      </w:r>
    </w:p>
    <w:p w:rsidR="002C0476" w:rsidRPr="00656EA3" w:rsidRDefault="002C0476" w:rsidP="00656EA3">
      <w:pPr>
        <w:pStyle w:val="Item-Trainho"/>
      </w:pPr>
      <w:r w:rsidRPr="00656EA3">
        <w:t>determinação mais precisa dos limites da área de inundação;</w:t>
      </w:r>
    </w:p>
    <w:p w:rsidR="002C0476" w:rsidRPr="00656EA3" w:rsidRDefault="002C0476" w:rsidP="00656EA3">
      <w:pPr>
        <w:pStyle w:val="Item-Trainho"/>
      </w:pPr>
      <w:r w:rsidRPr="00656EA3">
        <w:t>monitoramento da variação de níveis e vazões a montante e jusante da barragem;</w:t>
      </w:r>
    </w:p>
    <w:p w:rsidR="002C0476" w:rsidRPr="0058538A" w:rsidRDefault="002C0476" w:rsidP="00656EA3">
      <w:pPr>
        <w:pStyle w:val="Item-Trainho"/>
        <w:rPr>
          <w:rFonts w:cs="Arial"/>
          <w:szCs w:val="22"/>
        </w:rPr>
      </w:pPr>
      <w:r w:rsidRPr="00656EA3">
        <w:t>estudos sobre a influência da operação das barragens e a variação de níveis d’água a jusante</w:t>
      </w:r>
      <w:r w:rsidRPr="0058538A">
        <w:t xml:space="preserve">. </w:t>
      </w:r>
    </w:p>
    <w:p w:rsidR="002C0476" w:rsidRPr="008B0822" w:rsidRDefault="008B0822" w:rsidP="008B0822">
      <w:pPr>
        <w:pStyle w:val="Ttulo3"/>
        <w:rPr>
          <w:rFonts w:ascii="Arial Negrito" w:hAnsi="Arial Negrito"/>
          <w:bCs/>
        </w:rPr>
      </w:pPr>
      <w:bookmarkStart w:id="749" w:name="_Toc418758332"/>
      <w:bookmarkStart w:id="750" w:name="_Toc418758934"/>
      <w:bookmarkStart w:id="751" w:name="_Toc419813692"/>
      <w:r>
        <w:rPr>
          <w:rFonts w:ascii="Arial Negrito" w:hAnsi="Arial Negrito"/>
          <w:bCs/>
        </w:rPr>
        <w:t xml:space="preserve">3.3.2.6. </w:t>
      </w:r>
      <w:r w:rsidR="002C0476" w:rsidRPr="008B0822">
        <w:rPr>
          <w:rFonts w:ascii="Arial Negrito" w:hAnsi="Arial Negrito"/>
          <w:bCs/>
        </w:rPr>
        <w:t>Indicadores Ambientais</w:t>
      </w:r>
      <w:bookmarkEnd w:id="749"/>
      <w:bookmarkEnd w:id="750"/>
      <w:bookmarkEnd w:id="751"/>
    </w:p>
    <w:p w:rsidR="002C0476" w:rsidRPr="0058538A" w:rsidRDefault="002C0476" w:rsidP="0058538A">
      <w:pPr>
        <w:pStyle w:val="Corpodetexto"/>
        <w:rPr>
          <w:rFonts w:cs="Arial"/>
          <w:szCs w:val="22"/>
        </w:rPr>
      </w:pPr>
      <w:r w:rsidRPr="0058538A">
        <w:rPr>
          <w:rFonts w:cs="Arial"/>
          <w:szCs w:val="22"/>
        </w:rPr>
        <w:t xml:space="preserve">Como indicadores da qualidade ambiental serão utilizados os parâmetros que permitam prever as possíveis alterações nas vazões e, consequentemente, nos níveis de </w:t>
      </w:r>
      <w:r w:rsidR="0058538A" w:rsidRPr="0058538A">
        <w:rPr>
          <w:rFonts w:cs="Arial"/>
          <w:szCs w:val="22"/>
        </w:rPr>
        <w:t>água</w:t>
      </w:r>
      <w:r w:rsidRPr="0058538A">
        <w:rPr>
          <w:rFonts w:cs="Arial"/>
          <w:szCs w:val="22"/>
        </w:rPr>
        <w:t xml:space="preserve"> dos rios Jaguari e Camanducaia e nos reservatórios, de forma a poder estabelecer, com antecedência e com maior precisão, a extensão das superfícies inundadas pela formação dos remansos. </w:t>
      </w:r>
    </w:p>
    <w:p w:rsidR="002C0476" w:rsidRPr="008B0822" w:rsidRDefault="008B0822" w:rsidP="008B0822">
      <w:pPr>
        <w:pStyle w:val="Ttulo3"/>
        <w:rPr>
          <w:rFonts w:ascii="Arial Negrito" w:hAnsi="Arial Negrito"/>
          <w:bCs/>
        </w:rPr>
      </w:pPr>
      <w:bookmarkStart w:id="752" w:name="_Toc418758333"/>
      <w:bookmarkStart w:id="753" w:name="_Toc418758935"/>
      <w:bookmarkStart w:id="754" w:name="_Toc419813693"/>
      <w:r>
        <w:rPr>
          <w:rFonts w:ascii="Arial Negrito" w:hAnsi="Arial Negrito"/>
          <w:bCs/>
        </w:rPr>
        <w:t xml:space="preserve">3.3.2.7. </w:t>
      </w:r>
      <w:r w:rsidR="002C0476" w:rsidRPr="008B0822">
        <w:rPr>
          <w:rFonts w:ascii="Arial Negrito" w:hAnsi="Arial Negrito"/>
          <w:bCs/>
        </w:rPr>
        <w:t>Recursos Materiais e Humanos</w:t>
      </w:r>
      <w:bookmarkEnd w:id="752"/>
      <w:bookmarkEnd w:id="753"/>
      <w:bookmarkEnd w:id="754"/>
    </w:p>
    <w:p w:rsidR="002C0476" w:rsidRDefault="002C0476" w:rsidP="0058538A">
      <w:pPr>
        <w:pStyle w:val="Corpodetexto"/>
        <w:rPr>
          <w:rFonts w:cs="Arial"/>
          <w:szCs w:val="22"/>
        </w:rPr>
      </w:pPr>
      <w:r w:rsidRPr="00D92458">
        <w:rPr>
          <w:rFonts w:cs="Arial"/>
          <w:szCs w:val="22"/>
        </w:rPr>
        <w:t>Para implantação, operação e consistência dos dados hidrométricos, sugere-se a disponibilização dos equipamentos e recursos humanos listados a seguir:</w:t>
      </w:r>
    </w:p>
    <w:p w:rsidR="00A150D4" w:rsidRPr="00901552" w:rsidRDefault="00A150D4" w:rsidP="00431A97">
      <w:pPr>
        <w:pStyle w:val="Bolinha"/>
        <w:numPr>
          <w:ilvl w:val="0"/>
          <w:numId w:val="47"/>
        </w:numPr>
        <w:rPr>
          <w:rFonts w:ascii="Arial" w:hAnsi="Arial"/>
          <w:sz w:val="22"/>
        </w:rPr>
      </w:pPr>
      <w:r w:rsidRPr="00901552">
        <w:rPr>
          <w:rFonts w:ascii="Arial" w:hAnsi="Arial"/>
          <w:sz w:val="22"/>
        </w:rPr>
        <w:t>Equipamentos:</w:t>
      </w:r>
      <w:r>
        <w:rPr>
          <w:rFonts w:ascii="Arial" w:hAnsi="Arial"/>
          <w:sz w:val="22"/>
        </w:rPr>
        <w:t xml:space="preserve"> </w:t>
      </w:r>
    </w:p>
    <w:p w:rsidR="00A150D4" w:rsidRPr="000C6E53" w:rsidRDefault="00A150D4" w:rsidP="00A150D4">
      <w:pPr>
        <w:pStyle w:val="Item-Trainho"/>
      </w:pPr>
      <w:r>
        <w:t>Camionete</w:t>
      </w:r>
      <w:r w:rsidRPr="000C6E53">
        <w:t>;</w:t>
      </w:r>
    </w:p>
    <w:p w:rsidR="00A150D4" w:rsidRPr="000C6E53" w:rsidRDefault="00A150D4" w:rsidP="00A150D4">
      <w:pPr>
        <w:pStyle w:val="Item-Trainho"/>
      </w:pPr>
      <w:r w:rsidRPr="000C6E53">
        <w:t>Equipamento de Hidrometria Completo: Molinete, Contador, Guincho, Lastro, Cabo de Aço e Bateria</w:t>
      </w:r>
      <w:r>
        <w:t>,</w:t>
      </w:r>
      <w:r w:rsidRPr="00A150D4">
        <w:t xml:space="preserve"> </w:t>
      </w:r>
      <w:r w:rsidRPr="000C6E53">
        <w:t>Réguas Limnimétricas;</w:t>
      </w:r>
    </w:p>
    <w:p w:rsidR="00A150D4" w:rsidRPr="000C6E53" w:rsidRDefault="00A150D4" w:rsidP="00A150D4">
      <w:pPr>
        <w:pStyle w:val="Item-Trainho"/>
      </w:pPr>
      <w:r w:rsidRPr="00A150D4">
        <w:t xml:space="preserve">Equipamentos diversos: </w:t>
      </w:r>
      <w:r w:rsidRPr="000C6E53">
        <w:t>Maquina Fotográfica;</w:t>
      </w:r>
      <w:r w:rsidRPr="00A150D4">
        <w:t xml:space="preserve"> </w:t>
      </w:r>
      <w:r>
        <w:t>Prancheta</w:t>
      </w:r>
      <w:r w:rsidRPr="00A150D4">
        <w:t xml:space="preserve"> </w:t>
      </w:r>
      <w:r w:rsidRPr="000C6E53">
        <w:t>e Formulários para as medições de descargas líquidas</w:t>
      </w:r>
      <w:r w:rsidRPr="00A150D4">
        <w:t xml:space="preserve">, </w:t>
      </w:r>
      <w:r>
        <w:t xml:space="preserve">Sistema de Comunicação remoto, </w:t>
      </w:r>
      <w:r w:rsidRPr="000C6E53">
        <w:t>Computador e Impressora;</w:t>
      </w:r>
    </w:p>
    <w:p w:rsidR="00A150D4" w:rsidRPr="00656EA3" w:rsidRDefault="00A150D4" w:rsidP="00431A97">
      <w:pPr>
        <w:pStyle w:val="Bolinha"/>
        <w:numPr>
          <w:ilvl w:val="0"/>
          <w:numId w:val="48"/>
        </w:numPr>
        <w:rPr>
          <w:rFonts w:ascii="Arial" w:hAnsi="Arial" w:cs="Arial"/>
          <w:sz w:val="22"/>
          <w:szCs w:val="22"/>
        </w:rPr>
      </w:pPr>
      <w:r w:rsidRPr="00656EA3">
        <w:rPr>
          <w:rFonts w:ascii="Arial" w:hAnsi="Arial" w:cs="Arial"/>
          <w:sz w:val="22"/>
          <w:szCs w:val="22"/>
        </w:rPr>
        <w:t>Recursos Humanos: Engenheiro Hidrólogo; Hidrometrista, Auxiliar e Barqueiro.</w:t>
      </w:r>
    </w:p>
    <w:p w:rsidR="002C0476" w:rsidRPr="008B0822" w:rsidRDefault="008B0822" w:rsidP="008B0822">
      <w:pPr>
        <w:pStyle w:val="Ttulo3"/>
        <w:rPr>
          <w:rFonts w:ascii="Arial Negrito" w:hAnsi="Arial Negrito"/>
          <w:bCs/>
        </w:rPr>
      </w:pPr>
      <w:bookmarkStart w:id="755" w:name="_Toc418758334"/>
      <w:bookmarkStart w:id="756" w:name="_Toc418758936"/>
      <w:bookmarkStart w:id="757" w:name="_Toc419813694"/>
      <w:r>
        <w:rPr>
          <w:rFonts w:ascii="Arial Negrito" w:hAnsi="Arial Negrito"/>
          <w:bCs/>
        </w:rPr>
        <w:t xml:space="preserve">3.3.2.8. </w:t>
      </w:r>
      <w:r w:rsidR="002C0476" w:rsidRPr="008B0822">
        <w:rPr>
          <w:rFonts w:ascii="Arial Negrito" w:hAnsi="Arial Negrito"/>
          <w:bCs/>
        </w:rPr>
        <w:t>Atendimento a Requisitos Legais e/ou Outros Requisitos</w:t>
      </w:r>
      <w:bookmarkEnd w:id="755"/>
      <w:bookmarkEnd w:id="756"/>
      <w:bookmarkEnd w:id="757"/>
    </w:p>
    <w:p w:rsidR="002C0476" w:rsidRPr="00D92458" w:rsidRDefault="002C0476" w:rsidP="00A150D4">
      <w:pPr>
        <w:pStyle w:val="Corpodetexto"/>
        <w:rPr>
          <w:rFonts w:cs="Arial"/>
          <w:szCs w:val="22"/>
        </w:rPr>
      </w:pPr>
      <w:r w:rsidRPr="00D92458">
        <w:rPr>
          <w:rFonts w:cs="Arial"/>
          <w:szCs w:val="22"/>
        </w:rPr>
        <w:t>Este programa esta de acordo com</w:t>
      </w:r>
      <w:r w:rsidR="0058538A">
        <w:rPr>
          <w:rFonts w:cs="Arial"/>
          <w:szCs w:val="22"/>
        </w:rPr>
        <w:t xml:space="preserve"> a</w:t>
      </w:r>
      <w:r w:rsidRPr="00D92458">
        <w:rPr>
          <w:rFonts w:cs="Arial"/>
          <w:szCs w:val="22"/>
        </w:rPr>
        <w:t xml:space="preserve"> Resolução Conjunta ANA/ANEEL n</w:t>
      </w:r>
      <w:r w:rsidR="00EA17F5">
        <w:rPr>
          <w:rFonts w:cs="Arial"/>
          <w:szCs w:val="22"/>
        </w:rPr>
        <w:t>º</w:t>
      </w:r>
      <w:r w:rsidRPr="00D92458">
        <w:rPr>
          <w:rFonts w:cs="Arial"/>
          <w:szCs w:val="22"/>
        </w:rPr>
        <w:t xml:space="preserve"> 03 de 10/08/2010, publicada em 20/10/10, que estabelece “as condições e os procedimentos a serem observados pelos concessionários para a instalação, operação e manutenção de estações hidrométricas visando ao monitoramento pluviométrico, limnimétrico, fluviométrico, sedimentométrico e de qualidade da água associados a aproveitamentos dos recursos hídricos.</w:t>
      </w:r>
    </w:p>
    <w:p w:rsidR="002C0476" w:rsidRPr="00D92458" w:rsidRDefault="002C0476" w:rsidP="00A150D4">
      <w:pPr>
        <w:pStyle w:val="Corpodetexto"/>
        <w:rPr>
          <w:rFonts w:cs="Arial"/>
          <w:szCs w:val="22"/>
        </w:rPr>
      </w:pPr>
      <w:r w:rsidRPr="00D92458">
        <w:rPr>
          <w:rFonts w:cs="Arial"/>
          <w:szCs w:val="22"/>
        </w:rPr>
        <w:t xml:space="preserve">Este programa servirá de subsidio ao atendimento do Decreto 41.258, de 31/10/96, de acordo com o artigo 7º das disposições transitórias da Lei 7.663/91, que trata da outorga do uso dos recursos hídricos no Estado de São Paulo. </w:t>
      </w:r>
    </w:p>
    <w:p w:rsidR="002C0476" w:rsidRPr="008B0822" w:rsidRDefault="008B0822" w:rsidP="008B0822">
      <w:pPr>
        <w:pStyle w:val="Ttulo3"/>
        <w:rPr>
          <w:rFonts w:ascii="Arial Negrito" w:hAnsi="Arial Negrito"/>
          <w:bCs/>
        </w:rPr>
      </w:pPr>
      <w:bookmarkStart w:id="758" w:name="_Toc418758335"/>
      <w:bookmarkStart w:id="759" w:name="_Toc418758937"/>
      <w:bookmarkStart w:id="760" w:name="_Toc419813695"/>
      <w:r>
        <w:rPr>
          <w:rFonts w:ascii="Arial Negrito" w:hAnsi="Arial Negrito"/>
          <w:bCs/>
        </w:rPr>
        <w:t xml:space="preserve">3.3.2.9. </w:t>
      </w:r>
      <w:r w:rsidR="002C0476" w:rsidRPr="008B0822">
        <w:rPr>
          <w:rFonts w:ascii="Arial Negrito" w:hAnsi="Arial Negrito"/>
          <w:bCs/>
        </w:rPr>
        <w:t>Inter-Relação com outros Planos e Programas</w:t>
      </w:r>
      <w:bookmarkEnd w:id="758"/>
      <w:bookmarkEnd w:id="759"/>
      <w:bookmarkEnd w:id="760"/>
    </w:p>
    <w:p w:rsidR="002C0476" w:rsidRPr="00D92458" w:rsidRDefault="002C0476" w:rsidP="00A150D4">
      <w:pPr>
        <w:pStyle w:val="Corpodetexto"/>
        <w:rPr>
          <w:rFonts w:cs="Arial"/>
          <w:szCs w:val="22"/>
        </w:rPr>
      </w:pPr>
      <w:r w:rsidRPr="00D92458">
        <w:rPr>
          <w:rFonts w:cs="Arial"/>
          <w:szCs w:val="22"/>
        </w:rPr>
        <w:t>As informações disponibilizadas devem ser utilizadas por outros programas, tais como o de Monitoramento Sedimentológico, Monitoramento das Águas Subterrâneas e Programa de Controle Ambiental das Obras.</w:t>
      </w:r>
    </w:p>
    <w:p w:rsidR="002C0476" w:rsidRDefault="002C0476" w:rsidP="00A150D4">
      <w:pPr>
        <w:pStyle w:val="Corpodetexto"/>
        <w:rPr>
          <w:rFonts w:cs="Arial"/>
          <w:szCs w:val="22"/>
        </w:rPr>
      </w:pPr>
      <w:r w:rsidRPr="00D92458">
        <w:rPr>
          <w:rFonts w:cs="Arial"/>
          <w:szCs w:val="22"/>
        </w:rPr>
        <w:t>Este Programa também tem relação com o Programa de Gestão e Supervisão Ambiental das Obras.</w:t>
      </w:r>
    </w:p>
    <w:p w:rsidR="002C0476" w:rsidRPr="008B0822" w:rsidRDefault="008B0822" w:rsidP="008B0822">
      <w:pPr>
        <w:pStyle w:val="Ttulo3"/>
        <w:rPr>
          <w:rFonts w:ascii="Arial Negrito" w:hAnsi="Arial Negrito"/>
          <w:bCs/>
        </w:rPr>
      </w:pPr>
      <w:bookmarkStart w:id="761" w:name="_Toc418758336"/>
      <w:bookmarkStart w:id="762" w:name="_Toc418758938"/>
      <w:bookmarkStart w:id="763" w:name="_Toc419813696"/>
      <w:r>
        <w:rPr>
          <w:rFonts w:ascii="Arial Negrito" w:hAnsi="Arial Negrito"/>
          <w:bCs/>
        </w:rPr>
        <w:t xml:space="preserve">3.3.2.10. </w:t>
      </w:r>
      <w:r w:rsidR="002C0476" w:rsidRPr="008B0822">
        <w:rPr>
          <w:rFonts w:ascii="Arial Negrito" w:hAnsi="Arial Negrito"/>
          <w:bCs/>
        </w:rPr>
        <w:t>Etapa dos Empreendimentos</w:t>
      </w:r>
      <w:bookmarkEnd w:id="761"/>
      <w:bookmarkEnd w:id="762"/>
      <w:bookmarkEnd w:id="763"/>
    </w:p>
    <w:p w:rsidR="002C0476" w:rsidRPr="00D92458" w:rsidRDefault="002C0476" w:rsidP="00A150D4">
      <w:pPr>
        <w:pStyle w:val="Corpodetexto"/>
        <w:rPr>
          <w:rFonts w:cs="Arial"/>
          <w:szCs w:val="22"/>
        </w:rPr>
      </w:pPr>
      <w:r w:rsidRPr="00D92458">
        <w:rPr>
          <w:rFonts w:cs="Arial"/>
          <w:szCs w:val="22"/>
        </w:rPr>
        <w:t xml:space="preserve">O Programa deverá ter início durante a fase de construção da obra, de modo poder realizar no </w:t>
      </w:r>
      <w:r w:rsidRPr="000F3C96">
        <w:rPr>
          <w:rFonts w:cs="Arial"/>
          <w:szCs w:val="22"/>
        </w:rPr>
        <w:t xml:space="preserve">mínimo </w:t>
      </w:r>
      <w:r w:rsidR="002F4017" w:rsidRPr="000F3C96">
        <w:rPr>
          <w:rFonts w:cs="Arial"/>
          <w:szCs w:val="22"/>
        </w:rPr>
        <w:t>dois anos</w:t>
      </w:r>
      <w:r w:rsidRPr="000F3C96">
        <w:rPr>
          <w:rFonts w:cs="Arial"/>
          <w:szCs w:val="22"/>
        </w:rPr>
        <w:t xml:space="preserve"> de medições de descargas líquidas </w:t>
      </w:r>
      <w:r w:rsidR="002F4017" w:rsidRPr="000F3C96">
        <w:rPr>
          <w:rFonts w:cs="Arial"/>
          <w:szCs w:val="22"/>
        </w:rPr>
        <w:t>trimestrais</w:t>
      </w:r>
      <w:r w:rsidRPr="000F3C96">
        <w:rPr>
          <w:rFonts w:cs="Arial"/>
          <w:szCs w:val="22"/>
        </w:rPr>
        <w:t xml:space="preserve"> no posto limnimétrico a ser</w:t>
      </w:r>
      <w:r w:rsidRPr="00D92458">
        <w:rPr>
          <w:rFonts w:cs="Arial"/>
          <w:szCs w:val="22"/>
        </w:rPr>
        <w:t xml:space="preserve"> instalado a montante do reservatório. As medições continuarão ao longo de toda a vida do aproveitamento.</w:t>
      </w:r>
    </w:p>
    <w:p w:rsidR="002C0476" w:rsidRPr="008B0822" w:rsidRDefault="008B0822" w:rsidP="008B0822">
      <w:pPr>
        <w:pStyle w:val="Ttulo3"/>
        <w:rPr>
          <w:rFonts w:ascii="Arial Negrito" w:hAnsi="Arial Negrito"/>
          <w:bCs/>
        </w:rPr>
      </w:pPr>
      <w:bookmarkStart w:id="764" w:name="_Toc418758337"/>
      <w:bookmarkStart w:id="765" w:name="_Toc418758939"/>
      <w:bookmarkStart w:id="766" w:name="_Toc419813697"/>
      <w:r>
        <w:rPr>
          <w:rFonts w:ascii="Arial Negrito" w:hAnsi="Arial Negrito"/>
          <w:bCs/>
        </w:rPr>
        <w:t xml:space="preserve">3.3.2.11. </w:t>
      </w:r>
      <w:r w:rsidR="002C0476" w:rsidRPr="008B0822">
        <w:rPr>
          <w:rFonts w:ascii="Arial Negrito" w:hAnsi="Arial Negrito"/>
          <w:bCs/>
        </w:rPr>
        <w:t>Cronograma de Execução</w:t>
      </w:r>
      <w:bookmarkEnd w:id="764"/>
      <w:bookmarkEnd w:id="765"/>
      <w:bookmarkEnd w:id="766"/>
    </w:p>
    <w:p w:rsidR="002C0476" w:rsidRPr="000F3C96" w:rsidRDefault="002C0476" w:rsidP="008B0822">
      <w:pPr>
        <w:pStyle w:val="Item-Bolinha"/>
      </w:pPr>
      <w:r w:rsidRPr="000F3C96">
        <w:t>Os postos limnimétricos deverão estar instalados para acompanhamento da fase de enchimento</w:t>
      </w:r>
      <w:r w:rsidR="00A150D4" w:rsidRPr="000F3C96">
        <w:t>, no mínimo dois anos antes do enchimento dos reservatórios</w:t>
      </w:r>
      <w:r w:rsidRPr="000F3C96">
        <w:t>;</w:t>
      </w:r>
    </w:p>
    <w:p w:rsidR="002C0476" w:rsidRPr="000F3C96" w:rsidRDefault="002C0476" w:rsidP="008B0822">
      <w:pPr>
        <w:pStyle w:val="Item-Bolinha"/>
        <w:rPr>
          <w:rFonts w:cs="Arial"/>
          <w:b/>
          <w:szCs w:val="22"/>
        </w:rPr>
      </w:pPr>
      <w:r w:rsidRPr="000F3C96">
        <w:t xml:space="preserve">Os limnígrafos junto </w:t>
      </w:r>
      <w:r w:rsidR="002F4017" w:rsidRPr="000F3C96">
        <w:t>às</w:t>
      </w:r>
      <w:r w:rsidRPr="000F3C96">
        <w:t xml:space="preserve"> barragens deverão estar implantados logo que esteja concluída a fase de enchimento dos reservatórios.</w:t>
      </w:r>
    </w:p>
    <w:p w:rsidR="00677E36" w:rsidRPr="00775A07" w:rsidRDefault="00677E36" w:rsidP="008B0822">
      <w:pPr>
        <w:pStyle w:val="Item-Bolinha"/>
        <w:rPr>
          <w:rFonts w:cs="Arial"/>
          <w:b/>
          <w:szCs w:val="22"/>
        </w:rPr>
      </w:pPr>
      <w:r w:rsidRPr="00775A07">
        <w:rPr>
          <w:rFonts w:cs="Arial"/>
          <w:szCs w:val="22"/>
        </w:rPr>
        <w:t>Medição de Descarga Líquida: medições trimestrais.</w:t>
      </w:r>
    </w:p>
    <w:p w:rsidR="00677E36" w:rsidRPr="00775A07" w:rsidRDefault="00677E36" w:rsidP="008B0822">
      <w:pPr>
        <w:pStyle w:val="Item-Bolinha"/>
        <w:rPr>
          <w:rFonts w:cs="Arial"/>
          <w:b/>
          <w:szCs w:val="22"/>
        </w:rPr>
      </w:pPr>
      <w:r w:rsidRPr="00775A07">
        <w:rPr>
          <w:rFonts w:cs="Arial"/>
          <w:szCs w:val="22"/>
        </w:rPr>
        <w:t>Coleta de dados, análise e armazenamento dos dados.</w:t>
      </w:r>
    </w:p>
    <w:p w:rsidR="002C0476" w:rsidRPr="008B0822" w:rsidRDefault="008B0822" w:rsidP="008B0822">
      <w:pPr>
        <w:pStyle w:val="Ttulo3"/>
        <w:rPr>
          <w:rFonts w:ascii="Arial Negrito" w:hAnsi="Arial Negrito"/>
          <w:bCs/>
        </w:rPr>
      </w:pPr>
      <w:bookmarkStart w:id="767" w:name="_Toc418758338"/>
      <w:bookmarkStart w:id="768" w:name="_Toc418758940"/>
      <w:bookmarkStart w:id="769" w:name="_Toc419813698"/>
      <w:r>
        <w:rPr>
          <w:rFonts w:ascii="Arial Negrito" w:hAnsi="Arial Negrito"/>
          <w:bCs/>
        </w:rPr>
        <w:t xml:space="preserve">3.3.2.12. </w:t>
      </w:r>
      <w:r w:rsidR="002C0476" w:rsidRPr="008B0822">
        <w:rPr>
          <w:rFonts w:ascii="Arial Negrito" w:hAnsi="Arial Negrito"/>
          <w:bCs/>
        </w:rPr>
        <w:t>Responsável pela Implementação do Programa</w:t>
      </w:r>
      <w:bookmarkEnd w:id="767"/>
      <w:bookmarkEnd w:id="768"/>
      <w:bookmarkEnd w:id="769"/>
    </w:p>
    <w:p w:rsidR="002C0476" w:rsidRDefault="002C0476" w:rsidP="004D6BA9">
      <w:pPr>
        <w:spacing w:before="120" w:after="120" w:line="240" w:lineRule="auto"/>
        <w:rPr>
          <w:rFonts w:cs="Arial"/>
          <w:b/>
          <w:szCs w:val="22"/>
        </w:rPr>
      </w:pPr>
      <w:r w:rsidRPr="00D92458">
        <w:rPr>
          <w:rFonts w:cs="Arial"/>
          <w:szCs w:val="22"/>
        </w:rPr>
        <w:t>O responsável pela implantação deste programa é o empreendedor</w:t>
      </w:r>
      <w:r w:rsidR="004D6BA9">
        <w:rPr>
          <w:rFonts w:cs="Arial"/>
          <w:szCs w:val="22"/>
        </w:rPr>
        <w:t>.</w:t>
      </w:r>
    </w:p>
    <w:p w:rsidR="002C0476" w:rsidRPr="008B0822" w:rsidRDefault="008B0822" w:rsidP="008B0822">
      <w:pPr>
        <w:pStyle w:val="Ttulo3"/>
        <w:rPr>
          <w:rFonts w:ascii="Arial Negrito" w:hAnsi="Arial Negrito"/>
          <w:bCs/>
        </w:rPr>
      </w:pPr>
      <w:bookmarkStart w:id="770" w:name="_Toc418758339"/>
      <w:bookmarkStart w:id="771" w:name="_Toc418758941"/>
      <w:bookmarkStart w:id="772" w:name="_Toc419813699"/>
      <w:r>
        <w:rPr>
          <w:rFonts w:ascii="Arial Negrito" w:hAnsi="Arial Negrito"/>
          <w:bCs/>
        </w:rPr>
        <w:t xml:space="preserve">3.3.2.13. </w:t>
      </w:r>
      <w:r w:rsidR="002C0476" w:rsidRPr="008B0822">
        <w:rPr>
          <w:rFonts w:ascii="Arial Negrito" w:hAnsi="Arial Negrito"/>
          <w:bCs/>
        </w:rPr>
        <w:t>Sistemas de Registros</w:t>
      </w:r>
      <w:bookmarkEnd w:id="770"/>
      <w:bookmarkEnd w:id="771"/>
      <w:bookmarkEnd w:id="772"/>
    </w:p>
    <w:p w:rsidR="002C0476" w:rsidRPr="00D92458" w:rsidRDefault="002C0476" w:rsidP="004D6BA9">
      <w:pPr>
        <w:spacing w:before="120" w:after="120" w:line="240" w:lineRule="auto"/>
        <w:rPr>
          <w:rFonts w:cs="Arial"/>
          <w:szCs w:val="22"/>
        </w:rPr>
      </w:pPr>
      <w:r w:rsidRPr="00D92458">
        <w:rPr>
          <w:rFonts w:cs="Arial"/>
          <w:szCs w:val="22"/>
        </w:rPr>
        <w:t xml:space="preserve">Recomenda-se que os dados dos postos limnimétricos, dos postos limnigráficos e dos postos fluviométricos sejam analisados, consistidos e processados. </w:t>
      </w:r>
    </w:p>
    <w:p w:rsidR="002C0476" w:rsidRPr="00D92458" w:rsidRDefault="002C0476" w:rsidP="004D6BA9">
      <w:pPr>
        <w:spacing w:before="120" w:after="120" w:line="240" w:lineRule="auto"/>
        <w:rPr>
          <w:rFonts w:cs="Arial"/>
          <w:szCs w:val="22"/>
        </w:rPr>
      </w:pPr>
      <w:r w:rsidRPr="00D92458">
        <w:rPr>
          <w:rFonts w:cs="Arial"/>
          <w:szCs w:val="22"/>
        </w:rPr>
        <w:t>Após o procedimento usual de consistência, análise e processamento, os resultados deverão ser armazenados em banco de dados definido para as duas barragens. Os dados a serem considerados serão os seguintes:</w:t>
      </w:r>
    </w:p>
    <w:p w:rsidR="002C0476" w:rsidRPr="00D92458" w:rsidRDefault="002C0476" w:rsidP="002C0476">
      <w:pPr>
        <w:pStyle w:val="Bolinha"/>
        <w:rPr>
          <w:rFonts w:ascii="Arial" w:hAnsi="Arial"/>
          <w:sz w:val="22"/>
        </w:rPr>
      </w:pPr>
      <w:r w:rsidRPr="00D92458">
        <w:rPr>
          <w:rFonts w:ascii="Arial" w:hAnsi="Arial"/>
          <w:sz w:val="22"/>
        </w:rPr>
        <w:t xml:space="preserve">postos limnigráficos: armazenamento dos níveis d’água a cada 1 hora; </w:t>
      </w:r>
    </w:p>
    <w:p w:rsidR="002C0476" w:rsidRPr="00D92458" w:rsidRDefault="002C0476" w:rsidP="002C0476">
      <w:pPr>
        <w:pStyle w:val="Bolinha"/>
        <w:rPr>
          <w:rFonts w:ascii="Arial" w:hAnsi="Arial"/>
          <w:sz w:val="22"/>
        </w:rPr>
      </w:pPr>
      <w:r w:rsidRPr="00D92458">
        <w:rPr>
          <w:rFonts w:ascii="Arial" w:hAnsi="Arial"/>
          <w:sz w:val="22"/>
        </w:rPr>
        <w:t>postos limnimétricos: armazenamento das duas leituras diárias (7 e 17 horas);</w:t>
      </w:r>
    </w:p>
    <w:p w:rsidR="002C0476" w:rsidRPr="004D6BA9" w:rsidRDefault="002C0476" w:rsidP="002C0476">
      <w:pPr>
        <w:pStyle w:val="Bolinha"/>
      </w:pPr>
      <w:r w:rsidRPr="00D92458">
        <w:rPr>
          <w:rFonts w:ascii="Arial" w:hAnsi="Arial"/>
          <w:sz w:val="22"/>
        </w:rPr>
        <w:t>postos fluviométricos: armazenamento das planilhas de</w:t>
      </w:r>
      <w:r w:rsidRPr="00D92458">
        <w:t xml:space="preserve"> medições de descargas líquidas. </w:t>
      </w:r>
    </w:p>
    <w:p w:rsidR="002C0476" w:rsidRPr="008B0822" w:rsidRDefault="008B0822" w:rsidP="008B0822">
      <w:pPr>
        <w:pStyle w:val="Ttulo3"/>
        <w:rPr>
          <w:rFonts w:ascii="Arial Negrito" w:hAnsi="Arial Negrito"/>
          <w:bCs/>
        </w:rPr>
      </w:pPr>
      <w:bookmarkStart w:id="773" w:name="_Toc418758340"/>
      <w:bookmarkStart w:id="774" w:name="_Toc418758942"/>
      <w:bookmarkStart w:id="775" w:name="_Toc419813700"/>
      <w:r>
        <w:rPr>
          <w:rFonts w:ascii="Arial Negrito" w:hAnsi="Arial Negrito"/>
          <w:bCs/>
        </w:rPr>
        <w:t xml:space="preserve">3.3.2.14. </w:t>
      </w:r>
      <w:r w:rsidR="002C0476" w:rsidRPr="008B0822">
        <w:rPr>
          <w:rFonts w:ascii="Arial Negrito" w:hAnsi="Arial Negrito"/>
          <w:bCs/>
        </w:rPr>
        <w:t>Referências Bibliográficas</w:t>
      </w:r>
      <w:bookmarkEnd w:id="773"/>
      <w:bookmarkEnd w:id="774"/>
      <w:bookmarkEnd w:id="775"/>
    </w:p>
    <w:p w:rsidR="002C0476" w:rsidRPr="00D92458" w:rsidRDefault="002C0476" w:rsidP="008B0822">
      <w:pPr>
        <w:pStyle w:val="Item-Trainho"/>
      </w:pPr>
      <w:r w:rsidRPr="00D92458">
        <w:t xml:space="preserve">Declaração de Outorga dos Recursos </w:t>
      </w:r>
      <w:r w:rsidR="00EC4728" w:rsidRPr="00D92458">
        <w:t>Hídricos</w:t>
      </w:r>
      <w:r w:rsidRPr="00D92458">
        <w:t>, DAEE- Decreto 41.258 de 31/10/96</w:t>
      </w:r>
      <w:r w:rsidR="00EC4728">
        <w:t>;</w:t>
      </w:r>
    </w:p>
    <w:p w:rsidR="002C0476" w:rsidRPr="00D92458" w:rsidRDefault="002C0476" w:rsidP="008B0822">
      <w:pPr>
        <w:pStyle w:val="Item-Trainho"/>
      </w:pPr>
      <w:r w:rsidRPr="00D92458">
        <w:t xml:space="preserve">Procedimentos para Monitoramento Hidrológico, Resolução Conjunta ANA/ANEEL </w:t>
      </w:r>
      <w:r w:rsidR="00EA17F5">
        <w:t xml:space="preserve">nº </w:t>
      </w:r>
      <w:r w:rsidRPr="00D92458">
        <w:t>03/2010 de 10/08/2010;</w:t>
      </w:r>
    </w:p>
    <w:p w:rsidR="002C0476" w:rsidRDefault="002C0476" w:rsidP="008B0822">
      <w:pPr>
        <w:pStyle w:val="Item-Trainho"/>
      </w:pPr>
      <w:r w:rsidRPr="00D92458">
        <w:t>Inventário das Estações Fluviométricas, ANA/2013.</w:t>
      </w:r>
    </w:p>
    <w:p w:rsidR="00FF206A" w:rsidRPr="008B0822" w:rsidRDefault="00FF206A" w:rsidP="00431A97">
      <w:pPr>
        <w:pStyle w:val="Ttulo3"/>
        <w:numPr>
          <w:ilvl w:val="2"/>
          <w:numId w:val="49"/>
        </w:numPr>
        <w:rPr>
          <w:rFonts w:ascii="Arial Negrito" w:hAnsi="Arial Negrito"/>
          <w:bCs/>
        </w:rPr>
      </w:pPr>
      <w:bookmarkStart w:id="776" w:name="_Toc418758341"/>
      <w:bookmarkStart w:id="777" w:name="_Toc418758943"/>
      <w:bookmarkStart w:id="778" w:name="_Toc419813701"/>
      <w:r w:rsidRPr="008B0822">
        <w:rPr>
          <w:rFonts w:ascii="Arial Negrito" w:hAnsi="Arial Negrito"/>
          <w:bCs/>
        </w:rPr>
        <w:t>Programa de Monitoramento Sedimentológico</w:t>
      </w:r>
      <w:bookmarkEnd w:id="776"/>
      <w:bookmarkEnd w:id="777"/>
      <w:bookmarkEnd w:id="778"/>
    </w:p>
    <w:p w:rsidR="00EC4728" w:rsidRPr="008B0822" w:rsidRDefault="00EC4728" w:rsidP="00431A97">
      <w:pPr>
        <w:pStyle w:val="Ttulo3"/>
        <w:numPr>
          <w:ilvl w:val="3"/>
          <w:numId w:val="49"/>
        </w:numPr>
        <w:rPr>
          <w:rFonts w:ascii="Arial Negrito" w:hAnsi="Arial Negrito"/>
          <w:bCs/>
        </w:rPr>
      </w:pPr>
      <w:bookmarkStart w:id="779" w:name="_Toc418758342"/>
      <w:bookmarkStart w:id="780" w:name="_Toc418758944"/>
      <w:bookmarkStart w:id="781" w:name="_Toc419813702"/>
      <w:bookmarkStart w:id="782" w:name="_Toc501600343"/>
      <w:bookmarkStart w:id="783" w:name="_Toc501622597"/>
      <w:r w:rsidRPr="008B0822">
        <w:rPr>
          <w:rFonts w:ascii="Arial Negrito" w:hAnsi="Arial Negrito"/>
          <w:bCs/>
        </w:rPr>
        <w:t>Apresentação e Justificativa</w:t>
      </w:r>
      <w:bookmarkEnd w:id="779"/>
      <w:bookmarkEnd w:id="780"/>
      <w:bookmarkEnd w:id="781"/>
    </w:p>
    <w:p w:rsidR="00EC4728" w:rsidRPr="00804705" w:rsidRDefault="00EC4728" w:rsidP="00EC4728">
      <w:pPr>
        <w:pStyle w:val="Corpodetexto"/>
      </w:pPr>
      <w:r w:rsidRPr="00804705">
        <w:t xml:space="preserve">O aporte de sedimentos ao reservatório é </w:t>
      </w:r>
      <w:r>
        <w:t xml:space="preserve">em </w:t>
      </w:r>
      <w:r w:rsidRPr="00804705">
        <w:t>função das vazões afluentes e das concentrações sólidas, que por sua vez estão diretamente relacionadas com a ação antrópica nas bacias, variável ao longo do tempo.</w:t>
      </w:r>
    </w:p>
    <w:p w:rsidR="00EC4728" w:rsidRDefault="00EC4728" w:rsidP="00EC4728">
      <w:pPr>
        <w:pStyle w:val="Corpodetexto"/>
      </w:pPr>
      <w:r w:rsidRPr="00804705">
        <w:t>Ao longo dos estudos das barragens Pedreira e Duas Pontes, foram efetuadas poucas campanhas sedimentométricas, desta forma, torna-se importante a implantação de estações para o monitoramento sedimentológico de longo prazo, que permitirá acompanhar o processo de assoreamento dos reservatórios e a evolução das taxas de sedimentos, decorrentes da ocupação antrópica nas bacias.</w:t>
      </w:r>
    </w:p>
    <w:p w:rsidR="00EC4728" w:rsidRPr="008B0822" w:rsidRDefault="00EC4728" w:rsidP="00431A97">
      <w:pPr>
        <w:pStyle w:val="Ttulo3"/>
        <w:numPr>
          <w:ilvl w:val="3"/>
          <w:numId w:val="49"/>
        </w:numPr>
        <w:rPr>
          <w:rFonts w:ascii="Arial Negrito" w:hAnsi="Arial Negrito"/>
          <w:bCs/>
        </w:rPr>
      </w:pPr>
      <w:bookmarkStart w:id="784" w:name="_Toc418758343"/>
      <w:bookmarkStart w:id="785" w:name="_Toc418758945"/>
      <w:bookmarkStart w:id="786" w:name="_Toc419813703"/>
      <w:r w:rsidRPr="008B0822">
        <w:rPr>
          <w:rFonts w:ascii="Arial Negrito" w:hAnsi="Arial Negrito"/>
          <w:bCs/>
        </w:rPr>
        <w:t>Objetivos</w:t>
      </w:r>
      <w:bookmarkEnd w:id="784"/>
      <w:bookmarkEnd w:id="785"/>
      <w:bookmarkEnd w:id="786"/>
    </w:p>
    <w:p w:rsidR="00EC4728" w:rsidRPr="00804705" w:rsidRDefault="00EC4728" w:rsidP="00EC4728">
      <w:pPr>
        <w:pStyle w:val="Corpodetexto"/>
      </w:pPr>
      <w:r w:rsidRPr="00804705">
        <w:t>O monitoramento sedimentológico tem por finalidade acompanhar a evolução da deposição de sedimentos e avaliar os aportes das descargas sólidas aos reservatórios das Barragens Pedreira e Duas Pontes, correspondente às bacias contribuintes. Para isso, deverão ser adotadas seções de medição de vazão sólida fora da área de remanso dos reservatórios.</w:t>
      </w:r>
    </w:p>
    <w:p w:rsidR="00EC4728" w:rsidRPr="008B0822" w:rsidRDefault="008B0822" w:rsidP="008B0822">
      <w:pPr>
        <w:pStyle w:val="Ttulo3"/>
        <w:rPr>
          <w:rFonts w:ascii="Arial Negrito" w:hAnsi="Arial Negrito"/>
          <w:bCs/>
        </w:rPr>
      </w:pPr>
      <w:bookmarkStart w:id="787" w:name="_Toc418758344"/>
      <w:bookmarkStart w:id="788" w:name="_Toc418758946"/>
      <w:bookmarkStart w:id="789" w:name="_Toc419813704"/>
      <w:r>
        <w:rPr>
          <w:rFonts w:ascii="Arial Negrito" w:hAnsi="Arial Negrito"/>
          <w:bCs/>
        </w:rPr>
        <w:t>3.3.3.3.</w:t>
      </w:r>
      <w:r w:rsidR="00EC4728" w:rsidRPr="008B0822">
        <w:rPr>
          <w:rFonts w:ascii="Arial Negrito" w:hAnsi="Arial Negrito"/>
          <w:bCs/>
        </w:rPr>
        <w:t xml:space="preserve"> Metas</w:t>
      </w:r>
      <w:bookmarkEnd w:id="787"/>
      <w:bookmarkEnd w:id="788"/>
      <w:bookmarkEnd w:id="789"/>
    </w:p>
    <w:p w:rsidR="00EC4728" w:rsidRPr="002F4017" w:rsidRDefault="00EC4728" w:rsidP="002F4017">
      <w:pPr>
        <w:pStyle w:val="Corpodetexto"/>
        <w:rPr>
          <w:rFonts w:cs="Arial"/>
          <w:szCs w:val="22"/>
        </w:rPr>
      </w:pPr>
      <w:r w:rsidRPr="00804705">
        <w:rPr>
          <w:rFonts w:eastAsia="Calibri"/>
        </w:rPr>
        <w:t xml:space="preserve">Realizar campanhas </w:t>
      </w:r>
      <w:r w:rsidR="002F4017">
        <w:rPr>
          <w:rFonts w:eastAsia="Calibri"/>
        </w:rPr>
        <w:t>trimestrais</w:t>
      </w:r>
      <w:r w:rsidRPr="00804705">
        <w:rPr>
          <w:rFonts w:eastAsia="Calibri"/>
        </w:rPr>
        <w:t xml:space="preserve"> durante o enchimento dos reservatórios, com amostragens dos parâmetros físicos, na AID e ADA dos dois </w:t>
      </w:r>
      <w:r w:rsidRPr="0008639B">
        <w:rPr>
          <w:rFonts w:eastAsia="Calibri"/>
        </w:rPr>
        <w:t>barramentos</w:t>
      </w:r>
      <w:r w:rsidR="002F4017" w:rsidRPr="0008639B">
        <w:rPr>
          <w:rFonts w:eastAsia="Calibri"/>
        </w:rPr>
        <w:t>.</w:t>
      </w:r>
      <w:r w:rsidR="00FE4098" w:rsidRPr="0008639B">
        <w:rPr>
          <w:rFonts w:eastAsia="Calibri"/>
        </w:rPr>
        <w:t xml:space="preserve"> </w:t>
      </w:r>
      <w:r w:rsidR="002F4017" w:rsidRPr="0008639B">
        <w:rPr>
          <w:rFonts w:cs="Arial"/>
          <w:szCs w:val="22"/>
        </w:rPr>
        <w:t>As medições continuarão ao longo de toda a vida do aproveitamento.</w:t>
      </w:r>
    </w:p>
    <w:p w:rsidR="00EC4728" w:rsidRPr="00804705" w:rsidRDefault="00EC4728" w:rsidP="00FE4098">
      <w:pPr>
        <w:pStyle w:val="Item-Trainho"/>
        <w:numPr>
          <w:ilvl w:val="0"/>
          <w:numId w:val="0"/>
        </w:numPr>
      </w:pPr>
      <w:r w:rsidRPr="00804705">
        <w:rPr>
          <w:rFonts w:eastAsia="Calibri"/>
        </w:rPr>
        <w:t xml:space="preserve">Emitir relatórios </w:t>
      </w:r>
      <w:r w:rsidR="0008639B">
        <w:rPr>
          <w:rFonts w:eastAsia="Calibri"/>
        </w:rPr>
        <w:t>trimestrais</w:t>
      </w:r>
      <w:r w:rsidRPr="00804705">
        <w:rPr>
          <w:rFonts w:eastAsia="Calibri"/>
        </w:rPr>
        <w:t xml:space="preserve"> e relatórios consolidados semestrais, listando as alterações detectadas nos sedimentos na área de influência dos empreendimentos.</w:t>
      </w:r>
    </w:p>
    <w:p w:rsidR="00EC4728" w:rsidRPr="008B0822" w:rsidRDefault="008B0822" w:rsidP="008B0822">
      <w:pPr>
        <w:pStyle w:val="Ttulo3"/>
        <w:rPr>
          <w:rFonts w:ascii="Arial Negrito" w:hAnsi="Arial Negrito"/>
          <w:bCs/>
        </w:rPr>
      </w:pPr>
      <w:bookmarkStart w:id="790" w:name="_Toc418758345"/>
      <w:bookmarkStart w:id="791" w:name="_Toc418758947"/>
      <w:bookmarkStart w:id="792" w:name="_Toc419813705"/>
      <w:r>
        <w:rPr>
          <w:rFonts w:ascii="Arial Negrito" w:hAnsi="Arial Negrito"/>
          <w:bCs/>
        </w:rPr>
        <w:t xml:space="preserve">3.3.3.4. </w:t>
      </w:r>
      <w:r w:rsidR="00EC4728" w:rsidRPr="008B0822">
        <w:rPr>
          <w:rFonts w:ascii="Arial Negrito" w:hAnsi="Arial Negrito"/>
          <w:bCs/>
        </w:rPr>
        <w:t>Público Alvo</w:t>
      </w:r>
      <w:bookmarkEnd w:id="790"/>
      <w:bookmarkEnd w:id="791"/>
      <w:bookmarkEnd w:id="792"/>
    </w:p>
    <w:p w:rsidR="00EC4728" w:rsidRPr="00804705" w:rsidRDefault="00EC4728" w:rsidP="00EC4728">
      <w:pPr>
        <w:spacing w:line="240" w:lineRule="auto"/>
        <w:rPr>
          <w:rFonts w:cs="Arial"/>
          <w:szCs w:val="22"/>
        </w:rPr>
      </w:pPr>
      <w:r w:rsidRPr="00804705">
        <w:rPr>
          <w:rFonts w:cs="Arial"/>
          <w:szCs w:val="22"/>
        </w:rPr>
        <w:t xml:space="preserve">Este programa tem como principal público alvo os usuários dos recursos hídricos da bacia dos rios Jaguari e Camanducaia, bem como o empreendedor, responsável pela contratação de empresas que executarão o Programa. Assim, considera-se como público alvo: </w:t>
      </w:r>
    </w:p>
    <w:p w:rsidR="00EC4728" w:rsidRPr="00804705" w:rsidRDefault="00EC4728" w:rsidP="00EC4728">
      <w:pPr>
        <w:pStyle w:val="Item-Trainho"/>
        <w:rPr>
          <w:rFonts w:eastAsia="Calibri"/>
        </w:rPr>
      </w:pPr>
      <w:r w:rsidRPr="00804705">
        <w:rPr>
          <w:rFonts w:eastAsia="Calibri"/>
        </w:rPr>
        <w:t>Departamento de Águas e Energia Elétrica do Estado de São Paulo;</w:t>
      </w:r>
    </w:p>
    <w:p w:rsidR="00EC4728" w:rsidRPr="00804705" w:rsidRDefault="00EC4728" w:rsidP="00EC4728">
      <w:pPr>
        <w:pStyle w:val="Item-Trainho"/>
        <w:rPr>
          <w:rFonts w:eastAsia="Calibri"/>
        </w:rPr>
      </w:pPr>
      <w:r w:rsidRPr="00804705">
        <w:t>Empresa Construtora contratada para a fase de implantação</w:t>
      </w:r>
      <w:r w:rsidR="00FE4098">
        <w:t>;</w:t>
      </w:r>
    </w:p>
    <w:p w:rsidR="00EC4728" w:rsidRPr="00804705" w:rsidRDefault="00EC4728" w:rsidP="00EC4728">
      <w:pPr>
        <w:pStyle w:val="Item-Trainho"/>
        <w:rPr>
          <w:rFonts w:eastAsia="Calibri"/>
        </w:rPr>
      </w:pPr>
      <w:r w:rsidRPr="00804705">
        <w:rPr>
          <w:rFonts w:eastAsia="Calibri"/>
        </w:rPr>
        <w:t>Comitê das Bacias Hidrográficas dos Rios Pirac</w:t>
      </w:r>
      <w:r w:rsidR="00FE4098">
        <w:rPr>
          <w:rFonts w:eastAsia="Calibri"/>
        </w:rPr>
        <w:t>icaba, Capivari e Jundiaí – PCJ;</w:t>
      </w:r>
    </w:p>
    <w:p w:rsidR="00EC4728" w:rsidRPr="00804705" w:rsidRDefault="00EC4728" w:rsidP="00EC4728">
      <w:pPr>
        <w:pStyle w:val="Item-Trainho"/>
        <w:rPr>
          <w:rFonts w:eastAsia="Calibri"/>
        </w:rPr>
      </w:pPr>
      <w:r w:rsidRPr="00804705">
        <w:rPr>
          <w:rFonts w:eastAsia="Calibri"/>
        </w:rPr>
        <w:t>Órgãos governamentais, como a Companhia Ambiental do Estado de São Paulo (CETESB) e a Secretaria Estadual do Meio Ambiente (SMA), a</w:t>
      </w:r>
      <w:r w:rsidR="00FE4098">
        <w:rPr>
          <w:rFonts w:eastAsia="Calibri"/>
        </w:rPr>
        <w:t>lém de instituições de pesquisa;</w:t>
      </w:r>
    </w:p>
    <w:p w:rsidR="00EC4728" w:rsidRPr="00CA5534" w:rsidRDefault="00EC4728" w:rsidP="00EC4728">
      <w:pPr>
        <w:pStyle w:val="Item-Trainho"/>
      </w:pPr>
      <w:r w:rsidRPr="00FE4098">
        <w:rPr>
          <w:rFonts w:eastAsia="Calibri"/>
        </w:rPr>
        <w:t xml:space="preserve">Sociedade Civil, incluindo os usuários dos recursos hídricos da bacia dos rios Jaguari e Camanducaia, em especial, os habitantes dos municípios de </w:t>
      </w:r>
      <w:r w:rsidR="00FE4098" w:rsidRPr="00FE4098">
        <w:rPr>
          <w:rFonts w:eastAsia="Calibri"/>
        </w:rPr>
        <w:t>Amparo e Pedreira.</w:t>
      </w:r>
    </w:p>
    <w:p w:rsidR="00EC4728" w:rsidRPr="008B0822" w:rsidRDefault="008B0822" w:rsidP="008B0822">
      <w:pPr>
        <w:pStyle w:val="Ttulo3"/>
        <w:rPr>
          <w:rFonts w:ascii="Arial Negrito" w:hAnsi="Arial Negrito"/>
          <w:bCs/>
        </w:rPr>
      </w:pPr>
      <w:bookmarkStart w:id="793" w:name="_Toc418758346"/>
      <w:bookmarkStart w:id="794" w:name="_Toc418758948"/>
      <w:bookmarkStart w:id="795" w:name="_Toc419813706"/>
      <w:r>
        <w:rPr>
          <w:rFonts w:ascii="Arial Negrito" w:hAnsi="Arial Negrito"/>
          <w:bCs/>
        </w:rPr>
        <w:t xml:space="preserve">3.3.3.5. </w:t>
      </w:r>
      <w:r w:rsidR="00EC4728" w:rsidRPr="008B0822">
        <w:rPr>
          <w:rFonts w:ascii="Arial Negrito" w:hAnsi="Arial Negrito"/>
          <w:bCs/>
        </w:rPr>
        <w:t>Procedimentos</w:t>
      </w:r>
      <w:bookmarkEnd w:id="793"/>
      <w:bookmarkEnd w:id="794"/>
      <w:bookmarkEnd w:id="795"/>
    </w:p>
    <w:p w:rsidR="00EC4728" w:rsidRPr="008B0822" w:rsidRDefault="00EC4728" w:rsidP="008B0822">
      <w:pPr>
        <w:pStyle w:val="Item-Trainho"/>
        <w:rPr>
          <w:i/>
        </w:rPr>
      </w:pPr>
      <w:r w:rsidRPr="008B0822">
        <w:rPr>
          <w:i/>
        </w:rPr>
        <w:t>Instalação de posto sedimentométrico</w:t>
      </w:r>
    </w:p>
    <w:p w:rsidR="00EC4728" w:rsidRPr="00804705" w:rsidRDefault="00EC4728" w:rsidP="00EC4728">
      <w:pPr>
        <w:pStyle w:val="Corpodetexto"/>
      </w:pPr>
      <w:r w:rsidRPr="00804705">
        <w:t xml:space="preserve">Recomenda-se a implantação de posto sedimentométrico fora da área do remanso </w:t>
      </w:r>
      <w:r w:rsidR="00530B8A">
        <w:t>dos reservatórios das barragens P</w:t>
      </w:r>
      <w:r w:rsidRPr="00804705">
        <w:t>edreira e Duas Pontes, no curso dos rios Jaguari e Camanducaia.</w:t>
      </w:r>
    </w:p>
    <w:p w:rsidR="00656EA3" w:rsidRDefault="00530B8A" w:rsidP="00EC4728">
      <w:pPr>
        <w:pStyle w:val="Corpodetexto"/>
      </w:pPr>
      <w:r w:rsidRPr="0008639B">
        <w:t>No caso da bacia contribuinte ao reservatório da barragem</w:t>
      </w:r>
      <w:r w:rsidR="00EC4728" w:rsidRPr="0008639B">
        <w:t xml:space="preserve"> Duas Pontes, recomenda-se</w:t>
      </w:r>
      <w:r w:rsidRPr="0008639B">
        <w:t>, também,</w:t>
      </w:r>
      <w:r w:rsidR="00EC4728" w:rsidRPr="0008639B">
        <w:t xml:space="preserve"> a implantação de uma estação em seu principal tributário Ribeirão Pantaleão.</w:t>
      </w:r>
    </w:p>
    <w:p w:rsidR="00EC4728" w:rsidRPr="00804705" w:rsidRDefault="00EC4728" w:rsidP="00EC4728">
      <w:pPr>
        <w:pStyle w:val="Corpodetexto"/>
      </w:pPr>
    </w:p>
    <w:p w:rsidR="00EC4728" w:rsidRPr="008B0822" w:rsidRDefault="00EC4728" w:rsidP="008B0822">
      <w:pPr>
        <w:pStyle w:val="Item-Trainho"/>
        <w:rPr>
          <w:i/>
        </w:rPr>
      </w:pPr>
      <w:r w:rsidRPr="008B0822">
        <w:rPr>
          <w:i/>
        </w:rPr>
        <w:t>Medições de descarga sólida</w:t>
      </w:r>
    </w:p>
    <w:p w:rsidR="00EC4728" w:rsidRPr="00804705" w:rsidRDefault="00EC4728" w:rsidP="00EC4728">
      <w:pPr>
        <w:pStyle w:val="Corpodetexto"/>
      </w:pPr>
      <w:r w:rsidRPr="00804705">
        <w:t xml:space="preserve">Para implementação do programa, prevê-se que as medições de descarga sólida sejam realizadas uma vez por mês, iniciando-se 6 meses após o inicio das obras. Com o enchimento dos reservatórios, prevê-se que durante os dois primeiros anos de existência as medições sejam realizadas mensalmente, passando então para a frequência bimensal, após este período. </w:t>
      </w:r>
    </w:p>
    <w:p w:rsidR="00EC4728" w:rsidRPr="00804705" w:rsidRDefault="00EC4728" w:rsidP="00EC4728">
      <w:pPr>
        <w:pStyle w:val="Corpodetexto"/>
      </w:pPr>
      <w:r w:rsidRPr="00804705">
        <w:t xml:space="preserve">As medições de descarga sólida poderão ser realizadas pela equipe responsável pelo monitoramento dos níveis d’água, com a devida compatibilização dos dois programas, ou seja, o local para as medições de descarga sólida poderá ser o mesmo do monitoramento dos níveis d’água. </w:t>
      </w:r>
    </w:p>
    <w:p w:rsidR="00EC4728" w:rsidRPr="00804705" w:rsidRDefault="00EC4728" w:rsidP="00EC4728">
      <w:pPr>
        <w:pStyle w:val="Corpodetexto"/>
      </w:pPr>
      <w:r w:rsidRPr="00804705">
        <w:t>Junto com a medição de descarga sólida recomenda-se executar a medição de descarga liquida de forma a permitir a elaboração da Curva Chave de Sedimentos.</w:t>
      </w:r>
    </w:p>
    <w:p w:rsidR="00EC4728" w:rsidRPr="00804705" w:rsidRDefault="00EC4728" w:rsidP="00EC4728">
      <w:pPr>
        <w:pStyle w:val="Corpodetexto"/>
      </w:pPr>
      <w:r w:rsidRPr="00804705">
        <w:t xml:space="preserve">As análises de laboratório deverão envolver a determinação de curvas granulométricas do material em suspensão e do material de fundo, através da escolha de um dos métodos existentes e consagrados, exemplo: método de remoção pela base. </w:t>
      </w:r>
    </w:p>
    <w:p w:rsidR="00EC4728" w:rsidRPr="00804705" w:rsidRDefault="00EC4728" w:rsidP="00EC4728">
      <w:pPr>
        <w:pStyle w:val="Corpodetexto"/>
      </w:pPr>
      <w:r w:rsidRPr="00804705">
        <w:t xml:space="preserve">Após as análises de laboratório, será feito o cálculo de descarga sólida total, com o que será possível estabelecer relações funcionais entre níveis d’água e vazão sólida, para cada posto constante da rede. </w:t>
      </w:r>
    </w:p>
    <w:p w:rsidR="00EC4728" w:rsidRPr="008B0822" w:rsidRDefault="00EC4728" w:rsidP="008B0822">
      <w:pPr>
        <w:pStyle w:val="Item-Trainho"/>
        <w:rPr>
          <w:i/>
        </w:rPr>
      </w:pPr>
      <w:r w:rsidRPr="008B0822">
        <w:rPr>
          <w:i/>
        </w:rPr>
        <w:t>Levantamentos batimétricos</w:t>
      </w:r>
    </w:p>
    <w:p w:rsidR="00EC4728" w:rsidRPr="00804705" w:rsidRDefault="00EC4728" w:rsidP="00EC4728">
      <w:pPr>
        <w:pStyle w:val="Corpodetexto"/>
      </w:pPr>
      <w:r w:rsidRPr="00804705">
        <w:t>Os levantamentos batimétricos das seções transversais serão realizados no final do estirão do reservatório, tanto no rio Jaguari, como no rio Camanducaia e seu afluente Ribeirão Pantaleão.</w:t>
      </w:r>
    </w:p>
    <w:p w:rsidR="00EC4728" w:rsidRPr="00804705" w:rsidRDefault="00EC4728" w:rsidP="00EC4728">
      <w:pPr>
        <w:pStyle w:val="Corpodetexto"/>
      </w:pPr>
      <w:r w:rsidRPr="00804705">
        <w:t xml:space="preserve">As seções batimétricas levantadas servirão para indicar a evolução dos “depósitos do remanso”  permitindo assim antever possíveis sobrelevações dos níveis d’água no trecho de montante, por conta de eventuais reduções nas seções de escoamento. </w:t>
      </w:r>
    </w:p>
    <w:p w:rsidR="00EC4728" w:rsidRPr="00804705" w:rsidRDefault="00EC4728" w:rsidP="00EC4728">
      <w:pPr>
        <w:pStyle w:val="Corpodetexto"/>
      </w:pPr>
      <w:r w:rsidRPr="00804705">
        <w:t xml:space="preserve">Os levantamentos batimétricos deverão ser realizados com </w:t>
      </w:r>
      <w:r w:rsidR="00530B8A" w:rsidRPr="00804705">
        <w:t>frequência</w:t>
      </w:r>
      <w:r w:rsidRPr="00804705">
        <w:t xml:space="preserve"> semestral, começando 1 ano antes do enchimento do reservatório.</w:t>
      </w:r>
    </w:p>
    <w:p w:rsidR="00EC4728" w:rsidRPr="00804705" w:rsidRDefault="00EC4728" w:rsidP="00EC4728">
      <w:pPr>
        <w:pStyle w:val="Corpodetexto"/>
      </w:pPr>
      <w:r w:rsidRPr="00804705">
        <w:t xml:space="preserve">Os dados do monitoramento, tanto de descarga sólida como de levantamentos batimétricos, deverão ser arquivados em banco de dados do DAEE e estarão à disposição para verificações do assoreamento do reservatório e para permitir a ampliação do conhecimento deste tipo de problema. </w:t>
      </w:r>
    </w:p>
    <w:p w:rsidR="00EC4728" w:rsidRPr="008B0822" w:rsidRDefault="008B0822" w:rsidP="008B0822">
      <w:pPr>
        <w:pStyle w:val="Ttulo3"/>
        <w:rPr>
          <w:rFonts w:ascii="Arial Negrito" w:hAnsi="Arial Negrito"/>
          <w:bCs/>
        </w:rPr>
      </w:pPr>
      <w:bookmarkStart w:id="796" w:name="_Toc418758347"/>
      <w:bookmarkStart w:id="797" w:name="_Toc418758949"/>
      <w:bookmarkStart w:id="798" w:name="_Toc419813707"/>
      <w:r>
        <w:rPr>
          <w:rFonts w:ascii="Arial Negrito" w:hAnsi="Arial Negrito"/>
          <w:bCs/>
        </w:rPr>
        <w:t xml:space="preserve">3.3.3.6. </w:t>
      </w:r>
      <w:r w:rsidR="00EC4728" w:rsidRPr="008B0822">
        <w:rPr>
          <w:rFonts w:ascii="Arial Negrito" w:hAnsi="Arial Negrito"/>
          <w:bCs/>
        </w:rPr>
        <w:t>Indicadores Ambientais</w:t>
      </w:r>
      <w:bookmarkEnd w:id="796"/>
      <w:bookmarkEnd w:id="797"/>
      <w:bookmarkEnd w:id="798"/>
    </w:p>
    <w:p w:rsidR="00EC4728" w:rsidRDefault="00EC4728" w:rsidP="00EC4728">
      <w:pPr>
        <w:pStyle w:val="Corpodetexto"/>
        <w:rPr>
          <w:rFonts w:cs="Arial"/>
          <w:szCs w:val="22"/>
        </w:rPr>
      </w:pPr>
      <w:r w:rsidRPr="00804705">
        <w:rPr>
          <w:rFonts w:cs="Arial"/>
          <w:szCs w:val="22"/>
        </w:rPr>
        <w:t xml:space="preserve">Como indicadores ambientais, consideram-se os parâmetros de: concentração dos sedimentos, curvas granulometricas e descarga sólida total. </w:t>
      </w:r>
    </w:p>
    <w:p w:rsidR="00EC4728" w:rsidRPr="008B0822" w:rsidRDefault="008B0822" w:rsidP="008B0822">
      <w:pPr>
        <w:pStyle w:val="Ttulo3"/>
        <w:rPr>
          <w:rFonts w:ascii="Arial Negrito" w:hAnsi="Arial Negrito"/>
          <w:bCs/>
        </w:rPr>
      </w:pPr>
      <w:bookmarkStart w:id="799" w:name="_Toc418758348"/>
      <w:bookmarkStart w:id="800" w:name="_Toc418758950"/>
      <w:bookmarkStart w:id="801" w:name="_Toc419813708"/>
      <w:r>
        <w:rPr>
          <w:rFonts w:ascii="Arial Negrito" w:hAnsi="Arial Negrito"/>
          <w:bCs/>
        </w:rPr>
        <w:t xml:space="preserve">3.3.3.7. </w:t>
      </w:r>
      <w:r w:rsidR="00EC4728" w:rsidRPr="008B0822">
        <w:rPr>
          <w:rFonts w:ascii="Arial Negrito" w:hAnsi="Arial Negrito"/>
          <w:bCs/>
        </w:rPr>
        <w:t>Recursos Materiais e Humanos</w:t>
      </w:r>
      <w:bookmarkEnd w:id="799"/>
      <w:bookmarkEnd w:id="800"/>
      <w:bookmarkEnd w:id="801"/>
    </w:p>
    <w:p w:rsidR="00EC4728" w:rsidRPr="00530B8A" w:rsidRDefault="00EC4728" w:rsidP="00530B8A">
      <w:pPr>
        <w:pStyle w:val="Corpodetexto"/>
        <w:rPr>
          <w:rFonts w:cs="Arial"/>
          <w:szCs w:val="22"/>
        </w:rPr>
      </w:pPr>
      <w:r w:rsidRPr="00804705">
        <w:rPr>
          <w:rFonts w:cs="Arial"/>
          <w:szCs w:val="22"/>
        </w:rPr>
        <w:t>Para atender às demandas do Programa de Monitoramento dos Sedimentos será necessária uma equipe técnica compreendendo, no mínimo, um engenheiro especialista, um técnico em hidrometria, dois técnicos coletores e um analista que atuará na consolidação dos dados e na elaboração dos relatórios técnicos. O programa prevê a contratação de um laboratório credenciado para realização das análises dos sedimentos. Os recursos materiais necessários serão disponibilizados pelo contratante.</w:t>
      </w:r>
    </w:p>
    <w:p w:rsidR="00EC4728" w:rsidRPr="008B0822" w:rsidRDefault="008B0822" w:rsidP="008B0822">
      <w:pPr>
        <w:pStyle w:val="Ttulo3"/>
        <w:rPr>
          <w:rFonts w:ascii="Arial Negrito" w:hAnsi="Arial Negrito"/>
          <w:bCs/>
        </w:rPr>
      </w:pPr>
      <w:bookmarkStart w:id="802" w:name="_Toc418758349"/>
      <w:bookmarkStart w:id="803" w:name="_Toc418758951"/>
      <w:bookmarkStart w:id="804" w:name="_Toc419813709"/>
      <w:r>
        <w:rPr>
          <w:rFonts w:ascii="Arial Negrito" w:hAnsi="Arial Negrito"/>
          <w:bCs/>
        </w:rPr>
        <w:t xml:space="preserve">3.3.3.8. </w:t>
      </w:r>
      <w:r w:rsidR="00EC4728" w:rsidRPr="008B0822">
        <w:rPr>
          <w:rFonts w:ascii="Arial Negrito" w:hAnsi="Arial Negrito"/>
          <w:bCs/>
        </w:rPr>
        <w:t>Atendimento a Requisitos Legais e/ou outros Requisitos</w:t>
      </w:r>
      <w:bookmarkEnd w:id="802"/>
      <w:bookmarkEnd w:id="803"/>
      <w:bookmarkEnd w:id="804"/>
    </w:p>
    <w:p w:rsidR="00EC4728" w:rsidRPr="00EA17F5" w:rsidRDefault="00EC4728" w:rsidP="00530B8A">
      <w:pPr>
        <w:pStyle w:val="Corpodetexto"/>
        <w:rPr>
          <w:rFonts w:cs="Arial"/>
          <w:szCs w:val="22"/>
        </w:rPr>
      </w:pPr>
      <w:r w:rsidRPr="00EA17F5">
        <w:rPr>
          <w:rFonts w:cs="Arial"/>
          <w:szCs w:val="22"/>
        </w:rPr>
        <w:t xml:space="preserve">A proposição do programa de monitoramento atende ao solicitado no artigo 6º, </w:t>
      </w:r>
      <w:r w:rsidR="00530B8A" w:rsidRPr="00EA17F5">
        <w:rPr>
          <w:rFonts w:cs="Arial"/>
          <w:szCs w:val="22"/>
        </w:rPr>
        <w:t xml:space="preserve">inciso IV da Resolução </w:t>
      </w:r>
      <w:r w:rsidR="00504078">
        <w:rPr>
          <w:rFonts w:cs="Arial"/>
          <w:szCs w:val="22"/>
        </w:rPr>
        <w:t>CONAMA</w:t>
      </w:r>
      <w:r w:rsidR="00530B8A" w:rsidRPr="00EA17F5">
        <w:rPr>
          <w:rFonts w:cs="Arial"/>
          <w:szCs w:val="22"/>
        </w:rPr>
        <w:t xml:space="preserve"> nº</w:t>
      </w:r>
      <w:r w:rsidRPr="00EA17F5">
        <w:rPr>
          <w:rFonts w:cs="Arial"/>
          <w:szCs w:val="22"/>
        </w:rPr>
        <w:t xml:space="preserve"> 01/86, que determina o estabelecimento de atividades de acompanhamento e monitoramento dos impactos positivos e negativos, indicando os fatores e parâmetros a serem considerados. </w:t>
      </w:r>
    </w:p>
    <w:p w:rsidR="00EC4728" w:rsidRPr="00804705" w:rsidRDefault="00EC4728" w:rsidP="00EC4728">
      <w:pPr>
        <w:pStyle w:val="Corpodetexto"/>
      </w:pPr>
      <w:r w:rsidRPr="00EA17F5">
        <w:rPr>
          <w:rFonts w:cs="Arial"/>
          <w:szCs w:val="22"/>
        </w:rPr>
        <w:t xml:space="preserve">Além desse dispositivo, destaca-se a Resolução </w:t>
      </w:r>
      <w:r w:rsidR="00504078">
        <w:rPr>
          <w:rFonts w:cs="Arial"/>
          <w:szCs w:val="22"/>
        </w:rPr>
        <w:t>CONAMA</w:t>
      </w:r>
      <w:r w:rsidR="00EA17F5" w:rsidRPr="00EA17F5">
        <w:rPr>
          <w:rFonts w:cs="Arial"/>
          <w:szCs w:val="22"/>
        </w:rPr>
        <w:t xml:space="preserve"> nº</w:t>
      </w:r>
      <w:r w:rsidRPr="00EA17F5">
        <w:rPr>
          <w:rFonts w:cs="Arial"/>
          <w:szCs w:val="22"/>
        </w:rPr>
        <w:t xml:space="preserve"> 454/12, que estabelece as diretrizes gerais e os procedimentos mínimos para a avaliação do material a ser dragado em águas jurisdicionais brasileiras. Embora seja direcionada a materiais resultantes de dragagem,</w:t>
      </w:r>
      <w:r w:rsidRPr="00804705">
        <w:rPr>
          <w:rFonts w:cs="Arial"/>
          <w:szCs w:val="22"/>
        </w:rPr>
        <w:t xml:space="preserve"> essa Resolução é uma referência nacional que determina a concentração de contaminantes em sedimentos.</w:t>
      </w:r>
    </w:p>
    <w:p w:rsidR="00EC4728" w:rsidRPr="008B0822" w:rsidRDefault="008B0822" w:rsidP="008B0822">
      <w:pPr>
        <w:pStyle w:val="Ttulo3"/>
        <w:rPr>
          <w:rFonts w:ascii="Arial Negrito" w:hAnsi="Arial Negrito"/>
          <w:bCs/>
        </w:rPr>
      </w:pPr>
      <w:bookmarkStart w:id="805" w:name="_Toc418758350"/>
      <w:bookmarkStart w:id="806" w:name="_Toc418758952"/>
      <w:bookmarkStart w:id="807" w:name="_Toc419813710"/>
      <w:r>
        <w:rPr>
          <w:rFonts w:ascii="Arial Negrito" w:hAnsi="Arial Negrito"/>
          <w:bCs/>
        </w:rPr>
        <w:t xml:space="preserve">3.3.3.9. </w:t>
      </w:r>
      <w:r w:rsidR="00EC4728" w:rsidRPr="008B0822">
        <w:rPr>
          <w:rFonts w:ascii="Arial Negrito" w:hAnsi="Arial Negrito"/>
          <w:bCs/>
        </w:rPr>
        <w:t>Inter-Relação com outros Programas</w:t>
      </w:r>
      <w:bookmarkEnd w:id="805"/>
      <w:bookmarkEnd w:id="806"/>
      <w:bookmarkEnd w:id="807"/>
    </w:p>
    <w:p w:rsidR="00EC4728" w:rsidRPr="00804705" w:rsidRDefault="00EC4728" w:rsidP="00EC4728">
      <w:pPr>
        <w:rPr>
          <w:rFonts w:cs="Arial"/>
          <w:szCs w:val="22"/>
        </w:rPr>
      </w:pPr>
      <w:r w:rsidRPr="00804705">
        <w:rPr>
          <w:rFonts w:cs="Arial"/>
          <w:szCs w:val="22"/>
        </w:rPr>
        <w:t xml:space="preserve">O Programa em tela terá relação com os seguintes programas: </w:t>
      </w:r>
    </w:p>
    <w:p w:rsidR="00EC4728" w:rsidRPr="007E7C06" w:rsidRDefault="00EC4728" w:rsidP="00431A97">
      <w:pPr>
        <w:pStyle w:val="Bolinha"/>
        <w:numPr>
          <w:ilvl w:val="0"/>
          <w:numId w:val="50"/>
        </w:numPr>
        <w:spacing w:after="0"/>
        <w:ind w:left="357" w:hanging="357"/>
        <w:rPr>
          <w:rFonts w:ascii="Arial" w:hAnsi="Arial" w:cs="Arial"/>
          <w:sz w:val="22"/>
          <w:szCs w:val="22"/>
        </w:rPr>
      </w:pPr>
      <w:r w:rsidRPr="007E7C06">
        <w:rPr>
          <w:rFonts w:ascii="Arial" w:hAnsi="Arial" w:cs="Arial"/>
          <w:sz w:val="22"/>
          <w:szCs w:val="22"/>
        </w:rPr>
        <w:t>Programa de Gestão e Supervisão Ambiental das Obras</w:t>
      </w:r>
      <w:r w:rsidR="00EA17F5" w:rsidRPr="007E7C06">
        <w:rPr>
          <w:rFonts w:ascii="Arial" w:hAnsi="Arial" w:cs="Arial"/>
          <w:sz w:val="22"/>
          <w:szCs w:val="22"/>
        </w:rPr>
        <w:t>;</w:t>
      </w:r>
    </w:p>
    <w:p w:rsidR="00EC4728" w:rsidRPr="007E7C06" w:rsidRDefault="00EC4728" w:rsidP="00431A97">
      <w:pPr>
        <w:pStyle w:val="Bolinha"/>
        <w:numPr>
          <w:ilvl w:val="0"/>
          <w:numId w:val="50"/>
        </w:numPr>
        <w:spacing w:after="0"/>
        <w:ind w:left="357" w:hanging="357"/>
        <w:rPr>
          <w:rFonts w:ascii="Arial" w:hAnsi="Arial" w:cs="Arial"/>
          <w:sz w:val="22"/>
          <w:szCs w:val="22"/>
        </w:rPr>
      </w:pPr>
      <w:r w:rsidRPr="007E7C06">
        <w:rPr>
          <w:rFonts w:ascii="Arial" w:hAnsi="Arial" w:cs="Arial"/>
          <w:sz w:val="22"/>
          <w:szCs w:val="22"/>
        </w:rPr>
        <w:t xml:space="preserve">Programa </w:t>
      </w:r>
      <w:r w:rsidR="00EA17F5" w:rsidRPr="007E7C06">
        <w:rPr>
          <w:rFonts w:ascii="Arial" w:hAnsi="Arial" w:cs="Arial"/>
          <w:sz w:val="22"/>
          <w:szCs w:val="22"/>
        </w:rPr>
        <w:t>de Controle Ambiental das Obras;</w:t>
      </w:r>
    </w:p>
    <w:p w:rsidR="00EC4728" w:rsidRPr="007E7C06" w:rsidRDefault="00EC4728" w:rsidP="00431A97">
      <w:pPr>
        <w:pStyle w:val="Bolinha"/>
        <w:numPr>
          <w:ilvl w:val="0"/>
          <w:numId w:val="50"/>
        </w:numPr>
        <w:spacing w:after="0"/>
        <w:ind w:left="357" w:hanging="357"/>
        <w:rPr>
          <w:rFonts w:ascii="Arial" w:hAnsi="Arial" w:cs="Arial"/>
          <w:sz w:val="22"/>
          <w:szCs w:val="22"/>
        </w:rPr>
      </w:pPr>
      <w:r w:rsidRPr="007E7C06">
        <w:rPr>
          <w:rFonts w:ascii="Arial" w:hAnsi="Arial" w:cs="Arial"/>
          <w:sz w:val="22"/>
          <w:szCs w:val="22"/>
        </w:rPr>
        <w:t>Programa de Compensação Ambiental</w:t>
      </w:r>
      <w:r w:rsidR="00EA17F5" w:rsidRPr="007E7C06">
        <w:rPr>
          <w:rFonts w:ascii="Arial" w:hAnsi="Arial" w:cs="Arial"/>
          <w:sz w:val="22"/>
          <w:szCs w:val="22"/>
        </w:rPr>
        <w:t>;</w:t>
      </w:r>
    </w:p>
    <w:p w:rsidR="00EC4728" w:rsidRPr="007E7C06" w:rsidRDefault="00EC4728" w:rsidP="00431A97">
      <w:pPr>
        <w:pStyle w:val="Bolinha"/>
        <w:numPr>
          <w:ilvl w:val="0"/>
          <w:numId w:val="50"/>
        </w:numPr>
        <w:spacing w:after="0"/>
        <w:ind w:left="357" w:hanging="357"/>
        <w:rPr>
          <w:rFonts w:ascii="Arial" w:hAnsi="Arial" w:cs="Arial"/>
          <w:sz w:val="22"/>
          <w:szCs w:val="22"/>
        </w:rPr>
      </w:pPr>
      <w:r w:rsidRPr="007E7C06">
        <w:rPr>
          <w:rFonts w:ascii="Arial" w:hAnsi="Arial" w:cs="Arial"/>
          <w:sz w:val="22"/>
          <w:szCs w:val="22"/>
        </w:rPr>
        <w:t>Programa de Monitoramento da Ictiofauna</w:t>
      </w:r>
      <w:r w:rsidR="00EA17F5" w:rsidRPr="007E7C06">
        <w:rPr>
          <w:rFonts w:ascii="Arial" w:hAnsi="Arial" w:cs="Arial"/>
          <w:sz w:val="22"/>
          <w:szCs w:val="22"/>
        </w:rPr>
        <w:t>;</w:t>
      </w:r>
    </w:p>
    <w:p w:rsidR="00EC4728" w:rsidRPr="007E7C06" w:rsidRDefault="00EC4728" w:rsidP="00431A97">
      <w:pPr>
        <w:pStyle w:val="Bolinha"/>
        <w:numPr>
          <w:ilvl w:val="0"/>
          <w:numId w:val="50"/>
        </w:numPr>
        <w:spacing w:after="0"/>
        <w:ind w:left="357" w:hanging="357"/>
        <w:rPr>
          <w:rFonts w:ascii="Arial" w:hAnsi="Arial" w:cs="Arial"/>
          <w:sz w:val="22"/>
          <w:szCs w:val="22"/>
        </w:rPr>
      </w:pPr>
      <w:r w:rsidRPr="007E7C06">
        <w:rPr>
          <w:rFonts w:ascii="Arial" w:hAnsi="Arial" w:cs="Arial"/>
          <w:sz w:val="22"/>
          <w:szCs w:val="22"/>
        </w:rPr>
        <w:t>Programa de Monitoramento das Macrofitas Aquáticas</w:t>
      </w:r>
      <w:r w:rsidR="00EA17F5" w:rsidRPr="007E7C06">
        <w:rPr>
          <w:rFonts w:ascii="Arial" w:hAnsi="Arial" w:cs="Arial"/>
          <w:sz w:val="22"/>
          <w:szCs w:val="22"/>
        </w:rPr>
        <w:t>;</w:t>
      </w:r>
    </w:p>
    <w:p w:rsidR="00EC4728" w:rsidRPr="007E7C06" w:rsidRDefault="00EA17F5" w:rsidP="00431A97">
      <w:pPr>
        <w:pStyle w:val="Bolinha"/>
        <w:numPr>
          <w:ilvl w:val="0"/>
          <w:numId w:val="50"/>
        </w:numPr>
        <w:spacing w:after="0"/>
        <w:ind w:left="357" w:hanging="357"/>
        <w:rPr>
          <w:rFonts w:ascii="Arial" w:hAnsi="Arial" w:cs="Arial"/>
          <w:sz w:val="22"/>
          <w:szCs w:val="22"/>
        </w:rPr>
      </w:pPr>
      <w:r w:rsidRPr="007E7C06">
        <w:rPr>
          <w:rFonts w:ascii="Arial" w:hAnsi="Arial" w:cs="Arial"/>
          <w:sz w:val="22"/>
          <w:szCs w:val="22"/>
        </w:rPr>
        <w:t>Programa de Educação Ambiental;</w:t>
      </w:r>
    </w:p>
    <w:p w:rsidR="00EC4728" w:rsidRPr="007E7C06" w:rsidRDefault="00EC4728" w:rsidP="00431A97">
      <w:pPr>
        <w:pStyle w:val="Bolinha"/>
        <w:numPr>
          <w:ilvl w:val="0"/>
          <w:numId w:val="50"/>
        </w:numPr>
        <w:ind w:left="357" w:hanging="357"/>
        <w:rPr>
          <w:rFonts w:ascii="Arial" w:hAnsi="Arial" w:cs="Arial"/>
          <w:sz w:val="22"/>
          <w:szCs w:val="22"/>
        </w:rPr>
      </w:pPr>
      <w:r w:rsidRPr="007E7C06">
        <w:rPr>
          <w:rFonts w:ascii="Arial" w:hAnsi="Arial" w:cs="Arial"/>
          <w:sz w:val="22"/>
          <w:szCs w:val="22"/>
        </w:rPr>
        <w:t xml:space="preserve">Programa de Comunicação </w:t>
      </w:r>
      <w:r w:rsidR="00D225D5" w:rsidRPr="007E7C06">
        <w:rPr>
          <w:rFonts w:ascii="Arial" w:hAnsi="Arial" w:cs="Arial"/>
          <w:sz w:val="22"/>
          <w:szCs w:val="22"/>
        </w:rPr>
        <w:t xml:space="preserve">e Interação </w:t>
      </w:r>
      <w:r w:rsidRPr="007E7C06">
        <w:rPr>
          <w:rFonts w:ascii="Arial" w:hAnsi="Arial" w:cs="Arial"/>
          <w:sz w:val="22"/>
          <w:szCs w:val="22"/>
        </w:rPr>
        <w:t>Social</w:t>
      </w:r>
      <w:r w:rsidR="00EA17F5" w:rsidRPr="007E7C06">
        <w:rPr>
          <w:rFonts w:ascii="Arial" w:hAnsi="Arial" w:cs="Arial"/>
          <w:sz w:val="22"/>
          <w:szCs w:val="22"/>
        </w:rPr>
        <w:t>.</w:t>
      </w:r>
    </w:p>
    <w:p w:rsidR="00EC4728" w:rsidRPr="008B0822" w:rsidRDefault="008B0822" w:rsidP="008B0822">
      <w:pPr>
        <w:pStyle w:val="Ttulo3"/>
        <w:rPr>
          <w:rFonts w:ascii="Arial Negrito" w:hAnsi="Arial Negrito"/>
          <w:bCs/>
        </w:rPr>
      </w:pPr>
      <w:bookmarkStart w:id="808" w:name="_Toc418758351"/>
      <w:bookmarkStart w:id="809" w:name="_Toc418758953"/>
      <w:bookmarkStart w:id="810" w:name="_Toc419813711"/>
      <w:r>
        <w:rPr>
          <w:rFonts w:ascii="Arial Negrito" w:hAnsi="Arial Negrito"/>
          <w:bCs/>
        </w:rPr>
        <w:t xml:space="preserve">3.3.3.10. </w:t>
      </w:r>
      <w:r w:rsidR="00EC4728" w:rsidRPr="008B0822">
        <w:rPr>
          <w:rFonts w:ascii="Arial Negrito" w:hAnsi="Arial Negrito"/>
          <w:bCs/>
        </w:rPr>
        <w:t>Etapa dos Empreendimentos</w:t>
      </w:r>
      <w:bookmarkEnd w:id="808"/>
      <w:bookmarkEnd w:id="809"/>
      <w:bookmarkEnd w:id="810"/>
    </w:p>
    <w:p w:rsidR="00EC4728" w:rsidRPr="00804705" w:rsidRDefault="00EC4728" w:rsidP="007E7C06">
      <w:pPr>
        <w:spacing w:before="120" w:after="120" w:line="240" w:lineRule="auto"/>
      </w:pPr>
      <w:r w:rsidRPr="00804705">
        <w:rPr>
          <w:rFonts w:cs="Arial"/>
          <w:szCs w:val="22"/>
        </w:rPr>
        <w:t xml:space="preserve">São previstas campanhas de </w:t>
      </w:r>
      <w:r w:rsidRPr="0008639B">
        <w:rPr>
          <w:rFonts w:cs="Arial"/>
          <w:szCs w:val="22"/>
        </w:rPr>
        <w:t>monitoramento mensal, durante a fase de obras, incluindo o enchimento do reservatório, e trimestral, na f</w:t>
      </w:r>
      <w:r w:rsidRPr="00804705">
        <w:rPr>
          <w:rFonts w:cs="Arial"/>
          <w:szCs w:val="22"/>
        </w:rPr>
        <w:t>ase de operação das Barragens Pedreira e Duas Pontes. Ressalta-se que deverá ser realizada uma campanha prévia à etapa de implantação do empreendimento, na fase de planejamento, tendo em vista obter um quadro de referência da situação atual do transporte de sedimentos das bacias dos rios Jaguari e Camanducaia.</w:t>
      </w:r>
    </w:p>
    <w:p w:rsidR="00EC4728" w:rsidRPr="008B0822" w:rsidRDefault="008B0822" w:rsidP="008B0822">
      <w:pPr>
        <w:pStyle w:val="Ttulo3"/>
        <w:rPr>
          <w:rFonts w:ascii="Arial Negrito" w:hAnsi="Arial Negrito"/>
          <w:bCs/>
        </w:rPr>
      </w:pPr>
      <w:bookmarkStart w:id="811" w:name="_Toc418758352"/>
      <w:bookmarkStart w:id="812" w:name="_Toc418758954"/>
      <w:bookmarkStart w:id="813" w:name="_Toc419813712"/>
      <w:r>
        <w:rPr>
          <w:rFonts w:ascii="Arial Negrito" w:hAnsi="Arial Negrito"/>
          <w:bCs/>
        </w:rPr>
        <w:t xml:space="preserve">3.3.3.11. </w:t>
      </w:r>
      <w:r w:rsidR="00EC4728" w:rsidRPr="008B0822">
        <w:rPr>
          <w:rFonts w:ascii="Arial Negrito" w:hAnsi="Arial Negrito"/>
          <w:bCs/>
        </w:rPr>
        <w:t>Cronograma de Execução</w:t>
      </w:r>
      <w:bookmarkEnd w:id="811"/>
      <w:bookmarkEnd w:id="812"/>
      <w:bookmarkEnd w:id="813"/>
    </w:p>
    <w:p w:rsidR="00EC4728" w:rsidRPr="00804705" w:rsidRDefault="00EC4728" w:rsidP="00EC4728">
      <w:pPr>
        <w:pStyle w:val="Corpodetexto"/>
      </w:pPr>
      <w:r w:rsidRPr="00804705">
        <w:t>Consideram-se as seguintes datas marco para o desenvolvimento deste programa:</w:t>
      </w:r>
    </w:p>
    <w:p w:rsidR="00EC4728" w:rsidRPr="00804705" w:rsidRDefault="00EC4728" w:rsidP="008B0822">
      <w:pPr>
        <w:pStyle w:val="Item-Trainho"/>
      </w:pPr>
      <w:r w:rsidRPr="00804705">
        <w:t xml:space="preserve">Instalação de Postos Sedimentométricos: </w:t>
      </w:r>
    </w:p>
    <w:p w:rsidR="00EC4728" w:rsidRPr="00804705" w:rsidRDefault="00EC4728" w:rsidP="008B0822">
      <w:pPr>
        <w:pStyle w:val="Item-Trainho"/>
      </w:pPr>
      <w:r w:rsidRPr="00804705">
        <w:t>6 meses após o início da construção dos dois barramentos;</w:t>
      </w:r>
    </w:p>
    <w:p w:rsidR="00EC4728" w:rsidRPr="00804705" w:rsidRDefault="00EC4728" w:rsidP="008B0822">
      <w:pPr>
        <w:pStyle w:val="Item-Trainho"/>
      </w:pPr>
      <w:r w:rsidRPr="00804705">
        <w:t xml:space="preserve">Medições de Descargas Sólidas: </w:t>
      </w:r>
    </w:p>
    <w:p w:rsidR="00EC4728" w:rsidRPr="00804705" w:rsidRDefault="00EC4728" w:rsidP="008B0822">
      <w:pPr>
        <w:pStyle w:val="Item-Trainho"/>
      </w:pPr>
      <w:r w:rsidRPr="00804705">
        <w:t>6 meses após o início da construção dos dois barramentos com frequência mensal;</w:t>
      </w:r>
    </w:p>
    <w:p w:rsidR="00EC4728" w:rsidRPr="00804705" w:rsidRDefault="00EC4728" w:rsidP="008B0822">
      <w:pPr>
        <w:pStyle w:val="Item-Trainho"/>
      </w:pPr>
      <w:r w:rsidRPr="00804705">
        <w:t>Após enchimento frequência mensal durante 2 anos;</w:t>
      </w:r>
    </w:p>
    <w:p w:rsidR="00EC4728" w:rsidRPr="00804705" w:rsidRDefault="00EC4728" w:rsidP="008B0822">
      <w:pPr>
        <w:pStyle w:val="Item-Trainho"/>
      </w:pPr>
      <w:r w:rsidRPr="00804705">
        <w:t>Após 2 anos do enchimento frequência bimensal.</w:t>
      </w:r>
    </w:p>
    <w:p w:rsidR="00EC4728" w:rsidRPr="00804705" w:rsidRDefault="00EC4728" w:rsidP="008B0822">
      <w:pPr>
        <w:pStyle w:val="Item-Trainho"/>
      </w:pPr>
      <w:r w:rsidRPr="00804705">
        <w:t>Levantamentos Batimétricos:</w:t>
      </w:r>
    </w:p>
    <w:p w:rsidR="00EC4728" w:rsidRPr="00804705" w:rsidRDefault="00EC4728" w:rsidP="008B0822">
      <w:pPr>
        <w:pStyle w:val="Item-Trainho"/>
      </w:pPr>
      <w:r w:rsidRPr="00804705">
        <w:t>6 meses antes do inicio do enchimento com frequência semestral.</w:t>
      </w:r>
    </w:p>
    <w:p w:rsidR="00EC4728" w:rsidRPr="008B0822" w:rsidRDefault="008B0822" w:rsidP="008B0822">
      <w:pPr>
        <w:pStyle w:val="Ttulo3"/>
        <w:rPr>
          <w:rFonts w:ascii="Arial Negrito" w:hAnsi="Arial Negrito"/>
          <w:bCs/>
        </w:rPr>
      </w:pPr>
      <w:bookmarkStart w:id="814" w:name="_Toc418758353"/>
      <w:bookmarkStart w:id="815" w:name="_Toc418758955"/>
      <w:bookmarkStart w:id="816" w:name="_Toc419813713"/>
      <w:r>
        <w:rPr>
          <w:rFonts w:ascii="Arial Negrito" w:hAnsi="Arial Negrito"/>
          <w:bCs/>
        </w:rPr>
        <w:t xml:space="preserve">3.3.3.12. </w:t>
      </w:r>
      <w:r w:rsidR="00EC4728" w:rsidRPr="008B0822">
        <w:rPr>
          <w:rFonts w:ascii="Arial Negrito" w:hAnsi="Arial Negrito"/>
          <w:bCs/>
        </w:rPr>
        <w:t>Responsável pela Implementação do Programa</w:t>
      </w:r>
      <w:bookmarkEnd w:id="814"/>
      <w:bookmarkEnd w:id="815"/>
      <w:bookmarkEnd w:id="816"/>
    </w:p>
    <w:p w:rsidR="00EC4728" w:rsidRDefault="00EC4728" w:rsidP="00EC4728">
      <w:pPr>
        <w:pStyle w:val="p12"/>
      </w:pPr>
      <w:r w:rsidRPr="00804705">
        <w:t>O responsável pela implementação deste programa é o empreendedor.</w:t>
      </w:r>
    </w:p>
    <w:p w:rsidR="00EC4728" w:rsidRPr="008B0822" w:rsidRDefault="008B0822" w:rsidP="008B0822">
      <w:pPr>
        <w:pStyle w:val="Ttulo3"/>
        <w:rPr>
          <w:rFonts w:ascii="Arial Negrito" w:hAnsi="Arial Negrito"/>
          <w:bCs/>
        </w:rPr>
      </w:pPr>
      <w:bookmarkStart w:id="817" w:name="_Toc418758354"/>
      <w:bookmarkStart w:id="818" w:name="_Toc418758956"/>
      <w:bookmarkStart w:id="819" w:name="_Toc419813714"/>
      <w:r>
        <w:rPr>
          <w:rFonts w:ascii="Arial Negrito" w:hAnsi="Arial Negrito"/>
          <w:bCs/>
        </w:rPr>
        <w:t xml:space="preserve">3.3.3.13. </w:t>
      </w:r>
      <w:r w:rsidR="00EC4728" w:rsidRPr="008B0822">
        <w:rPr>
          <w:rFonts w:ascii="Arial Negrito" w:hAnsi="Arial Negrito"/>
          <w:bCs/>
        </w:rPr>
        <w:t>Sistemas de Registros</w:t>
      </w:r>
      <w:bookmarkEnd w:id="817"/>
      <w:bookmarkEnd w:id="818"/>
      <w:bookmarkEnd w:id="819"/>
    </w:p>
    <w:p w:rsidR="00EC4728" w:rsidRPr="00804705" w:rsidRDefault="00EC4728" w:rsidP="00EC4728">
      <w:pPr>
        <w:spacing w:line="240" w:lineRule="auto"/>
        <w:rPr>
          <w:rFonts w:cs="Arial"/>
          <w:szCs w:val="22"/>
        </w:rPr>
      </w:pPr>
      <w:r w:rsidRPr="00804705">
        <w:rPr>
          <w:rFonts w:cs="Arial"/>
          <w:szCs w:val="22"/>
        </w:rPr>
        <w:t xml:space="preserve">Durante a fase de implantação dos empreendimentos, os dados obtidos nas campanhas mensais serão consolidados em um relatório parcial. A cada semestre, será elaborado um relatório integrado, compreendendo todas as informações geradas nos seis meses anteriores. Na fase de operação dos empreendimentos, as informações geradas nas campanhas trimestrais serão apresentadas em relatórios parciais e também em um relatório anual consolidado. Todas as informações coletadas serão adicionadas ao banco de dados. </w:t>
      </w:r>
    </w:p>
    <w:p w:rsidR="00EC4728" w:rsidRPr="008B0822" w:rsidRDefault="008B0822" w:rsidP="008B0822">
      <w:pPr>
        <w:pStyle w:val="Ttulo3"/>
        <w:rPr>
          <w:rFonts w:ascii="Arial Negrito" w:hAnsi="Arial Negrito"/>
          <w:bCs/>
        </w:rPr>
      </w:pPr>
      <w:bookmarkStart w:id="820" w:name="_Toc418758355"/>
      <w:bookmarkStart w:id="821" w:name="_Toc418758957"/>
      <w:bookmarkStart w:id="822" w:name="_Toc419813715"/>
      <w:r>
        <w:rPr>
          <w:rFonts w:ascii="Arial Negrito" w:hAnsi="Arial Negrito"/>
          <w:bCs/>
        </w:rPr>
        <w:t xml:space="preserve">3.3.3.14. </w:t>
      </w:r>
      <w:r w:rsidR="00EC4728" w:rsidRPr="008B0822">
        <w:rPr>
          <w:rFonts w:ascii="Arial Negrito" w:hAnsi="Arial Negrito"/>
          <w:bCs/>
        </w:rPr>
        <w:t>Referências Bibliográficas</w:t>
      </w:r>
      <w:bookmarkEnd w:id="820"/>
      <w:bookmarkEnd w:id="821"/>
      <w:bookmarkEnd w:id="822"/>
    </w:p>
    <w:bookmarkEnd w:id="782"/>
    <w:bookmarkEnd w:id="783"/>
    <w:p w:rsidR="00EC4728" w:rsidRPr="008B0822" w:rsidRDefault="00EC4728" w:rsidP="008B0822">
      <w:pPr>
        <w:pStyle w:val="Item-Trainho"/>
      </w:pPr>
      <w:r w:rsidRPr="008B0822">
        <w:t>BRASIL. Companhia Ambiental do Estado de São Paulo – CETESB; Agência Nacional das Águas – ANA. Guia nacional de coleta e preservação de amostras: água, sedimento, comunidades aquáticas e efluentes líquidos. São Paulo: CETESB; Brasília: ANA, 2011. 326</w:t>
      </w:r>
      <w:r w:rsidR="00FF64D3">
        <w:t xml:space="preserve"> </w:t>
      </w:r>
      <w:r w:rsidRPr="008B0822">
        <w:t>p.</w:t>
      </w:r>
    </w:p>
    <w:p w:rsidR="00FF206A" w:rsidRPr="00F94909" w:rsidRDefault="00FF206A" w:rsidP="00431A97">
      <w:pPr>
        <w:pStyle w:val="Ttulo3"/>
        <w:numPr>
          <w:ilvl w:val="2"/>
          <w:numId w:val="51"/>
        </w:numPr>
        <w:spacing w:after="240"/>
        <w:rPr>
          <w:rFonts w:ascii="Arial Negrito" w:hAnsi="Arial Negrito"/>
          <w:bCs/>
        </w:rPr>
      </w:pPr>
      <w:bookmarkStart w:id="823" w:name="_Toc418758356"/>
      <w:bookmarkStart w:id="824" w:name="_Toc418758958"/>
      <w:bookmarkStart w:id="825" w:name="_Toc419813716"/>
      <w:r w:rsidRPr="00F94909">
        <w:rPr>
          <w:rFonts w:ascii="Arial Negrito" w:hAnsi="Arial Negrito"/>
          <w:bCs/>
        </w:rPr>
        <w:t>Programa de Recuperação de Áreas Degradadas</w:t>
      </w:r>
      <w:bookmarkEnd w:id="823"/>
      <w:bookmarkEnd w:id="824"/>
      <w:bookmarkEnd w:id="825"/>
    </w:p>
    <w:p w:rsidR="00F22878" w:rsidRPr="00F94909" w:rsidRDefault="00F22878" w:rsidP="00431A97">
      <w:pPr>
        <w:pStyle w:val="Ttulo3"/>
        <w:numPr>
          <w:ilvl w:val="3"/>
          <w:numId w:val="51"/>
        </w:numPr>
        <w:rPr>
          <w:rFonts w:ascii="Arial Negrito" w:eastAsia="Batang" w:hAnsi="Arial Negrito" w:hint="eastAsia"/>
          <w:bCs/>
          <w:lang w:eastAsia="en-US"/>
        </w:rPr>
      </w:pPr>
      <w:bookmarkStart w:id="826" w:name="_Toc418758357"/>
      <w:bookmarkStart w:id="827" w:name="_Toc418758959"/>
      <w:bookmarkStart w:id="828" w:name="_Toc419813717"/>
      <w:r w:rsidRPr="00F94909">
        <w:rPr>
          <w:rFonts w:ascii="Arial Negrito" w:eastAsia="Batang" w:hAnsi="Arial Negrito"/>
          <w:bCs/>
          <w:lang w:eastAsia="en-US"/>
        </w:rPr>
        <w:t>Apresentação e Justificativa</w:t>
      </w:r>
      <w:bookmarkEnd w:id="826"/>
      <w:bookmarkEnd w:id="827"/>
      <w:bookmarkEnd w:id="828"/>
    </w:p>
    <w:p w:rsidR="00F22878" w:rsidRPr="00F22878" w:rsidRDefault="00F22878" w:rsidP="00F207F1">
      <w:pPr>
        <w:spacing w:before="120" w:after="120" w:line="240" w:lineRule="auto"/>
        <w:rPr>
          <w:rFonts w:eastAsia="Batang"/>
          <w:szCs w:val="24"/>
          <w:lang w:eastAsia="en-US"/>
        </w:rPr>
      </w:pPr>
      <w:r w:rsidRPr="00F22878">
        <w:rPr>
          <w:rFonts w:eastAsia="Batang"/>
          <w:szCs w:val="24"/>
          <w:lang w:eastAsia="en-US"/>
        </w:rPr>
        <w:t>A exploração de áreas de empréstimo de solo e pedreiras para construção das barragens, de canteiros e demais instalações necessárias para as obras relacionadas à implantação dos empreendimentos, podem resultar em áreas degradadas.</w:t>
      </w:r>
    </w:p>
    <w:p w:rsidR="00F22878" w:rsidRPr="00F22878" w:rsidRDefault="00F22878" w:rsidP="00F207F1">
      <w:pPr>
        <w:spacing w:before="120" w:after="120" w:line="240" w:lineRule="auto"/>
        <w:rPr>
          <w:rFonts w:cs="Arial"/>
          <w:szCs w:val="22"/>
        </w:rPr>
      </w:pPr>
      <w:r w:rsidRPr="00F22878">
        <w:rPr>
          <w:rFonts w:cs="Arial"/>
          <w:szCs w:val="22"/>
        </w:rPr>
        <w:t>Todas as áreas degradadas deverão ser recuperadas e todas as intervenções necessárias para construção das Barragens deverão ser projetadas de forma a minimizar os custos da recuperação, caso necessário.</w:t>
      </w:r>
    </w:p>
    <w:p w:rsidR="00F22878" w:rsidRPr="00F22878" w:rsidRDefault="00F22878" w:rsidP="00F207F1">
      <w:pPr>
        <w:spacing w:before="120" w:after="120" w:line="240" w:lineRule="auto"/>
        <w:rPr>
          <w:rFonts w:cs="Arial"/>
          <w:szCs w:val="22"/>
        </w:rPr>
      </w:pPr>
      <w:r w:rsidRPr="00F22878">
        <w:rPr>
          <w:rFonts w:cs="Arial"/>
          <w:szCs w:val="22"/>
        </w:rPr>
        <w:t>Os volumes de corte e aterro e a retirada da vegetação original deverão ser os menores possíveis, evitando-se a exposição desnecessária do solo aos agentes de erosão. Deve ser dada especial atenção aos sistemas de drenagem das águas superficiais, também, para evitar erosões e assoreamento dos canais fluviais.</w:t>
      </w:r>
    </w:p>
    <w:p w:rsidR="00F22878" w:rsidRPr="00F22878" w:rsidRDefault="00F22878" w:rsidP="00F207F1">
      <w:pPr>
        <w:spacing w:before="120" w:after="120" w:line="240" w:lineRule="auto"/>
        <w:rPr>
          <w:rFonts w:cs="Arial"/>
          <w:szCs w:val="22"/>
        </w:rPr>
      </w:pPr>
      <w:r w:rsidRPr="00F22878">
        <w:rPr>
          <w:rFonts w:cs="Arial"/>
          <w:szCs w:val="22"/>
        </w:rPr>
        <w:t>As áreas de empréstimo e bota-fora deverão ficar situadas dentro das áreas a serem inundadas pelos futuros reservatórios, pelo que poderão dispensar de medidas de recuperação, nessa situação.</w:t>
      </w:r>
    </w:p>
    <w:p w:rsidR="00F22878" w:rsidRPr="00F22878" w:rsidRDefault="00F22878" w:rsidP="00F207F1">
      <w:pPr>
        <w:spacing w:before="120" w:after="120" w:line="240" w:lineRule="auto"/>
        <w:rPr>
          <w:rFonts w:eastAsia="Batang"/>
          <w:szCs w:val="24"/>
          <w:lang w:eastAsia="en-US"/>
        </w:rPr>
      </w:pPr>
      <w:r w:rsidRPr="00F22878">
        <w:rPr>
          <w:rFonts w:eastAsia="Batang"/>
          <w:szCs w:val="24"/>
          <w:lang w:eastAsia="en-US"/>
        </w:rPr>
        <w:t>Nos casos em que a revegetação for a forma mais adequada de recuperação deverá ser levada em consideração a vegetação nativa da região e os usos das áreas lindeiras, buscando uma harmonização com a paisagem do entorno.</w:t>
      </w:r>
    </w:p>
    <w:p w:rsidR="00F22878" w:rsidRPr="00F22878" w:rsidRDefault="00F22878" w:rsidP="00F207F1">
      <w:pPr>
        <w:spacing w:before="120" w:after="120" w:line="240" w:lineRule="auto"/>
        <w:rPr>
          <w:rFonts w:eastAsia="Batang"/>
          <w:szCs w:val="24"/>
          <w:lang w:eastAsia="en-US"/>
        </w:rPr>
      </w:pPr>
      <w:r w:rsidRPr="00F22878">
        <w:rPr>
          <w:rFonts w:eastAsia="Batang"/>
          <w:szCs w:val="24"/>
          <w:lang w:eastAsia="en-US"/>
        </w:rPr>
        <w:t>As áreas junto às edificações permanentes receberão tratamento paisagístico para se adequar a fase de operação.</w:t>
      </w:r>
    </w:p>
    <w:p w:rsidR="00F22878" w:rsidRPr="00F22878" w:rsidRDefault="00F22878" w:rsidP="00F207F1">
      <w:pPr>
        <w:spacing w:before="120" w:after="120" w:line="240" w:lineRule="auto"/>
        <w:rPr>
          <w:rFonts w:eastAsia="Batang"/>
          <w:szCs w:val="24"/>
          <w:lang w:eastAsia="en-US"/>
        </w:rPr>
      </w:pPr>
      <w:r w:rsidRPr="00F22878">
        <w:rPr>
          <w:rFonts w:eastAsia="Batang"/>
          <w:szCs w:val="24"/>
          <w:lang w:eastAsia="en-US"/>
        </w:rPr>
        <w:t>Os Canteiros de Obras deverão ser implantados em locais próximos às obras, abrangendo uma área de 3,0 ha, no caso da Barragem Pedreira e 2,0 ha no caso da Barragem Duas Pontes, dos quais estima-se que cerca de 80% dessas áreas tenham que ser recuperada (4,0 ha).</w:t>
      </w:r>
    </w:p>
    <w:p w:rsidR="00F22878" w:rsidRPr="00F22878" w:rsidRDefault="00F22878" w:rsidP="00F207F1">
      <w:pPr>
        <w:spacing w:before="120" w:after="120" w:line="240" w:lineRule="auto"/>
        <w:rPr>
          <w:rFonts w:eastAsia="Batang"/>
          <w:szCs w:val="24"/>
          <w:lang w:eastAsia="en-US"/>
        </w:rPr>
      </w:pPr>
      <w:r w:rsidRPr="00F22878">
        <w:rPr>
          <w:rFonts w:eastAsia="Batang"/>
          <w:szCs w:val="24"/>
          <w:lang w:eastAsia="en-US"/>
        </w:rPr>
        <w:t xml:space="preserve">As áreas localizadas logo a jusante do eixo das barragens que compõem a ADA têm uma extensão da ordem de </w:t>
      </w:r>
      <w:r w:rsidR="00CA5534">
        <w:rPr>
          <w:rFonts w:eastAsia="Batang"/>
          <w:szCs w:val="24"/>
          <w:lang w:eastAsia="en-US"/>
        </w:rPr>
        <w:t>40</w:t>
      </w:r>
      <w:r w:rsidRPr="00F22878">
        <w:rPr>
          <w:rFonts w:eastAsia="Batang"/>
          <w:szCs w:val="24"/>
          <w:lang w:eastAsia="en-US"/>
        </w:rPr>
        <w:t xml:space="preserve">,0 ha na Barragem Pedreira e </w:t>
      </w:r>
      <w:r w:rsidR="00CA5534" w:rsidRPr="00F22878">
        <w:rPr>
          <w:rFonts w:eastAsia="Batang"/>
          <w:szCs w:val="24"/>
          <w:lang w:eastAsia="en-US"/>
        </w:rPr>
        <w:t>3</w:t>
      </w:r>
      <w:r w:rsidR="00CA5534">
        <w:rPr>
          <w:rFonts w:eastAsia="Batang"/>
          <w:szCs w:val="24"/>
          <w:lang w:eastAsia="en-US"/>
        </w:rPr>
        <w:t>1</w:t>
      </w:r>
      <w:r w:rsidRPr="00F22878">
        <w:rPr>
          <w:rFonts w:eastAsia="Batang"/>
          <w:szCs w:val="24"/>
          <w:lang w:eastAsia="en-US"/>
        </w:rPr>
        <w:t>,0 ha na Barragem Duas Pontes. Essas áreas devem ser ocupadas pelas estruturas e equipamentos que integram o empreendimento, tais como a barragem propriamente tal, o vertedouro, o canal de fuga, adutora e válvula redutora, escada para peixes, espaço para futura implantação de casa de força, canteiros, acessos e outras edificações, ocupando uma área aproximada de 9,0 ha na Barragem Pedreira e 18,0 ha na Barragem Duas Pontes. Estima-se que cerca de 3,0 ha e 2,0 ha devam ser recompostas, respectivamente, nas Barragens Pedreira e Duas Pontes.</w:t>
      </w:r>
      <w:r w:rsidR="00CA5534">
        <w:rPr>
          <w:rFonts w:eastAsia="Batang"/>
          <w:szCs w:val="24"/>
          <w:lang w:eastAsia="en-US"/>
        </w:rPr>
        <w:t xml:space="preserve"> </w:t>
      </w:r>
      <w:r w:rsidRPr="00F22878">
        <w:rPr>
          <w:rFonts w:eastAsia="Batang"/>
          <w:szCs w:val="24"/>
          <w:lang w:eastAsia="en-US"/>
        </w:rPr>
        <w:t>As áreas de empréstimo de solo, cascalho e enrocamento, estão localizadas logo a montante dos eixos das barragens, não sendo necessária a sua recuperação, já que as áreas serão inundadas pelo reservatório.</w:t>
      </w:r>
    </w:p>
    <w:p w:rsidR="00F22878" w:rsidRPr="00F22878" w:rsidRDefault="00F22878" w:rsidP="00F207F1">
      <w:pPr>
        <w:spacing w:before="120" w:after="120" w:line="240" w:lineRule="auto"/>
      </w:pPr>
      <w:r w:rsidRPr="00F22878">
        <w:t>Nos casos em que o material for comprado de fornecedores comerciais, legalmente estabelecidos para exercer a atividade, estes é que deverão se responsabilizar pela recuperação das áreas degradadas nas suas jazidas.</w:t>
      </w:r>
    </w:p>
    <w:p w:rsidR="00F22878" w:rsidRPr="00F94909" w:rsidRDefault="00F22878" w:rsidP="00431A97">
      <w:pPr>
        <w:pStyle w:val="Ttulo3"/>
        <w:numPr>
          <w:ilvl w:val="3"/>
          <w:numId w:val="51"/>
        </w:numPr>
        <w:rPr>
          <w:rFonts w:ascii="Arial Negrito" w:eastAsia="Batang" w:hAnsi="Arial Negrito" w:hint="eastAsia"/>
          <w:bCs/>
          <w:lang w:eastAsia="en-US"/>
        </w:rPr>
      </w:pPr>
      <w:bookmarkStart w:id="829" w:name="_Toc418758358"/>
      <w:bookmarkStart w:id="830" w:name="_Toc418758960"/>
      <w:bookmarkStart w:id="831" w:name="_Toc419813718"/>
      <w:r w:rsidRPr="00F94909">
        <w:rPr>
          <w:rFonts w:ascii="Arial Negrito" w:eastAsia="Batang" w:hAnsi="Arial Negrito"/>
          <w:bCs/>
          <w:lang w:eastAsia="en-US"/>
        </w:rPr>
        <w:t>Objetivos</w:t>
      </w:r>
      <w:bookmarkEnd w:id="829"/>
      <w:bookmarkEnd w:id="830"/>
      <w:bookmarkEnd w:id="831"/>
    </w:p>
    <w:p w:rsidR="00F22878" w:rsidRPr="00F22878" w:rsidRDefault="00F22878" w:rsidP="00F207F1">
      <w:pPr>
        <w:spacing w:before="120" w:after="120" w:line="240" w:lineRule="auto"/>
        <w:rPr>
          <w:rFonts w:eastAsia="Batang"/>
          <w:szCs w:val="24"/>
          <w:lang w:eastAsia="en-US"/>
        </w:rPr>
      </w:pPr>
      <w:r w:rsidRPr="00F22878">
        <w:rPr>
          <w:rFonts w:eastAsia="Batang"/>
          <w:szCs w:val="24"/>
          <w:lang w:eastAsia="en-US"/>
        </w:rPr>
        <w:t>Definir o uso futuro e as medidas para recomposição das áreas degradadas pela implantação do Empreendimento.</w:t>
      </w:r>
    </w:p>
    <w:p w:rsidR="00F22878" w:rsidRPr="00F94909" w:rsidRDefault="00F22878" w:rsidP="00431A97">
      <w:pPr>
        <w:pStyle w:val="Ttulo3"/>
        <w:numPr>
          <w:ilvl w:val="3"/>
          <w:numId w:val="51"/>
        </w:numPr>
        <w:rPr>
          <w:rFonts w:ascii="Arial Negrito" w:eastAsia="Batang" w:hAnsi="Arial Negrito" w:hint="eastAsia"/>
          <w:bCs/>
          <w:lang w:eastAsia="en-US"/>
        </w:rPr>
      </w:pPr>
      <w:bookmarkStart w:id="832" w:name="_Toc418758359"/>
      <w:bookmarkStart w:id="833" w:name="_Toc418758961"/>
      <w:bookmarkStart w:id="834" w:name="_Toc419813719"/>
      <w:r w:rsidRPr="00F94909">
        <w:rPr>
          <w:rFonts w:ascii="Arial Negrito" w:eastAsia="Batang" w:hAnsi="Arial Negrito"/>
          <w:bCs/>
          <w:lang w:eastAsia="en-US"/>
        </w:rPr>
        <w:t>Metas</w:t>
      </w:r>
      <w:bookmarkEnd w:id="832"/>
      <w:bookmarkEnd w:id="833"/>
      <w:bookmarkEnd w:id="834"/>
    </w:p>
    <w:p w:rsidR="00F22878" w:rsidRPr="00F22878" w:rsidRDefault="00F22878" w:rsidP="00F22878">
      <w:pPr>
        <w:spacing w:before="120" w:after="120" w:line="240" w:lineRule="auto"/>
        <w:rPr>
          <w:rFonts w:eastAsia="Batang"/>
          <w:szCs w:val="24"/>
          <w:lang w:eastAsia="en-US"/>
        </w:rPr>
      </w:pPr>
      <w:r w:rsidRPr="00F22878">
        <w:rPr>
          <w:rFonts w:eastAsia="Batang"/>
          <w:szCs w:val="24"/>
          <w:lang w:eastAsia="en-US"/>
        </w:rPr>
        <w:t>Reintegração das áreas degradadas à paisagem do entorno, de acordo com o uso pretendido, priorizando o reafeiçoamento do terreno e recomposição da vegetação nativa. Desta forma devem ser também controlados os processos erosivos de forma a evitar o assoreamento de cursos de água.</w:t>
      </w:r>
    </w:p>
    <w:p w:rsidR="00F22878" w:rsidRPr="00F22878" w:rsidRDefault="00F22878" w:rsidP="00F207F1">
      <w:pPr>
        <w:spacing w:before="120" w:after="120" w:line="240" w:lineRule="auto"/>
        <w:rPr>
          <w:rFonts w:eastAsia="Batang"/>
          <w:szCs w:val="24"/>
          <w:lang w:eastAsia="en-US"/>
        </w:rPr>
      </w:pPr>
      <w:r w:rsidRPr="00F22878">
        <w:rPr>
          <w:rFonts w:eastAsia="Batang"/>
          <w:szCs w:val="24"/>
          <w:lang w:eastAsia="en-US"/>
        </w:rPr>
        <w:t>Está prevista a recomposição das seguintes áreas:</w:t>
      </w:r>
    </w:p>
    <w:p w:rsidR="00F22878" w:rsidRPr="00F94909" w:rsidRDefault="00F22878" w:rsidP="00F207F1">
      <w:pPr>
        <w:spacing w:line="240" w:lineRule="auto"/>
        <w:rPr>
          <w:rFonts w:eastAsia="Batang"/>
          <w:b/>
          <w:szCs w:val="24"/>
          <w:lang w:eastAsia="en-US"/>
        </w:rPr>
      </w:pPr>
      <w:r w:rsidRPr="00F94909">
        <w:rPr>
          <w:rFonts w:eastAsia="Batang"/>
          <w:b/>
          <w:szCs w:val="24"/>
          <w:lang w:eastAsia="en-US"/>
        </w:rPr>
        <w:t xml:space="preserve">Barragem Pedreira: </w:t>
      </w:r>
    </w:p>
    <w:p w:rsidR="00F22878" w:rsidRPr="00F22878" w:rsidRDefault="00F22878" w:rsidP="00F94909">
      <w:pPr>
        <w:pStyle w:val="Item-Trainho"/>
        <w:rPr>
          <w:rFonts w:eastAsia="Batang"/>
          <w:lang w:eastAsia="en-US"/>
        </w:rPr>
      </w:pPr>
      <w:r w:rsidRPr="00F22878">
        <w:rPr>
          <w:rFonts w:eastAsia="Batang"/>
          <w:lang w:eastAsia="en-US"/>
        </w:rPr>
        <w:t xml:space="preserve">Canteiro de Obras </w:t>
      </w:r>
      <w:r w:rsidRPr="00F22878">
        <w:rPr>
          <w:rFonts w:eastAsia="Batang"/>
          <w:lang w:eastAsia="en-US"/>
        </w:rPr>
        <w:tab/>
      </w:r>
      <w:r w:rsidRPr="00F22878">
        <w:rPr>
          <w:rFonts w:eastAsia="Batang"/>
          <w:lang w:eastAsia="en-US"/>
        </w:rPr>
        <w:tab/>
      </w:r>
      <w:r w:rsidRPr="00F22878">
        <w:rPr>
          <w:rFonts w:eastAsia="Batang"/>
          <w:lang w:eastAsia="en-US"/>
        </w:rPr>
        <w:tab/>
      </w:r>
      <w:r w:rsidR="00656EA3">
        <w:rPr>
          <w:rFonts w:eastAsia="Batang"/>
          <w:lang w:eastAsia="en-US"/>
        </w:rPr>
        <w:tab/>
      </w:r>
      <w:r w:rsidRPr="00F22878">
        <w:rPr>
          <w:rFonts w:eastAsia="Batang"/>
          <w:lang w:eastAsia="en-US"/>
        </w:rPr>
        <w:t>2,4 ha</w:t>
      </w:r>
      <w:r>
        <w:rPr>
          <w:rFonts w:eastAsia="Batang"/>
          <w:lang w:eastAsia="en-US"/>
        </w:rPr>
        <w:t>;</w:t>
      </w:r>
    </w:p>
    <w:p w:rsidR="00F22878" w:rsidRPr="00F22878" w:rsidRDefault="00F22878" w:rsidP="00F94909">
      <w:pPr>
        <w:pStyle w:val="Item-Trainho"/>
        <w:rPr>
          <w:rFonts w:eastAsia="Batang"/>
          <w:lang w:eastAsia="en-US"/>
        </w:rPr>
      </w:pPr>
      <w:r w:rsidRPr="00F22878">
        <w:rPr>
          <w:rFonts w:eastAsia="Batang"/>
          <w:lang w:eastAsia="en-US"/>
        </w:rPr>
        <w:t>Áreas de</w:t>
      </w:r>
      <w:r>
        <w:rPr>
          <w:rFonts w:eastAsia="Batang"/>
          <w:lang w:eastAsia="en-US"/>
        </w:rPr>
        <w:t xml:space="preserve"> jusante do eixo da Barragem </w:t>
      </w:r>
      <w:r>
        <w:rPr>
          <w:rFonts w:eastAsia="Batang"/>
          <w:lang w:eastAsia="en-US"/>
        </w:rPr>
        <w:tab/>
      </w:r>
      <w:r w:rsidR="00656EA3">
        <w:rPr>
          <w:rFonts w:eastAsia="Batang"/>
          <w:lang w:eastAsia="en-US"/>
        </w:rPr>
        <w:tab/>
      </w:r>
      <w:r w:rsidRPr="00F22878">
        <w:rPr>
          <w:rFonts w:eastAsia="Batang"/>
          <w:lang w:eastAsia="en-US"/>
        </w:rPr>
        <w:t>3,0 ha</w:t>
      </w:r>
      <w:r>
        <w:rPr>
          <w:rFonts w:eastAsia="Batang"/>
          <w:lang w:eastAsia="en-US"/>
        </w:rPr>
        <w:t>;</w:t>
      </w:r>
    </w:p>
    <w:p w:rsidR="00F22878" w:rsidRDefault="00F22878" w:rsidP="00F94909">
      <w:pPr>
        <w:pStyle w:val="Item-Trainho"/>
        <w:rPr>
          <w:rFonts w:eastAsia="Batang"/>
          <w:lang w:eastAsia="en-US"/>
        </w:rPr>
      </w:pPr>
      <w:r w:rsidRPr="00F22878">
        <w:rPr>
          <w:rFonts w:eastAsia="Batang"/>
          <w:lang w:eastAsia="en-US"/>
        </w:rPr>
        <w:t>Áreas de empréstimo</w:t>
      </w:r>
      <w:r>
        <w:rPr>
          <w:rFonts w:eastAsia="Batang"/>
          <w:lang w:eastAsia="en-US"/>
        </w:rPr>
        <w:t xml:space="preserve">: </w:t>
      </w:r>
      <w:r w:rsidRPr="00F22878">
        <w:rPr>
          <w:rFonts w:eastAsia="Batang"/>
          <w:lang w:eastAsia="en-US"/>
        </w:rPr>
        <w:t>Serão inundadas pela formação dos reservatórios.</w:t>
      </w:r>
    </w:p>
    <w:p w:rsidR="00F22878" w:rsidRPr="00F94909" w:rsidRDefault="00F22878" w:rsidP="00F207F1">
      <w:pPr>
        <w:spacing w:line="240" w:lineRule="auto"/>
        <w:rPr>
          <w:rFonts w:eastAsia="Batang"/>
          <w:b/>
          <w:szCs w:val="24"/>
          <w:lang w:eastAsia="en-US"/>
        </w:rPr>
      </w:pPr>
      <w:r w:rsidRPr="00F94909">
        <w:rPr>
          <w:rFonts w:eastAsia="Batang"/>
          <w:b/>
          <w:szCs w:val="24"/>
          <w:lang w:eastAsia="en-US"/>
        </w:rPr>
        <w:t>Barragem Duas Pontes:</w:t>
      </w:r>
    </w:p>
    <w:p w:rsidR="00F22878" w:rsidRPr="00F22878" w:rsidRDefault="00F22878" w:rsidP="00F94909">
      <w:pPr>
        <w:pStyle w:val="Item-Trainho"/>
        <w:rPr>
          <w:rFonts w:eastAsia="Batang"/>
          <w:lang w:eastAsia="en-US"/>
        </w:rPr>
      </w:pPr>
      <w:r w:rsidRPr="00F22878">
        <w:rPr>
          <w:rFonts w:eastAsia="Batang"/>
          <w:lang w:eastAsia="en-US"/>
        </w:rPr>
        <w:t xml:space="preserve">Canteiro de Obras </w:t>
      </w:r>
      <w:r w:rsidRPr="00F22878">
        <w:rPr>
          <w:rFonts w:eastAsia="Batang"/>
          <w:lang w:eastAsia="en-US"/>
        </w:rPr>
        <w:tab/>
      </w:r>
      <w:r w:rsidRPr="00F22878">
        <w:rPr>
          <w:rFonts w:eastAsia="Batang"/>
          <w:lang w:eastAsia="en-US"/>
        </w:rPr>
        <w:tab/>
      </w:r>
      <w:r w:rsidRPr="00F22878">
        <w:rPr>
          <w:rFonts w:eastAsia="Batang"/>
          <w:lang w:eastAsia="en-US"/>
        </w:rPr>
        <w:tab/>
      </w:r>
      <w:r w:rsidR="00656EA3">
        <w:rPr>
          <w:rFonts w:eastAsia="Batang"/>
          <w:lang w:eastAsia="en-US"/>
        </w:rPr>
        <w:tab/>
      </w:r>
      <w:r w:rsidRPr="00F22878">
        <w:rPr>
          <w:rFonts w:eastAsia="Batang"/>
          <w:lang w:eastAsia="en-US"/>
        </w:rPr>
        <w:t>1,6 ha</w:t>
      </w:r>
      <w:r>
        <w:rPr>
          <w:rFonts w:eastAsia="Batang"/>
          <w:lang w:eastAsia="en-US"/>
        </w:rPr>
        <w:t>;</w:t>
      </w:r>
    </w:p>
    <w:p w:rsidR="00F22878" w:rsidRPr="00F22878" w:rsidRDefault="00F22878" w:rsidP="00F94909">
      <w:pPr>
        <w:pStyle w:val="Item-Trainho"/>
        <w:rPr>
          <w:rFonts w:eastAsia="Batang"/>
          <w:lang w:eastAsia="en-US"/>
        </w:rPr>
      </w:pPr>
      <w:r w:rsidRPr="00F22878">
        <w:rPr>
          <w:rFonts w:eastAsia="Batang"/>
          <w:lang w:eastAsia="en-US"/>
        </w:rPr>
        <w:t>Áreas de jusante do eixo d</w:t>
      </w:r>
      <w:r>
        <w:rPr>
          <w:rFonts w:eastAsia="Batang"/>
          <w:lang w:eastAsia="en-US"/>
        </w:rPr>
        <w:t xml:space="preserve">a Barragem </w:t>
      </w:r>
      <w:r>
        <w:rPr>
          <w:rFonts w:eastAsia="Batang"/>
          <w:lang w:eastAsia="en-US"/>
        </w:rPr>
        <w:tab/>
      </w:r>
      <w:r w:rsidR="00656EA3">
        <w:rPr>
          <w:rFonts w:eastAsia="Batang"/>
          <w:lang w:eastAsia="en-US"/>
        </w:rPr>
        <w:tab/>
      </w:r>
      <w:r w:rsidRPr="00F22878">
        <w:rPr>
          <w:rFonts w:eastAsia="Batang"/>
          <w:lang w:eastAsia="en-US"/>
        </w:rPr>
        <w:t>2</w:t>
      </w:r>
      <w:r>
        <w:rPr>
          <w:rFonts w:eastAsia="Batang"/>
          <w:lang w:eastAsia="en-US"/>
        </w:rPr>
        <w:t>,0</w:t>
      </w:r>
      <w:r w:rsidRPr="00F22878">
        <w:rPr>
          <w:rFonts w:eastAsia="Batang"/>
          <w:lang w:eastAsia="en-US"/>
        </w:rPr>
        <w:t xml:space="preserve"> ha</w:t>
      </w:r>
      <w:r>
        <w:rPr>
          <w:rFonts w:eastAsia="Batang"/>
          <w:lang w:eastAsia="en-US"/>
        </w:rPr>
        <w:t>;</w:t>
      </w:r>
    </w:p>
    <w:p w:rsidR="00F22878" w:rsidRDefault="00F22878" w:rsidP="00F94909">
      <w:pPr>
        <w:pStyle w:val="Item-Trainho"/>
        <w:rPr>
          <w:rFonts w:eastAsia="Batang"/>
          <w:lang w:eastAsia="en-US"/>
        </w:rPr>
      </w:pPr>
      <w:r w:rsidRPr="00F22878">
        <w:rPr>
          <w:rFonts w:eastAsia="Batang"/>
          <w:lang w:eastAsia="en-US"/>
        </w:rPr>
        <w:t>Áreas de empréstimo</w:t>
      </w:r>
      <w:r>
        <w:rPr>
          <w:rFonts w:eastAsia="Batang"/>
          <w:lang w:eastAsia="en-US"/>
        </w:rPr>
        <w:t xml:space="preserve">: </w:t>
      </w:r>
      <w:r w:rsidRPr="00F22878">
        <w:rPr>
          <w:rFonts w:eastAsia="Batang"/>
          <w:lang w:eastAsia="en-US"/>
        </w:rPr>
        <w:t>Serão inundadas pela formação dos reservatórios.</w:t>
      </w:r>
    </w:p>
    <w:p w:rsidR="00F22878" w:rsidRPr="00F94909" w:rsidRDefault="00F94909" w:rsidP="000822C6">
      <w:pPr>
        <w:pStyle w:val="Ttulo3"/>
        <w:spacing w:after="240"/>
        <w:rPr>
          <w:rFonts w:ascii="Arial Negrito" w:eastAsia="Batang" w:hAnsi="Arial Negrito" w:hint="eastAsia"/>
          <w:b w:val="0"/>
          <w:szCs w:val="24"/>
          <w:lang w:eastAsia="en-US"/>
        </w:rPr>
      </w:pPr>
      <w:bookmarkStart w:id="835" w:name="_Toc418758360"/>
      <w:bookmarkStart w:id="836" w:name="_Toc418758962"/>
      <w:bookmarkStart w:id="837" w:name="_Toc419813720"/>
      <w:r>
        <w:rPr>
          <w:rFonts w:ascii="Arial Negrito" w:eastAsia="Batang" w:hAnsi="Arial Negrito"/>
          <w:b w:val="0"/>
          <w:szCs w:val="24"/>
          <w:lang w:eastAsia="en-US"/>
        </w:rPr>
        <w:t xml:space="preserve">3.3.4.4. </w:t>
      </w:r>
      <w:r w:rsidR="00F22878" w:rsidRPr="00F94909">
        <w:rPr>
          <w:rFonts w:ascii="Arial Negrito" w:eastAsia="Batang" w:hAnsi="Arial Negrito"/>
          <w:b w:val="0"/>
          <w:szCs w:val="24"/>
          <w:lang w:eastAsia="en-US"/>
        </w:rPr>
        <w:t>Público-</w:t>
      </w:r>
      <w:r w:rsidR="000822C6">
        <w:rPr>
          <w:rFonts w:ascii="Arial Negrito" w:eastAsia="Batang" w:hAnsi="Arial Negrito"/>
          <w:b w:val="0"/>
          <w:szCs w:val="24"/>
          <w:lang w:eastAsia="en-US"/>
        </w:rPr>
        <w:t>A</w:t>
      </w:r>
      <w:r w:rsidR="00F22878" w:rsidRPr="00F94909">
        <w:rPr>
          <w:rFonts w:ascii="Arial Negrito" w:eastAsia="Batang" w:hAnsi="Arial Negrito"/>
          <w:b w:val="0"/>
          <w:szCs w:val="24"/>
          <w:lang w:eastAsia="en-US"/>
        </w:rPr>
        <w:t>lvo</w:t>
      </w:r>
      <w:bookmarkEnd w:id="835"/>
      <w:bookmarkEnd w:id="836"/>
      <w:bookmarkEnd w:id="837"/>
    </w:p>
    <w:p w:rsidR="00F22878" w:rsidRPr="00F22878" w:rsidRDefault="00F22878" w:rsidP="00F207F1">
      <w:pPr>
        <w:spacing w:before="120" w:after="120" w:line="240" w:lineRule="auto"/>
        <w:contextualSpacing/>
        <w:rPr>
          <w:rFonts w:eastAsia="Calibri" w:cs="Arial"/>
          <w:szCs w:val="22"/>
          <w:lang w:eastAsia="en-US"/>
        </w:rPr>
      </w:pPr>
      <w:r w:rsidRPr="00F22878">
        <w:rPr>
          <w:rFonts w:eastAsia="Calibri" w:cs="Arial"/>
          <w:szCs w:val="22"/>
          <w:lang w:eastAsia="en-US"/>
        </w:rPr>
        <w:t>O público-alvo este programa é o Empreendedor, a Empresa responsável pela obra e os habitantes e frequentadores das áreas lindeiras ao empreendimento.</w:t>
      </w:r>
    </w:p>
    <w:p w:rsidR="00F22878" w:rsidRPr="00F94909" w:rsidRDefault="00F94909" w:rsidP="00F94909">
      <w:pPr>
        <w:pStyle w:val="Ttulo3"/>
        <w:rPr>
          <w:rFonts w:ascii="Arial Negrito" w:eastAsia="Batang" w:hAnsi="Arial Negrito" w:hint="eastAsia"/>
          <w:bCs/>
          <w:lang w:eastAsia="en-US"/>
        </w:rPr>
      </w:pPr>
      <w:bookmarkStart w:id="838" w:name="_Toc418758361"/>
      <w:bookmarkStart w:id="839" w:name="_Toc418758963"/>
      <w:bookmarkStart w:id="840" w:name="_Toc419813721"/>
      <w:r>
        <w:rPr>
          <w:rFonts w:ascii="Arial Negrito" w:eastAsia="Batang" w:hAnsi="Arial Negrito"/>
          <w:bCs/>
          <w:lang w:eastAsia="en-US"/>
        </w:rPr>
        <w:t xml:space="preserve">3.3.4.5. </w:t>
      </w:r>
      <w:r w:rsidR="00F22878" w:rsidRPr="00F94909">
        <w:rPr>
          <w:rFonts w:ascii="Arial Negrito" w:eastAsia="Batang" w:hAnsi="Arial Negrito"/>
          <w:bCs/>
          <w:lang w:eastAsia="en-US"/>
        </w:rPr>
        <w:t>Métodos e Descrição do Programa</w:t>
      </w:r>
      <w:bookmarkEnd w:id="838"/>
      <w:bookmarkEnd w:id="839"/>
      <w:bookmarkEnd w:id="840"/>
    </w:p>
    <w:p w:rsidR="00F22878" w:rsidRPr="00F22878" w:rsidRDefault="00F22878" w:rsidP="00F207F1">
      <w:pPr>
        <w:spacing w:before="120" w:after="120" w:line="240" w:lineRule="auto"/>
        <w:contextualSpacing/>
        <w:rPr>
          <w:rFonts w:eastAsia="Calibri" w:cs="Arial"/>
          <w:szCs w:val="22"/>
          <w:lang w:eastAsia="en-US"/>
        </w:rPr>
      </w:pPr>
      <w:r w:rsidRPr="00F22878">
        <w:rPr>
          <w:rFonts w:eastAsia="Calibri" w:cs="Arial"/>
          <w:szCs w:val="22"/>
          <w:lang w:eastAsia="en-US"/>
        </w:rPr>
        <w:t>São as seguintes as principais ações a serem desenvolvidas para o desenvolvimento do programa:</w:t>
      </w:r>
    </w:p>
    <w:p w:rsidR="00F207F1" w:rsidRPr="00625CBF" w:rsidRDefault="00F22878" w:rsidP="00431A97">
      <w:pPr>
        <w:pStyle w:val="Bolinha"/>
        <w:numPr>
          <w:ilvl w:val="0"/>
          <w:numId w:val="50"/>
        </w:numPr>
        <w:spacing w:after="0"/>
        <w:ind w:left="357" w:hanging="357"/>
        <w:rPr>
          <w:rFonts w:ascii="Arial" w:hAnsi="Arial" w:cs="Arial"/>
          <w:sz w:val="22"/>
          <w:szCs w:val="22"/>
        </w:rPr>
      </w:pPr>
      <w:r w:rsidRPr="00625CBF">
        <w:rPr>
          <w:rFonts w:ascii="Arial" w:hAnsi="Arial" w:cs="Arial"/>
          <w:sz w:val="22"/>
          <w:szCs w:val="22"/>
        </w:rPr>
        <w:t>Identificação das áreas a serem recuperadas e elaboração de projetos de recomposição de cada uma destas áreas;</w:t>
      </w:r>
    </w:p>
    <w:p w:rsidR="00F207F1" w:rsidRPr="00625CBF" w:rsidRDefault="00F22878" w:rsidP="00431A97">
      <w:pPr>
        <w:pStyle w:val="Bolinha"/>
        <w:numPr>
          <w:ilvl w:val="0"/>
          <w:numId w:val="50"/>
        </w:numPr>
        <w:spacing w:after="0"/>
        <w:ind w:left="357" w:hanging="357"/>
        <w:rPr>
          <w:rFonts w:ascii="Arial" w:hAnsi="Arial" w:cs="Arial"/>
          <w:sz w:val="22"/>
          <w:szCs w:val="22"/>
        </w:rPr>
      </w:pPr>
      <w:r w:rsidRPr="00625CBF">
        <w:rPr>
          <w:rFonts w:ascii="Arial" w:hAnsi="Arial" w:cs="Arial"/>
          <w:sz w:val="22"/>
          <w:szCs w:val="22"/>
        </w:rPr>
        <w:t>Implementação das medidas de recuperação, incluindo, remoção e armazenamento do material vegetal e do horizonte superficial, reafeiçoamento do terreno e revegetação;</w:t>
      </w:r>
    </w:p>
    <w:p w:rsidR="00F22878" w:rsidRPr="00625CBF" w:rsidRDefault="00F22878" w:rsidP="00431A97">
      <w:pPr>
        <w:pStyle w:val="Bolinha"/>
        <w:numPr>
          <w:ilvl w:val="0"/>
          <w:numId w:val="50"/>
        </w:numPr>
        <w:spacing w:after="0"/>
        <w:ind w:left="357" w:hanging="357"/>
        <w:rPr>
          <w:rFonts w:ascii="Arial" w:hAnsi="Arial" w:cs="Arial"/>
          <w:sz w:val="22"/>
          <w:szCs w:val="22"/>
        </w:rPr>
      </w:pPr>
      <w:r w:rsidRPr="00625CBF">
        <w:rPr>
          <w:rFonts w:ascii="Arial" w:hAnsi="Arial" w:cs="Arial"/>
          <w:sz w:val="22"/>
          <w:szCs w:val="22"/>
        </w:rPr>
        <w:t>No caso de revegetação deverá ser previsto o acompanhamento e o emprego das medidas necessárias para o desenvolvimento e manutenção da vegetação implantada.</w:t>
      </w:r>
    </w:p>
    <w:p w:rsidR="00F22878" w:rsidRPr="00F94909" w:rsidRDefault="00F94909" w:rsidP="00F94909">
      <w:pPr>
        <w:pStyle w:val="Ttulo3"/>
        <w:rPr>
          <w:rFonts w:ascii="Arial Negrito" w:eastAsia="Batang" w:hAnsi="Arial Negrito" w:hint="eastAsia"/>
          <w:bCs/>
          <w:lang w:eastAsia="en-US"/>
        </w:rPr>
      </w:pPr>
      <w:bookmarkStart w:id="841" w:name="_Toc418758362"/>
      <w:bookmarkStart w:id="842" w:name="_Toc418758964"/>
      <w:bookmarkStart w:id="843" w:name="_Toc419813722"/>
      <w:r>
        <w:rPr>
          <w:rFonts w:ascii="Arial Negrito" w:eastAsia="Batang" w:hAnsi="Arial Negrito"/>
          <w:bCs/>
          <w:lang w:eastAsia="en-US"/>
        </w:rPr>
        <w:t xml:space="preserve">3.3.4.6. </w:t>
      </w:r>
      <w:r w:rsidR="00F22878" w:rsidRPr="00F94909">
        <w:rPr>
          <w:rFonts w:ascii="Arial Negrito" w:eastAsia="Batang" w:hAnsi="Arial Negrito"/>
          <w:bCs/>
          <w:lang w:eastAsia="en-US"/>
        </w:rPr>
        <w:t>Indicadores Ambientais</w:t>
      </w:r>
      <w:bookmarkEnd w:id="841"/>
      <w:bookmarkEnd w:id="842"/>
      <w:bookmarkEnd w:id="843"/>
    </w:p>
    <w:p w:rsidR="00F207F1" w:rsidRPr="00625CBF" w:rsidRDefault="00F22878" w:rsidP="00431A97">
      <w:pPr>
        <w:pStyle w:val="Bolinha"/>
        <w:numPr>
          <w:ilvl w:val="0"/>
          <w:numId w:val="50"/>
        </w:numPr>
        <w:spacing w:after="0"/>
        <w:ind w:left="357" w:hanging="357"/>
        <w:rPr>
          <w:rFonts w:ascii="Arial" w:hAnsi="Arial" w:cs="Arial"/>
          <w:sz w:val="22"/>
          <w:szCs w:val="22"/>
        </w:rPr>
      </w:pPr>
      <w:r w:rsidRPr="00625CBF">
        <w:rPr>
          <w:rFonts w:ascii="Arial" w:hAnsi="Arial" w:cs="Arial"/>
          <w:sz w:val="22"/>
          <w:szCs w:val="22"/>
        </w:rPr>
        <w:t>Evolução da vegetação e mudas plantadas: crescimento e necessidade de replantio;</w:t>
      </w:r>
    </w:p>
    <w:p w:rsidR="00F207F1" w:rsidRPr="00625CBF" w:rsidRDefault="00F22878" w:rsidP="00431A97">
      <w:pPr>
        <w:pStyle w:val="Bolinha"/>
        <w:numPr>
          <w:ilvl w:val="0"/>
          <w:numId w:val="50"/>
        </w:numPr>
        <w:spacing w:after="0"/>
        <w:ind w:left="357" w:hanging="357"/>
        <w:rPr>
          <w:rFonts w:ascii="Arial" w:hAnsi="Arial" w:cs="Arial"/>
          <w:sz w:val="22"/>
          <w:szCs w:val="22"/>
        </w:rPr>
      </w:pPr>
      <w:r w:rsidRPr="00625CBF">
        <w:rPr>
          <w:rFonts w:ascii="Arial" w:hAnsi="Arial" w:cs="Arial"/>
          <w:sz w:val="22"/>
          <w:szCs w:val="22"/>
        </w:rPr>
        <w:t>Acompanhamento do estabelecimento espontâneo de outras espécies vegetais;</w:t>
      </w:r>
    </w:p>
    <w:p w:rsidR="00F207F1" w:rsidRPr="00625CBF" w:rsidRDefault="00F22878" w:rsidP="00431A97">
      <w:pPr>
        <w:pStyle w:val="Bolinha"/>
        <w:numPr>
          <w:ilvl w:val="0"/>
          <w:numId w:val="50"/>
        </w:numPr>
        <w:spacing w:after="0"/>
        <w:ind w:left="357" w:hanging="357"/>
        <w:rPr>
          <w:rFonts w:ascii="Arial" w:hAnsi="Arial" w:cs="Arial"/>
          <w:sz w:val="22"/>
          <w:szCs w:val="22"/>
        </w:rPr>
      </w:pPr>
      <w:r w:rsidRPr="00625CBF">
        <w:rPr>
          <w:rFonts w:ascii="Arial" w:hAnsi="Arial" w:cs="Arial"/>
          <w:sz w:val="22"/>
          <w:szCs w:val="22"/>
        </w:rPr>
        <w:t>Verificação da fauna atraída</w:t>
      </w:r>
      <w:r w:rsidR="00F207F1" w:rsidRPr="00625CBF">
        <w:rPr>
          <w:rFonts w:ascii="Arial" w:hAnsi="Arial" w:cs="Arial"/>
          <w:sz w:val="22"/>
          <w:szCs w:val="22"/>
        </w:rPr>
        <w:t>;</w:t>
      </w:r>
    </w:p>
    <w:p w:rsidR="00F22878" w:rsidRDefault="00F22878" w:rsidP="00431A97">
      <w:pPr>
        <w:pStyle w:val="Bolinha"/>
        <w:numPr>
          <w:ilvl w:val="0"/>
          <w:numId w:val="50"/>
        </w:numPr>
        <w:spacing w:after="0"/>
        <w:ind w:left="357" w:hanging="357"/>
        <w:rPr>
          <w:rFonts w:ascii="Arial" w:hAnsi="Arial" w:cs="Arial"/>
          <w:sz w:val="22"/>
          <w:szCs w:val="22"/>
        </w:rPr>
      </w:pPr>
      <w:r w:rsidRPr="00625CBF">
        <w:rPr>
          <w:rFonts w:ascii="Arial" w:hAnsi="Arial" w:cs="Arial"/>
          <w:sz w:val="22"/>
          <w:szCs w:val="22"/>
        </w:rPr>
        <w:t>Os dois últimos indicadores</w:t>
      </w:r>
      <w:r w:rsidR="00F207F1" w:rsidRPr="00625CBF">
        <w:rPr>
          <w:rFonts w:ascii="Arial" w:hAnsi="Arial" w:cs="Arial"/>
          <w:sz w:val="22"/>
          <w:szCs w:val="22"/>
        </w:rPr>
        <w:t xml:space="preserve"> da qualidade ambiental.</w:t>
      </w:r>
    </w:p>
    <w:p w:rsidR="00F22878" w:rsidRPr="00F94909" w:rsidRDefault="00F94909" w:rsidP="00F94909">
      <w:pPr>
        <w:pStyle w:val="Ttulo3"/>
        <w:rPr>
          <w:rFonts w:ascii="Arial Negrito" w:eastAsia="Batang" w:hAnsi="Arial Negrito" w:hint="eastAsia"/>
          <w:bCs/>
          <w:lang w:eastAsia="en-US"/>
        </w:rPr>
      </w:pPr>
      <w:bookmarkStart w:id="844" w:name="_Toc418758363"/>
      <w:bookmarkStart w:id="845" w:name="_Toc418758965"/>
      <w:bookmarkStart w:id="846" w:name="_Toc419813723"/>
      <w:r>
        <w:rPr>
          <w:rFonts w:ascii="Arial Negrito" w:eastAsia="Batang" w:hAnsi="Arial Negrito"/>
          <w:bCs/>
          <w:lang w:eastAsia="en-US"/>
        </w:rPr>
        <w:t xml:space="preserve">3.3.4.7. </w:t>
      </w:r>
      <w:r w:rsidR="00F22878" w:rsidRPr="00F94909">
        <w:rPr>
          <w:rFonts w:ascii="Arial Negrito" w:eastAsia="Batang" w:hAnsi="Arial Negrito"/>
          <w:bCs/>
          <w:lang w:eastAsia="en-US"/>
        </w:rPr>
        <w:t>Recursos Materiais e Humanos</w:t>
      </w:r>
      <w:bookmarkEnd w:id="844"/>
      <w:bookmarkEnd w:id="845"/>
      <w:bookmarkEnd w:id="846"/>
    </w:p>
    <w:p w:rsidR="00F22878" w:rsidRPr="00F22878" w:rsidRDefault="00F22878" w:rsidP="00F207F1">
      <w:pPr>
        <w:spacing w:before="120" w:after="120" w:line="240" w:lineRule="auto"/>
        <w:rPr>
          <w:rFonts w:eastAsia="Batang"/>
          <w:szCs w:val="24"/>
          <w:lang w:eastAsia="en-US"/>
        </w:rPr>
      </w:pPr>
      <w:r w:rsidRPr="00F22878">
        <w:rPr>
          <w:rFonts w:eastAsia="Batang"/>
          <w:szCs w:val="24"/>
          <w:lang w:eastAsia="en-US"/>
        </w:rPr>
        <w:t>Para execução deste programa serão necessário equipamentos para reafeiçoamento dos terrenos e plantio, bem como mudas e insumos. Serão necessários profissionais qualificados para elaboração do projeto e execução dos serviços de recuperação e revegetação.</w:t>
      </w:r>
    </w:p>
    <w:p w:rsidR="00F22878" w:rsidRPr="00F94909" w:rsidRDefault="00F94909" w:rsidP="00F94909">
      <w:pPr>
        <w:pStyle w:val="Ttulo3"/>
        <w:rPr>
          <w:rFonts w:ascii="Arial Negrito" w:eastAsia="Batang" w:hAnsi="Arial Negrito" w:hint="eastAsia"/>
          <w:bCs/>
          <w:lang w:eastAsia="en-US"/>
        </w:rPr>
      </w:pPr>
      <w:bookmarkStart w:id="847" w:name="_Toc418758364"/>
      <w:bookmarkStart w:id="848" w:name="_Toc418758966"/>
      <w:bookmarkStart w:id="849" w:name="_Toc419813724"/>
      <w:r>
        <w:rPr>
          <w:rFonts w:ascii="Arial Negrito" w:eastAsia="Batang" w:hAnsi="Arial Negrito"/>
          <w:bCs/>
          <w:lang w:eastAsia="en-US"/>
        </w:rPr>
        <w:t xml:space="preserve">3.3.4.8. </w:t>
      </w:r>
      <w:r w:rsidR="00F22878" w:rsidRPr="00F94909">
        <w:rPr>
          <w:rFonts w:ascii="Arial Negrito" w:eastAsia="Batang" w:hAnsi="Arial Negrito"/>
          <w:bCs/>
          <w:lang w:eastAsia="en-US"/>
        </w:rPr>
        <w:t>Atendimento a Requisitos Legais e/ou Outros Requisitos</w:t>
      </w:r>
      <w:bookmarkEnd w:id="847"/>
      <w:bookmarkEnd w:id="848"/>
      <w:bookmarkEnd w:id="849"/>
    </w:p>
    <w:p w:rsidR="00F22878" w:rsidRPr="00F22878" w:rsidRDefault="00F22878" w:rsidP="00F22878">
      <w:pPr>
        <w:spacing w:before="120" w:after="120" w:line="240" w:lineRule="auto"/>
        <w:rPr>
          <w:rFonts w:eastAsia="Batang"/>
          <w:szCs w:val="24"/>
          <w:lang w:eastAsia="en-US"/>
        </w:rPr>
      </w:pPr>
      <w:r w:rsidRPr="00F22878">
        <w:rPr>
          <w:rFonts w:eastAsia="Batang"/>
          <w:szCs w:val="24"/>
          <w:lang w:eastAsia="en-US"/>
        </w:rPr>
        <w:t>O Programa de Recuperação de Áreas Degradadas visa atender ao indicado pela Constituição “aquele que explorar recursos minerais fica obrigado a recuperar o meio ambiente degradado, de acordo com solução técnica exigida pelo órgão público competente, na forma da lei” (Parágrafo 2o do Artigo 225, Capítulo VI, da Constituição do Brasil de 1988).</w:t>
      </w:r>
    </w:p>
    <w:p w:rsidR="00F22878" w:rsidRPr="00F94909" w:rsidRDefault="00F94909" w:rsidP="00F94909">
      <w:pPr>
        <w:pStyle w:val="Ttulo3"/>
        <w:rPr>
          <w:rFonts w:ascii="Arial Negrito" w:eastAsia="Batang" w:hAnsi="Arial Negrito" w:hint="eastAsia"/>
          <w:bCs/>
          <w:lang w:eastAsia="en-US"/>
        </w:rPr>
      </w:pPr>
      <w:bookmarkStart w:id="850" w:name="_Toc418758365"/>
      <w:bookmarkStart w:id="851" w:name="_Toc418758967"/>
      <w:bookmarkStart w:id="852" w:name="_Toc419813725"/>
      <w:r>
        <w:rPr>
          <w:rFonts w:ascii="Arial Negrito" w:eastAsia="Batang" w:hAnsi="Arial Negrito"/>
          <w:bCs/>
          <w:lang w:eastAsia="en-US"/>
        </w:rPr>
        <w:t xml:space="preserve">3.3.4.9. </w:t>
      </w:r>
      <w:r w:rsidR="00F22878" w:rsidRPr="00F94909">
        <w:rPr>
          <w:rFonts w:ascii="Arial Negrito" w:eastAsia="Batang" w:hAnsi="Arial Negrito"/>
          <w:bCs/>
          <w:lang w:eastAsia="en-US"/>
        </w:rPr>
        <w:t>Inter-relação com outros Planos e Programas</w:t>
      </w:r>
      <w:bookmarkEnd w:id="850"/>
      <w:bookmarkEnd w:id="851"/>
      <w:bookmarkEnd w:id="852"/>
    </w:p>
    <w:p w:rsidR="00F22878" w:rsidRPr="00F22878" w:rsidRDefault="00F22878" w:rsidP="00F207F1">
      <w:pPr>
        <w:spacing w:before="120" w:after="120" w:line="240" w:lineRule="auto"/>
        <w:rPr>
          <w:rFonts w:eastAsia="Batang"/>
          <w:szCs w:val="24"/>
          <w:lang w:eastAsia="en-US"/>
        </w:rPr>
      </w:pPr>
      <w:r w:rsidRPr="00F22878">
        <w:rPr>
          <w:rFonts w:eastAsia="Batang"/>
          <w:szCs w:val="24"/>
          <w:lang w:eastAsia="en-US"/>
        </w:rPr>
        <w:t>Este Programa tem relação com o Programa de Gestão Ambiental das Obras e o Programa de Controle Ambiental das Obras.</w:t>
      </w:r>
    </w:p>
    <w:p w:rsidR="00F22878" w:rsidRPr="00F94909" w:rsidRDefault="00F94909" w:rsidP="00F94909">
      <w:pPr>
        <w:pStyle w:val="Ttulo3"/>
        <w:rPr>
          <w:rFonts w:ascii="Arial Negrito" w:eastAsia="Batang" w:hAnsi="Arial Negrito" w:hint="eastAsia"/>
          <w:bCs/>
          <w:lang w:eastAsia="en-US"/>
        </w:rPr>
      </w:pPr>
      <w:bookmarkStart w:id="853" w:name="_Toc418758366"/>
      <w:bookmarkStart w:id="854" w:name="_Toc418758968"/>
      <w:bookmarkStart w:id="855" w:name="_Toc419813726"/>
      <w:r>
        <w:rPr>
          <w:rFonts w:ascii="Arial Negrito" w:eastAsia="Batang" w:hAnsi="Arial Negrito"/>
          <w:bCs/>
          <w:lang w:eastAsia="en-US"/>
        </w:rPr>
        <w:t xml:space="preserve">3.3.4.10. </w:t>
      </w:r>
      <w:r w:rsidR="00F22878" w:rsidRPr="00F94909">
        <w:rPr>
          <w:rFonts w:ascii="Arial Negrito" w:eastAsia="Batang" w:hAnsi="Arial Negrito"/>
          <w:bCs/>
          <w:lang w:eastAsia="en-US"/>
        </w:rPr>
        <w:t>Etapa dos Empreendimentos</w:t>
      </w:r>
      <w:bookmarkEnd w:id="853"/>
      <w:bookmarkEnd w:id="854"/>
      <w:bookmarkEnd w:id="855"/>
    </w:p>
    <w:p w:rsidR="00F22878" w:rsidRPr="00F22878" w:rsidRDefault="00F22878" w:rsidP="00F22878">
      <w:pPr>
        <w:spacing w:before="120" w:after="120" w:line="240" w:lineRule="auto"/>
        <w:contextualSpacing/>
        <w:rPr>
          <w:rFonts w:eastAsia="Calibri"/>
          <w:szCs w:val="22"/>
          <w:lang w:eastAsia="en-US"/>
        </w:rPr>
      </w:pPr>
      <w:r w:rsidRPr="00F22878">
        <w:rPr>
          <w:rFonts w:eastAsia="Calibri" w:cs="Arial"/>
          <w:szCs w:val="22"/>
          <w:lang w:eastAsia="en-US"/>
        </w:rPr>
        <w:t>As atividades do presente programa serão desenvolvidas nas fases de planejamento, implantação e operação.</w:t>
      </w:r>
    </w:p>
    <w:p w:rsidR="00F22878" w:rsidRPr="00F94909" w:rsidRDefault="00F94909" w:rsidP="00F94909">
      <w:pPr>
        <w:pStyle w:val="Ttulo3"/>
        <w:rPr>
          <w:rFonts w:ascii="Arial Negrito" w:eastAsia="Batang" w:hAnsi="Arial Negrito" w:hint="eastAsia"/>
          <w:bCs/>
          <w:lang w:eastAsia="en-US"/>
        </w:rPr>
      </w:pPr>
      <w:bookmarkStart w:id="856" w:name="_Toc418758367"/>
      <w:bookmarkStart w:id="857" w:name="_Toc418758969"/>
      <w:bookmarkStart w:id="858" w:name="_Toc419813727"/>
      <w:r>
        <w:rPr>
          <w:rFonts w:ascii="Arial Negrito" w:eastAsia="Batang" w:hAnsi="Arial Negrito"/>
          <w:bCs/>
          <w:lang w:eastAsia="en-US"/>
        </w:rPr>
        <w:t xml:space="preserve">3.3.4.11. </w:t>
      </w:r>
      <w:r w:rsidR="00F22878" w:rsidRPr="00F94909">
        <w:rPr>
          <w:rFonts w:ascii="Arial Negrito" w:eastAsia="Batang" w:hAnsi="Arial Negrito"/>
          <w:bCs/>
          <w:lang w:eastAsia="en-US"/>
        </w:rPr>
        <w:t>Cronograma de Execução</w:t>
      </w:r>
      <w:bookmarkEnd w:id="856"/>
      <w:bookmarkEnd w:id="857"/>
      <w:bookmarkEnd w:id="858"/>
    </w:p>
    <w:p w:rsidR="00F22878" w:rsidRPr="00F22878" w:rsidRDefault="00F22878" w:rsidP="00431A97">
      <w:pPr>
        <w:numPr>
          <w:ilvl w:val="0"/>
          <w:numId w:val="39"/>
        </w:numPr>
        <w:spacing w:before="120" w:after="120" w:line="240" w:lineRule="auto"/>
        <w:ind w:left="567" w:hanging="567"/>
      </w:pPr>
      <w:r w:rsidRPr="00F22878">
        <w:rPr>
          <w:rFonts w:eastAsia="Calibri" w:cs="Arial"/>
          <w:b/>
          <w:szCs w:val="22"/>
          <w:lang w:eastAsia="en-US"/>
        </w:rPr>
        <w:t>Detalhamento do Programa:</w:t>
      </w:r>
      <w:r w:rsidRPr="00F22878">
        <w:rPr>
          <w:rFonts w:eastAsia="Calibri" w:cs="Arial"/>
          <w:szCs w:val="22"/>
          <w:lang w:eastAsia="en-US"/>
        </w:rPr>
        <w:t xml:space="preserve"> deverá ser iniciado logo após a outorga da  Licença Ambiental</w:t>
      </w:r>
      <w:r w:rsidRPr="00F22878">
        <w:t xml:space="preserve"> de Instalação – LI, autorizando o início das obras;</w:t>
      </w:r>
    </w:p>
    <w:p w:rsidR="00F22878" w:rsidRPr="00F22878" w:rsidRDefault="00F22878" w:rsidP="00431A97">
      <w:pPr>
        <w:numPr>
          <w:ilvl w:val="0"/>
          <w:numId w:val="39"/>
        </w:numPr>
        <w:spacing w:before="120" w:after="120" w:line="240" w:lineRule="auto"/>
        <w:ind w:left="567" w:hanging="567"/>
      </w:pPr>
      <w:r w:rsidRPr="00F22878">
        <w:rPr>
          <w:b/>
        </w:rPr>
        <w:t xml:space="preserve">Remoção e Armazenamento do Material Vegetal e do Horizonte Superficial: </w:t>
      </w:r>
      <w:r w:rsidRPr="00F22878">
        <w:t>deverá ser executado sempre que for realizado algum movimento de terra ou implantação das obras civis em áreas objeto deste programa e que depois de sua utilização deverão ser recompostas;</w:t>
      </w:r>
    </w:p>
    <w:p w:rsidR="00F22878" w:rsidRPr="00F22878" w:rsidRDefault="00F22878" w:rsidP="00431A97">
      <w:pPr>
        <w:numPr>
          <w:ilvl w:val="0"/>
          <w:numId w:val="39"/>
        </w:numPr>
        <w:spacing w:before="120" w:after="120" w:line="240" w:lineRule="auto"/>
        <w:ind w:left="567" w:hanging="567"/>
      </w:pPr>
      <w:r w:rsidRPr="00F22878">
        <w:rPr>
          <w:b/>
        </w:rPr>
        <w:t xml:space="preserve">Reafeiçoamento do Terreno: </w:t>
      </w:r>
      <w:r w:rsidRPr="00F22878">
        <w:t>deverá ser levado em consideração e executado, a medida do possível, concomitantemente aos movimentos de terra para exploração de áreas de empréstimo, canteiro de obras e demais instalações, e durante toda a obra e se necessário após a conclusão das obras, caso ainda existam áreas degradadas.</w:t>
      </w:r>
    </w:p>
    <w:p w:rsidR="00F22878" w:rsidRPr="00F22878" w:rsidRDefault="00F22878" w:rsidP="00431A97">
      <w:pPr>
        <w:numPr>
          <w:ilvl w:val="0"/>
          <w:numId w:val="39"/>
        </w:numPr>
        <w:spacing w:before="120" w:after="120" w:line="240" w:lineRule="auto"/>
        <w:ind w:left="567" w:hanging="567"/>
      </w:pPr>
      <w:r w:rsidRPr="00F22878">
        <w:rPr>
          <w:b/>
        </w:rPr>
        <w:t xml:space="preserve">Revegetação e Manutenção: </w:t>
      </w:r>
      <w:r w:rsidRPr="00F22878">
        <w:t>será executada concomitantemente com a finalização da implantação das obras civis e desmobilização do canteiro de obras e áreas de empréstimo, ou antes disso, se conveniente para prevenir a erosão de áreas degradadas, principalmente durante a época de chuvas. Após a sua conclusão, as obras de recuperação deverão ter ações de manutenção regulares, com adubação de manutenção e reposição de mudas, conforme necessário.</w:t>
      </w:r>
    </w:p>
    <w:p w:rsidR="00F22878" w:rsidRPr="00F94909" w:rsidRDefault="00F94909" w:rsidP="00F94909">
      <w:pPr>
        <w:pStyle w:val="Ttulo3"/>
        <w:rPr>
          <w:rFonts w:ascii="Arial Negrito" w:eastAsia="Batang" w:hAnsi="Arial Negrito" w:hint="eastAsia"/>
          <w:bCs/>
          <w:lang w:eastAsia="en-US"/>
        </w:rPr>
      </w:pPr>
      <w:bookmarkStart w:id="859" w:name="_Toc418758368"/>
      <w:bookmarkStart w:id="860" w:name="_Toc418758970"/>
      <w:bookmarkStart w:id="861" w:name="_Toc419813728"/>
      <w:r>
        <w:rPr>
          <w:rFonts w:ascii="Arial Negrito" w:eastAsia="Batang" w:hAnsi="Arial Negrito"/>
          <w:bCs/>
          <w:lang w:eastAsia="en-US"/>
        </w:rPr>
        <w:t xml:space="preserve">3.3.4.12. </w:t>
      </w:r>
      <w:r w:rsidR="00F22878" w:rsidRPr="00F94909">
        <w:rPr>
          <w:rFonts w:ascii="Arial Negrito" w:eastAsia="Batang" w:hAnsi="Arial Negrito"/>
          <w:bCs/>
          <w:lang w:eastAsia="en-US"/>
        </w:rPr>
        <w:t>Responsável pela Implementação do Programa</w:t>
      </w:r>
      <w:bookmarkEnd w:id="859"/>
      <w:bookmarkEnd w:id="860"/>
      <w:bookmarkEnd w:id="861"/>
    </w:p>
    <w:p w:rsidR="00981E4A" w:rsidRPr="00F22878" w:rsidRDefault="00F22878" w:rsidP="00171A0D">
      <w:pPr>
        <w:autoSpaceDE w:val="0"/>
        <w:autoSpaceDN w:val="0"/>
        <w:adjustRightInd w:val="0"/>
        <w:spacing w:before="120" w:after="120" w:line="240" w:lineRule="auto"/>
        <w:rPr>
          <w:rFonts w:eastAsia="Calibri"/>
          <w:szCs w:val="22"/>
          <w:lang w:eastAsia="en-US"/>
        </w:rPr>
      </w:pPr>
      <w:r w:rsidRPr="00F22878">
        <w:rPr>
          <w:rFonts w:eastAsia="Calibri" w:cs="Arial"/>
          <w:szCs w:val="22"/>
          <w:lang w:eastAsia="en-US"/>
        </w:rPr>
        <w:t xml:space="preserve">A responsabilidade pela recuperação das áreas degradadas é da Empreiteira que construirá a obra das Barragens Pedreira e Duas Pontes. No entanto, cabe ao Empreendedor fiscalizar a conformidade das ações do Empreiteiro em relação às especificações ambientais durante a construção. </w:t>
      </w:r>
    </w:p>
    <w:p w:rsidR="00F22878" w:rsidRPr="00F94909" w:rsidRDefault="00F94909" w:rsidP="00F94909">
      <w:pPr>
        <w:pStyle w:val="Ttulo3"/>
        <w:rPr>
          <w:rFonts w:ascii="Arial Negrito" w:eastAsia="Batang" w:hAnsi="Arial Negrito" w:hint="eastAsia"/>
          <w:bCs/>
          <w:lang w:eastAsia="en-US"/>
        </w:rPr>
      </w:pPr>
      <w:bookmarkStart w:id="862" w:name="_Toc418758369"/>
      <w:bookmarkStart w:id="863" w:name="_Toc418758971"/>
      <w:bookmarkStart w:id="864" w:name="_Toc419813729"/>
      <w:r>
        <w:rPr>
          <w:rFonts w:ascii="Arial Negrito" w:eastAsia="Batang" w:hAnsi="Arial Negrito"/>
          <w:bCs/>
          <w:lang w:eastAsia="en-US"/>
        </w:rPr>
        <w:t xml:space="preserve">3.3.4.13. </w:t>
      </w:r>
      <w:r w:rsidR="00F22878" w:rsidRPr="00F94909">
        <w:rPr>
          <w:rFonts w:ascii="Arial Negrito" w:eastAsia="Batang" w:hAnsi="Arial Negrito"/>
          <w:bCs/>
          <w:lang w:eastAsia="en-US"/>
        </w:rPr>
        <w:t>Sistemas de Registros</w:t>
      </w:r>
      <w:bookmarkEnd w:id="862"/>
      <w:bookmarkEnd w:id="863"/>
      <w:bookmarkEnd w:id="864"/>
    </w:p>
    <w:p w:rsidR="00F22878" w:rsidRPr="00F22878" w:rsidRDefault="00F22878" w:rsidP="00F22878">
      <w:pPr>
        <w:spacing w:before="240" w:after="120" w:line="240" w:lineRule="auto"/>
        <w:rPr>
          <w:rFonts w:eastAsia="Batang"/>
          <w:szCs w:val="24"/>
          <w:lang w:eastAsia="en-US"/>
        </w:rPr>
      </w:pPr>
      <w:r w:rsidRPr="00F22878">
        <w:rPr>
          <w:rFonts w:eastAsia="Batang"/>
          <w:szCs w:val="24"/>
          <w:lang w:eastAsia="en-US"/>
        </w:rPr>
        <w:t>Nas áreas com recomposição da vegetação deverão ser mantidos os seguintes registros de acompanhamento:</w:t>
      </w:r>
    </w:p>
    <w:p w:rsidR="00F22878" w:rsidRDefault="00F22878" w:rsidP="00F94909">
      <w:pPr>
        <w:pStyle w:val="Item-Bolinha"/>
        <w:rPr>
          <w:rFonts w:eastAsia="Calibri"/>
          <w:lang w:eastAsia="en-US"/>
        </w:rPr>
      </w:pPr>
      <w:r w:rsidRPr="00F22878">
        <w:rPr>
          <w:rFonts w:eastAsia="Calibri"/>
          <w:lang w:eastAsia="en-US"/>
        </w:rPr>
        <w:t>Quantitativos da necessidade de reposição de mudas – periodicidade anual;</w:t>
      </w:r>
    </w:p>
    <w:p w:rsidR="00F22878" w:rsidRDefault="00F22878" w:rsidP="00F94909">
      <w:pPr>
        <w:pStyle w:val="Item-Bolinha"/>
        <w:rPr>
          <w:rFonts w:eastAsia="Calibri"/>
          <w:lang w:eastAsia="en-US"/>
        </w:rPr>
      </w:pPr>
      <w:r w:rsidRPr="00F22878">
        <w:rPr>
          <w:rFonts w:eastAsia="Calibri"/>
          <w:lang w:eastAsia="en-US"/>
        </w:rPr>
        <w:t>Brota de novas espécies, avaliação do processo de colonização – periodicidade anual;</w:t>
      </w:r>
    </w:p>
    <w:p w:rsidR="00F22878" w:rsidRDefault="00F22878" w:rsidP="00F94909">
      <w:pPr>
        <w:pStyle w:val="Item-Bolinha"/>
        <w:rPr>
          <w:rFonts w:eastAsia="Calibri"/>
          <w:lang w:eastAsia="en-US"/>
        </w:rPr>
      </w:pPr>
      <w:r w:rsidRPr="00F22878">
        <w:rPr>
          <w:rFonts w:eastAsia="Calibri"/>
          <w:lang w:eastAsia="en-US"/>
        </w:rPr>
        <w:t>Ocupação pela fauna (abrangendo estação seca e chuvosa) – periodicidade semestral.</w:t>
      </w:r>
    </w:p>
    <w:p w:rsidR="00FC59A6" w:rsidRDefault="00FC59A6" w:rsidP="00FC59A6">
      <w:pPr>
        <w:pStyle w:val="Item-Bolinha"/>
        <w:numPr>
          <w:ilvl w:val="0"/>
          <w:numId w:val="0"/>
        </w:numPr>
        <w:ind w:left="340" w:hanging="340"/>
        <w:rPr>
          <w:rFonts w:eastAsia="Calibri"/>
          <w:lang w:eastAsia="en-US"/>
        </w:rPr>
      </w:pPr>
    </w:p>
    <w:p w:rsidR="00F22878" w:rsidRPr="00F94909" w:rsidRDefault="00F94909" w:rsidP="00F94909">
      <w:pPr>
        <w:pStyle w:val="Ttulo3"/>
        <w:rPr>
          <w:rFonts w:ascii="Arial Negrito" w:eastAsia="Batang" w:hAnsi="Arial Negrito" w:hint="eastAsia"/>
          <w:bCs/>
          <w:lang w:eastAsia="en-US"/>
        </w:rPr>
      </w:pPr>
      <w:bookmarkStart w:id="865" w:name="_Toc418758370"/>
      <w:bookmarkStart w:id="866" w:name="_Toc418758972"/>
      <w:bookmarkStart w:id="867" w:name="_Toc419813730"/>
      <w:r>
        <w:rPr>
          <w:rFonts w:ascii="Arial Negrito" w:eastAsia="Batang" w:hAnsi="Arial Negrito"/>
          <w:bCs/>
          <w:lang w:eastAsia="en-US"/>
        </w:rPr>
        <w:t xml:space="preserve">3.3.4.14. </w:t>
      </w:r>
      <w:r w:rsidR="00F22878" w:rsidRPr="00F94909">
        <w:rPr>
          <w:rFonts w:ascii="Arial Negrito" w:eastAsia="Batang" w:hAnsi="Arial Negrito"/>
          <w:bCs/>
          <w:lang w:eastAsia="en-US"/>
        </w:rPr>
        <w:t>Referências Bibliográficas</w:t>
      </w:r>
      <w:bookmarkEnd w:id="865"/>
      <w:bookmarkEnd w:id="866"/>
      <w:bookmarkEnd w:id="867"/>
    </w:p>
    <w:p w:rsidR="00F22878" w:rsidRPr="00F22878" w:rsidRDefault="00F22878" w:rsidP="00F94909">
      <w:pPr>
        <w:pStyle w:val="Item-Trainho"/>
      </w:pPr>
      <w:r w:rsidRPr="00F22878">
        <w:rPr>
          <w:b/>
        </w:rPr>
        <w:t>CESP. 2000.</w:t>
      </w:r>
      <w:r w:rsidRPr="00F22878">
        <w:t xml:space="preserve"> Recuperação de áreas degradadas da Mata Atlântica. – Uma experiência da CESP Companhia Energética de São Paulo. Caderno nº3. Série Cadernos da Reserva da Biosfera da Mata Atlântica. 48p.</w:t>
      </w:r>
    </w:p>
    <w:p w:rsidR="00F22878" w:rsidRPr="00F22878" w:rsidRDefault="00F22878" w:rsidP="00F94909">
      <w:pPr>
        <w:pStyle w:val="Item-Trainho"/>
      </w:pPr>
      <w:r w:rsidRPr="00F22878">
        <w:rPr>
          <w:b/>
        </w:rPr>
        <w:t>FAPESP, 2006.</w:t>
      </w:r>
      <w:r w:rsidRPr="00F22878">
        <w:t xml:space="preserve"> Manual para recuperação de Áreas degradadas do Estado de São Paulo – Matas Ciliares do Interior Paulista. Curso de Capacitação e atualização em recuperação de áreas degradadas (RAD) com ênfase em matas ciliares do interior paulista. Guaratinguetá/SP. 129p.</w:t>
      </w:r>
    </w:p>
    <w:p w:rsidR="00F22878" w:rsidRPr="00F22878" w:rsidRDefault="00F22878" w:rsidP="00F94909">
      <w:pPr>
        <w:pStyle w:val="Item-Trainho"/>
      </w:pPr>
      <w:r w:rsidRPr="00F22878">
        <w:rPr>
          <w:b/>
        </w:rPr>
        <w:t>IPEF, 1992.</w:t>
      </w:r>
      <w:r w:rsidRPr="00F22878">
        <w:t xml:space="preserve"> Instituto de Pesquisas e Estudos Florestais, Recomposição da Vegetação com espécies arbóreas nativas em reservatórios de Usinas Hidrelétricas da CESP.  1992. Série Técnica, Piracicaba, 47p.</w:t>
      </w:r>
    </w:p>
    <w:p w:rsidR="00F22878" w:rsidRPr="00F22878" w:rsidRDefault="00F22878" w:rsidP="00F94909">
      <w:pPr>
        <w:pStyle w:val="Item-Trainho"/>
      </w:pPr>
      <w:r w:rsidRPr="00F22878">
        <w:rPr>
          <w:b/>
        </w:rPr>
        <w:t>PETROBRAS/EMBRAPA, 2008.</w:t>
      </w:r>
      <w:r w:rsidRPr="00F22878">
        <w:t xml:space="preserve"> Curso de recuperação de áreas degradadas – A visão da ciência do solo no contexto de diagnóstico, manejo, indicadores de monitoramento e estratégias de recuperação. Centro de Treinamento da Petrobrás, Rio de Janeiro, RJ. 238p.</w:t>
      </w:r>
    </w:p>
    <w:p w:rsidR="00FC59A6" w:rsidRDefault="00F22878" w:rsidP="00F94909">
      <w:pPr>
        <w:pStyle w:val="Item-Trainho"/>
      </w:pPr>
      <w:r w:rsidRPr="00F22878">
        <w:rPr>
          <w:b/>
        </w:rPr>
        <w:t>BRASIL,</w:t>
      </w:r>
      <w:r w:rsidRPr="00F22878">
        <w:t xml:space="preserve"> Constituição da República Federativa do Brasil de 1988.</w:t>
      </w:r>
    </w:p>
    <w:p w:rsidR="00FC59A6" w:rsidRDefault="00FC59A6" w:rsidP="00FC59A6">
      <w:pPr>
        <w:pStyle w:val="Item-Trainho"/>
        <w:numPr>
          <w:ilvl w:val="0"/>
          <w:numId w:val="0"/>
        </w:numPr>
        <w:ind w:left="397" w:hanging="397"/>
      </w:pPr>
    </w:p>
    <w:p w:rsidR="00FF206A" w:rsidRPr="00F94909" w:rsidRDefault="002D01AC" w:rsidP="00431A97">
      <w:pPr>
        <w:pStyle w:val="Ttulo3"/>
        <w:numPr>
          <w:ilvl w:val="2"/>
          <w:numId w:val="51"/>
        </w:numPr>
        <w:rPr>
          <w:rFonts w:ascii="Arial Negrito" w:hAnsi="Arial Negrito"/>
          <w:bCs/>
        </w:rPr>
      </w:pPr>
      <w:bookmarkStart w:id="868" w:name="_Toc418758371"/>
      <w:bookmarkStart w:id="869" w:name="_Toc418758973"/>
      <w:bookmarkStart w:id="870" w:name="_Toc419813731"/>
      <w:r w:rsidRPr="00F94909">
        <w:rPr>
          <w:rFonts w:ascii="Arial Negrito" w:hAnsi="Arial Negrito"/>
          <w:bCs/>
        </w:rPr>
        <w:t>Programa de Monitoramento da</w:t>
      </w:r>
      <w:r w:rsidR="00DA6C42" w:rsidRPr="00F94909">
        <w:rPr>
          <w:rFonts w:ascii="Arial Negrito" w:hAnsi="Arial Negrito"/>
          <w:bCs/>
        </w:rPr>
        <w:t xml:space="preserve"> Dinâmica das</w:t>
      </w:r>
      <w:r w:rsidRPr="00F94909">
        <w:rPr>
          <w:rFonts w:ascii="Arial Negrito" w:hAnsi="Arial Negrito"/>
          <w:bCs/>
        </w:rPr>
        <w:t xml:space="preserve"> Águas Subterrâneas</w:t>
      </w:r>
      <w:bookmarkEnd w:id="868"/>
      <w:bookmarkEnd w:id="869"/>
      <w:bookmarkEnd w:id="870"/>
    </w:p>
    <w:p w:rsidR="00DA6C42" w:rsidRPr="00F94909" w:rsidRDefault="00DA6C42" w:rsidP="00431A97">
      <w:pPr>
        <w:pStyle w:val="Ttulo3"/>
        <w:numPr>
          <w:ilvl w:val="3"/>
          <w:numId w:val="51"/>
        </w:numPr>
        <w:rPr>
          <w:rFonts w:ascii="Arial Negrito" w:hAnsi="Arial Negrito"/>
          <w:bCs/>
        </w:rPr>
      </w:pPr>
      <w:bookmarkStart w:id="871" w:name="_Toc418758372"/>
      <w:bookmarkStart w:id="872" w:name="_Toc418758974"/>
      <w:bookmarkStart w:id="873" w:name="_Toc419813732"/>
      <w:r w:rsidRPr="00F94909">
        <w:rPr>
          <w:rFonts w:ascii="Arial Negrito" w:hAnsi="Arial Negrito"/>
          <w:bCs/>
        </w:rPr>
        <w:t>Apresentação e Justificativa</w:t>
      </w:r>
      <w:bookmarkEnd w:id="871"/>
      <w:bookmarkEnd w:id="872"/>
      <w:bookmarkEnd w:id="873"/>
    </w:p>
    <w:p w:rsidR="00DA6C42" w:rsidRPr="00DA6C42" w:rsidRDefault="00DA6C42" w:rsidP="00751AA8">
      <w:pPr>
        <w:spacing w:before="120" w:after="120" w:line="240" w:lineRule="auto"/>
        <w:rPr>
          <w:rFonts w:cs="Arial"/>
          <w:szCs w:val="22"/>
        </w:rPr>
      </w:pPr>
      <w:r w:rsidRPr="00C8464D">
        <w:rPr>
          <w:rFonts w:cs="Arial"/>
          <w:szCs w:val="22"/>
        </w:rPr>
        <w:t>A implantação dos reservatórios das Barragens Pedreira e Duas Pontes irá alterar a dinâmica das águas subterrâneas, provocando a elevação do nível freático. As alterações resultantes da elevação dos níveis de água subterrânea podem ser positivas, quando se tratar da exploração de água subterrânea ou no desenvolvimento de algumas culturas, devido à maior disponibilidade de água. Entretanto, poderão ser negativas, se afetarem, de alguma maneira, as construções e/ou instalações das propriedades lindeiras, ou comprometerem terras utilizadas na atividade agropastoril, devido ao afloramento de água ou aumento excessivo da umidade. Essas alterações poderão ser negativas também devido ao acréscimo da suscetibilidade a processos de instabilização das encostas marginais devido às oscilações do nível freático em épocas de chuva e seca.</w:t>
      </w:r>
      <w:r>
        <w:rPr>
          <w:rFonts w:cs="Arial"/>
          <w:szCs w:val="22"/>
        </w:rPr>
        <w:t xml:space="preserve"> </w:t>
      </w:r>
    </w:p>
    <w:p w:rsidR="00DA6C42" w:rsidRPr="00DA6C42" w:rsidRDefault="00DA6C42" w:rsidP="00751AA8">
      <w:pPr>
        <w:spacing w:before="120" w:after="120" w:line="240" w:lineRule="auto"/>
        <w:rPr>
          <w:rFonts w:cs="Arial"/>
          <w:szCs w:val="22"/>
        </w:rPr>
      </w:pPr>
      <w:r w:rsidRPr="00DA6C42">
        <w:rPr>
          <w:rFonts w:cs="Arial"/>
          <w:szCs w:val="22"/>
        </w:rPr>
        <w:t>Em busca realizada junto aos cadastros do Sistema de Informações de Águas Subterrâneas (SIAGAS), do Departamento de Águas e energia Elétrica (DAEE), além do levantamento realizado em trabalho de campo, foram identificados dentro dos limites da AID do reservatório da Barragem Pedreira nove poços tubulares, sendo que, nenhum deles se encontra dentro dos limites da ADA. Já na AID do reservatório da Barragem Duas Pontes foram identificados 13 poços, sendo 3 deles nos limites da ADA, um na área a ser ocupada pelo reservatório e dois na Área de Preservação Permanente.</w:t>
      </w:r>
    </w:p>
    <w:p w:rsidR="00DA6C42" w:rsidRPr="00DA6C42" w:rsidRDefault="00DA6C42" w:rsidP="00751AA8">
      <w:pPr>
        <w:spacing w:before="120" w:after="120" w:line="240" w:lineRule="auto"/>
        <w:rPr>
          <w:rFonts w:cs="Arial"/>
          <w:szCs w:val="22"/>
        </w:rPr>
      </w:pPr>
      <w:r w:rsidRPr="00DA6C42">
        <w:rPr>
          <w:rFonts w:cs="Arial"/>
          <w:szCs w:val="22"/>
        </w:rPr>
        <w:t xml:space="preserve">A região de abrangência dos reservatórios das Barragens Pedreira e Duas Pontes está inserida no contexto hidrogeológico das unidades aquíferas Pré-cambrianas, associada às rochas do embasamento cristalino, e Cenozoicas, formadas pelos depósitos sedimentares localizados nas margens e canais das drenagens. </w:t>
      </w:r>
    </w:p>
    <w:p w:rsidR="00DA6C42" w:rsidRPr="00DA6C42" w:rsidRDefault="00DA6C42" w:rsidP="00751AA8">
      <w:pPr>
        <w:spacing w:before="120" w:after="120" w:line="240" w:lineRule="auto"/>
        <w:rPr>
          <w:rFonts w:cs="Arial"/>
          <w:szCs w:val="22"/>
        </w:rPr>
      </w:pPr>
      <w:r w:rsidRPr="00DA6C42">
        <w:rPr>
          <w:rFonts w:cs="Arial"/>
          <w:szCs w:val="22"/>
        </w:rPr>
        <w:t>A complementação</w:t>
      </w:r>
      <w:r w:rsidRPr="00DA6C42">
        <w:rPr>
          <w:szCs w:val="22"/>
        </w:rPr>
        <w:t xml:space="preserve"> da caracterização hidrogeológica e uma avaliação mais precisa das alterações do nível de água subterrânea e dos impactos relacionados ao lençol freático e aos aquíferos pré-Cambriano e cenozoico requerem a implantação de um programa de monitoramento sistemático e contínuo.</w:t>
      </w:r>
      <w:r w:rsidRPr="00DA6C42">
        <w:rPr>
          <w:rFonts w:cs="Arial"/>
          <w:szCs w:val="22"/>
        </w:rPr>
        <w:t xml:space="preserve"> Além disso, a manifestação destes impactos poderão não ocorrer de forma imediata, assim, faz-se necessário o monitoramento ora proposto, visando subsidiar o estudo e a implantação de eventuais medidas corretivas ou compensatórias. Os impactos relacionados a esses programas são:</w:t>
      </w:r>
    </w:p>
    <w:p w:rsidR="00DA6C42" w:rsidRPr="00DA6C42" w:rsidRDefault="00DA6C42" w:rsidP="00F94909">
      <w:pPr>
        <w:pStyle w:val="Item-Trainho"/>
      </w:pPr>
      <w:r w:rsidRPr="00DA6C42">
        <w:t>acréscimo na suscetibilidade a instabilização de encostas marginais dos reservatórios das barragens Pedreira e Duas Pontes;</w:t>
      </w:r>
    </w:p>
    <w:p w:rsidR="00DA6C42" w:rsidRPr="00DA6C42" w:rsidRDefault="00DA6C42" w:rsidP="00F94909">
      <w:pPr>
        <w:pStyle w:val="Item-Trainho"/>
      </w:pPr>
      <w:r w:rsidRPr="00DA6C42">
        <w:t>surgências de água, perenização e formação de novas áreas úmidas e alagadas pelo reservatório da Barragem Duas Pontes;</w:t>
      </w:r>
    </w:p>
    <w:p w:rsidR="00DA6C42" w:rsidRPr="00DA6C42" w:rsidRDefault="00DA6C42" w:rsidP="00F94909">
      <w:pPr>
        <w:pStyle w:val="Item-Trainho"/>
      </w:pPr>
      <w:r w:rsidRPr="00DA6C42">
        <w:t>interferências em instalações e benfeitorias pela elevação do nível freático no reservatório da Barragem Duas Pontes.</w:t>
      </w:r>
    </w:p>
    <w:p w:rsidR="00DA6C42" w:rsidRDefault="00DA6C42" w:rsidP="00F94909">
      <w:pPr>
        <w:pStyle w:val="Item-Trainho"/>
      </w:pPr>
      <w:r w:rsidRPr="00DA6C42">
        <w:t>perda de poços profundos pelo reservatório da Barragem Duas Pontes.</w:t>
      </w:r>
    </w:p>
    <w:p w:rsidR="00DA6C42" w:rsidRPr="000822C6" w:rsidRDefault="00DA6C42" w:rsidP="00431A97">
      <w:pPr>
        <w:pStyle w:val="Ttulo3"/>
        <w:numPr>
          <w:ilvl w:val="3"/>
          <w:numId w:val="51"/>
        </w:numPr>
        <w:rPr>
          <w:rFonts w:ascii="Arial Negrito" w:hAnsi="Arial Negrito"/>
          <w:bCs/>
        </w:rPr>
      </w:pPr>
      <w:bookmarkStart w:id="874" w:name="_Toc418758373"/>
      <w:bookmarkStart w:id="875" w:name="_Toc418758975"/>
      <w:bookmarkStart w:id="876" w:name="_Toc419813733"/>
      <w:r w:rsidRPr="000822C6">
        <w:rPr>
          <w:rFonts w:ascii="Arial Negrito" w:hAnsi="Arial Negrito"/>
          <w:bCs/>
        </w:rPr>
        <w:t>Objetivos</w:t>
      </w:r>
      <w:bookmarkEnd w:id="874"/>
      <w:bookmarkEnd w:id="875"/>
      <w:bookmarkEnd w:id="876"/>
    </w:p>
    <w:p w:rsidR="00DA6C42" w:rsidRPr="00DA6C42" w:rsidRDefault="00DA6C42" w:rsidP="00751AA8">
      <w:pPr>
        <w:spacing w:before="120" w:after="120" w:line="240" w:lineRule="auto"/>
        <w:rPr>
          <w:rFonts w:cs="Arial"/>
          <w:szCs w:val="22"/>
        </w:rPr>
      </w:pPr>
      <w:r w:rsidRPr="00DA6C42">
        <w:rPr>
          <w:rFonts w:cs="Arial"/>
          <w:szCs w:val="22"/>
        </w:rPr>
        <w:t xml:space="preserve">O programa de Monitoramento da Dinâmica das Águas Subterrâneas tem por objetivo avaliar as variações dos níveis d’água das unidades aquíferas na borda dos reservatórios das barragens Pedreira e Duas Pontes antes, durante e após os enchimentos. </w:t>
      </w:r>
    </w:p>
    <w:p w:rsidR="00DA6C42" w:rsidRPr="000822C6" w:rsidRDefault="00DA6C42" w:rsidP="00431A97">
      <w:pPr>
        <w:pStyle w:val="Ttulo3"/>
        <w:numPr>
          <w:ilvl w:val="3"/>
          <w:numId w:val="51"/>
        </w:numPr>
        <w:rPr>
          <w:rFonts w:ascii="Arial Negrito" w:hAnsi="Arial Negrito"/>
          <w:bCs/>
        </w:rPr>
      </w:pPr>
      <w:bookmarkStart w:id="877" w:name="_Toc418758374"/>
      <w:bookmarkStart w:id="878" w:name="_Toc418758976"/>
      <w:bookmarkStart w:id="879" w:name="_Toc419813734"/>
      <w:r w:rsidRPr="000822C6">
        <w:rPr>
          <w:rFonts w:ascii="Arial Negrito" w:hAnsi="Arial Negrito"/>
          <w:bCs/>
        </w:rPr>
        <w:t>Metas</w:t>
      </w:r>
      <w:bookmarkEnd w:id="877"/>
      <w:bookmarkEnd w:id="878"/>
      <w:bookmarkEnd w:id="879"/>
    </w:p>
    <w:p w:rsidR="00DA6C42" w:rsidRPr="00DA6C42" w:rsidRDefault="00DA6C42" w:rsidP="00751AA8">
      <w:pPr>
        <w:spacing w:before="120" w:after="120" w:line="240" w:lineRule="auto"/>
        <w:rPr>
          <w:rFonts w:cs="Arial"/>
          <w:szCs w:val="22"/>
        </w:rPr>
      </w:pPr>
      <w:r w:rsidRPr="00DA6C42">
        <w:rPr>
          <w:rFonts w:cs="Arial"/>
          <w:szCs w:val="22"/>
        </w:rPr>
        <w:t>Este programa tem como principal meta monitorar a dinâmica das águas subterrâneas n</w:t>
      </w:r>
      <w:r w:rsidRPr="00751AA8">
        <w:rPr>
          <w:rFonts w:cs="Arial"/>
          <w:szCs w:val="22"/>
        </w:rPr>
        <w:t>a AID e arredores dos reservatórios das barragens Pedreira e Duas Pontes</w:t>
      </w:r>
      <w:r w:rsidRPr="00DA6C42">
        <w:rPr>
          <w:rFonts w:cs="Arial"/>
          <w:szCs w:val="22"/>
        </w:rPr>
        <w:t xml:space="preserve"> durante as fases de implantação e após os enchimentos dos reservatórios, no mínimo por dois anos.</w:t>
      </w:r>
    </w:p>
    <w:p w:rsidR="00DA6C42" w:rsidRPr="000822C6" w:rsidRDefault="00DA6C42" w:rsidP="00431A97">
      <w:pPr>
        <w:pStyle w:val="Ttulo3"/>
        <w:numPr>
          <w:ilvl w:val="3"/>
          <w:numId w:val="51"/>
        </w:numPr>
        <w:rPr>
          <w:rFonts w:ascii="Arial Negrito" w:hAnsi="Arial Negrito"/>
          <w:bCs/>
        </w:rPr>
      </w:pPr>
      <w:bookmarkStart w:id="880" w:name="_Toc418758375"/>
      <w:bookmarkStart w:id="881" w:name="_Toc418758977"/>
      <w:bookmarkStart w:id="882" w:name="_Toc419813735"/>
      <w:r w:rsidRPr="000822C6">
        <w:rPr>
          <w:rFonts w:ascii="Arial Negrito" w:hAnsi="Arial Negrito"/>
          <w:bCs/>
        </w:rPr>
        <w:t>Público Alvo</w:t>
      </w:r>
      <w:bookmarkEnd w:id="880"/>
      <w:bookmarkEnd w:id="881"/>
      <w:bookmarkEnd w:id="882"/>
    </w:p>
    <w:p w:rsidR="00DA6C42" w:rsidRPr="00DA6C42" w:rsidRDefault="00DA6C42" w:rsidP="00751AA8">
      <w:pPr>
        <w:spacing w:before="120" w:after="120" w:line="240" w:lineRule="auto"/>
        <w:rPr>
          <w:rFonts w:cs="Arial"/>
          <w:szCs w:val="22"/>
        </w:rPr>
      </w:pPr>
      <w:r w:rsidRPr="00DA6C42">
        <w:rPr>
          <w:rFonts w:cs="Arial"/>
          <w:szCs w:val="22"/>
        </w:rPr>
        <w:t>Este programa envolverá a sociedade civil na região de influência dos empreendimentos.</w:t>
      </w:r>
    </w:p>
    <w:p w:rsidR="00DA6C42" w:rsidRPr="000822C6" w:rsidRDefault="00DA6C42" w:rsidP="00431A97">
      <w:pPr>
        <w:pStyle w:val="Ttulo3"/>
        <w:numPr>
          <w:ilvl w:val="3"/>
          <w:numId w:val="51"/>
        </w:numPr>
        <w:rPr>
          <w:rFonts w:ascii="Arial Negrito" w:hAnsi="Arial Negrito"/>
          <w:bCs/>
        </w:rPr>
      </w:pPr>
      <w:bookmarkStart w:id="883" w:name="_Toc418758376"/>
      <w:bookmarkStart w:id="884" w:name="_Toc418758978"/>
      <w:bookmarkStart w:id="885" w:name="_Toc419813736"/>
      <w:r w:rsidRPr="000822C6">
        <w:rPr>
          <w:rFonts w:ascii="Arial Negrito" w:hAnsi="Arial Negrito"/>
          <w:bCs/>
        </w:rPr>
        <w:t>Procedimentos</w:t>
      </w:r>
      <w:bookmarkEnd w:id="883"/>
      <w:bookmarkEnd w:id="884"/>
      <w:bookmarkEnd w:id="885"/>
    </w:p>
    <w:p w:rsidR="00DA6C42" w:rsidRPr="00DA6C42" w:rsidRDefault="00DA6C42" w:rsidP="00751AA8">
      <w:pPr>
        <w:spacing w:before="120" w:after="120" w:line="240" w:lineRule="auto"/>
        <w:rPr>
          <w:rFonts w:eastAsia="Calibri" w:cs="Arial"/>
          <w:szCs w:val="22"/>
          <w:lang w:eastAsia="en-US"/>
        </w:rPr>
      </w:pPr>
      <w:r w:rsidRPr="00DA6C42">
        <w:rPr>
          <w:rFonts w:eastAsia="Calibri" w:cs="Arial"/>
          <w:szCs w:val="22"/>
          <w:lang w:eastAsia="en-US"/>
        </w:rPr>
        <w:t>Sugere-se a princípio, a execução de um detalhamento do programa que deverá considerar os locais de maior criticidade para a elevação e variações do lençol freático dos aquíferos. O detalhamento deverá contemplar a seleção de poços rasos e tubulares profundos já instalados que farão parte do monitoramento, além da instalação de poços de monitoramento adicionais, bem como a programação dos estudos e análises necessárias para a caracterização da elevação e variações do nível freático.</w:t>
      </w:r>
    </w:p>
    <w:p w:rsidR="00DA6C42" w:rsidRPr="00DA6C42" w:rsidRDefault="00DA6C42" w:rsidP="00751AA8">
      <w:pPr>
        <w:spacing w:before="120" w:after="120" w:line="240" w:lineRule="auto"/>
        <w:rPr>
          <w:rFonts w:cs="Arial"/>
          <w:szCs w:val="22"/>
        </w:rPr>
      </w:pPr>
      <w:r w:rsidRPr="00DA6C42">
        <w:rPr>
          <w:rFonts w:cs="Arial"/>
          <w:szCs w:val="22"/>
        </w:rPr>
        <w:t xml:space="preserve">O Monitoramento da Dinâmica das Águas Subterrâneas deverá contemplar as AIDs e arredores, preferencialmente as áreas de abrangências dos aquíferos livres formados por solos de alteração e depósitos Cenozoicos, que embora apresentem abrangência bastante restrita na área, são os mais suscetíveis a variações dos níveis d’água subterrânea, e podem representar impactos de maior importância. </w:t>
      </w:r>
    </w:p>
    <w:p w:rsidR="00DA6C42" w:rsidRPr="00DA6C42" w:rsidRDefault="00DA6C42" w:rsidP="00751AA8">
      <w:pPr>
        <w:spacing w:before="120" w:after="120" w:line="240" w:lineRule="auto"/>
        <w:rPr>
          <w:rFonts w:cs="Arial"/>
          <w:szCs w:val="22"/>
        </w:rPr>
      </w:pPr>
      <w:r w:rsidRPr="00DA6C42">
        <w:rPr>
          <w:rFonts w:cs="Arial"/>
          <w:szCs w:val="22"/>
        </w:rPr>
        <w:t xml:space="preserve">Deve-se dar enfoque a áreas com estruturas e benfeitorias instaladas e regiões de cotas topográficas mais baixas, associadas principalmente no reservatório da Barragem Pedreira às margens do rio Jaguari, córregos Entre-Montes, Caracol e Linde, e demais afluentes. Já no reservatório da Barragem Duas Pontes deverão ser monitoradas porções rebaixadas e planas </w:t>
      </w:r>
      <w:r w:rsidRPr="00DA6C42">
        <w:rPr>
          <w:szCs w:val="22"/>
        </w:rPr>
        <w:t>nas encostas do rio Camanducaia, Ribeirão Pantaleão, Córrego da Boa Vista, Córrego da Fazenda São Pedro.</w:t>
      </w:r>
      <w:r w:rsidRPr="00DA6C42">
        <w:rPr>
          <w:rFonts w:cs="Arial"/>
          <w:szCs w:val="22"/>
        </w:rPr>
        <w:t xml:space="preserve"> Será necessária a realização de levantamentos topográficos expeditos, com o objetivo de verificar a possibilidade de elevação do lençol freático nestes locais.</w:t>
      </w:r>
    </w:p>
    <w:p w:rsidR="00DA6C42" w:rsidRPr="00DA6C42" w:rsidRDefault="00DA6C42" w:rsidP="00751AA8">
      <w:pPr>
        <w:spacing w:before="120" w:after="120" w:line="240" w:lineRule="auto"/>
        <w:rPr>
          <w:rFonts w:cs="Arial"/>
          <w:szCs w:val="22"/>
        </w:rPr>
      </w:pPr>
      <w:r w:rsidRPr="00DA6C42">
        <w:rPr>
          <w:rFonts w:cs="Arial"/>
          <w:szCs w:val="22"/>
        </w:rPr>
        <w:t xml:space="preserve">Para detalhar o programa, se necessário, serão efetuadas inspeções geológico-geotécnicas e hidrogeológicas, investigações de campo constituídas, a princípio, por sondagens a trado e poços de inspeção e levantamentos de níveis d’água em poços instalados na área. </w:t>
      </w:r>
    </w:p>
    <w:p w:rsidR="00F2710F" w:rsidRDefault="00DA6C42" w:rsidP="00751AA8">
      <w:pPr>
        <w:spacing w:before="120" w:after="120" w:line="240" w:lineRule="auto"/>
        <w:rPr>
          <w:rFonts w:cs="Arial"/>
          <w:szCs w:val="22"/>
        </w:rPr>
      </w:pPr>
      <w:r w:rsidRPr="00DA6C42">
        <w:rPr>
          <w:rFonts w:cs="Arial"/>
          <w:szCs w:val="22"/>
        </w:rPr>
        <w:t>Estão previstas as seguintes atividades: execução das investigações de campo e de laboratório, instalação de poços de monitoramento; mapeamento geológico e hidrogeológico, acompanhamento e interpretação dos resultados das investigações; execução das leituras de nível d’água; acompanhamento do programa e interpretação dos resultados.</w:t>
      </w:r>
    </w:p>
    <w:p w:rsidR="00DA6C42" w:rsidRPr="00DA6C42" w:rsidRDefault="00DA6C42" w:rsidP="00F94909">
      <w:pPr>
        <w:pStyle w:val="Item-Bolinha"/>
      </w:pPr>
      <w:r w:rsidRPr="00DA6C42">
        <w:t>Execução das investigações de campo e de laboratório e instalação dos poços de</w:t>
      </w:r>
      <w:r w:rsidRPr="00DA6C42">
        <w:rPr>
          <w:lang w:eastAsia="zh-CN"/>
        </w:rPr>
        <w:t xml:space="preserve"> monitoramento.</w:t>
      </w:r>
    </w:p>
    <w:p w:rsidR="00DA6C42" w:rsidRPr="00DA6C42" w:rsidRDefault="00DA6C42" w:rsidP="00751AA8">
      <w:pPr>
        <w:spacing w:before="120" w:after="120" w:line="240" w:lineRule="auto"/>
        <w:rPr>
          <w:rFonts w:cs="Arial"/>
          <w:szCs w:val="22"/>
        </w:rPr>
      </w:pPr>
      <w:r w:rsidRPr="00DA6C42">
        <w:rPr>
          <w:rFonts w:cs="Arial"/>
          <w:szCs w:val="22"/>
        </w:rPr>
        <w:t>A execução dos trabalhos de campo compreende levantamentos topográficos de situações específicas, amarração e nivelamento da boca de poços existentes e instalação de poços de monitoramento para fins de acompanhamento dos níveis d’água.</w:t>
      </w:r>
    </w:p>
    <w:p w:rsidR="00DA6C42" w:rsidRPr="00DA6C42" w:rsidRDefault="00DA6C42" w:rsidP="00751AA8">
      <w:pPr>
        <w:spacing w:before="120" w:after="120" w:line="240" w:lineRule="auto"/>
        <w:rPr>
          <w:rFonts w:cs="Arial"/>
          <w:szCs w:val="22"/>
        </w:rPr>
      </w:pPr>
      <w:r w:rsidRPr="00DA6C42">
        <w:rPr>
          <w:rFonts w:cs="Arial"/>
          <w:szCs w:val="22"/>
        </w:rPr>
        <w:t xml:space="preserve">As sondagens efetuadas para a instalação de poços de monitoramento serão utilizadas para coleta de amostras e caracterização geológica, geotécnica e hidrogeológica dos materiais atravessados, com identificação dos tipos de materiais e das unidades aquíferas, suas distribuições, espessuras e parâmetros hidrogeológicos. Deverão ser determinados os parâmetros de condutividade hidráulica, a partir de ensaios de infiltração, recuperação do nível d’água ou do tipo </w:t>
      </w:r>
      <w:r w:rsidRPr="00DA6C42">
        <w:rPr>
          <w:rFonts w:cs="Arial"/>
          <w:i/>
          <w:szCs w:val="22"/>
        </w:rPr>
        <w:t>slug test</w:t>
      </w:r>
      <w:r w:rsidRPr="00DA6C42">
        <w:rPr>
          <w:rFonts w:cs="Arial"/>
          <w:szCs w:val="22"/>
        </w:rPr>
        <w:t>.</w:t>
      </w:r>
    </w:p>
    <w:p w:rsidR="00DA6C42" w:rsidRPr="00DA6C42" w:rsidRDefault="00DA6C42" w:rsidP="00751AA8">
      <w:pPr>
        <w:spacing w:before="120" w:after="120" w:line="240" w:lineRule="auto"/>
        <w:rPr>
          <w:rFonts w:cs="Arial"/>
          <w:szCs w:val="22"/>
        </w:rPr>
      </w:pPr>
      <w:r w:rsidRPr="00DA6C42">
        <w:rPr>
          <w:rFonts w:cs="Arial"/>
          <w:szCs w:val="22"/>
        </w:rPr>
        <w:t>Para a instalação e construção de novos poços de monitoramento, os mesmos deverão seguir a Norma Brasileira ABNT NBR 15495-1 “Poços de monitoramento de águas subterrâneas em aquíferos granulares, Parte 1: Projeto e construção”. As sondagens para a instalação dos poços de monitoramento deverão avançar até o nível d’água devendo ser paralisadas após dois metros deste.</w:t>
      </w:r>
    </w:p>
    <w:p w:rsidR="00F2710F" w:rsidRDefault="00DA6C42" w:rsidP="00751AA8">
      <w:pPr>
        <w:spacing w:before="120" w:after="120" w:line="240" w:lineRule="auto"/>
        <w:rPr>
          <w:rFonts w:cs="Arial"/>
          <w:szCs w:val="22"/>
        </w:rPr>
      </w:pPr>
      <w:r w:rsidRPr="00DA6C42">
        <w:rPr>
          <w:rFonts w:cs="Arial"/>
          <w:szCs w:val="22"/>
        </w:rPr>
        <w:t>Os piezômetros eventualmente instalados, conforme detalhamento do programa deverão apresentar diâmetro mínimo de 1”. Os trechos de tubos filtros dos monitores e piezômetros deverão ser instalados abaixo do nível d’água registrado comumente na seca, no trecho mais permeável, conforme indicações da análise das amostras das sondagens e ensaios efetuados previamente à instalação.</w:t>
      </w:r>
    </w:p>
    <w:p w:rsidR="00DA6C42" w:rsidRPr="00DA6C42" w:rsidRDefault="00DA6C42" w:rsidP="00F94909">
      <w:pPr>
        <w:pStyle w:val="Item-Bolinha"/>
      </w:pPr>
      <w:r w:rsidRPr="00DA6C42">
        <w:t>Mapeamento geológico e hidrogeológico, acompanhamento e interpretação dos resultados das investigações.</w:t>
      </w:r>
    </w:p>
    <w:p w:rsidR="00DA6C42" w:rsidRPr="00DA6C42" w:rsidRDefault="00DA6C42" w:rsidP="00751AA8">
      <w:pPr>
        <w:spacing w:before="120" w:after="120" w:line="240" w:lineRule="auto"/>
        <w:rPr>
          <w:rFonts w:cs="Arial"/>
          <w:szCs w:val="22"/>
        </w:rPr>
      </w:pPr>
      <w:r w:rsidRPr="00DA6C42">
        <w:rPr>
          <w:rFonts w:cs="Arial"/>
          <w:szCs w:val="22"/>
        </w:rPr>
        <w:t xml:space="preserve">A caracterização geológica e hidrogeológica das áreas de interesse serão obtidas no início do programa e apresentadas em relatório consolidado contendo os resultados do acompanhamento, análise e interpretação dos resultados das investigações indicadas na ação anterior. </w:t>
      </w:r>
    </w:p>
    <w:p w:rsidR="00DA6C42" w:rsidRPr="00DA6C42" w:rsidRDefault="00DA6C42" w:rsidP="00F94909">
      <w:pPr>
        <w:pStyle w:val="Item-Bolinha"/>
      </w:pPr>
      <w:r w:rsidRPr="00DA6C42">
        <w:t>Execução das leituras de nível d’água</w:t>
      </w:r>
    </w:p>
    <w:p w:rsidR="00DA6C42" w:rsidRPr="00DA6C42" w:rsidRDefault="00DA6C42" w:rsidP="00751AA8">
      <w:pPr>
        <w:spacing w:before="120" w:after="120" w:line="240" w:lineRule="auto"/>
        <w:rPr>
          <w:rFonts w:cs="Arial"/>
          <w:szCs w:val="22"/>
        </w:rPr>
      </w:pPr>
      <w:r w:rsidRPr="00DA6C42">
        <w:rPr>
          <w:rFonts w:cs="Arial"/>
          <w:szCs w:val="22"/>
        </w:rPr>
        <w:t xml:space="preserve">Deverão ser medidas as profundidades dos níveis d’água em poços de monitoramento e piezômetros instalados e naqueles selecionados entre poços existentes na área para essa finalidade. Essas profundidades medidas serão transformadas em cotas para fornecer as cargas hidráulicas dos aquíferos. </w:t>
      </w:r>
    </w:p>
    <w:p w:rsidR="00DA6C42" w:rsidRPr="00DA6C42" w:rsidRDefault="00DA6C42" w:rsidP="00751AA8">
      <w:pPr>
        <w:spacing w:before="120" w:after="120" w:line="240" w:lineRule="auto"/>
        <w:rPr>
          <w:rFonts w:cs="Arial"/>
          <w:szCs w:val="22"/>
        </w:rPr>
      </w:pPr>
      <w:r w:rsidRPr="00DA6C42">
        <w:rPr>
          <w:rFonts w:cs="Arial"/>
          <w:szCs w:val="22"/>
        </w:rPr>
        <w:t>A implementação do programa deverá ser no início da implantação do empreendimento, de forma que o período para leitura dos níveis d’água abranja um período antes do enchimento e prossiga após o enchimento, na etapa de operação por dois anos, no mínimo. A princípio, a frequência de leituras deverá ser semanal, no período entre dois meses antes e até dois meses após o enchimento do reservatório e a cada quatro meses ao longo de todo o período de monitoramento restante. Também deverão ser realizadas leituras sempre quando da ocorrência de grandes variações no nível d’água do reservatório e no caso de precipitações significativas.</w:t>
      </w:r>
    </w:p>
    <w:p w:rsidR="00DA6C42" w:rsidRPr="00DA6C42" w:rsidRDefault="00DA6C42" w:rsidP="00751AA8">
      <w:pPr>
        <w:spacing w:before="120" w:after="120" w:line="240" w:lineRule="auto"/>
        <w:rPr>
          <w:rFonts w:cs="Arial"/>
          <w:szCs w:val="22"/>
        </w:rPr>
      </w:pPr>
      <w:r w:rsidRPr="00DA6C42">
        <w:rPr>
          <w:rFonts w:cs="Arial"/>
          <w:szCs w:val="22"/>
        </w:rPr>
        <w:t>Através da análise dos dados obtidos será avaliada a necessidade de continuidade do Programa e estabelecidas às diretrizes para o prosseguimento.</w:t>
      </w:r>
    </w:p>
    <w:p w:rsidR="00DA6C42" w:rsidRPr="00DA6C42" w:rsidRDefault="00DA6C42" w:rsidP="00F94909">
      <w:pPr>
        <w:pStyle w:val="Item-Bolinha"/>
      </w:pPr>
      <w:r w:rsidRPr="00DA6C42">
        <w:t>Acompanhamento do programa e interpretação dos resultados</w:t>
      </w:r>
    </w:p>
    <w:p w:rsidR="00DA6C42" w:rsidRPr="00DA6C42" w:rsidRDefault="00DA6C42" w:rsidP="00751AA8">
      <w:pPr>
        <w:spacing w:before="120" w:after="120" w:line="240" w:lineRule="auto"/>
        <w:rPr>
          <w:rFonts w:cs="Arial"/>
          <w:szCs w:val="22"/>
        </w:rPr>
      </w:pPr>
      <w:r w:rsidRPr="00DA6C42">
        <w:rPr>
          <w:rFonts w:cs="Arial"/>
          <w:szCs w:val="22"/>
        </w:rPr>
        <w:t>A interpretação dos resultados das medidas de níveis d’água nos poços de monitoramento deverá ser apresentada em relatórios consolidados semestralmente.</w:t>
      </w:r>
    </w:p>
    <w:p w:rsidR="00DA6C42" w:rsidRPr="00DA6C42" w:rsidRDefault="00DA6C42" w:rsidP="00751AA8">
      <w:pPr>
        <w:spacing w:before="120" w:after="120" w:line="240" w:lineRule="auto"/>
        <w:rPr>
          <w:rFonts w:cs="Arial"/>
          <w:szCs w:val="22"/>
        </w:rPr>
      </w:pPr>
      <w:r w:rsidRPr="00DA6C42">
        <w:rPr>
          <w:rFonts w:cs="Arial"/>
          <w:szCs w:val="22"/>
        </w:rPr>
        <w:t xml:space="preserve">O acompanhamento do programa e a interpretação dos resultados deverão ser dirigidos para a proposição de modelos hidrogeológicos que sintetizem as unidades presentes na área e suas características de interesse à elevação do nível de água subterrânea, as condições iniciais de nível d’água subterrânea nas épocas de cheia e de seca, bem como as condições iniciais referentes aos níveis d’água dos rios Jaguari, Camanducaia e seus afluentes, e do reservatório. </w:t>
      </w:r>
    </w:p>
    <w:p w:rsidR="00DA6C42" w:rsidRPr="00DA6C42" w:rsidRDefault="00DA6C42" w:rsidP="00751AA8">
      <w:pPr>
        <w:spacing w:before="120" w:after="120" w:line="240" w:lineRule="auto"/>
        <w:rPr>
          <w:rFonts w:cs="Arial"/>
          <w:szCs w:val="22"/>
        </w:rPr>
      </w:pPr>
      <w:r w:rsidRPr="00DA6C42">
        <w:rPr>
          <w:rFonts w:cs="Arial"/>
          <w:szCs w:val="22"/>
        </w:rPr>
        <w:t>Na interpretação dos resultados e proposição dos modelos hidrogeológicos deverão ser considerados, além dos dados do presente programa, aqueles do Programa de Monitoramento Hidrológico e do Clima Local, tais como os níveis dos rios e do futuro reservatório, bem como aqueles do Programa de Monitoramento das Encostas Marginais.</w:t>
      </w:r>
    </w:p>
    <w:p w:rsidR="00DA6C42" w:rsidRPr="00DA6C42" w:rsidRDefault="00DA6C42" w:rsidP="00751AA8">
      <w:pPr>
        <w:spacing w:before="120" w:after="120" w:line="240" w:lineRule="auto"/>
        <w:rPr>
          <w:rFonts w:cs="Arial"/>
          <w:szCs w:val="22"/>
        </w:rPr>
      </w:pPr>
      <w:r w:rsidRPr="00DA6C42">
        <w:rPr>
          <w:rFonts w:cs="Arial"/>
          <w:szCs w:val="22"/>
        </w:rPr>
        <w:t>Os modelos hidrogeológicos deverão ser utilizados para analisar a elevação do lençol freático. Os dados obtidos com o enchimento deverão ser utilizados na calibração e atualização dos modelos hidrogeológicos e das avaliações de elevação do lençol freático.</w:t>
      </w:r>
    </w:p>
    <w:p w:rsidR="00DA6C42" w:rsidRPr="00DA6C42" w:rsidRDefault="00DA6C42" w:rsidP="00751AA8">
      <w:pPr>
        <w:spacing w:before="120" w:after="120" w:line="240" w:lineRule="auto"/>
        <w:rPr>
          <w:rFonts w:cs="Arial"/>
          <w:szCs w:val="22"/>
        </w:rPr>
      </w:pPr>
      <w:r w:rsidRPr="00DA6C42">
        <w:rPr>
          <w:rFonts w:cs="Arial"/>
          <w:szCs w:val="22"/>
        </w:rPr>
        <w:t>Através da análise dos dados obtidos será avaliada a necessidade de continuidade do Programa e o estabelecimento das diretrizes para o prosseguimento.</w:t>
      </w:r>
    </w:p>
    <w:p w:rsidR="00DA6C42" w:rsidRPr="000822C6" w:rsidRDefault="00DA6C42" w:rsidP="00431A97">
      <w:pPr>
        <w:pStyle w:val="Ttulo3"/>
        <w:numPr>
          <w:ilvl w:val="3"/>
          <w:numId w:val="51"/>
        </w:numPr>
        <w:rPr>
          <w:rFonts w:ascii="Arial Negrito" w:hAnsi="Arial Negrito"/>
          <w:bCs/>
        </w:rPr>
      </w:pPr>
      <w:bookmarkStart w:id="886" w:name="_Toc418758377"/>
      <w:bookmarkStart w:id="887" w:name="_Toc418758979"/>
      <w:bookmarkStart w:id="888" w:name="_Toc419813737"/>
      <w:r w:rsidRPr="000822C6">
        <w:rPr>
          <w:rFonts w:ascii="Arial Negrito" w:hAnsi="Arial Negrito"/>
          <w:bCs/>
        </w:rPr>
        <w:t>Indicadores Ambientais</w:t>
      </w:r>
      <w:bookmarkEnd w:id="886"/>
      <w:bookmarkEnd w:id="887"/>
      <w:bookmarkEnd w:id="888"/>
    </w:p>
    <w:p w:rsidR="00DA6C42" w:rsidRDefault="00DA6C42" w:rsidP="00751AA8">
      <w:pPr>
        <w:spacing w:before="120" w:after="120" w:line="240" w:lineRule="auto"/>
        <w:rPr>
          <w:rFonts w:cs="Arial"/>
          <w:szCs w:val="22"/>
        </w:rPr>
      </w:pPr>
      <w:r w:rsidRPr="00DA6C42">
        <w:rPr>
          <w:rFonts w:cs="Arial"/>
          <w:szCs w:val="22"/>
        </w:rPr>
        <w:t xml:space="preserve">Os indicadores ambientais constituem ferramentas de acompanhamento de alterações de padrões ambientais. No contexto do presente programa os indicadores de alteração da dinâmica das águas subterrâneas na área do empreendimento serão obtidos através das variações dos níveis estáticos do lençol freático, considerando-se a pluviometria e os níveis d’água dos rios e reservatórios. </w:t>
      </w:r>
    </w:p>
    <w:p w:rsidR="00DA6C42" w:rsidRPr="000822C6" w:rsidRDefault="00DA6C42" w:rsidP="00431A97">
      <w:pPr>
        <w:pStyle w:val="Ttulo3"/>
        <w:numPr>
          <w:ilvl w:val="3"/>
          <w:numId w:val="51"/>
        </w:numPr>
        <w:rPr>
          <w:rFonts w:ascii="Arial Negrito" w:hAnsi="Arial Negrito"/>
          <w:bCs/>
        </w:rPr>
      </w:pPr>
      <w:bookmarkStart w:id="889" w:name="_Toc418758378"/>
      <w:bookmarkStart w:id="890" w:name="_Toc418758980"/>
      <w:bookmarkStart w:id="891" w:name="_Toc419813738"/>
      <w:r w:rsidRPr="000822C6">
        <w:rPr>
          <w:rFonts w:ascii="Arial Negrito" w:hAnsi="Arial Negrito"/>
          <w:bCs/>
        </w:rPr>
        <w:t>Recursos Materiais e Humanos</w:t>
      </w:r>
      <w:bookmarkEnd w:id="889"/>
      <w:bookmarkEnd w:id="890"/>
      <w:bookmarkEnd w:id="891"/>
    </w:p>
    <w:p w:rsidR="00DA6C42" w:rsidRPr="00DA6C42" w:rsidRDefault="00DA6C42" w:rsidP="00751AA8">
      <w:pPr>
        <w:spacing w:before="120" w:after="120" w:line="240" w:lineRule="auto"/>
        <w:rPr>
          <w:rFonts w:cs="Arial"/>
          <w:szCs w:val="22"/>
        </w:rPr>
      </w:pPr>
      <w:r w:rsidRPr="00DA6C42">
        <w:rPr>
          <w:rFonts w:cs="Arial"/>
          <w:szCs w:val="22"/>
        </w:rPr>
        <w:t>O empreendedor deverá contratar os serviços especializados para a interpretação dos resultados obtidos e a consequente consolidação das mesmas, através de relatório técnico bem como os serviços especializados para execução dos trabalhos de campo.</w:t>
      </w:r>
    </w:p>
    <w:p w:rsidR="00DA6C42" w:rsidRPr="00DA6C42" w:rsidRDefault="00DA6C42" w:rsidP="00751AA8">
      <w:pPr>
        <w:spacing w:before="120" w:after="120" w:line="240" w:lineRule="auto"/>
        <w:rPr>
          <w:rFonts w:cs="Arial"/>
          <w:szCs w:val="22"/>
        </w:rPr>
      </w:pPr>
      <w:r w:rsidRPr="00DA6C42">
        <w:rPr>
          <w:rFonts w:cs="Arial"/>
          <w:szCs w:val="22"/>
        </w:rPr>
        <w:t>Os recursos materiais necessários deverão disponibilizados pela empresa contratada.</w:t>
      </w:r>
    </w:p>
    <w:p w:rsidR="00DA6C42" w:rsidRPr="000822C6" w:rsidRDefault="00DA6C42" w:rsidP="00431A97">
      <w:pPr>
        <w:pStyle w:val="Ttulo3"/>
        <w:numPr>
          <w:ilvl w:val="3"/>
          <w:numId w:val="51"/>
        </w:numPr>
        <w:rPr>
          <w:rFonts w:ascii="Arial Negrito" w:hAnsi="Arial Negrito"/>
          <w:bCs/>
        </w:rPr>
      </w:pPr>
      <w:bookmarkStart w:id="892" w:name="_Toc418758379"/>
      <w:bookmarkStart w:id="893" w:name="_Toc418758981"/>
      <w:bookmarkStart w:id="894" w:name="_Toc419813739"/>
      <w:r w:rsidRPr="000822C6">
        <w:rPr>
          <w:rFonts w:ascii="Arial Negrito" w:hAnsi="Arial Negrito"/>
          <w:bCs/>
        </w:rPr>
        <w:t>Atendimento a Requisitos Legais e/ou Outros Requisitos</w:t>
      </w:r>
      <w:bookmarkEnd w:id="892"/>
      <w:bookmarkEnd w:id="893"/>
      <w:bookmarkEnd w:id="894"/>
    </w:p>
    <w:p w:rsidR="00DA6C42" w:rsidRPr="00DA6C42" w:rsidRDefault="00DA6C42" w:rsidP="00751AA8">
      <w:pPr>
        <w:spacing w:before="120" w:after="120" w:line="240" w:lineRule="auto"/>
        <w:rPr>
          <w:rFonts w:cs="Arial"/>
          <w:szCs w:val="22"/>
        </w:rPr>
      </w:pPr>
      <w:r w:rsidRPr="00DA6C42">
        <w:rPr>
          <w:rFonts w:cs="Arial"/>
          <w:szCs w:val="22"/>
        </w:rPr>
        <w:t>Para a instalação e construção de novos poços de monitoramento, os mesmos deverão seguir a Norma Brasileira ABNT NBR 15495-1 “Poços de monitoramento de águas subterrâneas em aquíferos granulares, Parte 1: Projeto e construção”.</w:t>
      </w:r>
    </w:p>
    <w:p w:rsidR="00DA6C42" w:rsidRPr="000822C6" w:rsidRDefault="00DA6C42" w:rsidP="00431A97">
      <w:pPr>
        <w:pStyle w:val="Ttulo3"/>
        <w:numPr>
          <w:ilvl w:val="3"/>
          <w:numId w:val="51"/>
        </w:numPr>
        <w:rPr>
          <w:rFonts w:ascii="Arial Negrito" w:hAnsi="Arial Negrito"/>
          <w:bCs/>
        </w:rPr>
      </w:pPr>
      <w:bookmarkStart w:id="895" w:name="_Toc418758380"/>
      <w:bookmarkStart w:id="896" w:name="_Toc418758982"/>
      <w:bookmarkStart w:id="897" w:name="_Toc419813740"/>
      <w:r w:rsidRPr="000822C6">
        <w:rPr>
          <w:rFonts w:ascii="Arial Negrito" w:hAnsi="Arial Negrito"/>
          <w:bCs/>
        </w:rPr>
        <w:t>Inter-relação com outros Planos e Programas</w:t>
      </w:r>
      <w:bookmarkEnd w:id="895"/>
      <w:bookmarkEnd w:id="896"/>
      <w:bookmarkEnd w:id="897"/>
    </w:p>
    <w:p w:rsidR="00DA6C42" w:rsidRDefault="00DA6C42" w:rsidP="00751AA8">
      <w:pPr>
        <w:spacing w:before="120" w:after="120" w:line="240" w:lineRule="auto"/>
        <w:rPr>
          <w:rFonts w:cs="Arial"/>
          <w:szCs w:val="22"/>
        </w:rPr>
      </w:pPr>
      <w:r w:rsidRPr="00DA6C42">
        <w:rPr>
          <w:rFonts w:cs="Arial"/>
          <w:szCs w:val="22"/>
        </w:rPr>
        <w:t>Os resultados obtidos em algumas das ações do presente programa serão compartilhados com os Programas de Monitoramento da Estabilidade das Encostas Marginais e Processos Erosivos.</w:t>
      </w:r>
    </w:p>
    <w:p w:rsidR="00FC59A6" w:rsidRDefault="00FC59A6" w:rsidP="00751AA8">
      <w:pPr>
        <w:spacing w:before="120" w:after="120" w:line="240" w:lineRule="auto"/>
        <w:rPr>
          <w:rFonts w:cs="Arial"/>
          <w:szCs w:val="22"/>
        </w:rPr>
      </w:pPr>
      <w:r>
        <w:rPr>
          <w:rFonts w:cs="Arial"/>
          <w:szCs w:val="22"/>
        </w:rPr>
        <w:br w:type="page"/>
      </w:r>
    </w:p>
    <w:p w:rsidR="00DA6C42" w:rsidRPr="000822C6" w:rsidRDefault="00DA6C42" w:rsidP="00431A97">
      <w:pPr>
        <w:pStyle w:val="Ttulo3"/>
        <w:numPr>
          <w:ilvl w:val="3"/>
          <w:numId w:val="51"/>
        </w:numPr>
        <w:rPr>
          <w:rFonts w:ascii="Arial Negrito" w:hAnsi="Arial Negrito"/>
          <w:bCs/>
        </w:rPr>
      </w:pPr>
      <w:bookmarkStart w:id="898" w:name="_Toc418758381"/>
      <w:bookmarkStart w:id="899" w:name="_Toc418758983"/>
      <w:bookmarkStart w:id="900" w:name="_Toc419813741"/>
      <w:r w:rsidRPr="000822C6">
        <w:rPr>
          <w:rFonts w:ascii="Arial Negrito" w:hAnsi="Arial Negrito"/>
          <w:bCs/>
        </w:rPr>
        <w:t>Etapa do Empreendimento</w:t>
      </w:r>
      <w:bookmarkEnd w:id="898"/>
      <w:bookmarkEnd w:id="899"/>
      <w:bookmarkEnd w:id="900"/>
    </w:p>
    <w:p w:rsidR="00DA6C42" w:rsidRPr="00DA6C42" w:rsidRDefault="00DA6C42" w:rsidP="00DA6C42">
      <w:pPr>
        <w:spacing w:before="120" w:after="120" w:line="276" w:lineRule="auto"/>
        <w:rPr>
          <w:rFonts w:cs="Arial"/>
          <w:szCs w:val="22"/>
        </w:rPr>
      </w:pPr>
      <w:r w:rsidRPr="00DA6C42">
        <w:rPr>
          <w:rFonts w:cs="Arial"/>
          <w:szCs w:val="22"/>
        </w:rPr>
        <w:t>Este Programa deverá ser executado nas fases de Planejamento, Implantação e Operação do Empreendimento.</w:t>
      </w:r>
    </w:p>
    <w:p w:rsidR="00DA6C42" w:rsidRPr="000822C6" w:rsidRDefault="00DA6C42" w:rsidP="00431A97">
      <w:pPr>
        <w:pStyle w:val="Ttulo3"/>
        <w:numPr>
          <w:ilvl w:val="3"/>
          <w:numId w:val="51"/>
        </w:numPr>
        <w:rPr>
          <w:rFonts w:ascii="Arial Negrito" w:hAnsi="Arial Negrito"/>
          <w:bCs/>
        </w:rPr>
      </w:pPr>
      <w:bookmarkStart w:id="901" w:name="_Toc418758382"/>
      <w:bookmarkStart w:id="902" w:name="_Toc418758984"/>
      <w:bookmarkStart w:id="903" w:name="_Toc419813742"/>
      <w:r w:rsidRPr="000822C6">
        <w:rPr>
          <w:rFonts w:ascii="Arial Negrito" w:hAnsi="Arial Negrito"/>
          <w:bCs/>
        </w:rPr>
        <w:t>Cronograma de Execução</w:t>
      </w:r>
      <w:bookmarkEnd w:id="901"/>
      <w:bookmarkEnd w:id="902"/>
      <w:bookmarkEnd w:id="903"/>
    </w:p>
    <w:p w:rsidR="00DA6C42" w:rsidRPr="00DA6C42" w:rsidRDefault="00DA6C42" w:rsidP="00751AA8">
      <w:pPr>
        <w:spacing w:before="120" w:after="120" w:line="240" w:lineRule="auto"/>
        <w:rPr>
          <w:rFonts w:cs="Arial"/>
          <w:szCs w:val="22"/>
        </w:rPr>
      </w:pPr>
      <w:r w:rsidRPr="00DA6C42">
        <w:rPr>
          <w:rFonts w:cs="Arial"/>
          <w:szCs w:val="22"/>
        </w:rPr>
        <w:t>O cronograma para o desenvolvimento das atividades do presente Programa está ligado às etapas e fases do empreendimento, tal como apresentado a seguir:</w:t>
      </w:r>
    </w:p>
    <w:p w:rsidR="00DA6C42" w:rsidRPr="00DA6C42" w:rsidRDefault="00DA6C42" w:rsidP="00F94909">
      <w:pPr>
        <w:pStyle w:val="Item-Bolinha"/>
        <w:rPr>
          <w:lang w:eastAsia="zh-CN"/>
        </w:rPr>
      </w:pPr>
      <w:r w:rsidRPr="00DA6C42">
        <w:t>Detalhamento do Programa: deverá ser desenvolvido na etapa de planejamento do</w:t>
      </w:r>
      <w:r w:rsidRPr="00DA6C42">
        <w:rPr>
          <w:lang w:eastAsia="zh-CN"/>
        </w:rPr>
        <w:t xml:space="preserve"> empreendimento e deverá estar finalizado antes do inicio da etapa de implantação;</w:t>
      </w:r>
    </w:p>
    <w:p w:rsidR="00DA6C42" w:rsidRPr="00DA6C42" w:rsidRDefault="00DA6C42" w:rsidP="00F94909">
      <w:pPr>
        <w:pStyle w:val="Item-Bolinha"/>
        <w:rPr>
          <w:lang w:eastAsia="zh-CN"/>
        </w:rPr>
      </w:pPr>
      <w:r w:rsidRPr="00DA6C42">
        <w:t>Execução das investigações e instalação dos poços de monitoramento e</w:t>
      </w:r>
      <w:r w:rsidRPr="00DA6C42">
        <w:rPr>
          <w:lang w:eastAsia="zh-CN"/>
        </w:rPr>
        <w:t xml:space="preserve"> piezômetros: os poços e as investigações deverão ser realizados no início da etapa de implantação do empreendimento, em um prazo máximo de seis meses após o início das obras;</w:t>
      </w:r>
    </w:p>
    <w:p w:rsidR="00DA6C42" w:rsidRPr="00DA6C42" w:rsidRDefault="00DA6C42" w:rsidP="00F94909">
      <w:pPr>
        <w:pStyle w:val="Item-Bolinha"/>
        <w:rPr>
          <w:lang w:eastAsia="zh-CN"/>
        </w:rPr>
      </w:pPr>
      <w:r w:rsidRPr="00DA6C42">
        <w:t>Mapeamento geológico e hidrogeológico, acompanhamento e interpretação dos</w:t>
      </w:r>
      <w:r w:rsidRPr="00DA6C42">
        <w:rPr>
          <w:lang w:eastAsia="zh-CN"/>
        </w:rPr>
        <w:t xml:space="preserve"> resultados das investigações: estas atividades deverão estar concluídas em um prazo de seis meses, tendo início no primeiro ano de implantação do empreendimento;</w:t>
      </w:r>
    </w:p>
    <w:p w:rsidR="00DA6C42" w:rsidRPr="00DA6C42" w:rsidRDefault="00DA6C42" w:rsidP="00F94909">
      <w:pPr>
        <w:pStyle w:val="Item-Bolinha"/>
        <w:rPr>
          <w:lang w:eastAsia="zh-CN"/>
        </w:rPr>
      </w:pPr>
      <w:r w:rsidRPr="00DA6C42">
        <w:rPr>
          <w:lang w:eastAsia="zh-CN"/>
        </w:rPr>
        <w:t>Leituras de Níveis de Água: deverão ser iniciadas após o final da instalação e seleção dos poços de monitoramento e deverão se estender de forma ininterrupta durante a implantação, formação do reservatório e operação, a princípio por um período de dois anos. A frequência de leituras deverá ser semanal, no período entre dois meses antes e até dois meses após o enchimento e a cada quatro meses ao longo de todo o período de monitoramento restante;</w:t>
      </w:r>
    </w:p>
    <w:p w:rsidR="00DA6C42" w:rsidRPr="00DA6C42" w:rsidRDefault="00DA6C42" w:rsidP="00F94909">
      <w:pPr>
        <w:pStyle w:val="Item-Bolinha"/>
        <w:rPr>
          <w:lang w:eastAsia="zh-CN"/>
        </w:rPr>
      </w:pPr>
      <w:r w:rsidRPr="00DA6C42">
        <w:rPr>
          <w:lang w:eastAsia="zh-CN"/>
        </w:rPr>
        <w:t>Acompanhamento do Programa e interpretação dos resultados: deverá ser realizado paralelamente às atividades de leituras de NA’s, sendo que relatórios com os resultados deverão ser emitidos semestralmente.</w:t>
      </w:r>
    </w:p>
    <w:p w:rsidR="00DA6C42" w:rsidRPr="000822C6" w:rsidRDefault="00DA6C42" w:rsidP="00431A97">
      <w:pPr>
        <w:pStyle w:val="Ttulo3"/>
        <w:numPr>
          <w:ilvl w:val="3"/>
          <w:numId w:val="51"/>
        </w:numPr>
        <w:rPr>
          <w:rFonts w:ascii="Arial Negrito" w:hAnsi="Arial Negrito"/>
          <w:bCs/>
        </w:rPr>
      </w:pPr>
      <w:bookmarkStart w:id="904" w:name="_Toc418758383"/>
      <w:bookmarkStart w:id="905" w:name="_Toc418758985"/>
      <w:bookmarkStart w:id="906" w:name="_Toc419813743"/>
      <w:r w:rsidRPr="000822C6">
        <w:rPr>
          <w:rFonts w:ascii="Arial Negrito" w:hAnsi="Arial Negrito"/>
          <w:bCs/>
        </w:rPr>
        <w:t>Responsável pela Implementação</w:t>
      </w:r>
      <w:bookmarkEnd w:id="904"/>
      <w:bookmarkEnd w:id="905"/>
      <w:bookmarkEnd w:id="906"/>
    </w:p>
    <w:p w:rsidR="00DA6C42" w:rsidRDefault="00DA6C42" w:rsidP="00751AA8">
      <w:pPr>
        <w:spacing w:before="120" w:after="120" w:line="240" w:lineRule="auto"/>
        <w:rPr>
          <w:rFonts w:cs="Arial"/>
          <w:szCs w:val="22"/>
        </w:rPr>
      </w:pPr>
      <w:r w:rsidRPr="00DA6C42">
        <w:rPr>
          <w:rFonts w:cs="Arial"/>
          <w:szCs w:val="22"/>
        </w:rPr>
        <w:t>A implementação e o desenvolvimento do programa são de responsabilidade do empreendedor.</w:t>
      </w:r>
    </w:p>
    <w:p w:rsidR="00DA6C42" w:rsidRPr="000822C6" w:rsidRDefault="00DA6C42" w:rsidP="00431A97">
      <w:pPr>
        <w:pStyle w:val="Ttulo3"/>
        <w:numPr>
          <w:ilvl w:val="3"/>
          <w:numId w:val="51"/>
        </w:numPr>
        <w:rPr>
          <w:rFonts w:ascii="Arial Negrito" w:hAnsi="Arial Negrito"/>
          <w:bCs/>
        </w:rPr>
      </w:pPr>
      <w:bookmarkStart w:id="907" w:name="_Toc418758384"/>
      <w:bookmarkStart w:id="908" w:name="_Toc418758986"/>
      <w:bookmarkStart w:id="909" w:name="_Toc419813744"/>
      <w:r w:rsidRPr="000822C6">
        <w:rPr>
          <w:rFonts w:ascii="Arial Negrito" w:hAnsi="Arial Negrito"/>
          <w:bCs/>
        </w:rPr>
        <w:t>Sistema de Registros</w:t>
      </w:r>
      <w:bookmarkEnd w:id="907"/>
      <w:bookmarkEnd w:id="908"/>
      <w:bookmarkEnd w:id="909"/>
    </w:p>
    <w:p w:rsidR="00DA6C42" w:rsidRPr="00DA6C42" w:rsidRDefault="00DA6C42" w:rsidP="00DA6C42">
      <w:pPr>
        <w:spacing w:before="120" w:after="120" w:line="240" w:lineRule="auto"/>
        <w:rPr>
          <w:rFonts w:cs="Arial"/>
          <w:szCs w:val="22"/>
        </w:rPr>
      </w:pPr>
      <w:r w:rsidRPr="00DA6C42">
        <w:rPr>
          <w:rFonts w:cs="Arial"/>
          <w:szCs w:val="22"/>
        </w:rPr>
        <w:t>A interpretação dos resultados das medidas de níveis d’água e demais informações deverão ser apresentadas em relatórios consolidados semestralmente. O acompanhamento do programa será dirigido para a proposição de modelos hidrogeológicos que sintetizem as unidades presentes na área e suas características de interesse à elevação e variações do nível do lençol freático.</w:t>
      </w:r>
    </w:p>
    <w:p w:rsidR="00DA6C42" w:rsidRPr="000822C6" w:rsidRDefault="00DA6C42" w:rsidP="00431A97">
      <w:pPr>
        <w:pStyle w:val="Ttulo3"/>
        <w:numPr>
          <w:ilvl w:val="3"/>
          <w:numId w:val="51"/>
        </w:numPr>
        <w:rPr>
          <w:rFonts w:ascii="Arial Negrito" w:hAnsi="Arial Negrito"/>
          <w:bCs/>
        </w:rPr>
      </w:pPr>
      <w:bookmarkStart w:id="910" w:name="_Toc418758385"/>
      <w:bookmarkStart w:id="911" w:name="_Toc418758987"/>
      <w:bookmarkStart w:id="912" w:name="_Toc419813745"/>
      <w:r w:rsidRPr="000822C6">
        <w:rPr>
          <w:rFonts w:ascii="Arial Negrito" w:hAnsi="Arial Negrito"/>
          <w:bCs/>
        </w:rPr>
        <w:t>Referências</w:t>
      </w:r>
      <w:r w:rsidR="00E0520E" w:rsidRPr="000822C6">
        <w:rPr>
          <w:rFonts w:ascii="Arial Negrito" w:hAnsi="Arial Negrito"/>
          <w:bCs/>
        </w:rPr>
        <w:t xml:space="preserve"> Bibliográficas</w:t>
      </w:r>
      <w:bookmarkEnd w:id="910"/>
      <w:bookmarkEnd w:id="911"/>
      <w:bookmarkEnd w:id="912"/>
    </w:p>
    <w:p w:rsidR="00DA6C42" w:rsidRDefault="00DA6C42" w:rsidP="000822C6">
      <w:pPr>
        <w:pStyle w:val="Item-Trainho"/>
      </w:pPr>
      <w:r w:rsidRPr="00DA6C42">
        <w:t>ABNT-NBR 15495-1:2007. Versão Corrigida 2009. Poços de monitoramento de águas subterrâneas em aquíferos granulados.</w:t>
      </w:r>
    </w:p>
    <w:p w:rsidR="00FC59A6" w:rsidRDefault="00FC59A6" w:rsidP="00DA6C42">
      <w:pPr>
        <w:spacing w:before="120" w:after="120" w:line="240" w:lineRule="auto"/>
        <w:rPr>
          <w:rFonts w:cs="Arial"/>
          <w:szCs w:val="22"/>
        </w:rPr>
      </w:pPr>
      <w:r>
        <w:rPr>
          <w:rFonts w:cs="Arial"/>
          <w:szCs w:val="22"/>
        </w:rPr>
        <w:br w:type="page"/>
      </w:r>
    </w:p>
    <w:p w:rsidR="001169C6" w:rsidRPr="0008766F" w:rsidRDefault="00C8464D" w:rsidP="00431A97">
      <w:pPr>
        <w:pStyle w:val="Ttulo3"/>
        <w:numPr>
          <w:ilvl w:val="2"/>
          <w:numId w:val="51"/>
        </w:numPr>
        <w:rPr>
          <w:rFonts w:ascii="Arial Negrito" w:hAnsi="Arial Negrito"/>
          <w:bCs/>
        </w:rPr>
      </w:pPr>
      <w:bookmarkStart w:id="913" w:name="_Toc418758386"/>
      <w:bookmarkStart w:id="914" w:name="_Toc418758988"/>
      <w:bookmarkStart w:id="915" w:name="_Toc419813746"/>
      <w:r w:rsidRPr="0008766F">
        <w:rPr>
          <w:rFonts w:ascii="Arial Negrito" w:hAnsi="Arial Negrito"/>
          <w:bCs/>
        </w:rPr>
        <w:t>Programa de Monitoramento da</w:t>
      </w:r>
      <w:r w:rsidR="00AF1DD3" w:rsidRPr="0008766F">
        <w:rPr>
          <w:rFonts w:ascii="Arial Negrito" w:hAnsi="Arial Negrito"/>
          <w:bCs/>
        </w:rPr>
        <w:t xml:space="preserve"> Qualidade da</w:t>
      </w:r>
      <w:r w:rsidR="00184EF9" w:rsidRPr="0008766F">
        <w:rPr>
          <w:rFonts w:ascii="Arial Negrito" w:hAnsi="Arial Negrito"/>
          <w:bCs/>
        </w:rPr>
        <w:t>s Águas Superficiais e dos Sedimentos</w:t>
      </w:r>
      <w:bookmarkEnd w:id="913"/>
      <w:bookmarkEnd w:id="914"/>
      <w:bookmarkEnd w:id="915"/>
      <w:r w:rsidRPr="0008766F">
        <w:rPr>
          <w:rFonts w:ascii="Arial Negrito" w:hAnsi="Arial Negrito"/>
          <w:bCs/>
        </w:rPr>
        <w:t xml:space="preserve"> </w:t>
      </w:r>
    </w:p>
    <w:p w:rsidR="00AF1DD3" w:rsidRPr="009E41F8" w:rsidRDefault="00AF1DD3" w:rsidP="00431A97">
      <w:pPr>
        <w:pStyle w:val="JHSF-Ttulo3"/>
        <w:numPr>
          <w:ilvl w:val="3"/>
          <w:numId w:val="51"/>
        </w:numPr>
        <w:spacing w:before="0" w:after="120"/>
        <w:rPr>
          <w:rFonts w:ascii="Arial" w:hAnsi="Arial" w:cs="Arial"/>
          <w:bCs w:val="0"/>
          <w:smallCaps w:val="0"/>
          <w:color w:val="auto"/>
          <w:sz w:val="22"/>
          <w:szCs w:val="22"/>
        </w:rPr>
      </w:pPr>
      <w:bookmarkStart w:id="916" w:name="_Toc419813747"/>
      <w:r w:rsidRPr="009E41F8">
        <w:rPr>
          <w:rFonts w:ascii="Arial" w:hAnsi="Arial" w:cs="Arial"/>
          <w:bCs w:val="0"/>
          <w:smallCaps w:val="0"/>
          <w:color w:val="auto"/>
          <w:sz w:val="22"/>
          <w:szCs w:val="22"/>
        </w:rPr>
        <w:t>Apresentação e Justificativa</w:t>
      </w:r>
      <w:bookmarkEnd w:id="916"/>
    </w:p>
    <w:p w:rsidR="004D4140" w:rsidRPr="004D4140" w:rsidRDefault="004D4140" w:rsidP="004D4140">
      <w:pPr>
        <w:autoSpaceDE w:val="0"/>
        <w:autoSpaceDN w:val="0"/>
        <w:adjustRightInd w:val="0"/>
        <w:spacing w:after="120" w:line="240" w:lineRule="auto"/>
        <w:rPr>
          <w:rFonts w:cs="Arial"/>
          <w:szCs w:val="22"/>
        </w:rPr>
      </w:pPr>
      <w:r w:rsidRPr="004D4140">
        <w:rPr>
          <w:rFonts w:cs="Arial"/>
          <w:szCs w:val="22"/>
        </w:rPr>
        <w:t xml:space="preserve">Os levantamentos apresentados no âmbito do diagnóstico ambiental (item 1.5.4.2) apontam que as principais cargas poluidoras que potencialmente atingem o rio Jaguari e os seus afluentes que drenam a AID e ADA da Barragem Pedreira resultam, em geral, de atividades agropecuárias desenvolvidas nas zonas rurais. Há ainda pequenas comunidades dispersas que podem contribuir, pontualmente, com lançamentos de resíduos sólidos e de esgotos domésticos sem tratamento. </w:t>
      </w:r>
    </w:p>
    <w:p w:rsidR="004D4140" w:rsidRDefault="004D4140" w:rsidP="004D4140">
      <w:pPr>
        <w:autoSpaceDE w:val="0"/>
        <w:autoSpaceDN w:val="0"/>
        <w:adjustRightInd w:val="0"/>
        <w:spacing w:after="120" w:line="240" w:lineRule="auto"/>
        <w:rPr>
          <w:rFonts w:cs="Arial"/>
          <w:szCs w:val="22"/>
        </w:rPr>
      </w:pPr>
      <w:r w:rsidRPr="004D4140">
        <w:rPr>
          <w:rFonts w:cs="Arial"/>
          <w:szCs w:val="22"/>
        </w:rPr>
        <w:t>Na AID e ADA da Barragem Duas Pontes, a principal fonte poluidora é o efluente de origem doméstica e industrial gerado no município de Amparo, cuja sede urbana encontra-se a montante do limite da ADA. O principal corpo hídrico receptor é o rio Camanducaia, cujas águas recebem ainda cargas difusas provenientes das zonas rurais, nas quais predominam as atividades agropecuárias.</w:t>
      </w:r>
    </w:p>
    <w:p w:rsidR="00AF1DD3" w:rsidRDefault="00AF1DD3" w:rsidP="004D4140">
      <w:pPr>
        <w:autoSpaceDE w:val="0"/>
        <w:autoSpaceDN w:val="0"/>
        <w:adjustRightInd w:val="0"/>
        <w:spacing w:after="120" w:line="240" w:lineRule="auto"/>
        <w:rPr>
          <w:rFonts w:cs="Arial"/>
          <w:szCs w:val="22"/>
        </w:rPr>
      </w:pPr>
      <w:r w:rsidRPr="000F4D76">
        <w:rPr>
          <w:rFonts w:cs="Arial"/>
          <w:szCs w:val="22"/>
        </w:rPr>
        <w:t>De acordo com a avaliação de impactos ambientais</w:t>
      </w:r>
      <w:r>
        <w:rPr>
          <w:rFonts w:cs="Arial"/>
          <w:szCs w:val="22"/>
        </w:rPr>
        <w:t xml:space="preserve"> (Volume V – Avaliação dos Impactos Ambientais, Tomo 1-Texto)</w:t>
      </w:r>
      <w:r w:rsidRPr="000F4D76">
        <w:rPr>
          <w:rFonts w:cs="Arial"/>
          <w:szCs w:val="22"/>
        </w:rPr>
        <w:t xml:space="preserve">, algumas atividades associadas à fase de implantação </w:t>
      </w:r>
      <w:r>
        <w:rPr>
          <w:rFonts w:cs="Arial"/>
          <w:szCs w:val="22"/>
        </w:rPr>
        <w:t xml:space="preserve">das Barragens Pedreira e Duas Pontes </w:t>
      </w:r>
      <w:r w:rsidRPr="000F4D76">
        <w:rPr>
          <w:rFonts w:cs="Arial"/>
          <w:szCs w:val="22"/>
        </w:rPr>
        <w:t xml:space="preserve">poderão promover alterações na qualidade água e dos sedimentos, </w:t>
      </w:r>
      <w:r>
        <w:rPr>
          <w:rFonts w:cs="Arial"/>
          <w:szCs w:val="22"/>
        </w:rPr>
        <w:t>relacionadas</w:t>
      </w:r>
      <w:r w:rsidRPr="000F4D76">
        <w:rPr>
          <w:rFonts w:cs="Arial"/>
          <w:szCs w:val="22"/>
        </w:rPr>
        <w:t xml:space="preserve"> principalmente </w:t>
      </w:r>
      <w:r>
        <w:rPr>
          <w:rFonts w:cs="Arial"/>
          <w:szCs w:val="22"/>
        </w:rPr>
        <w:t>ao</w:t>
      </w:r>
      <w:r w:rsidRPr="000F4D76">
        <w:rPr>
          <w:rFonts w:cs="Arial"/>
          <w:szCs w:val="22"/>
        </w:rPr>
        <w:t xml:space="preserve"> aporte de sólidos (cargas difusas), de efluentes e de resíduos sólidos (cargas pontuais).</w:t>
      </w:r>
    </w:p>
    <w:p w:rsidR="00AF1DD3" w:rsidRPr="000F4D76" w:rsidRDefault="00AF1DD3" w:rsidP="00AF1DD3">
      <w:pPr>
        <w:autoSpaceDE w:val="0"/>
        <w:autoSpaceDN w:val="0"/>
        <w:adjustRightInd w:val="0"/>
        <w:spacing w:after="120" w:line="240" w:lineRule="auto"/>
        <w:rPr>
          <w:rFonts w:cs="Arial"/>
          <w:szCs w:val="22"/>
        </w:rPr>
      </w:pPr>
      <w:r w:rsidRPr="000F4D76">
        <w:rPr>
          <w:rFonts w:cs="Arial"/>
          <w:szCs w:val="22"/>
        </w:rPr>
        <w:t>O</w:t>
      </w:r>
      <w:r>
        <w:rPr>
          <w:rFonts w:cs="Arial"/>
          <w:szCs w:val="22"/>
        </w:rPr>
        <w:t xml:space="preserve"> eventual</w:t>
      </w:r>
      <w:r w:rsidRPr="000F4D76">
        <w:rPr>
          <w:rFonts w:cs="Arial"/>
          <w:szCs w:val="22"/>
        </w:rPr>
        <w:t xml:space="preserve"> aumento no teor de sólidos</w:t>
      </w:r>
      <w:r>
        <w:rPr>
          <w:rFonts w:cs="Arial"/>
          <w:szCs w:val="22"/>
        </w:rPr>
        <w:t xml:space="preserve"> em função das obras civis</w:t>
      </w:r>
      <w:r w:rsidRPr="000F4D76">
        <w:rPr>
          <w:rFonts w:cs="Arial"/>
          <w:szCs w:val="22"/>
        </w:rPr>
        <w:t xml:space="preserve"> deverá acentuar os índices de cor e de turbidez das águas, podendo acarretar um aumento na concentração de ferro e de alumínio, entre outros metais constituintes da matriz geológica</w:t>
      </w:r>
      <w:r>
        <w:rPr>
          <w:rFonts w:cs="Arial"/>
          <w:szCs w:val="22"/>
        </w:rPr>
        <w:t xml:space="preserve"> regional</w:t>
      </w:r>
      <w:r w:rsidRPr="000F4D76">
        <w:rPr>
          <w:rFonts w:cs="Arial"/>
          <w:szCs w:val="22"/>
        </w:rPr>
        <w:t>. A geração de cargas pontuais representadas por resíduos sólidos e por efluentes líquidos de origem doméstica provenientes dos canteiros de obras poderão alcançar os cursos d’água, em especial o</w:t>
      </w:r>
      <w:r>
        <w:rPr>
          <w:rFonts w:cs="Arial"/>
          <w:szCs w:val="22"/>
        </w:rPr>
        <w:t>s</w:t>
      </w:r>
      <w:r w:rsidRPr="000F4D76">
        <w:rPr>
          <w:rFonts w:cs="Arial"/>
          <w:szCs w:val="22"/>
        </w:rPr>
        <w:t xml:space="preserve"> ri</w:t>
      </w:r>
      <w:r>
        <w:rPr>
          <w:rFonts w:cs="Arial"/>
          <w:szCs w:val="22"/>
        </w:rPr>
        <w:t>os Jaguari e Camanducaia</w:t>
      </w:r>
      <w:r w:rsidRPr="000F4D76">
        <w:rPr>
          <w:rFonts w:cs="Arial"/>
          <w:szCs w:val="22"/>
        </w:rPr>
        <w:t xml:space="preserve">, </w:t>
      </w:r>
      <w:r>
        <w:rPr>
          <w:rFonts w:cs="Arial"/>
          <w:szCs w:val="22"/>
        </w:rPr>
        <w:t>promovendo uma queda nos padrões de qualidade dos sistemas aquáticos.</w:t>
      </w:r>
    </w:p>
    <w:p w:rsidR="00AF1DD3" w:rsidRDefault="00AF1DD3" w:rsidP="00AF1DD3">
      <w:pPr>
        <w:autoSpaceDE w:val="0"/>
        <w:autoSpaceDN w:val="0"/>
        <w:adjustRightInd w:val="0"/>
        <w:spacing w:after="120" w:line="240" w:lineRule="auto"/>
        <w:rPr>
          <w:rFonts w:cs="Arial"/>
          <w:szCs w:val="22"/>
        </w:rPr>
      </w:pPr>
      <w:r w:rsidRPr="000F4D76">
        <w:rPr>
          <w:rFonts w:cs="Arial"/>
          <w:szCs w:val="22"/>
        </w:rPr>
        <w:t xml:space="preserve">Durante </w:t>
      </w:r>
      <w:r>
        <w:rPr>
          <w:rFonts w:cs="Arial"/>
          <w:szCs w:val="22"/>
        </w:rPr>
        <w:t>o</w:t>
      </w:r>
      <w:r w:rsidRPr="000F4D76">
        <w:rPr>
          <w:rFonts w:cs="Arial"/>
          <w:szCs w:val="22"/>
        </w:rPr>
        <w:t xml:space="preserve"> enchimento dos reservatórios, as alterações na qualidade da água e dos sedimentos </w:t>
      </w:r>
      <w:r>
        <w:rPr>
          <w:rFonts w:cs="Arial"/>
          <w:szCs w:val="22"/>
        </w:rPr>
        <w:t xml:space="preserve">tendem a ser </w:t>
      </w:r>
      <w:r w:rsidRPr="000F4D76">
        <w:rPr>
          <w:rFonts w:cs="Arial"/>
          <w:szCs w:val="22"/>
        </w:rPr>
        <w:t xml:space="preserve">geralmente mais críticas devido à submersão da vegetação e à degradação biológica da fitomassa inundada. </w:t>
      </w:r>
    </w:p>
    <w:p w:rsidR="004D4140" w:rsidRDefault="004D4140" w:rsidP="00AF1DD3">
      <w:pPr>
        <w:pStyle w:val="Estilo3"/>
        <w:tabs>
          <w:tab w:val="clear" w:pos="1440"/>
          <w:tab w:val="left" w:pos="0"/>
        </w:tabs>
        <w:spacing w:after="120"/>
        <w:ind w:left="0" w:firstLine="0"/>
        <w:rPr>
          <w:szCs w:val="20"/>
        </w:rPr>
      </w:pPr>
      <w:r w:rsidRPr="004D4140">
        <w:rPr>
          <w:szCs w:val="20"/>
        </w:rPr>
        <w:t xml:space="preserve">Na fase de enchimento, os resultados da modelagem matemática apontam condições satisfatórias da qualidade da água, com maior disponibilidade de oxigênio dissolvido no corpo central, que corresponde ao trecho formado pelo rio Jaguari. Contudo, o reservatório manterá uma condição Eutrófica, tanto no corpo principal quanto nos tributários. Na fase de operação, esse reservatório deverá restabelecer níveis mais elevados de oxigênio dissolvido, mantendo um patamar predominantemente Mesotrófico. </w:t>
      </w:r>
    </w:p>
    <w:p w:rsidR="00AF1DD3" w:rsidRPr="002907E9" w:rsidRDefault="004D4140" w:rsidP="00AF1DD3">
      <w:pPr>
        <w:pStyle w:val="Estilo3"/>
        <w:tabs>
          <w:tab w:val="clear" w:pos="1440"/>
          <w:tab w:val="left" w:pos="0"/>
        </w:tabs>
        <w:spacing w:after="120"/>
        <w:ind w:left="0" w:firstLine="0"/>
        <w:rPr>
          <w:rFonts w:cs="Arial"/>
        </w:rPr>
      </w:pPr>
      <w:r w:rsidRPr="004D4140">
        <w:rPr>
          <w:szCs w:val="20"/>
        </w:rPr>
        <w:t xml:space="preserve">Para a Barragem Duas Pontes, na etapa de enchimento do reservatório, são esperados déficits de oxigênio dissolvido e concentrações acentuadas de amônia e de fósforo, com condição variando de Mesotrófica a Supereutrófica. Durante a operação desse sistema, poderão ocorrer déficits de oxigênio dissolvido no corpo central, devido principalmente ao aporte de efluentes domésticos gerados na zona urbana de Amparo, o que implicará também elevado nível de trofia. </w:t>
      </w:r>
      <w:r w:rsidR="00AF1DD3" w:rsidRPr="002907E9">
        <w:rPr>
          <w:rFonts w:cs="Arial"/>
        </w:rPr>
        <w:t xml:space="preserve"> </w:t>
      </w:r>
    </w:p>
    <w:p w:rsidR="00AF1DD3" w:rsidRPr="009676E6" w:rsidRDefault="004D4140" w:rsidP="00AF1DD3">
      <w:pPr>
        <w:autoSpaceDE w:val="0"/>
        <w:autoSpaceDN w:val="0"/>
        <w:adjustRightInd w:val="0"/>
        <w:spacing w:after="120" w:line="240" w:lineRule="auto"/>
        <w:rPr>
          <w:rFonts w:cs="Arial"/>
          <w:szCs w:val="22"/>
        </w:rPr>
      </w:pPr>
      <w:r w:rsidRPr="004D4140">
        <w:rPr>
          <w:rFonts w:cs="Arial"/>
          <w:szCs w:val="22"/>
        </w:rPr>
        <w:t>Nesse sentido, o Programa de Monitoramento da Qualidade das Águas Superficiais e dos Sedimentos visa acompanhar a evolução dos ecossistemas aquáticos nas fases de implantação e de operação dos empreendimentos, permitindo indicar ações de controle preventivas e corretivas, visando à manutenção desses mananciais em padrões de qualidade satisfatórios para o abastecimento público</w:t>
      </w:r>
      <w:r w:rsidR="00AF1DD3" w:rsidRPr="002907E9">
        <w:rPr>
          <w:rFonts w:cs="Arial"/>
          <w:szCs w:val="22"/>
        </w:rPr>
        <w:t>.</w:t>
      </w:r>
    </w:p>
    <w:p w:rsidR="00AF1DD3" w:rsidRPr="009E41F8" w:rsidRDefault="00AF1DD3" w:rsidP="00431A97">
      <w:pPr>
        <w:pStyle w:val="JHSF-Ttulo3"/>
        <w:numPr>
          <w:ilvl w:val="3"/>
          <w:numId w:val="51"/>
        </w:numPr>
        <w:spacing w:before="0" w:after="120"/>
        <w:rPr>
          <w:rFonts w:ascii="Arial" w:hAnsi="Arial" w:cs="Arial"/>
          <w:bCs w:val="0"/>
          <w:smallCaps w:val="0"/>
          <w:color w:val="auto"/>
          <w:sz w:val="22"/>
          <w:szCs w:val="22"/>
        </w:rPr>
      </w:pPr>
      <w:bookmarkStart w:id="917" w:name="_Toc419813748"/>
      <w:r w:rsidRPr="009E41F8">
        <w:rPr>
          <w:rFonts w:ascii="Arial" w:hAnsi="Arial" w:cs="Arial"/>
          <w:bCs w:val="0"/>
          <w:smallCaps w:val="0"/>
          <w:color w:val="auto"/>
          <w:sz w:val="22"/>
          <w:szCs w:val="22"/>
        </w:rPr>
        <w:t>Objetivos</w:t>
      </w:r>
      <w:bookmarkEnd w:id="917"/>
    </w:p>
    <w:p w:rsidR="00AF1DD3" w:rsidRDefault="00AF1DD3" w:rsidP="00AF1DD3">
      <w:pPr>
        <w:tabs>
          <w:tab w:val="num" w:pos="1134"/>
        </w:tabs>
        <w:spacing w:line="240" w:lineRule="auto"/>
        <w:rPr>
          <w:rFonts w:cs="Arial"/>
          <w:szCs w:val="22"/>
        </w:rPr>
      </w:pPr>
      <w:r w:rsidRPr="001476DC">
        <w:rPr>
          <w:rFonts w:eastAsia="Calibri" w:cs="Arial"/>
          <w:szCs w:val="22"/>
          <w:lang w:eastAsia="en-US"/>
        </w:rPr>
        <w:t>O</w:t>
      </w:r>
      <w:r w:rsidRPr="001476DC">
        <w:rPr>
          <w:rFonts w:cs="Arial"/>
          <w:szCs w:val="22"/>
        </w:rPr>
        <w:t xml:space="preserve"> </w:t>
      </w:r>
      <w:r>
        <w:rPr>
          <w:rFonts w:cs="Arial"/>
          <w:szCs w:val="22"/>
        </w:rPr>
        <w:t>p</w:t>
      </w:r>
      <w:r w:rsidRPr="009676E6">
        <w:rPr>
          <w:rFonts w:cs="Arial"/>
          <w:szCs w:val="22"/>
        </w:rPr>
        <w:t xml:space="preserve">rograma de </w:t>
      </w:r>
      <w:r>
        <w:rPr>
          <w:rFonts w:cs="Arial"/>
          <w:szCs w:val="22"/>
        </w:rPr>
        <w:t>m</w:t>
      </w:r>
      <w:r w:rsidRPr="009676E6">
        <w:rPr>
          <w:rFonts w:cs="Arial"/>
          <w:szCs w:val="22"/>
        </w:rPr>
        <w:t xml:space="preserve">onitoramento </w:t>
      </w:r>
      <w:r>
        <w:rPr>
          <w:rFonts w:cs="Arial"/>
          <w:szCs w:val="22"/>
        </w:rPr>
        <w:t>em pauta</w:t>
      </w:r>
      <w:r w:rsidRPr="001476DC">
        <w:rPr>
          <w:rFonts w:cs="Arial"/>
          <w:szCs w:val="22"/>
        </w:rPr>
        <w:t xml:space="preserve"> tem como principal objetivo </w:t>
      </w:r>
      <w:r>
        <w:rPr>
          <w:rFonts w:cs="Arial"/>
          <w:szCs w:val="22"/>
        </w:rPr>
        <w:t xml:space="preserve">analisar </w:t>
      </w:r>
      <w:r w:rsidRPr="001476DC">
        <w:rPr>
          <w:rFonts w:cs="Arial"/>
          <w:szCs w:val="22"/>
        </w:rPr>
        <w:t>a qualidade das águas e dos sedimentos</w:t>
      </w:r>
      <w:r>
        <w:rPr>
          <w:rFonts w:cs="Arial"/>
          <w:szCs w:val="22"/>
        </w:rPr>
        <w:t xml:space="preserve"> durante as etapas de planejamento</w:t>
      </w:r>
      <w:r w:rsidRPr="001476DC">
        <w:rPr>
          <w:rFonts w:cs="Arial"/>
          <w:szCs w:val="22"/>
        </w:rPr>
        <w:t xml:space="preserve">, implantação e operação </w:t>
      </w:r>
      <w:r>
        <w:rPr>
          <w:rFonts w:cs="Arial"/>
          <w:szCs w:val="22"/>
        </w:rPr>
        <w:t>das Barragens Pedreira e Duas Pontes.</w:t>
      </w:r>
    </w:p>
    <w:p w:rsidR="004D4140" w:rsidRPr="001476DC" w:rsidDel="002F3FE7" w:rsidRDefault="004D4140" w:rsidP="00AF1DD3">
      <w:pPr>
        <w:tabs>
          <w:tab w:val="num" w:pos="1134"/>
        </w:tabs>
        <w:spacing w:line="240" w:lineRule="auto"/>
        <w:rPr>
          <w:rFonts w:cs="Arial"/>
          <w:szCs w:val="22"/>
        </w:rPr>
      </w:pPr>
    </w:p>
    <w:p w:rsidR="00AF1DD3" w:rsidRPr="00BC374A" w:rsidRDefault="00AF1DD3" w:rsidP="00AF1DD3">
      <w:pPr>
        <w:tabs>
          <w:tab w:val="num" w:pos="1134"/>
        </w:tabs>
        <w:spacing w:line="240" w:lineRule="auto"/>
        <w:rPr>
          <w:rFonts w:cs="Arial"/>
          <w:b/>
        </w:rPr>
      </w:pPr>
      <w:r>
        <w:rPr>
          <w:rFonts w:cs="Arial"/>
          <w:szCs w:val="22"/>
        </w:rPr>
        <w:t xml:space="preserve">Os </w:t>
      </w:r>
      <w:r w:rsidRPr="00554164">
        <w:rPr>
          <w:rFonts w:cs="Arial"/>
          <w:szCs w:val="22"/>
        </w:rPr>
        <w:t>o</w:t>
      </w:r>
      <w:r w:rsidRPr="00554164">
        <w:rPr>
          <w:rFonts w:cs="Arial"/>
        </w:rPr>
        <w:t>bjetivos específicos incluem:</w:t>
      </w:r>
    </w:p>
    <w:p w:rsidR="00AF1DD3" w:rsidRPr="0054752B" w:rsidRDefault="00AF1DD3" w:rsidP="00431A97">
      <w:pPr>
        <w:pStyle w:val="Marcador1"/>
        <w:numPr>
          <w:ilvl w:val="0"/>
          <w:numId w:val="76"/>
        </w:numPr>
        <w:spacing w:before="120" w:after="120" w:line="240" w:lineRule="auto"/>
        <w:ind w:left="426" w:hanging="426"/>
        <w:rPr>
          <w:rFonts w:eastAsia="Calibri" w:cs="Arial"/>
          <w:szCs w:val="22"/>
          <w:lang w:eastAsia="en-US"/>
        </w:rPr>
      </w:pPr>
      <w:r w:rsidRPr="001476DC">
        <w:rPr>
          <w:rFonts w:eastAsia="Calibri" w:cs="Arial"/>
          <w:szCs w:val="22"/>
          <w:lang w:eastAsia="en-US"/>
        </w:rPr>
        <w:t xml:space="preserve">Realizar o monitoramento da qualidade da água e dos sedimentos, tendo como </w:t>
      </w:r>
      <w:r w:rsidRPr="0054752B">
        <w:rPr>
          <w:rFonts w:eastAsia="Calibri" w:cs="Arial"/>
          <w:szCs w:val="22"/>
          <w:lang w:eastAsia="en-US"/>
        </w:rPr>
        <w:t>indicadores parâmetros físicos, químicos, bacteriológicos e biológicos.</w:t>
      </w:r>
    </w:p>
    <w:p w:rsidR="00AF1DD3" w:rsidRPr="0054752B" w:rsidRDefault="00AF1DD3" w:rsidP="00431A97">
      <w:pPr>
        <w:pStyle w:val="Marcador1"/>
        <w:numPr>
          <w:ilvl w:val="0"/>
          <w:numId w:val="76"/>
        </w:numPr>
        <w:spacing w:before="120" w:after="120" w:line="240" w:lineRule="auto"/>
        <w:ind w:left="426" w:hanging="426"/>
        <w:rPr>
          <w:rFonts w:eastAsia="Calibri" w:cs="Arial"/>
          <w:szCs w:val="22"/>
          <w:lang w:eastAsia="en-US"/>
        </w:rPr>
      </w:pPr>
      <w:r w:rsidRPr="0054752B">
        <w:rPr>
          <w:rFonts w:eastAsia="Calibri" w:cs="Arial"/>
          <w:szCs w:val="22"/>
          <w:lang w:eastAsia="en-US"/>
        </w:rPr>
        <w:t xml:space="preserve">Caracterizar alterações nas condições estéticas, ecológicas e sanitárias das águas durante o regime hidrológico anual, incluindo amostragem em trechos situados a montante e a jusante dos reservatórios </w:t>
      </w:r>
      <w:r>
        <w:rPr>
          <w:rFonts w:eastAsia="Calibri" w:cs="Arial"/>
          <w:szCs w:val="22"/>
          <w:lang w:eastAsia="en-US"/>
        </w:rPr>
        <w:t xml:space="preserve">projetados, </w:t>
      </w:r>
      <w:r w:rsidRPr="0054752B">
        <w:rPr>
          <w:rFonts w:eastAsia="Calibri" w:cs="Arial"/>
          <w:szCs w:val="22"/>
          <w:lang w:eastAsia="en-US"/>
        </w:rPr>
        <w:t>nos braços tributários</w:t>
      </w:r>
      <w:r>
        <w:rPr>
          <w:rFonts w:eastAsia="Calibri" w:cs="Arial"/>
          <w:szCs w:val="22"/>
          <w:lang w:eastAsia="en-US"/>
        </w:rPr>
        <w:t xml:space="preserve"> e no ponto de captação de cada barragem.</w:t>
      </w:r>
    </w:p>
    <w:p w:rsidR="00AF1DD3" w:rsidRPr="00773ED3" w:rsidRDefault="00AF1DD3" w:rsidP="00431A97">
      <w:pPr>
        <w:pStyle w:val="Marcador1"/>
        <w:numPr>
          <w:ilvl w:val="0"/>
          <w:numId w:val="76"/>
        </w:numPr>
        <w:spacing w:before="120" w:after="120" w:line="240" w:lineRule="auto"/>
        <w:ind w:left="426" w:hanging="426"/>
        <w:rPr>
          <w:rFonts w:eastAsia="Calibri" w:cs="Arial"/>
          <w:szCs w:val="22"/>
          <w:lang w:eastAsia="en-US"/>
        </w:rPr>
      </w:pPr>
      <w:r w:rsidRPr="00773ED3">
        <w:rPr>
          <w:rFonts w:eastAsia="Calibri" w:cs="Arial"/>
          <w:szCs w:val="22"/>
          <w:lang w:eastAsia="en-US"/>
        </w:rPr>
        <w:t>Registrar de forma sistemática os resultados obtidos em relação aos padrões ambientais estabelecidos pela</w:t>
      </w:r>
      <w:r>
        <w:rPr>
          <w:rFonts w:eastAsia="Calibri" w:cs="Arial"/>
          <w:szCs w:val="22"/>
          <w:lang w:eastAsia="en-US"/>
        </w:rPr>
        <w:t>s</w:t>
      </w:r>
      <w:r w:rsidRPr="00773ED3">
        <w:rPr>
          <w:rFonts w:eastAsia="Calibri" w:cs="Arial"/>
          <w:szCs w:val="22"/>
          <w:lang w:eastAsia="en-US"/>
        </w:rPr>
        <w:t xml:space="preserve"> legislaç</w:t>
      </w:r>
      <w:r>
        <w:rPr>
          <w:rFonts w:eastAsia="Calibri" w:cs="Arial"/>
          <w:szCs w:val="22"/>
          <w:lang w:eastAsia="en-US"/>
        </w:rPr>
        <w:t>ões</w:t>
      </w:r>
      <w:r w:rsidRPr="00773ED3">
        <w:rPr>
          <w:rFonts w:eastAsia="Calibri" w:cs="Arial"/>
          <w:szCs w:val="22"/>
          <w:lang w:eastAsia="en-US"/>
        </w:rPr>
        <w:t xml:space="preserve"> vigente</w:t>
      </w:r>
      <w:r>
        <w:rPr>
          <w:rFonts w:eastAsia="Calibri" w:cs="Arial"/>
          <w:szCs w:val="22"/>
          <w:lang w:eastAsia="en-US"/>
        </w:rPr>
        <w:t>s</w:t>
      </w:r>
      <w:r w:rsidRPr="00773ED3">
        <w:rPr>
          <w:rFonts w:eastAsia="Calibri" w:cs="Arial"/>
          <w:szCs w:val="22"/>
          <w:lang w:eastAsia="en-US"/>
        </w:rPr>
        <w:t xml:space="preserve"> (Resoluções </w:t>
      </w:r>
      <w:r w:rsidR="00504078">
        <w:rPr>
          <w:rFonts w:eastAsia="Calibri" w:cs="Arial"/>
          <w:szCs w:val="22"/>
          <w:lang w:eastAsia="en-US"/>
        </w:rPr>
        <w:t>CONAMA</w:t>
      </w:r>
      <w:r w:rsidRPr="00773ED3">
        <w:rPr>
          <w:rFonts w:eastAsia="Calibri" w:cs="Arial"/>
          <w:szCs w:val="22"/>
          <w:lang w:eastAsia="en-US"/>
        </w:rPr>
        <w:t xml:space="preserve"> 357/05 e 454/12,</w:t>
      </w:r>
      <w:r w:rsidRPr="00773ED3">
        <w:rPr>
          <w:rFonts w:cs="Arial"/>
          <w:szCs w:val="22"/>
        </w:rPr>
        <w:t xml:space="preserve"> Decisão de Diretoria</w:t>
      </w:r>
      <w:r>
        <w:rPr>
          <w:rFonts w:cs="Arial"/>
          <w:szCs w:val="22"/>
        </w:rPr>
        <w:t xml:space="preserve"> da </w:t>
      </w:r>
      <w:r w:rsidRPr="009E41F8">
        <w:rPr>
          <w:rFonts w:cs="Arial"/>
          <w:szCs w:val="22"/>
        </w:rPr>
        <w:t xml:space="preserve">Companhia Ambiental do Estado de São Paulo </w:t>
      </w:r>
      <w:r>
        <w:rPr>
          <w:rFonts w:cs="Arial"/>
          <w:szCs w:val="22"/>
        </w:rPr>
        <w:t xml:space="preserve">– </w:t>
      </w:r>
      <w:r w:rsidRPr="009E41F8">
        <w:rPr>
          <w:rFonts w:cs="Arial"/>
          <w:szCs w:val="22"/>
        </w:rPr>
        <w:t>C</w:t>
      </w:r>
      <w:r>
        <w:rPr>
          <w:rFonts w:cs="Arial"/>
          <w:szCs w:val="22"/>
        </w:rPr>
        <w:t>ETESB</w:t>
      </w:r>
      <w:r w:rsidRPr="00773ED3">
        <w:rPr>
          <w:rFonts w:cs="Arial"/>
          <w:szCs w:val="22"/>
        </w:rPr>
        <w:t xml:space="preserve"> </w:t>
      </w:r>
      <w:r>
        <w:rPr>
          <w:rFonts w:cs="Arial"/>
          <w:szCs w:val="22"/>
        </w:rPr>
        <w:t xml:space="preserve">nº </w:t>
      </w:r>
      <w:r w:rsidRPr="00773ED3">
        <w:rPr>
          <w:rFonts w:cs="Arial"/>
          <w:szCs w:val="22"/>
        </w:rPr>
        <w:t xml:space="preserve">112/2013/E e </w:t>
      </w:r>
      <w:r w:rsidRPr="0054752B">
        <w:rPr>
          <w:rFonts w:eastAsia="Calibri" w:cs="Arial"/>
          <w:szCs w:val="22"/>
          <w:lang w:eastAsia="en-US"/>
        </w:rPr>
        <w:t>Portaria do Ministério da Saúde</w:t>
      </w:r>
      <w:r>
        <w:rPr>
          <w:rFonts w:eastAsia="Calibri" w:cs="Arial"/>
          <w:szCs w:val="22"/>
          <w:lang w:eastAsia="en-US"/>
        </w:rPr>
        <w:t xml:space="preserve"> - MS </w:t>
      </w:r>
      <w:r w:rsidRPr="0054752B">
        <w:rPr>
          <w:rFonts w:eastAsia="Calibri" w:cs="Arial"/>
          <w:szCs w:val="22"/>
          <w:lang w:eastAsia="en-US"/>
        </w:rPr>
        <w:t>nº 2.914/2011).</w:t>
      </w:r>
    </w:p>
    <w:p w:rsidR="00AF1DD3" w:rsidRPr="001476DC" w:rsidRDefault="00AF1DD3" w:rsidP="00431A97">
      <w:pPr>
        <w:pStyle w:val="Marcador1"/>
        <w:numPr>
          <w:ilvl w:val="0"/>
          <w:numId w:val="76"/>
        </w:numPr>
        <w:spacing w:before="120" w:after="120" w:line="240" w:lineRule="auto"/>
        <w:ind w:left="426" w:hanging="426"/>
        <w:rPr>
          <w:rFonts w:eastAsia="Calibri" w:cs="Arial"/>
          <w:szCs w:val="22"/>
          <w:lang w:eastAsia="en-US"/>
        </w:rPr>
      </w:pPr>
      <w:r w:rsidRPr="001476DC">
        <w:rPr>
          <w:rFonts w:eastAsia="Calibri" w:cs="Arial"/>
          <w:szCs w:val="22"/>
          <w:lang w:eastAsia="en-US"/>
        </w:rPr>
        <w:t>Analisar eventuais interferências decorrentes de ações antrópicas exógenas às atividades do</w:t>
      </w:r>
      <w:r>
        <w:rPr>
          <w:rFonts w:eastAsia="Calibri" w:cs="Arial"/>
          <w:szCs w:val="22"/>
          <w:lang w:eastAsia="en-US"/>
        </w:rPr>
        <w:t>s</w:t>
      </w:r>
      <w:r w:rsidRPr="001476DC">
        <w:rPr>
          <w:rFonts w:eastAsia="Calibri" w:cs="Arial"/>
          <w:szCs w:val="22"/>
          <w:lang w:eastAsia="en-US"/>
        </w:rPr>
        <w:t xml:space="preserve"> empreendimento</w:t>
      </w:r>
      <w:r>
        <w:rPr>
          <w:rFonts w:eastAsia="Calibri" w:cs="Arial"/>
          <w:szCs w:val="22"/>
          <w:lang w:eastAsia="en-US"/>
        </w:rPr>
        <w:t>s</w:t>
      </w:r>
      <w:r w:rsidRPr="001476DC">
        <w:rPr>
          <w:rFonts w:eastAsia="Calibri" w:cs="Arial"/>
          <w:szCs w:val="22"/>
          <w:lang w:eastAsia="en-US"/>
        </w:rPr>
        <w:t>, como o lançamento de esgotos domésticos e lixo no ambiente, o aporte de dejetos de animais, entre outras fontes de poluição existentes n</w:t>
      </w:r>
      <w:r>
        <w:rPr>
          <w:rFonts w:eastAsia="Calibri" w:cs="Arial"/>
          <w:szCs w:val="22"/>
          <w:lang w:eastAsia="en-US"/>
        </w:rPr>
        <w:t>as respectivas bacias hidrográficas.</w:t>
      </w:r>
    </w:p>
    <w:p w:rsidR="00AF1DD3" w:rsidRPr="001476DC" w:rsidRDefault="00AF1DD3" w:rsidP="00431A97">
      <w:pPr>
        <w:pStyle w:val="Marcador1"/>
        <w:numPr>
          <w:ilvl w:val="0"/>
          <w:numId w:val="76"/>
        </w:numPr>
        <w:spacing w:before="120" w:after="120" w:line="240" w:lineRule="auto"/>
        <w:ind w:left="426" w:hanging="426"/>
        <w:rPr>
          <w:rFonts w:eastAsia="Calibri" w:cs="Arial"/>
          <w:szCs w:val="22"/>
          <w:lang w:eastAsia="en-US"/>
        </w:rPr>
      </w:pPr>
      <w:r>
        <w:rPr>
          <w:rFonts w:eastAsia="Calibri" w:cs="Arial"/>
          <w:szCs w:val="22"/>
          <w:lang w:eastAsia="en-US"/>
        </w:rPr>
        <w:t xml:space="preserve">Avaliar </w:t>
      </w:r>
      <w:r w:rsidRPr="001476DC">
        <w:rPr>
          <w:rFonts w:eastAsia="Calibri" w:cs="Arial"/>
          <w:szCs w:val="22"/>
          <w:lang w:eastAsia="en-US"/>
        </w:rPr>
        <w:t xml:space="preserve">os mecanismos de controle ambiental adotados </w:t>
      </w:r>
      <w:r>
        <w:rPr>
          <w:rFonts w:eastAsia="Calibri" w:cs="Arial"/>
          <w:szCs w:val="22"/>
          <w:lang w:eastAsia="en-US"/>
        </w:rPr>
        <w:t>para preservação dos mananciais de abastecimento</w:t>
      </w:r>
      <w:r w:rsidRPr="001476DC">
        <w:rPr>
          <w:rFonts w:eastAsia="Calibri" w:cs="Arial"/>
          <w:szCs w:val="22"/>
          <w:lang w:eastAsia="en-US"/>
        </w:rPr>
        <w:t>, visando obter uma avaliação integrada entre as ações do projet</w:t>
      </w:r>
      <w:r>
        <w:rPr>
          <w:rFonts w:eastAsia="Calibri" w:cs="Arial"/>
          <w:szCs w:val="22"/>
          <w:lang w:eastAsia="en-US"/>
        </w:rPr>
        <w:t>o e o programa de monitoramento.</w:t>
      </w:r>
    </w:p>
    <w:p w:rsidR="00AF1DD3" w:rsidRPr="009E41F8" w:rsidRDefault="00AF1DD3" w:rsidP="00431A97">
      <w:pPr>
        <w:pStyle w:val="Ttulo3"/>
        <w:numPr>
          <w:ilvl w:val="3"/>
          <w:numId w:val="51"/>
        </w:numPr>
      </w:pPr>
      <w:bookmarkStart w:id="918" w:name="_Toc419813749"/>
      <w:r w:rsidRPr="009E41F8">
        <w:t>Metas</w:t>
      </w:r>
      <w:bookmarkEnd w:id="918"/>
    </w:p>
    <w:p w:rsidR="00AF1DD3" w:rsidRPr="003568B1" w:rsidRDefault="00AF1DD3" w:rsidP="00AF1DD3">
      <w:pPr>
        <w:autoSpaceDE w:val="0"/>
        <w:autoSpaceDN w:val="0"/>
        <w:adjustRightInd w:val="0"/>
        <w:spacing w:after="120" w:line="240" w:lineRule="auto"/>
        <w:rPr>
          <w:rFonts w:cs="Arial"/>
          <w:szCs w:val="22"/>
        </w:rPr>
      </w:pPr>
      <w:r w:rsidRPr="009E41F8">
        <w:rPr>
          <w:rFonts w:cs="Arial"/>
          <w:szCs w:val="22"/>
        </w:rPr>
        <w:t xml:space="preserve">Este programa tem como meta a realização de campanhas de monitoramento periódicas </w:t>
      </w:r>
      <w:r w:rsidRPr="0054752B">
        <w:rPr>
          <w:rFonts w:cs="Arial"/>
          <w:szCs w:val="22"/>
        </w:rPr>
        <w:t xml:space="preserve">para avaliação da qualidade das águas superficiais e dos sedimentos na AID e ADA </w:t>
      </w:r>
      <w:r>
        <w:rPr>
          <w:rFonts w:cs="Arial"/>
          <w:szCs w:val="22"/>
        </w:rPr>
        <w:t xml:space="preserve">das </w:t>
      </w:r>
      <w:r w:rsidRPr="0054752B">
        <w:rPr>
          <w:rFonts w:cs="Arial"/>
          <w:szCs w:val="22"/>
        </w:rPr>
        <w:t xml:space="preserve">Barragens Pedreira e Duas Pontes. As metas desse programa incluem </w:t>
      </w:r>
      <w:r>
        <w:rPr>
          <w:rFonts w:cs="Arial"/>
          <w:szCs w:val="22"/>
        </w:rPr>
        <w:t xml:space="preserve">a emissão de relatórios técnicos, relacionando os resultados obtidos </w:t>
      </w:r>
      <w:r w:rsidRPr="0054752B">
        <w:rPr>
          <w:rFonts w:cs="Arial"/>
          <w:szCs w:val="22"/>
        </w:rPr>
        <w:t>com as condições anteriores à formação dos reservatórios e com os padrões de qualidade estabelecidos pelas legislações vi</w:t>
      </w:r>
      <w:r>
        <w:rPr>
          <w:rFonts w:cs="Arial"/>
          <w:szCs w:val="22"/>
        </w:rPr>
        <w:t>gentes, bem como o controle de potabilidade nos pontos de captações das respectivas barragens.</w:t>
      </w:r>
    </w:p>
    <w:p w:rsidR="00AF1DD3" w:rsidRPr="009E41F8" w:rsidRDefault="00AF1DD3" w:rsidP="00431A97">
      <w:pPr>
        <w:pStyle w:val="Ttulo3"/>
        <w:numPr>
          <w:ilvl w:val="3"/>
          <w:numId w:val="51"/>
        </w:numPr>
      </w:pPr>
      <w:bookmarkStart w:id="919" w:name="_Toc419813750"/>
      <w:r w:rsidRPr="009E41F8">
        <w:t>Público Alvo</w:t>
      </w:r>
      <w:bookmarkEnd w:id="919"/>
    </w:p>
    <w:p w:rsidR="00AF1DD3" w:rsidRPr="009E41F8" w:rsidRDefault="00AF1DD3" w:rsidP="00AF1DD3">
      <w:pPr>
        <w:autoSpaceDE w:val="0"/>
        <w:autoSpaceDN w:val="0"/>
        <w:adjustRightInd w:val="0"/>
        <w:spacing w:after="120" w:line="240" w:lineRule="auto"/>
        <w:rPr>
          <w:rFonts w:cs="Arial"/>
          <w:szCs w:val="22"/>
        </w:rPr>
      </w:pPr>
      <w:r w:rsidRPr="0054752B">
        <w:rPr>
          <w:rFonts w:cs="Arial"/>
          <w:szCs w:val="22"/>
        </w:rPr>
        <w:t xml:space="preserve">Este programa tem como principal público alvo a população que será abastecida pelos mananciais </w:t>
      </w:r>
      <w:r>
        <w:rPr>
          <w:rFonts w:cs="Arial"/>
          <w:szCs w:val="22"/>
        </w:rPr>
        <w:t xml:space="preserve">projetados </w:t>
      </w:r>
      <w:r w:rsidRPr="0054752B">
        <w:rPr>
          <w:rFonts w:cs="Arial"/>
          <w:szCs w:val="22"/>
        </w:rPr>
        <w:t xml:space="preserve">nos rios Jaguari e Camanducaia, bem como </w:t>
      </w:r>
      <w:r>
        <w:rPr>
          <w:rFonts w:cs="Arial"/>
          <w:szCs w:val="22"/>
        </w:rPr>
        <w:t>o empreendedor (</w:t>
      </w:r>
      <w:r w:rsidRPr="00237568">
        <w:rPr>
          <w:rFonts w:eastAsia="Calibri"/>
          <w:szCs w:val="22"/>
          <w:lang w:val="fr-FR" w:eastAsia="en-US"/>
        </w:rPr>
        <w:t xml:space="preserve">Departamento de Águas e Energia Elétrica - </w:t>
      </w:r>
      <w:r w:rsidRPr="004978D8">
        <w:rPr>
          <w:rFonts w:cs="Arial"/>
          <w:szCs w:val="22"/>
        </w:rPr>
        <w:t>DAEE do Estado de São Paulo</w:t>
      </w:r>
      <w:r>
        <w:rPr>
          <w:rFonts w:cs="Arial"/>
          <w:szCs w:val="22"/>
        </w:rPr>
        <w:t xml:space="preserve"> e </w:t>
      </w:r>
      <w:r w:rsidRPr="004978D8">
        <w:rPr>
          <w:rFonts w:cs="Arial"/>
          <w:szCs w:val="22"/>
        </w:rPr>
        <w:t xml:space="preserve">Secretaria </w:t>
      </w:r>
      <w:r>
        <w:rPr>
          <w:rFonts w:cs="Arial"/>
          <w:szCs w:val="22"/>
        </w:rPr>
        <w:t>de Saneamento e</w:t>
      </w:r>
      <w:r w:rsidRPr="004978D8">
        <w:rPr>
          <w:rFonts w:cs="Arial"/>
          <w:szCs w:val="22"/>
        </w:rPr>
        <w:t xml:space="preserve"> Recursos Hídricos</w:t>
      </w:r>
      <w:r>
        <w:rPr>
          <w:rFonts w:cs="Arial"/>
          <w:szCs w:val="22"/>
        </w:rPr>
        <w:t xml:space="preserve">), </w:t>
      </w:r>
      <w:r w:rsidRPr="0054752B">
        <w:rPr>
          <w:rFonts w:cs="Arial"/>
          <w:szCs w:val="22"/>
        </w:rPr>
        <w:t>responsável pela contratação de empresas que executarão o presente progr</w:t>
      </w:r>
      <w:r>
        <w:rPr>
          <w:rFonts w:cs="Arial"/>
          <w:szCs w:val="22"/>
        </w:rPr>
        <w:t>ama. Considera</w:t>
      </w:r>
      <w:r w:rsidRPr="0054752B">
        <w:rPr>
          <w:rFonts w:cs="Arial"/>
          <w:szCs w:val="22"/>
        </w:rPr>
        <w:t>-se também como público alvo os Comitês das Bacias Hidrográficas dos Rios Piracicaba, Capivari e Jundiaí -</w:t>
      </w:r>
      <w:r>
        <w:rPr>
          <w:rFonts w:cs="Arial"/>
          <w:szCs w:val="22"/>
        </w:rPr>
        <w:t xml:space="preserve"> </w:t>
      </w:r>
      <w:r w:rsidRPr="0054752B">
        <w:rPr>
          <w:rFonts w:cs="Arial"/>
          <w:szCs w:val="22"/>
        </w:rPr>
        <w:t>CBH PCJ e dos Rios Piracicaba e Jaguari -</w:t>
      </w:r>
      <w:r>
        <w:rPr>
          <w:rFonts w:cs="Arial"/>
          <w:szCs w:val="22"/>
        </w:rPr>
        <w:t xml:space="preserve"> </w:t>
      </w:r>
      <w:r w:rsidRPr="0054752B">
        <w:rPr>
          <w:rFonts w:cs="Arial"/>
          <w:szCs w:val="22"/>
        </w:rPr>
        <w:t xml:space="preserve">CBH PJ, a Secretaria Estadual do Meio Ambiente </w:t>
      </w:r>
      <w:r>
        <w:rPr>
          <w:rFonts w:cs="Arial"/>
          <w:szCs w:val="22"/>
        </w:rPr>
        <w:t xml:space="preserve">– </w:t>
      </w:r>
      <w:r w:rsidRPr="0054752B">
        <w:rPr>
          <w:rFonts w:cs="Arial"/>
          <w:szCs w:val="22"/>
        </w:rPr>
        <w:t>S</w:t>
      </w:r>
      <w:r>
        <w:rPr>
          <w:rFonts w:cs="Arial"/>
          <w:szCs w:val="22"/>
        </w:rPr>
        <w:t>E</w:t>
      </w:r>
      <w:r w:rsidRPr="0054752B">
        <w:rPr>
          <w:rFonts w:cs="Arial"/>
          <w:szCs w:val="22"/>
        </w:rPr>
        <w:t>MA</w:t>
      </w:r>
      <w:r>
        <w:rPr>
          <w:rFonts w:cs="Arial"/>
          <w:szCs w:val="22"/>
        </w:rPr>
        <w:t xml:space="preserve"> e </w:t>
      </w:r>
      <w:r w:rsidRPr="0054752B">
        <w:rPr>
          <w:rFonts w:cs="Arial"/>
          <w:szCs w:val="22"/>
        </w:rPr>
        <w:t>a C</w:t>
      </w:r>
      <w:r>
        <w:rPr>
          <w:rFonts w:cs="Arial"/>
          <w:szCs w:val="22"/>
        </w:rPr>
        <w:t>ETESB</w:t>
      </w:r>
      <w:r w:rsidRPr="0054752B">
        <w:rPr>
          <w:rFonts w:cs="Arial"/>
          <w:szCs w:val="22"/>
        </w:rPr>
        <w:t>, além de instituições de pesquisa e a sociedade civil.</w:t>
      </w:r>
    </w:p>
    <w:p w:rsidR="00AF1DD3" w:rsidRPr="009E41F8" w:rsidRDefault="00AF1DD3" w:rsidP="00431A97">
      <w:pPr>
        <w:pStyle w:val="Ttulo3"/>
        <w:numPr>
          <w:ilvl w:val="3"/>
          <w:numId w:val="51"/>
        </w:numPr>
      </w:pPr>
      <w:bookmarkStart w:id="920" w:name="_Toc419813751"/>
      <w:r w:rsidRPr="009E41F8">
        <w:t>Métodos e Descrição do Programa</w:t>
      </w:r>
      <w:bookmarkEnd w:id="920"/>
    </w:p>
    <w:p w:rsidR="00AF1DD3" w:rsidRDefault="00AF1DD3" w:rsidP="00AF1DD3">
      <w:pPr>
        <w:autoSpaceDE w:val="0"/>
        <w:autoSpaceDN w:val="0"/>
        <w:adjustRightInd w:val="0"/>
        <w:spacing w:after="120" w:line="240" w:lineRule="auto"/>
        <w:rPr>
          <w:rFonts w:cs="Arial"/>
          <w:szCs w:val="22"/>
        </w:rPr>
      </w:pPr>
      <w:r w:rsidRPr="009E41F8">
        <w:rPr>
          <w:rFonts w:cs="Arial"/>
          <w:szCs w:val="22"/>
        </w:rPr>
        <w:t xml:space="preserve">A seguir descrevem-se as diretrizes e principais ações previstas na operacionalização do </w:t>
      </w:r>
      <w:r>
        <w:rPr>
          <w:rFonts w:cs="Arial"/>
          <w:szCs w:val="22"/>
        </w:rPr>
        <w:t>Programa de Monitoramento da Qualidade das Águas Superficiais e dos Sedimentos</w:t>
      </w:r>
      <w:r w:rsidRPr="009E41F8">
        <w:rPr>
          <w:rFonts w:cs="Arial"/>
          <w:szCs w:val="22"/>
        </w:rPr>
        <w:t>, compreendendo a definição da rede de amostragem, os parâmetros a serem avaliados e os procedimentos de coleta e análise</w:t>
      </w:r>
      <w:r>
        <w:rPr>
          <w:rFonts w:cs="Arial"/>
          <w:szCs w:val="22"/>
        </w:rPr>
        <w:t xml:space="preserve"> em laboratório</w:t>
      </w:r>
      <w:r w:rsidRPr="009E41F8">
        <w:rPr>
          <w:rFonts w:cs="Arial"/>
          <w:szCs w:val="22"/>
        </w:rPr>
        <w:t>.</w:t>
      </w:r>
    </w:p>
    <w:p w:rsidR="00FC59A6" w:rsidRDefault="00FC59A6" w:rsidP="00AF1DD3">
      <w:pPr>
        <w:autoSpaceDE w:val="0"/>
        <w:autoSpaceDN w:val="0"/>
        <w:adjustRightInd w:val="0"/>
        <w:spacing w:after="120" w:line="240" w:lineRule="auto"/>
        <w:rPr>
          <w:rFonts w:cs="Arial"/>
          <w:szCs w:val="22"/>
        </w:rPr>
      </w:pPr>
    </w:p>
    <w:p w:rsidR="00AF1DD3" w:rsidRPr="009E41F8" w:rsidRDefault="00AF1DD3" w:rsidP="00431A97">
      <w:pPr>
        <w:numPr>
          <w:ilvl w:val="0"/>
          <w:numId w:val="75"/>
        </w:numPr>
        <w:tabs>
          <w:tab w:val="left" w:pos="567"/>
        </w:tabs>
        <w:spacing w:before="240" w:after="120" w:line="240" w:lineRule="auto"/>
        <w:ind w:left="0" w:firstLine="0"/>
        <w:rPr>
          <w:rFonts w:cs="Arial"/>
          <w:szCs w:val="22"/>
        </w:rPr>
      </w:pPr>
      <w:r w:rsidRPr="009E41F8">
        <w:rPr>
          <w:rFonts w:cs="Arial"/>
          <w:szCs w:val="22"/>
        </w:rPr>
        <w:t>Rede de Amostragem</w:t>
      </w:r>
    </w:p>
    <w:p w:rsidR="00AF1DD3" w:rsidRDefault="00AF1DD3" w:rsidP="00AF1DD3">
      <w:pPr>
        <w:autoSpaceDE w:val="0"/>
        <w:autoSpaceDN w:val="0"/>
        <w:adjustRightInd w:val="0"/>
        <w:spacing w:after="120" w:line="240" w:lineRule="auto"/>
        <w:rPr>
          <w:rFonts w:cs="Arial"/>
          <w:szCs w:val="22"/>
        </w:rPr>
      </w:pPr>
      <w:r>
        <w:rPr>
          <w:rFonts w:cs="Arial"/>
          <w:szCs w:val="22"/>
        </w:rPr>
        <w:t xml:space="preserve">A avaliação da </w:t>
      </w:r>
      <w:r w:rsidRPr="001476DC">
        <w:rPr>
          <w:rFonts w:cs="Arial"/>
          <w:szCs w:val="22"/>
        </w:rPr>
        <w:t>qualidade da água</w:t>
      </w:r>
      <w:r>
        <w:rPr>
          <w:rFonts w:cs="Arial"/>
          <w:szCs w:val="22"/>
        </w:rPr>
        <w:t xml:space="preserve"> e dos sedimentos</w:t>
      </w:r>
      <w:r w:rsidRPr="001476DC">
        <w:rPr>
          <w:rFonts w:cs="Arial"/>
          <w:szCs w:val="22"/>
        </w:rPr>
        <w:t xml:space="preserve"> </w:t>
      </w:r>
      <w:r>
        <w:rPr>
          <w:rFonts w:cs="Arial"/>
          <w:szCs w:val="22"/>
        </w:rPr>
        <w:t>será</w:t>
      </w:r>
      <w:r w:rsidRPr="001476DC">
        <w:rPr>
          <w:rFonts w:cs="Arial"/>
          <w:szCs w:val="22"/>
        </w:rPr>
        <w:t>, em princípio, baseada na mesma rede de amostragem consi</w:t>
      </w:r>
      <w:r>
        <w:rPr>
          <w:rFonts w:cs="Arial"/>
          <w:szCs w:val="22"/>
        </w:rPr>
        <w:t xml:space="preserve">derada no diagnóstico ambiental. Para a </w:t>
      </w:r>
      <w:r w:rsidRPr="009E41F8">
        <w:rPr>
          <w:rFonts w:cs="Arial"/>
          <w:szCs w:val="22"/>
        </w:rPr>
        <w:t>Barragem Pedreir</w:t>
      </w:r>
      <w:r>
        <w:rPr>
          <w:rFonts w:cs="Arial"/>
          <w:szCs w:val="22"/>
        </w:rPr>
        <w:t>a, a</w:t>
      </w:r>
      <w:r w:rsidRPr="009E41F8">
        <w:rPr>
          <w:rFonts w:cs="Arial"/>
          <w:szCs w:val="22"/>
        </w:rPr>
        <w:t xml:space="preserve"> malha amostral </w:t>
      </w:r>
      <w:r>
        <w:rPr>
          <w:rFonts w:cs="Arial"/>
          <w:szCs w:val="22"/>
        </w:rPr>
        <w:t>compreenderá um total de cinco</w:t>
      </w:r>
      <w:r w:rsidRPr="009E41F8">
        <w:rPr>
          <w:rFonts w:cs="Arial"/>
          <w:szCs w:val="22"/>
        </w:rPr>
        <w:t xml:space="preserve"> pontos de coleta</w:t>
      </w:r>
      <w:r>
        <w:rPr>
          <w:rFonts w:cs="Arial"/>
          <w:szCs w:val="22"/>
        </w:rPr>
        <w:t xml:space="preserve">, </w:t>
      </w:r>
      <w:r w:rsidRPr="009E41F8">
        <w:rPr>
          <w:rFonts w:cs="Arial"/>
          <w:szCs w:val="22"/>
        </w:rPr>
        <w:t>denominados P01 a P0</w:t>
      </w:r>
      <w:r>
        <w:rPr>
          <w:rFonts w:cs="Arial"/>
          <w:szCs w:val="22"/>
        </w:rPr>
        <w:t>5</w:t>
      </w:r>
      <w:r w:rsidRPr="009E41F8">
        <w:rPr>
          <w:rFonts w:cs="Arial"/>
          <w:szCs w:val="22"/>
        </w:rPr>
        <w:t xml:space="preserve">, dos quais </w:t>
      </w:r>
      <w:r>
        <w:rPr>
          <w:rFonts w:cs="Arial"/>
          <w:szCs w:val="22"/>
        </w:rPr>
        <w:t>quatro</w:t>
      </w:r>
      <w:r w:rsidRPr="009E41F8">
        <w:rPr>
          <w:rFonts w:cs="Arial"/>
          <w:szCs w:val="22"/>
        </w:rPr>
        <w:t xml:space="preserve"> estão localizados no rio Jaguari e um deles situado em seu afluente da </w:t>
      </w:r>
      <w:r w:rsidRPr="00FC59A6">
        <w:rPr>
          <w:rFonts w:cs="Arial"/>
          <w:szCs w:val="22"/>
        </w:rPr>
        <w:t xml:space="preserve">margem direita - córrego Entre-Montes (P04), conforme indicado no Quadro </w:t>
      </w:r>
      <w:r w:rsidR="000F4B70" w:rsidRPr="00FC59A6">
        <w:rPr>
          <w:rFonts w:cs="Arial"/>
          <w:szCs w:val="22"/>
        </w:rPr>
        <w:t>3.3.6.1</w:t>
      </w:r>
      <w:r w:rsidRPr="00FC59A6">
        <w:rPr>
          <w:rFonts w:cs="Arial"/>
          <w:szCs w:val="22"/>
        </w:rPr>
        <w:t>.</w:t>
      </w:r>
    </w:p>
    <w:p w:rsidR="00FC59A6" w:rsidRPr="00FC59A6" w:rsidRDefault="00FC59A6" w:rsidP="00AF1DD3">
      <w:pPr>
        <w:autoSpaceDE w:val="0"/>
        <w:autoSpaceDN w:val="0"/>
        <w:adjustRightInd w:val="0"/>
        <w:spacing w:after="120" w:line="240" w:lineRule="auto"/>
        <w:rPr>
          <w:rFonts w:cs="Arial"/>
          <w:szCs w:val="22"/>
        </w:rPr>
      </w:pPr>
    </w:p>
    <w:p w:rsidR="00AF1DD3" w:rsidRPr="00FC59A6" w:rsidRDefault="00B73D6E" w:rsidP="00FC59A6">
      <w:pPr>
        <w:pStyle w:val="Legenda"/>
        <w:spacing w:line="240" w:lineRule="auto"/>
        <w:jc w:val="center"/>
        <w:rPr>
          <w:rFonts w:cs="Arial"/>
          <w:b w:val="0"/>
          <w:i w:val="0"/>
          <w:szCs w:val="22"/>
        </w:rPr>
      </w:pPr>
      <w:r w:rsidRPr="00FC59A6">
        <w:rPr>
          <w:i w:val="0"/>
        </w:rPr>
        <w:t>Quadro 3.3.6.</w:t>
      </w:r>
      <w:r w:rsidR="00B80A05" w:rsidRPr="00FC59A6">
        <w:rPr>
          <w:i w:val="0"/>
        </w:rPr>
        <w:fldChar w:fldCharType="begin"/>
      </w:r>
      <w:r w:rsidR="00E155C0" w:rsidRPr="00FC59A6">
        <w:rPr>
          <w:i w:val="0"/>
        </w:rPr>
        <w:instrText xml:space="preserve"> SEQ Quadro_3.3.6 \* ARABIC </w:instrText>
      </w:r>
      <w:r w:rsidR="00B80A05" w:rsidRPr="00FC59A6">
        <w:rPr>
          <w:i w:val="0"/>
        </w:rPr>
        <w:fldChar w:fldCharType="separate"/>
      </w:r>
      <w:r w:rsidR="00316060">
        <w:rPr>
          <w:i w:val="0"/>
          <w:noProof/>
        </w:rPr>
        <w:t>6</w:t>
      </w:r>
      <w:r w:rsidR="00B80A05" w:rsidRPr="00FC59A6">
        <w:rPr>
          <w:i w:val="0"/>
          <w:noProof/>
        </w:rPr>
        <w:fldChar w:fldCharType="end"/>
      </w:r>
      <w:r w:rsidR="00FC59A6" w:rsidRPr="00FC59A6">
        <w:rPr>
          <w:i w:val="0"/>
          <w:noProof/>
        </w:rPr>
        <w:t>.</w:t>
      </w:r>
      <w:r w:rsidR="00FC59A6" w:rsidRPr="00FC59A6">
        <w:rPr>
          <w:b w:val="0"/>
          <w:i w:val="0"/>
          <w:noProof/>
        </w:rPr>
        <w:t xml:space="preserve"> - </w:t>
      </w:r>
      <w:r w:rsidR="00AF1DD3" w:rsidRPr="00FC59A6">
        <w:rPr>
          <w:rFonts w:cs="Arial"/>
          <w:b w:val="0"/>
          <w:i w:val="0"/>
          <w:szCs w:val="22"/>
        </w:rPr>
        <w:t>Rede de Amostragem do Programa de Monitoramento da Qualidade das Águas Superficiais e dos Sedimentos - Barragem Pedreira.</w:t>
      </w:r>
    </w:p>
    <w:tbl>
      <w:tblPr>
        <w:tblW w:w="5000" w:type="pct"/>
        <w:tblCellMar>
          <w:left w:w="70" w:type="dxa"/>
          <w:right w:w="70" w:type="dxa"/>
        </w:tblCellMar>
        <w:tblLook w:val="04A0" w:firstRow="1" w:lastRow="0" w:firstColumn="1" w:lastColumn="0" w:noHBand="0" w:noVBand="1"/>
      </w:tblPr>
      <w:tblGrid>
        <w:gridCol w:w="951"/>
        <w:gridCol w:w="1846"/>
        <w:gridCol w:w="3796"/>
        <w:gridCol w:w="1451"/>
        <w:gridCol w:w="1451"/>
      </w:tblGrid>
      <w:tr w:rsidR="00AF1DD3" w:rsidRPr="009E41F8" w:rsidTr="001D5114">
        <w:trPr>
          <w:trHeight w:val="340"/>
          <w:tblHeader/>
        </w:trPr>
        <w:tc>
          <w:tcPr>
            <w:tcW w:w="501"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AF1DD3" w:rsidRPr="009E41F8" w:rsidRDefault="00AF1DD3" w:rsidP="00FC59A6">
            <w:pPr>
              <w:spacing w:line="240" w:lineRule="auto"/>
              <w:jc w:val="center"/>
              <w:rPr>
                <w:rFonts w:cs="Arial"/>
                <w:b/>
                <w:bCs/>
                <w:szCs w:val="22"/>
              </w:rPr>
            </w:pPr>
            <w:r w:rsidRPr="009E41F8">
              <w:rPr>
                <w:rFonts w:cs="Arial"/>
                <w:b/>
                <w:bCs/>
                <w:szCs w:val="22"/>
              </w:rPr>
              <w:t>Ponto</w:t>
            </w:r>
          </w:p>
        </w:tc>
        <w:tc>
          <w:tcPr>
            <w:tcW w:w="972"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AF1DD3" w:rsidRPr="009E41F8" w:rsidRDefault="00AF1DD3" w:rsidP="00FC59A6">
            <w:pPr>
              <w:spacing w:line="240" w:lineRule="auto"/>
              <w:jc w:val="center"/>
              <w:rPr>
                <w:rFonts w:cs="Arial"/>
                <w:b/>
                <w:bCs/>
                <w:szCs w:val="22"/>
              </w:rPr>
            </w:pPr>
            <w:r w:rsidRPr="009E41F8">
              <w:rPr>
                <w:rFonts w:cs="Arial"/>
                <w:b/>
                <w:bCs/>
                <w:szCs w:val="22"/>
              </w:rPr>
              <w:t>Curso d’água</w:t>
            </w:r>
          </w:p>
        </w:tc>
        <w:tc>
          <w:tcPr>
            <w:tcW w:w="1999"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AF1DD3" w:rsidRPr="009E41F8" w:rsidRDefault="00AF1DD3" w:rsidP="00FC59A6">
            <w:pPr>
              <w:spacing w:line="240" w:lineRule="auto"/>
              <w:jc w:val="center"/>
              <w:rPr>
                <w:rFonts w:cs="Arial"/>
                <w:b/>
                <w:bCs/>
                <w:szCs w:val="22"/>
              </w:rPr>
            </w:pPr>
            <w:r w:rsidRPr="009E41F8">
              <w:rPr>
                <w:rFonts w:cs="Arial"/>
                <w:b/>
                <w:bCs/>
                <w:szCs w:val="22"/>
              </w:rPr>
              <w:t>Localização</w:t>
            </w:r>
          </w:p>
        </w:tc>
        <w:tc>
          <w:tcPr>
            <w:tcW w:w="1528" w:type="pct"/>
            <w:gridSpan w:val="2"/>
            <w:tcBorders>
              <w:top w:val="single" w:sz="8" w:space="0" w:color="auto"/>
              <w:left w:val="nil"/>
              <w:bottom w:val="single" w:sz="8" w:space="0" w:color="auto"/>
              <w:right w:val="single" w:sz="8" w:space="0" w:color="000000"/>
            </w:tcBorders>
            <w:shd w:val="clear" w:color="000000" w:fill="D9D9D9"/>
            <w:vAlign w:val="center"/>
            <w:hideMark/>
          </w:tcPr>
          <w:p w:rsidR="00AF1DD3" w:rsidRPr="009E41F8" w:rsidRDefault="00AF1DD3" w:rsidP="00FC59A6">
            <w:pPr>
              <w:spacing w:line="240" w:lineRule="auto"/>
              <w:jc w:val="center"/>
              <w:rPr>
                <w:rFonts w:cs="Arial"/>
                <w:b/>
                <w:bCs/>
                <w:szCs w:val="22"/>
              </w:rPr>
            </w:pPr>
            <w:r w:rsidRPr="009E41F8">
              <w:rPr>
                <w:rFonts w:cs="Arial"/>
                <w:b/>
                <w:bCs/>
                <w:szCs w:val="22"/>
              </w:rPr>
              <w:t>Coordenadas Geográficas (Fuso 23K)</w:t>
            </w:r>
          </w:p>
        </w:tc>
      </w:tr>
      <w:tr w:rsidR="00AF1DD3" w:rsidRPr="009E41F8" w:rsidTr="001D5114">
        <w:trPr>
          <w:trHeight w:val="340"/>
          <w:tblHeader/>
        </w:trPr>
        <w:tc>
          <w:tcPr>
            <w:tcW w:w="501" w:type="pct"/>
            <w:vMerge/>
            <w:tcBorders>
              <w:top w:val="single" w:sz="8" w:space="0" w:color="auto"/>
              <w:left w:val="single" w:sz="8" w:space="0" w:color="auto"/>
              <w:bottom w:val="single" w:sz="8" w:space="0" w:color="000000"/>
              <w:right w:val="single" w:sz="8" w:space="0" w:color="auto"/>
            </w:tcBorders>
            <w:vAlign w:val="center"/>
            <w:hideMark/>
          </w:tcPr>
          <w:p w:rsidR="00AF1DD3" w:rsidRPr="009E41F8" w:rsidRDefault="00AF1DD3" w:rsidP="00FC59A6">
            <w:pPr>
              <w:spacing w:line="240" w:lineRule="auto"/>
              <w:jc w:val="left"/>
              <w:rPr>
                <w:rFonts w:cs="Arial"/>
                <w:b/>
                <w:bCs/>
                <w:szCs w:val="22"/>
              </w:rPr>
            </w:pPr>
          </w:p>
        </w:tc>
        <w:tc>
          <w:tcPr>
            <w:tcW w:w="972" w:type="pct"/>
            <w:vMerge/>
            <w:tcBorders>
              <w:top w:val="single" w:sz="8" w:space="0" w:color="auto"/>
              <w:left w:val="single" w:sz="8" w:space="0" w:color="auto"/>
              <w:bottom w:val="single" w:sz="8" w:space="0" w:color="000000"/>
              <w:right w:val="single" w:sz="8" w:space="0" w:color="auto"/>
            </w:tcBorders>
            <w:vAlign w:val="center"/>
            <w:hideMark/>
          </w:tcPr>
          <w:p w:rsidR="00AF1DD3" w:rsidRPr="009E41F8" w:rsidRDefault="00AF1DD3" w:rsidP="00FC59A6">
            <w:pPr>
              <w:spacing w:line="240" w:lineRule="auto"/>
              <w:jc w:val="left"/>
              <w:rPr>
                <w:rFonts w:cs="Arial"/>
                <w:b/>
                <w:bCs/>
                <w:szCs w:val="22"/>
              </w:rPr>
            </w:pPr>
          </w:p>
        </w:tc>
        <w:tc>
          <w:tcPr>
            <w:tcW w:w="1999" w:type="pct"/>
            <w:vMerge/>
            <w:tcBorders>
              <w:top w:val="single" w:sz="8" w:space="0" w:color="auto"/>
              <w:left w:val="single" w:sz="8" w:space="0" w:color="auto"/>
              <w:bottom w:val="single" w:sz="8" w:space="0" w:color="000000"/>
              <w:right w:val="single" w:sz="8" w:space="0" w:color="auto"/>
            </w:tcBorders>
            <w:vAlign w:val="center"/>
            <w:hideMark/>
          </w:tcPr>
          <w:p w:rsidR="00AF1DD3" w:rsidRPr="009E41F8" w:rsidRDefault="00AF1DD3" w:rsidP="00FC59A6">
            <w:pPr>
              <w:spacing w:line="240" w:lineRule="auto"/>
              <w:jc w:val="left"/>
              <w:rPr>
                <w:rFonts w:cs="Arial"/>
                <w:b/>
                <w:bCs/>
                <w:szCs w:val="22"/>
              </w:rPr>
            </w:pPr>
          </w:p>
        </w:tc>
        <w:tc>
          <w:tcPr>
            <w:tcW w:w="764" w:type="pct"/>
            <w:tcBorders>
              <w:top w:val="nil"/>
              <w:left w:val="nil"/>
              <w:bottom w:val="single" w:sz="8" w:space="0" w:color="auto"/>
              <w:right w:val="single" w:sz="8" w:space="0" w:color="auto"/>
            </w:tcBorders>
            <w:shd w:val="clear" w:color="000000" w:fill="D9D9D9"/>
            <w:vAlign w:val="center"/>
            <w:hideMark/>
          </w:tcPr>
          <w:p w:rsidR="00AF1DD3" w:rsidRPr="009E41F8" w:rsidRDefault="00AF1DD3" w:rsidP="00FC59A6">
            <w:pPr>
              <w:spacing w:line="240" w:lineRule="auto"/>
              <w:jc w:val="center"/>
              <w:rPr>
                <w:rFonts w:cs="Arial"/>
                <w:b/>
                <w:bCs/>
                <w:szCs w:val="22"/>
              </w:rPr>
            </w:pPr>
            <w:r w:rsidRPr="009E41F8">
              <w:rPr>
                <w:rFonts w:cs="Arial"/>
                <w:b/>
                <w:bCs/>
                <w:szCs w:val="22"/>
              </w:rPr>
              <w:t>Norte</w:t>
            </w:r>
          </w:p>
        </w:tc>
        <w:tc>
          <w:tcPr>
            <w:tcW w:w="764" w:type="pct"/>
            <w:tcBorders>
              <w:top w:val="nil"/>
              <w:left w:val="nil"/>
              <w:bottom w:val="single" w:sz="8" w:space="0" w:color="auto"/>
              <w:right w:val="single" w:sz="8" w:space="0" w:color="auto"/>
            </w:tcBorders>
            <w:shd w:val="clear" w:color="000000" w:fill="D9D9D9"/>
            <w:vAlign w:val="center"/>
            <w:hideMark/>
          </w:tcPr>
          <w:p w:rsidR="00AF1DD3" w:rsidRPr="009E41F8" w:rsidRDefault="00AF1DD3" w:rsidP="00FC59A6">
            <w:pPr>
              <w:spacing w:line="240" w:lineRule="auto"/>
              <w:jc w:val="center"/>
              <w:rPr>
                <w:rFonts w:cs="Arial"/>
                <w:b/>
                <w:bCs/>
                <w:szCs w:val="22"/>
              </w:rPr>
            </w:pPr>
            <w:r w:rsidRPr="009E41F8">
              <w:rPr>
                <w:rFonts w:cs="Arial"/>
                <w:b/>
                <w:bCs/>
                <w:szCs w:val="22"/>
              </w:rPr>
              <w:t>Leste</w:t>
            </w:r>
          </w:p>
        </w:tc>
      </w:tr>
      <w:tr w:rsidR="00AF1DD3" w:rsidRPr="009E41F8" w:rsidTr="001D5114">
        <w:trPr>
          <w:trHeight w:val="340"/>
        </w:trPr>
        <w:tc>
          <w:tcPr>
            <w:tcW w:w="501" w:type="pct"/>
            <w:tcBorders>
              <w:top w:val="nil"/>
              <w:left w:val="single" w:sz="8" w:space="0" w:color="auto"/>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P01</w:t>
            </w:r>
          </w:p>
        </w:tc>
        <w:tc>
          <w:tcPr>
            <w:tcW w:w="972"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1D5114">
            <w:pPr>
              <w:spacing w:line="240" w:lineRule="auto"/>
              <w:rPr>
                <w:rFonts w:cs="Arial"/>
                <w:szCs w:val="22"/>
              </w:rPr>
            </w:pPr>
            <w:r w:rsidRPr="009E41F8">
              <w:rPr>
                <w:rFonts w:cs="Arial"/>
                <w:szCs w:val="22"/>
              </w:rPr>
              <w:t>Rio Jaguari</w:t>
            </w:r>
          </w:p>
        </w:tc>
        <w:tc>
          <w:tcPr>
            <w:tcW w:w="1999"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rPr>
                <w:rFonts w:cs="Arial"/>
                <w:szCs w:val="22"/>
              </w:rPr>
            </w:pPr>
            <w:r w:rsidRPr="009E41F8">
              <w:rPr>
                <w:rFonts w:cs="Arial"/>
                <w:szCs w:val="22"/>
              </w:rPr>
              <w:t>A montante do futuro reservatório</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7.476.703</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305.538</w:t>
            </w:r>
          </w:p>
        </w:tc>
      </w:tr>
      <w:tr w:rsidR="00AF1DD3" w:rsidRPr="009E41F8" w:rsidTr="001D5114">
        <w:trPr>
          <w:trHeight w:val="752"/>
        </w:trPr>
        <w:tc>
          <w:tcPr>
            <w:tcW w:w="501" w:type="pct"/>
            <w:tcBorders>
              <w:top w:val="nil"/>
              <w:left w:val="single" w:sz="8" w:space="0" w:color="auto"/>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P02</w:t>
            </w:r>
          </w:p>
        </w:tc>
        <w:tc>
          <w:tcPr>
            <w:tcW w:w="972"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1D5114">
            <w:pPr>
              <w:spacing w:line="240" w:lineRule="auto"/>
              <w:rPr>
                <w:rFonts w:cs="Arial"/>
                <w:szCs w:val="22"/>
              </w:rPr>
            </w:pPr>
            <w:r w:rsidRPr="009E41F8">
              <w:rPr>
                <w:rFonts w:cs="Arial"/>
                <w:szCs w:val="22"/>
              </w:rPr>
              <w:t>Rio Jaguari</w:t>
            </w:r>
          </w:p>
        </w:tc>
        <w:tc>
          <w:tcPr>
            <w:tcW w:w="1999"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rPr>
                <w:rFonts w:cs="Arial"/>
                <w:szCs w:val="22"/>
              </w:rPr>
            </w:pPr>
            <w:r w:rsidRPr="009E41F8">
              <w:rPr>
                <w:rFonts w:cs="Arial"/>
                <w:szCs w:val="22"/>
              </w:rPr>
              <w:t>Corpo principal do futuro reservatório, próximo à barragem projetada</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7.480.678</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304.646</w:t>
            </w:r>
          </w:p>
        </w:tc>
      </w:tr>
      <w:tr w:rsidR="00AF1DD3" w:rsidRPr="009E41F8" w:rsidTr="001D5114">
        <w:trPr>
          <w:trHeight w:val="340"/>
        </w:trPr>
        <w:tc>
          <w:tcPr>
            <w:tcW w:w="501" w:type="pct"/>
            <w:tcBorders>
              <w:top w:val="nil"/>
              <w:left w:val="single" w:sz="8" w:space="0" w:color="auto"/>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P03</w:t>
            </w:r>
          </w:p>
        </w:tc>
        <w:tc>
          <w:tcPr>
            <w:tcW w:w="972"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1D5114">
            <w:pPr>
              <w:spacing w:line="240" w:lineRule="auto"/>
              <w:rPr>
                <w:rFonts w:cs="Arial"/>
                <w:szCs w:val="22"/>
              </w:rPr>
            </w:pPr>
            <w:r w:rsidRPr="009E41F8">
              <w:rPr>
                <w:rFonts w:cs="Arial"/>
                <w:szCs w:val="22"/>
              </w:rPr>
              <w:t>Rio Jaguari</w:t>
            </w:r>
          </w:p>
        </w:tc>
        <w:tc>
          <w:tcPr>
            <w:tcW w:w="1999"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rPr>
                <w:rFonts w:cs="Arial"/>
                <w:szCs w:val="22"/>
              </w:rPr>
            </w:pPr>
            <w:r w:rsidRPr="009E41F8">
              <w:rPr>
                <w:rFonts w:cs="Arial"/>
                <w:szCs w:val="22"/>
              </w:rPr>
              <w:t>A jusante do futuro reservatório</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7.481.271</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304.270</w:t>
            </w:r>
          </w:p>
        </w:tc>
      </w:tr>
      <w:tr w:rsidR="00AF1DD3" w:rsidRPr="009E41F8" w:rsidTr="001D5114">
        <w:trPr>
          <w:trHeight w:val="340"/>
        </w:trPr>
        <w:tc>
          <w:tcPr>
            <w:tcW w:w="501" w:type="pct"/>
            <w:tcBorders>
              <w:top w:val="nil"/>
              <w:left w:val="single" w:sz="8" w:space="0" w:color="auto"/>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P04</w:t>
            </w:r>
          </w:p>
        </w:tc>
        <w:tc>
          <w:tcPr>
            <w:tcW w:w="972"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1D5114">
            <w:pPr>
              <w:spacing w:line="240" w:lineRule="auto"/>
              <w:rPr>
                <w:rFonts w:cs="Arial"/>
                <w:szCs w:val="22"/>
              </w:rPr>
            </w:pPr>
            <w:r w:rsidRPr="009E41F8">
              <w:rPr>
                <w:rFonts w:cs="Arial"/>
                <w:szCs w:val="22"/>
              </w:rPr>
              <w:t>Córrego Entre-Montes</w:t>
            </w:r>
          </w:p>
        </w:tc>
        <w:tc>
          <w:tcPr>
            <w:tcW w:w="1999"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rPr>
                <w:rFonts w:cs="Arial"/>
                <w:szCs w:val="22"/>
              </w:rPr>
            </w:pPr>
            <w:r w:rsidRPr="009E41F8">
              <w:rPr>
                <w:rFonts w:cs="Arial"/>
                <w:szCs w:val="22"/>
              </w:rPr>
              <w:t>Braço contribuinte da margem direita do futuro reservatório, próximo à foz</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7.478.768</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304.980</w:t>
            </w:r>
          </w:p>
        </w:tc>
      </w:tr>
      <w:tr w:rsidR="00AF1DD3" w:rsidRPr="009E41F8" w:rsidTr="001D5114">
        <w:trPr>
          <w:trHeight w:val="340"/>
        </w:trPr>
        <w:tc>
          <w:tcPr>
            <w:tcW w:w="501" w:type="pct"/>
            <w:tcBorders>
              <w:top w:val="nil"/>
              <w:left w:val="single" w:sz="8" w:space="0" w:color="auto"/>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P05</w:t>
            </w:r>
          </w:p>
        </w:tc>
        <w:tc>
          <w:tcPr>
            <w:tcW w:w="972"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1D5114">
            <w:pPr>
              <w:spacing w:line="240" w:lineRule="auto"/>
              <w:rPr>
                <w:rFonts w:cs="Arial"/>
                <w:szCs w:val="22"/>
              </w:rPr>
            </w:pPr>
            <w:r w:rsidRPr="009E41F8">
              <w:rPr>
                <w:rFonts w:cs="Arial"/>
                <w:szCs w:val="22"/>
              </w:rPr>
              <w:t>Rio Jaguari</w:t>
            </w:r>
          </w:p>
        </w:tc>
        <w:tc>
          <w:tcPr>
            <w:tcW w:w="1999"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rPr>
                <w:rFonts w:cs="Arial"/>
                <w:szCs w:val="22"/>
              </w:rPr>
            </w:pPr>
            <w:r w:rsidRPr="009E41F8">
              <w:rPr>
                <w:rFonts w:cs="Arial"/>
                <w:szCs w:val="22"/>
              </w:rPr>
              <w:t>Corpo principal do futuro reservatório, a jusante do córrego Entre-Montes</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7.480.039</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304.877</w:t>
            </w:r>
          </w:p>
        </w:tc>
      </w:tr>
    </w:tbl>
    <w:p w:rsidR="00AF1DD3" w:rsidRPr="009E41F8" w:rsidRDefault="00AF1DD3" w:rsidP="00AF1DD3">
      <w:pPr>
        <w:autoSpaceDE w:val="0"/>
        <w:autoSpaceDN w:val="0"/>
        <w:adjustRightInd w:val="0"/>
        <w:spacing w:after="120" w:line="240" w:lineRule="auto"/>
        <w:rPr>
          <w:rFonts w:cs="Arial"/>
          <w:szCs w:val="22"/>
          <w:highlight w:val="yellow"/>
        </w:rPr>
      </w:pPr>
    </w:p>
    <w:p w:rsidR="00AF1DD3" w:rsidRDefault="00AF1DD3" w:rsidP="00AF1DD3">
      <w:pPr>
        <w:autoSpaceDE w:val="0"/>
        <w:autoSpaceDN w:val="0"/>
        <w:adjustRightInd w:val="0"/>
        <w:spacing w:after="120" w:line="240" w:lineRule="auto"/>
        <w:rPr>
          <w:rFonts w:cs="Arial"/>
          <w:szCs w:val="22"/>
        </w:rPr>
      </w:pPr>
      <w:r w:rsidRPr="009E41F8">
        <w:rPr>
          <w:rFonts w:cs="Arial"/>
          <w:szCs w:val="22"/>
        </w:rPr>
        <w:t xml:space="preserve">A rede de amostragem </w:t>
      </w:r>
      <w:r>
        <w:rPr>
          <w:rFonts w:cs="Arial"/>
          <w:szCs w:val="22"/>
        </w:rPr>
        <w:t>d</w:t>
      </w:r>
      <w:r w:rsidRPr="009E41F8">
        <w:rPr>
          <w:rFonts w:cs="Arial"/>
          <w:szCs w:val="22"/>
        </w:rPr>
        <w:t>a Barragem Duas Pontes</w:t>
      </w:r>
      <w:r>
        <w:rPr>
          <w:rFonts w:cs="Arial"/>
          <w:szCs w:val="22"/>
        </w:rPr>
        <w:t xml:space="preserve"> compreenderá </w:t>
      </w:r>
      <w:r w:rsidRPr="009E41F8">
        <w:rPr>
          <w:rFonts w:cs="Arial"/>
          <w:szCs w:val="22"/>
        </w:rPr>
        <w:t xml:space="preserve">seis pontos de coleta, localizados no rio Camanducaia (P01, P02 e P03) e em seus afluentes, um na margem esquerda (P05) e dois na margem direita, posicionados no ribeirão do Pantaleão (P04) e no córrego da Boa Vista (P06), </w:t>
      </w:r>
      <w:r w:rsidRPr="00FC59A6">
        <w:rPr>
          <w:rFonts w:cs="Arial"/>
          <w:szCs w:val="22"/>
        </w:rPr>
        <w:t xml:space="preserve">respectivamente (Quadro </w:t>
      </w:r>
      <w:r w:rsidR="000F4B70" w:rsidRPr="00FC59A6">
        <w:rPr>
          <w:rFonts w:cs="Arial"/>
          <w:szCs w:val="22"/>
        </w:rPr>
        <w:t>3.3.6.2.</w:t>
      </w:r>
      <w:r w:rsidRPr="00FC59A6">
        <w:rPr>
          <w:rFonts w:cs="Arial"/>
          <w:szCs w:val="22"/>
        </w:rPr>
        <w:t>).</w:t>
      </w:r>
    </w:p>
    <w:p w:rsidR="001D5114" w:rsidRPr="00FC59A6" w:rsidRDefault="001D5114" w:rsidP="00AF1DD3">
      <w:pPr>
        <w:autoSpaceDE w:val="0"/>
        <w:autoSpaceDN w:val="0"/>
        <w:adjustRightInd w:val="0"/>
        <w:spacing w:after="120" w:line="240" w:lineRule="auto"/>
        <w:rPr>
          <w:rFonts w:cs="Arial"/>
          <w:szCs w:val="22"/>
        </w:rPr>
      </w:pPr>
    </w:p>
    <w:p w:rsidR="00AF1DD3" w:rsidRPr="00FC59A6" w:rsidRDefault="00B73D6E" w:rsidP="00FC59A6">
      <w:pPr>
        <w:pStyle w:val="Legenda"/>
        <w:spacing w:before="0" w:after="0" w:line="240" w:lineRule="auto"/>
        <w:jc w:val="center"/>
        <w:rPr>
          <w:rStyle w:val="CorpodetextoChar"/>
          <w:rFonts w:cs="Arial"/>
          <w:b w:val="0"/>
          <w:bCs/>
          <w:i w:val="0"/>
          <w:szCs w:val="22"/>
        </w:rPr>
      </w:pPr>
      <w:r w:rsidRPr="00FC59A6">
        <w:rPr>
          <w:i w:val="0"/>
        </w:rPr>
        <w:t>Quadro 3.3.6.</w:t>
      </w:r>
      <w:r w:rsidR="00B80A05" w:rsidRPr="00FC59A6">
        <w:rPr>
          <w:i w:val="0"/>
        </w:rPr>
        <w:fldChar w:fldCharType="begin"/>
      </w:r>
      <w:r w:rsidR="00E155C0" w:rsidRPr="00FC59A6">
        <w:rPr>
          <w:i w:val="0"/>
        </w:rPr>
        <w:instrText xml:space="preserve"> SEQ Quadro_3.3.6 \* ARABIC </w:instrText>
      </w:r>
      <w:r w:rsidR="00B80A05" w:rsidRPr="00FC59A6">
        <w:rPr>
          <w:i w:val="0"/>
        </w:rPr>
        <w:fldChar w:fldCharType="separate"/>
      </w:r>
      <w:r w:rsidR="00316060">
        <w:rPr>
          <w:i w:val="0"/>
          <w:noProof/>
        </w:rPr>
        <w:t>7</w:t>
      </w:r>
      <w:r w:rsidR="00B80A05" w:rsidRPr="00FC59A6">
        <w:rPr>
          <w:i w:val="0"/>
          <w:noProof/>
        </w:rPr>
        <w:fldChar w:fldCharType="end"/>
      </w:r>
      <w:r w:rsidRPr="00FC59A6">
        <w:rPr>
          <w:i w:val="0"/>
        </w:rPr>
        <w:t>.</w:t>
      </w:r>
      <w:r w:rsidRPr="00FC59A6">
        <w:rPr>
          <w:b w:val="0"/>
          <w:i w:val="0"/>
        </w:rPr>
        <w:t xml:space="preserve"> - </w:t>
      </w:r>
      <w:r w:rsidR="00AF1DD3" w:rsidRPr="00FC59A6">
        <w:rPr>
          <w:rStyle w:val="CorpodetextoChar"/>
          <w:rFonts w:cs="Arial"/>
          <w:b w:val="0"/>
          <w:bCs/>
          <w:i w:val="0"/>
          <w:szCs w:val="22"/>
        </w:rPr>
        <w:t xml:space="preserve">Rede de Amostragem do </w:t>
      </w:r>
      <w:r w:rsidR="00AF1DD3" w:rsidRPr="00FC59A6">
        <w:rPr>
          <w:rStyle w:val="CorpodetextoChar"/>
          <w:b w:val="0"/>
          <w:bCs/>
          <w:i w:val="0"/>
          <w:szCs w:val="22"/>
        </w:rPr>
        <w:t xml:space="preserve">Programa de Monitoramento da Qualidade das Águas Superficiais e dos Sedimentos </w:t>
      </w:r>
      <w:r w:rsidR="00AF1DD3" w:rsidRPr="00FC59A6">
        <w:rPr>
          <w:rStyle w:val="CorpodetextoChar"/>
          <w:rFonts w:cs="Arial"/>
          <w:b w:val="0"/>
          <w:bCs/>
          <w:i w:val="0"/>
          <w:szCs w:val="22"/>
        </w:rPr>
        <w:t>- Barragem Duas Pontes.</w:t>
      </w:r>
    </w:p>
    <w:tbl>
      <w:tblPr>
        <w:tblW w:w="5000" w:type="pct"/>
        <w:tblCellMar>
          <w:left w:w="70" w:type="dxa"/>
          <w:right w:w="70" w:type="dxa"/>
        </w:tblCellMar>
        <w:tblLook w:val="04A0" w:firstRow="1" w:lastRow="0" w:firstColumn="1" w:lastColumn="0" w:noHBand="0" w:noVBand="1"/>
      </w:tblPr>
      <w:tblGrid>
        <w:gridCol w:w="921"/>
        <w:gridCol w:w="2007"/>
        <w:gridCol w:w="3663"/>
        <w:gridCol w:w="1451"/>
        <w:gridCol w:w="1453"/>
      </w:tblGrid>
      <w:tr w:rsidR="00AF1DD3" w:rsidRPr="009E41F8" w:rsidTr="001D5114">
        <w:trPr>
          <w:trHeight w:val="340"/>
          <w:tblHeader/>
        </w:trPr>
        <w:tc>
          <w:tcPr>
            <w:tcW w:w="485"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AF1DD3" w:rsidRPr="009E41F8" w:rsidRDefault="00AF1DD3" w:rsidP="00FC59A6">
            <w:pPr>
              <w:spacing w:line="240" w:lineRule="auto"/>
              <w:jc w:val="center"/>
              <w:rPr>
                <w:rFonts w:cs="Arial"/>
                <w:b/>
                <w:bCs/>
                <w:szCs w:val="22"/>
              </w:rPr>
            </w:pPr>
            <w:r w:rsidRPr="009E41F8">
              <w:rPr>
                <w:rFonts w:cs="Arial"/>
                <w:b/>
                <w:bCs/>
                <w:szCs w:val="22"/>
              </w:rPr>
              <w:t>Ponto</w:t>
            </w:r>
          </w:p>
        </w:tc>
        <w:tc>
          <w:tcPr>
            <w:tcW w:w="1057"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AF1DD3" w:rsidRPr="009E41F8" w:rsidRDefault="00AF1DD3" w:rsidP="00FC59A6">
            <w:pPr>
              <w:spacing w:line="240" w:lineRule="auto"/>
              <w:jc w:val="center"/>
              <w:rPr>
                <w:rFonts w:cs="Arial"/>
                <w:b/>
                <w:bCs/>
                <w:szCs w:val="22"/>
              </w:rPr>
            </w:pPr>
            <w:r w:rsidRPr="009E41F8">
              <w:rPr>
                <w:rFonts w:cs="Arial"/>
                <w:b/>
                <w:bCs/>
                <w:szCs w:val="22"/>
              </w:rPr>
              <w:t>Curso d’água</w:t>
            </w:r>
          </w:p>
        </w:tc>
        <w:tc>
          <w:tcPr>
            <w:tcW w:w="1929"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AF1DD3" w:rsidRPr="009E41F8" w:rsidRDefault="00AF1DD3" w:rsidP="00FC59A6">
            <w:pPr>
              <w:spacing w:line="240" w:lineRule="auto"/>
              <w:jc w:val="center"/>
              <w:rPr>
                <w:rFonts w:cs="Arial"/>
                <w:b/>
                <w:bCs/>
                <w:szCs w:val="22"/>
              </w:rPr>
            </w:pPr>
            <w:r w:rsidRPr="009E41F8">
              <w:rPr>
                <w:rFonts w:cs="Arial"/>
                <w:b/>
                <w:bCs/>
                <w:szCs w:val="22"/>
              </w:rPr>
              <w:t>Localização</w:t>
            </w:r>
          </w:p>
        </w:tc>
        <w:tc>
          <w:tcPr>
            <w:tcW w:w="1529" w:type="pct"/>
            <w:gridSpan w:val="2"/>
            <w:tcBorders>
              <w:top w:val="single" w:sz="8" w:space="0" w:color="auto"/>
              <w:left w:val="nil"/>
              <w:bottom w:val="single" w:sz="8" w:space="0" w:color="auto"/>
              <w:right w:val="single" w:sz="8" w:space="0" w:color="000000"/>
            </w:tcBorders>
            <w:shd w:val="clear" w:color="000000" w:fill="D9D9D9"/>
            <w:vAlign w:val="center"/>
            <w:hideMark/>
          </w:tcPr>
          <w:p w:rsidR="00AF1DD3" w:rsidRPr="009E41F8" w:rsidRDefault="00AF1DD3" w:rsidP="00FC59A6">
            <w:pPr>
              <w:spacing w:line="240" w:lineRule="auto"/>
              <w:jc w:val="center"/>
              <w:rPr>
                <w:rFonts w:cs="Arial"/>
                <w:b/>
                <w:bCs/>
                <w:szCs w:val="22"/>
              </w:rPr>
            </w:pPr>
            <w:r w:rsidRPr="009E41F8">
              <w:rPr>
                <w:rFonts w:cs="Arial"/>
                <w:b/>
                <w:bCs/>
                <w:szCs w:val="22"/>
              </w:rPr>
              <w:t>Coordenadas Geográficas (Fuso 23K)</w:t>
            </w:r>
          </w:p>
        </w:tc>
      </w:tr>
      <w:tr w:rsidR="00AF1DD3" w:rsidRPr="009E41F8" w:rsidTr="001D5114">
        <w:trPr>
          <w:trHeight w:val="340"/>
          <w:tblHeader/>
        </w:trPr>
        <w:tc>
          <w:tcPr>
            <w:tcW w:w="485" w:type="pct"/>
            <w:vMerge/>
            <w:tcBorders>
              <w:top w:val="single" w:sz="8" w:space="0" w:color="auto"/>
              <w:left w:val="single" w:sz="8" w:space="0" w:color="auto"/>
              <w:bottom w:val="single" w:sz="8" w:space="0" w:color="000000"/>
              <w:right w:val="single" w:sz="8" w:space="0" w:color="auto"/>
            </w:tcBorders>
            <w:vAlign w:val="center"/>
            <w:hideMark/>
          </w:tcPr>
          <w:p w:rsidR="00AF1DD3" w:rsidRPr="009E41F8" w:rsidRDefault="00AF1DD3" w:rsidP="00FC59A6">
            <w:pPr>
              <w:spacing w:line="240" w:lineRule="auto"/>
              <w:jc w:val="left"/>
              <w:rPr>
                <w:rFonts w:cs="Arial"/>
                <w:b/>
                <w:bCs/>
                <w:szCs w:val="22"/>
              </w:rPr>
            </w:pPr>
          </w:p>
        </w:tc>
        <w:tc>
          <w:tcPr>
            <w:tcW w:w="1057" w:type="pct"/>
            <w:vMerge/>
            <w:tcBorders>
              <w:top w:val="single" w:sz="8" w:space="0" w:color="auto"/>
              <w:left w:val="single" w:sz="8" w:space="0" w:color="auto"/>
              <w:bottom w:val="single" w:sz="8" w:space="0" w:color="000000"/>
              <w:right w:val="single" w:sz="8" w:space="0" w:color="auto"/>
            </w:tcBorders>
            <w:vAlign w:val="center"/>
            <w:hideMark/>
          </w:tcPr>
          <w:p w:rsidR="00AF1DD3" w:rsidRPr="009E41F8" w:rsidRDefault="00AF1DD3" w:rsidP="00FC59A6">
            <w:pPr>
              <w:spacing w:line="240" w:lineRule="auto"/>
              <w:jc w:val="left"/>
              <w:rPr>
                <w:rFonts w:cs="Arial"/>
                <w:b/>
                <w:bCs/>
                <w:szCs w:val="22"/>
              </w:rPr>
            </w:pPr>
          </w:p>
        </w:tc>
        <w:tc>
          <w:tcPr>
            <w:tcW w:w="1929" w:type="pct"/>
            <w:vMerge/>
            <w:tcBorders>
              <w:top w:val="single" w:sz="8" w:space="0" w:color="auto"/>
              <w:left w:val="single" w:sz="8" w:space="0" w:color="auto"/>
              <w:bottom w:val="single" w:sz="8" w:space="0" w:color="000000"/>
              <w:right w:val="single" w:sz="8" w:space="0" w:color="auto"/>
            </w:tcBorders>
            <w:vAlign w:val="center"/>
            <w:hideMark/>
          </w:tcPr>
          <w:p w:rsidR="00AF1DD3" w:rsidRPr="009E41F8" w:rsidRDefault="00AF1DD3" w:rsidP="00FC59A6">
            <w:pPr>
              <w:spacing w:line="240" w:lineRule="auto"/>
              <w:jc w:val="left"/>
              <w:rPr>
                <w:rFonts w:cs="Arial"/>
                <w:b/>
                <w:bCs/>
                <w:szCs w:val="22"/>
              </w:rPr>
            </w:pPr>
          </w:p>
        </w:tc>
        <w:tc>
          <w:tcPr>
            <w:tcW w:w="764" w:type="pct"/>
            <w:tcBorders>
              <w:top w:val="nil"/>
              <w:left w:val="nil"/>
              <w:bottom w:val="single" w:sz="8" w:space="0" w:color="auto"/>
              <w:right w:val="single" w:sz="8" w:space="0" w:color="auto"/>
            </w:tcBorders>
            <w:shd w:val="clear" w:color="000000" w:fill="D9D9D9"/>
            <w:vAlign w:val="center"/>
            <w:hideMark/>
          </w:tcPr>
          <w:p w:rsidR="00AF1DD3" w:rsidRPr="009E41F8" w:rsidRDefault="00AF1DD3" w:rsidP="00FC59A6">
            <w:pPr>
              <w:spacing w:line="240" w:lineRule="auto"/>
              <w:jc w:val="center"/>
              <w:rPr>
                <w:rFonts w:cs="Arial"/>
                <w:b/>
                <w:bCs/>
                <w:szCs w:val="22"/>
              </w:rPr>
            </w:pPr>
            <w:r w:rsidRPr="009E41F8">
              <w:rPr>
                <w:rFonts w:cs="Arial"/>
                <w:b/>
                <w:bCs/>
                <w:szCs w:val="22"/>
              </w:rPr>
              <w:t>Norte</w:t>
            </w:r>
          </w:p>
        </w:tc>
        <w:tc>
          <w:tcPr>
            <w:tcW w:w="765" w:type="pct"/>
            <w:tcBorders>
              <w:top w:val="nil"/>
              <w:left w:val="nil"/>
              <w:bottom w:val="single" w:sz="8" w:space="0" w:color="auto"/>
              <w:right w:val="single" w:sz="8" w:space="0" w:color="auto"/>
            </w:tcBorders>
            <w:shd w:val="clear" w:color="000000" w:fill="D9D9D9"/>
            <w:vAlign w:val="center"/>
            <w:hideMark/>
          </w:tcPr>
          <w:p w:rsidR="00AF1DD3" w:rsidRPr="009E41F8" w:rsidRDefault="00AF1DD3" w:rsidP="00FC59A6">
            <w:pPr>
              <w:spacing w:line="240" w:lineRule="auto"/>
              <w:jc w:val="center"/>
              <w:rPr>
                <w:rFonts w:cs="Arial"/>
                <w:b/>
                <w:bCs/>
                <w:szCs w:val="22"/>
              </w:rPr>
            </w:pPr>
            <w:r w:rsidRPr="009E41F8">
              <w:rPr>
                <w:rFonts w:cs="Arial"/>
                <w:b/>
                <w:bCs/>
                <w:szCs w:val="22"/>
              </w:rPr>
              <w:t>Leste</w:t>
            </w:r>
          </w:p>
        </w:tc>
      </w:tr>
      <w:tr w:rsidR="00AF1DD3" w:rsidRPr="009E41F8" w:rsidTr="001D5114">
        <w:trPr>
          <w:trHeight w:val="340"/>
        </w:trPr>
        <w:tc>
          <w:tcPr>
            <w:tcW w:w="485" w:type="pct"/>
            <w:tcBorders>
              <w:top w:val="nil"/>
              <w:left w:val="single" w:sz="8" w:space="0" w:color="auto"/>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P01</w:t>
            </w:r>
          </w:p>
        </w:tc>
        <w:tc>
          <w:tcPr>
            <w:tcW w:w="1057"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1D5114">
            <w:pPr>
              <w:spacing w:line="240" w:lineRule="auto"/>
              <w:rPr>
                <w:rFonts w:cs="Arial"/>
                <w:szCs w:val="22"/>
              </w:rPr>
            </w:pPr>
            <w:r w:rsidRPr="009E41F8">
              <w:rPr>
                <w:rFonts w:cs="Arial"/>
                <w:szCs w:val="22"/>
              </w:rPr>
              <w:t>Rio Camanducaia</w:t>
            </w:r>
          </w:p>
        </w:tc>
        <w:tc>
          <w:tcPr>
            <w:tcW w:w="1929"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rPr>
                <w:rFonts w:cs="Arial"/>
                <w:szCs w:val="22"/>
              </w:rPr>
            </w:pPr>
            <w:r>
              <w:rPr>
                <w:rFonts w:cs="Arial"/>
                <w:szCs w:val="22"/>
              </w:rPr>
              <w:t xml:space="preserve">A montante </w:t>
            </w:r>
            <w:r w:rsidRPr="009E41F8">
              <w:rPr>
                <w:rFonts w:cs="Arial"/>
                <w:szCs w:val="22"/>
              </w:rPr>
              <w:t>do futuro reservatório</w:t>
            </w:r>
          </w:p>
        </w:tc>
        <w:tc>
          <w:tcPr>
            <w:tcW w:w="764" w:type="pct"/>
            <w:tcBorders>
              <w:top w:val="nil"/>
              <w:left w:val="nil"/>
              <w:bottom w:val="single" w:sz="8" w:space="0" w:color="auto"/>
              <w:right w:val="single" w:sz="8" w:space="0" w:color="auto"/>
            </w:tcBorders>
            <w:shd w:val="clear" w:color="auto" w:fill="auto"/>
            <w:vAlign w:val="center"/>
            <w:hideMark/>
          </w:tcPr>
          <w:p w:rsidR="00AF1DD3" w:rsidRDefault="00AF1DD3" w:rsidP="00FC59A6">
            <w:pPr>
              <w:spacing w:line="240" w:lineRule="auto"/>
              <w:jc w:val="center"/>
              <w:rPr>
                <w:rFonts w:cs="Arial"/>
                <w:szCs w:val="22"/>
              </w:rPr>
            </w:pPr>
          </w:p>
          <w:p w:rsidR="00AF1DD3" w:rsidRPr="009E41F8" w:rsidRDefault="00AF1DD3" w:rsidP="00FC59A6">
            <w:pPr>
              <w:spacing w:line="240" w:lineRule="auto"/>
              <w:jc w:val="center"/>
              <w:rPr>
                <w:rFonts w:cs="Arial"/>
                <w:szCs w:val="22"/>
              </w:rPr>
            </w:pPr>
            <w:r w:rsidRPr="003C480A">
              <w:rPr>
                <w:rFonts w:cs="Arial"/>
                <w:szCs w:val="22"/>
              </w:rPr>
              <w:t>7</w:t>
            </w:r>
            <w:r>
              <w:rPr>
                <w:rFonts w:cs="Arial"/>
                <w:szCs w:val="22"/>
              </w:rPr>
              <w:t>.</w:t>
            </w:r>
            <w:r w:rsidRPr="003C480A">
              <w:rPr>
                <w:rFonts w:cs="Arial"/>
                <w:szCs w:val="22"/>
              </w:rPr>
              <w:t>487</w:t>
            </w:r>
            <w:r>
              <w:rPr>
                <w:rFonts w:cs="Arial"/>
                <w:szCs w:val="22"/>
              </w:rPr>
              <w:t>.</w:t>
            </w:r>
            <w:r w:rsidRPr="003C480A">
              <w:rPr>
                <w:rFonts w:cs="Arial"/>
                <w:szCs w:val="22"/>
              </w:rPr>
              <w:t>641</w:t>
            </w:r>
          </w:p>
        </w:tc>
        <w:tc>
          <w:tcPr>
            <w:tcW w:w="765" w:type="pct"/>
            <w:tcBorders>
              <w:top w:val="nil"/>
              <w:left w:val="nil"/>
              <w:bottom w:val="single" w:sz="8" w:space="0" w:color="auto"/>
              <w:right w:val="single" w:sz="8" w:space="0" w:color="auto"/>
            </w:tcBorders>
            <w:shd w:val="clear" w:color="auto" w:fill="auto"/>
            <w:vAlign w:val="center"/>
            <w:hideMark/>
          </w:tcPr>
          <w:p w:rsidR="00AF1DD3" w:rsidRDefault="00AF1DD3" w:rsidP="00FC59A6">
            <w:pPr>
              <w:spacing w:line="240" w:lineRule="auto"/>
              <w:jc w:val="center"/>
              <w:rPr>
                <w:rFonts w:cs="Arial"/>
                <w:szCs w:val="22"/>
              </w:rPr>
            </w:pPr>
          </w:p>
          <w:p w:rsidR="00AF1DD3" w:rsidRPr="009E41F8" w:rsidRDefault="00AF1DD3" w:rsidP="00FC59A6">
            <w:pPr>
              <w:spacing w:line="240" w:lineRule="auto"/>
              <w:jc w:val="center"/>
              <w:rPr>
                <w:rFonts w:cs="Arial"/>
                <w:szCs w:val="22"/>
              </w:rPr>
            </w:pPr>
            <w:r w:rsidRPr="003C480A">
              <w:rPr>
                <w:rFonts w:cs="Arial"/>
                <w:szCs w:val="22"/>
              </w:rPr>
              <w:t>311</w:t>
            </w:r>
            <w:r>
              <w:rPr>
                <w:rFonts w:cs="Arial"/>
                <w:szCs w:val="22"/>
              </w:rPr>
              <w:t>.</w:t>
            </w:r>
            <w:r w:rsidRPr="003C480A">
              <w:rPr>
                <w:rFonts w:cs="Arial"/>
                <w:szCs w:val="22"/>
              </w:rPr>
              <w:t>043</w:t>
            </w:r>
          </w:p>
        </w:tc>
      </w:tr>
      <w:tr w:rsidR="00AF1DD3" w:rsidRPr="009E41F8" w:rsidTr="001D5114">
        <w:trPr>
          <w:trHeight w:val="340"/>
        </w:trPr>
        <w:tc>
          <w:tcPr>
            <w:tcW w:w="485" w:type="pct"/>
            <w:tcBorders>
              <w:top w:val="nil"/>
              <w:left w:val="single" w:sz="8" w:space="0" w:color="auto"/>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P02</w:t>
            </w:r>
          </w:p>
        </w:tc>
        <w:tc>
          <w:tcPr>
            <w:tcW w:w="1057"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1D5114">
            <w:pPr>
              <w:spacing w:line="240" w:lineRule="auto"/>
              <w:rPr>
                <w:rFonts w:cs="Arial"/>
                <w:szCs w:val="22"/>
              </w:rPr>
            </w:pPr>
            <w:r w:rsidRPr="009E41F8">
              <w:rPr>
                <w:rFonts w:cs="Arial"/>
                <w:szCs w:val="22"/>
              </w:rPr>
              <w:t>Rio Camanducaia</w:t>
            </w:r>
          </w:p>
        </w:tc>
        <w:tc>
          <w:tcPr>
            <w:tcW w:w="1929"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rPr>
                <w:rFonts w:cs="Arial"/>
                <w:szCs w:val="22"/>
              </w:rPr>
            </w:pPr>
            <w:r w:rsidRPr="009E41F8">
              <w:rPr>
                <w:rFonts w:cs="Arial"/>
                <w:szCs w:val="22"/>
              </w:rPr>
              <w:t>Corpo principal do futuro reservatório, próximo à barragem projetada</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7.490.643</w:t>
            </w:r>
          </w:p>
        </w:tc>
        <w:tc>
          <w:tcPr>
            <w:tcW w:w="765"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308.309</w:t>
            </w:r>
          </w:p>
        </w:tc>
      </w:tr>
      <w:tr w:rsidR="00AF1DD3" w:rsidRPr="009E41F8" w:rsidTr="001D5114">
        <w:trPr>
          <w:trHeight w:val="340"/>
        </w:trPr>
        <w:tc>
          <w:tcPr>
            <w:tcW w:w="485" w:type="pct"/>
            <w:tcBorders>
              <w:top w:val="nil"/>
              <w:left w:val="single" w:sz="8" w:space="0" w:color="auto"/>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P03</w:t>
            </w:r>
          </w:p>
        </w:tc>
        <w:tc>
          <w:tcPr>
            <w:tcW w:w="1057"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1D5114">
            <w:pPr>
              <w:spacing w:line="240" w:lineRule="auto"/>
              <w:rPr>
                <w:rFonts w:cs="Arial"/>
                <w:szCs w:val="22"/>
              </w:rPr>
            </w:pPr>
            <w:r w:rsidRPr="009E41F8">
              <w:rPr>
                <w:rFonts w:cs="Arial"/>
                <w:szCs w:val="22"/>
              </w:rPr>
              <w:t>Rio Camanducaia</w:t>
            </w:r>
          </w:p>
        </w:tc>
        <w:tc>
          <w:tcPr>
            <w:tcW w:w="1929"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rPr>
                <w:rFonts w:cs="Arial"/>
                <w:szCs w:val="22"/>
              </w:rPr>
            </w:pPr>
            <w:r w:rsidRPr="009E41F8">
              <w:rPr>
                <w:rFonts w:cs="Arial"/>
                <w:szCs w:val="22"/>
              </w:rPr>
              <w:t>A jusante do futuro reservatório</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7.489.924</w:t>
            </w:r>
          </w:p>
        </w:tc>
        <w:tc>
          <w:tcPr>
            <w:tcW w:w="765"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306.890</w:t>
            </w:r>
          </w:p>
        </w:tc>
      </w:tr>
      <w:tr w:rsidR="00AF1DD3" w:rsidRPr="009E41F8" w:rsidTr="001D5114">
        <w:trPr>
          <w:trHeight w:val="340"/>
        </w:trPr>
        <w:tc>
          <w:tcPr>
            <w:tcW w:w="485" w:type="pct"/>
            <w:tcBorders>
              <w:top w:val="nil"/>
              <w:left w:val="single" w:sz="8" w:space="0" w:color="auto"/>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P04</w:t>
            </w:r>
          </w:p>
        </w:tc>
        <w:tc>
          <w:tcPr>
            <w:tcW w:w="1057"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1D5114">
            <w:pPr>
              <w:spacing w:line="240" w:lineRule="auto"/>
              <w:rPr>
                <w:rFonts w:cs="Arial"/>
                <w:szCs w:val="22"/>
              </w:rPr>
            </w:pPr>
            <w:r w:rsidRPr="009E41F8">
              <w:rPr>
                <w:rFonts w:cs="Arial"/>
                <w:szCs w:val="22"/>
              </w:rPr>
              <w:t>Ribeirão do Pantaleão</w:t>
            </w:r>
          </w:p>
        </w:tc>
        <w:tc>
          <w:tcPr>
            <w:tcW w:w="1929"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rPr>
                <w:rFonts w:cs="Arial"/>
                <w:szCs w:val="22"/>
              </w:rPr>
            </w:pPr>
            <w:r w:rsidRPr="009E41F8">
              <w:rPr>
                <w:rFonts w:cs="Arial"/>
                <w:szCs w:val="22"/>
              </w:rPr>
              <w:t>Principal braço contribuinte da margem direita do futuro reservatório</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7.492.416</w:t>
            </w:r>
          </w:p>
        </w:tc>
        <w:tc>
          <w:tcPr>
            <w:tcW w:w="765"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310.719</w:t>
            </w:r>
          </w:p>
        </w:tc>
      </w:tr>
      <w:tr w:rsidR="00AF1DD3" w:rsidRPr="009E41F8" w:rsidTr="001D5114">
        <w:trPr>
          <w:trHeight w:val="340"/>
        </w:trPr>
        <w:tc>
          <w:tcPr>
            <w:tcW w:w="485" w:type="pct"/>
            <w:tcBorders>
              <w:top w:val="nil"/>
              <w:left w:val="single" w:sz="8" w:space="0" w:color="auto"/>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P05</w:t>
            </w:r>
          </w:p>
        </w:tc>
        <w:tc>
          <w:tcPr>
            <w:tcW w:w="1057"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1D5114">
            <w:pPr>
              <w:spacing w:line="240" w:lineRule="auto"/>
              <w:rPr>
                <w:rFonts w:cs="Arial"/>
                <w:szCs w:val="22"/>
              </w:rPr>
            </w:pPr>
            <w:r w:rsidRPr="009E41F8">
              <w:rPr>
                <w:rFonts w:cs="Arial"/>
                <w:szCs w:val="22"/>
              </w:rPr>
              <w:t>Afluente Sem Denominação</w:t>
            </w:r>
          </w:p>
        </w:tc>
        <w:tc>
          <w:tcPr>
            <w:tcW w:w="1929"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rPr>
                <w:rFonts w:cs="Arial"/>
                <w:szCs w:val="22"/>
              </w:rPr>
            </w:pPr>
            <w:r w:rsidRPr="009E41F8">
              <w:rPr>
                <w:rFonts w:cs="Arial"/>
                <w:szCs w:val="22"/>
              </w:rPr>
              <w:t>Braço contribuinte da margem esquerda do futuro reservatório</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7.489.467</w:t>
            </w:r>
          </w:p>
        </w:tc>
        <w:tc>
          <w:tcPr>
            <w:tcW w:w="765"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308.694</w:t>
            </w:r>
          </w:p>
        </w:tc>
      </w:tr>
      <w:tr w:rsidR="00AF1DD3" w:rsidRPr="009E41F8" w:rsidTr="001D5114">
        <w:trPr>
          <w:trHeight w:val="340"/>
        </w:trPr>
        <w:tc>
          <w:tcPr>
            <w:tcW w:w="485" w:type="pct"/>
            <w:tcBorders>
              <w:top w:val="nil"/>
              <w:left w:val="single" w:sz="8" w:space="0" w:color="auto"/>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P06</w:t>
            </w:r>
          </w:p>
        </w:tc>
        <w:tc>
          <w:tcPr>
            <w:tcW w:w="1057"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1D5114">
            <w:pPr>
              <w:spacing w:line="240" w:lineRule="auto"/>
              <w:rPr>
                <w:rFonts w:cs="Arial"/>
                <w:szCs w:val="22"/>
              </w:rPr>
            </w:pPr>
            <w:r w:rsidRPr="009E41F8">
              <w:rPr>
                <w:rFonts w:cs="Arial"/>
                <w:szCs w:val="22"/>
              </w:rPr>
              <w:t>Córrego da Boa Vista (lago)</w:t>
            </w:r>
          </w:p>
        </w:tc>
        <w:tc>
          <w:tcPr>
            <w:tcW w:w="1929"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rPr>
                <w:rFonts w:cs="Arial"/>
                <w:szCs w:val="22"/>
              </w:rPr>
            </w:pPr>
            <w:r w:rsidRPr="009E41F8">
              <w:rPr>
                <w:rFonts w:cs="Arial"/>
                <w:szCs w:val="22"/>
              </w:rPr>
              <w:t>Braço contribuinte da margem direita do futuro reservatório</w:t>
            </w:r>
          </w:p>
        </w:tc>
        <w:tc>
          <w:tcPr>
            <w:tcW w:w="764"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7.491.401</w:t>
            </w:r>
          </w:p>
        </w:tc>
        <w:tc>
          <w:tcPr>
            <w:tcW w:w="765" w:type="pct"/>
            <w:tcBorders>
              <w:top w:val="nil"/>
              <w:left w:val="nil"/>
              <w:bottom w:val="single" w:sz="8" w:space="0" w:color="auto"/>
              <w:right w:val="single" w:sz="8" w:space="0" w:color="auto"/>
            </w:tcBorders>
            <w:shd w:val="clear" w:color="auto" w:fill="auto"/>
            <w:vAlign w:val="center"/>
            <w:hideMark/>
          </w:tcPr>
          <w:p w:rsidR="00AF1DD3" w:rsidRPr="009E41F8" w:rsidRDefault="00AF1DD3" w:rsidP="00FC59A6">
            <w:pPr>
              <w:spacing w:line="240" w:lineRule="auto"/>
              <w:jc w:val="center"/>
              <w:rPr>
                <w:rFonts w:cs="Arial"/>
                <w:szCs w:val="22"/>
              </w:rPr>
            </w:pPr>
            <w:r w:rsidRPr="009E41F8">
              <w:rPr>
                <w:rFonts w:cs="Arial"/>
                <w:szCs w:val="22"/>
              </w:rPr>
              <w:t>308.345</w:t>
            </w:r>
          </w:p>
        </w:tc>
      </w:tr>
    </w:tbl>
    <w:p w:rsidR="00AF1DD3" w:rsidRPr="00D55709" w:rsidRDefault="00AF1DD3" w:rsidP="00AF1DD3">
      <w:pPr>
        <w:spacing w:after="120" w:line="240" w:lineRule="auto"/>
        <w:rPr>
          <w:rFonts w:cs="Arial"/>
          <w:szCs w:val="22"/>
        </w:rPr>
      </w:pPr>
    </w:p>
    <w:p w:rsidR="00AF1DD3" w:rsidRPr="00AB034A" w:rsidRDefault="00AF1DD3" w:rsidP="00AF1DD3">
      <w:pPr>
        <w:spacing w:after="120" w:line="240" w:lineRule="auto"/>
        <w:rPr>
          <w:rFonts w:cs="Arial"/>
          <w:szCs w:val="22"/>
        </w:rPr>
      </w:pPr>
      <w:r w:rsidRPr="00AB034A">
        <w:rPr>
          <w:rFonts w:cs="Arial"/>
          <w:szCs w:val="22"/>
        </w:rPr>
        <w:t xml:space="preserve">Nas fases de enchimento e operação das Barragens Pedreira e Duas Pontes, essa rede básica de monitoramento poderá ser ajustada para se adequar às condições particulares dos ambientes que serão formados a partir </w:t>
      </w:r>
      <w:r>
        <w:rPr>
          <w:rFonts w:cs="Arial"/>
          <w:szCs w:val="22"/>
        </w:rPr>
        <w:t>do enchimento</w:t>
      </w:r>
      <w:r w:rsidRPr="00AB034A">
        <w:rPr>
          <w:rFonts w:cs="Arial"/>
          <w:szCs w:val="22"/>
        </w:rPr>
        <w:t xml:space="preserve"> dos reservatórios</w:t>
      </w:r>
      <w:r>
        <w:rPr>
          <w:rFonts w:cs="Arial"/>
          <w:szCs w:val="22"/>
        </w:rPr>
        <w:t xml:space="preserve">, devendo ser incluído </w:t>
      </w:r>
      <w:r w:rsidRPr="00AB034A">
        <w:rPr>
          <w:rFonts w:cs="Arial"/>
          <w:szCs w:val="22"/>
        </w:rPr>
        <w:t xml:space="preserve">na rede amostral </w:t>
      </w:r>
      <w:r>
        <w:rPr>
          <w:rFonts w:cs="Arial"/>
          <w:szCs w:val="22"/>
        </w:rPr>
        <w:t xml:space="preserve">um ponto em cada </w:t>
      </w:r>
      <w:r w:rsidRPr="00AB034A">
        <w:rPr>
          <w:rFonts w:cs="Arial"/>
          <w:szCs w:val="22"/>
        </w:rPr>
        <w:t>captaç</w:t>
      </w:r>
      <w:r>
        <w:rPr>
          <w:rFonts w:cs="Arial"/>
          <w:szCs w:val="22"/>
        </w:rPr>
        <w:t>ão</w:t>
      </w:r>
      <w:r w:rsidRPr="00AB034A">
        <w:rPr>
          <w:rFonts w:cs="Arial"/>
          <w:szCs w:val="22"/>
        </w:rPr>
        <w:t xml:space="preserve"> de água</w:t>
      </w:r>
      <w:r>
        <w:rPr>
          <w:rFonts w:cs="Arial"/>
          <w:szCs w:val="22"/>
        </w:rPr>
        <w:t xml:space="preserve"> para abastecimento público, durante a fase de operação.</w:t>
      </w:r>
    </w:p>
    <w:p w:rsidR="00AF1DD3" w:rsidRPr="009E41F8" w:rsidRDefault="00AF1DD3" w:rsidP="00431A97">
      <w:pPr>
        <w:numPr>
          <w:ilvl w:val="0"/>
          <w:numId w:val="75"/>
        </w:numPr>
        <w:spacing w:after="120" w:line="240" w:lineRule="auto"/>
        <w:ind w:left="567" w:hanging="567"/>
        <w:rPr>
          <w:rFonts w:cs="Arial"/>
          <w:szCs w:val="22"/>
        </w:rPr>
      </w:pPr>
      <w:r w:rsidRPr="00FD203C">
        <w:rPr>
          <w:rFonts w:cs="Arial"/>
          <w:szCs w:val="22"/>
        </w:rPr>
        <w:t xml:space="preserve"> </w:t>
      </w:r>
      <w:r w:rsidRPr="009E41F8">
        <w:rPr>
          <w:rFonts w:cs="Arial"/>
          <w:szCs w:val="22"/>
        </w:rPr>
        <w:t>Parâmetros a Serem Avaliados</w:t>
      </w:r>
    </w:p>
    <w:p w:rsidR="00AF1DD3" w:rsidRDefault="00AF1DD3" w:rsidP="00AF1DD3">
      <w:pPr>
        <w:spacing w:after="120" w:line="240" w:lineRule="auto"/>
        <w:rPr>
          <w:rFonts w:cs="Arial"/>
          <w:szCs w:val="22"/>
        </w:rPr>
      </w:pPr>
      <w:r w:rsidRPr="00F4348D">
        <w:rPr>
          <w:rFonts w:cs="Arial"/>
          <w:szCs w:val="22"/>
        </w:rPr>
        <w:t xml:space="preserve">Os parâmetros para avaliação da qualidade das águas superficiais e dos sedimentos a serem considerados estão relacionados </w:t>
      </w:r>
      <w:r w:rsidRPr="001D5114">
        <w:rPr>
          <w:rFonts w:cs="Arial"/>
          <w:szCs w:val="22"/>
        </w:rPr>
        <w:t xml:space="preserve">nos Quadros </w:t>
      </w:r>
      <w:r w:rsidR="000F4B70" w:rsidRPr="001D5114">
        <w:rPr>
          <w:rFonts w:cs="Arial"/>
          <w:szCs w:val="22"/>
        </w:rPr>
        <w:t>3.3.6.3.</w:t>
      </w:r>
      <w:r w:rsidRPr="001D5114">
        <w:rPr>
          <w:rFonts w:cs="Arial"/>
          <w:szCs w:val="22"/>
        </w:rPr>
        <w:t xml:space="preserve"> e </w:t>
      </w:r>
      <w:r w:rsidR="000F4B70" w:rsidRPr="001D5114">
        <w:rPr>
          <w:rFonts w:cs="Arial"/>
          <w:szCs w:val="22"/>
        </w:rPr>
        <w:t>3.3.6.4.</w:t>
      </w:r>
      <w:r w:rsidRPr="001D5114">
        <w:rPr>
          <w:rFonts w:cs="Arial"/>
          <w:szCs w:val="22"/>
        </w:rPr>
        <w:t xml:space="preserve"> A seleção destas</w:t>
      </w:r>
      <w:r w:rsidRPr="00F4348D">
        <w:rPr>
          <w:rFonts w:cs="Arial"/>
          <w:szCs w:val="22"/>
        </w:rPr>
        <w:t xml:space="preserve"> variáveis teve como base as Resoluções </w:t>
      </w:r>
      <w:r w:rsidR="00504078">
        <w:rPr>
          <w:rFonts w:cs="Arial"/>
          <w:szCs w:val="22"/>
        </w:rPr>
        <w:t>CONAMA</w:t>
      </w:r>
      <w:r w:rsidRPr="00F4348D">
        <w:rPr>
          <w:rFonts w:cs="Arial"/>
          <w:szCs w:val="22"/>
        </w:rPr>
        <w:t xml:space="preserve"> 357/05 e 454/12.</w:t>
      </w:r>
      <w:r>
        <w:rPr>
          <w:rFonts w:cs="Arial"/>
          <w:szCs w:val="22"/>
        </w:rPr>
        <w:t xml:space="preserve"> Levou-se em consideração ainda os </w:t>
      </w:r>
      <w:r w:rsidRPr="009E41F8">
        <w:rPr>
          <w:rFonts w:cs="Arial"/>
          <w:szCs w:val="22"/>
        </w:rPr>
        <w:t>resultados obtidos no âmbito do diagnóstico ambiental e os impactos antevistos nas etapas de implantação, enchimento e operação do</w:t>
      </w:r>
      <w:r>
        <w:rPr>
          <w:rFonts w:cs="Arial"/>
          <w:szCs w:val="22"/>
        </w:rPr>
        <w:t>s</w:t>
      </w:r>
      <w:r w:rsidRPr="009E41F8">
        <w:rPr>
          <w:rFonts w:cs="Arial"/>
          <w:szCs w:val="22"/>
        </w:rPr>
        <w:t xml:space="preserve"> empreendimento</w:t>
      </w:r>
      <w:r>
        <w:rPr>
          <w:rFonts w:cs="Arial"/>
          <w:szCs w:val="22"/>
        </w:rPr>
        <w:t>s</w:t>
      </w:r>
      <w:r w:rsidRPr="009E41F8">
        <w:rPr>
          <w:rFonts w:cs="Arial"/>
          <w:szCs w:val="22"/>
        </w:rPr>
        <w:t>.</w:t>
      </w:r>
    </w:p>
    <w:p w:rsidR="00AF1DD3" w:rsidRPr="001D5114" w:rsidRDefault="00B73D6E" w:rsidP="001D5114">
      <w:pPr>
        <w:pStyle w:val="Legenda"/>
        <w:spacing w:line="240" w:lineRule="auto"/>
        <w:jc w:val="center"/>
        <w:rPr>
          <w:rFonts w:cs="Arial"/>
          <w:b w:val="0"/>
          <w:i w:val="0"/>
          <w:szCs w:val="22"/>
        </w:rPr>
      </w:pPr>
      <w:r w:rsidRPr="001D5114">
        <w:rPr>
          <w:i w:val="0"/>
        </w:rPr>
        <w:t>Quadro 3.3.6.</w:t>
      </w:r>
      <w:r w:rsidR="00B80A05" w:rsidRPr="001D5114">
        <w:rPr>
          <w:i w:val="0"/>
        </w:rPr>
        <w:fldChar w:fldCharType="begin"/>
      </w:r>
      <w:r w:rsidR="00E155C0" w:rsidRPr="001D5114">
        <w:rPr>
          <w:i w:val="0"/>
        </w:rPr>
        <w:instrText xml:space="preserve"> SEQ Quadro_3.3.6 \* ARABIC </w:instrText>
      </w:r>
      <w:r w:rsidR="00B80A05" w:rsidRPr="001D5114">
        <w:rPr>
          <w:i w:val="0"/>
        </w:rPr>
        <w:fldChar w:fldCharType="separate"/>
      </w:r>
      <w:r w:rsidR="00316060">
        <w:rPr>
          <w:i w:val="0"/>
          <w:noProof/>
        </w:rPr>
        <w:t>8</w:t>
      </w:r>
      <w:r w:rsidR="00B80A05" w:rsidRPr="001D5114">
        <w:rPr>
          <w:i w:val="0"/>
          <w:noProof/>
        </w:rPr>
        <w:fldChar w:fldCharType="end"/>
      </w:r>
      <w:r w:rsidRPr="001D5114">
        <w:rPr>
          <w:i w:val="0"/>
        </w:rPr>
        <w:t>.</w:t>
      </w:r>
      <w:r w:rsidR="001D5114" w:rsidRPr="001D5114">
        <w:rPr>
          <w:b w:val="0"/>
          <w:i w:val="0"/>
        </w:rPr>
        <w:t xml:space="preserve"> - </w:t>
      </w:r>
      <w:r w:rsidR="00AF1DD3" w:rsidRPr="001D5114">
        <w:rPr>
          <w:rFonts w:cs="Arial"/>
          <w:b w:val="0"/>
          <w:i w:val="0"/>
          <w:szCs w:val="22"/>
        </w:rPr>
        <w:t>Parâmetros Selecionados para a Caracterização da Qualidade das Águas Superficiais - Barragens Pedreira e Duas Pontes.</w:t>
      </w:r>
    </w:p>
    <w:tbl>
      <w:tblPr>
        <w:tblW w:w="5000" w:type="pct"/>
        <w:tblCellMar>
          <w:left w:w="70" w:type="dxa"/>
          <w:right w:w="70" w:type="dxa"/>
        </w:tblCellMar>
        <w:tblLook w:val="04A0" w:firstRow="1" w:lastRow="0" w:firstColumn="1" w:lastColumn="0" w:noHBand="0" w:noVBand="1"/>
      </w:tblPr>
      <w:tblGrid>
        <w:gridCol w:w="7026"/>
        <w:gridCol w:w="2469"/>
      </w:tblGrid>
      <w:tr w:rsidR="00AF1DD3" w:rsidRPr="00557212" w:rsidTr="00AF1DD3">
        <w:trPr>
          <w:trHeight w:hRule="exact" w:val="405"/>
          <w:tblHeader/>
        </w:trPr>
        <w:tc>
          <w:tcPr>
            <w:tcW w:w="3700" w:type="pct"/>
            <w:tcBorders>
              <w:top w:val="single" w:sz="4" w:space="0" w:color="auto"/>
              <w:left w:val="single" w:sz="4" w:space="0" w:color="auto"/>
              <w:bottom w:val="single" w:sz="4" w:space="0" w:color="auto"/>
              <w:right w:val="single" w:sz="4" w:space="0" w:color="auto"/>
            </w:tcBorders>
            <w:shd w:val="clear" w:color="000000" w:fill="D8D8D8"/>
            <w:vAlign w:val="center"/>
            <w:hideMark/>
          </w:tcPr>
          <w:p w:rsidR="00AF1DD3" w:rsidRPr="00557212" w:rsidRDefault="00AF1DD3" w:rsidP="001D5114">
            <w:pPr>
              <w:spacing w:line="240" w:lineRule="auto"/>
              <w:jc w:val="center"/>
              <w:rPr>
                <w:rFonts w:cs="Arial"/>
                <w:b/>
                <w:bCs/>
                <w:color w:val="000000"/>
                <w:szCs w:val="22"/>
              </w:rPr>
            </w:pPr>
            <w:r w:rsidRPr="00557212">
              <w:rPr>
                <w:rFonts w:cs="Arial"/>
                <w:b/>
                <w:bCs/>
                <w:color w:val="000000"/>
                <w:szCs w:val="22"/>
              </w:rPr>
              <w:t>Parâmetros</w:t>
            </w:r>
            <w:r w:rsidRPr="00557212">
              <w:rPr>
                <w:rFonts w:cs="Arial"/>
                <w:b/>
                <w:bCs/>
                <w:color w:val="000000"/>
                <w:sz w:val="16"/>
                <w:szCs w:val="16"/>
              </w:rPr>
              <w:t> </w:t>
            </w:r>
          </w:p>
        </w:tc>
        <w:tc>
          <w:tcPr>
            <w:tcW w:w="1300" w:type="pct"/>
            <w:tcBorders>
              <w:top w:val="single" w:sz="4" w:space="0" w:color="auto"/>
              <w:left w:val="nil"/>
              <w:bottom w:val="single" w:sz="4" w:space="0" w:color="auto"/>
              <w:right w:val="single" w:sz="4" w:space="0" w:color="auto"/>
            </w:tcBorders>
            <w:shd w:val="clear" w:color="000000" w:fill="D8D8D8"/>
            <w:vAlign w:val="center"/>
            <w:hideMark/>
          </w:tcPr>
          <w:p w:rsidR="00AF1DD3" w:rsidRPr="00557212" w:rsidRDefault="00AF1DD3" w:rsidP="001D5114">
            <w:pPr>
              <w:spacing w:line="240" w:lineRule="auto"/>
              <w:jc w:val="center"/>
              <w:rPr>
                <w:rFonts w:cs="Arial"/>
                <w:b/>
                <w:bCs/>
                <w:color w:val="000000"/>
                <w:szCs w:val="22"/>
              </w:rPr>
            </w:pPr>
            <w:r w:rsidRPr="00557212">
              <w:rPr>
                <w:rFonts w:cs="Arial"/>
                <w:b/>
                <w:bCs/>
                <w:color w:val="000000"/>
                <w:szCs w:val="22"/>
              </w:rPr>
              <w:t>Unidades</w:t>
            </w:r>
          </w:p>
        </w:tc>
      </w:tr>
      <w:tr w:rsidR="00AF1DD3" w:rsidRPr="00557212" w:rsidTr="00AF1DD3">
        <w:trPr>
          <w:trHeight w:hRule="exact" w:val="405"/>
        </w:trPr>
        <w:tc>
          <w:tcPr>
            <w:tcW w:w="5000" w:type="pct"/>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F1DD3" w:rsidRPr="00557212" w:rsidRDefault="00AF1DD3" w:rsidP="001D5114">
            <w:pPr>
              <w:spacing w:line="240" w:lineRule="auto"/>
              <w:jc w:val="left"/>
              <w:rPr>
                <w:rFonts w:cs="Arial"/>
                <w:b/>
                <w:color w:val="000000"/>
                <w:szCs w:val="22"/>
              </w:rPr>
            </w:pPr>
            <w:r w:rsidRPr="00557212">
              <w:rPr>
                <w:rFonts w:cs="Arial"/>
                <w:b/>
                <w:color w:val="000000"/>
                <w:szCs w:val="22"/>
              </w:rPr>
              <w:t>Físico-Químicos</w:t>
            </w:r>
            <w:r w:rsidRPr="00557212">
              <w:rPr>
                <w:rFonts w:cs="Arial"/>
                <w:b/>
                <w:color w:val="000000"/>
                <w:sz w:val="20"/>
              </w:rPr>
              <w:t> </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Cianeto Livre</w:t>
            </w:r>
          </w:p>
        </w:tc>
        <w:tc>
          <w:tcPr>
            <w:tcW w:w="1300" w:type="pct"/>
            <w:tcBorders>
              <w:top w:val="nil"/>
              <w:left w:val="nil"/>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Cloreto Total</w:t>
            </w:r>
          </w:p>
        </w:tc>
        <w:tc>
          <w:tcPr>
            <w:tcW w:w="1300" w:type="pct"/>
            <w:tcBorders>
              <w:top w:val="nil"/>
              <w:left w:val="nil"/>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val="405"/>
        </w:trPr>
        <w:tc>
          <w:tcPr>
            <w:tcW w:w="3700" w:type="pct"/>
            <w:tcBorders>
              <w:top w:val="nil"/>
              <w:left w:val="single" w:sz="4" w:space="0" w:color="auto"/>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 xml:space="preserve">Cloro Residual Livre </w:t>
            </w:r>
            <w:r w:rsidRPr="00557212">
              <w:rPr>
                <w:rFonts w:cs="Arial"/>
                <w:color w:val="000000"/>
                <w:szCs w:val="22"/>
                <w:vertAlign w:val="superscript"/>
              </w:rPr>
              <w:t>#</w:t>
            </w:r>
          </w:p>
        </w:tc>
        <w:tc>
          <w:tcPr>
            <w:tcW w:w="1300" w:type="pct"/>
            <w:tcBorders>
              <w:top w:val="nil"/>
              <w:left w:val="nil"/>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 </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Condutividade</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μS/cm</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Cor Verdadeira</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 Pt/L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Demanda Bioquímica de Oxigênio - DBO</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Demanda Química de Oxigênio - DQO</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Dureza Total</w:t>
            </w:r>
          </w:p>
        </w:tc>
        <w:tc>
          <w:tcPr>
            <w:tcW w:w="1300" w:type="pct"/>
            <w:tcBorders>
              <w:top w:val="nil"/>
              <w:left w:val="nil"/>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auto" w:fill="auto"/>
            <w:vAlign w:val="center"/>
          </w:tcPr>
          <w:p w:rsidR="00AF1DD3" w:rsidRPr="00557212" w:rsidRDefault="00AF1DD3" w:rsidP="001D5114">
            <w:pPr>
              <w:spacing w:line="240" w:lineRule="auto"/>
              <w:jc w:val="left"/>
              <w:rPr>
                <w:rFonts w:cs="Arial"/>
                <w:color w:val="000000"/>
                <w:szCs w:val="22"/>
              </w:rPr>
            </w:pPr>
            <w:r w:rsidRPr="00557212">
              <w:rPr>
                <w:rFonts w:cs="Arial"/>
                <w:color w:val="000000"/>
                <w:szCs w:val="22"/>
              </w:rPr>
              <w:t>Fluoreto Total</w:t>
            </w:r>
          </w:p>
        </w:tc>
        <w:tc>
          <w:tcPr>
            <w:tcW w:w="1300" w:type="pct"/>
            <w:tcBorders>
              <w:top w:val="nil"/>
              <w:left w:val="nil"/>
              <w:bottom w:val="single" w:sz="4" w:space="0" w:color="auto"/>
              <w:right w:val="single" w:sz="4" w:space="0" w:color="auto"/>
            </w:tcBorders>
            <w:shd w:val="clear" w:color="auto" w:fill="auto"/>
            <w:vAlign w:val="center"/>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Fósforo Total</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Nitrato (como N)</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Nitrito (como N)</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Nitrogênio Orgânico</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Nitrogênio Amoniacal</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Nitrogênio Kjeldahl Total</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Oxigênio Dissolvido</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center"/>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pH</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Potássio</w:t>
            </w:r>
          </w:p>
        </w:tc>
        <w:tc>
          <w:tcPr>
            <w:tcW w:w="1300" w:type="pct"/>
            <w:tcBorders>
              <w:top w:val="nil"/>
              <w:left w:val="nil"/>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Potencial Redox</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mV</w:t>
            </w:r>
          </w:p>
        </w:tc>
      </w:tr>
      <w:tr w:rsidR="00AF1DD3" w:rsidRPr="00557212" w:rsidTr="00AF1DD3">
        <w:trPr>
          <w:trHeigh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 xml:space="preserve">Potencial de Formação de Trihalometanos </w:t>
            </w:r>
            <w:r w:rsidRPr="00557212">
              <w:rPr>
                <w:rFonts w:cs="Arial"/>
                <w:color w:val="000000"/>
                <w:szCs w:val="22"/>
                <w:vertAlign w:val="superscript"/>
              </w:rPr>
              <w:t>#</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 xml:space="preserve">Profundidade </w:t>
            </w:r>
          </w:p>
        </w:tc>
        <w:tc>
          <w:tcPr>
            <w:tcW w:w="1300" w:type="pct"/>
            <w:tcBorders>
              <w:top w:val="nil"/>
              <w:left w:val="nil"/>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Salinidade</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Sólidos Dissolvidos Totais</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Sólidos Suspensos Totais</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Sódio</w:t>
            </w:r>
            <w:r w:rsidRPr="00557212">
              <w:rPr>
                <w:rFonts w:cs="Arial"/>
                <w:color w:val="000000"/>
                <w:szCs w:val="22"/>
                <w:vertAlign w:val="superscript"/>
              </w:rPr>
              <w:t xml:space="preserve"> #</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Sulfato Total</w:t>
            </w:r>
          </w:p>
        </w:tc>
        <w:tc>
          <w:tcPr>
            <w:tcW w:w="1300" w:type="pct"/>
            <w:tcBorders>
              <w:top w:val="nil"/>
              <w:left w:val="nil"/>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Temperatura da Água</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Temperatura do Ar</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Transparência</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Turbidez</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UNT</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 xml:space="preserve">Velocidade da Correnteza </w:t>
            </w:r>
          </w:p>
        </w:tc>
        <w:tc>
          <w:tcPr>
            <w:tcW w:w="1300" w:type="pct"/>
            <w:tcBorders>
              <w:top w:val="nil"/>
              <w:left w:val="nil"/>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m/s</w:t>
            </w:r>
          </w:p>
        </w:tc>
      </w:tr>
      <w:tr w:rsidR="00AF1DD3" w:rsidRPr="00557212" w:rsidTr="00AF1DD3">
        <w:trPr>
          <w:trHeight w:hRule="exact" w:val="405"/>
        </w:trPr>
        <w:tc>
          <w:tcPr>
            <w:tcW w:w="5000" w:type="pct"/>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F1DD3" w:rsidRPr="00557212" w:rsidRDefault="00AF1DD3" w:rsidP="001D5114">
            <w:pPr>
              <w:spacing w:line="240" w:lineRule="auto"/>
              <w:jc w:val="left"/>
              <w:rPr>
                <w:rFonts w:cs="Arial"/>
                <w:color w:val="000000"/>
                <w:szCs w:val="22"/>
              </w:rPr>
            </w:pPr>
            <w:r w:rsidRPr="00557212">
              <w:rPr>
                <w:rFonts w:cs="Arial"/>
                <w:b/>
                <w:color w:val="000000"/>
                <w:szCs w:val="22"/>
              </w:rPr>
              <w:t>Metais e Semimetais</w:t>
            </w:r>
            <w:r w:rsidRPr="00557212">
              <w:rPr>
                <w:rFonts w:cs="Arial"/>
                <w:color w:val="000000"/>
                <w:sz w:val="20"/>
              </w:rPr>
              <w:t> </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Alumínio Dissolvido</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 xml:space="preserve">Alumínio Total </w:t>
            </w:r>
            <w:r w:rsidRPr="00557212">
              <w:rPr>
                <w:rFonts w:cs="Arial"/>
                <w:color w:val="000000"/>
                <w:szCs w:val="22"/>
                <w:vertAlign w:val="superscript"/>
              </w:rPr>
              <w:t>#</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Arsênio Total</w:t>
            </w:r>
          </w:p>
        </w:tc>
        <w:tc>
          <w:tcPr>
            <w:tcW w:w="1300" w:type="pct"/>
            <w:tcBorders>
              <w:top w:val="nil"/>
              <w:left w:val="nil"/>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Cádmio Total</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Chumbo Total</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Cobre Dissolvido</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 xml:space="preserve">Cobre Total </w:t>
            </w:r>
            <w:r w:rsidRPr="00557212">
              <w:rPr>
                <w:rFonts w:cs="Arial"/>
                <w:color w:val="000000"/>
                <w:szCs w:val="22"/>
                <w:vertAlign w:val="superscript"/>
              </w:rPr>
              <w:t>#</w:t>
            </w:r>
          </w:p>
        </w:tc>
        <w:tc>
          <w:tcPr>
            <w:tcW w:w="1300" w:type="pct"/>
            <w:tcBorders>
              <w:top w:val="nil"/>
              <w:left w:val="nil"/>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Cromo Total</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Ferro Dissolvido</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 xml:space="preserve">Ferro Total </w:t>
            </w:r>
            <w:r w:rsidRPr="00557212">
              <w:rPr>
                <w:rFonts w:cs="Arial"/>
                <w:color w:val="000000"/>
                <w:szCs w:val="22"/>
                <w:vertAlign w:val="superscript"/>
              </w:rPr>
              <w:t>#</w:t>
            </w:r>
          </w:p>
        </w:tc>
        <w:tc>
          <w:tcPr>
            <w:tcW w:w="1300" w:type="pct"/>
            <w:tcBorders>
              <w:top w:val="nil"/>
              <w:left w:val="nil"/>
              <w:bottom w:val="single" w:sz="4" w:space="0" w:color="auto"/>
              <w:right w:val="single" w:sz="4" w:space="0" w:color="auto"/>
            </w:tcBorders>
            <w:shd w:val="clear" w:color="auto" w:fill="auto"/>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Manganês Total</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Mercúrio Total</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Níquel Total</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Zinco Total</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5000" w:type="pct"/>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F1DD3" w:rsidRPr="00557212" w:rsidRDefault="00AF1DD3" w:rsidP="001D5114">
            <w:pPr>
              <w:spacing w:line="240" w:lineRule="auto"/>
              <w:jc w:val="left"/>
              <w:rPr>
                <w:rFonts w:cs="Arial"/>
                <w:color w:val="000000"/>
                <w:szCs w:val="22"/>
              </w:rPr>
            </w:pPr>
            <w:r w:rsidRPr="00557212">
              <w:rPr>
                <w:rFonts w:cs="Arial"/>
                <w:b/>
                <w:color w:val="000000"/>
                <w:szCs w:val="22"/>
              </w:rPr>
              <w:t>Biológicos e Bacteriológicos</w:t>
            </w:r>
            <w:r w:rsidRPr="00557212">
              <w:rPr>
                <w:rFonts w:cs="Arial"/>
                <w:color w:val="000000"/>
                <w:sz w:val="20"/>
              </w:rPr>
              <w:t> </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Clorofila-a</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μg/L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 xml:space="preserve">Coliformes Termotolerantes ou </w:t>
            </w:r>
            <w:r w:rsidRPr="00557212">
              <w:rPr>
                <w:rFonts w:cs="Arial"/>
                <w:i/>
                <w:iCs/>
                <w:color w:val="000000"/>
                <w:szCs w:val="22"/>
              </w:rPr>
              <w:t>E.coli</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NMP/100 mL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Coliformes Totais</w:t>
            </w:r>
            <w:r w:rsidRPr="00557212">
              <w:rPr>
                <w:rFonts w:cs="Arial"/>
                <w:color w:val="000000"/>
                <w:sz w:val="16"/>
                <w:szCs w:val="16"/>
              </w:rPr>
              <w:t> </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NMP/100 mL</w:t>
            </w:r>
          </w:p>
        </w:tc>
      </w:tr>
      <w:tr w:rsidR="00AF1DD3" w:rsidRPr="00557212" w:rsidTr="00AF1DD3">
        <w:trPr>
          <w:trHeigh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 xml:space="preserve">Células de Cianobactérias e Cianotoxinas </w:t>
            </w:r>
            <w:r w:rsidRPr="00557212">
              <w:rPr>
                <w:rFonts w:cs="Arial"/>
                <w:color w:val="000000"/>
                <w:szCs w:val="22"/>
                <w:vertAlign w:val="superscript"/>
              </w:rPr>
              <w:t># #</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cél/mL e μg/L</w:t>
            </w:r>
          </w:p>
        </w:tc>
      </w:tr>
      <w:tr w:rsidR="00AF1DD3" w:rsidRPr="00557212" w:rsidTr="00AF1DD3">
        <w:trPr>
          <w:trHeight w:hRule="exact" w:val="405"/>
        </w:trPr>
        <w:tc>
          <w:tcPr>
            <w:tcW w:w="5000" w:type="pct"/>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F1DD3" w:rsidRPr="00557212" w:rsidRDefault="00AF1DD3" w:rsidP="001D5114">
            <w:pPr>
              <w:spacing w:line="240" w:lineRule="auto"/>
              <w:jc w:val="left"/>
              <w:rPr>
                <w:rFonts w:cs="Arial"/>
                <w:color w:val="000000"/>
                <w:szCs w:val="22"/>
              </w:rPr>
            </w:pPr>
            <w:r w:rsidRPr="00557212">
              <w:rPr>
                <w:rFonts w:cs="Arial"/>
                <w:b/>
                <w:color w:val="000000"/>
                <w:szCs w:val="22"/>
              </w:rPr>
              <w:t>Compostos Orgânicos Semivoláteis (SVOC)</w:t>
            </w:r>
            <w:r w:rsidRPr="00557212">
              <w:rPr>
                <w:rFonts w:cs="Arial"/>
                <w:color w:val="000000"/>
                <w:sz w:val="20"/>
              </w:rPr>
              <w:t> </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Fenol</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5000" w:type="pct"/>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F1DD3" w:rsidRPr="00557212" w:rsidRDefault="00AF1DD3" w:rsidP="001D5114">
            <w:pPr>
              <w:spacing w:line="240" w:lineRule="auto"/>
              <w:jc w:val="left"/>
              <w:rPr>
                <w:rFonts w:cs="Arial"/>
                <w:color w:val="000000"/>
                <w:szCs w:val="22"/>
              </w:rPr>
            </w:pPr>
            <w:r w:rsidRPr="00557212">
              <w:rPr>
                <w:rFonts w:cs="Arial"/>
                <w:b/>
                <w:color w:val="000000"/>
                <w:szCs w:val="22"/>
              </w:rPr>
              <w:t>Outros Compostos Orgânicos</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Surfactantes (como LAS)</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Óleos e Graxas</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mg/L</w:t>
            </w:r>
          </w:p>
        </w:tc>
      </w:tr>
      <w:tr w:rsidR="00AF1DD3" w:rsidRPr="00557212" w:rsidTr="00AF1DD3">
        <w:trPr>
          <w:trHeight w:val="405"/>
        </w:trPr>
        <w:tc>
          <w:tcPr>
            <w:tcW w:w="5000" w:type="pct"/>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b/>
                <w:color w:val="000000"/>
                <w:szCs w:val="22"/>
              </w:rPr>
              <w:t>Ecotoxicológico</w:t>
            </w:r>
          </w:p>
        </w:tc>
      </w:tr>
      <w:tr w:rsidR="00AF1DD3" w:rsidRPr="00557212" w:rsidTr="00AF1DD3">
        <w:trPr>
          <w:trHeight w:hRule="exact" w:val="405"/>
        </w:trPr>
        <w:tc>
          <w:tcPr>
            <w:tcW w:w="3700" w:type="pct"/>
            <w:tcBorders>
              <w:top w:val="nil"/>
              <w:left w:val="single" w:sz="4" w:space="0" w:color="auto"/>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Toxicidade Crônica (</w:t>
            </w:r>
            <w:r w:rsidRPr="00557212">
              <w:rPr>
                <w:rFonts w:cs="Arial"/>
                <w:i/>
                <w:iCs/>
                <w:color w:val="000000"/>
                <w:szCs w:val="22"/>
              </w:rPr>
              <w:t>Ceriodaphnia dubia)*</w:t>
            </w:r>
          </w:p>
        </w:tc>
        <w:tc>
          <w:tcPr>
            <w:tcW w:w="1300" w:type="pct"/>
            <w:tcBorders>
              <w:top w:val="nil"/>
              <w:left w:val="nil"/>
              <w:bottom w:val="single" w:sz="4" w:space="0" w:color="auto"/>
              <w:right w:val="single" w:sz="4" w:space="0" w:color="auto"/>
            </w:tcBorders>
            <w:shd w:val="clear" w:color="000000" w:fill="FFFFFF"/>
            <w:vAlign w:val="center"/>
            <w:hideMark/>
          </w:tcPr>
          <w:p w:rsidR="00AF1DD3" w:rsidRPr="00557212" w:rsidRDefault="00AF1DD3" w:rsidP="001D5114">
            <w:pPr>
              <w:spacing w:line="240" w:lineRule="auto"/>
              <w:jc w:val="left"/>
              <w:rPr>
                <w:rFonts w:cs="Arial"/>
                <w:color w:val="000000"/>
                <w:szCs w:val="22"/>
              </w:rPr>
            </w:pPr>
            <w:r w:rsidRPr="00557212">
              <w:rPr>
                <w:rFonts w:cs="Arial"/>
                <w:color w:val="000000"/>
                <w:szCs w:val="22"/>
              </w:rPr>
              <w:t>%</w:t>
            </w:r>
          </w:p>
        </w:tc>
      </w:tr>
    </w:tbl>
    <w:p w:rsidR="001D5114" w:rsidRPr="001D5114" w:rsidRDefault="00AF1DD3" w:rsidP="001D5114">
      <w:pPr>
        <w:pStyle w:val="Corpodetexto"/>
        <w:tabs>
          <w:tab w:val="left" w:pos="567"/>
        </w:tabs>
        <w:rPr>
          <w:rFonts w:cs="Arial"/>
          <w:sz w:val="20"/>
        </w:rPr>
      </w:pPr>
      <w:r w:rsidRPr="001D5114">
        <w:rPr>
          <w:rFonts w:cs="Arial"/>
          <w:sz w:val="20"/>
        </w:rPr>
        <w:t>Legenda:</w:t>
      </w:r>
    </w:p>
    <w:p w:rsidR="001D5114" w:rsidRPr="001D5114" w:rsidRDefault="00AF1DD3" w:rsidP="001D5114">
      <w:pPr>
        <w:pStyle w:val="Corpodetexto"/>
        <w:tabs>
          <w:tab w:val="left" w:pos="567"/>
        </w:tabs>
        <w:ind w:left="567" w:hanging="567"/>
        <w:rPr>
          <w:rFonts w:cs="Arial"/>
          <w:sz w:val="20"/>
        </w:rPr>
      </w:pPr>
      <w:r w:rsidRPr="001D5114">
        <w:rPr>
          <w:rFonts w:cs="Arial"/>
          <w:sz w:val="20"/>
        </w:rPr>
        <w:t>#</w:t>
      </w:r>
      <w:r w:rsidR="001D5114" w:rsidRPr="001D5114">
        <w:rPr>
          <w:rFonts w:cs="Arial"/>
          <w:sz w:val="20"/>
        </w:rPr>
        <w:tab/>
      </w:r>
      <w:r w:rsidRPr="001D5114">
        <w:rPr>
          <w:rFonts w:cs="Arial"/>
          <w:sz w:val="20"/>
        </w:rPr>
        <w:t>Parâmetros a serem avaliados exclusivamente nos respectivos pontos de captação das Barragens Pedreira e Duas Pontes, na etapa de operação.</w:t>
      </w:r>
    </w:p>
    <w:p w:rsidR="001D5114" w:rsidRPr="001D5114" w:rsidRDefault="00AF1DD3" w:rsidP="001D5114">
      <w:pPr>
        <w:pStyle w:val="Corpodetexto"/>
        <w:tabs>
          <w:tab w:val="left" w:pos="567"/>
        </w:tabs>
        <w:rPr>
          <w:rFonts w:cs="Arial"/>
          <w:sz w:val="20"/>
        </w:rPr>
      </w:pPr>
      <w:r w:rsidRPr="001D5114">
        <w:rPr>
          <w:rFonts w:cs="Arial"/>
          <w:sz w:val="20"/>
        </w:rPr>
        <w:t>##</w:t>
      </w:r>
      <w:r w:rsidR="001D5114" w:rsidRPr="001D5114">
        <w:rPr>
          <w:rFonts w:cs="Arial"/>
          <w:sz w:val="20"/>
        </w:rPr>
        <w:tab/>
      </w:r>
      <w:r w:rsidRPr="001D5114">
        <w:rPr>
          <w:rFonts w:cs="Arial"/>
          <w:sz w:val="20"/>
        </w:rPr>
        <w:t>Parâmetros integrados ao Programa de Monitoramento da Biota Aquática.</w:t>
      </w:r>
    </w:p>
    <w:p w:rsidR="00AF1DD3" w:rsidRPr="001D5114" w:rsidRDefault="00AF1DD3" w:rsidP="001D5114">
      <w:pPr>
        <w:pStyle w:val="Corpodetexto"/>
        <w:tabs>
          <w:tab w:val="left" w:pos="567"/>
        </w:tabs>
        <w:rPr>
          <w:rFonts w:cs="Arial"/>
          <w:sz w:val="20"/>
        </w:rPr>
      </w:pPr>
      <w:r w:rsidRPr="001D5114">
        <w:rPr>
          <w:rFonts w:cs="Arial"/>
          <w:sz w:val="20"/>
        </w:rPr>
        <w:t>*</w:t>
      </w:r>
      <w:r w:rsidR="001D5114" w:rsidRPr="001D5114">
        <w:rPr>
          <w:rFonts w:cs="Arial"/>
          <w:sz w:val="20"/>
        </w:rPr>
        <w:tab/>
      </w:r>
      <w:r w:rsidRPr="001D5114">
        <w:rPr>
          <w:rFonts w:cs="Arial"/>
          <w:sz w:val="20"/>
        </w:rPr>
        <w:t xml:space="preserve">Parâmetro a ser avaliado apenas a cada bimestre. </w:t>
      </w:r>
    </w:p>
    <w:p w:rsidR="001D5114" w:rsidRDefault="001D5114" w:rsidP="00AF1DD3">
      <w:pPr>
        <w:pStyle w:val="Corpodetexto"/>
        <w:rPr>
          <w:rFonts w:cs="Arial"/>
          <w:szCs w:val="22"/>
        </w:rPr>
      </w:pPr>
    </w:p>
    <w:p w:rsidR="00AF1DD3" w:rsidRPr="001D5114" w:rsidRDefault="00B73D6E" w:rsidP="001D5114">
      <w:pPr>
        <w:pStyle w:val="Legenda"/>
        <w:spacing w:line="240" w:lineRule="auto"/>
        <w:jc w:val="center"/>
        <w:rPr>
          <w:rFonts w:cs="Arial"/>
          <w:b w:val="0"/>
          <w:i w:val="0"/>
          <w:szCs w:val="22"/>
        </w:rPr>
      </w:pPr>
      <w:r w:rsidRPr="001D5114">
        <w:rPr>
          <w:i w:val="0"/>
        </w:rPr>
        <w:t>Quadro 3.3.6.</w:t>
      </w:r>
      <w:r w:rsidR="00B80A05" w:rsidRPr="001D5114">
        <w:rPr>
          <w:i w:val="0"/>
        </w:rPr>
        <w:fldChar w:fldCharType="begin"/>
      </w:r>
      <w:r w:rsidR="00E155C0" w:rsidRPr="001D5114">
        <w:rPr>
          <w:i w:val="0"/>
        </w:rPr>
        <w:instrText xml:space="preserve"> SEQ Quadro_3.3.6 \* ARABIC </w:instrText>
      </w:r>
      <w:r w:rsidR="00B80A05" w:rsidRPr="001D5114">
        <w:rPr>
          <w:i w:val="0"/>
        </w:rPr>
        <w:fldChar w:fldCharType="separate"/>
      </w:r>
      <w:r w:rsidR="00316060">
        <w:rPr>
          <w:i w:val="0"/>
          <w:noProof/>
        </w:rPr>
        <w:t>9</w:t>
      </w:r>
      <w:r w:rsidR="00B80A05" w:rsidRPr="001D5114">
        <w:rPr>
          <w:i w:val="0"/>
          <w:noProof/>
        </w:rPr>
        <w:fldChar w:fldCharType="end"/>
      </w:r>
      <w:r w:rsidRPr="001D5114">
        <w:rPr>
          <w:i w:val="0"/>
        </w:rPr>
        <w:t>.</w:t>
      </w:r>
      <w:r w:rsidRPr="001D5114">
        <w:rPr>
          <w:b w:val="0"/>
          <w:i w:val="0"/>
        </w:rPr>
        <w:t xml:space="preserve"> - </w:t>
      </w:r>
      <w:r w:rsidR="00AF1DD3" w:rsidRPr="001D5114">
        <w:rPr>
          <w:rFonts w:cs="Arial"/>
          <w:b w:val="0"/>
          <w:i w:val="0"/>
          <w:szCs w:val="22"/>
        </w:rPr>
        <w:t>Parâmetros Selecionados para a Caracterização da Qualidade dos Sedimentos – Barragens Pedreira e Duas Pontes.</w:t>
      </w:r>
    </w:p>
    <w:tbl>
      <w:tblPr>
        <w:tblW w:w="5000" w:type="pct"/>
        <w:tblCellMar>
          <w:left w:w="70" w:type="dxa"/>
          <w:right w:w="70" w:type="dxa"/>
        </w:tblCellMar>
        <w:tblLook w:val="04A0" w:firstRow="1" w:lastRow="0" w:firstColumn="1" w:lastColumn="0" w:noHBand="0" w:noVBand="1"/>
      </w:tblPr>
      <w:tblGrid>
        <w:gridCol w:w="7695"/>
        <w:gridCol w:w="1800"/>
      </w:tblGrid>
      <w:tr w:rsidR="00AF1DD3" w:rsidRPr="008D1E1B" w:rsidTr="00AF1DD3">
        <w:trPr>
          <w:trHeight w:val="300"/>
          <w:tblHeader/>
        </w:trPr>
        <w:tc>
          <w:tcPr>
            <w:tcW w:w="4052"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AF1DD3" w:rsidRPr="008D1E1B" w:rsidRDefault="00AF1DD3" w:rsidP="00AF1DD3">
            <w:pPr>
              <w:spacing w:line="240" w:lineRule="auto"/>
              <w:jc w:val="center"/>
              <w:rPr>
                <w:rFonts w:cs="Arial"/>
                <w:b/>
                <w:bCs/>
                <w:color w:val="000000"/>
                <w:szCs w:val="22"/>
              </w:rPr>
            </w:pPr>
            <w:r w:rsidRPr="008D1E1B">
              <w:rPr>
                <w:rFonts w:cs="Arial"/>
                <w:b/>
                <w:bCs/>
                <w:color w:val="000000"/>
                <w:szCs w:val="22"/>
              </w:rPr>
              <w:t>Parâmetros</w:t>
            </w:r>
          </w:p>
        </w:tc>
        <w:tc>
          <w:tcPr>
            <w:tcW w:w="948"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AF1DD3" w:rsidRPr="008D1E1B" w:rsidRDefault="00AF1DD3" w:rsidP="00AF1DD3">
            <w:pPr>
              <w:spacing w:line="240" w:lineRule="auto"/>
              <w:jc w:val="center"/>
              <w:rPr>
                <w:rFonts w:cs="Arial"/>
                <w:b/>
                <w:bCs/>
                <w:color w:val="000000"/>
                <w:szCs w:val="22"/>
              </w:rPr>
            </w:pPr>
            <w:r w:rsidRPr="008D1E1B">
              <w:rPr>
                <w:rFonts w:cs="Arial"/>
                <w:b/>
                <w:bCs/>
                <w:color w:val="000000"/>
                <w:szCs w:val="22"/>
              </w:rPr>
              <w:t>Unidades</w:t>
            </w:r>
          </w:p>
        </w:tc>
      </w:tr>
      <w:tr w:rsidR="00AF1DD3" w:rsidRPr="008D1E1B" w:rsidTr="00AF1DD3">
        <w:trPr>
          <w:trHeight w:val="315"/>
        </w:trPr>
        <w:tc>
          <w:tcPr>
            <w:tcW w:w="4052" w:type="pct"/>
            <w:vMerge/>
            <w:tcBorders>
              <w:top w:val="single" w:sz="8" w:space="0" w:color="auto"/>
              <w:left w:val="single" w:sz="8" w:space="0" w:color="auto"/>
              <w:bottom w:val="single" w:sz="8" w:space="0" w:color="000000"/>
              <w:right w:val="single" w:sz="8" w:space="0" w:color="auto"/>
            </w:tcBorders>
            <w:vAlign w:val="center"/>
            <w:hideMark/>
          </w:tcPr>
          <w:p w:rsidR="00AF1DD3" w:rsidRPr="008D1E1B" w:rsidRDefault="00AF1DD3" w:rsidP="00AF1DD3">
            <w:pPr>
              <w:spacing w:line="240" w:lineRule="auto"/>
              <w:jc w:val="left"/>
              <w:rPr>
                <w:rFonts w:cs="Arial"/>
                <w:b/>
                <w:bCs/>
                <w:color w:val="000000"/>
                <w:szCs w:val="22"/>
              </w:rPr>
            </w:pPr>
          </w:p>
        </w:tc>
        <w:tc>
          <w:tcPr>
            <w:tcW w:w="948" w:type="pct"/>
            <w:vMerge/>
            <w:tcBorders>
              <w:top w:val="single" w:sz="8" w:space="0" w:color="auto"/>
              <w:left w:val="single" w:sz="8" w:space="0" w:color="auto"/>
              <w:bottom w:val="single" w:sz="8" w:space="0" w:color="000000"/>
              <w:right w:val="single" w:sz="8" w:space="0" w:color="auto"/>
            </w:tcBorders>
            <w:vAlign w:val="center"/>
            <w:hideMark/>
          </w:tcPr>
          <w:p w:rsidR="00AF1DD3" w:rsidRPr="008D1E1B" w:rsidRDefault="00AF1DD3" w:rsidP="00AF1DD3">
            <w:pPr>
              <w:spacing w:line="240" w:lineRule="auto"/>
              <w:jc w:val="left"/>
              <w:rPr>
                <w:rFonts w:cs="Arial"/>
                <w:b/>
                <w:bCs/>
                <w:color w:val="000000"/>
                <w:szCs w:val="22"/>
              </w:rPr>
            </w:pP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hideMark/>
          </w:tcPr>
          <w:p w:rsidR="00AF1DD3" w:rsidRPr="00557212" w:rsidRDefault="00AF1DD3" w:rsidP="00AF1DD3">
            <w:pPr>
              <w:spacing w:line="240" w:lineRule="auto"/>
              <w:jc w:val="left"/>
              <w:rPr>
                <w:rFonts w:cs="Arial"/>
                <w:b/>
                <w:color w:val="000000"/>
                <w:szCs w:val="22"/>
              </w:rPr>
            </w:pPr>
            <w:r w:rsidRPr="00557212">
              <w:rPr>
                <w:rFonts w:cs="Arial"/>
                <w:b/>
                <w:color w:val="000000"/>
                <w:szCs w:val="22"/>
              </w:rPr>
              <w:t>Granulometria</w:t>
            </w:r>
          </w:p>
        </w:tc>
        <w:tc>
          <w:tcPr>
            <w:tcW w:w="948" w:type="pct"/>
            <w:tcBorders>
              <w:top w:val="nil"/>
              <w:left w:val="nil"/>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center"/>
              <w:rPr>
                <w:rFonts w:cs="Arial"/>
                <w:color w:val="000000"/>
                <w:szCs w:val="22"/>
              </w:rPr>
            </w:pPr>
            <w:r w:rsidRPr="008D1E1B">
              <w:rPr>
                <w:rFonts w:cs="Arial"/>
                <w:color w:val="000000"/>
                <w:szCs w:val="22"/>
              </w:rPr>
              <w:t>g/kg</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tcPr>
          <w:p w:rsidR="00AF1DD3" w:rsidRPr="00557212" w:rsidRDefault="00AF1DD3" w:rsidP="00AF1DD3">
            <w:pPr>
              <w:spacing w:line="240" w:lineRule="auto"/>
              <w:jc w:val="left"/>
              <w:rPr>
                <w:rFonts w:cs="Arial"/>
                <w:b/>
                <w:color w:val="000000"/>
                <w:szCs w:val="22"/>
              </w:rPr>
            </w:pPr>
            <w:r>
              <w:rPr>
                <w:rFonts w:cs="Arial"/>
                <w:b/>
                <w:color w:val="000000"/>
                <w:szCs w:val="22"/>
              </w:rPr>
              <w:t>COT e Nutrientes</w:t>
            </w:r>
          </w:p>
        </w:tc>
        <w:tc>
          <w:tcPr>
            <w:tcW w:w="948" w:type="pct"/>
            <w:tcBorders>
              <w:top w:val="nil"/>
              <w:left w:val="nil"/>
              <w:bottom w:val="single" w:sz="8" w:space="0" w:color="auto"/>
              <w:right w:val="single" w:sz="8" w:space="0" w:color="auto"/>
            </w:tcBorders>
            <w:shd w:val="clear" w:color="auto" w:fill="auto"/>
            <w:noWrap/>
            <w:vAlign w:val="center"/>
          </w:tcPr>
          <w:p w:rsidR="00AF1DD3" w:rsidRPr="008D1E1B" w:rsidRDefault="00AF1DD3" w:rsidP="00AF1DD3">
            <w:pPr>
              <w:spacing w:line="240" w:lineRule="auto"/>
              <w:jc w:val="center"/>
              <w:rPr>
                <w:rFonts w:cs="Arial"/>
                <w:color w:val="000000"/>
                <w:szCs w:val="22"/>
              </w:rPr>
            </w:pP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left"/>
              <w:rPr>
                <w:rFonts w:cs="Arial"/>
                <w:color w:val="000000"/>
                <w:szCs w:val="22"/>
              </w:rPr>
            </w:pPr>
            <w:r w:rsidRPr="008D1E1B">
              <w:rPr>
                <w:rFonts w:cs="Arial"/>
                <w:color w:val="000000"/>
                <w:szCs w:val="22"/>
              </w:rPr>
              <w:t>Carbono Orgânico Total</w:t>
            </w:r>
          </w:p>
        </w:tc>
        <w:tc>
          <w:tcPr>
            <w:tcW w:w="948" w:type="pct"/>
            <w:tcBorders>
              <w:top w:val="nil"/>
              <w:left w:val="nil"/>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center"/>
              <w:rPr>
                <w:rFonts w:cs="Arial"/>
                <w:color w:val="000000"/>
                <w:szCs w:val="22"/>
              </w:rPr>
            </w:pPr>
            <w:r w:rsidRPr="008D1E1B">
              <w:rPr>
                <w:rFonts w:cs="Arial"/>
                <w:color w:val="000000"/>
                <w:szCs w:val="22"/>
              </w:rPr>
              <w:t>%</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left"/>
              <w:rPr>
                <w:rFonts w:cs="Arial"/>
                <w:color w:val="000000"/>
                <w:szCs w:val="22"/>
              </w:rPr>
            </w:pPr>
            <w:r w:rsidRPr="008D1E1B">
              <w:rPr>
                <w:rFonts w:cs="Arial"/>
                <w:color w:val="000000"/>
                <w:szCs w:val="22"/>
              </w:rPr>
              <w:t>Fósforo Total</w:t>
            </w:r>
          </w:p>
        </w:tc>
        <w:tc>
          <w:tcPr>
            <w:tcW w:w="948" w:type="pct"/>
            <w:tcBorders>
              <w:top w:val="nil"/>
              <w:left w:val="nil"/>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center"/>
              <w:rPr>
                <w:rFonts w:cs="Arial"/>
                <w:color w:val="000000"/>
                <w:szCs w:val="22"/>
              </w:rPr>
            </w:pPr>
            <w:r w:rsidRPr="008D1E1B">
              <w:rPr>
                <w:rFonts w:cs="Arial"/>
                <w:color w:val="000000"/>
                <w:szCs w:val="22"/>
              </w:rPr>
              <w:t>mg/kg</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left"/>
              <w:rPr>
                <w:rFonts w:cs="Arial"/>
                <w:color w:val="000000"/>
                <w:szCs w:val="22"/>
              </w:rPr>
            </w:pPr>
            <w:r w:rsidRPr="008D1E1B">
              <w:rPr>
                <w:rFonts w:cs="Arial"/>
                <w:color w:val="000000"/>
                <w:szCs w:val="22"/>
              </w:rPr>
              <w:t>Nitrogênio Kjeldahl Total</w:t>
            </w:r>
          </w:p>
        </w:tc>
        <w:tc>
          <w:tcPr>
            <w:tcW w:w="948" w:type="pct"/>
            <w:tcBorders>
              <w:top w:val="nil"/>
              <w:left w:val="nil"/>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center"/>
              <w:rPr>
                <w:rFonts w:cs="Arial"/>
                <w:color w:val="000000"/>
                <w:szCs w:val="22"/>
              </w:rPr>
            </w:pPr>
            <w:r w:rsidRPr="008D1E1B">
              <w:rPr>
                <w:rFonts w:cs="Arial"/>
                <w:color w:val="000000"/>
                <w:szCs w:val="22"/>
              </w:rPr>
              <w:t>mg/kg</w:t>
            </w:r>
          </w:p>
        </w:tc>
      </w:tr>
      <w:tr w:rsidR="00AF1DD3" w:rsidRPr="008D1E1B" w:rsidTr="00AF1DD3">
        <w:trPr>
          <w:trHeight w:val="315"/>
        </w:trPr>
        <w:tc>
          <w:tcPr>
            <w:tcW w:w="5000" w:type="pct"/>
            <w:gridSpan w:val="2"/>
            <w:tcBorders>
              <w:top w:val="nil"/>
              <w:left w:val="single" w:sz="8" w:space="0" w:color="auto"/>
              <w:bottom w:val="single" w:sz="8" w:space="0" w:color="auto"/>
              <w:right w:val="single" w:sz="8" w:space="0" w:color="auto"/>
            </w:tcBorders>
            <w:shd w:val="clear" w:color="auto" w:fill="auto"/>
            <w:noWrap/>
            <w:vAlign w:val="center"/>
          </w:tcPr>
          <w:p w:rsidR="00AF1DD3" w:rsidRPr="008D1E1B" w:rsidRDefault="00AF1DD3" w:rsidP="00AF1DD3">
            <w:pPr>
              <w:spacing w:line="240" w:lineRule="auto"/>
              <w:jc w:val="left"/>
              <w:rPr>
                <w:rFonts w:cs="Arial"/>
                <w:color w:val="000000"/>
                <w:szCs w:val="22"/>
              </w:rPr>
            </w:pPr>
            <w:r>
              <w:rPr>
                <w:rFonts w:cs="Arial"/>
                <w:b/>
                <w:color w:val="000000"/>
                <w:szCs w:val="22"/>
              </w:rPr>
              <w:t>Metais e Semimetais</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left"/>
              <w:rPr>
                <w:rFonts w:cs="Arial"/>
                <w:color w:val="000000"/>
                <w:szCs w:val="22"/>
              </w:rPr>
            </w:pPr>
            <w:r w:rsidRPr="008D1E1B">
              <w:rPr>
                <w:rFonts w:cs="Arial"/>
                <w:color w:val="000000"/>
                <w:szCs w:val="22"/>
              </w:rPr>
              <w:t>Arsênio</w:t>
            </w:r>
          </w:p>
        </w:tc>
        <w:tc>
          <w:tcPr>
            <w:tcW w:w="948" w:type="pct"/>
            <w:tcBorders>
              <w:top w:val="nil"/>
              <w:left w:val="nil"/>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center"/>
              <w:rPr>
                <w:rFonts w:cs="Arial"/>
                <w:color w:val="000000"/>
                <w:szCs w:val="22"/>
              </w:rPr>
            </w:pPr>
            <w:r w:rsidRPr="008D1E1B">
              <w:rPr>
                <w:rFonts w:cs="Arial"/>
                <w:color w:val="000000"/>
                <w:szCs w:val="22"/>
              </w:rPr>
              <w:t>mg/kg</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left"/>
              <w:rPr>
                <w:rFonts w:cs="Arial"/>
                <w:color w:val="000000"/>
                <w:szCs w:val="22"/>
              </w:rPr>
            </w:pPr>
            <w:r w:rsidRPr="008D1E1B">
              <w:rPr>
                <w:rFonts w:cs="Arial"/>
                <w:color w:val="000000"/>
                <w:szCs w:val="22"/>
              </w:rPr>
              <w:t>Cádmio</w:t>
            </w:r>
          </w:p>
        </w:tc>
        <w:tc>
          <w:tcPr>
            <w:tcW w:w="948" w:type="pct"/>
            <w:tcBorders>
              <w:top w:val="nil"/>
              <w:left w:val="nil"/>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center"/>
              <w:rPr>
                <w:rFonts w:cs="Arial"/>
                <w:color w:val="000000"/>
                <w:szCs w:val="22"/>
              </w:rPr>
            </w:pPr>
            <w:r w:rsidRPr="008D1E1B">
              <w:rPr>
                <w:rFonts w:cs="Arial"/>
                <w:color w:val="000000"/>
                <w:szCs w:val="22"/>
              </w:rPr>
              <w:t>mg/kg</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left"/>
              <w:rPr>
                <w:rFonts w:cs="Arial"/>
                <w:color w:val="000000"/>
                <w:szCs w:val="22"/>
              </w:rPr>
            </w:pPr>
            <w:r w:rsidRPr="008D1E1B">
              <w:rPr>
                <w:rFonts w:cs="Arial"/>
                <w:color w:val="000000"/>
                <w:szCs w:val="22"/>
              </w:rPr>
              <w:t>Chumbo</w:t>
            </w:r>
          </w:p>
        </w:tc>
        <w:tc>
          <w:tcPr>
            <w:tcW w:w="948" w:type="pct"/>
            <w:tcBorders>
              <w:top w:val="nil"/>
              <w:left w:val="nil"/>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center"/>
              <w:rPr>
                <w:rFonts w:cs="Arial"/>
                <w:color w:val="000000"/>
                <w:szCs w:val="22"/>
              </w:rPr>
            </w:pPr>
            <w:r w:rsidRPr="008D1E1B">
              <w:rPr>
                <w:rFonts w:cs="Arial"/>
                <w:color w:val="000000"/>
                <w:szCs w:val="22"/>
              </w:rPr>
              <w:t>mg/kg</w:t>
            </w:r>
          </w:p>
        </w:tc>
      </w:tr>
      <w:tr w:rsidR="00AF1DD3" w:rsidRPr="008D1E1B" w:rsidTr="00AF1DD3">
        <w:trPr>
          <w:trHeight w:val="495"/>
        </w:trPr>
        <w:tc>
          <w:tcPr>
            <w:tcW w:w="4052" w:type="pct"/>
            <w:tcBorders>
              <w:top w:val="nil"/>
              <w:left w:val="single" w:sz="8" w:space="0" w:color="auto"/>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left"/>
              <w:rPr>
                <w:rFonts w:cs="Arial"/>
                <w:color w:val="000000"/>
                <w:szCs w:val="22"/>
              </w:rPr>
            </w:pPr>
            <w:r w:rsidRPr="008D1E1B">
              <w:rPr>
                <w:rFonts w:cs="Arial"/>
                <w:color w:val="000000"/>
                <w:szCs w:val="22"/>
              </w:rPr>
              <w:t>Cobre</w:t>
            </w:r>
          </w:p>
        </w:tc>
        <w:tc>
          <w:tcPr>
            <w:tcW w:w="948" w:type="pct"/>
            <w:tcBorders>
              <w:top w:val="nil"/>
              <w:left w:val="nil"/>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center"/>
              <w:rPr>
                <w:rFonts w:cs="Arial"/>
                <w:color w:val="000000"/>
                <w:szCs w:val="22"/>
              </w:rPr>
            </w:pPr>
            <w:r w:rsidRPr="008D1E1B">
              <w:rPr>
                <w:rFonts w:cs="Arial"/>
                <w:color w:val="000000"/>
                <w:szCs w:val="22"/>
              </w:rPr>
              <w:t>mg/kg</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left"/>
              <w:rPr>
                <w:rFonts w:cs="Arial"/>
                <w:color w:val="000000"/>
                <w:szCs w:val="22"/>
              </w:rPr>
            </w:pPr>
            <w:r w:rsidRPr="008D1E1B">
              <w:rPr>
                <w:rFonts w:cs="Arial"/>
                <w:color w:val="000000"/>
                <w:szCs w:val="22"/>
              </w:rPr>
              <w:t>Cromo</w:t>
            </w:r>
          </w:p>
        </w:tc>
        <w:tc>
          <w:tcPr>
            <w:tcW w:w="948" w:type="pct"/>
            <w:tcBorders>
              <w:top w:val="nil"/>
              <w:left w:val="nil"/>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center"/>
              <w:rPr>
                <w:rFonts w:cs="Arial"/>
                <w:color w:val="000000"/>
                <w:szCs w:val="22"/>
              </w:rPr>
            </w:pPr>
            <w:r w:rsidRPr="008D1E1B">
              <w:rPr>
                <w:rFonts w:cs="Arial"/>
                <w:color w:val="000000"/>
                <w:szCs w:val="22"/>
              </w:rPr>
              <w:t>mg/kg</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left"/>
              <w:rPr>
                <w:rFonts w:cs="Arial"/>
                <w:color w:val="000000"/>
                <w:szCs w:val="22"/>
              </w:rPr>
            </w:pPr>
            <w:r w:rsidRPr="008D1E1B">
              <w:rPr>
                <w:rFonts w:cs="Arial"/>
                <w:color w:val="000000"/>
                <w:szCs w:val="22"/>
              </w:rPr>
              <w:t>Mercúrio</w:t>
            </w:r>
          </w:p>
        </w:tc>
        <w:tc>
          <w:tcPr>
            <w:tcW w:w="948" w:type="pct"/>
            <w:tcBorders>
              <w:top w:val="nil"/>
              <w:left w:val="nil"/>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center"/>
              <w:rPr>
                <w:rFonts w:cs="Arial"/>
                <w:color w:val="000000"/>
                <w:szCs w:val="22"/>
              </w:rPr>
            </w:pPr>
            <w:r w:rsidRPr="008D1E1B">
              <w:rPr>
                <w:rFonts w:cs="Arial"/>
                <w:color w:val="000000"/>
                <w:szCs w:val="22"/>
              </w:rPr>
              <w:t>mg/kg</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left"/>
              <w:rPr>
                <w:rFonts w:cs="Arial"/>
                <w:color w:val="000000"/>
                <w:szCs w:val="22"/>
              </w:rPr>
            </w:pPr>
            <w:r w:rsidRPr="008D1E1B">
              <w:rPr>
                <w:rFonts w:cs="Arial"/>
                <w:color w:val="000000"/>
                <w:szCs w:val="22"/>
              </w:rPr>
              <w:t>Níquel</w:t>
            </w:r>
          </w:p>
        </w:tc>
        <w:tc>
          <w:tcPr>
            <w:tcW w:w="948" w:type="pct"/>
            <w:tcBorders>
              <w:top w:val="nil"/>
              <w:left w:val="nil"/>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center"/>
              <w:rPr>
                <w:rFonts w:cs="Arial"/>
                <w:color w:val="000000"/>
                <w:szCs w:val="22"/>
              </w:rPr>
            </w:pPr>
            <w:r w:rsidRPr="008D1E1B">
              <w:rPr>
                <w:rFonts w:cs="Arial"/>
                <w:color w:val="000000"/>
                <w:szCs w:val="22"/>
              </w:rPr>
              <w:t>mg/kg</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left"/>
              <w:rPr>
                <w:rFonts w:cs="Arial"/>
                <w:color w:val="000000"/>
                <w:szCs w:val="22"/>
              </w:rPr>
            </w:pPr>
            <w:r w:rsidRPr="008D1E1B">
              <w:rPr>
                <w:rFonts w:cs="Arial"/>
                <w:color w:val="000000"/>
                <w:szCs w:val="22"/>
              </w:rPr>
              <w:t>Zinco</w:t>
            </w:r>
          </w:p>
        </w:tc>
        <w:tc>
          <w:tcPr>
            <w:tcW w:w="948" w:type="pct"/>
            <w:tcBorders>
              <w:top w:val="nil"/>
              <w:left w:val="nil"/>
              <w:bottom w:val="single" w:sz="8" w:space="0" w:color="auto"/>
              <w:right w:val="single" w:sz="8" w:space="0" w:color="auto"/>
            </w:tcBorders>
            <w:shd w:val="clear" w:color="auto" w:fill="auto"/>
            <w:noWrap/>
            <w:vAlign w:val="center"/>
            <w:hideMark/>
          </w:tcPr>
          <w:p w:rsidR="00AF1DD3" w:rsidRPr="008D1E1B" w:rsidRDefault="00AF1DD3" w:rsidP="00AF1DD3">
            <w:pPr>
              <w:spacing w:line="240" w:lineRule="auto"/>
              <w:jc w:val="center"/>
              <w:rPr>
                <w:rFonts w:cs="Arial"/>
                <w:color w:val="000000"/>
                <w:szCs w:val="22"/>
              </w:rPr>
            </w:pPr>
            <w:r w:rsidRPr="008D1E1B">
              <w:rPr>
                <w:rFonts w:cs="Arial"/>
                <w:color w:val="000000"/>
                <w:szCs w:val="22"/>
              </w:rPr>
              <w:t>mg/kg</w:t>
            </w:r>
          </w:p>
        </w:tc>
      </w:tr>
      <w:tr w:rsidR="00AF1DD3" w:rsidRPr="008D1E1B" w:rsidTr="00AF1DD3">
        <w:trPr>
          <w:trHeight w:val="315"/>
        </w:trPr>
        <w:tc>
          <w:tcPr>
            <w:tcW w:w="5000" w:type="pct"/>
            <w:gridSpan w:val="2"/>
            <w:tcBorders>
              <w:top w:val="nil"/>
              <w:left w:val="single" w:sz="8" w:space="0" w:color="auto"/>
              <w:bottom w:val="single" w:sz="8" w:space="0" w:color="auto"/>
              <w:right w:val="single" w:sz="8" w:space="0" w:color="auto"/>
            </w:tcBorders>
            <w:shd w:val="clear" w:color="auto" w:fill="auto"/>
            <w:noWrap/>
            <w:vAlign w:val="center"/>
          </w:tcPr>
          <w:p w:rsidR="00AF1DD3" w:rsidRPr="008D1E1B" w:rsidRDefault="00AF1DD3" w:rsidP="00AF1DD3">
            <w:pPr>
              <w:spacing w:line="240" w:lineRule="auto"/>
              <w:jc w:val="left"/>
              <w:rPr>
                <w:rFonts w:cs="Arial"/>
                <w:color w:val="000000"/>
                <w:szCs w:val="22"/>
              </w:rPr>
            </w:pPr>
            <w:r w:rsidRPr="008D1E1B">
              <w:rPr>
                <w:rFonts w:cs="Arial"/>
                <w:b/>
                <w:bCs/>
                <w:color w:val="000000"/>
                <w:szCs w:val="22"/>
              </w:rPr>
              <w:t>Compostos Orgânicos</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tcPr>
          <w:p w:rsidR="00AF1DD3" w:rsidRPr="00F4348D" w:rsidRDefault="00AF1DD3" w:rsidP="00AF1DD3">
            <w:pPr>
              <w:spacing w:line="240" w:lineRule="auto"/>
              <w:jc w:val="left"/>
              <w:rPr>
                <w:rFonts w:cs="Arial"/>
                <w:bCs/>
                <w:color w:val="000000"/>
                <w:szCs w:val="22"/>
              </w:rPr>
            </w:pPr>
            <w:r w:rsidRPr="00F4348D">
              <w:rPr>
                <w:rFonts w:cs="Arial"/>
                <w:bCs/>
                <w:color w:val="000000"/>
                <w:szCs w:val="22"/>
              </w:rPr>
              <w:t>Pesticidas Organoclorados</w:t>
            </w:r>
            <w:r>
              <w:rPr>
                <w:rFonts w:cs="Arial"/>
                <w:bCs/>
                <w:color w:val="000000"/>
                <w:szCs w:val="22"/>
              </w:rPr>
              <w:t>*</w:t>
            </w:r>
          </w:p>
        </w:tc>
        <w:tc>
          <w:tcPr>
            <w:tcW w:w="948" w:type="pct"/>
            <w:tcBorders>
              <w:top w:val="nil"/>
              <w:left w:val="nil"/>
              <w:bottom w:val="single" w:sz="8" w:space="0" w:color="auto"/>
              <w:right w:val="single" w:sz="8" w:space="0" w:color="auto"/>
            </w:tcBorders>
            <w:shd w:val="clear" w:color="auto" w:fill="auto"/>
            <w:noWrap/>
            <w:vAlign w:val="center"/>
          </w:tcPr>
          <w:p w:rsidR="00AF1DD3" w:rsidRPr="00F4348D" w:rsidRDefault="00AF1DD3" w:rsidP="00AF1DD3">
            <w:pPr>
              <w:spacing w:line="240" w:lineRule="auto"/>
              <w:jc w:val="center"/>
              <w:rPr>
                <w:rFonts w:cs="Arial"/>
                <w:color w:val="000000"/>
                <w:szCs w:val="22"/>
              </w:rPr>
            </w:pPr>
            <w:r w:rsidRPr="00F4348D">
              <w:rPr>
                <w:rFonts w:cs="Arial"/>
                <w:color w:val="000000"/>
                <w:szCs w:val="22"/>
              </w:rPr>
              <w:t>µg/kg</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tcPr>
          <w:p w:rsidR="00AF1DD3" w:rsidRPr="00F4348D" w:rsidRDefault="00AF1DD3" w:rsidP="00AF1DD3">
            <w:pPr>
              <w:spacing w:line="240" w:lineRule="auto"/>
              <w:jc w:val="left"/>
              <w:rPr>
                <w:rFonts w:cs="Arial"/>
                <w:bCs/>
                <w:color w:val="000000"/>
                <w:szCs w:val="22"/>
              </w:rPr>
            </w:pPr>
            <w:r w:rsidRPr="00F4348D">
              <w:rPr>
                <w:rFonts w:cs="Arial"/>
                <w:bCs/>
                <w:color w:val="000000"/>
                <w:szCs w:val="22"/>
              </w:rPr>
              <w:t>Hidrocarbonetos Policíclicos Aromáticos (PAHs)</w:t>
            </w:r>
            <w:r>
              <w:rPr>
                <w:rFonts w:cs="Arial"/>
                <w:bCs/>
                <w:color w:val="000000"/>
                <w:szCs w:val="22"/>
              </w:rPr>
              <w:t>*</w:t>
            </w:r>
          </w:p>
        </w:tc>
        <w:tc>
          <w:tcPr>
            <w:tcW w:w="948" w:type="pct"/>
            <w:tcBorders>
              <w:top w:val="nil"/>
              <w:left w:val="nil"/>
              <w:bottom w:val="single" w:sz="8" w:space="0" w:color="auto"/>
              <w:right w:val="single" w:sz="8" w:space="0" w:color="auto"/>
            </w:tcBorders>
            <w:shd w:val="clear" w:color="auto" w:fill="auto"/>
            <w:noWrap/>
            <w:vAlign w:val="center"/>
          </w:tcPr>
          <w:p w:rsidR="00AF1DD3" w:rsidRPr="00F4348D" w:rsidRDefault="00AF1DD3" w:rsidP="00AF1DD3">
            <w:pPr>
              <w:spacing w:line="240" w:lineRule="auto"/>
              <w:jc w:val="center"/>
              <w:rPr>
                <w:rFonts w:cs="Arial"/>
                <w:color w:val="000000"/>
                <w:szCs w:val="22"/>
              </w:rPr>
            </w:pPr>
            <w:r w:rsidRPr="00F4348D">
              <w:rPr>
                <w:rFonts w:cs="Arial"/>
                <w:color w:val="000000"/>
                <w:szCs w:val="22"/>
              </w:rPr>
              <w:t>µg/kg</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tcPr>
          <w:p w:rsidR="00AF1DD3" w:rsidRPr="00F4348D" w:rsidRDefault="00AF1DD3" w:rsidP="00AF1DD3">
            <w:pPr>
              <w:spacing w:line="240" w:lineRule="auto"/>
              <w:jc w:val="left"/>
              <w:rPr>
                <w:rFonts w:cs="Arial"/>
                <w:bCs/>
                <w:color w:val="000000"/>
                <w:szCs w:val="22"/>
              </w:rPr>
            </w:pPr>
            <w:r w:rsidRPr="00F4348D">
              <w:rPr>
                <w:rFonts w:cs="Arial"/>
                <w:bCs/>
                <w:color w:val="000000"/>
                <w:szCs w:val="22"/>
              </w:rPr>
              <w:t xml:space="preserve">PCB's </w:t>
            </w:r>
            <w:r>
              <w:rPr>
                <w:rFonts w:cs="Arial"/>
                <w:bCs/>
                <w:color w:val="000000"/>
                <w:szCs w:val="22"/>
              </w:rPr>
              <w:t>*</w:t>
            </w:r>
          </w:p>
        </w:tc>
        <w:tc>
          <w:tcPr>
            <w:tcW w:w="948" w:type="pct"/>
            <w:tcBorders>
              <w:top w:val="nil"/>
              <w:left w:val="nil"/>
              <w:bottom w:val="single" w:sz="8" w:space="0" w:color="auto"/>
              <w:right w:val="single" w:sz="8" w:space="0" w:color="auto"/>
            </w:tcBorders>
            <w:shd w:val="clear" w:color="auto" w:fill="auto"/>
            <w:noWrap/>
            <w:vAlign w:val="center"/>
          </w:tcPr>
          <w:p w:rsidR="00AF1DD3" w:rsidRPr="00F4348D" w:rsidRDefault="00AF1DD3" w:rsidP="00AF1DD3">
            <w:pPr>
              <w:spacing w:line="240" w:lineRule="auto"/>
              <w:jc w:val="center"/>
              <w:rPr>
                <w:rFonts w:cs="Arial"/>
                <w:color w:val="000000"/>
                <w:szCs w:val="22"/>
              </w:rPr>
            </w:pPr>
            <w:r w:rsidRPr="00F4348D">
              <w:rPr>
                <w:rFonts w:cs="Arial"/>
                <w:color w:val="000000"/>
                <w:szCs w:val="22"/>
              </w:rPr>
              <w:t>µg/kg</w:t>
            </w:r>
          </w:p>
        </w:tc>
      </w:tr>
      <w:tr w:rsidR="00AF1DD3" w:rsidRPr="008D1E1B" w:rsidTr="00AF1DD3">
        <w:trPr>
          <w:trHeight w:val="315"/>
        </w:trPr>
        <w:tc>
          <w:tcPr>
            <w:tcW w:w="5000" w:type="pct"/>
            <w:gridSpan w:val="2"/>
            <w:tcBorders>
              <w:top w:val="nil"/>
              <w:left w:val="single" w:sz="8" w:space="0" w:color="auto"/>
              <w:bottom w:val="single" w:sz="8" w:space="0" w:color="auto"/>
              <w:right w:val="single" w:sz="8" w:space="0" w:color="auto"/>
            </w:tcBorders>
            <w:shd w:val="clear" w:color="auto" w:fill="auto"/>
            <w:noWrap/>
            <w:vAlign w:val="center"/>
          </w:tcPr>
          <w:p w:rsidR="00AF1DD3" w:rsidRPr="00F4348D" w:rsidRDefault="00AF1DD3" w:rsidP="00AF1DD3">
            <w:pPr>
              <w:spacing w:line="240" w:lineRule="auto"/>
              <w:jc w:val="left"/>
              <w:rPr>
                <w:rFonts w:cs="Arial"/>
                <w:color w:val="000000"/>
                <w:szCs w:val="22"/>
              </w:rPr>
            </w:pPr>
            <w:r w:rsidRPr="00557212">
              <w:rPr>
                <w:rFonts w:cs="Arial"/>
                <w:b/>
                <w:color w:val="000000"/>
                <w:szCs w:val="22"/>
              </w:rPr>
              <w:t>Ecotoxicológico</w:t>
            </w:r>
          </w:p>
        </w:tc>
      </w:tr>
      <w:tr w:rsidR="00AF1DD3" w:rsidRPr="008D1E1B" w:rsidTr="00AF1DD3">
        <w:trPr>
          <w:trHeight w:val="315"/>
        </w:trPr>
        <w:tc>
          <w:tcPr>
            <w:tcW w:w="4052" w:type="pct"/>
            <w:tcBorders>
              <w:top w:val="nil"/>
              <w:left w:val="single" w:sz="8" w:space="0" w:color="auto"/>
              <w:bottom w:val="single" w:sz="8" w:space="0" w:color="auto"/>
              <w:right w:val="single" w:sz="8" w:space="0" w:color="auto"/>
            </w:tcBorders>
            <w:shd w:val="clear" w:color="auto" w:fill="auto"/>
            <w:noWrap/>
            <w:vAlign w:val="center"/>
          </w:tcPr>
          <w:p w:rsidR="00AF1DD3" w:rsidRPr="008D1E1B" w:rsidRDefault="00AF1DD3" w:rsidP="00AF1DD3">
            <w:pPr>
              <w:spacing w:line="240" w:lineRule="auto"/>
              <w:jc w:val="left"/>
              <w:rPr>
                <w:rFonts w:cs="Arial"/>
                <w:b/>
                <w:bCs/>
                <w:color w:val="000000"/>
                <w:szCs w:val="22"/>
              </w:rPr>
            </w:pPr>
            <w:r w:rsidRPr="008D1E1B">
              <w:rPr>
                <w:rFonts w:cs="Arial"/>
                <w:color w:val="000000"/>
                <w:szCs w:val="22"/>
              </w:rPr>
              <w:t xml:space="preserve">Toxicidade com </w:t>
            </w:r>
            <w:r w:rsidRPr="008D1E1B">
              <w:rPr>
                <w:rFonts w:cs="Arial"/>
                <w:i/>
                <w:iCs/>
                <w:color w:val="000000"/>
                <w:szCs w:val="22"/>
              </w:rPr>
              <w:t>Hyalella azteca</w:t>
            </w:r>
            <w:r>
              <w:rPr>
                <w:rFonts w:cs="Arial"/>
                <w:i/>
                <w:iCs/>
                <w:color w:val="000000"/>
                <w:szCs w:val="22"/>
              </w:rPr>
              <w:t>*</w:t>
            </w:r>
          </w:p>
        </w:tc>
        <w:tc>
          <w:tcPr>
            <w:tcW w:w="948" w:type="pct"/>
            <w:tcBorders>
              <w:top w:val="nil"/>
              <w:left w:val="nil"/>
              <w:bottom w:val="single" w:sz="8" w:space="0" w:color="auto"/>
              <w:right w:val="single" w:sz="8" w:space="0" w:color="auto"/>
            </w:tcBorders>
            <w:shd w:val="clear" w:color="auto" w:fill="auto"/>
            <w:noWrap/>
            <w:vAlign w:val="center"/>
          </w:tcPr>
          <w:p w:rsidR="00AF1DD3" w:rsidRPr="008D1E1B" w:rsidRDefault="00AF1DD3" w:rsidP="00AF1DD3">
            <w:pPr>
              <w:spacing w:line="240" w:lineRule="auto"/>
              <w:jc w:val="center"/>
              <w:rPr>
                <w:rFonts w:cs="Arial"/>
                <w:color w:val="000000"/>
                <w:szCs w:val="22"/>
              </w:rPr>
            </w:pPr>
          </w:p>
        </w:tc>
      </w:tr>
    </w:tbl>
    <w:p w:rsidR="001D5114" w:rsidRDefault="00AF1DD3" w:rsidP="00AF1DD3">
      <w:pPr>
        <w:pStyle w:val="Corpodetexto"/>
        <w:rPr>
          <w:rFonts w:cs="Arial"/>
          <w:sz w:val="20"/>
        </w:rPr>
      </w:pPr>
      <w:r w:rsidRPr="001D5114">
        <w:rPr>
          <w:rFonts w:cs="Arial"/>
          <w:sz w:val="20"/>
        </w:rPr>
        <w:t>Legenda:</w:t>
      </w:r>
    </w:p>
    <w:p w:rsidR="00AF1DD3" w:rsidRPr="001D5114" w:rsidRDefault="00AF1DD3" w:rsidP="001D5114">
      <w:pPr>
        <w:pStyle w:val="Corpodetexto"/>
        <w:tabs>
          <w:tab w:val="left" w:pos="284"/>
        </w:tabs>
        <w:rPr>
          <w:rFonts w:cs="Arial"/>
          <w:sz w:val="20"/>
        </w:rPr>
      </w:pPr>
      <w:r w:rsidRPr="001D5114">
        <w:rPr>
          <w:rFonts w:cs="Arial"/>
          <w:sz w:val="20"/>
        </w:rPr>
        <w:t>*</w:t>
      </w:r>
      <w:r w:rsidR="001D5114">
        <w:rPr>
          <w:rFonts w:cs="Arial"/>
          <w:sz w:val="20"/>
        </w:rPr>
        <w:tab/>
      </w:r>
      <w:r w:rsidRPr="001D5114">
        <w:rPr>
          <w:rFonts w:cs="Arial"/>
          <w:sz w:val="20"/>
        </w:rPr>
        <w:t xml:space="preserve">Parâmetros a serem avaliados apenas a cada bimestre. </w:t>
      </w:r>
    </w:p>
    <w:p w:rsidR="001D5114" w:rsidRDefault="001D5114" w:rsidP="00AF1DD3">
      <w:pPr>
        <w:pStyle w:val="Corpodetexto"/>
        <w:rPr>
          <w:rFonts w:cs="Arial"/>
          <w:sz w:val="18"/>
          <w:szCs w:val="18"/>
        </w:rPr>
      </w:pPr>
      <w:r>
        <w:rPr>
          <w:rFonts w:cs="Arial"/>
          <w:sz w:val="18"/>
          <w:szCs w:val="18"/>
        </w:rPr>
        <w:br w:type="page"/>
      </w:r>
    </w:p>
    <w:p w:rsidR="00AF1DD3" w:rsidRPr="00EE6D43" w:rsidRDefault="00AF1DD3" w:rsidP="00AF1DD3">
      <w:pPr>
        <w:pStyle w:val="Corpodetexto"/>
        <w:rPr>
          <w:rFonts w:cs="Arial"/>
          <w:szCs w:val="22"/>
          <w:lang w:eastAsia="en-GB"/>
        </w:rPr>
      </w:pPr>
      <w:r w:rsidRPr="00EE6D43">
        <w:rPr>
          <w:rFonts w:cs="Arial"/>
          <w:szCs w:val="22"/>
          <w:lang w:eastAsia="en-GB"/>
        </w:rPr>
        <w:t>Durante o enchimento e operação dos reservatórios, em função do aumento da profundidade dos sistemas hídricos, é prevista a realização de medições na superfície, no meio e no fundo, nos pontos situados no corpo central dos reservatórios e braços tributários</w:t>
      </w:r>
      <w:r w:rsidR="00142374">
        <w:rPr>
          <w:rFonts w:cs="Arial"/>
          <w:szCs w:val="22"/>
          <w:lang w:eastAsia="en-GB"/>
        </w:rPr>
        <w:t xml:space="preserve"> com profundidade superior a</w:t>
      </w:r>
      <w:r w:rsidRPr="00EE6D43">
        <w:rPr>
          <w:rFonts w:cs="Arial"/>
          <w:szCs w:val="22"/>
          <w:lang w:eastAsia="en-GB"/>
        </w:rPr>
        <w:t xml:space="preserve"> 10 metros. </w:t>
      </w:r>
    </w:p>
    <w:p w:rsidR="00AF1DD3" w:rsidRPr="004E6562" w:rsidRDefault="00AF1DD3" w:rsidP="00AF1DD3">
      <w:pPr>
        <w:pStyle w:val="Corpodetexto"/>
        <w:rPr>
          <w:rFonts w:cs="Arial"/>
          <w:szCs w:val="22"/>
          <w:lang w:eastAsia="en-GB"/>
        </w:rPr>
      </w:pPr>
      <w:r w:rsidRPr="00EE6D43">
        <w:rPr>
          <w:rFonts w:cs="Arial"/>
          <w:szCs w:val="22"/>
          <w:lang w:eastAsia="en-GB"/>
        </w:rPr>
        <w:t xml:space="preserve">As medições incluirão os seguintes parâmetros: temperatura da água, turbidez, oxigênio dissolvido, pH, sólidos dissolvidos, condutividade, salinidade e potencial redox. </w:t>
      </w:r>
      <w:r w:rsidRPr="004E6562">
        <w:rPr>
          <w:rFonts w:cs="Arial"/>
          <w:szCs w:val="22"/>
          <w:lang w:eastAsia="en-GB"/>
        </w:rPr>
        <w:t>Os resultados permitirão aferir eventuais alterações na qualidade da água em função dos processos de estratificação térmica que poderão ocorrer ao longo do perfil vertical</w:t>
      </w:r>
      <w:r>
        <w:rPr>
          <w:rFonts w:cs="Arial"/>
          <w:szCs w:val="22"/>
          <w:lang w:eastAsia="en-GB"/>
        </w:rPr>
        <w:t>.</w:t>
      </w:r>
    </w:p>
    <w:p w:rsidR="00AF1DD3" w:rsidRDefault="00AF1DD3" w:rsidP="00AF1DD3">
      <w:pPr>
        <w:spacing w:after="120" w:line="240" w:lineRule="auto"/>
        <w:rPr>
          <w:rFonts w:cs="Arial"/>
          <w:szCs w:val="22"/>
        </w:rPr>
      </w:pPr>
      <w:r w:rsidRPr="00C36EEB">
        <w:rPr>
          <w:rFonts w:cs="Arial"/>
          <w:szCs w:val="22"/>
        </w:rPr>
        <w:t xml:space="preserve">Na </w:t>
      </w:r>
      <w:r>
        <w:rPr>
          <w:rFonts w:cs="Arial"/>
          <w:szCs w:val="22"/>
        </w:rPr>
        <w:t>fase</w:t>
      </w:r>
      <w:r w:rsidRPr="00C36EEB">
        <w:rPr>
          <w:rFonts w:cs="Arial"/>
          <w:szCs w:val="22"/>
        </w:rPr>
        <w:t xml:space="preserve"> de operação </w:t>
      </w:r>
      <w:r>
        <w:rPr>
          <w:rFonts w:cs="Arial"/>
          <w:szCs w:val="22"/>
        </w:rPr>
        <w:t>dos reservatórios</w:t>
      </w:r>
      <w:r w:rsidRPr="00C36EEB">
        <w:rPr>
          <w:rFonts w:cs="Arial"/>
          <w:szCs w:val="22"/>
        </w:rPr>
        <w:t>, a amostragem da qualidade da água deverá incluir</w:t>
      </w:r>
      <w:r>
        <w:rPr>
          <w:rFonts w:cs="Arial"/>
          <w:szCs w:val="22"/>
        </w:rPr>
        <w:t>,</w:t>
      </w:r>
      <w:r w:rsidRPr="00C36EEB">
        <w:rPr>
          <w:rFonts w:cs="Arial"/>
          <w:szCs w:val="22"/>
        </w:rPr>
        <w:t xml:space="preserve"> no ponto de captação de cada barragem</w:t>
      </w:r>
      <w:r>
        <w:rPr>
          <w:rFonts w:cs="Arial"/>
          <w:szCs w:val="22"/>
        </w:rPr>
        <w:t>, os demais parâmetros contemplados pela</w:t>
      </w:r>
      <w:r w:rsidRPr="00C36EEB">
        <w:rPr>
          <w:rFonts w:cs="Arial"/>
          <w:szCs w:val="22"/>
        </w:rPr>
        <w:t xml:space="preserve"> Portaria 2.914/11, </w:t>
      </w:r>
      <w:r w:rsidRPr="00EE6D43">
        <w:rPr>
          <w:rFonts w:cs="Arial"/>
          <w:szCs w:val="22"/>
        </w:rPr>
        <w:t>conforme listagem apresentada nos seus respectivos Anexos VII, VIII e X.</w:t>
      </w:r>
    </w:p>
    <w:p w:rsidR="00AF1DD3" w:rsidRPr="009E41F8" w:rsidRDefault="00AF1DD3" w:rsidP="00431A97">
      <w:pPr>
        <w:numPr>
          <w:ilvl w:val="0"/>
          <w:numId w:val="75"/>
        </w:numPr>
        <w:spacing w:before="240" w:after="240" w:line="240" w:lineRule="auto"/>
        <w:ind w:left="567" w:hanging="567"/>
        <w:rPr>
          <w:rFonts w:cs="Arial"/>
          <w:szCs w:val="22"/>
        </w:rPr>
      </w:pPr>
      <w:r w:rsidRPr="009E41F8">
        <w:rPr>
          <w:rFonts w:cs="Arial"/>
          <w:szCs w:val="22"/>
        </w:rPr>
        <w:t>Procedimentos de Coleta e Análise</w:t>
      </w:r>
    </w:p>
    <w:p w:rsidR="00AF1DD3" w:rsidRPr="009E41F8" w:rsidRDefault="00AF1DD3" w:rsidP="00AF1DD3">
      <w:pPr>
        <w:spacing w:after="120" w:line="240" w:lineRule="auto"/>
        <w:rPr>
          <w:rFonts w:cs="Arial"/>
          <w:szCs w:val="22"/>
        </w:rPr>
      </w:pPr>
      <w:r w:rsidRPr="009E41F8">
        <w:rPr>
          <w:rFonts w:cs="Arial"/>
          <w:szCs w:val="22"/>
        </w:rPr>
        <w:t>Durante as coletas, serão feitas anotações de campo, tais como: data, hora, local, condições climáticas, ocorrência de chuvas nas últimas 24 horas, temperatura do ar, profundidade do corpo d’água e largura aproximada do corpo d’água. Será ainda observada a situação geral do entorno, como eventual presença de lixo e de entulho nas margens e detecção visual de espumas, detritos, óleos e graxas na superfície das águas, visando dar subsídios à interpretação dos resultados analíticos.</w:t>
      </w:r>
    </w:p>
    <w:p w:rsidR="00AF1DD3" w:rsidRPr="009E41F8" w:rsidRDefault="00AF1DD3" w:rsidP="00AF1DD3">
      <w:pPr>
        <w:spacing w:after="120" w:line="240" w:lineRule="auto"/>
        <w:rPr>
          <w:rFonts w:cs="Arial"/>
          <w:szCs w:val="22"/>
        </w:rPr>
      </w:pPr>
      <w:r w:rsidRPr="009E41F8">
        <w:rPr>
          <w:rFonts w:cs="Arial"/>
          <w:szCs w:val="22"/>
        </w:rPr>
        <w:t>Os procedimentos de coleta e análise das amostras de qualidade da água</w:t>
      </w:r>
      <w:r>
        <w:rPr>
          <w:rFonts w:cs="Arial"/>
          <w:szCs w:val="22"/>
        </w:rPr>
        <w:t xml:space="preserve"> e dos sedimentos</w:t>
      </w:r>
      <w:r w:rsidRPr="009E41F8">
        <w:rPr>
          <w:rFonts w:cs="Arial"/>
          <w:szCs w:val="22"/>
        </w:rPr>
        <w:t xml:space="preserve"> serão realizados segundo as normas técnicas preconizadas pelo Standard Methods for the Examination of Water and Wastewater (</w:t>
      </w:r>
      <w:hyperlink r:id="rId47" w:tgtFrame="_blank" w:history="1">
        <w:r w:rsidRPr="009E41F8">
          <w:rPr>
            <w:rFonts w:cs="Arial"/>
            <w:szCs w:val="22"/>
          </w:rPr>
          <w:t>APHA, 2012)</w:t>
        </w:r>
      </w:hyperlink>
      <w:r>
        <w:rPr>
          <w:rFonts w:cs="Arial"/>
          <w:szCs w:val="22"/>
        </w:rPr>
        <w:t>.</w:t>
      </w:r>
    </w:p>
    <w:p w:rsidR="00AF1DD3" w:rsidRPr="009E41F8" w:rsidRDefault="00AF1DD3" w:rsidP="00431A97">
      <w:pPr>
        <w:pStyle w:val="Ttulo3"/>
        <w:numPr>
          <w:ilvl w:val="3"/>
          <w:numId w:val="51"/>
        </w:numPr>
      </w:pPr>
      <w:bookmarkStart w:id="921" w:name="_Toc419813752"/>
      <w:r w:rsidRPr="009E41F8">
        <w:t>Indicadores Ambientais</w:t>
      </w:r>
      <w:bookmarkEnd w:id="921"/>
      <w:r w:rsidRPr="009E41F8">
        <w:t xml:space="preserve"> </w:t>
      </w:r>
    </w:p>
    <w:p w:rsidR="00AF1DD3" w:rsidRPr="001476DC" w:rsidRDefault="00AF1DD3" w:rsidP="00AF1DD3">
      <w:pPr>
        <w:spacing w:after="120" w:line="240" w:lineRule="auto"/>
        <w:rPr>
          <w:rFonts w:cs="Arial"/>
          <w:szCs w:val="22"/>
        </w:rPr>
      </w:pPr>
      <w:r w:rsidRPr="001476DC">
        <w:rPr>
          <w:rFonts w:cs="Arial"/>
          <w:szCs w:val="22"/>
        </w:rPr>
        <w:t>Como indicadores ambientais, consideram-se os parâmetros relacionados no</w:t>
      </w:r>
      <w:r>
        <w:rPr>
          <w:rFonts w:cs="Arial"/>
          <w:szCs w:val="22"/>
        </w:rPr>
        <w:t xml:space="preserve"> item 11.1.5</w:t>
      </w:r>
      <w:r w:rsidRPr="009218C8">
        <w:rPr>
          <w:rFonts w:cs="Arial"/>
          <w:szCs w:val="22"/>
        </w:rPr>
        <w:t xml:space="preserve">, </w:t>
      </w:r>
      <w:r w:rsidRPr="001476DC">
        <w:rPr>
          <w:rFonts w:cs="Arial"/>
          <w:szCs w:val="22"/>
        </w:rPr>
        <w:t>que serão confrontados com os padrões de qualidade definidos pela Resoluç</w:t>
      </w:r>
      <w:r>
        <w:rPr>
          <w:rFonts w:cs="Arial"/>
          <w:szCs w:val="22"/>
        </w:rPr>
        <w:t>ão</w:t>
      </w:r>
      <w:r w:rsidRPr="001476DC">
        <w:rPr>
          <w:rFonts w:cs="Arial"/>
          <w:szCs w:val="22"/>
        </w:rPr>
        <w:t xml:space="preserve"> </w:t>
      </w:r>
      <w:r w:rsidR="00504078">
        <w:rPr>
          <w:rFonts w:cs="Arial"/>
          <w:szCs w:val="22"/>
        </w:rPr>
        <w:t>CONAMA</w:t>
      </w:r>
      <w:r w:rsidRPr="001476DC">
        <w:rPr>
          <w:rFonts w:cs="Arial"/>
          <w:szCs w:val="22"/>
        </w:rPr>
        <w:t xml:space="preserve"> 357/05</w:t>
      </w:r>
      <w:r>
        <w:rPr>
          <w:rFonts w:cs="Arial"/>
          <w:szCs w:val="22"/>
        </w:rPr>
        <w:t xml:space="preserve">, Portaria 2.914/11 e </w:t>
      </w:r>
      <w:r w:rsidRPr="009E41F8">
        <w:rPr>
          <w:rFonts w:cs="Arial"/>
          <w:szCs w:val="22"/>
        </w:rPr>
        <w:t>Decisão de Diretoria 112/2013/E</w:t>
      </w:r>
      <w:r>
        <w:rPr>
          <w:rFonts w:cs="Arial"/>
          <w:szCs w:val="22"/>
        </w:rPr>
        <w:t xml:space="preserve"> </w:t>
      </w:r>
      <w:r w:rsidRPr="001476DC">
        <w:rPr>
          <w:rFonts w:cs="Arial"/>
          <w:szCs w:val="22"/>
        </w:rPr>
        <w:t>(água superficial) e</w:t>
      </w:r>
      <w:r>
        <w:rPr>
          <w:rFonts w:cs="Arial"/>
          <w:szCs w:val="22"/>
        </w:rPr>
        <w:t xml:space="preserve"> pela Resolução </w:t>
      </w:r>
      <w:r w:rsidR="00504078">
        <w:rPr>
          <w:rFonts w:cs="Arial"/>
          <w:szCs w:val="22"/>
        </w:rPr>
        <w:t>CONAMA</w:t>
      </w:r>
      <w:r>
        <w:rPr>
          <w:rFonts w:cs="Arial"/>
          <w:szCs w:val="22"/>
        </w:rPr>
        <w:t xml:space="preserve"> </w:t>
      </w:r>
      <w:r w:rsidRPr="001476DC">
        <w:rPr>
          <w:rFonts w:cs="Arial"/>
          <w:szCs w:val="22"/>
        </w:rPr>
        <w:t>45</w:t>
      </w:r>
      <w:r>
        <w:rPr>
          <w:rFonts w:cs="Arial"/>
          <w:szCs w:val="22"/>
        </w:rPr>
        <w:t>4/12 (sedimentos).</w:t>
      </w:r>
    </w:p>
    <w:p w:rsidR="00AF1DD3" w:rsidRDefault="00AF1DD3" w:rsidP="00AF1DD3">
      <w:pPr>
        <w:spacing w:after="120" w:line="240" w:lineRule="auto"/>
        <w:rPr>
          <w:rFonts w:cs="Arial"/>
          <w:szCs w:val="22"/>
        </w:rPr>
      </w:pPr>
      <w:r w:rsidRPr="001476DC">
        <w:rPr>
          <w:rFonts w:cs="Arial"/>
          <w:szCs w:val="22"/>
        </w:rPr>
        <w:t xml:space="preserve">Será </w:t>
      </w:r>
      <w:r>
        <w:rPr>
          <w:rFonts w:cs="Arial"/>
          <w:szCs w:val="22"/>
        </w:rPr>
        <w:t>adotada</w:t>
      </w:r>
      <w:r w:rsidRPr="001476DC">
        <w:rPr>
          <w:rFonts w:cs="Arial"/>
          <w:szCs w:val="22"/>
        </w:rPr>
        <w:t xml:space="preserve"> também a análise do Índice de Qualidade da Água – IQA e do</w:t>
      </w:r>
      <w:r>
        <w:rPr>
          <w:rFonts w:cs="Arial"/>
          <w:szCs w:val="22"/>
        </w:rPr>
        <w:t xml:space="preserve"> Índice de Estado Trófico – IET, conforme metodologia proposta pela CETESB (2014). </w:t>
      </w:r>
    </w:p>
    <w:p w:rsidR="00AF1DD3" w:rsidRPr="005353B3" w:rsidRDefault="00AF1DD3" w:rsidP="00AF1DD3">
      <w:pPr>
        <w:spacing w:after="120" w:line="240" w:lineRule="auto"/>
        <w:rPr>
          <w:rFonts w:cs="Arial"/>
          <w:szCs w:val="22"/>
        </w:rPr>
      </w:pPr>
      <w:r w:rsidRPr="001476DC">
        <w:rPr>
          <w:rFonts w:cs="Arial"/>
          <w:szCs w:val="22"/>
        </w:rPr>
        <w:t xml:space="preserve">O IQA indica o grau de poluição orgânica </w:t>
      </w:r>
      <w:r>
        <w:rPr>
          <w:rFonts w:cs="Arial"/>
          <w:szCs w:val="22"/>
        </w:rPr>
        <w:t>nos corpos d’água</w:t>
      </w:r>
      <w:r w:rsidRPr="001476DC">
        <w:rPr>
          <w:rFonts w:cs="Arial"/>
          <w:szCs w:val="22"/>
        </w:rPr>
        <w:t xml:space="preserve"> gerado principalmente pelo lançamento de esgotos domésticos sem o adequado tratamento. O IET tem por finalidade classificar os </w:t>
      </w:r>
      <w:r>
        <w:rPr>
          <w:rFonts w:cs="Arial"/>
          <w:szCs w:val="22"/>
        </w:rPr>
        <w:t>mananciais</w:t>
      </w:r>
      <w:r w:rsidRPr="001476DC">
        <w:rPr>
          <w:rFonts w:cs="Arial"/>
          <w:szCs w:val="22"/>
        </w:rPr>
        <w:t xml:space="preserve"> em diferentes graus de trofia e apontar o nível de enriquecimento das águas com nutrientes, processo que interfere diretamente no crescimento do fitoplâncton e de macrófitas aquátic</w:t>
      </w:r>
      <w:r>
        <w:rPr>
          <w:rFonts w:cs="Arial"/>
          <w:szCs w:val="22"/>
        </w:rPr>
        <w:t xml:space="preserve">as (CETESB, 2014). Cabe destacar que a amostragem do fitoplâncton, incluindo a contagem de cianobactérias, e das macrófitas aquáticas será realizada no âmbito do </w:t>
      </w:r>
      <w:bookmarkStart w:id="922" w:name="_Toc341269180"/>
      <w:r>
        <w:rPr>
          <w:rFonts w:cs="Arial"/>
          <w:szCs w:val="22"/>
        </w:rPr>
        <w:t>P</w:t>
      </w:r>
      <w:r w:rsidRPr="00DE1C35">
        <w:t>rograma de Monitoramento da Biota Aquática</w:t>
      </w:r>
      <w:bookmarkEnd w:id="922"/>
      <w:r>
        <w:t xml:space="preserve">, conforme </w:t>
      </w:r>
      <w:r w:rsidRPr="0008766F">
        <w:t xml:space="preserve">detalhado </w:t>
      </w:r>
      <w:r w:rsidR="0008766F" w:rsidRPr="0008766F">
        <w:rPr>
          <w:rFonts w:cs="Arial"/>
          <w:szCs w:val="22"/>
        </w:rPr>
        <w:t>no item 3.4.3.</w:t>
      </w:r>
    </w:p>
    <w:p w:rsidR="00AF1DD3" w:rsidRDefault="00AF1DD3" w:rsidP="00AF1DD3">
      <w:pPr>
        <w:pStyle w:val="Corpodetexto"/>
        <w:rPr>
          <w:rFonts w:cs="Arial"/>
          <w:szCs w:val="22"/>
          <w:lang w:eastAsia="en-GB"/>
        </w:rPr>
      </w:pPr>
      <w:r w:rsidRPr="00210855">
        <w:rPr>
          <w:rFonts w:cs="Arial"/>
          <w:szCs w:val="22"/>
          <w:lang w:eastAsia="en-GB"/>
        </w:rPr>
        <w:t xml:space="preserve">Exclusivamente na etapa de operação das </w:t>
      </w:r>
      <w:r>
        <w:rPr>
          <w:rFonts w:cs="Arial"/>
          <w:szCs w:val="22"/>
          <w:lang w:eastAsia="en-GB"/>
        </w:rPr>
        <w:t>b</w:t>
      </w:r>
      <w:r w:rsidRPr="00210855">
        <w:rPr>
          <w:rFonts w:cs="Arial"/>
          <w:szCs w:val="22"/>
          <w:lang w:eastAsia="en-GB"/>
        </w:rPr>
        <w:t xml:space="preserve">arragens, deverá ser avaliado também o Índice de Qualidade das Águas Brutas para Fins de Abastecimento Público – IAP. </w:t>
      </w:r>
    </w:p>
    <w:p w:rsidR="00AF1DD3" w:rsidRPr="001476DC" w:rsidRDefault="00AF1DD3" w:rsidP="00AF1DD3">
      <w:pPr>
        <w:pStyle w:val="Corpodetexto"/>
        <w:rPr>
          <w:rFonts w:cs="Arial"/>
          <w:szCs w:val="22"/>
        </w:rPr>
      </w:pPr>
      <w:r>
        <w:rPr>
          <w:rFonts w:cs="Arial"/>
          <w:szCs w:val="22"/>
          <w:lang w:eastAsia="en-GB"/>
        </w:rPr>
        <w:t>Este indicador, elaborado pela CETESB (2014), leva em consideração a ponderação das seguintes variáveis: temperatura da água, pH</w:t>
      </w:r>
      <w:r w:rsidRPr="00814F9B">
        <w:rPr>
          <w:rFonts w:cs="Arial"/>
          <w:szCs w:val="22"/>
          <w:lang w:eastAsia="en-GB"/>
        </w:rPr>
        <w:t>, oxigênio dissolvido, demanda</w:t>
      </w:r>
      <w:r>
        <w:rPr>
          <w:rFonts w:cs="Arial"/>
          <w:szCs w:val="22"/>
          <w:lang w:eastAsia="en-GB"/>
        </w:rPr>
        <w:t xml:space="preserve"> </w:t>
      </w:r>
      <w:r w:rsidRPr="00814F9B">
        <w:rPr>
          <w:rFonts w:cs="Arial"/>
          <w:szCs w:val="22"/>
          <w:lang w:eastAsia="en-GB"/>
        </w:rPr>
        <w:t>bioquímica de oxigê</w:t>
      </w:r>
      <w:r>
        <w:rPr>
          <w:rFonts w:cs="Arial"/>
          <w:szCs w:val="22"/>
          <w:lang w:eastAsia="en-GB"/>
        </w:rPr>
        <w:t xml:space="preserve">nio, coliformes termotolerantes ou </w:t>
      </w:r>
      <w:r w:rsidRPr="00BF7C3E">
        <w:rPr>
          <w:rFonts w:cs="Arial"/>
          <w:i/>
          <w:szCs w:val="22"/>
          <w:lang w:eastAsia="en-GB"/>
        </w:rPr>
        <w:t>E. coli,</w:t>
      </w:r>
      <w:r w:rsidRPr="00814F9B">
        <w:rPr>
          <w:rFonts w:cs="Arial"/>
          <w:szCs w:val="22"/>
          <w:lang w:eastAsia="en-GB"/>
        </w:rPr>
        <w:t xml:space="preserve"> nitrogênio total, fósforo total, sóli</w:t>
      </w:r>
      <w:r>
        <w:rPr>
          <w:rFonts w:cs="Arial"/>
          <w:szCs w:val="22"/>
          <w:lang w:eastAsia="en-GB"/>
        </w:rPr>
        <w:t xml:space="preserve">dos totais,  turbidez, </w:t>
      </w:r>
      <w:r w:rsidRPr="00814F9B">
        <w:rPr>
          <w:rFonts w:cs="Arial"/>
          <w:szCs w:val="22"/>
          <w:lang w:eastAsia="en-GB"/>
        </w:rPr>
        <w:t xml:space="preserve"> </w:t>
      </w:r>
      <w:r>
        <w:rPr>
          <w:rFonts w:cs="Arial"/>
          <w:szCs w:val="22"/>
          <w:lang w:eastAsia="en-GB"/>
        </w:rPr>
        <w:t>p</w:t>
      </w:r>
      <w:r w:rsidRPr="00814F9B">
        <w:rPr>
          <w:rFonts w:cs="Arial"/>
          <w:szCs w:val="22"/>
          <w:lang w:eastAsia="en-GB"/>
        </w:rPr>
        <w:t xml:space="preserve">otencial de </w:t>
      </w:r>
      <w:r>
        <w:rPr>
          <w:rFonts w:cs="Arial"/>
          <w:szCs w:val="22"/>
          <w:lang w:eastAsia="en-GB"/>
        </w:rPr>
        <w:t>formação de t</w:t>
      </w:r>
      <w:r w:rsidRPr="00814F9B">
        <w:rPr>
          <w:rFonts w:cs="Arial"/>
          <w:szCs w:val="22"/>
          <w:lang w:eastAsia="en-GB"/>
        </w:rPr>
        <w:t>rihalometanos</w:t>
      </w:r>
      <w:r>
        <w:rPr>
          <w:rFonts w:cs="Arial"/>
          <w:szCs w:val="22"/>
          <w:lang w:eastAsia="en-GB"/>
        </w:rPr>
        <w:t xml:space="preserve">, </w:t>
      </w:r>
      <w:r w:rsidRPr="00814F9B">
        <w:rPr>
          <w:rFonts w:cs="Arial"/>
          <w:szCs w:val="22"/>
          <w:lang w:eastAsia="en-GB"/>
        </w:rPr>
        <w:t>número de células de cianobactérias, cádmio</w:t>
      </w:r>
      <w:r>
        <w:rPr>
          <w:rFonts w:cs="Arial"/>
          <w:szCs w:val="22"/>
          <w:lang w:eastAsia="en-GB"/>
        </w:rPr>
        <w:t xml:space="preserve"> total</w:t>
      </w:r>
      <w:r w:rsidRPr="00814F9B">
        <w:rPr>
          <w:rFonts w:cs="Arial"/>
          <w:szCs w:val="22"/>
          <w:lang w:eastAsia="en-GB"/>
        </w:rPr>
        <w:t>, chumbo</w:t>
      </w:r>
      <w:r>
        <w:rPr>
          <w:rFonts w:cs="Arial"/>
          <w:szCs w:val="22"/>
          <w:lang w:eastAsia="en-GB"/>
        </w:rPr>
        <w:t xml:space="preserve"> total</w:t>
      </w:r>
      <w:r w:rsidRPr="00814F9B">
        <w:rPr>
          <w:rFonts w:cs="Arial"/>
          <w:szCs w:val="22"/>
          <w:lang w:eastAsia="en-GB"/>
        </w:rPr>
        <w:t>,</w:t>
      </w:r>
      <w:r>
        <w:rPr>
          <w:rFonts w:cs="Arial"/>
          <w:szCs w:val="22"/>
          <w:lang w:eastAsia="en-GB"/>
        </w:rPr>
        <w:t xml:space="preserve"> cromo total, mercúrio total, níquel total, </w:t>
      </w:r>
      <w:r w:rsidRPr="00814F9B">
        <w:rPr>
          <w:rFonts w:cs="Arial"/>
          <w:szCs w:val="22"/>
          <w:lang w:eastAsia="en-GB"/>
        </w:rPr>
        <w:t>ferro</w:t>
      </w:r>
      <w:r>
        <w:rPr>
          <w:rFonts w:cs="Arial"/>
          <w:szCs w:val="22"/>
          <w:lang w:eastAsia="en-GB"/>
        </w:rPr>
        <w:t xml:space="preserve"> total</w:t>
      </w:r>
      <w:r w:rsidRPr="00814F9B">
        <w:rPr>
          <w:rFonts w:cs="Arial"/>
          <w:szCs w:val="22"/>
          <w:lang w:eastAsia="en-GB"/>
        </w:rPr>
        <w:t>, manganês</w:t>
      </w:r>
      <w:r>
        <w:rPr>
          <w:rFonts w:cs="Arial"/>
          <w:szCs w:val="22"/>
          <w:lang w:eastAsia="en-GB"/>
        </w:rPr>
        <w:t xml:space="preserve"> total, </w:t>
      </w:r>
      <w:r w:rsidRPr="00814F9B">
        <w:rPr>
          <w:rFonts w:cs="Arial"/>
          <w:szCs w:val="22"/>
          <w:lang w:eastAsia="en-GB"/>
        </w:rPr>
        <w:t>alumínio</w:t>
      </w:r>
      <w:r>
        <w:rPr>
          <w:rFonts w:cs="Arial"/>
          <w:szCs w:val="22"/>
          <w:lang w:eastAsia="en-GB"/>
        </w:rPr>
        <w:t xml:space="preserve">  total</w:t>
      </w:r>
      <w:r w:rsidRPr="00814F9B">
        <w:rPr>
          <w:rFonts w:cs="Arial"/>
          <w:szCs w:val="22"/>
          <w:lang w:eastAsia="en-GB"/>
        </w:rPr>
        <w:t>,</w:t>
      </w:r>
      <w:r>
        <w:rPr>
          <w:rFonts w:cs="Arial"/>
          <w:szCs w:val="22"/>
          <w:lang w:eastAsia="en-GB"/>
        </w:rPr>
        <w:t xml:space="preserve"> c</w:t>
      </w:r>
      <w:r w:rsidRPr="00814F9B">
        <w:rPr>
          <w:rFonts w:cs="Arial"/>
          <w:szCs w:val="22"/>
          <w:lang w:eastAsia="en-GB"/>
        </w:rPr>
        <w:t>obre</w:t>
      </w:r>
      <w:r>
        <w:rPr>
          <w:rFonts w:cs="Arial"/>
          <w:szCs w:val="22"/>
          <w:lang w:eastAsia="en-GB"/>
        </w:rPr>
        <w:t xml:space="preserve"> total</w:t>
      </w:r>
      <w:r w:rsidRPr="00814F9B">
        <w:rPr>
          <w:rFonts w:cs="Arial"/>
          <w:szCs w:val="22"/>
          <w:lang w:eastAsia="en-GB"/>
        </w:rPr>
        <w:t xml:space="preserve"> e </w:t>
      </w:r>
      <w:r>
        <w:rPr>
          <w:rFonts w:cs="Arial"/>
          <w:szCs w:val="22"/>
          <w:lang w:eastAsia="en-GB"/>
        </w:rPr>
        <w:t>z</w:t>
      </w:r>
      <w:r w:rsidRPr="00814F9B">
        <w:rPr>
          <w:rFonts w:cs="Arial"/>
          <w:szCs w:val="22"/>
          <w:lang w:eastAsia="en-GB"/>
        </w:rPr>
        <w:t>inco</w:t>
      </w:r>
      <w:r>
        <w:rPr>
          <w:rFonts w:cs="Arial"/>
          <w:szCs w:val="22"/>
          <w:lang w:eastAsia="en-GB"/>
        </w:rPr>
        <w:t xml:space="preserve"> total</w:t>
      </w:r>
      <w:r w:rsidRPr="00814F9B">
        <w:rPr>
          <w:rFonts w:cs="Arial"/>
          <w:szCs w:val="22"/>
          <w:lang w:eastAsia="en-GB"/>
        </w:rPr>
        <w:t>.</w:t>
      </w:r>
      <w:r>
        <w:rPr>
          <w:rFonts w:cs="Arial"/>
          <w:szCs w:val="22"/>
          <w:lang w:eastAsia="en-GB"/>
        </w:rPr>
        <w:t xml:space="preserve"> Vale ressaltar que o IAP será</w:t>
      </w:r>
      <w:r w:rsidRPr="00376AEF">
        <w:rPr>
          <w:rFonts w:cs="Arial"/>
          <w:szCs w:val="22"/>
          <w:lang w:eastAsia="en-GB"/>
        </w:rPr>
        <w:t xml:space="preserve"> adotado nos pontos de captação das Barragens Pedreira e Duas Pontes.</w:t>
      </w:r>
    </w:p>
    <w:p w:rsidR="00AF1DD3" w:rsidRPr="009E41F8" w:rsidRDefault="00AF1DD3" w:rsidP="00431A97">
      <w:pPr>
        <w:pStyle w:val="Ttulo3"/>
        <w:numPr>
          <w:ilvl w:val="3"/>
          <w:numId w:val="51"/>
        </w:numPr>
      </w:pPr>
      <w:bookmarkStart w:id="923" w:name="_Toc419813753"/>
      <w:r w:rsidRPr="009E41F8">
        <w:t>Recursos Materiais e Humanos</w:t>
      </w:r>
      <w:bookmarkEnd w:id="923"/>
    </w:p>
    <w:p w:rsidR="00AF1DD3" w:rsidRDefault="00AF1DD3" w:rsidP="00AF1DD3">
      <w:pPr>
        <w:spacing w:after="120" w:line="240" w:lineRule="auto"/>
        <w:rPr>
          <w:rFonts w:cs="Arial"/>
          <w:szCs w:val="22"/>
        </w:rPr>
      </w:pPr>
      <w:r w:rsidRPr="009E41F8">
        <w:rPr>
          <w:rFonts w:cs="Arial"/>
          <w:szCs w:val="22"/>
        </w:rPr>
        <w:t xml:space="preserve">Para atender </w:t>
      </w:r>
      <w:r>
        <w:rPr>
          <w:rFonts w:cs="Arial"/>
          <w:szCs w:val="22"/>
        </w:rPr>
        <w:t>as</w:t>
      </w:r>
      <w:r w:rsidRPr="009E41F8">
        <w:rPr>
          <w:rFonts w:cs="Arial"/>
          <w:szCs w:val="22"/>
        </w:rPr>
        <w:t xml:space="preserve"> demandas do </w:t>
      </w:r>
      <w:r>
        <w:rPr>
          <w:rFonts w:cs="Arial"/>
          <w:szCs w:val="22"/>
        </w:rPr>
        <w:t>Programa de Monitoramento da Qualidade das Águas Superficiais e dos Sedimentos</w:t>
      </w:r>
      <w:r w:rsidRPr="009E41F8">
        <w:rPr>
          <w:rFonts w:cs="Arial"/>
          <w:szCs w:val="22"/>
        </w:rPr>
        <w:t xml:space="preserve"> está prevista uma equipe compreendendo, no mínimo, um biólogo sênior que exercerá a função de Responsável Técnico e um analista pleno que atuará na consolidação dos dados e na elaboração dos relatórios técnicos. </w:t>
      </w:r>
    </w:p>
    <w:p w:rsidR="00AF1DD3" w:rsidRPr="009E41F8" w:rsidRDefault="00AF1DD3" w:rsidP="00AF1DD3">
      <w:pPr>
        <w:spacing w:after="120" w:line="240" w:lineRule="auto"/>
        <w:rPr>
          <w:rFonts w:cs="Arial"/>
          <w:szCs w:val="22"/>
          <w:highlight w:val="yellow"/>
        </w:rPr>
      </w:pPr>
      <w:r w:rsidRPr="009E41F8">
        <w:rPr>
          <w:rFonts w:cs="Arial"/>
          <w:szCs w:val="22"/>
        </w:rPr>
        <w:t xml:space="preserve">O programa prevê a contratação de um laboratório para realização das análises </w:t>
      </w:r>
      <w:r>
        <w:rPr>
          <w:rFonts w:cs="Arial"/>
          <w:szCs w:val="22"/>
        </w:rPr>
        <w:t>da</w:t>
      </w:r>
      <w:r w:rsidRPr="009E41F8">
        <w:rPr>
          <w:rFonts w:cs="Arial"/>
          <w:szCs w:val="22"/>
        </w:rPr>
        <w:t xml:space="preserve"> água</w:t>
      </w:r>
      <w:r>
        <w:rPr>
          <w:rFonts w:cs="Arial"/>
          <w:szCs w:val="22"/>
        </w:rPr>
        <w:t xml:space="preserve"> e dos sedimentos, o qual deverá ser acreditado </w:t>
      </w:r>
      <w:r w:rsidRPr="0016757A">
        <w:rPr>
          <w:rFonts w:cs="Arial"/>
          <w:szCs w:val="22"/>
        </w:rPr>
        <w:t xml:space="preserve">segundo a Norma ABNT NBR ISO/IEC 17025, pelo Instituto Nacional de Metrologia, Normalização e Qualidade Industrial </w:t>
      </w:r>
      <w:r>
        <w:rPr>
          <w:rFonts w:cs="Arial"/>
          <w:szCs w:val="22"/>
        </w:rPr>
        <w:t>–</w:t>
      </w:r>
      <w:r w:rsidRPr="0016757A">
        <w:rPr>
          <w:rFonts w:cs="Arial"/>
          <w:szCs w:val="22"/>
        </w:rPr>
        <w:t xml:space="preserve"> INMETRO</w:t>
      </w:r>
      <w:r>
        <w:rPr>
          <w:rFonts w:cs="Arial"/>
          <w:szCs w:val="22"/>
        </w:rPr>
        <w:t xml:space="preserve">, conforme estabelece a Resolução SMA </w:t>
      </w:r>
      <w:r w:rsidR="0079329A">
        <w:rPr>
          <w:rFonts w:cs="Arial"/>
          <w:szCs w:val="22"/>
        </w:rPr>
        <w:t>n</w:t>
      </w:r>
      <w:r w:rsidR="0079329A">
        <w:rPr>
          <w:rFonts w:cs="Arial"/>
          <w:szCs w:val="22"/>
          <w:u w:val="single"/>
          <w:vertAlign w:val="superscript"/>
        </w:rPr>
        <w:t>o</w:t>
      </w:r>
      <w:r w:rsidR="0079329A">
        <w:rPr>
          <w:rFonts w:cs="Arial"/>
          <w:szCs w:val="22"/>
        </w:rPr>
        <w:t xml:space="preserve"> </w:t>
      </w:r>
      <w:r>
        <w:rPr>
          <w:rFonts w:cs="Arial"/>
          <w:szCs w:val="22"/>
        </w:rPr>
        <w:t xml:space="preserve">100/2013. </w:t>
      </w:r>
      <w:r w:rsidRPr="009E41F8">
        <w:rPr>
          <w:rFonts w:cs="Arial"/>
          <w:szCs w:val="22"/>
        </w:rPr>
        <w:t>Os recursos materiais necessários serão disponibilizados pelo contratante.</w:t>
      </w:r>
    </w:p>
    <w:p w:rsidR="00AF1DD3" w:rsidRPr="009E41F8" w:rsidRDefault="00AF1DD3" w:rsidP="00431A97">
      <w:pPr>
        <w:pStyle w:val="Ttulo3"/>
        <w:numPr>
          <w:ilvl w:val="3"/>
          <w:numId w:val="51"/>
        </w:numPr>
      </w:pPr>
      <w:bookmarkStart w:id="924" w:name="_Toc419813754"/>
      <w:r w:rsidRPr="009E41F8">
        <w:t>Atendimento a Requisitos Legais e/ou Outros Requisitos</w:t>
      </w:r>
      <w:bookmarkEnd w:id="924"/>
    </w:p>
    <w:p w:rsidR="00AF1DD3" w:rsidRPr="004D4EE8" w:rsidRDefault="00AF1DD3" w:rsidP="00AF1DD3">
      <w:pPr>
        <w:spacing w:after="120" w:line="240" w:lineRule="auto"/>
        <w:rPr>
          <w:rFonts w:cs="Arial"/>
          <w:szCs w:val="22"/>
        </w:rPr>
      </w:pPr>
      <w:r w:rsidRPr="009E41F8">
        <w:rPr>
          <w:rFonts w:cs="Arial"/>
          <w:szCs w:val="22"/>
        </w:rPr>
        <w:t xml:space="preserve">A proposição do programa de monitoramento atende ao solicitado no artigo 6º, inciso IV da Resolução </w:t>
      </w:r>
      <w:r w:rsidR="00504078">
        <w:rPr>
          <w:rFonts w:cs="Arial"/>
          <w:szCs w:val="22"/>
        </w:rPr>
        <w:t>CONAMA</w:t>
      </w:r>
      <w:r w:rsidRPr="009E41F8">
        <w:rPr>
          <w:rFonts w:cs="Arial"/>
          <w:szCs w:val="22"/>
        </w:rPr>
        <w:t xml:space="preserve"> 01/86, que determina o estabelecimento de atividades de acompanhamen</w:t>
      </w:r>
      <w:r>
        <w:rPr>
          <w:rFonts w:cs="Arial"/>
          <w:szCs w:val="22"/>
        </w:rPr>
        <w:t>to e monitoramento dos impactos.</w:t>
      </w:r>
      <w:r w:rsidRPr="004D4EE8">
        <w:rPr>
          <w:rFonts w:cs="Arial"/>
          <w:szCs w:val="22"/>
        </w:rPr>
        <w:t xml:space="preserve"> </w:t>
      </w:r>
    </w:p>
    <w:p w:rsidR="00AF1DD3" w:rsidRDefault="00AF1DD3" w:rsidP="00AF1DD3">
      <w:pPr>
        <w:spacing w:after="120" w:line="240" w:lineRule="auto"/>
        <w:rPr>
          <w:rFonts w:cs="Arial"/>
          <w:szCs w:val="22"/>
        </w:rPr>
      </w:pPr>
      <w:r w:rsidRPr="004D4EE8">
        <w:rPr>
          <w:rFonts w:cs="Arial"/>
          <w:szCs w:val="22"/>
        </w:rPr>
        <w:t xml:space="preserve">A legislação específica para controle da poluição dos recursos hídricos é norteada pela Resolução </w:t>
      </w:r>
      <w:r w:rsidR="00504078">
        <w:rPr>
          <w:rFonts w:cs="Arial"/>
          <w:szCs w:val="22"/>
        </w:rPr>
        <w:t>CONAMA</w:t>
      </w:r>
      <w:r w:rsidRPr="004D4EE8">
        <w:rPr>
          <w:rFonts w:cs="Arial"/>
          <w:szCs w:val="22"/>
        </w:rPr>
        <w:t xml:space="preserve"> 357/05, que dispõe sobre a classificação dos corpos de água, indica diretrizes ambientais para o seu enquadramento e estabelece os respectivos padrões de qualidade da água. Na avaliação dos resultados será considerada também a </w:t>
      </w:r>
      <w:r w:rsidRPr="004D4EE8">
        <w:rPr>
          <w:rFonts w:cs="Arial"/>
          <w:bCs/>
          <w:szCs w:val="22"/>
        </w:rPr>
        <w:t>Portaria 2.914/11, que determina o padrão</w:t>
      </w:r>
      <w:r w:rsidRPr="004D4EE8">
        <w:rPr>
          <w:rFonts w:cs="Arial"/>
          <w:szCs w:val="22"/>
        </w:rPr>
        <w:t xml:space="preserve"> de potabilidade</w:t>
      </w:r>
      <w:r>
        <w:rPr>
          <w:rFonts w:cs="Arial"/>
          <w:szCs w:val="22"/>
        </w:rPr>
        <w:t xml:space="preserve"> dos mananciais</w:t>
      </w:r>
      <w:r w:rsidRPr="004D4EE8">
        <w:rPr>
          <w:rFonts w:cs="Arial"/>
          <w:szCs w:val="22"/>
        </w:rPr>
        <w:t>, bem como a Decisão</w:t>
      </w:r>
      <w:r w:rsidRPr="009E41F8">
        <w:rPr>
          <w:rFonts w:cs="Arial"/>
          <w:szCs w:val="22"/>
        </w:rPr>
        <w:t xml:space="preserve"> de Diretoria 112/2013/E, de 12 de abril de 2013, emitida pela a Companhia Ambiental do Estado de São Paulo (CETESB), que </w:t>
      </w:r>
      <w:r>
        <w:rPr>
          <w:rFonts w:cs="Arial"/>
          <w:szCs w:val="22"/>
        </w:rPr>
        <w:t xml:space="preserve">aponta </w:t>
      </w:r>
      <w:r w:rsidRPr="009E41F8">
        <w:rPr>
          <w:rFonts w:cs="Arial"/>
          <w:szCs w:val="22"/>
        </w:rPr>
        <w:t xml:space="preserve">valores limites de </w:t>
      </w:r>
      <w:r w:rsidRPr="009E41F8">
        <w:rPr>
          <w:rFonts w:cs="Arial"/>
          <w:i/>
          <w:szCs w:val="22"/>
        </w:rPr>
        <w:t>Escherichia coli</w:t>
      </w:r>
      <w:r w:rsidRPr="009E41F8">
        <w:rPr>
          <w:rFonts w:cs="Arial"/>
          <w:szCs w:val="22"/>
        </w:rPr>
        <w:t xml:space="preserve"> nos corpos de águas do território do estado de São Paulo.</w:t>
      </w:r>
      <w:r w:rsidRPr="001E720D">
        <w:rPr>
          <w:rFonts w:cs="Arial"/>
          <w:szCs w:val="22"/>
        </w:rPr>
        <w:t xml:space="preserve"> </w:t>
      </w:r>
      <w:r>
        <w:rPr>
          <w:rFonts w:cs="Arial"/>
          <w:szCs w:val="22"/>
        </w:rPr>
        <w:t xml:space="preserve">A avaliação da balneabilidade dos mananciais em estudo será norteada pela </w:t>
      </w:r>
      <w:r w:rsidRPr="00D32E95">
        <w:rPr>
          <w:rFonts w:cs="Arial"/>
          <w:szCs w:val="22"/>
        </w:rPr>
        <w:t xml:space="preserve">Resolução </w:t>
      </w:r>
      <w:r w:rsidR="00504078">
        <w:rPr>
          <w:rFonts w:cs="Arial"/>
          <w:szCs w:val="22"/>
        </w:rPr>
        <w:t>CONAMA</w:t>
      </w:r>
      <w:r w:rsidRPr="00D32E95">
        <w:rPr>
          <w:rFonts w:cs="Arial"/>
          <w:szCs w:val="22"/>
        </w:rPr>
        <w:t xml:space="preserve"> </w:t>
      </w:r>
      <w:r w:rsidR="0079329A">
        <w:rPr>
          <w:rFonts w:cs="Arial"/>
          <w:szCs w:val="22"/>
        </w:rPr>
        <w:t>n</w:t>
      </w:r>
      <w:r w:rsidR="0079329A">
        <w:rPr>
          <w:rFonts w:cs="Arial"/>
          <w:szCs w:val="22"/>
          <w:u w:val="single"/>
          <w:vertAlign w:val="superscript"/>
        </w:rPr>
        <w:t>o</w:t>
      </w:r>
      <w:r w:rsidR="0079329A">
        <w:rPr>
          <w:rFonts w:cs="Arial"/>
          <w:szCs w:val="22"/>
        </w:rPr>
        <w:t xml:space="preserve"> </w:t>
      </w:r>
      <w:r w:rsidRPr="00D32E95">
        <w:rPr>
          <w:rFonts w:cs="Arial"/>
          <w:szCs w:val="22"/>
        </w:rPr>
        <w:t>274</w:t>
      </w:r>
      <w:r>
        <w:rPr>
          <w:rFonts w:cs="Arial"/>
          <w:szCs w:val="22"/>
        </w:rPr>
        <w:t xml:space="preserve"> </w:t>
      </w:r>
      <w:r w:rsidRPr="00D32E95">
        <w:rPr>
          <w:rFonts w:cs="Arial"/>
          <w:szCs w:val="22"/>
        </w:rPr>
        <w:t>de 2000</w:t>
      </w:r>
      <w:r>
        <w:rPr>
          <w:rFonts w:cs="Arial"/>
          <w:szCs w:val="22"/>
        </w:rPr>
        <w:t>.</w:t>
      </w:r>
    </w:p>
    <w:p w:rsidR="00AF1DD3" w:rsidRDefault="00AF1DD3" w:rsidP="00AF1DD3">
      <w:pPr>
        <w:spacing w:line="240" w:lineRule="auto"/>
        <w:rPr>
          <w:rFonts w:cs="Arial"/>
          <w:szCs w:val="22"/>
        </w:rPr>
      </w:pPr>
      <w:r w:rsidRPr="001476DC">
        <w:rPr>
          <w:rFonts w:cs="Arial"/>
          <w:szCs w:val="22"/>
        </w:rPr>
        <w:t xml:space="preserve">Além desse dispositivo, destaca-se a Resolução </w:t>
      </w:r>
      <w:r w:rsidR="00504078">
        <w:rPr>
          <w:rFonts w:cs="Arial"/>
          <w:szCs w:val="22"/>
        </w:rPr>
        <w:t>CONAMA</w:t>
      </w:r>
      <w:r w:rsidRPr="001476DC">
        <w:rPr>
          <w:rFonts w:cs="Arial"/>
          <w:szCs w:val="22"/>
        </w:rPr>
        <w:t xml:space="preserve"> </w:t>
      </w:r>
      <w:r w:rsidR="0079329A">
        <w:rPr>
          <w:rFonts w:cs="Arial"/>
          <w:szCs w:val="22"/>
        </w:rPr>
        <w:t>n</w:t>
      </w:r>
      <w:r w:rsidR="0079329A">
        <w:rPr>
          <w:rFonts w:cs="Arial"/>
          <w:szCs w:val="22"/>
          <w:u w:val="single"/>
          <w:vertAlign w:val="superscript"/>
        </w:rPr>
        <w:t>o</w:t>
      </w:r>
      <w:r w:rsidR="0079329A">
        <w:rPr>
          <w:rFonts w:cs="Arial"/>
          <w:szCs w:val="22"/>
        </w:rPr>
        <w:t xml:space="preserve"> </w:t>
      </w:r>
      <w:r w:rsidRPr="001476DC">
        <w:rPr>
          <w:rFonts w:cs="Arial"/>
          <w:szCs w:val="22"/>
        </w:rPr>
        <w:t>454/12, que estabelece as diretrizes gerais e os procedimentos mínimos para a avaliação do material a ser dragado em águas jurisdicionais brasileiras. Embora seja direcionada a materiais resultantes de dragagem, essa resolução é uma referência nacional que determina a concentração de contaminantes em sedimentos.</w:t>
      </w:r>
    </w:p>
    <w:p w:rsidR="00AF1DD3" w:rsidRPr="009E41F8" w:rsidRDefault="00AF1DD3" w:rsidP="00AF1DD3">
      <w:pPr>
        <w:spacing w:after="120" w:line="240" w:lineRule="auto"/>
        <w:rPr>
          <w:rFonts w:cs="Arial"/>
          <w:szCs w:val="22"/>
        </w:rPr>
      </w:pPr>
      <w:r>
        <w:rPr>
          <w:rFonts w:cs="Arial"/>
          <w:szCs w:val="22"/>
        </w:rPr>
        <w:t>Os</w:t>
      </w:r>
      <w:r w:rsidRPr="009E41F8">
        <w:rPr>
          <w:rFonts w:cs="Arial"/>
          <w:szCs w:val="22"/>
        </w:rPr>
        <w:t xml:space="preserve"> procedimentos de coleta e análise das amostras de qualidade da água deverão seguir como orientação as diretrizes estabelecidas pela Resolução SMA </w:t>
      </w:r>
      <w:r>
        <w:rPr>
          <w:rFonts w:cs="Arial"/>
          <w:szCs w:val="22"/>
        </w:rPr>
        <w:t>100/2013</w:t>
      </w:r>
      <w:r w:rsidRPr="009E41F8">
        <w:rPr>
          <w:rFonts w:cs="Arial"/>
          <w:szCs w:val="22"/>
        </w:rPr>
        <w:t>, que regulamenta as exigências para os resultados analíticos, incluindo a determinação de que os relatórios de ensaio sejam emitidos por instituição reconhecida pelo Instituto Nacional de Metrologia, Qualidade e Tecnologia – INMETRO (ISO 17025).</w:t>
      </w:r>
    </w:p>
    <w:p w:rsidR="00AF1DD3" w:rsidRPr="009E41F8" w:rsidRDefault="00AF1DD3" w:rsidP="00431A97">
      <w:pPr>
        <w:pStyle w:val="Ttulo3"/>
        <w:numPr>
          <w:ilvl w:val="3"/>
          <w:numId w:val="51"/>
        </w:numPr>
      </w:pPr>
      <w:bookmarkStart w:id="925" w:name="_Toc419813755"/>
      <w:r w:rsidRPr="009E41F8">
        <w:t>Inter-relação com Outros Planos e Programas</w:t>
      </w:r>
      <w:bookmarkEnd w:id="925"/>
    </w:p>
    <w:p w:rsidR="00AF1DD3" w:rsidRDefault="00AF1DD3" w:rsidP="00AF1DD3">
      <w:pPr>
        <w:spacing w:after="120" w:line="240" w:lineRule="auto"/>
        <w:rPr>
          <w:rFonts w:cs="Arial"/>
          <w:szCs w:val="22"/>
        </w:rPr>
      </w:pPr>
      <w:r w:rsidRPr="009E41F8">
        <w:rPr>
          <w:rFonts w:cs="Arial"/>
          <w:szCs w:val="22"/>
        </w:rPr>
        <w:t xml:space="preserve">O </w:t>
      </w:r>
      <w:r>
        <w:rPr>
          <w:rFonts w:cs="Arial"/>
          <w:szCs w:val="22"/>
        </w:rPr>
        <w:t>Programa de Monitoramento da Qualidade das Águas Superficiais e dos Sedimentos</w:t>
      </w:r>
      <w:r w:rsidRPr="009E41F8">
        <w:rPr>
          <w:rFonts w:cs="Arial"/>
          <w:szCs w:val="22"/>
        </w:rPr>
        <w:t xml:space="preserve"> terá relação com os seguintes programas: </w:t>
      </w:r>
    </w:p>
    <w:p w:rsidR="00AF1DD3" w:rsidRPr="00376AEF" w:rsidRDefault="00AF1DD3" w:rsidP="00431A97">
      <w:pPr>
        <w:numPr>
          <w:ilvl w:val="0"/>
          <w:numId w:val="77"/>
        </w:numPr>
        <w:spacing w:after="120" w:line="240" w:lineRule="auto"/>
        <w:ind w:left="567" w:hanging="567"/>
      </w:pPr>
      <w:r>
        <w:t>Programa de Controle Ambiental das Obras;</w:t>
      </w:r>
    </w:p>
    <w:p w:rsidR="00AF1DD3" w:rsidRDefault="00AF1DD3" w:rsidP="00431A97">
      <w:pPr>
        <w:numPr>
          <w:ilvl w:val="0"/>
          <w:numId w:val="77"/>
        </w:numPr>
        <w:spacing w:after="120" w:line="240" w:lineRule="auto"/>
        <w:ind w:left="567" w:hanging="567"/>
      </w:pPr>
      <w:r>
        <w:t xml:space="preserve">Programa de Monitoramento Sedimentológico; </w:t>
      </w:r>
    </w:p>
    <w:p w:rsidR="00AF1DD3" w:rsidRPr="002B694A" w:rsidRDefault="00AF1DD3" w:rsidP="00431A97">
      <w:pPr>
        <w:numPr>
          <w:ilvl w:val="0"/>
          <w:numId w:val="77"/>
        </w:numPr>
        <w:spacing w:after="120" w:line="240" w:lineRule="auto"/>
        <w:ind w:left="567" w:hanging="567"/>
        <w:rPr>
          <w:rFonts w:cs="Arial"/>
          <w:szCs w:val="22"/>
        </w:rPr>
      </w:pPr>
      <w:r w:rsidRPr="002B694A">
        <w:t>Programa de Recuperação de Áreas Degradadas</w:t>
      </w:r>
      <w:r>
        <w:t>;</w:t>
      </w:r>
    </w:p>
    <w:p w:rsidR="00AF1DD3" w:rsidRPr="002B694A" w:rsidRDefault="00AF1DD3" w:rsidP="00431A97">
      <w:pPr>
        <w:numPr>
          <w:ilvl w:val="0"/>
          <w:numId w:val="77"/>
        </w:numPr>
        <w:spacing w:after="120" w:line="240" w:lineRule="auto"/>
        <w:ind w:left="567" w:hanging="567"/>
        <w:rPr>
          <w:rFonts w:cs="Arial"/>
          <w:szCs w:val="22"/>
        </w:rPr>
      </w:pPr>
      <w:r w:rsidRPr="002B694A">
        <w:rPr>
          <w:rFonts w:cs="Arial"/>
          <w:szCs w:val="22"/>
        </w:rPr>
        <w:t>Programa de Monitoramento da Biota Aquática</w:t>
      </w:r>
      <w:r>
        <w:rPr>
          <w:rFonts w:cs="Arial"/>
          <w:szCs w:val="22"/>
        </w:rPr>
        <w:t>;</w:t>
      </w:r>
    </w:p>
    <w:p w:rsidR="00AF1DD3" w:rsidRPr="001D5114" w:rsidRDefault="00AF1DD3" w:rsidP="00431A97">
      <w:pPr>
        <w:numPr>
          <w:ilvl w:val="0"/>
          <w:numId w:val="77"/>
        </w:numPr>
        <w:spacing w:after="120" w:line="240" w:lineRule="auto"/>
        <w:ind w:left="567" w:hanging="567"/>
        <w:rPr>
          <w:rFonts w:cs="Arial"/>
          <w:szCs w:val="22"/>
        </w:rPr>
      </w:pPr>
      <w:r w:rsidRPr="002B694A">
        <w:t>Programa de Conservação da Ictiofauna</w:t>
      </w:r>
      <w:r>
        <w:t>.</w:t>
      </w:r>
    </w:p>
    <w:p w:rsidR="001D5114" w:rsidRDefault="001D5114" w:rsidP="001D5114">
      <w:pPr>
        <w:spacing w:after="120" w:line="240" w:lineRule="auto"/>
        <w:rPr>
          <w:rFonts w:cs="Arial"/>
          <w:szCs w:val="22"/>
        </w:rPr>
      </w:pPr>
      <w:r>
        <w:rPr>
          <w:rFonts w:cs="Arial"/>
          <w:szCs w:val="22"/>
        </w:rPr>
        <w:br w:type="page"/>
      </w:r>
    </w:p>
    <w:p w:rsidR="00AF1DD3" w:rsidRPr="009E41F8" w:rsidRDefault="00AF1DD3" w:rsidP="00431A97">
      <w:pPr>
        <w:pStyle w:val="Ttulo3"/>
        <w:numPr>
          <w:ilvl w:val="3"/>
          <w:numId w:val="51"/>
        </w:numPr>
        <w:spacing w:after="240"/>
        <w:ind w:left="1077" w:hanging="1077"/>
      </w:pPr>
      <w:bookmarkStart w:id="926" w:name="_Toc419813756"/>
      <w:r w:rsidRPr="009E41F8">
        <w:t>Etapa dos Empreendimentos</w:t>
      </w:r>
      <w:bookmarkEnd w:id="926"/>
    </w:p>
    <w:p w:rsidR="00AF1DD3" w:rsidRPr="009E41F8" w:rsidRDefault="00AF1DD3" w:rsidP="00AF1DD3">
      <w:pPr>
        <w:spacing w:after="120" w:line="240" w:lineRule="auto"/>
        <w:rPr>
          <w:rFonts w:cs="Arial"/>
          <w:szCs w:val="22"/>
        </w:rPr>
      </w:pPr>
      <w:r w:rsidRPr="009E41F8">
        <w:rPr>
          <w:rFonts w:cs="Arial"/>
          <w:szCs w:val="22"/>
        </w:rPr>
        <w:t>Este programa deverá ser iniciado</w:t>
      </w:r>
      <w:r>
        <w:rPr>
          <w:rFonts w:cs="Arial"/>
          <w:szCs w:val="22"/>
        </w:rPr>
        <w:t xml:space="preserve"> na etapa de planejamento,</w:t>
      </w:r>
      <w:r w:rsidRPr="009E41F8">
        <w:rPr>
          <w:rFonts w:cs="Arial"/>
          <w:szCs w:val="22"/>
        </w:rPr>
        <w:t xml:space="preserve"> com uma campanha prévia à implantação do</w:t>
      </w:r>
      <w:r>
        <w:rPr>
          <w:rFonts w:cs="Arial"/>
          <w:szCs w:val="22"/>
        </w:rPr>
        <w:t>s</w:t>
      </w:r>
      <w:r w:rsidRPr="009E41F8">
        <w:rPr>
          <w:rFonts w:cs="Arial"/>
          <w:szCs w:val="22"/>
        </w:rPr>
        <w:t xml:space="preserve"> </w:t>
      </w:r>
      <w:r>
        <w:rPr>
          <w:rFonts w:cs="Arial"/>
          <w:szCs w:val="22"/>
        </w:rPr>
        <w:t xml:space="preserve">projetos, </w:t>
      </w:r>
      <w:r w:rsidRPr="009E41F8">
        <w:rPr>
          <w:rFonts w:cs="Arial"/>
          <w:szCs w:val="22"/>
        </w:rPr>
        <w:t xml:space="preserve">de forma a se obter um quadro de referência na </w:t>
      </w:r>
      <w:r>
        <w:rPr>
          <w:rFonts w:cs="Arial"/>
          <w:szCs w:val="22"/>
        </w:rPr>
        <w:t xml:space="preserve">fase </w:t>
      </w:r>
      <w:r w:rsidRPr="009E41F8">
        <w:rPr>
          <w:rFonts w:cs="Arial"/>
          <w:szCs w:val="22"/>
        </w:rPr>
        <w:t xml:space="preserve">anterior à inserção dos </w:t>
      </w:r>
      <w:r>
        <w:rPr>
          <w:rFonts w:cs="Arial"/>
          <w:szCs w:val="22"/>
        </w:rPr>
        <w:t>reservatórios projetados, nas sub-bacias dos rios Jaguari e Camanducaia, respectivamente.</w:t>
      </w:r>
    </w:p>
    <w:p w:rsidR="00AF1DD3" w:rsidRDefault="00AF1DD3" w:rsidP="00AF1DD3">
      <w:pPr>
        <w:spacing w:after="120" w:line="240" w:lineRule="auto"/>
        <w:rPr>
          <w:rFonts w:cs="Arial"/>
          <w:szCs w:val="22"/>
        </w:rPr>
      </w:pPr>
      <w:r w:rsidRPr="009E41F8">
        <w:rPr>
          <w:rFonts w:cs="Arial"/>
          <w:szCs w:val="22"/>
        </w:rPr>
        <w:t>Durante as obras</w:t>
      </w:r>
      <w:r>
        <w:rPr>
          <w:rFonts w:cs="Arial"/>
          <w:szCs w:val="22"/>
        </w:rPr>
        <w:t>, no enchimento</w:t>
      </w:r>
      <w:r w:rsidRPr="009E41F8">
        <w:rPr>
          <w:rFonts w:cs="Arial"/>
          <w:szCs w:val="22"/>
        </w:rPr>
        <w:t xml:space="preserve"> e no primeiro </w:t>
      </w:r>
      <w:r>
        <w:rPr>
          <w:rFonts w:cs="Arial"/>
          <w:szCs w:val="22"/>
        </w:rPr>
        <w:t>semestre</w:t>
      </w:r>
      <w:r w:rsidRPr="009E41F8">
        <w:rPr>
          <w:rFonts w:cs="Arial"/>
          <w:szCs w:val="22"/>
        </w:rPr>
        <w:t xml:space="preserve"> d</w:t>
      </w:r>
      <w:r>
        <w:rPr>
          <w:rFonts w:cs="Arial"/>
          <w:szCs w:val="22"/>
        </w:rPr>
        <w:t>a etapa de</w:t>
      </w:r>
      <w:r w:rsidRPr="009E41F8">
        <w:rPr>
          <w:rFonts w:cs="Arial"/>
          <w:szCs w:val="22"/>
        </w:rPr>
        <w:t xml:space="preserve"> operação </w:t>
      </w:r>
      <w:r>
        <w:rPr>
          <w:rFonts w:cs="Arial"/>
          <w:szCs w:val="22"/>
        </w:rPr>
        <w:t xml:space="preserve">dos reservatórios, </w:t>
      </w:r>
      <w:r w:rsidRPr="009E41F8">
        <w:rPr>
          <w:rFonts w:cs="Arial"/>
          <w:szCs w:val="22"/>
        </w:rPr>
        <w:t xml:space="preserve">serão realizadas campanhas </w:t>
      </w:r>
      <w:r w:rsidR="00B71543">
        <w:rPr>
          <w:rFonts w:cs="Arial"/>
          <w:szCs w:val="22"/>
        </w:rPr>
        <w:t>bimestrais</w:t>
      </w:r>
      <w:r w:rsidRPr="009E41F8">
        <w:rPr>
          <w:rFonts w:cs="Arial"/>
          <w:szCs w:val="22"/>
        </w:rPr>
        <w:t>.</w:t>
      </w:r>
      <w:r w:rsidRPr="009E41F8" w:rsidDel="00596866">
        <w:rPr>
          <w:rFonts w:cs="Arial"/>
          <w:szCs w:val="22"/>
        </w:rPr>
        <w:t xml:space="preserve"> </w:t>
      </w:r>
      <w:r w:rsidRPr="009E41F8">
        <w:rPr>
          <w:rFonts w:cs="Arial"/>
          <w:szCs w:val="22"/>
        </w:rPr>
        <w:t>A periodicidade das amostragens nas etapas posteriores será determinada durante a execução des</w:t>
      </w:r>
      <w:r>
        <w:rPr>
          <w:rFonts w:cs="Arial"/>
          <w:szCs w:val="22"/>
        </w:rPr>
        <w:t>t</w:t>
      </w:r>
      <w:r w:rsidRPr="009E41F8">
        <w:rPr>
          <w:rFonts w:cs="Arial"/>
          <w:szCs w:val="22"/>
        </w:rPr>
        <w:t>e programa.</w:t>
      </w:r>
      <w:r>
        <w:rPr>
          <w:rFonts w:cs="Arial"/>
          <w:szCs w:val="22"/>
        </w:rPr>
        <w:t xml:space="preserve"> </w:t>
      </w:r>
      <w:r w:rsidRPr="009E41F8">
        <w:rPr>
          <w:rFonts w:cs="Arial"/>
          <w:szCs w:val="22"/>
        </w:rPr>
        <w:t xml:space="preserve">Caso sejam observadas alterações nos corpos d’água em estudo, deverão ser indicadas medidas preventivas e corretivas, visando à preservação </w:t>
      </w:r>
      <w:r>
        <w:rPr>
          <w:rFonts w:cs="Arial"/>
          <w:szCs w:val="22"/>
        </w:rPr>
        <w:t>dos mananciais</w:t>
      </w:r>
      <w:r w:rsidRPr="009E41F8">
        <w:rPr>
          <w:rFonts w:cs="Arial"/>
          <w:szCs w:val="22"/>
        </w:rPr>
        <w:t xml:space="preserve"> em estudo. </w:t>
      </w:r>
    </w:p>
    <w:p w:rsidR="00AF1DD3" w:rsidRPr="009E41F8" w:rsidRDefault="00AF1DD3" w:rsidP="00431A97">
      <w:pPr>
        <w:pStyle w:val="Ttulo3"/>
        <w:numPr>
          <w:ilvl w:val="3"/>
          <w:numId w:val="51"/>
        </w:numPr>
      </w:pPr>
      <w:bookmarkStart w:id="927" w:name="_Toc419813757"/>
      <w:r w:rsidRPr="009E41F8">
        <w:t>Cronograma de Execução</w:t>
      </w:r>
      <w:bookmarkEnd w:id="927"/>
    </w:p>
    <w:p w:rsidR="00AF1DD3" w:rsidRDefault="00AF1DD3" w:rsidP="00AF1DD3">
      <w:pPr>
        <w:spacing w:after="120" w:line="240" w:lineRule="auto"/>
        <w:rPr>
          <w:rFonts w:cs="Arial"/>
          <w:szCs w:val="22"/>
        </w:rPr>
      </w:pPr>
      <w:r w:rsidRPr="009E41F8">
        <w:rPr>
          <w:rFonts w:cs="Arial"/>
          <w:szCs w:val="22"/>
        </w:rPr>
        <w:t>No quadro a seguir, é apresentado o cronograma das principais atividades previstas no contexto do Programa de Monitoramento de Qualidade da</w:t>
      </w:r>
      <w:r>
        <w:rPr>
          <w:rFonts w:cs="Arial"/>
          <w:szCs w:val="22"/>
        </w:rPr>
        <w:t>s</w:t>
      </w:r>
      <w:r w:rsidRPr="009E41F8">
        <w:rPr>
          <w:rFonts w:cs="Arial"/>
          <w:szCs w:val="22"/>
        </w:rPr>
        <w:t xml:space="preserve"> Água</w:t>
      </w:r>
      <w:r>
        <w:rPr>
          <w:rFonts w:cs="Arial"/>
          <w:szCs w:val="22"/>
        </w:rPr>
        <w:t>s Superficiais e dos Sedimentos</w:t>
      </w:r>
      <w:r w:rsidRPr="009E41F8">
        <w:rPr>
          <w:rFonts w:cs="Arial"/>
          <w:szCs w:val="22"/>
        </w:rPr>
        <w:t xml:space="preserve"> nas fases de planejamento, implantação,</w:t>
      </w:r>
      <w:r>
        <w:rPr>
          <w:rFonts w:cs="Arial"/>
          <w:szCs w:val="22"/>
        </w:rPr>
        <w:t xml:space="preserve"> incluindo o</w:t>
      </w:r>
      <w:r w:rsidRPr="009E41F8">
        <w:rPr>
          <w:rFonts w:cs="Arial"/>
          <w:szCs w:val="22"/>
        </w:rPr>
        <w:t xml:space="preserve"> enchimento</w:t>
      </w:r>
      <w:r>
        <w:rPr>
          <w:rFonts w:cs="Arial"/>
          <w:szCs w:val="22"/>
        </w:rPr>
        <w:t>,</w:t>
      </w:r>
      <w:r w:rsidRPr="009E41F8">
        <w:rPr>
          <w:rFonts w:cs="Arial"/>
          <w:szCs w:val="22"/>
        </w:rPr>
        <w:t xml:space="preserve"> e operação do Empreendimento B</w:t>
      </w:r>
      <w:r w:rsidR="000F4B70">
        <w:rPr>
          <w:rFonts w:cs="Arial"/>
          <w:szCs w:val="22"/>
        </w:rPr>
        <w:t>arragens Pedreira e Duas Pontes</w:t>
      </w:r>
      <w:r w:rsidR="00B71543">
        <w:rPr>
          <w:rFonts w:cs="Arial"/>
          <w:szCs w:val="22"/>
        </w:rPr>
        <w:t xml:space="preserve"> </w:t>
      </w:r>
      <w:r w:rsidR="000F4B70">
        <w:rPr>
          <w:rFonts w:cs="Arial"/>
          <w:szCs w:val="22"/>
        </w:rPr>
        <w:t>(Quadro 3.3.6.5.).</w:t>
      </w:r>
    </w:p>
    <w:p w:rsidR="001D5114" w:rsidRDefault="001D5114" w:rsidP="00AF1DD3">
      <w:pPr>
        <w:spacing w:after="120" w:line="240" w:lineRule="auto"/>
        <w:rPr>
          <w:rFonts w:cs="Arial"/>
          <w:szCs w:val="22"/>
        </w:rPr>
      </w:pPr>
    </w:p>
    <w:p w:rsidR="00AF1DD3" w:rsidRPr="00B73D6E" w:rsidRDefault="00B73D6E" w:rsidP="001D5114">
      <w:pPr>
        <w:pStyle w:val="Legenda"/>
        <w:spacing w:line="240" w:lineRule="auto"/>
        <w:jc w:val="center"/>
        <w:rPr>
          <w:rFonts w:cs="Arial"/>
          <w:b w:val="0"/>
          <w:i w:val="0"/>
          <w:szCs w:val="22"/>
        </w:rPr>
      </w:pPr>
      <w:r w:rsidRPr="00B73D6E">
        <w:rPr>
          <w:i w:val="0"/>
        </w:rPr>
        <w:t>Quadro 3.3.6.</w:t>
      </w:r>
      <w:r w:rsidR="00B80A05" w:rsidRPr="00B73D6E">
        <w:rPr>
          <w:i w:val="0"/>
        </w:rPr>
        <w:fldChar w:fldCharType="begin"/>
      </w:r>
      <w:r w:rsidRPr="00B73D6E">
        <w:rPr>
          <w:i w:val="0"/>
        </w:rPr>
        <w:instrText xml:space="preserve"> SEQ Quadro_3.3.6 \* ARABIC </w:instrText>
      </w:r>
      <w:r w:rsidR="00B80A05" w:rsidRPr="00B73D6E">
        <w:rPr>
          <w:i w:val="0"/>
        </w:rPr>
        <w:fldChar w:fldCharType="separate"/>
      </w:r>
      <w:r w:rsidR="00316060">
        <w:rPr>
          <w:i w:val="0"/>
          <w:noProof/>
        </w:rPr>
        <w:t>10</w:t>
      </w:r>
      <w:r w:rsidR="00B80A05" w:rsidRPr="00B73D6E">
        <w:rPr>
          <w:i w:val="0"/>
        </w:rPr>
        <w:fldChar w:fldCharType="end"/>
      </w:r>
      <w:r w:rsidRPr="00B73D6E">
        <w:rPr>
          <w:i w:val="0"/>
        </w:rPr>
        <w:t>.</w:t>
      </w:r>
      <w:r w:rsidRPr="00B73D6E">
        <w:rPr>
          <w:b w:val="0"/>
          <w:i w:val="0"/>
        </w:rPr>
        <w:t xml:space="preserve"> - </w:t>
      </w:r>
      <w:r w:rsidR="00AF1DD3" w:rsidRPr="00B73D6E">
        <w:rPr>
          <w:rFonts w:cs="Arial"/>
          <w:b w:val="0"/>
          <w:i w:val="0"/>
          <w:szCs w:val="22"/>
        </w:rPr>
        <w:t>Cronograma de Atividades do Programa de Monitoramento de Qualidade das Águas Superficiais e dos Sedimentos - Barragens Pedreira e Duas Pontes.</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4606"/>
        <w:gridCol w:w="1800"/>
        <w:gridCol w:w="1707"/>
        <w:gridCol w:w="1382"/>
      </w:tblGrid>
      <w:tr w:rsidR="00AF1DD3" w:rsidRPr="009E41F8" w:rsidTr="00B73D6E">
        <w:trPr>
          <w:trHeight w:val="315"/>
        </w:trPr>
        <w:tc>
          <w:tcPr>
            <w:tcW w:w="2425" w:type="pct"/>
            <w:shd w:val="clear" w:color="000000" w:fill="D9D9D9"/>
            <w:vAlign w:val="center"/>
            <w:hideMark/>
          </w:tcPr>
          <w:p w:rsidR="00AF1DD3" w:rsidRPr="009E41F8" w:rsidRDefault="00AF1DD3" w:rsidP="00AF1DD3">
            <w:pPr>
              <w:spacing w:after="120" w:line="240" w:lineRule="auto"/>
              <w:jc w:val="center"/>
              <w:rPr>
                <w:rFonts w:cs="Arial"/>
                <w:b/>
                <w:bCs/>
                <w:szCs w:val="22"/>
              </w:rPr>
            </w:pPr>
            <w:r w:rsidRPr="009E41F8">
              <w:rPr>
                <w:rFonts w:cs="Arial"/>
                <w:b/>
                <w:bCs/>
                <w:szCs w:val="22"/>
              </w:rPr>
              <w:t>Atividades</w:t>
            </w:r>
          </w:p>
        </w:tc>
        <w:tc>
          <w:tcPr>
            <w:tcW w:w="948" w:type="pct"/>
            <w:shd w:val="clear" w:color="000000" w:fill="D9D9D9"/>
            <w:vAlign w:val="center"/>
            <w:hideMark/>
          </w:tcPr>
          <w:p w:rsidR="00AF1DD3" w:rsidRPr="009E41F8" w:rsidRDefault="00AF1DD3" w:rsidP="00AF1DD3">
            <w:pPr>
              <w:spacing w:after="120" w:line="240" w:lineRule="auto"/>
              <w:jc w:val="center"/>
              <w:rPr>
                <w:rFonts w:cs="Arial"/>
                <w:b/>
                <w:bCs/>
                <w:szCs w:val="22"/>
              </w:rPr>
            </w:pPr>
            <w:r w:rsidRPr="009E41F8">
              <w:rPr>
                <w:rFonts w:cs="Arial"/>
                <w:b/>
                <w:bCs/>
                <w:szCs w:val="22"/>
              </w:rPr>
              <w:t>Planejamento</w:t>
            </w:r>
          </w:p>
        </w:tc>
        <w:tc>
          <w:tcPr>
            <w:tcW w:w="899" w:type="pct"/>
            <w:shd w:val="clear" w:color="000000" w:fill="D9D9D9"/>
            <w:vAlign w:val="center"/>
            <w:hideMark/>
          </w:tcPr>
          <w:p w:rsidR="00AF1DD3" w:rsidRPr="009E41F8" w:rsidRDefault="00AF1DD3" w:rsidP="00AF1DD3">
            <w:pPr>
              <w:spacing w:after="120" w:line="240" w:lineRule="auto"/>
              <w:jc w:val="center"/>
              <w:rPr>
                <w:rFonts w:cs="Arial"/>
                <w:b/>
                <w:bCs/>
                <w:szCs w:val="22"/>
              </w:rPr>
            </w:pPr>
            <w:r w:rsidRPr="009E41F8">
              <w:rPr>
                <w:rFonts w:cs="Arial"/>
                <w:b/>
                <w:bCs/>
                <w:szCs w:val="22"/>
              </w:rPr>
              <w:t>Implantação</w:t>
            </w:r>
          </w:p>
        </w:tc>
        <w:tc>
          <w:tcPr>
            <w:tcW w:w="728" w:type="pct"/>
            <w:shd w:val="clear" w:color="000000" w:fill="D9D9D9"/>
            <w:vAlign w:val="center"/>
          </w:tcPr>
          <w:p w:rsidR="00AF1DD3" w:rsidRPr="009E41F8" w:rsidRDefault="00AF1DD3" w:rsidP="00AF1DD3">
            <w:pPr>
              <w:spacing w:after="120" w:line="240" w:lineRule="auto"/>
              <w:jc w:val="center"/>
              <w:rPr>
                <w:rFonts w:cs="Arial"/>
                <w:b/>
                <w:bCs/>
                <w:szCs w:val="22"/>
              </w:rPr>
            </w:pPr>
            <w:r w:rsidRPr="009E41F8">
              <w:rPr>
                <w:rFonts w:cs="Arial"/>
                <w:b/>
                <w:bCs/>
                <w:szCs w:val="22"/>
              </w:rPr>
              <w:t>Operação</w:t>
            </w:r>
          </w:p>
        </w:tc>
      </w:tr>
      <w:tr w:rsidR="00AF1DD3" w:rsidRPr="009E41F8" w:rsidTr="00B73D6E">
        <w:trPr>
          <w:trHeight w:val="315"/>
        </w:trPr>
        <w:tc>
          <w:tcPr>
            <w:tcW w:w="2425" w:type="pct"/>
            <w:shd w:val="clear" w:color="000000" w:fill="FFFFFF"/>
            <w:vAlign w:val="center"/>
            <w:hideMark/>
          </w:tcPr>
          <w:p w:rsidR="00AF1DD3" w:rsidRPr="009E41F8" w:rsidRDefault="00AF1DD3" w:rsidP="00B73D6E">
            <w:pPr>
              <w:spacing w:after="120" w:line="240" w:lineRule="auto"/>
              <w:rPr>
                <w:rFonts w:cs="Arial"/>
                <w:szCs w:val="22"/>
              </w:rPr>
            </w:pPr>
            <w:r w:rsidRPr="009E41F8">
              <w:rPr>
                <w:rFonts w:cs="Arial"/>
                <w:szCs w:val="22"/>
              </w:rPr>
              <w:t>Execução das campanhas de campo</w:t>
            </w:r>
          </w:p>
        </w:tc>
        <w:tc>
          <w:tcPr>
            <w:tcW w:w="948" w:type="pct"/>
            <w:shd w:val="clear" w:color="auto" w:fill="auto"/>
            <w:vAlign w:val="center"/>
            <w:hideMark/>
          </w:tcPr>
          <w:p w:rsidR="00AF1DD3" w:rsidRPr="009E41F8" w:rsidRDefault="00AF1DD3" w:rsidP="00B73D6E">
            <w:pPr>
              <w:spacing w:after="120" w:line="240" w:lineRule="auto"/>
              <w:jc w:val="center"/>
              <w:rPr>
                <w:rFonts w:cs="Arial"/>
                <w:szCs w:val="22"/>
              </w:rPr>
            </w:pPr>
            <w:r w:rsidRPr="009E41F8">
              <w:rPr>
                <w:rFonts w:cs="Arial"/>
                <w:szCs w:val="22"/>
              </w:rPr>
              <w:t>X</w:t>
            </w:r>
          </w:p>
        </w:tc>
        <w:tc>
          <w:tcPr>
            <w:tcW w:w="899" w:type="pct"/>
            <w:shd w:val="clear" w:color="auto" w:fill="auto"/>
            <w:vAlign w:val="center"/>
            <w:hideMark/>
          </w:tcPr>
          <w:p w:rsidR="00AF1DD3" w:rsidRPr="009E41F8" w:rsidRDefault="00AF1DD3" w:rsidP="00B73D6E">
            <w:pPr>
              <w:spacing w:after="120" w:line="240" w:lineRule="auto"/>
              <w:jc w:val="center"/>
              <w:rPr>
                <w:rFonts w:cs="Arial"/>
                <w:szCs w:val="22"/>
              </w:rPr>
            </w:pPr>
            <w:r w:rsidRPr="009E41F8">
              <w:rPr>
                <w:rFonts w:cs="Arial"/>
                <w:szCs w:val="22"/>
              </w:rPr>
              <w:t>X</w:t>
            </w:r>
          </w:p>
        </w:tc>
        <w:tc>
          <w:tcPr>
            <w:tcW w:w="728" w:type="pct"/>
            <w:vAlign w:val="center"/>
          </w:tcPr>
          <w:p w:rsidR="00AF1DD3" w:rsidRPr="009E41F8" w:rsidRDefault="00AF1DD3" w:rsidP="00B73D6E">
            <w:pPr>
              <w:spacing w:after="120" w:line="240" w:lineRule="auto"/>
              <w:jc w:val="center"/>
              <w:rPr>
                <w:rFonts w:cs="Arial"/>
                <w:szCs w:val="22"/>
              </w:rPr>
            </w:pPr>
            <w:r w:rsidRPr="009E41F8">
              <w:rPr>
                <w:rFonts w:cs="Arial"/>
                <w:szCs w:val="22"/>
              </w:rPr>
              <w:t>X</w:t>
            </w:r>
          </w:p>
        </w:tc>
      </w:tr>
      <w:tr w:rsidR="00AF1DD3" w:rsidRPr="009E41F8" w:rsidTr="00B73D6E">
        <w:trPr>
          <w:trHeight w:val="315"/>
        </w:trPr>
        <w:tc>
          <w:tcPr>
            <w:tcW w:w="2425" w:type="pct"/>
            <w:shd w:val="clear" w:color="000000" w:fill="FFFFFF"/>
            <w:vAlign w:val="center"/>
            <w:hideMark/>
          </w:tcPr>
          <w:p w:rsidR="00AF1DD3" w:rsidRPr="009E41F8" w:rsidRDefault="00AF1DD3" w:rsidP="00B73D6E">
            <w:pPr>
              <w:spacing w:after="120" w:line="240" w:lineRule="auto"/>
              <w:rPr>
                <w:rFonts w:cs="Arial"/>
                <w:szCs w:val="22"/>
              </w:rPr>
            </w:pPr>
            <w:r w:rsidRPr="009E41F8">
              <w:rPr>
                <w:rFonts w:cs="Arial"/>
                <w:szCs w:val="22"/>
              </w:rPr>
              <w:t>Emissão de relatórios técnicos parciais</w:t>
            </w:r>
          </w:p>
        </w:tc>
        <w:tc>
          <w:tcPr>
            <w:tcW w:w="948" w:type="pct"/>
            <w:shd w:val="clear" w:color="auto" w:fill="auto"/>
            <w:vAlign w:val="center"/>
            <w:hideMark/>
          </w:tcPr>
          <w:p w:rsidR="00AF1DD3" w:rsidRPr="009E41F8" w:rsidRDefault="00AF1DD3" w:rsidP="00B73D6E">
            <w:pPr>
              <w:spacing w:after="120" w:line="240" w:lineRule="auto"/>
              <w:jc w:val="center"/>
              <w:rPr>
                <w:rFonts w:cs="Arial"/>
                <w:szCs w:val="22"/>
              </w:rPr>
            </w:pPr>
            <w:r w:rsidRPr="009E41F8">
              <w:rPr>
                <w:rFonts w:cs="Arial"/>
                <w:szCs w:val="22"/>
              </w:rPr>
              <w:t>X</w:t>
            </w:r>
          </w:p>
        </w:tc>
        <w:tc>
          <w:tcPr>
            <w:tcW w:w="899" w:type="pct"/>
            <w:shd w:val="clear" w:color="auto" w:fill="auto"/>
            <w:vAlign w:val="center"/>
            <w:hideMark/>
          </w:tcPr>
          <w:p w:rsidR="00AF1DD3" w:rsidRPr="009E41F8" w:rsidRDefault="00AF1DD3" w:rsidP="00B73D6E">
            <w:pPr>
              <w:spacing w:after="120" w:line="240" w:lineRule="auto"/>
              <w:jc w:val="center"/>
              <w:rPr>
                <w:rFonts w:cs="Arial"/>
                <w:szCs w:val="22"/>
              </w:rPr>
            </w:pPr>
            <w:r w:rsidRPr="009E41F8">
              <w:rPr>
                <w:rFonts w:cs="Arial"/>
                <w:szCs w:val="22"/>
              </w:rPr>
              <w:t>X</w:t>
            </w:r>
          </w:p>
        </w:tc>
        <w:tc>
          <w:tcPr>
            <w:tcW w:w="728" w:type="pct"/>
            <w:vAlign w:val="center"/>
          </w:tcPr>
          <w:p w:rsidR="00AF1DD3" w:rsidRPr="009E41F8" w:rsidRDefault="00AF1DD3" w:rsidP="00B73D6E">
            <w:pPr>
              <w:spacing w:after="120" w:line="240" w:lineRule="auto"/>
              <w:jc w:val="center"/>
              <w:rPr>
                <w:rFonts w:cs="Arial"/>
                <w:szCs w:val="22"/>
              </w:rPr>
            </w:pPr>
            <w:r w:rsidRPr="009E41F8">
              <w:rPr>
                <w:rFonts w:cs="Arial"/>
                <w:szCs w:val="22"/>
              </w:rPr>
              <w:t>X</w:t>
            </w:r>
          </w:p>
        </w:tc>
      </w:tr>
      <w:tr w:rsidR="00AF1DD3" w:rsidRPr="009E41F8" w:rsidTr="00B73D6E">
        <w:trPr>
          <w:trHeight w:val="315"/>
        </w:trPr>
        <w:tc>
          <w:tcPr>
            <w:tcW w:w="2425" w:type="pct"/>
            <w:shd w:val="clear" w:color="000000" w:fill="FFFFFF"/>
            <w:vAlign w:val="center"/>
            <w:hideMark/>
          </w:tcPr>
          <w:p w:rsidR="00AF1DD3" w:rsidRPr="009E41F8" w:rsidRDefault="00AF1DD3" w:rsidP="00B73D6E">
            <w:pPr>
              <w:spacing w:after="120" w:line="240" w:lineRule="auto"/>
              <w:rPr>
                <w:rFonts w:cs="Arial"/>
                <w:szCs w:val="22"/>
              </w:rPr>
            </w:pPr>
            <w:r w:rsidRPr="009E41F8">
              <w:rPr>
                <w:rFonts w:cs="Arial"/>
                <w:szCs w:val="22"/>
              </w:rPr>
              <w:t>Emissão de relatórios técnicos consolidados</w:t>
            </w:r>
          </w:p>
        </w:tc>
        <w:tc>
          <w:tcPr>
            <w:tcW w:w="948" w:type="pct"/>
            <w:shd w:val="clear" w:color="auto" w:fill="auto"/>
            <w:vAlign w:val="center"/>
            <w:hideMark/>
          </w:tcPr>
          <w:p w:rsidR="00AF1DD3" w:rsidRPr="009E41F8" w:rsidRDefault="00AF1DD3" w:rsidP="00B73D6E">
            <w:pPr>
              <w:spacing w:after="120" w:line="240" w:lineRule="auto"/>
              <w:jc w:val="center"/>
              <w:rPr>
                <w:rFonts w:cs="Arial"/>
                <w:szCs w:val="22"/>
              </w:rPr>
            </w:pPr>
            <w:r>
              <w:rPr>
                <w:rFonts w:cs="Arial"/>
                <w:szCs w:val="22"/>
              </w:rPr>
              <w:t>*</w:t>
            </w:r>
          </w:p>
        </w:tc>
        <w:tc>
          <w:tcPr>
            <w:tcW w:w="899" w:type="pct"/>
            <w:shd w:val="clear" w:color="auto" w:fill="auto"/>
            <w:vAlign w:val="center"/>
            <w:hideMark/>
          </w:tcPr>
          <w:p w:rsidR="00AF1DD3" w:rsidRPr="009E41F8" w:rsidRDefault="00AF1DD3" w:rsidP="00B73D6E">
            <w:pPr>
              <w:spacing w:after="120" w:line="240" w:lineRule="auto"/>
              <w:jc w:val="center"/>
              <w:rPr>
                <w:rFonts w:cs="Arial"/>
                <w:szCs w:val="22"/>
              </w:rPr>
            </w:pPr>
            <w:r w:rsidRPr="009E41F8">
              <w:rPr>
                <w:rFonts w:cs="Arial"/>
                <w:szCs w:val="22"/>
              </w:rPr>
              <w:t>X</w:t>
            </w:r>
          </w:p>
        </w:tc>
        <w:tc>
          <w:tcPr>
            <w:tcW w:w="728" w:type="pct"/>
            <w:vAlign w:val="center"/>
          </w:tcPr>
          <w:p w:rsidR="00AF1DD3" w:rsidRPr="009E41F8" w:rsidRDefault="00AF1DD3" w:rsidP="00B73D6E">
            <w:pPr>
              <w:spacing w:after="120" w:line="240" w:lineRule="auto"/>
              <w:jc w:val="center"/>
              <w:rPr>
                <w:rFonts w:cs="Arial"/>
                <w:szCs w:val="22"/>
              </w:rPr>
            </w:pPr>
            <w:r w:rsidRPr="009E41F8">
              <w:rPr>
                <w:rFonts w:cs="Arial"/>
                <w:szCs w:val="22"/>
              </w:rPr>
              <w:t>X</w:t>
            </w:r>
          </w:p>
        </w:tc>
      </w:tr>
    </w:tbl>
    <w:p w:rsidR="00492098" w:rsidRPr="00B73D6E" w:rsidRDefault="00AF1DD3" w:rsidP="00B73D6E">
      <w:pPr>
        <w:spacing w:after="120" w:line="240" w:lineRule="auto"/>
        <w:ind w:left="851" w:hanging="851"/>
        <w:rPr>
          <w:rFonts w:cs="Arial"/>
          <w:sz w:val="20"/>
        </w:rPr>
      </w:pPr>
      <w:r w:rsidRPr="00B73D6E">
        <w:rPr>
          <w:rFonts w:cs="Arial"/>
          <w:sz w:val="20"/>
        </w:rPr>
        <w:t>*</w:t>
      </w:r>
      <w:r w:rsidR="001D5114">
        <w:rPr>
          <w:rFonts w:cs="Arial"/>
          <w:sz w:val="20"/>
        </w:rPr>
        <w:t xml:space="preserve"> </w:t>
      </w:r>
      <w:r w:rsidRPr="00B73D6E">
        <w:rPr>
          <w:rFonts w:cs="Arial"/>
          <w:sz w:val="20"/>
        </w:rPr>
        <w:t>Nota:</w:t>
      </w:r>
      <w:r w:rsidR="00B73D6E">
        <w:rPr>
          <w:rFonts w:cs="Arial"/>
          <w:sz w:val="20"/>
        </w:rPr>
        <w:tab/>
        <w:t>N</w:t>
      </w:r>
      <w:r w:rsidRPr="00B73D6E">
        <w:rPr>
          <w:rFonts w:cs="Arial"/>
          <w:sz w:val="20"/>
        </w:rPr>
        <w:t>a etapa de planejamento não está prevista a emissão de relatório consolidado, pois será realizada apenas uma coleta.</w:t>
      </w:r>
    </w:p>
    <w:p w:rsidR="00AF1DD3" w:rsidRPr="00492098" w:rsidRDefault="00AF1DD3" w:rsidP="00492098">
      <w:pPr>
        <w:spacing w:before="120" w:after="120" w:line="240" w:lineRule="auto"/>
        <w:rPr>
          <w:rFonts w:cs="Arial"/>
          <w:szCs w:val="22"/>
        </w:rPr>
      </w:pPr>
    </w:p>
    <w:p w:rsidR="00AF1DD3" w:rsidRPr="009E41F8" w:rsidRDefault="00AF1DD3" w:rsidP="00431A97">
      <w:pPr>
        <w:pStyle w:val="Ttulo3"/>
        <w:numPr>
          <w:ilvl w:val="3"/>
          <w:numId w:val="51"/>
        </w:numPr>
      </w:pPr>
      <w:bookmarkStart w:id="928" w:name="_Toc419813758"/>
      <w:r w:rsidRPr="009E41F8">
        <w:t>Responsável pela Impl</w:t>
      </w:r>
      <w:r>
        <w:t>antação</w:t>
      </w:r>
      <w:r w:rsidRPr="009E41F8">
        <w:t xml:space="preserve"> do Programa</w:t>
      </w:r>
      <w:bookmarkEnd w:id="928"/>
    </w:p>
    <w:p w:rsidR="00492098" w:rsidRDefault="003442CE" w:rsidP="00492098">
      <w:pPr>
        <w:spacing w:after="120" w:line="240" w:lineRule="auto"/>
        <w:rPr>
          <w:rFonts w:cs="Arial"/>
          <w:szCs w:val="22"/>
        </w:rPr>
      </w:pPr>
      <w:r w:rsidRPr="003442CE">
        <w:rPr>
          <w:rFonts w:cs="Arial"/>
          <w:szCs w:val="22"/>
        </w:rPr>
        <w:t>O empreendedor será responsável pela implementação do programa devendo contratar as empresas que executarão as ações do programa em pauta e pela supervisão de todas as etapas do projeto.</w:t>
      </w:r>
    </w:p>
    <w:p w:rsidR="00AF1DD3" w:rsidRPr="009E41F8" w:rsidRDefault="00AF1DD3" w:rsidP="00431A97">
      <w:pPr>
        <w:pStyle w:val="Ttulo3"/>
        <w:numPr>
          <w:ilvl w:val="3"/>
          <w:numId w:val="51"/>
        </w:numPr>
      </w:pPr>
      <w:bookmarkStart w:id="929" w:name="_Toc419813759"/>
      <w:r w:rsidRPr="009E41F8">
        <w:t>Sistemas de Registro</w:t>
      </w:r>
      <w:bookmarkEnd w:id="929"/>
    </w:p>
    <w:p w:rsidR="00AF1DD3" w:rsidRDefault="00AF1DD3" w:rsidP="00AF1DD3">
      <w:pPr>
        <w:spacing w:after="120" w:line="240" w:lineRule="auto"/>
        <w:rPr>
          <w:rFonts w:cs="Arial"/>
          <w:szCs w:val="22"/>
        </w:rPr>
      </w:pPr>
      <w:r>
        <w:rPr>
          <w:rFonts w:cs="Arial"/>
          <w:szCs w:val="22"/>
        </w:rPr>
        <w:t xml:space="preserve">Para cada barragem, em cada campanha, </w:t>
      </w:r>
      <w:r w:rsidRPr="00846002">
        <w:rPr>
          <w:rFonts w:cs="Arial"/>
          <w:szCs w:val="22"/>
        </w:rPr>
        <w:t>será elaborado um relatório técnico</w:t>
      </w:r>
      <w:r>
        <w:rPr>
          <w:rFonts w:cs="Arial"/>
          <w:szCs w:val="22"/>
        </w:rPr>
        <w:t>. Anualmente</w:t>
      </w:r>
      <w:r w:rsidRPr="00846002">
        <w:rPr>
          <w:rFonts w:cs="Arial"/>
          <w:szCs w:val="22"/>
        </w:rPr>
        <w:t xml:space="preserve"> os dados serão consolidados em um relatório final, no qua</w:t>
      </w:r>
      <w:r>
        <w:rPr>
          <w:rFonts w:cs="Arial"/>
          <w:szCs w:val="22"/>
        </w:rPr>
        <w:t>l</w:t>
      </w:r>
      <w:r w:rsidRPr="00846002">
        <w:rPr>
          <w:rFonts w:cs="Arial"/>
          <w:szCs w:val="22"/>
        </w:rPr>
        <w:t xml:space="preserve"> serão indicadas eventuais alterações nos cursos d’água amostrados e medidas preventivas e corretivas, visando à preservação dos mananciais que serão utilizados para abastecimento público.</w:t>
      </w:r>
      <w:r w:rsidRPr="009E41F8">
        <w:rPr>
          <w:rFonts w:cs="Arial"/>
          <w:szCs w:val="22"/>
        </w:rPr>
        <w:t xml:space="preserve"> </w:t>
      </w:r>
      <w:r>
        <w:rPr>
          <w:rFonts w:cs="Arial"/>
          <w:szCs w:val="22"/>
        </w:rPr>
        <w:t xml:space="preserve">Na interpretação dos </w:t>
      </w:r>
      <w:r w:rsidRPr="009E41F8">
        <w:rPr>
          <w:rFonts w:cs="Arial"/>
          <w:szCs w:val="22"/>
        </w:rPr>
        <w:t xml:space="preserve">resultados obtidos no </w:t>
      </w:r>
      <w:r>
        <w:rPr>
          <w:rFonts w:cs="Arial"/>
          <w:szCs w:val="22"/>
        </w:rPr>
        <w:t>Programa de Monitoramento da Qualidade das Águas Superficiais e dos Sedimentos</w:t>
      </w:r>
      <w:r w:rsidRPr="009E41F8">
        <w:rPr>
          <w:rFonts w:cs="Arial"/>
          <w:szCs w:val="22"/>
        </w:rPr>
        <w:t xml:space="preserve"> ser</w:t>
      </w:r>
      <w:r>
        <w:rPr>
          <w:rFonts w:cs="Arial"/>
          <w:szCs w:val="22"/>
        </w:rPr>
        <w:t>á</w:t>
      </w:r>
      <w:r w:rsidRPr="009E41F8">
        <w:rPr>
          <w:rFonts w:cs="Arial"/>
          <w:szCs w:val="22"/>
        </w:rPr>
        <w:t xml:space="preserve"> </w:t>
      </w:r>
      <w:r>
        <w:rPr>
          <w:rFonts w:cs="Arial"/>
          <w:szCs w:val="22"/>
        </w:rPr>
        <w:t xml:space="preserve">considerada a </w:t>
      </w:r>
      <w:r w:rsidRPr="009E41F8">
        <w:rPr>
          <w:rFonts w:cs="Arial"/>
          <w:szCs w:val="22"/>
        </w:rPr>
        <w:t xml:space="preserve">variação </w:t>
      </w:r>
      <w:r w:rsidRPr="00846002">
        <w:rPr>
          <w:rFonts w:cs="Arial"/>
          <w:szCs w:val="22"/>
        </w:rPr>
        <w:t>espacial e temporal dos dados.</w:t>
      </w:r>
    </w:p>
    <w:p w:rsidR="001D5114" w:rsidRDefault="001D5114" w:rsidP="00AF1DD3">
      <w:pPr>
        <w:spacing w:after="120" w:line="240" w:lineRule="auto"/>
        <w:rPr>
          <w:rFonts w:cs="Arial"/>
          <w:szCs w:val="22"/>
        </w:rPr>
      </w:pPr>
      <w:r>
        <w:rPr>
          <w:rFonts w:cs="Arial"/>
          <w:szCs w:val="22"/>
        </w:rPr>
        <w:br w:type="page"/>
      </w:r>
    </w:p>
    <w:p w:rsidR="00AF1DD3" w:rsidRDefault="00AF1DD3" w:rsidP="00431A97">
      <w:pPr>
        <w:pStyle w:val="Ttulo3"/>
        <w:numPr>
          <w:ilvl w:val="3"/>
          <w:numId w:val="51"/>
        </w:numPr>
      </w:pPr>
      <w:bookmarkStart w:id="930" w:name="_Toc341269181"/>
      <w:bookmarkStart w:id="931" w:name="_Toc419813760"/>
      <w:r w:rsidRPr="009E41F8">
        <w:t>Referência</w:t>
      </w:r>
      <w:r>
        <w:t>s</w:t>
      </w:r>
      <w:r w:rsidRPr="009E41F8">
        <w:t xml:space="preserve"> Bibliográfica</w:t>
      </w:r>
      <w:bookmarkEnd w:id="930"/>
      <w:r>
        <w:t>s</w:t>
      </w:r>
      <w:bookmarkEnd w:id="931"/>
    </w:p>
    <w:p w:rsidR="001D5114" w:rsidRPr="001D5114" w:rsidRDefault="001D5114" w:rsidP="001D5114"/>
    <w:p w:rsidR="00AF1DD3" w:rsidRPr="00B73D6E" w:rsidRDefault="00AF1DD3" w:rsidP="00B73D6E">
      <w:pPr>
        <w:pStyle w:val="Item-Trainho"/>
      </w:pPr>
      <w:r w:rsidRPr="00C85203">
        <w:rPr>
          <w:lang w:val="en-US"/>
        </w:rPr>
        <w:t>AMERICAN PUBLIC HEALTH ASSOCIATION - APHA.</w:t>
      </w:r>
      <w:r w:rsidRPr="00C85203">
        <w:rPr>
          <w:b/>
          <w:lang w:val="en-US"/>
        </w:rPr>
        <w:t>Standard Methods for the Examination of Water and Wastewater.</w:t>
      </w:r>
      <w:r w:rsidRPr="00C85203">
        <w:rPr>
          <w:lang w:val="en-US"/>
        </w:rPr>
        <w:t xml:space="preserve"> </w:t>
      </w:r>
      <w:r w:rsidRPr="00B73D6E">
        <w:t>22ª ed. Washington: APHA / AWWA / WEF, 2012.</w:t>
      </w:r>
    </w:p>
    <w:p w:rsidR="00AF1DD3" w:rsidRPr="00B73D6E" w:rsidRDefault="00AF1DD3" w:rsidP="00B73D6E">
      <w:pPr>
        <w:pStyle w:val="Item-Trainho"/>
      </w:pPr>
      <w:r w:rsidRPr="00B73D6E">
        <w:t xml:space="preserve">BRASIL. MINISTÉRIO DO MEIO AMBIENTE - MMA. </w:t>
      </w:r>
      <w:r w:rsidRPr="00B73D6E">
        <w:rPr>
          <w:b/>
        </w:rPr>
        <w:t xml:space="preserve">Portaria </w:t>
      </w:r>
      <w:r w:rsidR="00B73D6E">
        <w:rPr>
          <w:b/>
        </w:rPr>
        <w:t>n</w:t>
      </w:r>
      <w:r w:rsidR="00B73D6E" w:rsidRPr="00B73D6E">
        <w:rPr>
          <w:b/>
          <w:u w:val="single"/>
          <w:vertAlign w:val="superscript"/>
        </w:rPr>
        <w:t>o</w:t>
      </w:r>
      <w:r w:rsidR="00B73D6E" w:rsidRPr="00B73D6E">
        <w:rPr>
          <w:b/>
        </w:rPr>
        <w:t xml:space="preserve"> </w:t>
      </w:r>
      <w:r w:rsidRPr="00B73D6E">
        <w:rPr>
          <w:b/>
        </w:rPr>
        <w:t>2.914 de 2011</w:t>
      </w:r>
      <w:r w:rsidRPr="00B73D6E">
        <w:t>: Dispõe sobre os procedimentos de controle e de vigilância da qualidade da água para consumo humano e seu padrão de potabilidade.</w:t>
      </w:r>
    </w:p>
    <w:p w:rsidR="00AF1DD3" w:rsidRPr="00B73D6E" w:rsidRDefault="00AF1DD3" w:rsidP="00B73D6E">
      <w:pPr>
        <w:pStyle w:val="Item-Trainho"/>
      </w:pPr>
      <w:r w:rsidRPr="00B73D6E">
        <w:t xml:space="preserve">BRASIL. Ministério do Meio Ambiente. Conselho Nacional do Meio Ambiente. </w:t>
      </w:r>
      <w:r w:rsidRPr="00B73D6E">
        <w:rPr>
          <w:b/>
        </w:rPr>
        <w:t xml:space="preserve">Resolução </w:t>
      </w:r>
      <w:r w:rsidR="00504078">
        <w:rPr>
          <w:b/>
        </w:rPr>
        <w:t>CONAMA</w:t>
      </w:r>
      <w:r w:rsidRPr="00B73D6E">
        <w:rPr>
          <w:b/>
        </w:rPr>
        <w:t xml:space="preserve"> </w:t>
      </w:r>
      <w:r w:rsidR="00B73D6E">
        <w:rPr>
          <w:b/>
        </w:rPr>
        <w:t>n</w:t>
      </w:r>
      <w:r w:rsidR="00B73D6E" w:rsidRPr="00B73D6E">
        <w:rPr>
          <w:b/>
          <w:u w:val="single"/>
          <w:vertAlign w:val="superscript"/>
        </w:rPr>
        <w:t>o</w:t>
      </w:r>
      <w:r w:rsidR="00B73D6E" w:rsidRPr="00B73D6E">
        <w:rPr>
          <w:b/>
        </w:rPr>
        <w:t xml:space="preserve"> </w:t>
      </w:r>
      <w:r w:rsidRPr="00B73D6E">
        <w:rPr>
          <w:b/>
        </w:rPr>
        <w:t>001, de 23 de janeiro de 1986</w:t>
      </w:r>
      <w:r w:rsidRPr="00B73D6E">
        <w:t>: determina o estabelecimento de atividades de acompanhamento e monitoramento dos impactos positivos e negativos, indicando os fatores e parâmetros a serem considerados.</w:t>
      </w:r>
    </w:p>
    <w:p w:rsidR="00AF1DD3" w:rsidRPr="00B73D6E" w:rsidRDefault="00AF1DD3" w:rsidP="00B73D6E">
      <w:pPr>
        <w:pStyle w:val="Item-Trainho"/>
      </w:pPr>
      <w:r w:rsidRPr="00B73D6E">
        <w:t xml:space="preserve">BRASIL. Ministério do Meio Ambiente. Conselho Nacional do Meio Ambiente. </w:t>
      </w:r>
      <w:r w:rsidRPr="00B73D6E">
        <w:rPr>
          <w:b/>
        </w:rPr>
        <w:t xml:space="preserve">Resolução </w:t>
      </w:r>
      <w:r w:rsidR="00504078">
        <w:rPr>
          <w:b/>
        </w:rPr>
        <w:t>CONAMA</w:t>
      </w:r>
      <w:r w:rsidRPr="00B73D6E">
        <w:rPr>
          <w:b/>
        </w:rPr>
        <w:t xml:space="preserve"> </w:t>
      </w:r>
      <w:r w:rsidR="00B73D6E">
        <w:rPr>
          <w:b/>
        </w:rPr>
        <w:t>n</w:t>
      </w:r>
      <w:r w:rsidR="00B73D6E" w:rsidRPr="00B73D6E">
        <w:rPr>
          <w:b/>
          <w:u w:val="single"/>
          <w:vertAlign w:val="superscript"/>
        </w:rPr>
        <w:t>o</w:t>
      </w:r>
      <w:r w:rsidR="00B73D6E" w:rsidRPr="00B73D6E">
        <w:rPr>
          <w:b/>
        </w:rPr>
        <w:t xml:space="preserve"> </w:t>
      </w:r>
      <w:r w:rsidRPr="00B73D6E">
        <w:rPr>
          <w:b/>
        </w:rPr>
        <w:t>274</w:t>
      </w:r>
      <w:r w:rsidRPr="00B73D6E">
        <w:t>, de 29 de novembro de 2000: Define os critérios de balneabilidade em águas brasileiras. Brasília, 2000.</w:t>
      </w:r>
    </w:p>
    <w:p w:rsidR="00AF1DD3" w:rsidRPr="00B73D6E" w:rsidRDefault="00AF1DD3" w:rsidP="00B73D6E">
      <w:pPr>
        <w:pStyle w:val="Item-Trainho"/>
      </w:pPr>
      <w:r w:rsidRPr="00B73D6E">
        <w:t xml:space="preserve">BRASIL. Ministério do Meio Ambiente. Conselho Nacional do Meio Ambiente. </w:t>
      </w:r>
      <w:r w:rsidRPr="00B73D6E">
        <w:rPr>
          <w:b/>
        </w:rPr>
        <w:t xml:space="preserve">Resolução </w:t>
      </w:r>
      <w:r w:rsidR="00504078">
        <w:rPr>
          <w:b/>
        </w:rPr>
        <w:t>CONAMA</w:t>
      </w:r>
      <w:r w:rsidRPr="00B73D6E">
        <w:rPr>
          <w:b/>
        </w:rPr>
        <w:t xml:space="preserve"> </w:t>
      </w:r>
      <w:r w:rsidR="00B73D6E">
        <w:rPr>
          <w:b/>
        </w:rPr>
        <w:t>n</w:t>
      </w:r>
      <w:r w:rsidR="00B73D6E" w:rsidRPr="00B73D6E">
        <w:rPr>
          <w:b/>
          <w:u w:val="single"/>
          <w:vertAlign w:val="superscript"/>
        </w:rPr>
        <w:t>o</w:t>
      </w:r>
      <w:r w:rsidR="00B73D6E" w:rsidRPr="00B73D6E">
        <w:rPr>
          <w:b/>
        </w:rPr>
        <w:t xml:space="preserve"> </w:t>
      </w:r>
      <w:r w:rsidRPr="00B73D6E">
        <w:rPr>
          <w:b/>
        </w:rPr>
        <w:t>357</w:t>
      </w:r>
      <w:r w:rsidRPr="00B73D6E">
        <w:t>, de 17 de março de 2005: dispõe sobre a classificação dos corpos de água e diretrizes ambientais para o seu enquadramento, bem como estabelece as condições e padrões de qualidade da água. Brasília, 2005.</w:t>
      </w:r>
    </w:p>
    <w:p w:rsidR="00AF1DD3" w:rsidRPr="00B73D6E" w:rsidRDefault="00AF1DD3" w:rsidP="00B73D6E">
      <w:pPr>
        <w:pStyle w:val="Item-Trainho"/>
      </w:pPr>
      <w:r w:rsidRPr="00B73D6E">
        <w:t xml:space="preserve">BRASIL. Ministério do Meio Ambiente. Conselho Nacional do Meio Ambiente.  </w:t>
      </w:r>
      <w:r w:rsidRPr="00B73D6E">
        <w:rPr>
          <w:b/>
        </w:rPr>
        <w:t xml:space="preserve">Resolução </w:t>
      </w:r>
      <w:r w:rsidR="00B73D6E">
        <w:rPr>
          <w:b/>
        </w:rPr>
        <w:t>n</w:t>
      </w:r>
      <w:r w:rsidR="00B73D6E" w:rsidRPr="00B73D6E">
        <w:rPr>
          <w:b/>
          <w:u w:val="single"/>
          <w:vertAlign w:val="superscript"/>
        </w:rPr>
        <w:t>o</w:t>
      </w:r>
      <w:r w:rsidRPr="00B73D6E">
        <w:rPr>
          <w:b/>
        </w:rPr>
        <w:t xml:space="preserve"> 454</w:t>
      </w:r>
      <w:r w:rsidRPr="00B73D6E">
        <w:t>, de 01 de Novembro de 2012</w:t>
      </w:r>
      <w:r w:rsidRPr="00B73D6E">
        <w:rPr>
          <w:b/>
        </w:rPr>
        <w:t>:</w:t>
      </w:r>
      <w:r w:rsidRPr="00B73D6E">
        <w:t xml:space="preserve"> estabelece as diretrizes gerais e os procedimentos referenciais para o gerenciamento do material a ser dragado em águas sob jurisdição nacional. Brasília, 2012.</w:t>
      </w:r>
    </w:p>
    <w:p w:rsidR="00AF1DD3" w:rsidRPr="00B73D6E" w:rsidRDefault="00AF1DD3" w:rsidP="00B73D6E">
      <w:pPr>
        <w:pStyle w:val="Item-Trainho"/>
      </w:pPr>
      <w:r w:rsidRPr="00B73D6E">
        <w:t xml:space="preserve">SAO PAULO. COMPANHIA AMBIENTAL DO ESTADO DE SÃO PAULO </w:t>
      </w:r>
      <w:r w:rsidR="00B73D6E">
        <w:t>-</w:t>
      </w:r>
      <w:r w:rsidRPr="00B73D6E">
        <w:t xml:space="preserve"> CETESB</w:t>
      </w:r>
      <w:r w:rsidR="00B73D6E">
        <w:t xml:space="preserve">- </w:t>
      </w:r>
      <w:r w:rsidRPr="00B73D6E">
        <w:rPr>
          <w:b/>
        </w:rPr>
        <w:t xml:space="preserve">Qualidade das águas superficiais no </w:t>
      </w:r>
      <w:r w:rsidR="00B73D6E">
        <w:rPr>
          <w:b/>
        </w:rPr>
        <w:t>E</w:t>
      </w:r>
      <w:r w:rsidRPr="00B73D6E">
        <w:rPr>
          <w:b/>
        </w:rPr>
        <w:t xml:space="preserve">stado de São Paulo 2013. </w:t>
      </w:r>
      <w:r w:rsidRPr="00B73D6E">
        <w:t>São Paulo: CETESB, 2014.</w:t>
      </w:r>
    </w:p>
    <w:p w:rsidR="00AF1DD3" w:rsidRPr="00B73D6E" w:rsidRDefault="00AF1DD3" w:rsidP="00B73D6E">
      <w:pPr>
        <w:pStyle w:val="Item-Trainho"/>
      </w:pPr>
      <w:r w:rsidRPr="00B73D6E">
        <w:t xml:space="preserve">SÃO PAULO. Companhia Ambiental do Estado de São Paulo – CETESB. </w:t>
      </w:r>
      <w:r w:rsidRPr="00B73D6E">
        <w:rPr>
          <w:b/>
        </w:rPr>
        <w:t>Decisão de Diretoria 112/2013/E</w:t>
      </w:r>
      <w:r w:rsidRPr="00B73D6E">
        <w:t xml:space="preserve">, de 12 de abril de 2013: dispõe sobre o estabelecimento dos valores limites do parâmetro </w:t>
      </w:r>
      <w:r w:rsidRPr="00B73D6E">
        <w:rPr>
          <w:i/>
        </w:rPr>
        <w:t>Escherichia coli</w:t>
      </w:r>
      <w:r w:rsidRPr="00B73D6E">
        <w:t xml:space="preserve"> para avaliação da qualidade dos corpos de águas do território do estado de São Paulo. São Paulo, 2013.</w:t>
      </w:r>
    </w:p>
    <w:p w:rsidR="00AF1DD3" w:rsidRDefault="00AF1DD3" w:rsidP="00B73D6E">
      <w:pPr>
        <w:pStyle w:val="Item-Trainho"/>
      </w:pPr>
      <w:r w:rsidRPr="00B73D6E">
        <w:t xml:space="preserve">SÃO PAULO. Secretária de Meio Ambiente. </w:t>
      </w:r>
      <w:r w:rsidRPr="00B73D6E">
        <w:rPr>
          <w:b/>
        </w:rPr>
        <w:t>Resolução SMA</w:t>
      </w:r>
      <w:r w:rsidR="00B73D6E">
        <w:rPr>
          <w:b/>
        </w:rPr>
        <w:t xml:space="preserve"> n</w:t>
      </w:r>
      <w:r w:rsidR="00B73D6E" w:rsidRPr="00B73D6E">
        <w:rPr>
          <w:b/>
          <w:u w:val="single"/>
          <w:vertAlign w:val="superscript"/>
        </w:rPr>
        <w:t>o</w:t>
      </w:r>
      <w:r w:rsidRPr="00B73D6E">
        <w:rPr>
          <w:b/>
        </w:rPr>
        <w:t xml:space="preserve"> 100</w:t>
      </w:r>
      <w:r w:rsidRPr="00B73D6E">
        <w:t>, de 17 de Outubro de 2013: regulamenta as exigências para os resultados analíticos, incluindo-se a amostragem, objetos de apreciação pelos órgãos integrantes do</w:t>
      </w:r>
      <w:r w:rsidR="00B73D6E">
        <w:t xml:space="preserve"> </w:t>
      </w:r>
      <w:r w:rsidRPr="00B73D6E">
        <w:t>Sistema Estadual de Administração da Qualidade Ambiental, Proteção, Controle e Desenvolvimento do Meio Ambiente e Uso Adequado dos Recursos Naturais – SEAQUA. São Paulo, 2013.</w:t>
      </w:r>
    </w:p>
    <w:p w:rsidR="001D5114" w:rsidRDefault="001D5114" w:rsidP="00B73D6E">
      <w:pPr>
        <w:pStyle w:val="Item-Trainho"/>
        <w:numPr>
          <w:ilvl w:val="0"/>
          <w:numId w:val="0"/>
        </w:numPr>
        <w:ind w:left="397" w:hanging="397"/>
      </w:pPr>
      <w:r>
        <w:br w:type="page"/>
      </w:r>
    </w:p>
    <w:p w:rsidR="002D01AC" w:rsidRPr="00B73D6E" w:rsidRDefault="002D01AC" w:rsidP="00431A97">
      <w:pPr>
        <w:pStyle w:val="Ttulo3"/>
        <w:numPr>
          <w:ilvl w:val="2"/>
          <w:numId w:val="51"/>
        </w:numPr>
      </w:pPr>
      <w:bookmarkStart w:id="932" w:name="_Toc418758387"/>
      <w:bookmarkStart w:id="933" w:name="_Toc418758989"/>
      <w:bookmarkStart w:id="934" w:name="_Toc419813761"/>
      <w:r w:rsidRPr="00B73D6E">
        <w:t>Programa de Acompanhamento dos Direitos Minerários</w:t>
      </w:r>
      <w:bookmarkEnd w:id="932"/>
      <w:bookmarkEnd w:id="933"/>
      <w:bookmarkEnd w:id="934"/>
    </w:p>
    <w:p w:rsidR="001169C6" w:rsidRPr="00B73D6E" w:rsidRDefault="001169C6" w:rsidP="00431A97">
      <w:pPr>
        <w:pStyle w:val="Ttulo3"/>
        <w:numPr>
          <w:ilvl w:val="3"/>
          <w:numId w:val="51"/>
        </w:numPr>
        <w:rPr>
          <w:rFonts w:eastAsia="Batang"/>
        </w:rPr>
      </w:pPr>
      <w:bookmarkStart w:id="935" w:name="_Toc418758388"/>
      <w:bookmarkStart w:id="936" w:name="_Toc418758990"/>
      <w:bookmarkStart w:id="937" w:name="_Toc419813762"/>
      <w:r w:rsidRPr="00B73D6E">
        <w:rPr>
          <w:rFonts w:eastAsia="Batang"/>
        </w:rPr>
        <w:t>Apresentação e Justificativa</w:t>
      </w:r>
      <w:bookmarkEnd w:id="935"/>
      <w:bookmarkEnd w:id="936"/>
      <w:bookmarkEnd w:id="937"/>
    </w:p>
    <w:p w:rsidR="001169C6" w:rsidRPr="001169C6" w:rsidRDefault="001169C6" w:rsidP="001169C6">
      <w:pPr>
        <w:spacing w:before="120" w:after="120" w:line="240" w:lineRule="auto"/>
        <w:rPr>
          <w:rFonts w:eastAsia="Batang" w:cs="Arial"/>
          <w:szCs w:val="22"/>
          <w:lang w:eastAsia="en-US"/>
        </w:rPr>
      </w:pPr>
      <w:r w:rsidRPr="001169C6">
        <w:rPr>
          <w:rFonts w:eastAsia="Batang" w:cs="Arial"/>
          <w:szCs w:val="22"/>
          <w:lang w:eastAsia="en-US"/>
        </w:rPr>
        <w:t xml:space="preserve">O Diagnóstico Ambiental dos Recursos Minerais nas Áreas Diretamente Afetadas (ADA) das Barragens Pedreira e Duas Pontes não indicou nenhuma extração mineral na ADA. Mas existem Processos para Pesquisa Mineral dessas áreas. Convém esclarecer que na ADA da Barragem Duas Pontes existem cavas </w:t>
      </w:r>
      <w:r>
        <w:rPr>
          <w:rFonts w:eastAsia="Batang" w:cs="Arial"/>
          <w:szCs w:val="22"/>
          <w:lang w:eastAsia="en-US"/>
        </w:rPr>
        <w:t>inativas</w:t>
      </w:r>
      <w:r w:rsidRPr="001169C6">
        <w:rPr>
          <w:rFonts w:eastAsia="Batang" w:cs="Arial"/>
          <w:szCs w:val="22"/>
          <w:lang w:eastAsia="en-US"/>
        </w:rPr>
        <w:t xml:space="preserve"> junto ao ribeirão Pantaleão indicado atividade de extração de areia. </w:t>
      </w:r>
    </w:p>
    <w:p w:rsidR="001169C6" w:rsidRPr="001169C6" w:rsidRDefault="001169C6" w:rsidP="001169C6">
      <w:pPr>
        <w:spacing w:before="120" w:after="120" w:line="240" w:lineRule="auto"/>
        <w:rPr>
          <w:rFonts w:eastAsia="Batang" w:cs="Arial"/>
          <w:szCs w:val="22"/>
          <w:lang w:eastAsia="en-US"/>
        </w:rPr>
      </w:pPr>
      <w:r w:rsidRPr="001169C6">
        <w:rPr>
          <w:rFonts w:eastAsia="Batang" w:cs="Arial"/>
          <w:szCs w:val="22"/>
          <w:lang w:eastAsia="en-US"/>
        </w:rPr>
        <w:t xml:space="preserve">Na ADA da Barragem Pedreira existem 2 (dois) títulos minerários referentes à Requerimento de Pesquisa, associado a granito pela Empresa </w:t>
      </w:r>
      <w:r w:rsidRPr="001169C6">
        <w:rPr>
          <w:rFonts w:eastAsia="Batang" w:cs="Arial"/>
          <w:color w:val="000000"/>
          <w:szCs w:val="22"/>
          <w:lang w:eastAsia="en-US"/>
        </w:rPr>
        <w:t>Ical Indústria de Calcinação Ltda</w:t>
      </w:r>
      <w:r>
        <w:rPr>
          <w:rFonts w:eastAsia="Batang" w:cs="Arial"/>
          <w:color w:val="000000"/>
          <w:szCs w:val="22"/>
          <w:lang w:eastAsia="en-US"/>
        </w:rPr>
        <w:t>.</w:t>
      </w:r>
      <w:r w:rsidRPr="001169C6">
        <w:rPr>
          <w:rFonts w:eastAsia="Batang" w:cs="Arial"/>
          <w:color w:val="000000"/>
          <w:szCs w:val="22"/>
          <w:lang w:eastAsia="en-US"/>
        </w:rPr>
        <w:t>, s</w:t>
      </w:r>
      <w:r w:rsidRPr="001169C6">
        <w:rPr>
          <w:rFonts w:eastAsia="Batang" w:cs="Arial"/>
          <w:szCs w:val="22"/>
          <w:lang w:eastAsia="en-US"/>
        </w:rPr>
        <w:t>egundo as informações disponíveis no Sistema de Informações Geográficas sobre Mineração (SIGMINE) do Departamento Nacional de Produção Mineral (DNPM) (http://sigmine.dnpm.gov.br/, consultado em junho de 2014).</w:t>
      </w:r>
    </w:p>
    <w:p w:rsidR="001169C6" w:rsidRPr="001169C6" w:rsidRDefault="001169C6" w:rsidP="001169C6">
      <w:pPr>
        <w:spacing w:before="120" w:after="120" w:line="240" w:lineRule="auto"/>
        <w:rPr>
          <w:rFonts w:eastAsia="Batang" w:cs="Arial"/>
          <w:szCs w:val="22"/>
          <w:lang w:eastAsia="en-US"/>
        </w:rPr>
      </w:pPr>
      <w:r w:rsidRPr="001169C6">
        <w:rPr>
          <w:rFonts w:cs="Arial"/>
          <w:szCs w:val="22"/>
        </w:rPr>
        <w:t xml:space="preserve">Na ADA da Barragem Duas Pontes existem seis (6) títulos minerários, sendo três (3) referentes a Autorização de Pesquisa de Argila para uso industrial, dois (2) referentes a Requerimento de Pesquisa de Minério de Manganês e um (1) Requerimento de Pesquisa de Areia para Construção Civil, segundo informações disponíveis no Sistema de Informações Geográficas sobre Mineração (SIGMINE) do Departamento Nacional de Produção Mineral (DNPM) </w:t>
      </w:r>
      <w:r w:rsidRPr="001169C6">
        <w:rPr>
          <w:rFonts w:eastAsia="Batang" w:cs="Arial"/>
          <w:szCs w:val="22"/>
          <w:lang w:eastAsia="en-US"/>
        </w:rPr>
        <w:t>(sigmine.dnpm.gov.br/, consultado em junho de 2014).</w:t>
      </w:r>
    </w:p>
    <w:p w:rsidR="001169C6" w:rsidRPr="001169C6" w:rsidRDefault="001169C6" w:rsidP="001169C6">
      <w:pPr>
        <w:spacing w:before="120" w:after="120" w:line="240" w:lineRule="auto"/>
        <w:rPr>
          <w:rFonts w:eastAsia="Batang" w:cs="Arial"/>
          <w:szCs w:val="22"/>
          <w:lang w:eastAsia="en-US"/>
        </w:rPr>
      </w:pPr>
      <w:r w:rsidRPr="001169C6">
        <w:rPr>
          <w:rFonts w:eastAsia="Batang" w:cs="Arial"/>
          <w:szCs w:val="22"/>
          <w:lang w:eastAsia="en-US"/>
        </w:rPr>
        <w:t>Desta forma, deverão ser acompanhados junto ao DNPM, os processos existentes na ADA da Barragem Pedreira e na ADA da Barragem Duas Pontes.</w:t>
      </w:r>
    </w:p>
    <w:p w:rsidR="001169C6" w:rsidRPr="001169C6" w:rsidRDefault="001169C6" w:rsidP="001169C6">
      <w:pPr>
        <w:spacing w:before="120" w:after="120" w:line="240" w:lineRule="auto"/>
        <w:rPr>
          <w:rFonts w:eastAsia="Batang" w:cs="Arial"/>
          <w:szCs w:val="22"/>
          <w:lang w:eastAsia="en-US"/>
        </w:rPr>
      </w:pPr>
      <w:r w:rsidRPr="001169C6">
        <w:rPr>
          <w:rFonts w:eastAsia="Batang" w:cs="Arial"/>
          <w:szCs w:val="22"/>
          <w:lang w:eastAsia="en-US"/>
        </w:rPr>
        <w:t>Será necessário solicitar ao DNPM o b</w:t>
      </w:r>
      <w:r>
        <w:rPr>
          <w:rFonts w:eastAsia="Batang" w:cs="Arial"/>
          <w:szCs w:val="22"/>
          <w:lang w:eastAsia="en-US"/>
        </w:rPr>
        <w:t>l</w:t>
      </w:r>
      <w:r w:rsidRPr="001169C6">
        <w:rPr>
          <w:rFonts w:eastAsia="Batang" w:cs="Arial"/>
          <w:szCs w:val="22"/>
          <w:lang w:eastAsia="en-US"/>
        </w:rPr>
        <w:t>oquei</w:t>
      </w:r>
      <w:r>
        <w:rPr>
          <w:rFonts w:eastAsia="Batang" w:cs="Arial"/>
          <w:szCs w:val="22"/>
          <w:lang w:eastAsia="en-US"/>
        </w:rPr>
        <w:t>o</w:t>
      </w:r>
      <w:r w:rsidRPr="001169C6">
        <w:rPr>
          <w:rFonts w:eastAsia="Batang" w:cs="Arial"/>
          <w:szCs w:val="22"/>
          <w:lang w:eastAsia="en-US"/>
        </w:rPr>
        <w:t xml:space="preserve"> das áreas desapropriadas para implantação do empreendimento, de forma que não sejam aceitos novos requerimentos de pesquisa mineral ou licenciamentos sem assinatura do Termo de Renúncia.</w:t>
      </w:r>
    </w:p>
    <w:p w:rsidR="001169C6" w:rsidRPr="001169C6" w:rsidRDefault="001169C6" w:rsidP="001169C6">
      <w:pPr>
        <w:spacing w:before="120" w:after="120" w:line="240" w:lineRule="auto"/>
        <w:rPr>
          <w:rFonts w:eastAsia="Batang" w:cs="Arial"/>
          <w:szCs w:val="22"/>
          <w:lang w:eastAsia="en-US"/>
        </w:rPr>
      </w:pPr>
      <w:r w:rsidRPr="001169C6">
        <w:rPr>
          <w:rFonts w:eastAsia="Batang" w:cs="Arial"/>
          <w:szCs w:val="22"/>
          <w:lang w:eastAsia="en-US"/>
        </w:rPr>
        <w:t>É importante destacar que o bloqueio de outorgas não proíbe que novos processos minerários sejam protocolados, porem faz-se necessário a assinatura do termo de renúncia no qual o requerente abre mão de qualquer indenização.</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38" w:name="_Toc418758389"/>
      <w:bookmarkStart w:id="939" w:name="_Toc418758991"/>
      <w:bookmarkStart w:id="940" w:name="_Toc419813763"/>
      <w:r w:rsidRPr="000822C6">
        <w:rPr>
          <w:rFonts w:ascii="Arial Negrito" w:eastAsia="Batang" w:hAnsi="Arial Negrito"/>
          <w:bCs/>
          <w:lang w:eastAsia="en-US"/>
        </w:rPr>
        <w:t>Objetivos</w:t>
      </w:r>
      <w:bookmarkEnd w:id="938"/>
      <w:bookmarkEnd w:id="939"/>
      <w:bookmarkEnd w:id="940"/>
    </w:p>
    <w:p w:rsidR="001169C6" w:rsidRPr="001169C6" w:rsidRDefault="001169C6" w:rsidP="001169C6">
      <w:pPr>
        <w:spacing w:before="120" w:after="120" w:line="240" w:lineRule="auto"/>
        <w:rPr>
          <w:rFonts w:eastAsia="Batang" w:cs="Arial"/>
          <w:szCs w:val="22"/>
          <w:lang w:eastAsia="en-US"/>
        </w:rPr>
      </w:pPr>
      <w:r w:rsidRPr="001169C6">
        <w:rPr>
          <w:rFonts w:eastAsia="Batang" w:cs="Arial"/>
          <w:szCs w:val="22"/>
          <w:lang w:eastAsia="en-US"/>
        </w:rPr>
        <w:t>Acompanhamento no DNPM dos processos minerários presentes na ADA e avaliação dos direitos minerários é o principal objetivo deste programa.</w:t>
      </w:r>
    </w:p>
    <w:p w:rsidR="001169C6" w:rsidRPr="001169C6" w:rsidRDefault="001169C6" w:rsidP="001169C6">
      <w:pPr>
        <w:spacing w:before="120" w:after="120" w:line="240" w:lineRule="auto"/>
        <w:rPr>
          <w:rFonts w:eastAsia="Batang" w:cs="Arial"/>
          <w:szCs w:val="22"/>
          <w:lang w:eastAsia="en-US"/>
        </w:rPr>
      </w:pPr>
      <w:r w:rsidRPr="001169C6">
        <w:rPr>
          <w:rFonts w:eastAsia="Batang" w:cs="Arial"/>
          <w:szCs w:val="22"/>
          <w:lang w:eastAsia="en-US"/>
        </w:rPr>
        <w:t>Outro objetivo é a solicitação do bloqueio da área a ser desapropriada por utilidade pública.</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41" w:name="_Toc418758390"/>
      <w:bookmarkStart w:id="942" w:name="_Toc418758992"/>
      <w:bookmarkStart w:id="943" w:name="_Toc419813764"/>
      <w:r w:rsidRPr="000822C6">
        <w:rPr>
          <w:rFonts w:ascii="Arial Negrito" w:eastAsia="Batang" w:hAnsi="Arial Negrito"/>
          <w:bCs/>
          <w:lang w:eastAsia="en-US"/>
        </w:rPr>
        <w:t>Metas</w:t>
      </w:r>
      <w:bookmarkEnd w:id="941"/>
      <w:bookmarkEnd w:id="942"/>
      <w:bookmarkEnd w:id="943"/>
    </w:p>
    <w:p w:rsidR="001169C6" w:rsidRPr="001169C6" w:rsidRDefault="001169C6" w:rsidP="001169C6">
      <w:pPr>
        <w:spacing w:before="120" w:after="120" w:line="240" w:lineRule="auto"/>
        <w:rPr>
          <w:rFonts w:eastAsia="Batang" w:cs="Arial"/>
          <w:szCs w:val="22"/>
          <w:lang w:eastAsia="en-US"/>
        </w:rPr>
      </w:pPr>
      <w:r w:rsidRPr="001169C6">
        <w:rPr>
          <w:rFonts w:eastAsia="Batang" w:cs="Arial"/>
          <w:szCs w:val="22"/>
          <w:lang w:eastAsia="en-US"/>
        </w:rPr>
        <w:t>Avaliar a existência de eventuais direitos minerários a compensar e prevenir a necessidade de indenizações futuras.</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44" w:name="_Toc418758391"/>
      <w:bookmarkStart w:id="945" w:name="_Toc418758993"/>
      <w:bookmarkStart w:id="946" w:name="_Toc419813765"/>
      <w:r w:rsidRPr="000822C6">
        <w:rPr>
          <w:rFonts w:ascii="Arial Negrito" w:eastAsia="Batang" w:hAnsi="Arial Negrito"/>
          <w:bCs/>
          <w:lang w:eastAsia="en-US"/>
        </w:rPr>
        <w:t>Público-alvo</w:t>
      </w:r>
      <w:bookmarkEnd w:id="944"/>
      <w:bookmarkEnd w:id="945"/>
      <w:bookmarkEnd w:id="946"/>
    </w:p>
    <w:p w:rsidR="001169C6" w:rsidRPr="001169C6" w:rsidRDefault="001169C6" w:rsidP="001169C6">
      <w:pPr>
        <w:spacing w:before="120" w:after="120" w:line="240" w:lineRule="auto"/>
        <w:contextualSpacing/>
        <w:rPr>
          <w:rFonts w:eastAsia="Calibri" w:cs="Arial"/>
          <w:szCs w:val="22"/>
          <w:lang w:eastAsia="en-US"/>
        </w:rPr>
      </w:pPr>
      <w:r w:rsidRPr="001169C6">
        <w:rPr>
          <w:rFonts w:eastAsia="Calibri" w:cs="Arial"/>
          <w:szCs w:val="22"/>
          <w:lang w:eastAsia="en-US"/>
        </w:rPr>
        <w:t xml:space="preserve">O público alvo do programa é formado pelas empresas que realizam pesquisa ou atividade mineral na ADA da Barragem Pedreira e da Barragem Duas Pontes. </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47" w:name="_Toc418758392"/>
      <w:bookmarkStart w:id="948" w:name="_Toc418758994"/>
      <w:bookmarkStart w:id="949" w:name="_Toc419813766"/>
      <w:r w:rsidRPr="000822C6">
        <w:rPr>
          <w:rFonts w:ascii="Arial Negrito" w:eastAsia="Batang" w:hAnsi="Arial Negrito"/>
          <w:bCs/>
          <w:lang w:eastAsia="en-US"/>
        </w:rPr>
        <w:t>Métodos e Descrição do Programa (Procedimentos)</w:t>
      </w:r>
      <w:bookmarkEnd w:id="947"/>
      <w:bookmarkEnd w:id="948"/>
      <w:bookmarkEnd w:id="949"/>
    </w:p>
    <w:p w:rsidR="001169C6" w:rsidRDefault="001169C6" w:rsidP="001169C6">
      <w:pPr>
        <w:spacing w:before="120" w:after="120" w:line="240" w:lineRule="auto"/>
        <w:rPr>
          <w:rFonts w:eastAsia="Calibri" w:cs="Arial"/>
          <w:szCs w:val="22"/>
          <w:lang w:eastAsia="en-US"/>
        </w:rPr>
      </w:pPr>
      <w:r w:rsidRPr="001169C6">
        <w:rPr>
          <w:rFonts w:eastAsia="Calibri" w:cs="Arial"/>
          <w:szCs w:val="22"/>
          <w:lang w:eastAsia="en-US"/>
        </w:rPr>
        <w:t>São as seguintes as principais ações a serem desenvolvidas para o desenvolvimento do programa:</w:t>
      </w:r>
    </w:p>
    <w:p w:rsidR="001D5114" w:rsidRPr="001169C6" w:rsidRDefault="001D5114" w:rsidP="001169C6">
      <w:pPr>
        <w:spacing w:before="120" w:after="120" w:line="240" w:lineRule="auto"/>
        <w:rPr>
          <w:rFonts w:eastAsia="Calibri" w:cs="Arial"/>
          <w:szCs w:val="22"/>
          <w:lang w:eastAsia="en-US"/>
        </w:rPr>
      </w:pPr>
    </w:p>
    <w:p w:rsidR="001169C6" w:rsidRPr="001169C6" w:rsidRDefault="001169C6" w:rsidP="00F94909">
      <w:pPr>
        <w:pStyle w:val="Item-Bolinha"/>
        <w:rPr>
          <w:snapToGrid w:val="0"/>
        </w:rPr>
      </w:pPr>
      <w:r w:rsidRPr="001169C6">
        <w:rPr>
          <w:snapToGrid w:val="0"/>
        </w:rPr>
        <w:t>Solicitação do boqueio das áreas a serem desapropriadas (ADA) junto ao DNPM</w:t>
      </w:r>
      <w:r>
        <w:rPr>
          <w:snapToGrid w:val="0"/>
        </w:rPr>
        <w:t>;</w:t>
      </w:r>
    </w:p>
    <w:p w:rsidR="001169C6" w:rsidRPr="001169C6" w:rsidRDefault="001169C6" w:rsidP="00F94909">
      <w:pPr>
        <w:pStyle w:val="Item-Bolinha"/>
        <w:rPr>
          <w:snapToGrid w:val="0"/>
        </w:rPr>
      </w:pPr>
      <w:r w:rsidRPr="001169C6">
        <w:rPr>
          <w:snapToGrid w:val="0"/>
        </w:rPr>
        <w:t>Atualização junto ao DNPM do levantamento dos processos minerários presentes na ADA e avaliação dos direitos minerários adquiridos ou em trâmite;</w:t>
      </w:r>
    </w:p>
    <w:p w:rsidR="001169C6" w:rsidRPr="001169C6" w:rsidRDefault="001169C6" w:rsidP="00F94909">
      <w:pPr>
        <w:pStyle w:val="Item-Bolinha"/>
        <w:rPr>
          <w:snapToGrid w:val="0"/>
        </w:rPr>
      </w:pPr>
      <w:r w:rsidRPr="001169C6">
        <w:rPr>
          <w:snapToGrid w:val="0"/>
        </w:rPr>
        <w:t>Avaliação da presença de eventuais direitos minerários a indenizar;</w:t>
      </w:r>
    </w:p>
    <w:p w:rsidR="001169C6" w:rsidRPr="001169C6" w:rsidRDefault="001169C6" w:rsidP="00F94909">
      <w:pPr>
        <w:pStyle w:val="Item-Bolinha"/>
        <w:rPr>
          <w:snapToGrid w:val="0"/>
        </w:rPr>
      </w:pPr>
      <w:r w:rsidRPr="001169C6">
        <w:rPr>
          <w:snapToGrid w:val="0"/>
        </w:rPr>
        <w:t>Negociação junto aos titulares dos processos minerários, caso necessário.</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50" w:name="_Toc418758393"/>
      <w:bookmarkStart w:id="951" w:name="_Toc418758995"/>
      <w:bookmarkStart w:id="952" w:name="_Toc419813767"/>
      <w:r w:rsidRPr="000822C6">
        <w:rPr>
          <w:rFonts w:ascii="Arial Negrito" w:eastAsia="Batang" w:hAnsi="Arial Negrito"/>
          <w:bCs/>
          <w:lang w:eastAsia="en-US"/>
        </w:rPr>
        <w:t>Indicadores Ambientais</w:t>
      </w:r>
      <w:bookmarkEnd w:id="950"/>
      <w:bookmarkEnd w:id="951"/>
      <w:bookmarkEnd w:id="952"/>
    </w:p>
    <w:p w:rsidR="001169C6" w:rsidRPr="001169C6" w:rsidRDefault="001169C6" w:rsidP="001169C6">
      <w:pPr>
        <w:spacing w:before="120" w:after="120" w:line="240" w:lineRule="auto"/>
        <w:contextualSpacing/>
        <w:rPr>
          <w:rFonts w:eastAsia="Calibri" w:cs="Arial"/>
          <w:szCs w:val="22"/>
          <w:lang w:eastAsia="en-US"/>
        </w:rPr>
      </w:pPr>
      <w:r w:rsidRPr="001169C6">
        <w:rPr>
          <w:rFonts w:eastAsia="Calibri" w:cs="Arial"/>
          <w:szCs w:val="22"/>
          <w:lang w:eastAsia="en-US"/>
        </w:rPr>
        <w:t>Números de casos resolvido/Número de processos minerários existentes.</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53" w:name="_Toc418758394"/>
      <w:bookmarkStart w:id="954" w:name="_Toc418758996"/>
      <w:bookmarkStart w:id="955" w:name="_Toc419813768"/>
      <w:r w:rsidRPr="000822C6">
        <w:rPr>
          <w:rFonts w:ascii="Arial Negrito" w:eastAsia="Batang" w:hAnsi="Arial Negrito"/>
          <w:bCs/>
          <w:lang w:eastAsia="en-US"/>
        </w:rPr>
        <w:t>Recursos Materiais e Humanos</w:t>
      </w:r>
      <w:bookmarkEnd w:id="953"/>
      <w:bookmarkEnd w:id="954"/>
      <w:bookmarkEnd w:id="955"/>
    </w:p>
    <w:p w:rsidR="001169C6" w:rsidRPr="001169C6" w:rsidRDefault="001169C6" w:rsidP="001169C6">
      <w:pPr>
        <w:spacing w:before="120" w:after="120" w:line="240" w:lineRule="auto"/>
        <w:rPr>
          <w:rFonts w:eastAsia="Batang" w:cs="Arial"/>
          <w:szCs w:val="22"/>
          <w:lang w:eastAsia="en-US"/>
        </w:rPr>
      </w:pPr>
      <w:r w:rsidRPr="001169C6">
        <w:rPr>
          <w:rFonts w:eastAsia="Batang" w:cs="Arial"/>
          <w:szCs w:val="22"/>
          <w:lang w:eastAsia="en-US"/>
        </w:rPr>
        <w:t>O empreendedor deverá contratar serviços especializados para o desenvolvimento das ações de sua responsabilidade, incluindo geólogo e advogado. E eventualmente, se a situação for diferente da atual, incorrer em custos indenizatórios.</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56" w:name="_Toc418758395"/>
      <w:bookmarkStart w:id="957" w:name="_Toc418758997"/>
      <w:bookmarkStart w:id="958" w:name="_Toc419813769"/>
      <w:r w:rsidRPr="000822C6">
        <w:rPr>
          <w:rFonts w:ascii="Arial Negrito" w:eastAsia="Batang" w:hAnsi="Arial Negrito"/>
          <w:bCs/>
          <w:lang w:eastAsia="en-US"/>
        </w:rPr>
        <w:t>Atendimento a Requisitos Legais e/ou Outros Requisitos</w:t>
      </w:r>
      <w:bookmarkEnd w:id="956"/>
      <w:bookmarkEnd w:id="957"/>
      <w:bookmarkEnd w:id="958"/>
    </w:p>
    <w:p w:rsidR="001169C6" w:rsidRPr="001169C6" w:rsidRDefault="001169C6" w:rsidP="001169C6">
      <w:pPr>
        <w:spacing w:before="120" w:after="120" w:line="240" w:lineRule="auto"/>
        <w:contextualSpacing/>
        <w:rPr>
          <w:rFonts w:eastAsia="Calibri" w:cs="Arial"/>
          <w:szCs w:val="22"/>
          <w:lang w:eastAsia="en-US"/>
        </w:rPr>
      </w:pPr>
      <w:r w:rsidRPr="001169C6">
        <w:rPr>
          <w:rFonts w:eastAsia="Calibri" w:cs="Arial"/>
          <w:szCs w:val="22"/>
          <w:lang w:eastAsia="en-US"/>
        </w:rPr>
        <w:t xml:space="preserve">Decreto-Lei </w:t>
      </w:r>
      <w:r w:rsidR="000822C6">
        <w:rPr>
          <w:rFonts w:eastAsia="Calibri" w:cs="Arial"/>
          <w:szCs w:val="22"/>
          <w:lang w:eastAsia="en-US"/>
        </w:rPr>
        <w:t>n</w:t>
      </w:r>
      <w:r w:rsidR="000822C6" w:rsidRPr="000822C6">
        <w:rPr>
          <w:rFonts w:eastAsia="Calibri" w:cs="Arial"/>
          <w:szCs w:val="22"/>
          <w:u w:val="single"/>
          <w:vertAlign w:val="superscript"/>
          <w:lang w:eastAsia="en-US"/>
        </w:rPr>
        <w:t>o</w:t>
      </w:r>
      <w:r w:rsidRPr="001169C6">
        <w:rPr>
          <w:rFonts w:eastAsia="Calibri" w:cs="Arial"/>
          <w:szCs w:val="22"/>
          <w:lang w:eastAsia="en-US"/>
        </w:rPr>
        <w:t xml:space="preserve"> 227, de 28/02/1967, DOU de 28/02/1967. Dá nova redação ao Decreto-Lei </w:t>
      </w:r>
      <w:r w:rsidR="00B73D6E">
        <w:rPr>
          <w:rFonts w:eastAsia="Calibri" w:cs="Arial"/>
          <w:szCs w:val="22"/>
          <w:lang w:eastAsia="en-US"/>
        </w:rPr>
        <w:t>n</w:t>
      </w:r>
      <w:r w:rsidR="00B73D6E" w:rsidRPr="000822C6">
        <w:rPr>
          <w:rFonts w:eastAsia="Calibri" w:cs="Arial"/>
          <w:szCs w:val="22"/>
          <w:u w:val="single"/>
          <w:vertAlign w:val="superscript"/>
          <w:lang w:eastAsia="en-US"/>
        </w:rPr>
        <w:t>o</w:t>
      </w:r>
      <w:r w:rsidR="00B73D6E" w:rsidRPr="001169C6">
        <w:rPr>
          <w:rFonts w:eastAsia="Calibri" w:cs="Arial"/>
          <w:szCs w:val="22"/>
          <w:lang w:eastAsia="en-US"/>
        </w:rPr>
        <w:t xml:space="preserve"> </w:t>
      </w:r>
      <w:r w:rsidRPr="001169C6">
        <w:rPr>
          <w:rFonts w:eastAsia="Calibri" w:cs="Arial"/>
          <w:szCs w:val="22"/>
          <w:lang w:eastAsia="en-US"/>
        </w:rPr>
        <w:t>1.985, de 29 de janeiro de 1940 (Código de Minas).</w:t>
      </w:r>
    </w:p>
    <w:p w:rsidR="001169C6" w:rsidRPr="001169C6" w:rsidRDefault="001169C6" w:rsidP="001169C6">
      <w:pPr>
        <w:spacing w:before="120" w:after="120" w:line="240" w:lineRule="auto"/>
        <w:rPr>
          <w:rFonts w:eastAsia="Batang" w:cs="Arial"/>
          <w:szCs w:val="22"/>
          <w:lang w:eastAsia="en-US"/>
        </w:rPr>
      </w:pPr>
      <w:r w:rsidRPr="001169C6">
        <w:rPr>
          <w:rFonts w:eastAsia="Batang" w:cs="Arial"/>
          <w:szCs w:val="22"/>
          <w:lang w:eastAsia="en-US"/>
        </w:rPr>
        <w:t>Não existe legislação específica regulando a indenização de direitos minerários, mas a jurisprudência considera a Concessão de Lavra um direito, transferível e com valor econômico, e desta forma indenizável em caso de desapropriação, no caso de existir apenas autorização de pesquisa prevalece o indicado no Artigo 42 do Código de Mineração, transcrito abaixo:</w:t>
      </w:r>
    </w:p>
    <w:p w:rsidR="001169C6" w:rsidRPr="001169C6" w:rsidRDefault="001169C6" w:rsidP="001169C6">
      <w:pPr>
        <w:spacing w:before="120" w:after="120" w:line="240" w:lineRule="auto"/>
        <w:rPr>
          <w:rFonts w:eastAsia="Calibri" w:cs="Arial"/>
          <w:szCs w:val="22"/>
          <w:lang w:eastAsia="en-US"/>
        </w:rPr>
      </w:pPr>
      <w:r w:rsidRPr="001169C6">
        <w:rPr>
          <w:rFonts w:eastAsia="Calibri" w:cs="Arial"/>
          <w:szCs w:val="22"/>
          <w:lang w:eastAsia="en-US"/>
        </w:rPr>
        <w:t>“ART 42 - A autorização será recusada, se a lavra for considerada prejudicial ao bem público ou comprometer interesses que superem a utilidade da exploração industrial, a juízo do Governo. Neste último caso, o pesquisador terá direito de receber do Governo a indenização das despesas feitas com os trabalhos de pesquisa, uma vez que haja sido aprovado o Relatório”.</w:t>
      </w:r>
    </w:p>
    <w:p w:rsidR="001169C6" w:rsidRPr="001169C6" w:rsidRDefault="001169C6" w:rsidP="001169C6">
      <w:pPr>
        <w:spacing w:before="120" w:after="120" w:line="240" w:lineRule="auto"/>
        <w:rPr>
          <w:rFonts w:eastAsia="Calibri" w:cs="Arial"/>
          <w:szCs w:val="22"/>
          <w:lang w:eastAsia="en-US"/>
        </w:rPr>
      </w:pPr>
      <w:r w:rsidRPr="001169C6">
        <w:rPr>
          <w:rFonts w:eastAsia="Calibri" w:cs="Arial"/>
          <w:szCs w:val="22"/>
          <w:lang w:eastAsia="en-US"/>
        </w:rPr>
        <w:t>A fase inicial de licenciamento ou solicitação de autorização de pesquisa não goza de direito compensatório de qualquer natureza.</w:t>
      </w:r>
    </w:p>
    <w:p w:rsidR="001169C6" w:rsidRDefault="001169C6" w:rsidP="001169C6">
      <w:pPr>
        <w:spacing w:before="120" w:after="120" w:line="240" w:lineRule="auto"/>
        <w:contextualSpacing/>
        <w:rPr>
          <w:rFonts w:eastAsia="Calibri" w:cs="Arial"/>
          <w:szCs w:val="22"/>
          <w:lang w:eastAsia="en-US"/>
        </w:rPr>
      </w:pPr>
      <w:r w:rsidRPr="001169C6">
        <w:rPr>
          <w:rFonts w:eastAsia="Calibri" w:cs="Arial"/>
          <w:szCs w:val="22"/>
          <w:lang w:eastAsia="en-US"/>
        </w:rPr>
        <w:t>É conveniente ressaltar que o artigo 42 do Código de Mineração admite a revogação e bloqueio de concessões minerais, uma vez demonstrada, pelo DNPM e MME, a impossibilidade da coexistência das duas atividades, ou prevalência do aproveitamento do potencial hídrico em detrimento da exploração mineral. Prepondera o interesse público sobre o interesse privado</w:t>
      </w:r>
      <w:r>
        <w:rPr>
          <w:rFonts w:eastAsia="Calibri" w:cs="Arial"/>
          <w:szCs w:val="22"/>
          <w:lang w:eastAsia="en-US"/>
        </w:rPr>
        <w:t>.</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59" w:name="_Toc418758396"/>
      <w:bookmarkStart w:id="960" w:name="_Toc418758998"/>
      <w:bookmarkStart w:id="961" w:name="_Toc419813770"/>
      <w:r w:rsidRPr="000822C6">
        <w:rPr>
          <w:rFonts w:ascii="Arial Negrito" w:eastAsia="Batang" w:hAnsi="Arial Negrito"/>
          <w:bCs/>
          <w:lang w:eastAsia="en-US"/>
        </w:rPr>
        <w:t>Inter-relação com outros Planos e Programas</w:t>
      </w:r>
      <w:bookmarkEnd w:id="959"/>
      <w:bookmarkEnd w:id="960"/>
      <w:bookmarkEnd w:id="961"/>
    </w:p>
    <w:p w:rsidR="001169C6" w:rsidRPr="001169C6" w:rsidRDefault="001169C6" w:rsidP="001169C6">
      <w:pPr>
        <w:spacing w:before="120" w:after="120" w:line="240" w:lineRule="auto"/>
        <w:rPr>
          <w:rFonts w:eastAsia="Calibri" w:cs="Arial"/>
          <w:szCs w:val="22"/>
          <w:lang w:eastAsia="en-US"/>
        </w:rPr>
      </w:pPr>
      <w:r w:rsidRPr="001169C6">
        <w:rPr>
          <w:rFonts w:eastAsia="Calibri" w:cs="Arial"/>
          <w:szCs w:val="22"/>
          <w:lang w:eastAsia="en-US"/>
        </w:rPr>
        <w:t>A principal inter-rel</w:t>
      </w:r>
      <w:r w:rsidR="00484620" w:rsidRPr="00484620">
        <w:rPr>
          <w:rFonts w:eastAsia="Calibri" w:cs="Arial"/>
          <w:szCs w:val="22"/>
          <w:lang w:eastAsia="en-US"/>
        </w:rPr>
        <w:t>ação do</w:t>
      </w:r>
      <w:r w:rsidRPr="001169C6">
        <w:rPr>
          <w:rFonts w:eastAsia="Calibri" w:cs="Arial"/>
          <w:szCs w:val="22"/>
          <w:lang w:eastAsia="en-US"/>
        </w:rPr>
        <w:t xml:space="preserve"> programa será com o Programa de</w:t>
      </w:r>
      <w:r w:rsidR="00D225D5">
        <w:rPr>
          <w:rFonts w:eastAsia="Calibri" w:cs="Arial"/>
          <w:szCs w:val="22"/>
          <w:lang w:eastAsia="en-US"/>
        </w:rPr>
        <w:t xml:space="preserve"> Negociação e</w:t>
      </w:r>
      <w:r w:rsidRPr="001169C6">
        <w:rPr>
          <w:rFonts w:eastAsia="Calibri" w:cs="Arial"/>
          <w:szCs w:val="22"/>
          <w:lang w:eastAsia="en-US"/>
        </w:rPr>
        <w:t xml:space="preserve"> Desapropriação </w:t>
      </w:r>
      <w:r w:rsidR="00D225D5">
        <w:rPr>
          <w:rFonts w:eastAsia="Calibri" w:cs="Arial"/>
          <w:szCs w:val="22"/>
          <w:lang w:eastAsia="en-US"/>
        </w:rPr>
        <w:t xml:space="preserve">de Terras </w:t>
      </w:r>
      <w:r w:rsidRPr="001169C6">
        <w:rPr>
          <w:rFonts w:eastAsia="Calibri" w:cs="Arial"/>
          <w:szCs w:val="22"/>
          <w:lang w:eastAsia="en-US"/>
        </w:rPr>
        <w:t xml:space="preserve">que trata de indenizações para </w:t>
      </w:r>
      <w:r w:rsidR="00484620" w:rsidRPr="00484620">
        <w:rPr>
          <w:rFonts w:eastAsia="Calibri" w:cs="Arial"/>
          <w:szCs w:val="22"/>
          <w:lang w:eastAsia="en-US"/>
        </w:rPr>
        <w:t>aquisição da área a ser o</w:t>
      </w:r>
      <w:r w:rsidRPr="001169C6">
        <w:rPr>
          <w:rFonts w:eastAsia="Calibri" w:cs="Arial"/>
          <w:szCs w:val="22"/>
          <w:lang w:eastAsia="en-US"/>
        </w:rPr>
        <w:t>cupa</w:t>
      </w:r>
      <w:r w:rsidR="00484620" w:rsidRPr="00484620">
        <w:rPr>
          <w:rFonts w:eastAsia="Calibri" w:cs="Arial"/>
          <w:szCs w:val="22"/>
          <w:lang w:eastAsia="en-US"/>
        </w:rPr>
        <w:t xml:space="preserve">da pela </w:t>
      </w:r>
      <w:r w:rsidRPr="001169C6">
        <w:rPr>
          <w:rFonts w:eastAsia="Calibri" w:cs="Arial"/>
          <w:szCs w:val="22"/>
          <w:lang w:eastAsia="en-US"/>
        </w:rPr>
        <w:t>ADA dos dois empreendimentos.</w:t>
      </w:r>
    </w:p>
    <w:p w:rsidR="001169C6" w:rsidRPr="001169C6" w:rsidRDefault="001169C6" w:rsidP="001169C6">
      <w:pPr>
        <w:spacing w:before="120" w:after="120" w:line="240" w:lineRule="auto"/>
        <w:rPr>
          <w:rFonts w:eastAsia="Calibri" w:cs="Arial"/>
          <w:szCs w:val="22"/>
          <w:lang w:eastAsia="en-US"/>
        </w:rPr>
      </w:pPr>
      <w:r w:rsidRPr="001169C6">
        <w:rPr>
          <w:rFonts w:eastAsia="Calibri" w:cs="Arial"/>
          <w:szCs w:val="22"/>
          <w:lang w:eastAsia="en-US"/>
        </w:rPr>
        <w:t>Este Programa também tem relação com o Programa de Gestão Ambiental da Obra</w:t>
      </w:r>
      <w:r w:rsidR="00484620">
        <w:rPr>
          <w:rFonts w:eastAsia="Calibri" w:cs="Arial"/>
          <w:szCs w:val="22"/>
          <w:lang w:eastAsia="en-US"/>
        </w:rPr>
        <w:t xml:space="preserve"> e o Programa de Comunicação e Interação Social</w:t>
      </w:r>
      <w:r w:rsidRPr="001169C6">
        <w:rPr>
          <w:rFonts w:eastAsia="Calibri" w:cs="Arial"/>
          <w:szCs w:val="22"/>
          <w:lang w:eastAsia="en-US"/>
        </w:rPr>
        <w:t>.</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62" w:name="_Toc418758397"/>
      <w:bookmarkStart w:id="963" w:name="_Toc418758999"/>
      <w:bookmarkStart w:id="964" w:name="_Toc419813771"/>
      <w:r w:rsidRPr="000822C6">
        <w:rPr>
          <w:rFonts w:ascii="Arial Negrito" w:eastAsia="Batang" w:hAnsi="Arial Negrito"/>
          <w:bCs/>
          <w:lang w:eastAsia="en-US"/>
        </w:rPr>
        <w:t>Etapa dos Empreendimentos</w:t>
      </w:r>
      <w:bookmarkEnd w:id="962"/>
      <w:bookmarkEnd w:id="963"/>
      <w:bookmarkEnd w:id="964"/>
    </w:p>
    <w:p w:rsidR="001169C6" w:rsidRDefault="001169C6" w:rsidP="001169C6">
      <w:pPr>
        <w:spacing w:before="120" w:after="120" w:line="240" w:lineRule="auto"/>
        <w:contextualSpacing/>
        <w:rPr>
          <w:rFonts w:eastAsia="Calibri" w:cs="Arial"/>
          <w:szCs w:val="22"/>
          <w:lang w:eastAsia="en-US"/>
        </w:rPr>
      </w:pPr>
      <w:r w:rsidRPr="001169C6">
        <w:rPr>
          <w:rFonts w:eastAsia="Calibri" w:cs="Arial"/>
          <w:szCs w:val="22"/>
          <w:lang w:eastAsia="en-US"/>
        </w:rPr>
        <w:t>As atividades do presente programa serão desenvolvidas nas fases de planejamento e implantação</w:t>
      </w:r>
      <w:r w:rsidR="00FF64D3">
        <w:rPr>
          <w:rFonts w:eastAsia="Calibri" w:cs="Arial"/>
          <w:szCs w:val="22"/>
          <w:lang w:eastAsia="en-US"/>
        </w:rPr>
        <w:t>.</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65" w:name="_Toc418758398"/>
      <w:bookmarkStart w:id="966" w:name="_Toc418759000"/>
      <w:bookmarkStart w:id="967" w:name="_Toc419813772"/>
      <w:r w:rsidRPr="000822C6">
        <w:rPr>
          <w:rFonts w:ascii="Arial Negrito" w:eastAsia="Batang" w:hAnsi="Arial Negrito"/>
          <w:bCs/>
          <w:lang w:eastAsia="en-US"/>
        </w:rPr>
        <w:t>Cronograma de Execução</w:t>
      </w:r>
      <w:bookmarkEnd w:id="965"/>
      <w:bookmarkEnd w:id="966"/>
      <w:bookmarkEnd w:id="967"/>
    </w:p>
    <w:p w:rsidR="00484620" w:rsidRPr="00755065" w:rsidRDefault="00C237C5" w:rsidP="00484620">
      <w:pPr>
        <w:spacing w:before="120" w:after="120" w:line="240" w:lineRule="auto"/>
        <w:rPr>
          <w:rFonts w:eastAsia="Batang" w:cs="Arial"/>
          <w:szCs w:val="22"/>
          <w:lang w:eastAsia="en-US"/>
        </w:rPr>
      </w:pPr>
      <w:r w:rsidRPr="00755065">
        <w:rPr>
          <w:rFonts w:eastAsia="Batang" w:cs="Arial"/>
          <w:szCs w:val="22"/>
          <w:lang w:eastAsia="en-US"/>
        </w:rPr>
        <w:t>As atividades do programa d</w:t>
      </w:r>
      <w:r w:rsidR="00755065" w:rsidRPr="00755065">
        <w:rPr>
          <w:rFonts w:eastAsia="Batang" w:cs="Arial"/>
          <w:szCs w:val="22"/>
          <w:lang w:eastAsia="en-US"/>
        </w:rPr>
        <w:t>everão ser realizadas após a obtenção da Licença Ambiental de Instalação (LI), devendo estar concluídas no mínimo três (3) meses antes do início do enchimento dos reservatórios das Barragens Pedreira e Duas Pontes.</w:t>
      </w:r>
    </w:p>
    <w:p w:rsidR="00755065" w:rsidRPr="001169C6" w:rsidRDefault="00755065" w:rsidP="00484620">
      <w:pPr>
        <w:spacing w:before="120" w:after="120" w:line="240" w:lineRule="auto"/>
        <w:rPr>
          <w:rFonts w:eastAsia="Batang" w:cs="Arial"/>
          <w:szCs w:val="22"/>
          <w:lang w:eastAsia="en-US"/>
        </w:rPr>
      </w:pPr>
      <w:r w:rsidRPr="00755065">
        <w:rPr>
          <w:rFonts w:eastAsia="Batang" w:cs="Arial"/>
          <w:szCs w:val="22"/>
          <w:lang w:eastAsia="en-US"/>
        </w:rPr>
        <w:t xml:space="preserve">As ações a serem realizadas são: </w:t>
      </w:r>
    </w:p>
    <w:p w:rsidR="001169C6" w:rsidRPr="001169C6" w:rsidRDefault="001169C6" w:rsidP="00F94909">
      <w:pPr>
        <w:pStyle w:val="Item-Trainho"/>
        <w:rPr>
          <w:rFonts w:eastAsia="Calibri"/>
          <w:lang w:eastAsia="en-US"/>
        </w:rPr>
      </w:pPr>
      <w:r w:rsidRPr="001169C6">
        <w:rPr>
          <w:rFonts w:eastAsia="Calibri"/>
          <w:lang w:eastAsia="en-US"/>
        </w:rPr>
        <w:t>solicitação de bloquei</w:t>
      </w:r>
      <w:r w:rsidR="00484620" w:rsidRPr="00755065">
        <w:rPr>
          <w:rFonts w:eastAsia="Calibri"/>
          <w:lang w:eastAsia="en-US"/>
        </w:rPr>
        <w:t>o</w:t>
      </w:r>
      <w:r w:rsidRPr="001169C6">
        <w:rPr>
          <w:rFonts w:eastAsia="Calibri"/>
          <w:lang w:eastAsia="en-US"/>
        </w:rPr>
        <w:t xml:space="preserve"> da ADA junto ao DNPM</w:t>
      </w:r>
      <w:r w:rsidR="00484620" w:rsidRPr="00755065">
        <w:rPr>
          <w:rFonts w:eastAsia="Calibri"/>
          <w:lang w:eastAsia="en-US"/>
        </w:rPr>
        <w:t>;</w:t>
      </w:r>
    </w:p>
    <w:p w:rsidR="001169C6" w:rsidRPr="001169C6" w:rsidRDefault="001169C6" w:rsidP="00F94909">
      <w:pPr>
        <w:pStyle w:val="Item-Trainho"/>
        <w:rPr>
          <w:rFonts w:eastAsia="Calibri"/>
          <w:lang w:eastAsia="en-US"/>
        </w:rPr>
      </w:pPr>
      <w:r w:rsidRPr="001169C6">
        <w:rPr>
          <w:rFonts w:eastAsia="Calibri"/>
          <w:lang w:eastAsia="en-US"/>
        </w:rPr>
        <w:t>atualização dos levantamentos junto ao DNPM e detalhamento do plano</w:t>
      </w:r>
      <w:r w:rsidR="00484620" w:rsidRPr="00755065">
        <w:rPr>
          <w:rFonts w:eastAsia="Calibri"/>
          <w:lang w:eastAsia="en-US"/>
        </w:rPr>
        <w:t>;</w:t>
      </w:r>
    </w:p>
    <w:p w:rsidR="001169C6" w:rsidRPr="001169C6" w:rsidRDefault="001169C6" w:rsidP="00F94909">
      <w:pPr>
        <w:pStyle w:val="Item-Trainho"/>
        <w:rPr>
          <w:rFonts w:eastAsia="Calibri"/>
          <w:lang w:eastAsia="en-US"/>
        </w:rPr>
      </w:pPr>
      <w:r w:rsidRPr="001169C6">
        <w:rPr>
          <w:rFonts w:eastAsia="Calibri"/>
          <w:lang w:eastAsia="en-US"/>
        </w:rPr>
        <w:t>solicitação verificação da situação dos processos no DNPM</w:t>
      </w:r>
      <w:r w:rsidR="00484620" w:rsidRPr="00755065">
        <w:rPr>
          <w:rFonts w:eastAsia="Calibri"/>
          <w:lang w:eastAsia="en-US"/>
        </w:rPr>
        <w:t>;</w:t>
      </w:r>
    </w:p>
    <w:p w:rsidR="001169C6" w:rsidRPr="001169C6" w:rsidRDefault="001169C6" w:rsidP="00F94909">
      <w:pPr>
        <w:pStyle w:val="Item-Trainho"/>
        <w:rPr>
          <w:rFonts w:eastAsia="Calibri"/>
          <w:lang w:eastAsia="en-US"/>
        </w:rPr>
      </w:pPr>
      <w:r w:rsidRPr="001169C6">
        <w:rPr>
          <w:rFonts w:eastAsia="Calibri"/>
          <w:lang w:eastAsia="en-US"/>
        </w:rPr>
        <w:t>avaliação de eventuais compensações ou indenizações</w:t>
      </w:r>
      <w:r w:rsidR="00484620" w:rsidRPr="00755065">
        <w:rPr>
          <w:rFonts w:eastAsia="Calibri"/>
          <w:lang w:eastAsia="en-US"/>
        </w:rPr>
        <w:t>;</w:t>
      </w:r>
    </w:p>
    <w:p w:rsidR="00C237C5" w:rsidRPr="00755065" w:rsidRDefault="001169C6" w:rsidP="00F94909">
      <w:pPr>
        <w:pStyle w:val="Item-Trainho"/>
        <w:rPr>
          <w:rFonts w:eastAsia="Calibri"/>
          <w:lang w:eastAsia="en-US"/>
        </w:rPr>
      </w:pPr>
      <w:r w:rsidRPr="001169C6">
        <w:rPr>
          <w:rFonts w:eastAsia="Calibri"/>
          <w:lang w:eastAsia="en-US"/>
        </w:rPr>
        <w:t>negociações com os titulares de direitos minerários caso necessário.</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68" w:name="_Toc418758399"/>
      <w:bookmarkStart w:id="969" w:name="_Toc418759001"/>
      <w:bookmarkStart w:id="970" w:name="_Toc419813773"/>
      <w:r w:rsidRPr="000822C6">
        <w:rPr>
          <w:rFonts w:ascii="Arial Negrito" w:eastAsia="Batang" w:hAnsi="Arial Negrito"/>
          <w:bCs/>
          <w:lang w:eastAsia="en-US"/>
        </w:rPr>
        <w:t>Responsável pela Implementação do Programa</w:t>
      </w:r>
      <w:bookmarkEnd w:id="968"/>
      <w:bookmarkEnd w:id="969"/>
      <w:bookmarkEnd w:id="970"/>
    </w:p>
    <w:p w:rsidR="001169C6" w:rsidRPr="001169C6" w:rsidRDefault="001169C6" w:rsidP="001169C6">
      <w:pPr>
        <w:autoSpaceDE w:val="0"/>
        <w:autoSpaceDN w:val="0"/>
        <w:adjustRightInd w:val="0"/>
        <w:spacing w:before="120" w:after="120" w:line="240" w:lineRule="auto"/>
        <w:rPr>
          <w:rFonts w:eastAsia="Calibri" w:cs="Arial"/>
          <w:szCs w:val="22"/>
          <w:lang w:eastAsia="en-US"/>
        </w:rPr>
      </w:pPr>
      <w:r w:rsidRPr="001169C6">
        <w:rPr>
          <w:rFonts w:eastAsia="Calibri" w:cs="Arial"/>
          <w:szCs w:val="22"/>
          <w:lang w:eastAsia="en-US"/>
        </w:rPr>
        <w:t xml:space="preserve">A responsabilidade pelo desenvolvimento do programa cabe ao empreendedor, devendo atuar em consonância com as administrações municipais, o DNPM e órgãos ambientais.  </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71" w:name="_Toc418758400"/>
      <w:bookmarkStart w:id="972" w:name="_Toc418759002"/>
      <w:bookmarkStart w:id="973" w:name="_Toc419813774"/>
      <w:r w:rsidRPr="000822C6">
        <w:rPr>
          <w:rFonts w:ascii="Arial Negrito" w:eastAsia="Batang" w:hAnsi="Arial Negrito"/>
          <w:bCs/>
          <w:lang w:eastAsia="en-US"/>
        </w:rPr>
        <w:t>Sistemas de Registros</w:t>
      </w:r>
      <w:bookmarkEnd w:id="971"/>
      <w:bookmarkEnd w:id="972"/>
      <w:bookmarkEnd w:id="973"/>
    </w:p>
    <w:p w:rsidR="001169C6" w:rsidRPr="001169C6" w:rsidRDefault="001169C6" w:rsidP="001169C6">
      <w:pPr>
        <w:spacing w:before="120" w:after="120" w:line="240" w:lineRule="auto"/>
        <w:rPr>
          <w:rFonts w:eastAsia="Batang" w:cs="Arial"/>
          <w:szCs w:val="22"/>
          <w:lang w:eastAsia="en-US"/>
        </w:rPr>
      </w:pPr>
      <w:r w:rsidRPr="001169C6">
        <w:rPr>
          <w:rFonts w:eastAsia="Batang" w:cs="Arial"/>
          <w:szCs w:val="22"/>
          <w:lang w:eastAsia="en-US"/>
        </w:rPr>
        <w:t>Deverá ser emitido relatório sobre a situação dos processos e do pedido de bloqueio no DNPM seis meses após o início das obras.</w:t>
      </w:r>
    </w:p>
    <w:p w:rsidR="001169C6" w:rsidRPr="001169C6" w:rsidRDefault="001169C6" w:rsidP="001169C6">
      <w:pPr>
        <w:spacing w:before="120" w:after="120" w:line="240" w:lineRule="auto"/>
        <w:rPr>
          <w:rFonts w:eastAsia="Batang" w:cs="Arial"/>
          <w:szCs w:val="22"/>
          <w:lang w:eastAsia="en-US"/>
        </w:rPr>
      </w:pPr>
      <w:r w:rsidRPr="001169C6">
        <w:rPr>
          <w:rFonts w:eastAsia="Batang" w:cs="Arial"/>
          <w:szCs w:val="22"/>
          <w:lang w:eastAsia="en-US"/>
        </w:rPr>
        <w:t>Se houveram pendência serão emitidos relatórios com frequência semestral até regularização das mesmas.</w:t>
      </w:r>
    </w:p>
    <w:p w:rsidR="001169C6" w:rsidRPr="000822C6" w:rsidRDefault="001169C6" w:rsidP="00431A97">
      <w:pPr>
        <w:pStyle w:val="Ttulo3"/>
        <w:numPr>
          <w:ilvl w:val="3"/>
          <w:numId w:val="51"/>
        </w:numPr>
        <w:rPr>
          <w:rFonts w:ascii="Arial Negrito" w:eastAsia="Batang" w:hAnsi="Arial Negrito" w:hint="eastAsia"/>
          <w:bCs/>
          <w:lang w:eastAsia="en-US"/>
        </w:rPr>
      </w:pPr>
      <w:bookmarkStart w:id="974" w:name="_Toc418758401"/>
      <w:bookmarkStart w:id="975" w:name="_Toc418759003"/>
      <w:bookmarkStart w:id="976" w:name="_Toc419813775"/>
      <w:r w:rsidRPr="000822C6">
        <w:rPr>
          <w:rFonts w:ascii="Arial Negrito" w:eastAsia="Batang" w:hAnsi="Arial Negrito"/>
          <w:bCs/>
          <w:lang w:eastAsia="en-US"/>
        </w:rPr>
        <w:t>Referências Bibliográficas</w:t>
      </w:r>
      <w:bookmarkEnd w:id="974"/>
      <w:bookmarkEnd w:id="975"/>
      <w:bookmarkEnd w:id="976"/>
    </w:p>
    <w:p w:rsidR="001169C6" w:rsidRPr="001169C6" w:rsidRDefault="001169C6" w:rsidP="000822C6">
      <w:pPr>
        <w:pStyle w:val="Item-Trainho"/>
        <w:rPr>
          <w:rFonts w:eastAsia="Batang"/>
          <w:lang w:eastAsia="en-US"/>
        </w:rPr>
      </w:pPr>
      <w:r w:rsidRPr="001169C6">
        <w:rPr>
          <w:rFonts w:eastAsia="Batang"/>
          <w:lang w:eastAsia="en-US"/>
        </w:rPr>
        <w:t xml:space="preserve">Decreto-Lei </w:t>
      </w:r>
      <w:r w:rsidR="00F94909">
        <w:rPr>
          <w:rFonts w:eastAsia="Batang"/>
          <w:lang w:eastAsia="en-US"/>
        </w:rPr>
        <w:t>n</w:t>
      </w:r>
      <w:r w:rsidR="00F94909" w:rsidRPr="00F94909">
        <w:rPr>
          <w:rFonts w:eastAsia="Batang"/>
          <w:u w:val="single"/>
          <w:vertAlign w:val="superscript"/>
          <w:lang w:eastAsia="en-US"/>
        </w:rPr>
        <w:t>o</w:t>
      </w:r>
      <w:r w:rsidRPr="001169C6">
        <w:rPr>
          <w:rFonts w:eastAsia="Batang"/>
          <w:lang w:eastAsia="en-US"/>
        </w:rPr>
        <w:t xml:space="preserve"> 227, de 28/02/1067. Dá nova redação ao Decreto- Lei </w:t>
      </w:r>
      <w:r w:rsidR="002E29E3">
        <w:rPr>
          <w:rFonts w:eastAsia="Batang"/>
          <w:lang w:eastAsia="en-US"/>
        </w:rPr>
        <w:t>n</w:t>
      </w:r>
      <w:r w:rsidR="002E29E3" w:rsidRPr="00F94909">
        <w:rPr>
          <w:rFonts w:eastAsia="Batang"/>
          <w:u w:val="single"/>
          <w:vertAlign w:val="superscript"/>
          <w:lang w:eastAsia="en-US"/>
        </w:rPr>
        <w:t>o</w:t>
      </w:r>
      <w:r w:rsidR="002E29E3" w:rsidRPr="001169C6">
        <w:rPr>
          <w:rFonts w:eastAsia="Batang"/>
          <w:lang w:eastAsia="en-US"/>
        </w:rPr>
        <w:t xml:space="preserve"> </w:t>
      </w:r>
      <w:r w:rsidRPr="001169C6">
        <w:rPr>
          <w:rFonts w:eastAsia="Batang"/>
          <w:lang w:eastAsia="en-US"/>
        </w:rPr>
        <w:t>1.985, de 29 de janeiro de 1940 (Código de Mineração)</w:t>
      </w:r>
    </w:p>
    <w:p w:rsidR="001169C6" w:rsidRDefault="001169C6" w:rsidP="000822C6">
      <w:pPr>
        <w:pStyle w:val="Item-Trainho"/>
        <w:rPr>
          <w:rFonts w:eastAsia="Batang"/>
          <w:lang w:eastAsia="en-US"/>
        </w:rPr>
      </w:pPr>
      <w:r w:rsidRPr="001169C6">
        <w:rPr>
          <w:rFonts w:eastAsia="Batang"/>
          <w:lang w:eastAsia="en-US"/>
        </w:rPr>
        <w:t>DNPM, 2011- Manual de análise e emissão de Portaria de Lavra.</w:t>
      </w:r>
    </w:p>
    <w:p w:rsidR="002D01AC" w:rsidRPr="000822C6" w:rsidRDefault="002D01AC" w:rsidP="00431A97">
      <w:pPr>
        <w:pStyle w:val="Ttulo3"/>
        <w:numPr>
          <w:ilvl w:val="2"/>
          <w:numId w:val="51"/>
        </w:numPr>
        <w:rPr>
          <w:rFonts w:ascii="Arial Negrito" w:hAnsi="Arial Negrito" w:cs="Arial"/>
          <w:b w:val="0"/>
          <w:szCs w:val="22"/>
        </w:rPr>
      </w:pPr>
      <w:bookmarkStart w:id="977" w:name="_Toc418758402"/>
      <w:bookmarkStart w:id="978" w:name="_Toc418759004"/>
      <w:bookmarkStart w:id="979" w:name="_Toc419813776"/>
      <w:r w:rsidRPr="000822C6">
        <w:rPr>
          <w:rFonts w:ascii="Arial Negrito" w:hAnsi="Arial Negrito"/>
          <w:b w:val="0"/>
        </w:rPr>
        <w:t>Programa de Monitoramento da</w:t>
      </w:r>
      <w:r w:rsidR="002F58D9" w:rsidRPr="000822C6">
        <w:rPr>
          <w:rFonts w:ascii="Arial Negrito" w:hAnsi="Arial Negrito"/>
          <w:b w:val="0"/>
        </w:rPr>
        <w:t xml:space="preserve"> Estabilidade das </w:t>
      </w:r>
      <w:r w:rsidRPr="000822C6">
        <w:rPr>
          <w:rFonts w:ascii="Arial Negrito" w:hAnsi="Arial Negrito"/>
          <w:b w:val="0"/>
        </w:rPr>
        <w:t>Encostas Marginais</w:t>
      </w:r>
      <w:r w:rsidR="002F58D9" w:rsidRPr="000822C6">
        <w:rPr>
          <w:rFonts w:ascii="Arial Negrito" w:hAnsi="Arial Negrito"/>
          <w:b w:val="0"/>
        </w:rPr>
        <w:t xml:space="preserve"> e Processos</w:t>
      </w:r>
      <w:r w:rsidR="002F58D9" w:rsidRPr="000822C6">
        <w:rPr>
          <w:rFonts w:ascii="Arial Negrito" w:hAnsi="Arial Negrito" w:cs="Arial"/>
          <w:b w:val="0"/>
          <w:szCs w:val="22"/>
        </w:rPr>
        <w:t xml:space="preserve"> Erosivos</w:t>
      </w:r>
      <w:bookmarkEnd w:id="977"/>
      <w:bookmarkEnd w:id="978"/>
      <w:bookmarkEnd w:id="979"/>
    </w:p>
    <w:p w:rsidR="00F84974" w:rsidRPr="000822C6" w:rsidRDefault="00F84974" w:rsidP="00431A97">
      <w:pPr>
        <w:pStyle w:val="Ttulo3"/>
        <w:numPr>
          <w:ilvl w:val="3"/>
          <w:numId w:val="51"/>
        </w:numPr>
        <w:rPr>
          <w:rFonts w:ascii="Arial Negrito" w:hAnsi="Arial Negrito"/>
          <w:b w:val="0"/>
        </w:rPr>
      </w:pPr>
      <w:bookmarkStart w:id="980" w:name="_Toc418758403"/>
      <w:bookmarkStart w:id="981" w:name="_Toc418759005"/>
      <w:bookmarkStart w:id="982" w:name="_Toc419813777"/>
      <w:r w:rsidRPr="000822C6">
        <w:rPr>
          <w:rFonts w:ascii="Arial Negrito" w:hAnsi="Arial Negrito"/>
          <w:b w:val="0"/>
        </w:rPr>
        <w:t>Apresentação e Justificativa</w:t>
      </w:r>
      <w:bookmarkEnd w:id="980"/>
      <w:bookmarkEnd w:id="981"/>
      <w:bookmarkEnd w:id="982"/>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Processos erosivos e movimentações de massa em solo ou rocha ao longo de encostas marginais de um reservatório decorrem devido a uma série de condicionantes favoráveis aos processos de instabilização. Os principais agentes condicionantes de instabilizações estão associados principalmente a aspectos geológico-geotécnicos e morfológicos, como a declividade dos terrenos, além das chuvas,  que atuam como agentes deflagradores de escorregamentos nas encostas, e da cobertura vegetal e mata ciliar. Fatores adicionais surgem com a implantação do reservatório, que resulta na elevação do lençol freático, variação do nível d’água e embate de ondas nas margens do lago.</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No capítulo “Estabilidade de Encostas da ADA do Reservatório da Barragem Pedreira</w:t>
      </w:r>
      <w:r w:rsidR="007358B5">
        <w:rPr>
          <w:rFonts w:cs="Arial"/>
          <w:szCs w:val="22"/>
        </w:rPr>
        <w:t xml:space="preserve">” </w:t>
      </w:r>
      <w:r w:rsidRPr="00F84974">
        <w:rPr>
          <w:rFonts w:cs="Arial"/>
          <w:szCs w:val="22"/>
        </w:rPr>
        <w:t>do Diagnóstico Ambiental foram identificados e avaliados os principais processos e mecanismos atuantes na ADA do futuro reservatório da Barragem Pedreira, bem como definidos os graus de suscetibilidade das encostas aos processos e mecanismos, a partir dos principais condicionantes de relevo, geológico-geotécnicos, estruturais e de cobertura vegetal. Os resultados estão sintetizados no “Mapa de Estabilidade de Encostas da Área Diretamente Afetada</w:t>
      </w:r>
      <w:r w:rsidR="00CA31A6">
        <w:rPr>
          <w:rFonts w:cs="Arial"/>
          <w:szCs w:val="22"/>
        </w:rPr>
        <w:t>- Barragem Pedreira</w:t>
      </w:r>
      <w:r w:rsidRPr="00F84974">
        <w:rPr>
          <w:rFonts w:cs="Arial"/>
          <w:szCs w:val="22"/>
        </w:rPr>
        <w:t xml:space="preserve">” (Desenho </w:t>
      </w:r>
      <w:r w:rsidR="002E29E3">
        <w:rPr>
          <w:rFonts w:eastAsia="Batang"/>
          <w:lang w:eastAsia="en-US"/>
        </w:rPr>
        <w:t>n</w:t>
      </w:r>
      <w:r w:rsidR="002E29E3" w:rsidRPr="00F94909">
        <w:rPr>
          <w:rFonts w:eastAsia="Batang"/>
          <w:u w:val="single"/>
          <w:vertAlign w:val="superscript"/>
          <w:lang w:eastAsia="en-US"/>
        </w:rPr>
        <w:t>o</w:t>
      </w:r>
      <w:r w:rsidR="002E29E3" w:rsidRPr="00F84974">
        <w:rPr>
          <w:rFonts w:cs="Arial"/>
          <w:szCs w:val="22"/>
        </w:rPr>
        <w:t xml:space="preserve"> </w:t>
      </w:r>
      <w:r w:rsidRPr="00F84974">
        <w:rPr>
          <w:rFonts w:cs="Arial"/>
          <w:szCs w:val="22"/>
        </w:rPr>
        <w:t>7188-13-GL-510-DE-00131</w:t>
      </w:r>
      <w:r w:rsidR="00AB7576">
        <w:rPr>
          <w:rFonts w:cs="Arial"/>
          <w:szCs w:val="22"/>
        </w:rPr>
        <w:t>, apresentado no Volume II, Tomo 2</w:t>
      </w:r>
      <w:r w:rsidRPr="00F84974">
        <w:rPr>
          <w:rFonts w:cs="Arial"/>
          <w:szCs w:val="22"/>
        </w:rPr>
        <w:t>).</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Já no reservatório da Barragem Duas Pontes a delimitação de setores suscetíveis à ocorrência desses processos, bem como o grau de suscetibilidade encontram-se no “Mapa de Estabilidade de Encostas da Área Diretamente Afetada</w:t>
      </w:r>
      <w:r w:rsidR="00CA31A6">
        <w:rPr>
          <w:rFonts w:cs="Arial"/>
          <w:szCs w:val="22"/>
        </w:rPr>
        <w:t xml:space="preserve"> – Barragem Duas Pontes</w:t>
      </w:r>
      <w:r w:rsidRPr="00F84974">
        <w:rPr>
          <w:rFonts w:cs="Arial"/>
          <w:szCs w:val="22"/>
        </w:rPr>
        <w:t xml:space="preserve">” (Desenho </w:t>
      </w:r>
      <w:r w:rsidR="00B73D6E">
        <w:rPr>
          <w:rFonts w:eastAsia="Batang"/>
          <w:lang w:eastAsia="en-US"/>
        </w:rPr>
        <w:t>n</w:t>
      </w:r>
      <w:r w:rsidR="00B73D6E" w:rsidRPr="00F94909">
        <w:rPr>
          <w:rFonts w:eastAsia="Batang"/>
          <w:u w:val="single"/>
          <w:vertAlign w:val="superscript"/>
          <w:lang w:eastAsia="en-US"/>
        </w:rPr>
        <w:t>o</w:t>
      </w:r>
      <w:r w:rsidR="00B73D6E" w:rsidRPr="00F84974">
        <w:rPr>
          <w:rFonts w:cs="Arial"/>
          <w:szCs w:val="22"/>
        </w:rPr>
        <w:t xml:space="preserve"> </w:t>
      </w:r>
      <w:r w:rsidRPr="00F84974">
        <w:rPr>
          <w:rFonts w:cs="Arial"/>
          <w:szCs w:val="22"/>
        </w:rPr>
        <w:t>7188-13-GL-510-DE-00139</w:t>
      </w:r>
      <w:r w:rsidR="00AB7576">
        <w:rPr>
          <w:rFonts w:cs="Arial"/>
          <w:szCs w:val="22"/>
        </w:rPr>
        <w:t>, apresentado no Volume II, Tomo 2</w:t>
      </w:r>
      <w:r w:rsidRPr="00F84974">
        <w:rPr>
          <w:rFonts w:cs="Arial"/>
          <w:szCs w:val="22"/>
        </w:rPr>
        <w:t xml:space="preserve">). A discussão sobre os processos e mecanismos atuantes, assim como a definição dos setores encontram-se no capítulo “Estabilidade de Encostas da ADA do Reservatório da Barragem Duas Pontes“ do Diagnóstico Ambiental. </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Com a implantação dos reservatórios das Barragens Pedreira e Duas Pontes deverá ocorrer acréscimo da suscetibilidade a processos de instabilização das encostas marginais. Tais encostas foram caracterizadas quanto aos diferentes graus de suscetibilidade a processos de instabilização na situação atual, quando do Diagnóstico Ambiental, os quais são deflagrados por causas naturais, mas também a partir de ações antrópicas.</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A formação do reservatório acelera ou reativa os processos erosivos das encostas devido à elevação do nível freático. Novas erosões provocadas pela ação e embate das ondas poderão ocorrer principalmente devido à presença de materiais inconsolidados nas margens do futuro reservatório.</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Com a implantação dos reservatórios ocorrerá submersão parcial das encostas, elevação e novas oscilações do nível freático devido a variações dos níveis dos reservatórios em cheias e secas, além do embate de ondas nas encostas, que favorecem o desenvolvimento de novos processos de movimentos de massa, ou a reativação de outros já instalados. Citam-se a ocorrência de escorregamentos em solos de alteração e queda e rolamento de blocos, devido à redução na resistência das unidades geológico-geotécnicas mais suscetíveis à instabilização.</w:t>
      </w:r>
    </w:p>
    <w:p w:rsidR="00F84974" w:rsidRPr="000822C6" w:rsidRDefault="00F84974" w:rsidP="00431A97">
      <w:pPr>
        <w:pStyle w:val="Ttulo3"/>
        <w:numPr>
          <w:ilvl w:val="3"/>
          <w:numId w:val="51"/>
        </w:numPr>
        <w:rPr>
          <w:rFonts w:ascii="Arial Negrito" w:hAnsi="Arial Negrito"/>
          <w:b w:val="0"/>
        </w:rPr>
      </w:pPr>
      <w:bookmarkStart w:id="983" w:name="_Toc418758404"/>
      <w:bookmarkStart w:id="984" w:name="_Toc418759006"/>
      <w:bookmarkStart w:id="985" w:name="_Toc419813778"/>
      <w:r w:rsidRPr="000822C6">
        <w:rPr>
          <w:rFonts w:ascii="Arial Negrito" w:hAnsi="Arial Negrito"/>
          <w:b w:val="0"/>
        </w:rPr>
        <w:t>Objetivos</w:t>
      </w:r>
      <w:bookmarkEnd w:id="983"/>
      <w:bookmarkEnd w:id="984"/>
      <w:bookmarkEnd w:id="985"/>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O programa tem como objetivo o monitoramento da estabilidade das encostas marginais e processos erosivos dos futuros reservatórios das Barragens Pedreira e Duas Pontes, bem como o detalhamento dos graus de suscetibilidade a esses processos em diversos trechos e/ou setores das encostas marginais em períodos antes, durante e após o enchimento, caracterizando-se assim a influência dos reservatórios. Deverão possibilitar também a indicação de medidas de proteção contra os processos de instabilização e estabelecer as recomendações e detalhamentos sobre tratamentos previstos em locais de suscetibilidade alta e de relevante criticidade.</w:t>
      </w:r>
    </w:p>
    <w:p w:rsidR="00F84974" w:rsidRPr="000822C6" w:rsidRDefault="00F84974" w:rsidP="00431A97">
      <w:pPr>
        <w:pStyle w:val="Ttulo3"/>
        <w:numPr>
          <w:ilvl w:val="3"/>
          <w:numId w:val="51"/>
        </w:numPr>
        <w:rPr>
          <w:rFonts w:ascii="Arial Negrito" w:hAnsi="Arial Negrito"/>
          <w:b w:val="0"/>
        </w:rPr>
      </w:pPr>
      <w:bookmarkStart w:id="986" w:name="_Toc418758405"/>
      <w:bookmarkStart w:id="987" w:name="_Toc418759007"/>
      <w:bookmarkStart w:id="988" w:name="_Toc419813779"/>
      <w:r w:rsidRPr="000822C6">
        <w:rPr>
          <w:rFonts w:ascii="Arial Negrito" w:hAnsi="Arial Negrito"/>
          <w:b w:val="0"/>
        </w:rPr>
        <w:t>Metas</w:t>
      </w:r>
      <w:bookmarkEnd w:id="986"/>
      <w:bookmarkEnd w:id="987"/>
      <w:bookmarkEnd w:id="988"/>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 xml:space="preserve">Este programa tem como principal meta garantir a integridade das encostas marginais em relação aos processos erosivos e de instabilização durante a fase de implantação e após o enchimento dos reservatórios das Barragens Pedreira e Duas Pontes, </w:t>
      </w:r>
      <w:r w:rsidR="00145C71">
        <w:rPr>
          <w:rFonts w:cs="Arial"/>
          <w:szCs w:val="22"/>
        </w:rPr>
        <w:t>monitorando o entorno dos reservatórios pelo prazo mínimo de</w:t>
      </w:r>
      <w:r w:rsidRPr="00F84974">
        <w:rPr>
          <w:rFonts w:cs="Arial"/>
          <w:szCs w:val="22"/>
        </w:rPr>
        <w:t xml:space="preserve"> dois anos.</w:t>
      </w:r>
    </w:p>
    <w:p w:rsidR="00F84974" w:rsidRPr="000822C6" w:rsidRDefault="00F84974" w:rsidP="00431A97">
      <w:pPr>
        <w:pStyle w:val="Ttulo3"/>
        <w:numPr>
          <w:ilvl w:val="3"/>
          <w:numId w:val="51"/>
        </w:numPr>
        <w:rPr>
          <w:rFonts w:ascii="Arial Negrito" w:hAnsi="Arial Negrito"/>
          <w:b w:val="0"/>
        </w:rPr>
      </w:pPr>
      <w:bookmarkStart w:id="989" w:name="_Toc418758406"/>
      <w:bookmarkStart w:id="990" w:name="_Toc418759008"/>
      <w:bookmarkStart w:id="991" w:name="_Toc419813780"/>
      <w:r w:rsidRPr="000822C6">
        <w:rPr>
          <w:rFonts w:ascii="Arial Negrito" w:hAnsi="Arial Negrito"/>
          <w:b w:val="0"/>
        </w:rPr>
        <w:t>Público alvo</w:t>
      </w:r>
      <w:bookmarkEnd w:id="989"/>
      <w:bookmarkEnd w:id="990"/>
      <w:bookmarkEnd w:id="991"/>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Este programa envolverá a sociedade civil na região de influência do empreendimento.</w:t>
      </w:r>
    </w:p>
    <w:p w:rsidR="00F84974" w:rsidRPr="000822C6" w:rsidRDefault="002F58D9" w:rsidP="00431A97">
      <w:pPr>
        <w:pStyle w:val="Ttulo3"/>
        <w:numPr>
          <w:ilvl w:val="3"/>
          <w:numId w:val="51"/>
        </w:numPr>
        <w:rPr>
          <w:rFonts w:ascii="Arial Negrito" w:hAnsi="Arial Negrito"/>
          <w:b w:val="0"/>
        </w:rPr>
      </w:pPr>
      <w:bookmarkStart w:id="992" w:name="_Toc418758407"/>
      <w:bookmarkStart w:id="993" w:name="_Toc418759009"/>
      <w:bookmarkStart w:id="994" w:name="_Toc419813781"/>
      <w:r w:rsidRPr="000822C6">
        <w:rPr>
          <w:rFonts w:ascii="Arial Negrito" w:hAnsi="Arial Negrito"/>
          <w:b w:val="0"/>
        </w:rPr>
        <w:t>Métodos e Descrição do Programa (</w:t>
      </w:r>
      <w:r w:rsidR="00F84974" w:rsidRPr="000822C6">
        <w:rPr>
          <w:rFonts w:ascii="Arial Negrito" w:hAnsi="Arial Negrito"/>
          <w:b w:val="0"/>
        </w:rPr>
        <w:t>Procedimentos</w:t>
      </w:r>
      <w:r w:rsidRPr="000822C6">
        <w:rPr>
          <w:rFonts w:ascii="Arial Negrito" w:hAnsi="Arial Negrito"/>
          <w:b w:val="0"/>
        </w:rPr>
        <w:t>)</w:t>
      </w:r>
      <w:bookmarkEnd w:id="992"/>
      <w:bookmarkEnd w:id="993"/>
      <w:bookmarkEnd w:id="994"/>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 xml:space="preserve">Sugere-se, a princípio, a execução de um detalhamento do programa de monitoramento, que deverá considerar os setores de maior suscetibilidade e criticidade para a instalação dos processos de instabilização das encostas marginais, conforme os mapas “Mapa de Estabilidade de Encostas da Área Diretamente Afetada do Reservatório da Barragem Pedreira” (Desenho </w:t>
      </w:r>
      <w:r w:rsidR="002E29E3">
        <w:rPr>
          <w:rFonts w:eastAsia="Batang"/>
          <w:lang w:eastAsia="en-US"/>
        </w:rPr>
        <w:t>n</w:t>
      </w:r>
      <w:r w:rsidR="002E29E3" w:rsidRPr="00F94909">
        <w:rPr>
          <w:rFonts w:eastAsia="Batang"/>
          <w:u w:val="single"/>
          <w:vertAlign w:val="superscript"/>
          <w:lang w:eastAsia="en-US"/>
        </w:rPr>
        <w:t>o</w:t>
      </w:r>
      <w:r w:rsidR="002E29E3" w:rsidRPr="00F84974">
        <w:rPr>
          <w:rFonts w:cs="Arial"/>
          <w:szCs w:val="22"/>
        </w:rPr>
        <w:t xml:space="preserve"> </w:t>
      </w:r>
      <w:r w:rsidRPr="00F84974">
        <w:rPr>
          <w:rFonts w:cs="Arial"/>
          <w:szCs w:val="22"/>
        </w:rPr>
        <w:t xml:space="preserve">7188-13-GL-510-DE-00131) e “Mapa de Estabilidade de Encostas da Área Diretamente Afetada do Reservatório da Barragem Duas Pontes” (Desenho </w:t>
      </w:r>
      <w:r w:rsidR="002E29E3">
        <w:rPr>
          <w:rFonts w:eastAsia="Batang"/>
          <w:lang w:eastAsia="en-US"/>
        </w:rPr>
        <w:t>n</w:t>
      </w:r>
      <w:r w:rsidR="002E29E3" w:rsidRPr="00F94909">
        <w:rPr>
          <w:rFonts w:eastAsia="Batang"/>
          <w:u w:val="single"/>
          <w:vertAlign w:val="superscript"/>
          <w:lang w:eastAsia="en-US"/>
        </w:rPr>
        <w:t>o</w:t>
      </w:r>
      <w:r w:rsidR="002E29E3" w:rsidRPr="00F84974">
        <w:rPr>
          <w:rFonts w:cs="Arial"/>
          <w:szCs w:val="22"/>
        </w:rPr>
        <w:t xml:space="preserve"> </w:t>
      </w:r>
      <w:r w:rsidRPr="00F84974">
        <w:rPr>
          <w:rFonts w:cs="Arial"/>
          <w:szCs w:val="22"/>
        </w:rPr>
        <w:t>7188-13-GL-510-DE-00139), os quais deverão ser priorizados na implantação do Programa.</w:t>
      </w:r>
      <w:r w:rsidR="00AB7576">
        <w:rPr>
          <w:rFonts w:cs="Arial"/>
          <w:szCs w:val="22"/>
        </w:rPr>
        <w:t xml:space="preserve"> (ambos desenhos estão apresentados no Volume II, Tomo 2)</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O detalhamento do programa deverá incluir a localização e as especificações gerais para a execução das investigações, bem como a programação dos estudos e análises necessários para a proposição das medidas de proteção.</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Para detalhar o programa, serão necessárias inspeções geológico-geotécnicas de campo com possíveis investigações diretas, como sondagens a trado e percussão e poços de inspeção.</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 xml:space="preserve">A seguir são descritas as atividades previstas para o programa de monitoramento: </w:t>
      </w:r>
    </w:p>
    <w:p w:rsidR="00F84974" w:rsidRPr="00F84974" w:rsidRDefault="00F84974" w:rsidP="00F94909">
      <w:pPr>
        <w:pStyle w:val="Item-Bolinha"/>
      </w:pPr>
      <w:r w:rsidRPr="00F84974">
        <w:t xml:space="preserve">Imageamento, fotointerpretação e mapeamento geológico-geotécnico. </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Nesta etapa será realizado o processamento e a interpretação de imagens de satélite recentes e atualizadas e fotointerpretação geológica utilizando fotos aéreas, plantas de restituição aerofotogramétrica e de levantamentos topográficos disponíveis e específicos, além de modelos digitais do terreno.</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O mapeamento geológico-geotécnico deverá compreender a identificação das unidades e suas espessuras, indicação dos afloramentos de rocha sã/alterada dura e/ou com altos graus de coerência e de resistência mecânica, individualização e caracterização de unidades geológico-geotécnicas de rochas alteradas e/ou com baixos graus de coerência e de resistência mecânica, depósitos de materiais transportados, surgências de água, erosões e demais processos de instabilização das encostas marginais e seus condicionantes e mecanismos.</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 xml:space="preserve">A determinação dos setores críticos deverá ser efetuada considerando o detalhamento do Programa, bem como a setorização já apresentada nos mapas: “Mapa de Estabilidade de Encostas da Área Diretamente Afetada do Reservatório da Barragem Pedreira” (Desenho </w:t>
      </w:r>
      <w:r w:rsidR="002E29E3">
        <w:rPr>
          <w:rFonts w:eastAsia="Batang"/>
          <w:lang w:eastAsia="en-US"/>
        </w:rPr>
        <w:t>n</w:t>
      </w:r>
      <w:r w:rsidR="002E29E3" w:rsidRPr="00F94909">
        <w:rPr>
          <w:rFonts w:eastAsia="Batang"/>
          <w:u w:val="single"/>
          <w:vertAlign w:val="superscript"/>
          <w:lang w:eastAsia="en-US"/>
        </w:rPr>
        <w:t>o</w:t>
      </w:r>
      <w:r w:rsidR="002E29E3" w:rsidRPr="00F84974">
        <w:rPr>
          <w:rFonts w:cs="Arial"/>
          <w:szCs w:val="22"/>
        </w:rPr>
        <w:t xml:space="preserve"> </w:t>
      </w:r>
      <w:r w:rsidRPr="00F84974">
        <w:rPr>
          <w:rFonts w:cs="Arial"/>
          <w:szCs w:val="22"/>
        </w:rPr>
        <w:t xml:space="preserve">7188-13-GL-510-DE-00131) e “Mapa de Estabilidade de Encostas da Área Diretamente Afetada do Reservatório da Barragem Duas Pontes” (Desenho </w:t>
      </w:r>
      <w:r w:rsidR="002E29E3">
        <w:rPr>
          <w:rFonts w:eastAsia="Batang"/>
          <w:lang w:eastAsia="en-US"/>
        </w:rPr>
        <w:t>n</w:t>
      </w:r>
      <w:r w:rsidR="002E29E3" w:rsidRPr="00F94909">
        <w:rPr>
          <w:rFonts w:eastAsia="Batang"/>
          <w:u w:val="single"/>
          <w:vertAlign w:val="superscript"/>
          <w:lang w:eastAsia="en-US"/>
        </w:rPr>
        <w:t>o</w:t>
      </w:r>
      <w:r w:rsidR="002E29E3" w:rsidRPr="00F84974">
        <w:rPr>
          <w:rFonts w:cs="Arial"/>
          <w:szCs w:val="22"/>
        </w:rPr>
        <w:t xml:space="preserve"> </w:t>
      </w:r>
      <w:r w:rsidRPr="00F84974">
        <w:rPr>
          <w:rFonts w:cs="Arial"/>
          <w:szCs w:val="22"/>
        </w:rPr>
        <w:t xml:space="preserve">7188-13-GL-510-DE-00139), considerando que, na situação com o reservatório, deverá ocorrer acréscimo da suscetibilidade a processos de instabilização das encostas marginais caracterizados na situação atual. Destaque para os setores 17, 21 e 34 do reservatório da Barragem Pedreira, e setores 9 e 12 do reservatório da Barragem Duas Pontes, que possuem alta suscetibilidade aos movimentos de massa e erosão e, com o futuro reservatório, poderão ser agravados. Destacam-se também os setores suscetíveis a inundação e formação de áreas úmidas e alagadas no reservatório da Barragem Duas Pontes. </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Deverá ser realizada a ordenação dos setores segundo uma escala de prioridades para o monitoramento e estudos de medidas de proteção, com base nas características das unidades geológico-geotécnicas e considerando os processos de instabilização mais prováveis, declividade e extensão da encosta que estará emersa para as situações de enchimento e pós-enchimento do reservatório.</w:t>
      </w:r>
    </w:p>
    <w:p w:rsidR="00F84974" w:rsidRPr="00F84974" w:rsidRDefault="00F84974" w:rsidP="001D5114">
      <w:pPr>
        <w:pStyle w:val="Item-Bolinha"/>
      </w:pPr>
      <w:r w:rsidRPr="00F84974">
        <w:t>Execução das investigações de campo e de laboratório e instalação de instrumentos para o monitoramento das encostas.</w:t>
      </w:r>
    </w:p>
    <w:p w:rsidR="00F84974" w:rsidRDefault="00F84974" w:rsidP="00F84974">
      <w:pPr>
        <w:autoSpaceDE w:val="0"/>
        <w:autoSpaceDN w:val="0"/>
        <w:adjustRightInd w:val="0"/>
        <w:spacing w:before="120" w:after="120" w:line="240" w:lineRule="auto"/>
        <w:rPr>
          <w:rFonts w:cs="Arial"/>
          <w:szCs w:val="22"/>
        </w:rPr>
      </w:pPr>
      <w:r w:rsidRPr="00F84974">
        <w:rPr>
          <w:rFonts w:cs="Arial"/>
          <w:szCs w:val="22"/>
        </w:rPr>
        <w:t>As investigações deverão compreender levantamentos topográficos, terrestres e/ou aéreos a laser, além de levantamentos batimétricos. Em locais com maior suscetibilidade e criticidade aos processos de instabilização, identificados na etapa anterior “Imageamento, fotointerpretação e mapeamento geológico-geotécnico”, indica-se a execução de sondagens manuais e mecânicas (incluindo trados, poços de inspeção e sondagens a percussão), coleta de amostras para ensaios de laboratório e a instalação de instrumentos para monitoramento, sempre que necessários. Caso seja mais adequado, alguns instrumentos poderão ser instalados em período próximo ao enchimento.</w:t>
      </w:r>
    </w:p>
    <w:p w:rsidR="00F84974" w:rsidRPr="00F84974" w:rsidRDefault="00F84974" w:rsidP="001D5114">
      <w:pPr>
        <w:pStyle w:val="Item-Bolinha"/>
        <w:spacing w:line="360" w:lineRule="auto"/>
      </w:pPr>
      <w:r w:rsidRPr="00F84974">
        <w:t>Estudos e análises das medidas de proteção das encostas marginais</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Para os setores de maior suscetibilidade a instabilizações e de maior criticidade, identificados nas etapas anteriores deverão ser efetuadas as recomendações e medidas de proteção consideradas mais apropriadas. Poderão ser contempladas alternativas de revegetação e reflorestamento, reaterros, retaludamentos, proteção contra a ação das ondas, drenagem superficial e reordenamento das saídas de águas pluviais.</w:t>
      </w:r>
    </w:p>
    <w:p w:rsidR="00F84974" w:rsidRPr="00F84974" w:rsidRDefault="00F84974" w:rsidP="00F94909">
      <w:pPr>
        <w:pStyle w:val="Item-Bolinha"/>
      </w:pPr>
      <w:r w:rsidRPr="00F84974">
        <w:t xml:space="preserve">Monitoramento das condições de erosão e de estabilidade das margens e das encostas marginais e interpretação dos resultados. </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 xml:space="preserve">Deverão ser efetuadas inspeções sobre as condições de erosão e de instabilidade das encostas marginais e emitidos relatórios técnicos consolidados com os resultados das inspeções e das leituras dos instrumentos. </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 xml:space="preserve">As inspeções deverão também ser acompanhadas de levantamentos topográficos e batimétricos para caracterizar processos não estabilizados e que estejam apresentando evolução ao longo do tempo. </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 xml:space="preserve">Durante as inspeções, deverão ser observados: processos de instabilizações existentes ou potenciais, como feições erosivas incluindo voçorocas, ravinamentos, sulcos de erosão; cicatrizes de rupturas novas e antigas, trincas, deslizamentos e tombamentos; surgências de água; unidades geológico-geotécnicas atingidas e suas características; dados geométricos das áreas instabilizadas, extensão, altura máxima, inclinação; agentes e causas dos processos de instabilização (NA, geometria, drenagem superficial, estruturas reliquiares de solos e descontinuidades de rochas); características de elementos de drenagens ou de saídas de drenagem. </w:t>
      </w:r>
    </w:p>
    <w:p w:rsidR="00F84974" w:rsidRPr="000822C6" w:rsidRDefault="00F84974" w:rsidP="00431A97">
      <w:pPr>
        <w:pStyle w:val="Ttulo3"/>
        <w:numPr>
          <w:ilvl w:val="3"/>
          <w:numId w:val="51"/>
        </w:numPr>
        <w:rPr>
          <w:rFonts w:ascii="Arial Negrito" w:hAnsi="Arial Negrito"/>
          <w:b w:val="0"/>
        </w:rPr>
      </w:pPr>
      <w:bookmarkStart w:id="995" w:name="_Toc418758408"/>
      <w:bookmarkStart w:id="996" w:name="_Toc418759010"/>
      <w:bookmarkStart w:id="997" w:name="_Toc419813782"/>
      <w:r w:rsidRPr="000822C6">
        <w:rPr>
          <w:rFonts w:ascii="Arial Negrito" w:hAnsi="Arial Negrito"/>
          <w:b w:val="0"/>
        </w:rPr>
        <w:t>Indicadores Ambientais</w:t>
      </w:r>
      <w:bookmarkEnd w:id="995"/>
      <w:bookmarkEnd w:id="996"/>
      <w:bookmarkEnd w:id="997"/>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Os indicadores ambientais constituem ferramentas de acompanhamento de alterações de padrões ambientais. No contexto do presente programa os indicadores serão obtidos através da leitura de instrumentos instalados para monitoramento e das inspeções sobre as condições de erosão e de instabilidade.</w:t>
      </w:r>
    </w:p>
    <w:p w:rsidR="00F84974" w:rsidRPr="000822C6" w:rsidRDefault="00F84974" w:rsidP="00431A97">
      <w:pPr>
        <w:pStyle w:val="Ttulo3"/>
        <w:numPr>
          <w:ilvl w:val="3"/>
          <w:numId w:val="51"/>
        </w:numPr>
        <w:rPr>
          <w:rFonts w:ascii="Arial Negrito" w:hAnsi="Arial Negrito"/>
          <w:b w:val="0"/>
        </w:rPr>
      </w:pPr>
      <w:bookmarkStart w:id="998" w:name="_Toc418758409"/>
      <w:bookmarkStart w:id="999" w:name="_Toc418759011"/>
      <w:bookmarkStart w:id="1000" w:name="_Toc419813783"/>
      <w:r w:rsidRPr="000822C6">
        <w:rPr>
          <w:rFonts w:ascii="Arial Negrito" w:hAnsi="Arial Negrito"/>
          <w:b w:val="0"/>
        </w:rPr>
        <w:t>Recursos Materiais e Humanos</w:t>
      </w:r>
      <w:bookmarkEnd w:id="998"/>
      <w:bookmarkEnd w:id="999"/>
      <w:bookmarkEnd w:id="1000"/>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A equipe técnica deverá ser constituída por profissionais com experiência na realização de inspeção de encostas, imageamento e fotointerpretação e mapeamento geológico-geotécnico, bem como deverão também ser contratadas empresas especializadas em levantamentos topográficos, sondagens e instalação de monitores.</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Os recursos materiais necessários devem ser disponibilizados pelas empresas contratadas.</w:t>
      </w:r>
    </w:p>
    <w:p w:rsidR="00F84974" w:rsidRPr="000822C6" w:rsidRDefault="00F84974" w:rsidP="00431A97">
      <w:pPr>
        <w:pStyle w:val="Ttulo3"/>
        <w:numPr>
          <w:ilvl w:val="3"/>
          <w:numId w:val="51"/>
        </w:numPr>
        <w:rPr>
          <w:rFonts w:ascii="Arial Negrito" w:hAnsi="Arial Negrito"/>
          <w:b w:val="0"/>
        </w:rPr>
      </w:pPr>
      <w:bookmarkStart w:id="1001" w:name="_Toc418758410"/>
      <w:bookmarkStart w:id="1002" w:name="_Toc418759012"/>
      <w:bookmarkStart w:id="1003" w:name="_Toc419813784"/>
      <w:r w:rsidRPr="000822C6">
        <w:rPr>
          <w:rFonts w:ascii="Arial Negrito" w:hAnsi="Arial Negrito"/>
          <w:b w:val="0"/>
        </w:rPr>
        <w:t>Atendimento a Requisitos Legais e/ou Outros Requisitos</w:t>
      </w:r>
      <w:bookmarkEnd w:id="1001"/>
      <w:bookmarkEnd w:id="1002"/>
      <w:bookmarkEnd w:id="1003"/>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 xml:space="preserve">Do ponto de vista ambiental, destaca-se a Resolução </w:t>
      </w:r>
      <w:r w:rsidR="00504078">
        <w:rPr>
          <w:rFonts w:cs="Arial"/>
          <w:szCs w:val="22"/>
        </w:rPr>
        <w:t>CONAMA</w:t>
      </w:r>
      <w:r w:rsidR="00EA17F5">
        <w:rPr>
          <w:rFonts w:cs="Arial"/>
          <w:szCs w:val="22"/>
        </w:rPr>
        <w:t xml:space="preserve"> </w:t>
      </w:r>
      <w:r w:rsidR="002E29E3">
        <w:rPr>
          <w:rFonts w:eastAsia="Batang"/>
          <w:lang w:eastAsia="en-US"/>
        </w:rPr>
        <w:t>n</w:t>
      </w:r>
      <w:r w:rsidR="002E29E3" w:rsidRPr="00F94909">
        <w:rPr>
          <w:rFonts w:eastAsia="Batang"/>
          <w:u w:val="single"/>
          <w:vertAlign w:val="superscript"/>
          <w:lang w:eastAsia="en-US"/>
        </w:rPr>
        <w:t>o</w:t>
      </w:r>
      <w:r w:rsidR="002E29E3">
        <w:rPr>
          <w:rFonts w:cs="Arial"/>
          <w:szCs w:val="22"/>
        </w:rPr>
        <w:t xml:space="preserve"> </w:t>
      </w:r>
      <w:r w:rsidRPr="00F84974">
        <w:rPr>
          <w:rFonts w:cs="Arial"/>
          <w:szCs w:val="22"/>
        </w:rPr>
        <w:t xml:space="preserve">303 de 20 de Março de 2002 que dispõe sobre parâmetros, definições e limites de Áreas de Preservação Permanentes </w:t>
      </w:r>
      <w:r w:rsidR="002E29E3">
        <w:rPr>
          <w:rFonts w:cs="Arial"/>
          <w:szCs w:val="22"/>
        </w:rPr>
        <w:t>–</w:t>
      </w:r>
      <w:r w:rsidRPr="00F84974">
        <w:rPr>
          <w:rFonts w:cs="Arial"/>
          <w:szCs w:val="22"/>
        </w:rPr>
        <w:t xml:space="preserve"> APP</w:t>
      </w:r>
      <w:r w:rsidR="002E29E3">
        <w:rPr>
          <w:rFonts w:cs="Arial"/>
          <w:szCs w:val="22"/>
        </w:rPr>
        <w:t>’</w:t>
      </w:r>
      <w:r w:rsidRPr="00F84974">
        <w:rPr>
          <w:rFonts w:cs="Arial"/>
          <w:szCs w:val="22"/>
        </w:rPr>
        <w:t xml:space="preserve">s de um modo geral. A Resolução </w:t>
      </w:r>
      <w:r w:rsidR="00504078">
        <w:rPr>
          <w:rFonts w:cs="Arial"/>
          <w:szCs w:val="22"/>
        </w:rPr>
        <w:t>CONAMA</w:t>
      </w:r>
      <w:r w:rsidR="00EA17F5">
        <w:rPr>
          <w:rFonts w:cs="Arial"/>
          <w:szCs w:val="22"/>
        </w:rPr>
        <w:t xml:space="preserve"> nº</w:t>
      </w:r>
      <w:r w:rsidRPr="00F84974">
        <w:rPr>
          <w:rFonts w:cs="Arial"/>
          <w:szCs w:val="22"/>
        </w:rPr>
        <w:t xml:space="preserve"> 302, também de 20 de </w:t>
      </w:r>
      <w:r w:rsidR="002E29E3">
        <w:rPr>
          <w:rFonts w:cs="Arial"/>
          <w:szCs w:val="22"/>
        </w:rPr>
        <w:t>m</w:t>
      </w:r>
      <w:r w:rsidRPr="00F84974">
        <w:rPr>
          <w:rFonts w:cs="Arial"/>
          <w:szCs w:val="22"/>
        </w:rPr>
        <w:t>arço de 2002, dispõe especificamente sobre a área de preservação permanente no entorno de reservatórios. Com base na definição de que as APP</w:t>
      </w:r>
      <w:r w:rsidR="002E29E3">
        <w:rPr>
          <w:rFonts w:cs="Arial"/>
          <w:szCs w:val="22"/>
        </w:rPr>
        <w:t>’</w:t>
      </w:r>
      <w:r w:rsidRPr="00F84974">
        <w:rPr>
          <w:rFonts w:cs="Arial"/>
          <w:szCs w:val="22"/>
        </w:rPr>
        <w:t>s têm função de preservar os recursos hídricos, a paisagem, a estabilidade geológica, a biodiversidade, o fluxo gênico de fauna e flora, proteger o solo e assegurar o bem estar das populações humanas, define os entornos mínimos de preservação nos reservatórios artificiais com base no seu uso, tamanho e localização em relação às áreas urbanas.</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 xml:space="preserve">No ano de 2003 foi aprovado o Projeto de Lei no 1.181. Esta lei estabelece diretrizes para verificação da segurança de barragens de cursos d’água para quaisquer fins e define obrigações dos empreendedores de barragens. Em 18 de julho de 2005 foi aprovada e em 1º de setembro de 2005 foi publicada a proposta de substitutivo ao Projeto de Lei </w:t>
      </w:r>
      <w:r w:rsidR="002E29E3">
        <w:rPr>
          <w:rFonts w:eastAsia="Batang"/>
          <w:lang w:eastAsia="en-US"/>
        </w:rPr>
        <w:t>n</w:t>
      </w:r>
      <w:r w:rsidR="002E29E3" w:rsidRPr="00F94909">
        <w:rPr>
          <w:rFonts w:eastAsia="Batang"/>
          <w:u w:val="single"/>
          <w:vertAlign w:val="superscript"/>
          <w:lang w:eastAsia="en-US"/>
        </w:rPr>
        <w:t>o</w:t>
      </w:r>
      <w:r w:rsidR="002E29E3" w:rsidRPr="00F84974">
        <w:rPr>
          <w:rFonts w:cs="Arial"/>
          <w:szCs w:val="22"/>
        </w:rPr>
        <w:t xml:space="preserve"> </w:t>
      </w:r>
      <w:r w:rsidRPr="00F84974">
        <w:rPr>
          <w:rFonts w:cs="Arial"/>
          <w:szCs w:val="22"/>
        </w:rPr>
        <w:t>1.181, de 2003, que estabelece a Política Nacional de Segurança de Barragens – PNSB e cria o Sistema Nacional de Informações sobre Segurança de Barragens – SNISB.</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Embora não exista nenhuma norma técnica voltada especificamente para a estabilidade de encostas marginais de reservatórios, cabe citar a ABNT NBR 11682:2009 que trata da estabilidade de encostas de modo geral resultantes especificamente de escavações ou aterros e cujas diretrizes podem ser úteis principalmente caso seja necessário qualquer tipo de intervenção nas encostas naturais para fins de estabilização ou recuperação.</w:t>
      </w:r>
    </w:p>
    <w:p w:rsidR="00F84974" w:rsidRDefault="00F84974" w:rsidP="00F84974">
      <w:pPr>
        <w:autoSpaceDE w:val="0"/>
        <w:autoSpaceDN w:val="0"/>
        <w:adjustRightInd w:val="0"/>
        <w:spacing w:before="120" w:after="120" w:line="240" w:lineRule="auto"/>
        <w:rPr>
          <w:rFonts w:cs="Arial"/>
          <w:szCs w:val="22"/>
        </w:rPr>
      </w:pPr>
      <w:r w:rsidRPr="00F84974">
        <w:rPr>
          <w:rFonts w:cs="Arial"/>
          <w:szCs w:val="22"/>
        </w:rPr>
        <w:t>Observa-se que não há necessidade de licença ou autorização prévia por parte dos órgãos ambientais para realização dos trabalhos de campo deste programa.</w:t>
      </w:r>
    </w:p>
    <w:p w:rsidR="00F84974" w:rsidRPr="000822C6" w:rsidRDefault="00F84974" w:rsidP="00431A97">
      <w:pPr>
        <w:pStyle w:val="Ttulo3"/>
        <w:numPr>
          <w:ilvl w:val="3"/>
          <w:numId w:val="51"/>
        </w:numPr>
        <w:rPr>
          <w:rFonts w:ascii="Arial Negrito" w:hAnsi="Arial Negrito"/>
          <w:b w:val="0"/>
        </w:rPr>
      </w:pPr>
      <w:bookmarkStart w:id="1004" w:name="_Toc418758411"/>
      <w:bookmarkStart w:id="1005" w:name="_Toc418759013"/>
      <w:bookmarkStart w:id="1006" w:name="_Toc419813785"/>
      <w:r w:rsidRPr="000822C6">
        <w:rPr>
          <w:rFonts w:ascii="Arial Negrito" w:hAnsi="Arial Negrito"/>
          <w:b w:val="0"/>
        </w:rPr>
        <w:t>Inter-relação com outros Planos e Programas</w:t>
      </w:r>
      <w:bookmarkEnd w:id="1004"/>
      <w:bookmarkEnd w:id="1005"/>
      <w:bookmarkEnd w:id="1006"/>
    </w:p>
    <w:p w:rsidR="00F84974" w:rsidRDefault="00F84974" w:rsidP="00F84974">
      <w:pPr>
        <w:autoSpaceDE w:val="0"/>
        <w:autoSpaceDN w:val="0"/>
        <w:adjustRightInd w:val="0"/>
        <w:spacing w:before="120" w:after="120" w:line="240" w:lineRule="auto"/>
        <w:rPr>
          <w:rFonts w:cs="Arial"/>
          <w:szCs w:val="22"/>
        </w:rPr>
      </w:pPr>
      <w:r w:rsidRPr="00F84974">
        <w:rPr>
          <w:rFonts w:cs="Arial"/>
          <w:szCs w:val="22"/>
        </w:rPr>
        <w:t>Os resultados obtidos em algumas das ações do presente programa serão compartilhados com o Programa de Monitoramento da Dinâmica das Águas Subterrâneas.</w:t>
      </w:r>
    </w:p>
    <w:p w:rsidR="00F84974" w:rsidRPr="000822C6" w:rsidRDefault="00F84974" w:rsidP="00431A97">
      <w:pPr>
        <w:pStyle w:val="Ttulo3"/>
        <w:numPr>
          <w:ilvl w:val="3"/>
          <w:numId w:val="51"/>
        </w:numPr>
        <w:rPr>
          <w:rFonts w:ascii="Arial Negrito" w:hAnsi="Arial Negrito"/>
          <w:b w:val="0"/>
        </w:rPr>
      </w:pPr>
      <w:bookmarkStart w:id="1007" w:name="_Toc418758412"/>
      <w:bookmarkStart w:id="1008" w:name="_Toc418759014"/>
      <w:bookmarkStart w:id="1009" w:name="_Toc419813786"/>
      <w:r w:rsidRPr="000822C6">
        <w:rPr>
          <w:rFonts w:ascii="Arial Negrito" w:hAnsi="Arial Negrito"/>
          <w:b w:val="0"/>
        </w:rPr>
        <w:t>Etapa do Empreendimento</w:t>
      </w:r>
      <w:bookmarkEnd w:id="1007"/>
      <w:bookmarkEnd w:id="1008"/>
      <w:bookmarkEnd w:id="1009"/>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Este Programa deverá ser executado nas Fases de Planejamento, Implantação e Operação do Empreendimento.</w:t>
      </w:r>
    </w:p>
    <w:p w:rsidR="00F84974" w:rsidRPr="000822C6" w:rsidRDefault="00F84974" w:rsidP="00431A97">
      <w:pPr>
        <w:pStyle w:val="Ttulo3"/>
        <w:numPr>
          <w:ilvl w:val="3"/>
          <w:numId w:val="51"/>
        </w:numPr>
        <w:rPr>
          <w:rFonts w:ascii="Arial Negrito" w:hAnsi="Arial Negrito"/>
          <w:b w:val="0"/>
        </w:rPr>
      </w:pPr>
      <w:bookmarkStart w:id="1010" w:name="_Toc418758413"/>
      <w:bookmarkStart w:id="1011" w:name="_Toc418759015"/>
      <w:bookmarkStart w:id="1012" w:name="_Toc419813787"/>
      <w:r w:rsidRPr="000822C6">
        <w:rPr>
          <w:rFonts w:ascii="Arial Negrito" w:hAnsi="Arial Negrito"/>
          <w:b w:val="0"/>
        </w:rPr>
        <w:t>Cronograma de Execução</w:t>
      </w:r>
      <w:bookmarkEnd w:id="1010"/>
      <w:bookmarkEnd w:id="1011"/>
      <w:bookmarkEnd w:id="1012"/>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O cronograma para o desenvolvimento das atividades do presente Programa está ligado às etapas e fases do empreendimento, tal como apresentado a seguir:</w:t>
      </w:r>
    </w:p>
    <w:p w:rsidR="00F84974" w:rsidRPr="00F84974" w:rsidRDefault="00F84974" w:rsidP="00F94909">
      <w:pPr>
        <w:pStyle w:val="Item-Bolinha"/>
      </w:pPr>
      <w:r w:rsidRPr="00F84974">
        <w:t>Detalhamento do Programa: deverá ser desenvolvido na etapa de planejamento do empreendimento e deverá estar finalizado antes do inicio da etapa de implantação;</w:t>
      </w:r>
    </w:p>
    <w:p w:rsidR="00F84974" w:rsidRPr="00F84974" w:rsidRDefault="00F84974" w:rsidP="00F94909">
      <w:pPr>
        <w:pStyle w:val="Item-Bolinha"/>
      </w:pPr>
      <w:r w:rsidRPr="00F84974">
        <w:t>Imageamento, fotointerpretação e mapeamento geológico-geotécnico: deverão estar concluídas logo no início da etapa de implantação do empreendimento e concluídas em um período máximo de seis meses;</w:t>
      </w:r>
    </w:p>
    <w:p w:rsidR="00F84974" w:rsidRPr="00F84974" w:rsidRDefault="00F84974" w:rsidP="00F94909">
      <w:pPr>
        <w:pStyle w:val="Item-Bolinha"/>
      </w:pPr>
      <w:r w:rsidRPr="00F84974">
        <w:t>Execução das investigações e instalação dos monitores: prevê-se um semestre de execução, sendo iniciada logo no início da etapa de implantação do empreendimento;</w:t>
      </w:r>
    </w:p>
    <w:p w:rsidR="00F84974" w:rsidRPr="00F84974" w:rsidRDefault="00F84974" w:rsidP="00F94909">
      <w:pPr>
        <w:pStyle w:val="Item-Bolinha"/>
      </w:pPr>
      <w:r w:rsidRPr="00F84974">
        <w:t>Estudos de medidas de proteção: esta atividade deverá se iniciar imediatamente após a conclusão das ações “Imageamento e fotointerpretação, mapeamento geológico-geotécnico e Execução das investigações e instalação de monitores”, podendo haver superposição entre o início desta atividade e o final da anterior;</w:t>
      </w:r>
    </w:p>
    <w:p w:rsidR="00F84974" w:rsidRPr="00F84974" w:rsidRDefault="00F84974" w:rsidP="00F94909">
      <w:pPr>
        <w:pStyle w:val="Item-Bolinha"/>
      </w:pPr>
      <w:r w:rsidRPr="00F84974">
        <w:t xml:space="preserve">Monitoramento e interpretação dos resultados: </w:t>
      </w:r>
    </w:p>
    <w:p w:rsidR="00F84974" w:rsidRPr="00F84974" w:rsidRDefault="00F84974" w:rsidP="00431A97">
      <w:pPr>
        <w:numPr>
          <w:ilvl w:val="0"/>
          <w:numId w:val="38"/>
        </w:numPr>
        <w:autoSpaceDE w:val="0"/>
        <w:autoSpaceDN w:val="0"/>
        <w:adjustRightInd w:val="0"/>
        <w:spacing w:before="120" w:line="240" w:lineRule="auto"/>
        <w:ind w:left="714" w:hanging="357"/>
        <w:rPr>
          <w:rFonts w:cs="Arial"/>
          <w:szCs w:val="22"/>
        </w:rPr>
      </w:pPr>
      <w:r w:rsidRPr="00F84974">
        <w:rPr>
          <w:rFonts w:cs="Arial"/>
          <w:szCs w:val="22"/>
        </w:rPr>
        <w:t>Inspeções e Relatórios: as inspeções e os relatórios com os resultados deverão ser feitos e emitidos semestralmente, a partir da estação chuvosa que precede a formação do reservatório, ao final do enchimento e semestralmente durante a operação. Também deverão ser realizadas inspeções quando da ocorrência de grandes variações nos níveis d’água do reservatório e após precipitações de grande intensidade. Essa atividade deverá prosseguir, a princípio, até após dois anos do enchimento do reservatório;</w:t>
      </w:r>
    </w:p>
    <w:p w:rsidR="00F84974" w:rsidRPr="00F84974" w:rsidRDefault="00F84974" w:rsidP="00431A97">
      <w:pPr>
        <w:numPr>
          <w:ilvl w:val="0"/>
          <w:numId w:val="38"/>
        </w:numPr>
        <w:autoSpaceDE w:val="0"/>
        <w:autoSpaceDN w:val="0"/>
        <w:adjustRightInd w:val="0"/>
        <w:spacing w:before="120" w:line="240" w:lineRule="auto"/>
        <w:ind w:left="714" w:hanging="357"/>
        <w:rPr>
          <w:rFonts w:cs="Arial"/>
          <w:szCs w:val="22"/>
        </w:rPr>
      </w:pPr>
      <w:r w:rsidRPr="00F84974">
        <w:rPr>
          <w:rFonts w:cs="Arial"/>
          <w:szCs w:val="22"/>
        </w:rPr>
        <w:t xml:space="preserve">Leituras dos instrumentos e/ou monitores: imediatamente após a instalação dos monitores e instrumentos deverão ser iniciadas as leituras, que deverão ser ininterruptas, no mínimo, até dois anos após o enchimento do reservatório. Prevê-se que as leituras sejam feitas com frequência semanal, nos períodos próximos à formação do reservatório (dois meses antes e depois) e mensal durante todo o período de monitoramento restante. </w:t>
      </w:r>
    </w:p>
    <w:p w:rsidR="00F84974" w:rsidRPr="00F84974" w:rsidRDefault="00F84974" w:rsidP="00F84974">
      <w:pPr>
        <w:autoSpaceDE w:val="0"/>
        <w:autoSpaceDN w:val="0"/>
        <w:adjustRightInd w:val="0"/>
        <w:spacing w:before="120" w:after="120" w:line="240" w:lineRule="auto"/>
        <w:rPr>
          <w:rFonts w:cs="Arial"/>
          <w:szCs w:val="22"/>
        </w:rPr>
      </w:pPr>
      <w:r w:rsidRPr="00F84974">
        <w:rPr>
          <w:rFonts w:cs="Arial"/>
          <w:szCs w:val="22"/>
        </w:rPr>
        <w:t>A análise dos resultados obtidos poderá indicar a necessidade de continuidade do Programa além do prazo estipulado.</w:t>
      </w:r>
    </w:p>
    <w:p w:rsidR="00F84974" w:rsidRPr="000822C6" w:rsidRDefault="00F84974" w:rsidP="00431A97">
      <w:pPr>
        <w:pStyle w:val="Ttulo3"/>
        <w:numPr>
          <w:ilvl w:val="3"/>
          <w:numId w:val="51"/>
        </w:numPr>
        <w:rPr>
          <w:rFonts w:ascii="Arial Negrito" w:hAnsi="Arial Negrito"/>
          <w:b w:val="0"/>
        </w:rPr>
      </w:pPr>
      <w:bookmarkStart w:id="1013" w:name="_Toc418758414"/>
      <w:bookmarkStart w:id="1014" w:name="_Toc418759016"/>
      <w:bookmarkStart w:id="1015" w:name="_Toc419813788"/>
      <w:r w:rsidRPr="000822C6">
        <w:rPr>
          <w:rFonts w:ascii="Arial Negrito" w:hAnsi="Arial Negrito"/>
          <w:b w:val="0"/>
        </w:rPr>
        <w:t>Responsável pela Implementação</w:t>
      </w:r>
      <w:r w:rsidR="002F58D9" w:rsidRPr="000822C6">
        <w:rPr>
          <w:rFonts w:ascii="Arial Negrito" w:hAnsi="Arial Negrito"/>
          <w:b w:val="0"/>
        </w:rPr>
        <w:t xml:space="preserve"> do Programa</w:t>
      </w:r>
      <w:bookmarkEnd w:id="1013"/>
      <w:bookmarkEnd w:id="1014"/>
      <w:bookmarkEnd w:id="1015"/>
    </w:p>
    <w:p w:rsidR="00F84974" w:rsidRDefault="00F84974" w:rsidP="00F84974">
      <w:pPr>
        <w:autoSpaceDE w:val="0"/>
        <w:autoSpaceDN w:val="0"/>
        <w:adjustRightInd w:val="0"/>
        <w:spacing w:before="120" w:after="120" w:line="240" w:lineRule="auto"/>
        <w:rPr>
          <w:rFonts w:cs="Arial"/>
          <w:szCs w:val="22"/>
        </w:rPr>
      </w:pPr>
      <w:r w:rsidRPr="00F84974">
        <w:rPr>
          <w:rFonts w:cs="Arial"/>
          <w:szCs w:val="22"/>
        </w:rPr>
        <w:t>A implementação e o desenvolvimento do programa são de responsabilidade do empreendedor.</w:t>
      </w:r>
      <w:r w:rsidR="002F58D9">
        <w:rPr>
          <w:rFonts w:cs="Arial"/>
          <w:szCs w:val="22"/>
        </w:rPr>
        <w:t xml:space="preserve"> </w:t>
      </w:r>
    </w:p>
    <w:p w:rsidR="00F84974" w:rsidRPr="000822C6" w:rsidRDefault="00F84974" w:rsidP="00431A97">
      <w:pPr>
        <w:pStyle w:val="Ttulo3"/>
        <w:numPr>
          <w:ilvl w:val="3"/>
          <w:numId w:val="51"/>
        </w:numPr>
        <w:rPr>
          <w:rFonts w:ascii="Arial Negrito" w:hAnsi="Arial Negrito"/>
          <w:b w:val="0"/>
        </w:rPr>
      </w:pPr>
      <w:bookmarkStart w:id="1016" w:name="_Toc418758415"/>
      <w:bookmarkStart w:id="1017" w:name="_Toc418759017"/>
      <w:bookmarkStart w:id="1018" w:name="_Toc419813789"/>
      <w:r w:rsidRPr="000822C6">
        <w:rPr>
          <w:rFonts w:ascii="Arial Negrito" w:hAnsi="Arial Negrito"/>
          <w:b w:val="0"/>
        </w:rPr>
        <w:t>Sistema</w:t>
      </w:r>
      <w:r w:rsidR="002F58D9" w:rsidRPr="000822C6">
        <w:rPr>
          <w:rFonts w:ascii="Arial Negrito" w:hAnsi="Arial Negrito"/>
          <w:b w:val="0"/>
        </w:rPr>
        <w:t>s</w:t>
      </w:r>
      <w:r w:rsidRPr="000822C6">
        <w:rPr>
          <w:rFonts w:ascii="Arial Negrito" w:hAnsi="Arial Negrito"/>
          <w:b w:val="0"/>
        </w:rPr>
        <w:t xml:space="preserve"> de Registros</w:t>
      </w:r>
      <w:bookmarkEnd w:id="1016"/>
      <w:bookmarkEnd w:id="1017"/>
      <w:bookmarkEnd w:id="1018"/>
    </w:p>
    <w:p w:rsidR="00F84974" w:rsidRDefault="00F84974" w:rsidP="00F84974">
      <w:pPr>
        <w:autoSpaceDE w:val="0"/>
        <w:autoSpaceDN w:val="0"/>
        <w:adjustRightInd w:val="0"/>
        <w:spacing w:before="120" w:after="120" w:line="240" w:lineRule="auto"/>
        <w:rPr>
          <w:rFonts w:cs="Arial"/>
          <w:szCs w:val="22"/>
        </w:rPr>
      </w:pPr>
      <w:r w:rsidRPr="00F84974">
        <w:rPr>
          <w:rFonts w:cs="Arial"/>
          <w:szCs w:val="22"/>
        </w:rPr>
        <w:t xml:space="preserve">A interpretação dos estudos realizados nas atividades de imageamento e fotointerpretação, mapeamento geológico-geotécnico, investigações de campo e laboratoriais, leituras de instrumentação, inspeções de campo, além de recomendações de medidas de proteção consideradas mais apropriadas, quando necessárias, deverão ser apresentados em relatórios consolidados semestralmente. </w:t>
      </w:r>
    </w:p>
    <w:p w:rsidR="001D5114" w:rsidRPr="00F84974" w:rsidRDefault="001D5114" w:rsidP="00F84974">
      <w:pPr>
        <w:autoSpaceDE w:val="0"/>
        <w:autoSpaceDN w:val="0"/>
        <w:adjustRightInd w:val="0"/>
        <w:spacing w:before="120" w:after="120" w:line="240" w:lineRule="auto"/>
        <w:rPr>
          <w:rFonts w:cs="Arial"/>
          <w:szCs w:val="22"/>
        </w:rPr>
      </w:pPr>
    </w:p>
    <w:p w:rsidR="00F84974" w:rsidRPr="000822C6" w:rsidRDefault="00F84974" w:rsidP="00431A97">
      <w:pPr>
        <w:pStyle w:val="Ttulo3"/>
        <w:numPr>
          <w:ilvl w:val="3"/>
          <w:numId w:val="51"/>
        </w:numPr>
        <w:rPr>
          <w:rFonts w:ascii="Arial Negrito" w:hAnsi="Arial Negrito"/>
          <w:b w:val="0"/>
        </w:rPr>
      </w:pPr>
      <w:bookmarkStart w:id="1019" w:name="_Toc418758416"/>
      <w:bookmarkStart w:id="1020" w:name="_Toc418759018"/>
      <w:bookmarkStart w:id="1021" w:name="_Toc419813790"/>
      <w:r w:rsidRPr="000822C6">
        <w:rPr>
          <w:rFonts w:ascii="Arial Negrito" w:hAnsi="Arial Negrito"/>
          <w:b w:val="0"/>
        </w:rPr>
        <w:t>Referências</w:t>
      </w:r>
      <w:r w:rsidR="002F58D9" w:rsidRPr="000822C6">
        <w:rPr>
          <w:rFonts w:ascii="Arial Negrito" w:hAnsi="Arial Negrito"/>
          <w:b w:val="0"/>
        </w:rPr>
        <w:t xml:space="preserve"> Bibliográficas</w:t>
      </w:r>
      <w:bookmarkEnd w:id="1019"/>
      <w:bookmarkEnd w:id="1020"/>
      <w:bookmarkEnd w:id="1021"/>
    </w:p>
    <w:p w:rsidR="00F84974" w:rsidRPr="00F84974" w:rsidRDefault="00F84974" w:rsidP="000822C6">
      <w:pPr>
        <w:pStyle w:val="Item-Trainho"/>
      </w:pPr>
      <w:r w:rsidRPr="00F84974">
        <w:t>ASSOCIAÇÃO BRASILEIRA DE NORMAS TÉCNICAS. NBR 11682 – Estabilidade de Encostas. Comitê Brasileiro de Construção Civil. 2009.</w:t>
      </w:r>
    </w:p>
    <w:p w:rsidR="00F84974" w:rsidRPr="00F84974" w:rsidRDefault="00504078" w:rsidP="000822C6">
      <w:pPr>
        <w:pStyle w:val="Item-Trainho"/>
      </w:pPr>
      <w:r>
        <w:t>CONAMA</w:t>
      </w:r>
      <w:r w:rsidR="00F84974" w:rsidRPr="00F84974">
        <w:t xml:space="preserve"> – Conselho Nacional do Meio Ambiente. Resolução </w:t>
      </w:r>
      <w:r>
        <w:t>CONAMA</w:t>
      </w:r>
      <w:r w:rsidR="00F84974" w:rsidRPr="00F84974">
        <w:t xml:space="preserve"> </w:t>
      </w:r>
      <w:r w:rsidR="002E29E3">
        <w:rPr>
          <w:rFonts w:eastAsia="Batang"/>
          <w:lang w:eastAsia="en-US"/>
        </w:rPr>
        <w:t>n</w:t>
      </w:r>
      <w:r w:rsidR="002E29E3" w:rsidRPr="00F94909">
        <w:rPr>
          <w:rFonts w:eastAsia="Batang"/>
          <w:u w:val="single"/>
          <w:vertAlign w:val="superscript"/>
          <w:lang w:eastAsia="en-US"/>
        </w:rPr>
        <w:t>o</w:t>
      </w:r>
      <w:r w:rsidR="002E29E3" w:rsidRPr="00F84974">
        <w:t xml:space="preserve"> </w:t>
      </w:r>
      <w:r w:rsidR="00F84974" w:rsidRPr="00F84974">
        <w:t>302, de 20 de março de 2002, Brasília, SEMA, 2002.</w:t>
      </w:r>
    </w:p>
    <w:p w:rsidR="00F84974" w:rsidRDefault="00504078" w:rsidP="000822C6">
      <w:pPr>
        <w:pStyle w:val="Item-Trainho"/>
      </w:pPr>
      <w:r>
        <w:t>CONAMA</w:t>
      </w:r>
      <w:r w:rsidR="00F84974" w:rsidRPr="00F84974">
        <w:t xml:space="preserve"> – Conselho Nacional do Meio Ambiente. Resolução </w:t>
      </w:r>
      <w:r>
        <w:t>CONAMA</w:t>
      </w:r>
      <w:r w:rsidR="00F84974" w:rsidRPr="00F84974">
        <w:t xml:space="preserve"> </w:t>
      </w:r>
      <w:r w:rsidR="002E29E3">
        <w:rPr>
          <w:rFonts w:eastAsia="Batang"/>
          <w:lang w:eastAsia="en-US"/>
        </w:rPr>
        <w:t>n</w:t>
      </w:r>
      <w:r w:rsidR="002E29E3" w:rsidRPr="00F94909">
        <w:rPr>
          <w:rFonts w:eastAsia="Batang"/>
          <w:u w:val="single"/>
          <w:vertAlign w:val="superscript"/>
          <w:lang w:eastAsia="en-US"/>
        </w:rPr>
        <w:t>o</w:t>
      </w:r>
      <w:r w:rsidR="002E29E3" w:rsidRPr="00F84974">
        <w:t xml:space="preserve"> </w:t>
      </w:r>
      <w:r w:rsidR="00F84974" w:rsidRPr="00F84974">
        <w:t>303, de 20 de março de 2002, Brasília, SEMA, 2002.</w:t>
      </w:r>
    </w:p>
    <w:p w:rsidR="001D5114" w:rsidRDefault="001D5114" w:rsidP="001D5114">
      <w:pPr>
        <w:pStyle w:val="Item-Trainho"/>
        <w:numPr>
          <w:ilvl w:val="0"/>
          <w:numId w:val="0"/>
        </w:numPr>
        <w:ind w:left="397" w:hanging="397"/>
      </w:pPr>
      <w:r>
        <w:br w:type="page"/>
      </w:r>
    </w:p>
    <w:p w:rsidR="002D01AC" w:rsidRPr="000822C6" w:rsidRDefault="002D01AC" w:rsidP="00431A97">
      <w:pPr>
        <w:pStyle w:val="Ttulo3"/>
        <w:numPr>
          <w:ilvl w:val="2"/>
          <w:numId w:val="51"/>
        </w:numPr>
        <w:rPr>
          <w:rFonts w:ascii="Arial Negrito" w:hAnsi="Arial Negrito"/>
          <w:b w:val="0"/>
        </w:rPr>
      </w:pPr>
      <w:bookmarkStart w:id="1022" w:name="_Toc418758417"/>
      <w:bookmarkStart w:id="1023" w:name="_Toc418759019"/>
      <w:bookmarkStart w:id="1024" w:name="_Toc419813791"/>
      <w:r w:rsidRPr="000822C6">
        <w:rPr>
          <w:rFonts w:ascii="Arial Negrito" w:hAnsi="Arial Negrito"/>
          <w:b w:val="0"/>
        </w:rPr>
        <w:t>Programa de Monitoramento Sismológico</w:t>
      </w:r>
      <w:bookmarkEnd w:id="1022"/>
      <w:bookmarkEnd w:id="1023"/>
      <w:bookmarkEnd w:id="1024"/>
    </w:p>
    <w:p w:rsidR="00C43D25" w:rsidRPr="000822C6" w:rsidRDefault="00C43D25" w:rsidP="00431A97">
      <w:pPr>
        <w:pStyle w:val="Ttulo3"/>
        <w:numPr>
          <w:ilvl w:val="3"/>
          <w:numId w:val="51"/>
        </w:numPr>
        <w:rPr>
          <w:rFonts w:ascii="Arial Negrito" w:hAnsi="Arial Negrito"/>
          <w:b w:val="0"/>
        </w:rPr>
      </w:pPr>
      <w:bookmarkStart w:id="1025" w:name="_Toc418758418"/>
      <w:bookmarkStart w:id="1026" w:name="_Toc418759020"/>
      <w:bookmarkStart w:id="1027" w:name="_Toc419813792"/>
      <w:r w:rsidRPr="000822C6">
        <w:rPr>
          <w:rFonts w:ascii="Arial Negrito" w:hAnsi="Arial Negrito"/>
          <w:b w:val="0"/>
        </w:rPr>
        <w:t>Apresentação e Justificativa</w:t>
      </w:r>
      <w:bookmarkEnd w:id="1025"/>
      <w:bookmarkEnd w:id="1026"/>
      <w:bookmarkEnd w:id="1027"/>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O levantamento e caracterização da sismicidade natural apresentados no Capítulo “Sismicidade da Área de Influência Indireta” com base no Boletim Sísmico Brasileiro (IAG-USP) revelam a ocorrência de dois sismos, maiores que 2 Mb, junto à borda leste da Área de Influência Indireta (AII), com magnitudes de 2,6 e 2,8 Mb no município de São Francisco Xavier.</w:t>
      </w:r>
    </w:p>
    <w:p w:rsidR="00C43D25" w:rsidRPr="00C43D25" w:rsidRDefault="008C15C3" w:rsidP="00C43D25">
      <w:pPr>
        <w:autoSpaceDE w:val="0"/>
        <w:autoSpaceDN w:val="0"/>
        <w:adjustRightInd w:val="0"/>
        <w:spacing w:before="120" w:after="120" w:line="240" w:lineRule="auto"/>
        <w:rPr>
          <w:rFonts w:cs="Arial"/>
          <w:szCs w:val="22"/>
        </w:rPr>
      </w:pPr>
      <w:r>
        <w:rPr>
          <w:rFonts w:cs="Arial"/>
          <w:szCs w:val="22"/>
        </w:rPr>
        <w:t>Embora os empreendimentos d</w:t>
      </w:r>
      <w:r w:rsidR="00C43D25" w:rsidRPr="00C43D25">
        <w:rPr>
          <w:rFonts w:cs="Arial"/>
          <w:szCs w:val="22"/>
        </w:rPr>
        <w:t xml:space="preserve">as Barragens Pedreira e Duas Pontes estejam situados em uma área tectonicamente estável, ou seja, com baixa sismicidade natural, eventualmente estão sujeitos a sismos intraplaca da região Sudeste do Brasil, provavelmente decorrentes de uma tectônica residual, com acomodação final dos blocos movidos no terciário. </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Tratando-se de Sismicidade Induzida por Reservatórios (SIR), estudos demonstram que apenas uma pequena porcentagem de reservatórios induz SIR. A existência de dezenas de milhares de reservatórios em todo o mundo, que não têm causado nenhuma sismicidade observável, indica que a probabilidade do reservatório induzir sismicidade é muito baixa.</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 xml:space="preserve">Embora a possibilidade de ocorrência de sismos induzidos nos empreendimentos denas Barragens Pedreira e Duas Pontes seja relativamente pequena, o SIR é um dentre outros fatores que podem afetar a segurança de uma barragem, com isso seu monitoramento se faz de grande importância. </w:t>
      </w:r>
    </w:p>
    <w:p w:rsidR="00C43D25" w:rsidRPr="000822C6" w:rsidRDefault="00C43D25" w:rsidP="00431A97">
      <w:pPr>
        <w:pStyle w:val="Ttulo3"/>
        <w:numPr>
          <w:ilvl w:val="3"/>
          <w:numId w:val="51"/>
        </w:numPr>
        <w:rPr>
          <w:rFonts w:ascii="Arial Negrito" w:hAnsi="Arial Negrito"/>
          <w:b w:val="0"/>
        </w:rPr>
      </w:pPr>
      <w:bookmarkStart w:id="1028" w:name="_Toc418758419"/>
      <w:bookmarkStart w:id="1029" w:name="_Toc418759021"/>
      <w:bookmarkStart w:id="1030" w:name="_Toc419813793"/>
      <w:r w:rsidRPr="000822C6">
        <w:rPr>
          <w:rFonts w:ascii="Arial Negrito" w:hAnsi="Arial Negrito"/>
          <w:b w:val="0"/>
        </w:rPr>
        <w:t>Objetivos</w:t>
      </w:r>
      <w:bookmarkEnd w:id="1028"/>
      <w:bookmarkEnd w:id="1029"/>
      <w:bookmarkEnd w:id="1030"/>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O Programa de Monitoramento da Sismicidade tem por objetivo registrar e caracterizar as ocorrências sísmicas naturais e aquelas induzidas pela formação do reservatório, bem como, obter a correlação entre sismos e feições geológicas e estruturais da área, determinar epicentros, intensidades, magnitudes, acelerações sísmicas e área de influência dos eventos.</w:t>
      </w:r>
    </w:p>
    <w:p w:rsidR="00C43D25" w:rsidRPr="000822C6" w:rsidRDefault="00C43D25" w:rsidP="00431A97">
      <w:pPr>
        <w:pStyle w:val="Ttulo3"/>
        <w:numPr>
          <w:ilvl w:val="3"/>
          <w:numId w:val="51"/>
        </w:numPr>
        <w:rPr>
          <w:rFonts w:ascii="Arial Negrito" w:hAnsi="Arial Negrito"/>
          <w:b w:val="0"/>
        </w:rPr>
      </w:pPr>
      <w:bookmarkStart w:id="1031" w:name="_Toc418758420"/>
      <w:bookmarkStart w:id="1032" w:name="_Toc418759022"/>
      <w:bookmarkStart w:id="1033" w:name="_Toc419813794"/>
      <w:r w:rsidRPr="000822C6">
        <w:rPr>
          <w:rFonts w:ascii="Arial Negrito" w:hAnsi="Arial Negrito"/>
          <w:b w:val="0"/>
        </w:rPr>
        <w:t>Metas</w:t>
      </w:r>
      <w:bookmarkEnd w:id="1031"/>
      <w:bookmarkEnd w:id="1032"/>
      <w:bookmarkEnd w:id="1033"/>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O Programa de Monitoramento da Sismicidade tem como meta a caracterização detalhada da sismicidade da área; aquisição, instalação e assistência técnica da estação sismográfica; acompanhamento do programa e interpretação dos resultados; proporcionar esclarecimentos à população; e promover inter-relações com outros programas de monitoramento do meio físico, tais como monitoramento de encostas marginais e monitoramento das águas subterrâneas, quando for o caso.</w:t>
      </w:r>
    </w:p>
    <w:p w:rsidR="00C43D25" w:rsidRPr="000822C6" w:rsidRDefault="00C43D25" w:rsidP="00431A97">
      <w:pPr>
        <w:pStyle w:val="Ttulo3"/>
        <w:numPr>
          <w:ilvl w:val="3"/>
          <w:numId w:val="51"/>
        </w:numPr>
        <w:rPr>
          <w:rFonts w:ascii="Arial Negrito" w:hAnsi="Arial Negrito"/>
          <w:b w:val="0"/>
        </w:rPr>
      </w:pPr>
      <w:bookmarkStart w:id="1034" w:name="_Toc418758421"/>
      <w:bookmarkStart w:id="1035" w:name="_Toc418759023"/>
      <w:bookmarkStart w:id="1036" w:name="_Toc419813795"/>
      <w:r w:rsidRPr="000822C6">
        <w:rPr>
          <w:rFonts w:ascii="Arial Negrito" w:hAnsi="Arial Negrito"/>
          <w:b w:val="0"/>
        </w:rPr>
        <w:t>Público Alvo</w:t>
      </w:r>
      <w:bookmarkEnd w:id="1034"/>
      <w:bookmarkEnd w:id="1035"/>
      <w:bookmarkEnd w:id="1036"/>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Este programa é dirigido à sociedade civil na região de influência do empreendimento.</w:t>
      </w:r>
    </w:p>
    <w:p w:rsidR="00C43D25" w:rsidRPr="000822C6" w:rsidRDefault="00C43D25" w:rsidP="00431A97">
      <w:pPr>
        <w:pStyle w:val="Ttulo3"/>
        <w:numPr>
          <w:ilvl w:val="3"/>
          <w:numId w:val="51"/>
        </w:numPr>
        <w:rPr>
          <w:rFonts w:ascii="Arial Negrito" w:hAnsi="Arial Negrito"/>
          <w:b w:val="0"/>
        </w:rPr>
      </w:pPr>
      <w:bookmarkStart w:id="1037" w:name="_Toc418758422"/>
      <w:bookmarkStart w:id="1038" w:name="_Toc418759024"/>
      <w:bookmarkStart w:id="1039" w:name="_Toc419813796"/>
      <w:r w:rsidRPr="000822C6">
        <w:rPr>
          <w:rFonts w:ascii="Arial Negrito" w:hAnsi="Arial Negrito"/>
          <w:b w:val="0"/>
        </w:rPr>
        <w:t>Procedimentos</w:t>
      </w:r>
      <w:bookmarkEnd w:id="1037"/>
      <w:bookmarkEnd w:id="1038"/>
      <w:bookmarkEnd w:id="1039"/>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Sugere-se, a princípio, a execução de um detalhamento do programa que deverá incluir a elaboração de especificações para aquisição dos equipamentos da estação, o estabelecimento da frequência de coleta e envio de dados, bem como os aspectos da transmissão de dados.</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Durante o desenvolvimento do Programa de Monitoramento da Sismicidade estão previstas as seguintes atividades: caracterização detalhada da sismicidade da área; aquisição, instalação e assistência técnica da estação sismográfica para o monitoramento; acompanhamento do programa e interpretação dos resultados; e esclarecimentos à população.</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 xml:space="preserve">A seguir são descritas as atividades previstas para o programa de monitoramento: </w:t>
      </w:r>
    </w:p>
    <w:p w:rsidR="00C43D25" w:rsidRPr="00C43D25" w:rsidRDefault="00C43D25" w:rsidP="00F94909">
      <w:pPr>
        <w:pStyle w:val="Item-Bolinha"/>
      </w:pPr>
      <w:r w:rsidRPr="00C43D25">
        <w:tab/>
        <w:t>Caracterização detalhada da sismicidade da área</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A caracterização detalhada da sismicidade da área deve considerar a complementação do levantamento de dados e a sua interpretação no raio de influência dos reservatórios dedas barragens Pedreira e Duas Pontes, contemplando os seguintes aspectos:</w:t>
      </w:r>
    </w:p>
    <w:p w:rsidR="00C43D25" w:rsidRPr="00C43D25" w:rsidRDefault="00C43D25" w:rsidP="00F94909">
      <w:pPr>
        <w:pStyle w:val="Item-Trainho"/>
      </w:pPr>
      <w:r w:rsidRPr="00F94909">
        <w:rPr>
          <w:rStyle w:val="Item-TrainhoChar"/>
        </w:rPr>
        <w:t>Relação de todos os eventos sísmicos naturais registrados ou sentidos dentro da</w:t>
      </w:r>
      <w:r w:rsidRPr="00C43D25">
        <w:t xml:space="preserve"> área, com a data, coordenadas, localidade, estado, intensidade, magnitude, área afetada e distância do ponto de interesse. </w:t>
      </w:r>
    </w:p>
    <w:p w:rsidR="00C43D25" w:rsidRPr="00C43D25" w:rsidRDefault="00C43D25" w:rsidP="00F94909">
      <w:pPr>
        <w:pStyle w:val="Item-Trainho"/>
      </w:pPr>
      <w:r w:rsidRPr="00C43D25">
        <w:t>Relação de todos os eventos sísmicos induzidos por reservatórios, registrados ou sentidos dentro da área, com a data, coordenadas, localidade, estado, intensidade, magnitude, área afetada e distância do ponto de interesse.</w:t>
      </w:r>
    </w:p>
    <w:p w:rsidR="00C43D25" w:rsidRPr="00C43D25" w:rsidRDefault="00C43D25" w:rsidP="00F94909">
      <w:pPr>
        <w:pStyle w:val="Item-Trainho"/>
      </w:pPr>
      <w:r w:rsidRPr="00C43D25">
        <w:t>Mapas de isossistas para eventos significativos, naturais e induzidos.</w:t>
      </w:r>
    </w:p>
    <w:p w:rsidR="00C43D25" w:rsidRPr="00C43D25" w:rsidRDefault="00C43D25" w:rsidP="00F94909">
      <w:pPr>
        <w:pStyle w:val="Item-Trainho"/>
      </w:pPr>
      <w:r w:rsidRPr="00C43D25">
        <w:t xml:space="preserve">Localização e características de estações sismográficas de interesse para a área. </w:t>
      </w:r>
    </w:p>
    <w:p w:rsidR="00C43D25" w:rsidRPr="00C43D25" w:rsidRDefault="00C43D25" w:rsidP="00F94909">
      <w:pPr>
        <w:pStyle w:val="Item-Trainho"/>
      </w:pPr>
      <w:r w:rsidRPr="00C43D25">
        <w:t xml:space="preserve">Planta de localização dos eventos individualizando aqueles naturais e induzidos. </w:t>
      </w:r>
    </w:p>
    <w:p w:rsidR="00C43D25" w:rsidRPr="00C43D25" w:rsidRDefault="00C43D25" w:rsidP="00F94909">
      <w:pPr>
        <w:pStyle w:val="Item-Trainho"/>
      </w:pPr>
      <w:r w:rsidRPr="00C43D25">
        <w:t>Correlação com estruturas geológicas da área.</w:t>
      </w:r>
    </w:p>
    <w:p w:rsidR="00C43D25" w:rsidRPr="00C43D25" w:rsidRDefault="00C43D25" w:rsidP="00F94909">
      <w:pPr>
        <w:pStyle w:val="Item-Bolinha"/>
      </w:pPr>
      <w:r w:rsidRPr="00C43D25">
        <w:tab/>
        <w:t>Aquisição / instalação da estação sismográfica</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Será necessário instalar uma estação sismográfica triaxial em região inserida dentro dos limites ou nas proximidades das AID</w:t>
      </w:r>
      <w:r w:rsidR="002E29E3">
        <w:rPr>
          <w:rFonts w:cs="Arial"/>
          <w:szCs w:val="22"/>
        </w:rPr>
        <w:t>’</w:t>
      </w:r>
      <w:r w:rsidRPr="00C43D25">
        <w:rPr>
          <w:rFonts w:cs="Arial"/>
          <w:szCs w:val="22"/>
        </w:rPr>
        <w:t>s dos reservatórios, desconsiderando áreas com ruídos elevados.</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 xml:space="preserve">Uma estação sismográfica típica, operada por rádio telemetria, é composta por uma unidade de aquisição de dados, um sismômetro, rádios transceptores, uma central de recepção concentradora de dados e um sistema de alimentação para a estação de campo, em local a ser indicado, que deverá ser abrigado e protegido. </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Deverão ser efetuadas pesquisa e seleção de local para instalação da estação, contemplando a realização de testes de ruído em diferentes pontos da área. Deverão ser elaborados os projetos das instalações para abrigar a estação.</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Quando da instalação, os equipamentos deverão ser calibrados e o pessoal designado para operação da estação deverá receber treinamento para os trabalhos.</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Ao final da instalação, deverá ser emitido relatório contendo todas as atividades desenvolvidas e apresentando a localização da estação e características dos equipamentos instalados.</w:t>
      </w:r>
    </w:p>
    <w:p w:rsidR="00C43D25" w:rsidRPr="00C43D25" w:rsidRDefault="00C43D25" w:rsidP="00F94909">
      <w:pPr>
        <w:pStyle w:val="Item-Bolinha"/>
      </w:pPr>
      <w:r w:rsidRPr="00C43D25">
        <w:tab/>
        <w:t>Monitoramento da sismicidade, acompanhamento do programa e interpretação dos resultados.</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 xml:space="preserve">A atividade sísmica deverá ser monitorada permanentemente e continuamente com geração e leitura de sismogramas. Deverá ser disponibilizado o controle, registro e monitoramento de explosões realizadas nas imediações dos reservatórios, como em pedreiras e escavações para implantação das obras, bem como o registro do nível d’água dos rios/Reservatório, para a correta interpretação dos sismogramas. </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Está prevista a coleta de informações macrossísmicas para enquadrar o nível de sismicidade da área na escala Mercalli Modificada.</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A operação da estação requer a existência de um técnico para manutenção periódica dos equipamentos e de pessoal com perfil adequado e treinado para os trabalhos. Caso a estação não seja equipada por equipamentos de rádio transmissão, a coleta dos sismogramas deverá ser efetuada por um técnico designado para essa finalidade.</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Deverão ser considerados os dados obtidos através da estação instalada na área dos reservatórios e também aqueles obtidos pelas estações regionais, junto a cadastros de instituições, universidades e empresas.</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A análise e interpretação dos dados e a emissão de relatórios deverão ser com frequência semestral ou por ocasião da eventual ocorrência de sismos considerados importantes.</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Após as primeiras análises, será verificada a necessidade da instalação de eventuais estações sismográficas adicionais e/ou relocação da estação para a correta localização dos eventos.</w:t>
      </w:r>
    </w:p>
    <w:p w:rsidR="00C43D25" w:rsidRPr="00C43D25" w:rsidRDefault="00C43D25" w:rsidP="00F94909">
      <w:pPr>
        <w:pStyle w:val="Item-Bolinha"/>
      </w:pPr>
      <w:r w:rsidRPr="00C43D25">
        <w:tab/>
        <w:t xml:space="preserve">Esclarecimentos à população </w:t>
      </w:r>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 xml:space="preserve">Serão prestados esclarecimentos sobre a possibilidade de sismicidade induzida e dos possíveis efeitos, de forma a evitar sustos à população local, durante o desenvolvimento do programa de Comunicação e Interação Social. </w:t>
      </w:r>
    </w:p>
    <w:p w:rsidR="00C43D25" w:rsidRPr="000822C6" w:rsidRDefault="00C43D25" w:rsidP="00431A97">
      <w:pPr>
        <w:pStyle w:val="Ttulo3"/>
        <w:numPr>
          <w:ilvl w:val="3"/>
          <w:numId w:val="51"/>
        </w:numPr>
        <w:rPr>
          <w:rFonts w:ascii="Arial Negrito" w:hAnsi="Arial Negrito"/>
          <w:b w:val="0"/>
        </w:rPr>
      </w:pPr>
      <w:bookmarkStart w:id="1040" w:name="_Toc418758423"/>
      <w:bookmarkStart w:id="1041" w:name="_Toc418759025"/>
      <w:bookmarkStart w:id="1042" w:name="_Toc419813797"/>
      <w:r w:rsidRPr="000822C6">
        <w:rPr>
          <w:rFonts w:ascii="Arial Negrito" w:hAnsi="Arial Negrito"/>
          <w:b w:val="0"/>
        </w:rPr>
        <w:t>Indicadores Ambientais</w:t>
      </w:r>
      <w:bookmarkEnd w:id="1040"/>
      <w:bookmarkEnd w:id="1041"/>
      <w:bookmarkEnd w:id="1042"/>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Os indicadores ambientais constituem ferramentas de acompanhamento de alterações de padrões ambientais. Neste contexto do presente programa, os indicadores de sismicidade na área do empreendimento serão obtidos através de alterações dos dados gerados pelo sismógrafo.</w:t>
      </w:r>
    </w:p>
    <w:p w:rsidR="00C43D25" w:rsidRPr="000822C6" w:rsidRDefault="00C43D25" w:rsidP="00431A97">
      <w:pPr>
        <w:pStyle w:val="Ttulo3"/>
        <w:numPr>
          <w:ilvl w:val="3"/>
          <w:numId w:val="51"/>
        </w:numPr>
        <w:rPr>
          <w:rFonts w:ascii="Arial Negrito" w:hAnsi="Arial Negrito"/>
          <w:b w:val="0"/>
        </w:rPr>
      </w:pPr>
      <w:bookmarkStart w:id="1043" w:name="_Toc418758424"/>
      <w:bookmarkStart w:id="1044" w:name="_Toc418759026"/>
      <w:bookmarkStart w:id="1045" w:name="_Toc419813798"/>
      <w:r w:rsidRPr="000822C6">
        <w:rPr>
          <w:rFonts w:ascii="Arial Negrito" w:hAnsi="Arial Negrito"/>
          <w:b w:val="0"/>
        </w:rPr>
        <w:t>Recursos Materiais e Humanos</w:t>
      </w:r>
      <w:bookmarkEnd w:id="1043"/>
      <w:bookmarkEnd w:id="1044"/>
      <w:bookmarkEnd w:id="1045"/>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 xml:space="preserve">O empreendedor deverá realizar parcerias com entidades que monitoram e analisam os eventos sísmicos no país. </w:t>
      </w:r>
    </w:p>
    <w:p w:rsidR="00C43D25" w:rsidRPr="000822C6" w:rsidRDefault="00C43D25" w:rsidP="00431A97">
      <w:pPr>
        <w:pStyle w:val="Ttulo3"/>
        <w:numPr>
          <w:ilvl w:val="3"/>
          <w:numId w:val="51"/>
        </w:numPr>
        <w:rPr>
          <w:rFonts w:ascii="Arial Negrito" w:hAnsi="Arial Negrito"/>
          <w:b w:val="0"/>
        </w:rPr>
      </w:pPr>
      <w:bookmarkStart w:id="1046" w:name="_Toc418758425"/>
      <w:bookmarkStart w:id="1047" w:name="_Toc418759027"/>
      <w:bookmarkStart w:id="1048" w:name="_Toc419813799"/>
      <w:r w:rsidRPr="000822C6">
        <w:rPr>
          <w:rFonts w:ascii="Arial Negrito" w:hAnsi="Arial Negrito"/>
          <w:b w:val="0"/>
        </w:rPr>
        <w:t>Atendimento a Requisitos Legais e/ou Outros Requisitos</w:t>
      </w:r>
      <w:bookmarkEnd w:id="1046"/>
      <w:bookmarkEnd w:id="1047"/>
      <w:bookmarkEnd w:id="1048"/>
    </w:p>
    <w:p w:rsidR="00C43D25" w:rsidRDefault="00C43D25" w:rsidP="00C43D25">
      <w:pPr>
        <w:autoSpaceDE w:val="0"/>
        <w:autoSpaceDN w:val="0"/>
        <w:adjustRightInd w:val="0"/>
        <w:spacing w:before="120" w:after="120" w:line="240" w:lineRule="auto"/>
        <w:rPr>
          <w:rFonts w:cs="Arial"/>
          <w:szCs w:val="22"/>
        </w:rPr>
      </w:pPr>
      <w:r w:rsidRPr="00C43D25">
        <w:rPr>
          <w:rFonts w:cs="Arial"/>
          <w:szCs w:val="22"/>
        </w:rPr>
        <w:t>Recomendações ou considerações específicas sobre o monitoramento sismográfico de reservatórios inexistem na legislação ou mesmo nas instituições normativas nacionais. Destaca-se, contudo, a NBR 15421:2006 - Projeto de estruturas resistentes a sismos - que fixa os requisitos exigíveis para verificação da segurança das estruturas usuais da construção civil. No âmbito internacional, a ICOLD: International Commission on Large Dams da UNESCO (http://www.icold-cigb.net/) apresenta uma série de artigos técnicos e científicos a respeito do tema e apresenta instituições-membros em grande parte dos países, incluindo no Brasil, o CBDB - Comitê Brasileiro de Barragens.</w:t>
      </w:r>
    </w:p>
    <w:p w:rsidR="00C43D25" w:rsidRPr="000822C6" w:rsidRDefault="00C43D25" w:rsidP="00431A97">
      <w:pPr>
        <w:pStyle w:val="Ttulo3"/>
        <w:numPr>
          <w:ilvl w:val="3"/>
          <w:numId w:val="51"/>
        </w:numPr>
        <w:rPr>
          <w:rFonts w:ascii="Arial Negrito" w:hAnsi="Arial Negrito"/>
          <w:b w:val="0"/>
        </w:rPr>
      </w:pPr>
      <w:bookmarkStart w:id="1049" w:name="_Toc418758426"/>
      <w:bookmarkStart w:id="1050" w:name="_Toc418759028"/>
      <w:bookmarkStart w:id="1051" w:name="_Toc419813800"/>
      <w:r w:rsidRPr="000822C6">
        <w:rPr>
          <w:rFonts w:ascii="Arial Negrito" w:hAnsi="Arial Negrito"/>
          <w:b w:val="0"/>
        </w:rPr>
        <w:t>Inter-relação com outros Planos e Programas</w:t>
      </w:r>
      <w:bookmarkEnd w:id="1049"/>
      <w:bookmarkEnd w:id="1050"/>
      <w:bookmarkEnd w:id="1051"/>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Os resultados obtidos com o desenvolvimento do presente Programa poderão ser compartilhados com algumas ações do Programa de Monitoramento da Estabilidade das Encostas Marginais e do Programa de Monitoramento da Dinâmica das Águas Subterrâneas, quando for o caso.</w:t>
      </w:r>
    </w:p>
    <w:p w:rsidR="00C43D25" w:rsidRPr="000822C6" w:rsidRDefault="00C43D25" w:rsidP="00431A97">
      <w:pPr>
        <w:pStyle w:val="Ttulo3"/>
        <w:numPr>
          <w:ilvl w:val="3"/>
          <w:numId w:val="51"/>
        </w:numPr>
        <w:rPr>
          <w:rFonts w:ascii="Arial Negrito" w:hAnsi="Arial Negrito"/>
          <w:b w:val="0"/>
        </w:rPr>
      </w:pPr>
      <w:bookmarkStart w:id="1052" w:name="_Toc418758427"/>
      <w:bookmarkStart w:id="1053" w:name="_Toc418759029"/>
      <w:bookmarkStart w:id="1054" w:name="_Toc419813801"/>
      <w:r w:rsidRPr="000822C6">
        <w:rPr>
          <w:rFonts w:ascii="Arial Negrito" w:hAnsi="Arial Negrito"/>
          <w:b w:val="0"/>
        </w:rPr>
        <w:t>Etapa do Empreendimento</w:t>
      </w:r>
      <w:bookmarkEnd w:id="1052"/>
      <w:bookmarkEnd w:id="1053"/>
      <w:bookmarkEnd w:id="1054"/>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Este Programa deverá ser executado nas Fases de Planejamento, Implantação e Operação do Empreendimento.</w:t>
      </w:r>
    </w:p>
    <w:p w:rsidR="00C43D25" w:rsidRPr="000822C6" w:rsidRDefault="00C43D25" w:rsidP="00431A97">
      <w:pPr>
        <w:pStyle w:val="Ttulo3"/>
        <w:numPr>
          <w:ilvl w:val="3"/>
          <w:numId w:val="51"/>
        </w:numPr>
        <w:rPr>
          <w:rFonts w:ascii="Arial Negrito" w:hAnsi="Arial Negrito"/>
          <w:b w:val="0"/>
        </w:rPr>
      </w:pPr>
      <w:bookmarkStart w:id="1055" w:name="_Toc418758428"/>
      <w:bookmarkStart w:id="1056" w:name="_Toc418759030"/>
      <w:bookmarkStart w:id="1057" w:name="_Toc419813802"/>
      <w:r w:rsidRPr="000822C6">
        <w:rPr>
          <w:rFonts w:ascii="Arial Negrito" w:hAnsi="Arial Negrito"/>
          <w:b w:val="0"/>
        </w:rPr>
        <w:t>Cronograma de Execução</w:t>
      </w:r>
      <w:bookmarkEnd w:id="1055"/>
      <w:bookmarkEnd w:id="1056"/>
      <w:bookmarkEnd w:id="1057"/>
    </w:p>
    <w:p w:rsidR="00C43D25" w:rsidRPr="00C43D25" w:rsidRDefault="00C43D25" w:rsidP="00C43D25">
      <w:pPr>
        <w:autoSpaceDE w:val="0"/>
        <w:autoSpaceDN w:val="0"/>
        <w:adjustRightInd w:val="0"/>
        <w:spacing w:before="120" w:after="120" w:line="240" w:lineRule="auto"/>
        <w:rPr>
          <w:rFonts w:cs="Arial"/>
          <w:szCs w:val="22"/>
        </w:rPr>
      </w:pPr>
      <w:r w:rsidRPr="00C43D25">
        <w:rPr>
          <w:rFonts w:cs="Arial"/>
          <w:szCs w:val="22"/>
        </w:rPr>
        <w:t>O cronograma para o desenvolvimento das atividades do presente Programa está ligado às fases do empreendimento, tal como apresentado a seguir:</w:t>
      </w:r>
    </w:p>
    <w:p w:rsidR="00C43D25" w:rsidRPr="00C43D25" w:rsidRDefault="00C43D25" w:rsidP="00F94909">
      <w:pPr>
        <w:pStyle w:val="Item-Bolinha"/>
      </w:pPr>
      <w:r w:rsidRPr="00C43D25">
        <w:t>Detalhamento do programa: deverá se desenvolver na fase de planejamento e deverá estar concluída antes do início da fase de implantação;</w:t>
      </w:r>
    </w:p>
    <w:p w:rsidR="00C43D25" w:rsidRPr="00C43D25" w:rsidRDefault="00C43D25" w:rsidP="00F94909">
      <w:pPr>
        <w:pStyle w:val="Item-Bolinha"/>
      </w:pPr>
      <w:r w:rsidRPr="00C43D25">
        <w:t xml:space="preserve">Caracterização da sismicidade: esta atividade deverá ser iniciada no primeiro mês após o início da implantação do empreendimento e deverá ser finalizada em um período máximo de três meses; </w:t>
      </w:r>
    </w:p>
    <w:p w:rsidR="00C43D25" w:rsidRPr="00C43D25" w:rsidRDefault="00C43D25" w:rsidP="00F94909">
      <w:pPr>
        <w:pStyle w:val="Item-Bolinha"/>
      </w:pPr>
      <w:r w:rsidRPr="00C43D25">
        <w:t>Aquisição e instalação de estações sismográficas: imediatamente após a conclusão da caracterização da sismicidade deverá ser adquirida e instalada a estação sismográfica, sendo que sua conclusão deverá ocorrer na maior brevidade de tempo possível, de forma a se obter dados durante um período de tempo relativamente longo antes da formação dos reservatórios ainda na fase de implantação;</w:t>
      </w:r>
    </w:p>
    <w:p w:rsidR="00C43D25" w:rsidRPr="00C43D25" w:rsidRDefault="00C43D25" w:rsidP="00F94909">
      <w:pPr>
        <w:pStyle w:val="Item-Bolinha"/>
      </w:pPr>
      <w:r w:rsidRPr="00C43D25">
        <w:t>Monitoramento, acompanhamento e interpretação dos resultados: o monitoramento da sismicidade deverá ser permanente e contínuo, com início logo após a instalação da estação sismográfica, prosseguindo durante a fase de implantação e continuando durante a operação por um período de tempo mínimo de dois anos. Os resultados das medições dos sismógrafos e da interpretação dos resultados deverão ser consubstanciados em relatórios trimestrais. A análise da sismicidade e dos resultados fornecerá diretrizes para o caso da necessidade de continuidade do Programa.</w:t>
      </w:r>
    </w:p>
    <w:p w:rsidR="00C43D25" w:rsidRPr="00C43D25" w:rsidRDefault="00C43D25" w:rsidP="00F94909">
      <w:pPr>
        <w:pStyle w:val="Item-Bolinha"/>
      </w:pPr>
      <w:r w:rsidRPr="00C43D25">
        <w:t>Esclarecimentos à população: Deverá ser efetuado antes do enchimento dos reservatórios.</w:t>
      </w:r>
    </w:p>
    <w:p w:rsidR="00C43D25" w:rsidRPr="000822C6" w:rsidRDefault="00C43D25" w:rsidP="00431A97">
      <w:pPr>
        <w:pStyle w:val="Ttulo3"/>
        <w:numPr>
          <w:ilvl w:val="3"/>
          <w:numId w:val="51"/>
        </w:numPr>
        <w:rPr>
          <w:rFonts w:ascii="Arial Negrito" w:hAnsi="Arial Negrito"/>
          <w:b w:val="0"/>
        </w:rPr>
      </w:pPr>
      <w:bookmarkStart w:id="1058" w:name="_Toc418758429"/>
      <w:bookmarkStart w:id="1059" w:name="_Toc418759031"/>
      <w:bookmarkStart w:id="1060" w:name="_Toc419813803"/>
      <w:r w:rsidRPr="000822C6">
        <w:rPr>
          <w:rFonts w:ascii="Arial Negrito" w:hAnsi="Arial Negrito"/>
          <w:b w:val="0"/>
        </w:rPr>
        <w:t>Responsável pela Implementação</w:t>
      </w:r>
      <w:bookmarkEnd w:id="1058"/>
      <w:bookmarkEnd w:id="1059"/>
      <w:bookmarkEnd w:id="1060"/>
    </w:p>
    <w:p w:rsidR="00C43D25" w:rsidRDefault="00C43D25" w:rsidP="00C43D25">
      <w:pPr>
        <w:autoSpaceDE w:val="0"/>
        <w:autoSpaceDN w:val="0"/>
        <w:adjustRightInd w:val="0"/>
        <w:spacing w:before="120" w:after="120" w:line="240" w:lineRule="auto"/>
        <w:rPr>
          <w:rFonts w:cs="Arial"/>
          <w:szCs w:val="22"/>
        </w:rPr>
      </w:pPr>
      <w:r w:rsidRPr="00C43D25">
        <w:rPr>
          <w:rFonts w:cs="Arial"/>
          <w:szCs w:val="22"/>
        </w:rPr>
        <w:t xml:space="preserve">A implementação e desenvolvimento do programa são de responsabilidade do empreendedor, com a possibilidade de estabelecimento de convênios com entidades públicas e privadas. </w:t>
      </w:r>
    </w:p>
    <w:p w:rsidR="00C43D25" w:rsidRPr="000822C6" w:rsidRDefault="00C43D25" w:rsidP="00431A97">
      <w:pPr>
        <w:pStyle w:val="Ttulo3"/>
        <w:numPr>
          <w:ilvl w:val="3"/>
          <w:numId w:val="51"/>
        </w:numPr>
        <w:rPr>
          <w:rFonts w:ascii="Arial Negrito" w:hAnsi="Arial Negrito"/>
          <w:b w:val="0"/>
        </w:rPr>
      </w:pPr>
      <w:bookmarkStart w:id="1061" w:name="_Toc418758430"/>
      <w:bookmarkStart w:id="1062" w:name="_Toc418759032"/>
      <w:bookmarkStart w:id="1063" w:name="_Toc419813804"/>
      <w:r w:rsidRPr="000822C6">
        <w:rPr>
          <w:rFonts w:ascii="Arial Negrito" w:hAnsi="Arial Negrito"/>
          <w:b w:val="0"/>
        </w:rPr>
        <w:t>Sistema de Registros</w:t>
      </w:r>
      <w:bookmarkEnd w:id="1061"/>
      <w:bookmarkEnd w:id="1062"/>
      <w:bookmarkEnd w:id="1063"/>
    </w:p>
    <w:p w:rsidR="00C43D25" w:rsidRDefault="00C43D25" w:rsidP="00C43D25">
      <w:pPr>
        <w:autoSpaceDE w:val="0"/>
        <w:autoSpaceDN w:val="0"/>
        <w:adjustRightInd w:val="0"/>
        <w:spacing w:before="120" w:after="120" w:line="240" w:lineRule="auto"/>
        <w:rPr>
          <w:rFonts w:cs="Arial"/>
          <w:szCs w:val="22"/>
        </w:rPr>
      </w:pPr>
      <w:r w:rsidRPr="00E0520E">
        <w:rPr>
          <w:rFonts w:cs="Arial"/>
          <w:szCs w:val="22"/>
        </w:rPr>
        <w:t>No âmbito desse Programa deverão ser produzidos relatórios com frequência semestral ou por ocasião da eventual ocorrência de sismos considerados importantes. Além disso, ao final da instalação dos sismógrafos, deverá ser emitido relatório contendo todas as atividades desenvolvidas e apresentando a localização da estação e características dos equipamentos instalados.</w:t>
      </w:r>
    </w:p>
    <w:p w:rsidR="001D5114" w:rsidRPr="00E0520E" w:rsidRDefault="001D5114" w:rsidP="00C43D25">
      <w:pPr>
        <w:autoSpaceDE w:val="0"/>
        <w:autoSpaceDN w:val="0"/>
        <w:adjustRightInd w:val="0"/>
        <w:spacing w:before="120" w:after="120" w:line="240" w:lineRule="auto"/>
        <w:rPr>
          <w:rFonts w:cs="Arial"/>
          <w:szCs w:val="22"/>
        </w:rPr>
      </w:pPr>
    </w:p>
    <w:p w:rsidR="00C43D25" w:rsidRPr="000822C6" w:rsidRDefault="00C43D25" w:rsidP="00431A97">
      <w:pPr>
        <w:pStyle w:val="Ttulo3"/>
        <w:numPr>
          <w:ilvl w:val="3"/>
          <w:numId w:val="51"/>
        </w:numPr>
        <w:rPr>
          <w:rFonts w:ascii="Arial Negrito" w:hAnsi="Arial Negrito"/>
          <w:b w:val="0"/>
        </w:rPr>
      </w:pPr>
      <w:bookmarkStart w:id="1064" w:name="_Toc418758431"/>
      <w:bookmarkStart w:id="1065" w:name="_Toc418759033"/>
      <w:bookmarkStart w:id="1066" w:name="_Toc419813805"/>
      <w:r w:rsidRPr="000822C6">
        <w:rPr>
          <w:rFonts w:ascii="Arial Negrito" w:hAnsi="Arial Negrito"/>
          <w:b w:val="0"/>
        </w:rPr>
        <w:t>Referências</w:t>
      </w:r>
      <w:r w:rsidR="00E0520E" w:rsidRPr="000822C6">
        <w:rPr>
          <w:rFonts w:ascii="Arial Negrito" w:hAnsi="Arial Negrito"/>
          <w:b w:val="0"/>
        </w:rPr>
        <w:t xml:space="preserve"> Bibliográficas</w:t>
      </w:r>
      <w:bookmarkEnd w:id="1064"/>
      <w:bookmarkEnd w:id="1065"/>
      <w:bookmarkEnd w:id="1066"/>
    </w:p>
    <w:p w:rsidR="002D01AC" w:rsidRDefault="00C43D25" w:rsidP="000822C6">
      <w:pPr>
        <w:pStyle w:val="Item-Trainho"/>
      </w:pPr>
      <w:r w:rsidRPr="00E0520E">
        <w:t>ASSOCIAÇÃO BRASILEIRA DE NORMAS TÉCNICAS. NBR 15421: projeto de estruturas resistentes a sismos - procedimento. Rio de Janeiro, 2006. 26p.</w:t>
      </w:r>
    </w:p>
    <w:p w:rsidR="001D5114" w:rsidRDefault="001D5114" w:rsidP="001D5114">
      <w:pPr>
        <w:pStyle w:val="Item-Trainho"/>
        <w:numPr>
          <w:ilvl w:val="0"/>
          <w:numId w:val="0"/>
        </w:numPr>
        <w:ind w:left="397" w:hanging="397"/>
      </w:pPr>
      <w:r>
        <w:br w:type="page"/>
      </w:r>
    </w:p>
    <w:p w:rsidR="007C22CC" w:rsidRPr="000822C6" w:rsidRDefault="007C22CC" w:rsidP="00431A97">
      <w:pPr>
        <w:pStyle w:val="Ttulo3"/>
        <w:numPr>
          <w:ilvl w:val="1"/>
          <w:numId w:val="52"/>
        </w:numPr>
        <w:rPr>
          <w:rFonts w:ascii="Arial Negrito" w:hAnsi="Arial Negrito"/>
          <w:b w:val="0"/>
        </w:rPr>
      </w:pPr>
      <w:bookmarkStart w:id="1067" w:name="_Toc418758432"/>
      <w:bookmarkStart w:id="1068" w:name="_Toc418759034"/>
      <w:bookmarkStart w:id="1069" w:name="_Toc419813806"/>
      <w:r w:rsidRPr="000822C6">
        <w:rPr>
          <w:rFonts w:ascii="Arial Negrito" w:hAnsi="Arial Negrito"/>
          <w:b w:val="0"/>
        </w:rPr>
        <w:t>Programas do Meio Biótico</w:t>
      </w:r>
      <w:bookmarkEnd w:id="1067"/>
      <w:bookmarkEnd w:id="1068"/>
      <w:bookmarkEnd w:id="1069"/>
    </w:p>
    <w:p w:rsidR="002D01AC" w:rsidRPr="000822C6" w:rsidRDefault="007C22CC" w:rsidP="00431A97">
      <w:pPr>
        <w:pStyle w:val="Ttulo3"/>
        <w:numPr>
          <w:ilvl w:val="2"/>
          <w:numId w:val="52"/>
        </w:numPr>
        <w:rPr>
          <w:rFonts w:ascii="Arial Negrito" w:hAnsi="Arial Negrito"/>
          <w:b w:val="0"/>
        </w:rPr>
      </w:pPr>
      <w:bookmarkStart w:id="1070" w:name="_Toc418758433"/>
      <w:bookmarkStart w:id="1071" w:name="_Toc418759035"/>
      <w:bookmarkStart w:id="1072" w:name="_Toc419813807"/>
      <w:r w:rsidRPr="000822C6">
        <w:rPr>
          <w:rFonts w:ascii="Arial Negrito" w:hAnsi="Arial Negrito"/>
          <w:b w:val="0"/>
        </w:rPr>
        <w:t>Programa de Supressão de Vegetação</w:t>
      </w:r>
      <w:bookmarkEnd w:id="1070"/>
      <w:bookmarkEnd w:id="1071"/>
      <w:bookmarkEnd w:id="1072"/>
    </w:p>
    <w:p w:rsidR="003D5A9B" w:rsidRPr="000822C6" w:rsidRDefault="003D5A9B" w:rsidP="00431A97">
      <w:pPr>
        <w:pStyle w:val="Ttulo3"/>
        <w:numPr>
          <w:ilvl w:val="3"/>
          <w:numId w:val="52"/>
        </w:numPr>
        <w:rPr>
          <w:rFonts w:ascii="Arial Negrito" w:hAnsi="Arial Negrito"/>
          <w:b w:val="0"/>
        </w:rPr>
      </w:pPr>
      <w:bookmarkStart w:id="1073" w:name="_Toc418758434"/>
      <w:bookmarkStart w:id="1074" w:name="_Toc418759036"/>
      <w:bookmarkStart w:id="1075" w:name="_Toc419813808"/>
      <w:r w:rsidRPr="000822C6">
        <w:rPr>
          <w:rFonts w:ascii="Arial Negrito" w:hAnsi="Arial Negrito"/>
          <w:b w:val="0"/>
        </w:rPr>
        <w:t>Apresentação e Justificativa</w:t>
      </w:r>
      <w:bookmarkEnd w:id="1073"/>
      <w:bookmarkEnd w:id="1074"/>
      <w:bookmarkEnd w:id="1075"/>
    </w:p>
    <w:p w:rsidR="003D5A9B" w:rsidRDefault="003D5A9B" w:rsidP="00D4740B">
      <w:pPr>
        <w:spacing w:before="120" w:after="120" w:line="240" w:lineRule="auto"/>
        <w:rPr>
          <w:rFonts w:cs="Arial"/>
        </w:rPr>
      </w:pPr>
      <w:r>
        <w:rPr>
          <w:rFonts w:cs="Arial"/>
        </w:rPr>
        <w:t>Um</w:t>
      </w:r>
      <w:r w:rsidRPr="0036167C">
        <w:rPr>
          <w:rFonts w:cs="Arial"/>
        </w:rPr>
        <w:t xml:space="preserve"> dos principais impacto</w:t>
      </w:r>
      <w:r>
        <w:rPr>
          <w:rFonts w:cs="Arial"/>
        </w:rPr>
        <w:t>s</w:t>
      </w:r>
      <w:r w:rsidRPr="0036167C">
        <w:rPr>
          <w:rFonts w:cs="Arial"/>
        </w:rPr>
        <w:t xml:space="preserve"> ao meio biótico </w:t>
      </w:r>
      <w:r w:rsidR="00A94986">
        <w:rPr>
          <w:rFonts w:cs="Arial"/>
        </w:rPr>
        <w:t>decorrente da implantação das B</w:t>
      </w:r>
      <w:r>
        <w:rPr>
          <w:rFonts w:cs="Arial"/>
        </w:rPr>
        <w:t>arragens Pedreira e Duas Pontes será</w:t>
      </w:r>
      <w:r w:rsidRPr="0036167C">
        <w:rPr>
          <w:rFonts w:cs="Arial"/>
        </w:rPr>
        <w:t xml:space="preserve"> a Perda de Cobertura Vegetal</w:t>
      </w:r>
      <w:r>
        <w:rPr>
          <w:rFonts w:cs="Arial"/>
        </w:rPr>
        <w:t xml:space="preserve"> Nativa</w:t>
      </w:r>
      <w:r w:rsidRPr="0036167C">
        <w:rPr>
          <w:rFonts w:cs="Arial"/>
        </w:rPr>
        <w:t xml:space="preserve">. </w:t>
      </w:r>
      <w:r>
        <w:rPr>
          <w:rFonts w:cs="Arial"/>
        </w:rPr>
        <w:t>N</w:t>
      </w:r>
      <w:r w:rsidR="00D4740B">
        <w:rPr>
          <w:rFonts w:cs="Arial"/>
        </w:rPr>
        <w:t>os Quadros 3.4.1. e 3.4.2. s</w:t>
      </w:r>
      <w:r>
        <w:rPr>
          <w:rFonts w:cs="Arial"/>
        </w:rPr>
        <w:t>ão apresentados os quantitativos de cobertura vegetal a ser suprimida para a implantação de cada um dos empreendimentos</w:t>
      </w:r>
      <w:r w:rsidR="00264141" w:rsidRPr="00A53F87">
        <w:rPr>
          <w:rFonts w:cs="Arial"/>
        </w:rPr>
        <w:t>, somadas as perdas por alagamento e pela área necessária à construção das barragens</w:t>
      </w:r>
      <w:r w:rsidRPr="00A53F87">
        <w:rPr>
          <w:rFonts w:cs="Arial"/>
        </w:rPr>
        <w:t>.</w:t>
      </w:r>
    </w:p>
    <w:p w:rsidR="003D5A9B" w:rsidRDefault="00EF6B5D" w:rsidP="00EF6B5D">
      <w:pPr>
        <w:pStyle w:val="Legenda"/>
        <w:spacing w:before="0" w:after="0" w:line="240" w:lineRule="auto"/>
        <w:jc w:val="center"/>
        <w:rPr>
          <w:b w:val="0"/>
          <w:i w:val="0"/>
        </w:rPr>
      </w:pPr>
      <w:r w:rsidRPr="00EF6B5D">
        <w:rPr>
          <w:i w:val="0"/>
        </w:rPr>
        <w:t>Quadro 3.4.</w:t>
      </w:r>
      <w:r w:rsidR="00B80A05" w:rsidRPr="00EF6B5D">
        <w:rPr>
          <w:i w:val="0"/>
        </w:rPr>
        <w:fldChar w:fldCharType="begin"/>
      </w:r>
      <w:r w:rsidRPr="00EF6B5D">
        <w:rPr>
          <w:i w:val="0"/>
        </w:rPr>
        <w:instrText xml:space="preserve"> SEQ Quadro_3.4. \* ARABIC </w:instrText>
      </w:r>
      <w:r w:rsidR="00B80A05" w:rsidRPr="00EF6B5D">
        <w:rPr>
          <w:i w:val="0"/>
        </w:rPr>
        <w:fldChar w:fldCharType="separate"/>
      </w:r>
      <w:r w:rsidR="00316060">
        <w:rPr>
          <w:i w:val="0"/>
          <w:noProof/>
        </w:rPr>
        <w:t>8</w:t>
      </w:r>
      <w:r w:rsidR="00B80A05" w:rsidRPr="00EF6B5D">
        <w:rPr>
          <w:i w:val="0"/>
        </w:rPr>
        <w:fldChar w:fldCharType="end"/>
      </w:r>
      <w:r w:rsidRPr="00EF6B5D">
        <w:rPr>
          <w:i w:val="0"/>
        </w:rPr>
        <w:t>.</w:t>
      </w:r>
      <w:r w:rsidRPr="00EF6B5D">
        <w:rPr>
          <w:b w:val="0"/>
          <w:i w:val="0"/>
        </w:rPr>
        <w:t xml:space="preserve"> - </w:t>
      </w:r>
      <w:r w:rsidR="003D5A9B" w:rsidRPr="00EF6B5D">
        <w:rPr>
          <w:b w:val="0"/>
          <w:i w:val="0"/>
        </w:rPr>
        <w:t>Quantitativos das diferentes fitofisionomias e</w:t>
      </w:r>
      <w:r w:rsidR="00A94986" w:rsidRPr="00EF6B5D">
        <w:rPr>
          <w:b w:val="0"/>
          <w:i w:val="0"/>
        </w:rPr>
        <w:t xml:space="preserve">xistentes </w:t>
      </w:r>
      <w:r w:rsidR="003D5A9B" w:rsidRPr="00EF6B5D">
        <w:rPr>
          <w:b w:val="0"/>
          <w:i w:val="0"/>
        </w:rPr>
        <w:t>serem suprimidas para a implantação do empreendimento</w:t>
      </w:r>
      <w:r w:rsidR="007765D7" w:rsidRPr="00EF6B5D">
        <w:rPr>
          <w:b w:val="0"/>
          <w:i w:val="0"/>
        </w:rPr>
        <w:t xml:space="preserve"> </w:t>
      </w:r>
      <w:r w:rsidR="00264141" w:rsidRPr="00EF6B5D">
        <w:rPr>
          <w:b w:val="0"/>
          <w:i w:val="0"/>
        </w:rPr>
        <w:t>Barragem Pedreira</w:t>
      </w:r>
      <w:r w:rsidR="003D5A9B" w:rsidRPr="00EF6B5D">
        <w:rPr>
          <w:b w:val="0"/>
          <w:i w:val="0"/>
        </w:rPr>
        <w:t>.</w:t>
      </w:r>
    </w:p>
    <w:tbl>
      <w:tblPr>
        <w:tblW w:w="8000" w:type="dxa"/>
        <w:jc w:val="center"/>
        <w:tblInd w:w="-787" w:type="dxa"/>
        <w:tblLayout w:type="fixed"/>
        <w:tblLook w:val="04A0" w:firstRow="1" w:lastRow="0" w:firstColumn="1" w:lastColumn="0" w:noHBand="0" w:noVBand="1"/>
      </w:tblPr>
      <w:tblGrid>
        <w:gridCol w:w="4912"/>
        <w:gridCol w:w="1353"/>
        <w:gridCol w:w="1735"/>
      </w:tblGrid>
      <w:tr w:rsidR="003D5A9B" w:rsidRPr="002E29E3" w:rsidTr="001D5114">
        <w:trPr>
          <w:trHeight w:val="614"/>
          <w:jc w:val="center"/>
        </w:trPr>
        <w:tc>
          <w:tcPr>
            <w:tcW w:w="4912"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3D5A9B" w:rsidRPr="002E29E3" w:rsidRDefault="003D5A9B" w:rsidP="00EF6B5D">
            <w:pPr>
              <w:jc w:val="center"/>
              <w:rPr>
                <w:rFonts w:cs="Arial"/>
                <w:b/>
                <w:bCs/>
                <w:color w:val="000000"/>
                <w:szCs w:val="22"/>
              </w:rPr>
            </w:pPr>
            <w:r w:rsidRPr="002E29E3">
              <w:rPr>
                <w:rFonts w:cs="Arial"/>
                <w:b/>
                <w:bCs/>
                <w:color w:val="000000"/>
                <w:szCs w:val="22"/>
              </w:rPr>
              <w:t>Fitofisionomia</w:t>
            </w:r>
          </w:p>
        </w:tc>
        <w:tc>
          <w:tcPr>
            <w:tcW w:w="1353" w:type="dxa"/>
            <w:tcBorders>
              <w:top w:val="single" w:sz="4" w:space="0" w:color="auto"/>
              <w:left w:val="nil"/>
              <w:bottom w:val="single" w:sz="4" w:space="0" w:color="auto"/>
              <w:right w:val="single" w:sz="4" w:space="0" w:color="auto"/>
            </w:tcBorders>
            <w:shd w:val="clear" w:color="000000" w:fill="C0C0C0"/>
            <w:noWrap/>
            <w:vAlign w:val="center"/>
            <w:hideMark/>
          </w:tcPr>
          <w:p w:rsidR="003D5A9B" w:rsidRPr="002E29E3" w:rsidRDefault="003D5A9B" w:rsidP="00EF6B5D">
            <w:pPr>
              <w:jc w:val="center"/>
              <w:rPr>
                <w:rFonts w:cs="Arial"/>
                <w:b/>
                <w:bCs/>
                <w:color w:val="000000"/>
                <w:szCs w:val="22"/>
              </w:rPr>
            </w:pPr>
            <w:r w:rsidRPr="002E29E3">
              <w:rPr>
                <w:rFonts w:cs="Arial"/>
                <w:b/>
                <w:bCs/>
                <w:color w:val="000000"/>
                <w:szCs w:val="22"/>
              </w:rPr>
              <w:t>Área (ha)</w:t>
            </w:r>
          </w:p>
        </w:tc>
        <w:tc>
          <w:tcPr>
            <w:tcW w:w="1735" w:type="dxa"/>
            <w:tcBorders>
              <w:top w:val="single" w:sz="4" w:space="0" w:color="auto"/>
              <w:left w:val="nil"/>
              <w:bottom w:val="single" w:sz="4" w:space="0" w:color="auto"/>
              <w:right w:val="single" w:sz="4" w:space="0" w:color="auto"/>
            </w:tcBorders>
            <w:shd w:val="clear" w:color="000000" w:fill="C0C0C0"/>
            <w:vAlign w:val="center"/>
          </w:tcPr>
          <w:p w:rsidR="00EF6B5D" w:rsidRDefault="003D5A9B" w:rsidP="00EF6B5D">
            <w:pPr>
              <w:jc w:val="center"/>
              <w:rPr>
                <w:rFonts w:cs="Arial"/>
                <w:b/>
                <w:bCs/>
                <w:color w:val="000000"/>
                <w:szCs w:val="22"/>
              </w:rPr>
            </w:pPr>
            <w:r w:rsidRPr="002E29E3">
              <w:rPr>
                <w:rFonts w:cs="Arial"/>
                <w:b/>
                <w:bCs/>
                <w:color w:val="000000"/>
                <w:szCs w:val="22"/>
              </w:rPr>
              <w:t>Área Relativa</w:t>
            </w:r>
          </w:p>
          <w:p w:rsidR="003D5A9B" w:rsidRPr="002E29E3" w:rsidRDefault="003D5A9B" w:rsidP="00EF6B5D">
            <w:pPr>
              <w:jc w:val="center"/>
              <w:rPr>
                <w:rFonts w:cs="Arial"/>
                <w:b/>
                <w:bCs/>
                <w:color w:val="000000"/>
                <w:szCs w:val="22"/>
              </w:rPr>
            </w:pPr>
            <w:r w:rsidRPr="002E29E3">
              <w:rPr>
                <w:rFonts w:cs="Arial"/>
                <w:b/>
                <w:bCs/>
                <w:color w:val="000000"/>
                <w:szCs w:val="22"/>
              </w:rPr>
              <w:t>(%)</w:t>
            </w:r>
          </w:p>
        </w:tc>
      </w:tr>
      <w:tr w:rsidR="003D5A9B" w:rsidRPr="002E29E3" w:rsidTr="001D5114">
        <w:trPr>
          <w:trHeight w:val="252"/>
          <w:jc w:val="center"/>
        </w:trPr>
        <w:tc>
          <w:tcPr>
            <w:tcW w:w="49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Floresta Estacional Inicial</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3D5A9B" w:rsidRPr="002E29E3" w:rsidRDefault="00264141" w:rsidP="00EA64C7">
            <w:pPr>
              <w:spacing w:before="60" w:after="40" w:line="240" w:lineRule="auto"/>
              <w:jc w:val="center"/>
              <w:rPr>
                <w:rFonts w:cs="Arial"/>
                <w:szCs w:val="22"/>
              </w:rPr>
            </w:pPr>
            <w:r w:rsidRPr="002E29E3">
              <w:rPr>
                <w:rFonts w:cs="Arial"/>
                <w:szCs w:val="22"/>
              </w:rPr>
              <w:t>29,2</w:t>
            </w:r>
          </w:p>
        </w:tc>
        <w:tc>
          <w:tcPr>
            <w:tcW w:w="1735" w:type="dxa"/>
            <w:tcBorders>
              <w:top w:val="single" w:sz="4" w:space="0" w:color="auto"/>
              <w:left w:val="nil"/>
              <w:bottom w:val="single" w:sz="4" w:space="0" w:color="auto"/>
              <w:right w:val="single" w:sz="4" w:space="0" w:color="auto"/>
            </w:tcBorders>
            <w:vAlign w:val="center"/>
          </w:tcPr>
          <w:p w:rsidR="003D5A9B" w:rsidRPr="002E29E3" w:rsidRDefault="00264141" w:rsidP="00EA64C7">
            <w:pPr>
              <w:spacing w:before="60" w:after="40" w:line="240" w:lineRule="auto"/>
              <w:jc w:val="center"/>
              <w:rPr>
                <w:rFonts w:cs="Arial"/>
                <w:szCs w:val="22"/>
              </w:rPr>
            </w:pPr>
            <w:r w:rsidRPr="002E29E3">
              <w:rPr>
                <w:rFonts w:cs="Arial"/>
                <w:szCs w:val="22"/>
              </w:rPr>
              <w:t>14,4</w:t>
            </w:r>
          </w:p>
        </w:tc>
      </w:tr>
      <w:tr w:rsidR="003D5A9B" w:rsidRPr="002E29E3" w:rsidTr="001D5114">
        <w:trPr>
          <w:trHeight w:val="252"/>
          <w:jc w:val="center"/>
        </w:trPr>
        <w:tc>
          <w:tcPr>
            <w:tcW w:w="49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Floresta Estacional Inicial Ribeirinha</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3D5A9B" w:rsidRPr="002E29E3" w:rsidRDefault="00264141" w:rsidP="00EA64C7">
            <w:pPr>
              <w:spacing w:before="60" w:after="40" w:line="240" w:lineRule="auto"/>
              <w:jc w:val="center"/>
              <w:rPr>
                <w:rFonts w:cs="Arial"/>
                <w:szCs w:val="22"/>
              </w:rPr>
            </w:pPr>
            <w:r w:rsidRPr="002E29E3">
              <w:rPr>
                <w:rFonts w:cs="Arial"/>
                <w:szCs w:val="22"/>
              </w:rPr>
              <w:t>32,7</w:t>
            </w:r>
          </w:p>
        </w:tc>
        <w:tc>
          <w:tcPr>
            <w:tcW w:w="1735" w:type="dxa"/>
            <w:tcBorders>
              <w:top w:val="single" w:sz="4" w:space="0" w:color="auto"/>
              <w:left w:val="nil"/>
              <w:bottom w:val="single" w:sz="4" w:space="0" w:color="auto"/>
              <w:right w:val="single" w:sz="4" w:space="0" w:color="auto"/>
            </w:tcBorders>
            <w:vAlign w:val="center"/>
          </w:tcPr>
          <w:p w:rsidR="003D5A9B" w:rsidRPr="002E29E3" w:rsidRDefault="00264141" w:rsidP="00EA64C7">
            <w:pPr>
              <w:spacing w:before="60" w:after="40" w:line="240" w:lineRule="auto"/>
              <w:jc w:val="center"/>
              <w:rPr>
                <w:rFonts w:cs="Arial"/>
                <w:szCs w:val="22"/>
              </w:rPr>
            </w:pPr>
            <w:r w:rsidRPr="002E29E3">
              <w:rPr>
                <w:rFonts w:cs="Arial"/>
                <w:szCs w:val="22"/>
              </w:rPr>
              <w:t>16,1</w:t>
            </w:r>
          </w:p>
        </w:tc>
      </w:tr>
      <w:tr w:rsidR="003D5A9B" w:rsidRPr="002E29E3" w:rsidTr="001D5114">
        <w:trPr>
          <w:trHeight w:val="252"/>
          <w:jc w:val="center"/>
        </w:trPr>
        <w:tc>
          <w:tcPr>
            <w:tcW w:w="49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Floresta Estacional Inicial Dossel Eucalipto</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3D5A9B" w:rsidRPr="002E29E3" w:rsidRDefault="00264141" w:rsidP="00471A8B">
            <w:pPr>
              <w:spacing w:before="60" w:after="40" w:line="240" w:lineRule="auto"/>
              <w:jc w:val="center"/>
              <w:rPr>
                <w:rFonts w:cs="Arial"/>
                <w:szCs w:val="22"/>
              </w:rPr>
            </w:pPr>
            <w:r w:rsidRPr="002E29E3">
              <w:rPr>
                <w:rFonts w:cs="Arial"/>
                <w:szCs w:val="22"/>
              </w:rPr>
              <w:t>3</w:t>
            </w:r>
            <w:r w:rsidR="00471A8B" w:rsidRPr="002E29E3">
              <w:rPr>
                <w:rFonts w:cs="Arial"/>
                <w:szCs w:val="22"/>
              </w:rPr>
              <w:t>1</w:t>
            </w:r>
            <w:r w:rsidRPr="002E29E3">
              <w:rPr>
                <w:rFonts w:cs="Arial"/>
                <w:szCs w:val="22"/>
              </w:rPr>
              <w:t>,1</w:t>
            </w:r>
          </w:p>
        </w:tc>
        <w:tc>
          <w:tcPr>
            <w:tcW w:w="1735" w:type="dxa"/>
            <w:tcBorders>
              <w:top w:val="single" w:sz="4" w:space="0" w:color="auto"/>
              <w:left w:val="nil"/>
              <w:bottom w:val="single" w:sz="4" w:space="0" w:color="auto"/>
              <w:right w:val="single" w:sz="4" w:space="0" w:color="auto"/>
            </w:tcBorders>
            <w:vAlign w:val="center"/>
          </w:tcPr>
          <w:p w:rsidR="003D5A9B" w:rsidRPr="002E29E3" w:rsidRDefault="00264141" w:rsidP="00EA64C7">
            <w:pPr>
              <w:spacing w:before="60" w:after="40" w:line="240" w:lineRule="auto"/>
              <w:jc w:val="center"/>
              <w:rPr>
                <w:rFonts w:cs="Arial"/>
                <w:szCs w:val="22"/>
              </w:rPr>
            </w:pPr>
            <w:r w:rsidRPr="002E29E3">
              <w:rPr>
                <w:rFonts w:cs="Arial"/>
                <w:szCs w:val="22"/>
              </w:rPr>
              <w:t>15,3</w:t>
            </w:r>
          </w:p>
        </w:tc>
      </w:tr>
      <w:tr w:rsidR="003D5A9B" w:rsidRPr="002E29E3" w:rsidTr="001D5114">
        <w:trPr>
          <w:trHeight w:val="252"/>
          <w:jc w:val="center"/>
        </w:trPr>
        <w:tc>
          <w:tcPr>
            <w:tcW w:w="49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Vegetação Pioneira</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3D5A9B" w:rsidRPr="002E29E3" w:rsidRDefault="00264141" w:rsidP="00EA64C7">
            <w:pPr>
              <w:spacing w:before="60" w:after="40" w:line="240" w:lineRule="auto"/>
              <w:jc w:val="center"/>
              <w:rPr>
                <w:rFonts w:cs="Arial"/>
                <w:szCs w:val="22"/>
              </w:rPr>
            </w:pPr>
            <w:r w:rsidRPr="002E29E3">
              <w:rPr>
                <w:rFonts w:cs="Arial"/>
                <w:szCs w:val="22"/>
              </w:rPr>
              <w:t>15,5</w:t>
            </w:r>
          </w:p>
        </w:tc>
        <w:tc>
          <w:tcPr>
            <w:tcW w:w="1735" w:type="dxa"/>
            <w:tcBorders>
              <w:top w:val="single" w:sz="4" w:space="0" w:color="auto"/>
              <w:left w:val="nil"/>
              <w:bottom w:val="single" w:sz="4" w:space="0" w:color="auto"/>
              <w:right w:val="single" w:sz="4" w:space="0" w:color="auto"/>
            </w:tcBorders>
            <w:vAlign w:val="center"/>
          </w:tcPr>
          <w:p w:rsidR="003D5A9B" w:rsidRPr="002E29E3" w:rsidRDefault="00264141" w:rsidP="00EA64C7">
            <w:pPr>
              <w:spacing w:before="60" w:after="40" w:line="240" w:lineRule="auto"/>
              <w:jc w:val="center"/>
              <w:rPr>
                <w:rFonts w:cs="Arial"/>
                <w:szCs w:val="22"/>
              </w:rPr>
            </w:pPr>
            <w:r w:rsidRPr="002E29E3">
              <w:rPr>
                <w:rFonts w:cs="Arial"/>
                <w:szCs w:val="22"/>
              </w:rPr>
              <w:t>7,6</w:t>
            </w:r>
          </w:p>
        </w:tc>
      </w:tr>
      <w:tr w:rsidR="00264141" w:rsidRPr="002E29E3" w:rsidTr="001D5114">
        <w:trPr>
          <w:trHeight w:val="252"/>
          <w:jc w:val="center"/>
        </w:trPr>
        <w:tc>
          <w:tcPr>
            <w:tcW w:w="49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4141" w:rsidRPr="002E29E3" w:rsidRDefault="00264141" w:rsidP="00EA64C7">
            <w:pPr>
              <w:spacing w:before="60" w:after="40" w:line="240" w:lineRule="auto"/>
              <w:jc w:val="left"/>
              <w:rPr>
                <w:rFonts w:cs="Arial"/>
                <w:color w:val="000000"/>
                <w:szCs w:val="22"/>
              </w:rPr>
            </w:pPr>
            <w:r w:rsidRPr="002E29E3">
              <w:rPr>
                <w:rFonts w:cs="Arial"/>
                <w:color w:val="000000"/>
                <w:szCs w:val="22"/>
              </w:rPr>
              <w:t>Campo Úmido Antropizado</w:t>
            </w:r>
          </w:p>
        </w:tc>
        <w:tc>
          <w:tcPr>
            <w:tcW w:w="1353" w:type="dxa"/>
            <w:tcBorders>
              <w:top w:val="single" w:sz="4" w:space="0" w:color="auto"/>
              <w:left w:val="nil"/>
              <w:bottom w:val="single" w:sz="4" w:space="0" w:color="auto"/>
              <w:right w:val="single" w:sz="4" w:space="0" w:color="auto"/>
            </w:tcBorders>
            <w:shd w:val="clear" w:color="auto" w:fill="auto"/>
            <w:noWrap/>
            <w:vAlign w:val="center"/>
          </w:tcPr>
          <w:p w:rsidR="00264141" w:rsidRPr="002E29E3" w:rsidRDefault="00264141" w:rsidP="00EA64C7">
            <w:pPr>
              <w:spacing w:before="60" w:after="40" w:line="240" w:lineRule="auto"/>
              <w:jc w:val="center"/>
              <w:rPr>
                <w:rFonts w:cs="Arial"/>
                <w:szCs w:val="22"/>
              </w:rPr>
            </w:pPr>
            <w:r w:rsidRPr="002E29E3">
              <w:rPr>
                <w:rFonts w:cs="Arial"/>
                <w:szCs w:val="22"/>
              </w:rPr>
              <w:t>0,6</w:t>
            </w:r>
          </w:p>
        </w:tc>
        <w:tc>
          <w:tcPr>
            <w:tcW w:w="1735" w:type="dxa"/>
            <w:tcBorders>
              <w:top w:val="single" w:sz="4" w:space="0" w:color="auto"/>
              <w:left w:val="nil"/>
              <w:bottom w:val="single" w:sz="4" w:space="0" w:color="auto"/>
              <w:right w:val="single" w:sz="4" w:space="0" w:color="auto"/>
            </w:tcBorders>
            <w:vAlign w:val="center"/>
          </w:tcPr>
          <w:p w:rsidR="00264141" w:rsidRPr="002E29E3" w:rsidRDefault="00264141" w:rsidP="00EA64C7">
            <w:pPr>
              <w:spacing w:before="60" w:after="40" w:line="240" w:lineRule="auto"/>
              <w:jc w:val="center"/>
              <w:rPr>
                <w:rFonts w:cs="Arial"/>
                <w:szCs w:val="22"/>
              </w:rPr>
            </w:pPr>
            <w:r w:rsidRPr="002E29E3">
              <w:rPr>
                <w:rFonts w:cs="Arial"/>
                <w:szCs w:val="22"/>
              </w:rPr>
              <w:t>0,3</w:t>
            </w:r>
          </w:p>
        </w:tc>
      </w:tr>
      <w:tr w:rsidR="003D5A9B" w:rsidRPr="002E29E3" w:rsidTr="001D5114">
        <w:trPr>
          <w:trHeight w:val="252"/>
          <w:jc w:val="center"/>
        </w:trPr>
        <w:tc>
          <w:tcPr>
            <w:tcW w:w="49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Pasto\Pasto Sujo</w:t>
            </w:r>
          </w:p>
        </w:tc>
        <w:tc>
          <w:tcPr>
            <w:tcW w:w="1353" w:type="dxa"/>
            <w:tcBorders>
              <w:top w:val="single" w:sz="4" w:space="0" w:color="auto"/>
              <w:left w:val="nil"/>
              <w:bottom w:val="single" w:sz="4" w:space="0" w:color="auto"/>
              <w:right w:val="single" w:sz="4" w:space="0" w:color="auto"/>
            </w:tcBorders>
            <w:shd w:val="clear" w:color="auto" w:fill="auto"/>
            <w:vAlign w:val="center"/>
            <w:hideMark/>
          </w:tcPr>
          <w:p w:rsidR="003D5A9B" w:rsidRPr="002E29E3" w:rsidRDefault="00264141" w:rsidP="00EA64C7">
            <w:pPr>
              <w:spacing w:before="60" w:after="40" w:line="240" w:lineRule="auto"/>
              <w:jc w:val="center"/>
              <w:rPr>
                <w:rFonts w:cs="Arial"/>
                <w:szCs w:val="22"/>
              </w:rPr>
            </w:pPr>
            <w:r w:rsidRPr="002E29E3">
              <w:rPr>
                <w:rFonts w:cs="Arial"/>
                <w:szCs w:val="22"/>
              </w:rPr>
              <w:t>80,7</w:t>
            </w:r>
          </w:p>
        </w:tc>
        <w:tc>
          <w:tcPr>
            <w:tcW w:w="1735" w:type="dxa"/>
            <w:tcBorders>
              <w:top w:val="single" w:sz="4" w:space="0" w:color="auto"/>
              <w:left w:val="nil"/>
              <w:bottom w:val="single" w:sz="4" w:space="0" w:color="auto"/>
              <w:right w:val="single" w:sz="4" w:space="0" w:color="auto"/>
            </w:tcBorders>
            <w:vAlign w:val="center"/>
          </w:tcPr>
          <w:p w:rsidR="003D5A9B" w:rsidRPr="002E29E3" w:rsidRDefault="00264141" w:rsidP="00EA64C7">
            <w:pPr>
              <w:spacing w:before="60" w:after="40" w:line="240" w:lineRule="auto"/>
              <w:jc w:val="center"/>
              <w:rPr>
                <w:rFonts w:cs="Arial"/>
                <w:szCs w:val="22"/>
              </w:rPr>
            </w:pPr>
            <w:r w:rsidRPr="002E29E3">
              <w:rPr>
                <w:rFonts w:cs="Arial"/>
                <w:szCs w:val="22"/>
              </w:rPr>
              <w:t>39,7</w:t>
            </w:r>
          </w:p>
        </w:tc>
      </w:tr>
      <w:tr w:rsidR="003D5A9B" w:rsidRPr="002E29E3" w:rsidTr="001D5114">
        <w:trPr>
          <w:trHeight w:val="252"/>
          <w:jc w:val="center"/>
        </w:trPr>
        <w:tc>
          <w:tcPr>
            <w:tcW w:w="49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Cultivo</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3D5A9B" w:rsidRPr="002E29E3" w:rsidRDefault="00264141" w:rsidP="00EA64C7">
            <w:pPr>
              <w:spacing w:before="60" w:after="40" w:line="240" w:lineRule="auto"/>
              <w:jc w:val="center"/>
              <w:rPr>
                <w:rFonts w:cs="Arial"/>
                <w:szCs w:val="22"/>
              </w:rPr>
            </w:pPr>
            <w:r w:rsidRPr="002E29E3">
              <w:rPr>
                <w:rFonts w:cs="Arial"/>
                <w:szCs w:val="22"/>
              </w:rPr>
              <w:t>0,1</w:t>
            </w:r>
          </w:p>
        </w:tc>
        <w:tc>
          <w:tcPr>
            <w:tcW w:w="1735" w:type="dxa"/>
            <w:tcBorders>
              <w:top w:val="single" w:sz="4" w:space="0" w:color="auto"/>
              <w:left w:val="nil"/>
              <w:bottom w:val="single" w:sz="4" w:space="0" w:color="auto"/>
              <w:right w:val="single" w:sz="4" w:space="0" w:color="auto"/>
            </w:tcBorders>
            <w:vAlign w:val="center"/>
          </w:tcPr>
          <w:p w:rsidR="003D5A9B" w:rsidRPr="002E29E3" w:rsidRDefault="00264141" w:rsidP="00EA64C7">
            <w:pPr>
              <w:spacing w:before="60" w:after="40" w:line="240" w:lineRule="auto"/>
              <w:jc w:val="center"/>
              <w:rPr>
                <w:rFonts w:cs="Arial"/>
                <w:szCs w:val="22"/>
              </w:rPr>
            </w:pPr>
            <w:r w:rsidRPr="002E29E3">
              <w:rPr>
                <w:rFonts w:cs="Arial"/>
                <w:szCs w:val="22"/>
              </w:rPr>
              <w:t>0,1</w:t>
            </w:r>
          </w:p>
        </w:tc>
      </w:tr>
      <w:tr w:rsidR="003D5A9B" w:rsidRPr="002E29E3" w:rsidTr="001D5114">
        <w:trPr>
          <w:trHeight w:val="252"/>
          <w:jc w:val="center"/>
        </w:trPr>
        <w:tc>
          <w:tcPr>
            <w:tcW w:w="49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Silvicultura</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3D5A9B" w:rsidRPr="002E29E3" w:rsidRDefault="00264141" w:rsidP="00EA64C7">
            <w:pPr>
              <w:spacing w:before="60" w:after="40" w:line="240" w:lineRule="auto"/>
              <w:jc w:val="center"/>
              <w:rPr>
                <w:rFonts w:cs="Arial"/>
                <w:szCs w:val="22"/>
              </w:rPr>
            </w:pPr>
            <w:r w:rsidRPr="002E29E3">
              <w:rPr>
                <w:rFonts w:cs="Arial"/>
                <w:szCs w:val="22"/>
              </w:rPr>
              <w:t>13,3</w:t>
            </w:r>
          </w:p>
        </w:tc>
        <w:tc>
          <w:tcPr>
            <w:tcW w:w="1735" w:type="dxa"/>
            <w:tcBorders>
              <w:top w:val="single" w:sz="4" w:space="0" w:color="auto"/>
              <w:left w:val="nil"/>
              <w:bottom w:val="single" w:sz="4" w:space="0" w:color="auto"/>
              <w:right w:val="single" w:sz="4" w:space="0" w:color="auto"/>
            </w:tcBorders>
            <w:vAlign w:val="center"/>
          </w:tcPr>
          <w:p w:rsidR="003D5A9B" w:rsidRPr="002E29E3" w:rsidRDefault="00264141" w:rsidP="00EA64C7">
            <w:pPr>
              <w:spacing w:before="60" w:after="40" w:line="240" w:lineRule="auto"/>
              <w:jc w:val="center"/>
              <w:rPr>
                <w:rFonts w:cs="Arial"/>
                <w:szCs w:val="22"/>
              </w:rPr>
            </w:pPr>
            <w:r w:rsidRPr="002E29E3">
              <w:rPr>
                <w:rFonts w:cs="Arial"/>
                <w:szCs w:val="22"/>
              </w:rPr>
              <w:t>6,5</w:t>
            </w:r>
          </w:p>
        </w:tc>
      </w:tr>
      <w:tr w:rsidR="003D5A9B" w:rsidRPr="002E29E3" w:rsidTr="001D5114">
        <w:trPr>
          <w:trHeight w:val="252"/>
          <w:jc w:val="center"/>
        </w:trPr>
        <w:tc>
          <w:tcPr>
            <w:tcW w:w="49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3D5A9B" w:rsidRPr="002E29E3" w:rsidRDefault="003D5A9B" w:rsidP="00EA64C7">
            <w:pPr>
              <w:spacing w:before="60" w:after="40" w:line="240" w:lineRule="auto"/>
              <w:jc w:val="left"/>
              <w:rPr>
                <w:rFonts w:cs="Arial"/>
                <w:b/>
                <w:color w:val="000000"/>
                <w:szCs w:val="22"/>
              </w:rPr>
            </w:pPr>
            <w:r w:rsidRPr="002E29E3">
              <w:rPr>
                <w:rFonts w:cs="Arial"/>
                <w:b/>
                <w:color w:val="000000"/>
                <w:szCs w:val="22"/>
              </w:rPr>
              <w:t>Total</w:t>
            </w:r>
          </w:p>
        </w:tc>
        <w:tc>
          <w:tcPr>
            <w:tcW w:w="1353" w:type="dxa"/>
            <w:tcBorders>
              <w:top w:val="single" w:sz="4" w:space="0" w:color="auto"/>
              <w:left w:val="nil"/>
              <w:bottom w:val="single" w:sz="4" w:space="0" w:color="auto"/>
              <w:right w:val="single" w:sz="4" w:space="0" w:color="auto"/>
            </w:tcBorders>
            <w:shd w:val="clear" w:color="auto" w:fill="auto"/>
            <w:noWrap/>
            <w:vAlign w:val="center"/>
          </w:tcPr>
          <w:p w:rsidR="003D5A9B" w:rsidRPr="002E29E3" w:rsidRDefault="003D5A9B" w:rsidP="00EA64C7">
            <w:pPr>
              <w:spacing w:before="60" w:after="40" w:line="240" w:lineRule="auto"/>
              <w:jc w:val="center"/>
              <w:rPr>
                <w:rFonts w:cs="Arial"/>
                <w:b/>
                <w:szCs w:val="22"/>
              </w:rPr>
            </w:pPr>
            <w:r w:rsidRPr="002E29E3">
              <w:rPr>
                <w:rFonts w:cs="Arial"/>
                <w:b/>
                <w:szCs w:val="22"/>
              </w:rPr>
              <w:t>2</w:t>
            </w:r>
            <w:r w:rsidR="00264141" w:rsidRPr="002E29E3">
              <w:rPr>
                <w:rFonts w:cs="Arial"/>
                <w:b/>
                <w:szCs w:val="22"/>
              </w:rPr>
              <w:t>03</w:t>
            </w:r>
            <w:r w:rsidRPr="002E29E3">
              <w:rPr>
                <w:rFonts w:cs="Arial"/>
                <w:b/>
                <w:szCs w:val="22"/>
              </w:rPr>
              <w:t>,</w:t>
            </w:r>
            <w:r w:rsidR="00264141" w:rsidRPr="002E29E3">
              <w:rPr>
                <w:rFonts w:cs="Arial"/>
                <w:b/>
                <w:szCs w:val="22"/>
              </w:rPr>
              <w:t>2</w:t>
            </w:r>
          </w:p>
        </w:tc>
        <w:tc>
          <w:tcPr>
            <w:tcW w:w="1735" w:type="dxa"/>
            <w:tcBorders>
              <w:top w:val="single" w:sz="4" w:space="0" w:color="auto"/>
              <w:left w:val="nil"/>
              <w:bottom w:val="single" w:sz="4" w:space="0" w:color="auto"/>
              <w:right w:val="single" w:sz="4" w:space="0" w:color="auto"/>
            </w:tcBorders>
            <w:vAlign w:val="center"/>
          </w:tcPr>
          <w:p w:rsidR="003D5A9B" w:rsidRPr="002E29E3" w:rsidRDefault="003D5A9B" w:rsidP="00EA64C7">
            <w:pPr>
              <w:spacing w:before="60" w:after="40" w:line="240" w:lineRule="auto"/>
              <w:jc w:val="center"/>
              <w:rPr>
                <w:rFonts w:cs="Arial"/>
                <w:b/>
                <w:szCs w:val="22"/>
              </w:rPr>
            </w:pPr>
            <w:r w:rsidRPr="002E29E3">
              <w:rPr>
                <w:rFonts w:cs="Arial"/>
                <w:b/>
                <w:szCs w:val="22"/>
              </w:rPr>
              <w:t>100</w:t>
            </w:r>
          </w:p>
        </w:tc>
      </w:tr>
    </w:tbl>
    <w:p w:rsidR="001D5114" w:rsidRDefault="001D5114" w:rsidP="003D5A9B">
      <w:pPr>
        <w:spacing w:before="120" w:after="120" w:line="240" w:lineRule="auto"/>
        <w:rPr>
          <w:rFonts w:cs="Arial"/>
        </w:rPr>
      </w:pPr>
    </w:p>
    <w:p w:rsidR="003D5A9B" w:rsidRDefault="003D5A9B" w:rsidP="003D5A9B">
      <w:pPr>
        <w:spacing w:before="120" w:after="120" w:line="240" w:lineRule="auto"/>
        <w:rPr>
          <w:rFonts w:cs="Arial"/>
        </w:rPr>
      </w:pPr>
      <w:r w:rsidRPr="000E53E9">
        <w:rPr>
          <w:rFonts w:cs="Arial"/>
        </w:rPr>
        <w:t>Assim, para a imp</w:t>
      </w:r>
      <w:r w:rsidR="00A94986">
        <w:rPr>
          <w:rFonts w:cs="Arial"/>
        </w:rPr>
        <w:t xml:space="preserve">lantação da barragem </w:t>
      </w:r>
      <w:r w:rsidRPr="000E53E9">
        <w:rPr>
          <w:rFonts w:cs="Arial"/>
        </w:rPr>
        <w:t>Pedreira será necess</w:t>
      </w:r>
      <w:r w:rsidRPr="00EA64C7">
        <w:rPr>
          <w:rFonts w:cs="Arial"/>
        </w:rPr>
        <w:t xml:space="preserve">ária a supressão de </w:t>
      </w:r>
      <w:r w:rsidR="00264141" w:rsidRPr="00EA64C7">
        <w:rPr>
          <w:rFonts w:cs="Arial"/>
        </w:rPr>
        <w:t>9</w:t>
      </w:r>
      <w:r w:rsidR="00471A8B">
        <w:rPr>
          <w:rFonts w:cs="Arial"/>
        </w:rPr>
        <w:t>3</w:t>
      </w:r>
      <w:r w:rsidRPr="00EA64C7">
        <w:rPr>
          <w:rFonts w:cs="Arial"/>
        </w:rPr>
        <w:t>,</w:t>
      </w:r>
      <w:r w:rsidR="00264141" w:rsidRPr="00EA64C7">
        <w:rPr>
          <w:rFonts w:cs="Arial"/>
        </w:rPr>
        <w:t>0</w:t>
      </w:r>
      <w:r w:rsidRPr="00EA64C7">
        <w:rPr>
          <w:rFonts w:cs="Arial"/>
        </w:rPr>
        <w:t xml:space="preserve"> ha de Floresta Estacional Semidecidual (FES) em estágio inicial do processo de sucessão secundária. Deste total </w:t>
      </w:r>
      <w:r w:rsidR="00264141" w:rsidRPr="00EA64C7">
        <w:rPr>
          <w:rFonts w:cs="Arial"/>
        </w:rPr>
        <w:t>32,7,</w:t>
      </w:r>
      <w:r w:rsidRPr="00EA64C7">
        <w:rPr>
          <w:rFonts w:cs="Arial"/>
        </w:rPr>
        <w:t>ha são de formações ribeirinhas, e 3</w:t>
      </w:r>
      <w:r w:rsidR="00264141" w:rsidRPr="00EA64C7">
        <w:rPr>
          <w:rFonts w:cs="Arial"/>
        </w:rPr>
        <w:t>2</w:t>
      </w:r>
      <w:r w:rsidRPr="00EA64C7">
        <w:rPr>
          <w:rFonts w:cs="Arial"/>
        </w:rPr>
        <w:t>,</w:t>
      </w:r>
      <w:r w:rsidR="00264141" w:rsidRPr="00EA64C7">
        <w:rPr>
          <w:rFonts w:cs="Arial"/>
        </w:rPr>
        <w:t>1</w:t>
      </w:r>
      <w:r w:rsidRPr="00EA64C7">
        <w:rPr>
          <w:rFonts w:cs="Arial"/>
        </w:rPr>
        <w:t xml:space="preserve"> ha de formações cujo dossel é formado por eucalipto. O restante, </w:t>
      </w:r>
      <w:r w:rsidR="00264141" w:rsidRPr="00EA64C7">
        <w:rPr>
          <w:rFonts w:cs="Arial"/>
        </w:rPr>
        <w:t>29</w:t>
      </w:r>
      <w:r w:rsidRPr="00EA64C7">
        <w:rPr>
          <w:rFonts w:cs="Arial"/>
        </w:rPr>
        <w:t>,</w:t>
      </w:r>
      <w:r w:rsidR="00264141" w:rsidRPr="00EA64C7">
        <w:rPr>
          <w:rFonts w:cs="Arial"/>
        </w:rPr>
        <w:t>2</w:t>
      </w:r>
      <w:r w:rsidRPr="00EA64C7">
        <w:rPr>
          <w:rFonts w:cs="Arial"/>
        </w:rPr>
        <w:t xml:space="preserve"> ha são formações que se desenvolvem nos interflúvios, sem influência direta dos cursos d’água.</w:t>
      </w:r>
    </w:p>
    <w:p w:rsidR="001D5114" w:rsidRDefault="001D5114" w:rsidP="003D5A9B">
      <w:pPr>
        <w:spacing w:before="120" w:after="120" w:line="240" w:lineRule="auto"/>
        <w:rPr>
          <w:rFonts w:cs="Arial"/>
        </w:rPr>
      </w:pPr>
      <w:r>
        <w:rPr>
          <w:rFonts w:cs="Arial"/>
        </w:rPr>
        <w:br w:type="page"/>
      </w:r>
    </w:p>
    <w:p w:rsidR="001D5114" w:rsidRDefault="001D5114" w:rsidP="003D5A9B">
      <w:pPr>
        <w:spacing w:before="120" w:after="120" w:line="240" w:lineRule="auto"/>
        <w:rPr>
          <w:rFonts w:cs="Arial"/>
        </w:rPr>
      </w:pPr>
    </w:p>
    <w:p w:rsidR="003D5A9B" w:rsidRDefault="00EF6B5D" w:rsidP="00B04DAB">
      <w:pPr>
        <w:pStyle w:val="Legenda"/>
        <w:spacing w:before="0" w:after="0" w:line="240" w:lineRule="auto"/>
        <w:jc w:val="center"/>
        <w:rPr>
          <w:b w:val="0"/>
          <w:i w:val="0"/>
        </w:rPr>
      </w:pPr>
      <w:r w:rsidRPr="00EF6B5D">
        <w:rPr>
          <w:i w:val="0"/>
        </w:rPr>
        <w:t>Quadro 3.4.</w:t>
      </w:r>
      <w:r w:rsidR="00B80A05" w:rsidRPr="00EF6B5D">
        <w:rPr>
          <w:i w:val="0"/>
        </w:rPr>
        <w:fldChar w:fldCharType="begin"/>
      </w:r>
      <w:r w:rsidRPr="00EF6B5D">
        <w:rPr>
          <w:i w:val="0"/>
        </w:rPr>
        <w:instrText xml:space="preserve"> SEQ Quadro_3.4. \* ARABIC </w:instrText>
      </w:r>
      <w:r w:rsidR="00B80A05" w:rsidRPr="00EF6B5D">
        <w:rPr>
          <w:i w:val="0"/>
        </w:rPr>
        <w:fldChar w:fldCharType="separate"/>
      </w:r>
      <w:r w:rsidR="00316060">
        <w:rPr>
          <w:i w:val="0"/>
          <w:noProof/>
        </w:rPr>
        <w:t>9</w:t>
      </w:r>
      <w:r w:rsidR="00B80A05" w:rsidRPr="00EF6B5D">
        <w:rPr>
          <w:i w:val="0"/>
        </w:rPr>
        <w:fldChar w:fldCharType="end"/>
      </w:r>
      <w:r w:rsidRPr="00EF6B5D">
        <w:rPr>
          <w:i w:val="0"/>
        </w:rPr>
        <w:t>.</w:t>
      </w:r>
      <w:r w:rsidRPr="00EF6B5D">
        <w:rPr>
          <w:b w:val="0"/>
          <w:i w:val="0"/>
        </w:rPr>
        <w:t xml:space="preserve"> - </w:t>
      </w:r>
      <w:r w:rsidR="00264141" w:rsidRPr="00EF6B5D">
        <w:rPr>
          <w:b w:val="0"/>
          <w:i w:val="0"/>
        </w:rPr>
        <w:t>Quantitativos das diferentes fitofisionomias existentes serem suprimidas para a implantação do empreendimento - Barragem Duas Pontes.</w:t>
      </w:r>
    </w:p>
    <w:tbl>
      <w:tblPr>
        <w:tblW w:w="7305" w:type="dxa"/>
        <w:jc w:val="center"/>
        <w:tblInd w:w="-651" w:type="dxa"/>
        <w:tblLook w:val="04A0" w:firstRow="1" w:lastRow="0" w:firstColumn="1" w:lastColumn="0" w:noHBand="0" w:noVBand="1"/>
      </w:tblPr>
      <w:tblGrid>
        <w:gridCol w:w="4220"/>
        <w:gridCol w:w="1301"/>
        <w:gridCol w:w="1784"/>
      </w:tblGrid>
      <w:tr w:rsidR="003D5A9B" w:rsidRPr="00EF6B5D" w:rsidTr="004C5482">
        <w:trPr>
          <w:trHeight w:val="504"/>
          <w:tblHeader/>
          <w:jc w:val="center"/>
        </w:trPr>
        <w:tc>
          <w:tcPr>
            <w:tcW w:w="4220"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3D5A9B" w:rsidRPr="00EF6B5D" w:rsidRDefault="003D5A9B" w:rsidP="004C5482">
            <w:pPr>
              <w:spacing w:line="240" w:lineRule="auto"/>
              <w:jc w:val="center"/>
              <w:rPr>
                <w:rFonts w:cs="Arial"/>
                <w:b/>
                <w:bCs/>
                <w:color w:val="000000"/>
                <w:szCs w:val="22"/>
              </w:rPr>
            </w:pPr>
            <w:r w:rsidRPr="00EF6B5D">
              <w:rPr>
                <w:rFonts w:cs="Arial"/>
                <w:b/>
                <w:bCs/>
                <w:color w:val="000000"/>
                <w:szCs w:val="22"/>
              </w:rPr>
              <w:t xml:space="preserve">Fitofisionomias </w:t>
            </w:r>
          </w:p>
        </w:tc>
        <w:tc>
          <w:tcPr>
            <w:tcW w:w="1301" w:type="dxa"/>
            <w:tcBorders>
              <w:top w:val="single" w:sz="4" w:space="0" w:color="auto"/>
              <w:left w:val="nil"/>
              <w:bottom w:val="single" w:sz="4" w:space="0" w:color="auto"/>
              <w:right w:val="single" w:sz="4" w:space="0" w:color="auto"/>
            </w:tcBorders>
            <w:shd w:val="clear" w:color="000000" w:fill="C0C0C0"/>
            <w:noWrap/>
            <w:vAlign w:val="center"/>
            <w:hideMark/>
          </w:tcPr>
          <w:p w:rsidR="003D5A9B" w:rsidRPr="00EF6B5D" w:rsidRDefault="003D5A9B" w:rsidP="003D5A9B">
            <w:pPr>
              <w:spacing w:line="240" w:lineRule="auto"/>
              <w:jc w:val="center"/>
              <w:rPr>
                <w:rFonts w:cs="Arial"/>
                <w:b/>
                <w:bCs/>
                <w:color w:val="000000"/>
                <w:szCs w:val="22"/>
              </w:rPr>
            </w:pPr>
            <w:r w:rsidRPr="00EF6B5D">
              <w:rPr>
                <w:rFonts w:cs="Arial"/>
                <w:b/>
                <w:bCs/>
                <w:color w:val="000000"/>
                <w:szCs w:val="22"/>
              </w:rPr>
              <w:t>Área (ha)</w:t>
            </w:r>
          </w:p>
        </w:tc>
        <w:tc>
          <w:tcPr>
            <w:tcW w:w="1784" w:type="dxa"/>
            <w:tcBorders>
              <w:top w:val="single" w:sz="4" w:space="0" w:color="auto"/>
              <w:left w:val="nil"/>
              <w:bottom w:val="single" w:sz="4" w:space="0" w:color="auto"/>
              <w:right w:val="single" w:sz="4" w:space="0" w:color="auto"/>
            </w:tcBorders>
            <w:shd w:val="clear" w:color="000000" w:fill="C0C0C0"/>
          </w:tcPr>
          <w:p w:rsidR="003D5A9B" w:rsidRPr="00EF6B5D" w:rsidRDefault="003D5A9B" w:rsidP="003D5A9B">
            <w:pPr>
              <w:spacing w:line="240" w:lineRule="auto"/>
              <w:jc w:val="center"/>
              <w:rPr>
                <w:rFonts w:cs="Arial"/>
                <w:b/>
                <w:bCs/>
                <w:color w:val="000000"/>
                <w:szCs w:val="22"/>
              </w:rPr>
            </w:pPr>
            <w:r w:rsidRPr="00EF6B5D">
              <w:rPr>
                <w:rFonts w:cs="Arial"/>
                <w:b/>
                <w:bCs/>
                <w:color w:val="000000"/>
                <w:szCs w:val="22"/>
              </w:rPr>
              <w:t>Área Relativa (%)</w:t>
            </w:r>
          </w:p>
        </w:tc>
      </w:tr>
      <w:tr w:rsidR="003D5A9B" w:rsidRPr="002E29E3" w:rsidTr="00EA64C7">
        <w:trPr>
          <w:trHeight w:val="269"/>
          <w:jc w:val="center"/>
        </w:trPr>
        <w:tc>
          <w:tcPr>
            <w:tcW w:w="4220" w:type="dxa"/>
            <w:tcBorders>
              <w:top w:val="nil"/>
              <w:left w:val="single" w:sz="4" w:space="0" w:color="auto"/>
              <w:bottom w:val="single" w:sz="4" w:space="0" w:color="auto"/>
              <w:right w:val="single" w:sz="4" w:space="0" w:color="auto"/>
            </w:tcBorders>
            <w:shd w:val="clear" w:color="auto" w:fill="auto"/>
            <w:noWrap/>
            <w:vAlign w:val="bottom"/>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Floresta Estacional Avançado</w:t>
            </w:r>
          </w:p>
        </w:tc>
        <w:tc>
          <w:tcPr>
            <w:tcW w:w="1301" w:type="dxa"/>
            <w:tcBorders>
              <w:top w:val="nil"/>
              <w:left w:val="nil"/>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9,5</w:t>
            </w:r>
          </w:p>
        </w:tc>
        <w:tc>
          <w:tcPr>
            <w:tcW w:w="1784" w:type="dxa"/>
            <w:tcBorders>
              <w:top w:val="nil"/>
              <w:left w:val="nil"/>
              <w:bottom w:val="single" w:sz="4" w:space="0" w:color="auto"/>
              <w:right w:val="single" w:sz="4" w:space="0" w:color="auto"/>
            </w:tcBorders>
            <w:vAlign w:val="center"/>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2,</w:t>
            </w:r>
            <w:r w:rsidR="00264141" w:rsidRPr="002E29E3">
              <w:rPr>
                <w:rFonts w:cs="Arial"/>
                <w:color w:val="000000"/>
                <w:szCs w:val="22"/>
              </w:rPr>
              <w:t>1</w:t>
            </w:r>
          </w:p>
        </w:tc>
      </w:tr>
      <w:tr w:rsidR="003D5A9B" w:rsidRPr="002E29E3" w:rsidTr="00EA64C7">
        <w:trPr>
          <w:trHeight w:val="269"/>
          <w:jc w:val="center"/>
        </w:trPr>
        <w:tc>
          <w:tcPr>
            <w:tcW w:w="4220" w:type="dxa"/>
            <w:tcBorders>
              <w:top w:val="nil"/>
              <w:left w:val="single" w:sz="4" w:space="0" w:color="auto"/>
              <w:bottom w:val="single" w:sz="4" w:space="0" w:color="auto"/>
              <w:right w:val="single" w:sz="4" w:space="0" w:color="auto"/>
            </w:tcBorders>
            <w:shd w:val="clear" w:color="auto" w:fill="auto"/>
            <w:noWrap/>
            <w:vAlign w:val="bottom"/>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Floresta Estacional Inicial</w:t>
            </w:r>
          </w:p>
        </w:tc>
        <w:tc>
          <w:tcPr>
            <w:tcW w:w="1301" w:type="dxa"/>
            <w:tcBorders>
              <w:top w:val="nil"/>
              <w:left w:val="nil"/>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1</w:t>
            </w:r>
            <w:r w:rsidR="00264141" w:rsidRPr="002E29E3">
              <w:rPr>
                <w:rFonts w:cs="Arial"/>
                <w:color w:val="000000"/>
                <w:szCs w:val="22"/>
              </w:rPr>
              <w:t>6</w:t>
            </w:r>
            <w:r w:rsidRPr="002E29E3">
              <w:rPr>
                <w:rFonts w:cs="Arial"/>
                <w:color w:val="000000"/>
                <w:szCs w:val="22"/>
              </w:rPr>
              <w:t>,</w:t>
            </w:r>
            <w:r w:rsidR="00264141" w:rsidRPr="002E29E3">
              <w:rPr>
                <w:rFonts w:cs="Arial"/>
                <w:color w:val="000000"/>
                <w:szCs w:val="22"/>
              </w:rPr>
              <w:t>1</w:t>
            </w:r>
          </w:p>
        </w:tc>
        <w:tc>
          <w:tcPr>
            <w:tcW w:w="1784" w:type="dxa"/>
            <w:tcBorders>
              <w:top w:val="nil"/>
              <w:left w:val="nil"/>
              <w:bottom w:val="single" w:sz="4" w:space="0" w:color="auto"/>
              <w:right w:val="single" w:sz="4" w:space="0" w:color="auto"/>
            </w:tcBorders>
            <w:vAlign w:val="center"/>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3,</w:t>
            </w:r>
            <w:r w:rsidR="00264141" w:rsidRPr="002E29E3">
              <w:rPr>
                <w:rFonts w:cs="Arial"/>
                <w:color w:val="000000"/>
                <w:szCs w:val="22"/>
              </w:rPr>
              <w:t>5</w:t>
            </w:r>
          </w:p>
        </w:tc>
      </w:tr>
      <w:tr w:rsidR="003D5A9B" w:rsidRPr="002E29E3" w:rsidTr="00EA64C7">
        <w:trPr>
          <w:trHeight w:val="269"/>
          <w:jc w:val="center"/>
        </w:trPr>
        <w:tc>
          <w:tcPr>
            <w:tcW w:w="4220" w:type="dxa"/>
            <w:tcBorders>
              <w:top w:val="nil"/>
              <w:left w:val="single" w:sz="4" w:space="0" w:color="auto"/>
              <w:bottom w:val="single" w:sz="4" w:space="0" w:color="auto"/>
              <w:right w:val="single" w:sz="4" w:space="0" w:color="auto"/>
            </w:tcBorders>
            <w:shd w:val="clear" w:color="auto" w:fill="auto"/>
            <w:noWrap/>
            <w:vAlign w:val="bottom"/>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 xml:space="preserve">Floresta Estacional Inicial Ribeirinha </w:t>
            </w:r>
          </w:p>
        </w:tc>
        <w:tc>
          <w:tcPr>
            <w:tcW w:w="1301" w:type="dxa"/>
            <w:tcBorders>
              <w:top w:val="nil"/>
              <w:left w:val="nil"/>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13,4</w:t>
            </w:r>
          </w:p>
        </w:tc>
        <w:tc>
          <w:tcPr>
            <w:tcW w:w="1784" w:type="dxa"/>
            <w:tcBorders>
              <w:top w:val="nil"/>
              <w:left w:val="nil"/>
              <w:bottom w:val="single" w:sz="4" w:space="0" w:color="auto"/>
              <w:right w:val="single" w:sz="4" w:space="0" w:color="auto"/>
            </w:tcBorders>
            <w:vAlign w:val="center"/>
          </w:tcPr>
          <w:p w:rsidR="003D5A9B" w:rsidRPr="002E29E3" w:rsidRDefault="00264141" w:rsidP="00EA64C7">
            <w:pPr>
              <w:spacing w:before="60" w:after="40" w:line="240" w:lineRule="auto"/>
              <w:jc w:val="center"/>
              <w:rPr>
                <w:rFonts w:cs="Arial"/>
                <w:color w:val="000000"/>
                <w:szCs w:val="22"/>
              </w:rPr>
            </w:pPr>
            <w:r w:rsidRPr="002E29E3">
              <w:rPr>
                <w:rFonts w:cs="Arial"/>
                <w:color w:val="000000"/>
                <w:szCs w:val="22"/>
              </w:rPr>
              <w:t>2</w:t>
            </w:r>
            <w:r w:rsidR="003D5A9B" w:rsidRPr="002E29E3">
              <w:rPr>
                <w:rFonts w:cs="Arial"/>
                <w:color w:val="000000"/>
                <w:szCs w:val="22"/>
              </w:rPr>
              <w:t>,</w:t>
            </w:r>
            <w:r w:rsidRPr="002E29E3">
              <w:rPr>
                <w:rFonts w:cs="Arial"/>
                <w:color w:val="000000"/>
                <w:szCs w:val="22"/>
              </w:rPr>
              <w:t>9</w:t>
            </w:r>
          </w:p>
        </w:tc>
      </w:tr>
      <w:tr w:rsidR="003D5A9B" w:rsidRPr="002E29E3" w:rsidTr="00EA64C7">
        <w:trPr>
          <w:trHeight w:val="269"/>
          <w:jc w:val="center"/>
        </w:trPr>
        <w:tc>
          <w:tcPr>
            <w:tcW w:w="4220" w:type="dxa"/>
            <w:tcBorders>
              <w:top w:val="nil"/>
              <w:left w:val="single" w:sz="4" w:space="0" w:color="auto"/>
              <w:bottom w:val="single" w:sz="4" w:space="0" w:color="auto"/>
              <w:right w:val="single" w:sz="4" w:space="0" w:color="auto"/>
            </w:tcBorders>
            <w:shd w:val="clear" w:color="auto" w:fill="auto"/>
            <w:noWrap/>
            <w:vAlign w:val="bottom"/>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Floresta Estacional Médio</w:t>
            </w:r>
          </w:p>
        </w:tc>
        <w:tc>
          <w:tcPr>
            <w:tcW w:w="1301" w:type="dxa"/>
            <w:tcBorders>
              <w:top w:val="nil"/>
              <w:left w:val="nil"/>
              <w:bottom w:val="single" w:sz="4" w:space="0" w:color="auto"/>
              <w:right w:val="single" w:sz="4" w:space="0" w:color="auto"/>
            </w:tcBorders>
            <w:shd w:val="clear" w:color="auto" w:fill="auto"/>
            <w:noWrap/>
            <w:vAlign w:val="center"/>
            <w:hideMark/>
          </w:tcPr>
          <w:p w:rsidR="003D5A9B" w:rsidRPr="002E29E3" w:rsidRDefault="00264141" w:rsidP="00EA64C7">
            <w:pPr>
              <w:spacing w:before="60" w:after="40" w:line="240" w:lineRule="auto"/>
              <w:jc w:val="center"/>
              <w:rPr>
                <w:rFonts w:cs="Arial"/>
                <w:color w:val="000000"/>
                <w:szCs w:val="22"/>
              </w:rPr>
            </w:pPr>
            <w:r w:rsidRPr="002E29E3">
              <w:rPr>
                <w:rFonts w:cs="Arial"/>
                <w:color w:val="000000"/>
                <w:szCs w:val="22"/>
              </w:rPr>
              <w:t>40</w:t>
            </w:r>
            <w:r w:rsidR="003D5A9B" w:rsidRPr="002E29E3">
              <w:rPr>
                <w:rFonts w:cs="Arial"/>
                <w:color w:val="000000"/>
                <w:szCs w:val="22"/>
              </w:rPr>
              <w:t>,</w:t>
            </w:r>
            <w:r w:rsidRPr="002E29E3">
              <w:rPr>
                <w:rFonts w:cs="Arial"/>
                <w:color w:val="000000"/>
                <w:szCs w:val="22"/>
              </w:rPr>
              <w:t>0</w:t>
            </w:r>
          </w:p>
        </w:tc>
        <w:tc>
          <w:tcPr>
            <w:tcW w:w="1784" w:type="dxa"/>
            <w:tcBorders>
              <w:top w:val="nil"/>
              <w:left w:val="nil"/>
              <w:bottom w:val="single" w:sz="4" w:space="0" w:color="auto"/>
              <w:right w:val="single" w:sz="4" w:space="0" w:color="auto"/>
            </w:tcBorders>
            <w:vAlign w:val="center"/>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8,</w:t>
            </w:r>
            <w:r w:rsidR="00264141" w:rsidRPr="002E29E3">
              <w:rPr>
                <w:rFonts w:cs="Arial"/>
                <w:color w:val="000000"/>
                <w:szCs w:val="22"/>
              </w:rPr>
              <w:t>8</w:t>
            </w:r>
          </w:p>
        </w:tc>
      </w:tr>
      <w:tr w:rsidR="003D5A9B" w:rsidRPr="002E29E3" w:rsidTr="00EA64C7">
        <w:trPr>
          <w:trHeight w:val="269"/>
          <w:jc w:val="center"/>
        </w:trPr>
        <w:tc>
          <w:tcPr>
            <w:tcW w:w="4220" w:type="dxa"/>
            <w:tcBorders>
              <w:top w:val="nil"/>
              <w:left w:val="single" w:sz="4" w:space="0" w:color="auto"/>
              <w:bottom w:val="single" w:sz="4" w:space="0" w:color="auto"/>
              <w:right w:val="single" w:sz="4" w:space="0" w:color="auto"/>
            </w:tcBorders>
            <w:shd w:val="clear" w:color="auto" w:fill="auto"/>
            <w:noWrap/>
            <w:vAlign w:val="bottom"/>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 xml:space="preserve">Floresta Estacional Médio Ribeirinha </w:t>
            </w:r>
          </w:p>
        </w:tc>
        <w:tc>
          <w:tcPr>
            <w:tcW w:w="1301" w:type="dxa"/>
            <w:tcBorders>
              <w:top w:val="nil"/>
              <w:left w:val="nil"/>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14,4</w:t>
            </w:r>
          </w:p>
        </w:tc>
        <w:tc>
          <w:tcPr>
            <w:tcW w:w="1784" w:type="dxa"/>
            <w:tcBorders>
              <w:top w:val="nil"/>
              <w:left w:val="nil"/>
              <w:bottom w:val="single" w:sz="4" w:space="0" w:color="auto"/>
              <w:right w:val="single" w:sz="4" w:space="0" w:color="auto"/>
            </w:tcBorders>
            <w:vAlign w:val="center"/>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3,</w:t>
            </w:r>
            <w:r w:rsidR="00264141" w:rsidRPr="002E29E3">
              <w:rPr>
                <w:rFonts w:cs="Arial"/>
                <w:color w:val="000000"/>
                <w:szCs w:val="22"/>
              </w:rPr>
              <w:t>1</w:t>
            </w:r>
          </w:p>
        </w:tc>
      </w:tr>
      <w:tr w:rsidR="003D5A9B" w:rsidRPr="002E29E3" w:rsidTr="00EA64C7">
        <w:trPr>
          <w:trHeight w:val="269"/>
          <w:jc w:val="center"/>
        </w:trPr>
        <w:tc>
          <w:tcPr>
            <w:tcW w:w="4220" w:type="dxa"/>
            <w:tcBorders>
              <w:top w:val="nil"/>
              <w:left w:val="single" w:sz="4" w:space="0" w:color="auto"/>
              <w:bottom w:val="single" w:sz="4" w:space="0" w:color="auto"/>
              <w:right w:val="single" w:sz="4" w:space="0" w:color="auto"/>
            </w:tcBorders>
            <w:shd w:val="clear" w:color="auto" w:fill="auto"/>
            <w:noWrap/>
            <w:vAlign w:val="bottom"/>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 xml:space="preserve">Vegetação Pioneira </w:t>
            </w:r>
          </w:p>
        </w:tc>
        <w:tc>
          <w:tcPr>
            <w:tcW w:w="1301" w:type="dxa"/>
            <w:tcBorders>
              <w:top w:val="nil"/>
              <w:left w:val="nil"/>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2</w:t>
            </w:r>
            <w:r w:rsidR="00264141" w:rsidRPr="002E29E3">
              <w:rPr>
                <w:rFonts w:cs="Arial"/>
                <w:color w:val="000000"/>
                <w:szCs w:val="22"/>
              </w:rPr>
              <w:t>2</w:t>
            </w:r>
            <w:r w:rsidRPr="002E29E3">
              <w:rPr>
                <w:rFonts w:cs="Arial"/>
                <w:color w:val="000000"/>
                <w:szCs w:val="22"/>
              </w:rPr>
              <w:t>,9</w:t>
            </w:r>
          </w:p>
        </w:tc>
        <w:tc>
          <w:tcPr>
            <w:tcW w:w="1784" w:type="dxa"/>
            <w:tcBorders>
              <w:top w:val="nil"/>
              <w:left w:val="nil"/>
              <w:bottom w:val="single" w:sz="4" w:space="0" w:color="auto"/>
              <w:right w:val="single" w:sz="4" w:space="0" w:color="auto"/>
            </w:tcBorders>
            <w:vAlign w:val="center"/>
          </w:tcPr>
          <w:p w:rsidR="003D5A9B" w:rsidRPr="002E29E3" w:rsidRDefault="00264141" w:rsidP="00EA64C7">
            <w:pPr>
              <w:spacing w:before="60" w:after="40" w:line="240" w:lineRule="auto"/>
              <w:jc w:val="center"/>
              <w:rPr>
                <w:rFonts w:cs="Arial"/>
                <w:color w:val="000000"/>
                <w:szCs w:val="22"/>
              </w:rPr>
            </w:pPr>
            <w:r w:rsidRPr="002E29E3">
              <w:rPr>
                <w:rFonts w:cs="Arial"/>
                <w:color w:val="000000"/>
                <w:szCs w:val="22"/>
              </w:rPr>
              <w:t>5</w:t>
            </w:r>
            <w:r w:rsidR="003D5A9B" w:rsidRPr="002E29E3">
              <w:rPr>
                <w:rFonts w:cs="Arial"/>
                <w:color w:val="000000"/>
                <w:szCs w:val="22"/>
              </w:rPr>
              <w:t>,0</w:t>
            </w:r>
          </w:p>
        </w:tc>
      </w:tr>
      <w:tr w:rsidR="003D5A9B" w:rsidRPr="002E29E3" w:rsidTr="00EA64C7">
        <w:trPr>
          <w:trHeight w:val="269"/>
          <w:jc w:val="center"/>
        </w:trPr>
        <w:tc>
          <w:tcPr>
            <w:tcW w:w="4220" w:type="dxa"/>
            <w:tcBorders>
              <w:top w:val="nil"/>
              <w:left w:val="single" w:sz="4" w:space="0" w:color="auto"/>
              <w:bottom w:val="single" w:sz="4" w:space="0" w:color="auto"/>
              <w:right w:val="single" w:sz="4" w:space="0" w:color="auto"/>
            </w:tcBorders>
            <w:shd w:val="clear" w:color="auto" w:fill="auto"/>
            <w:noWrap/>
            <w:vAlign w:val="bottom"/>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Campo úmido antropizado</w:t>
            </w:r>
          </w:p>
        </w:tc>
        <w:tc>
          <w:tcPr>
            <w:tcW w:w="1301" w:type="dxa"/>
            <w:tcBorders>
              <w:top w:val="nil"/>
              <w:left w:val="nil"/>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28,3</w:t>
            </w:r>
          </w:p>
        </w:tc>
        <w:tc>
          <w:tcPr>
            <w:tcW w:w="1784" w:type="dxa"/>
            <w:tcBorders>
              <w:top w:val="nil"/>
              <w:left w:val="nil"/>
              <w:bottom w:val="single" w:sz="4" w:space="0" w:color="auto"/>
              <w:right w:val="single" w:sz="4" w:space="0" w:color="auto"/>
            </w:tcBorders>
            <w:vAlign w:val="center"/>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6,</w:t>
            </w:r>
            <w:r w:rsidR="00264141" w:rsidRPr="002E29E3">
              <w:rPr>
                <w:rFonts w:cs="Arial"/>
                <w:color w:val="000000"/>
                <w:szCs w:val="22"/>
              </w:rPr>
              <w:t>2</w:t>
            </w:r>
          </w:p>
        </w:tc>
      </w:tr>
      <w:tr w:rsidR="003D5A9B" w:rsidRPr="002E29E3" w:rsidTr="00EA64C7">
        <w:trPr>
          <w:trHeight w:val="269"/>
          <w:jc w:val="center"/>
        </w:trPr>
        <w:tc>
          <w:tcPr>
            <w:tcW w:w="4220" w:type="dxa"/>
            <w:tcBorders>
              <w:top w:val="nil"/>
              <w:left w:val="single" w:sz="4" w:space="0" w:color="auto"/>
              <w:bottom w:val="single" w:sz="4" w:space="0" w:color="auto"/>
              <w:right w:val="single" w:sz="4" w:space="0" w:color="auto"/>
            </w:tcBorders>
            <w:shd w:val="clear" w:color="auto" w:fill="auto"/>
            <w:noWrap/>
            <w:vAlign w:val="bottom"/>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Cana</w:t>
            </w:r>
          </w:p>
        </w:tc>
        <w:tc>
          <w:tcPr>
            <w:tcW w:w="1301" w:type="dxa"/>
            <w:tcBorders>
              <w:top w:val="nil"/>
              <w:left w:val="nil"/>
              <w:bottom w:val="single" w:sz="4" w:space="0" w:color="auto"/>
              <w:right w:val="single" w:sz="4" w:space="0" w:color="auto"/>
            </w:tcBorders>
            <w:shd w:val="clear" w:color="auto" w:fill="auto"/>
            <w:noWrap/>
            <w:vAlign w:val="center"/>
            <w:hideMark/>
          </w:tcPr>
          <w:p w:rsidR="003D5A9B" w:rsidRPr="002E29E3" w:rsidRDefault="00264141" w:rsidP="00EA64C7">
            <w:pPr>
              <w:spacing w:before="60" w:after="40" w:line="240" w:lineRule="auto"/>
              <w:jc w:val="center"/>
              <w:rPr>
                <w:rFonts w:cs="Arial"/>
                <w:color w:val="000000"/>
                <w:szCs w:val="22"/>
              </w:rPr>
            </w:pPr>
            <w:r w:rsidRPr="002E29E3">
              <w:rPr>
                <w:rFonts w:cs="Arial"/>
                <w:color w:val="000000"/>
                <w:szCs w:val="22"/>
              </w:rPr>
              <w:t>74</w:t>
            </w:r>
            <w:r w:rsidR="003D5A9B" w:rsidRPr="002E29E3">
              <w:rPr>
                <w:rFonts w:cs="Arial"/>
                <w:color w:val="000000"/>
                <w:szCs w:val="22"/>
              </w:rPr>
              <w:t>,1</w:t>
            </w:r>
          </w:p>
        </w:tc>
        <w:tc>
          <w:tcPr>
            <w:tcW w:w="1784" w:type="dxa"/>
            <w:tcBorders>
              <w:top w:val="nil"/>
              <w:left w:val="nil"/>
              <w:bottom w:val="single" w:sz="4" w:space="0" w:color="auto"/>
              <w:right w:val="single" w:sz="4" w:space="0" w:color="auto"/>
            </w:tcBorders>
            <w:vAlign w:val="center"/>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1</w:t>
            </w:r>
            <w:r w:rsidR="00264141" w:rsidRPr="002E29E3">
              <w:rPr>
                <w:rFonts w:cs="Arial"/>
                <w:color w:val="000000"/>
                <w:szCs w:val="22"/>
              </w:rPr>
              <w:t>6</w:t>
            </w:r>
            <w:r w:rsidRPr="002E29E3">
              <w:rPr>
                <w:rFonts w:cs="Arial"/>
                <w:color w:val="000000"/>
                <w:szCs w:val="22"/>
              </w:rPr>
              <w:t>,</w:t>
            </w:r>
            <w:r w:rsidR="00264141" w:rsidRPr="002E29E3">
              <w:rPr>
                <w:rFonts w:cs="Arial"/>
                <w:color w:val="000000"/>
                <w:szCs w:val="22"/>
              </w:rPr>
              <w:t>2</w:t>
            </w:r>
          </w:p>
        </w:tc>
      </w:tr>
      <w:tr w:rsidR="003D5A9B" w:rsidRPr="002E29E3" w:rsidTr="00EA64C7">
        <w:trPr>
          <w:trHeight w:val="269"/>
          <w:jc w:val="center"/>
        </w:trPr>
        <w:tc>
          <w:tcPr>
            <w:tcW w:w="4220" w:type="dxa"/>
            <w:tcBorders>
              <w:top w:val="nil"/>
              <w:left w:val="single" w:sz="4" w:space="0" w:color="auto"/>
              <w:bottom w:val="single" w:sz="4" w:space="0" w:color="auto"/>
              <w:right w:val="single" w:sz="4" w:space="0" w:color="auto"/>
            </w:tcBorders>
            <w:shd w:val="clear" w:color="auto" w:fill="auto"/>
            <w:noWrap/>
            <w:vAlign w:val="bottom"/>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Cultivo</w:t>
            </w:r>
          </w:p>
        </w:tc>
        <w:tc>
          <w:tcPr>
            <w:tcW w:w="1301" w:type="dxa"/>
            <w:tcBorders>
              <w:top w:val="nil"/>
              <w:left w:val="nil"/>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9,0</w:t>
            </w:r>
          </w:p>
        </w:tc>
        <w:tc>
          <w:tcPr>
            <w:tcW w:w="1784" w:type="dxa"/>
            <w:tcBorders>
              <w:top w:val="nil"/>
              <w:left w:val="nil"/>
              <w:bottom w:val="single" w:sz="4" w:space="0" w:color="auto"/>
              <w:right w:val="single" w:sz="4" w:space="0" w:color="auto"/>
            </w:tcBorders>
            <w:vAlign w:val="center"/>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2,</w:t>
            </w:r>
            <w:r w:rsidR="00264141" w:rsidRPr="002E29E3">
              <w:rPr>
                <w:rFonts w:cs="Arial"/>
                <w:color w:val="000000"/>
                <w:szCs w:val="22"/>
              </w:rPr>
              <w:t>0</w:t>
            </w:r>
          </w:p>
        </w:tc>
      </w:tr>
      <w:tr w:rsidR="003D5A9B" w:rsidRPr="002E29E3" w:rsidTr="00EA64C7">
        <w:trPr>
          <w:trHeight w:val="269"/>
          <w:jc w:val="center"/>
        </w:trPr>
        <w:tc>
          <w:tcPr>
            <w:tcW w:w="4220" w:type="dxa"/>
            <w:tcBorders>
              <w:top w:val="single" w:sz="4" w:space="0" w:color="auto"/>
              <w:left w:val="single" w:sz="4" w:space="0" w:color="auto"/>
              <w:bottom w:val="nil"/>
              <w:right w:val="single" w:sz="4" w:space="0" w:color="auto"/>
            </w:tcBorders>
            <w:shd w:val="clear" w:color="auto" w:fill="auto"/>
            <w:noWrap/>
            <w:vAlign w:val="center"/>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Pasto/Pasto Sujo</w:t>
            </w:r>
          </w:p>
        </w:tc>
        <w:tc>
          <w:tcPr>
            <w:tcW w:w="1301" w:type="dxa"/>
            <w:tcBorders>
              <w:top w:val="nil"/>
              <w:left w:val="nil"/>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21</w:t>
            </w:r>
            <w:r w:rsidR="00264141" w:rsidRPr="002E29E3">
              <w:rPr>
                <w:rFonts w:cs="Arial"/>
                <w:color w:val="000000"/>
                <w:szCs w:val="22"/>
              </w:rPr>
              <w:t>6</w:t>
            </w:r>
            <w:r w:rsidRPr="002E29E3">
              <w:rPr>
                <w:rFonts w:cs="Arial"/>
                <w:color w:val="000000"/>
                <w:szCs w:val="22"/>
              </w:rPr>
              <w:t>,</w:t>
            </w:r>
            <w:r w:rsidR="00264141" w:rsidRPr="002E29E3">
              <w:rPr>
                <w:rFonts w:cs="Arial"/>
                <w:color w:val="000000"/>
                <w:szCs w:val="22"/>
              </w:rPr>
              <w:t>5</w:t>
            </w:r>
          </w:p>
        </w:tc>
        <w:tc>
          <w:tcPr>
            <w:tcW w:w="1784" w:type="dxa"/>
            <w:tcBorders>
              <w:top w:val="nil"/>
              <w:left w:val="nil"/>
              <w:bottom w:val="single" w:sz="4" w:space="0" w:color="auto"/>
              <w:right w:val="single" w:sz="4" w:space="0" w:color="auto"/>
            </w:tcBorders>
            <w:vAlign w:val="center"/>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4</w:t>
            </w:r>
            <w:r w:rsidR="00264141" w:rsidRPr="002E29E3">
              <w:rPr>
                <w:rFonts w:cs="Arial"/>
                <w:color w:val="000000"/>
                <w:szCs w:val="22"/>
              </w:rPr>
              <w:t>7</w:t>
            </w:r>
            <w:r w:rsidRPr="002E29E3">
              <w:rPr>
                <w:rFonts w:cs="Arial"/>
                <w:color w:val="000000"/>
                <w:szCs w:val="22"/>
              </w:rPr>
              <w:t>,</w:t>
            </w:r>
            <w:r w:rsidR="00264141" w:rsidRPr="002E29E3">
              <w:rPr>
                <w:rFonts w:cs="Arial"/>
                <w:color w:val="000000"/>
                <w:szCs w:val="22"/>
              </w:rPr>
              <w:t>4</w:t>
            </w:r>
          </w:p>
        </w:tc>
      </w:tr>
      <w:tr w:rsidR="003D5A9B" w:rsidRPr="002E29E3" w:rsidTr="00EA64C7">
        <w:trPr>
          <w:trHeight w:val="269"/>
          <w:jc w:val="center"/>
        </w:trPr>
        <w:tc>
          <w:tcPr>
            <w:tcW w:w="42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Silvicultura</w:t>
            </w:r>
          </w:p>
        </w:tc>
        <w:tc>
          <w:tcPr>
            <w:tcW w:w="1301" w:type="dxa"/>
            <w:tcBorders>
              <w:top w:val="nil"/>
              <w:left w:val="nil"/>
              <w:bottom w:val="single" w:sz="4" w:space="0" w:color="auto"/>
              <w:right w:val="single" w:sz="4" w:space="0" w:color="auto"/>
            </w:tcBorders>
            <w:shd w:val="clear" w:color="auto" w:fill="auto"/>
            <w:noWrap/>
            <w:vAlign w:val="center"/>
            <w:hideMark/>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12,5</w:t>
            </w:r>
          </w:p>
        </w:tc>
        <w:tc>
          <w:tcPr>
            <w:tcW w:w="1784" w:type="dxa"/>
            <w:tcBorders>
              <w:top w:val="nil"/>
              <w:left w:val="nil"/>
              <w:bottom w:val="single" w:sz="4" w:space="0" w:color="auto"/>
              <w:right w:val="single" w:sz="4" w:space="0" w:color="auto"/>
            </w:tcBorders>
            <w:vAlign w:val="center"/>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2,</w:t>
            </w:r>
            <w:r w:rsidR="00264141" w:rsidRPr="002E29E3">
              <w:rPr>
                <w:rFonts w:cs="Arial"/>
                <w:color w:val="000000"/>
                <w:szCs w:val="22"/>
              </w:rPr>
              <w:t>7</w:t>
            </w:r>
          </w:p>
        </w:tc>
      </w:tr>
      <w:tr w:rsidR="003D5A9B" w:rsidRPr="002E29E3" w:rsidTr="00EA64C7">
        <w:trPr>
          <w:trHeight w:val="269"/>
          <w:jc w:val="center"/>
        </w:trPr>
        <w:tc>
          <w:tcPr>
            <w:tcW w:w="422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D5A9B" w:rsidRPr="002E29E3" w:rsidRDefault="003D5A9B" w:rsidP="00EA64C7">
            <w:pPr>
              <w:spacing w:before="60" w:after="40" w:line="240" w:lineRule="auto"/>
              <w:jc w:val="left"/>
              <w:rPr>
                <w:rFonts w:cs="Arial"/>
                <w:color w:val="000000"/>
                <w:szCs w:val="22"/>
              </w:rPr>
            </w:pPr>
            <w:r w:rsidRPr="002E29E3">
              <w:rPr>
                <w:rFonts w:cs="Arial"/>
                <w:color w:val="000000"/>
                <w:szCs w:val="22"/>
              </w:rPr>
              <w:t>Total</w:t>
            </w:r>
          </w:p>
        </w:tc>
        <w:tc>
          <w:tcPr>
            <w:tcW w:w="1301" w:type="dxa"/>
            <w:tcBorders>
              <w:top w:val="single" w:sz="4" w:space="0" w:color="auto"/>
              <w:left w:val="nil"/>
              <w:bottom w:val="single" w:sz="4" w:space="0" w:color="auto"/>
              <w:right w:val="single" w:sz="4" w:space="0" w:color="auto"/>
            </w:tcBorders>
            <w:shd w:val="clear" w:color="auto" w:fill="auto"/>
            <w:noWrap/>
            <w:vAlign w:val="center"/>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4</w:t>
            </w:r>
            <w:r w:rsidR="00CF2F9B" w:rsidRPr="002E29E3">
              <w:rPr>
                <w:rFonts w:cs="Arial"/>
                <w:color w:val="000000"/>
                <w:szCs w:val="22"/>
              </w:rPr>
              <w:t>56</w:t>
            </w:r>
            <w:r w:rsidRPr="002E29E3">
              <w:rPr>
                <w:rFonts w:cs="Arial"/>
                <w:color w:val="000000"/>
                <w:szCs w:val="22"/>
              </w:rPr>
              <w:t>,</w:t>
            </w:r>
            <w:r w:rsidR="00CF2F9B" w:rsidRPr="002E29E3">
              <w:rPr>
                <w:rFonts w:cs="Arial"/>
                <w:color w:val="000000"/>
                <w:szCs w:val="22"/>
              </w:rPr>
              <w:t>6</w:t>
            </w:r>
          </w:p>
        </w:tc>
        <w:tc>
          <w:tcPr>
            <w:tcW w:w="1784" w:type="dxa"/>
            <w:tcBorders>
              <w:top w:val="single" w:sz="4" w:space="0" w:color="auto"/>
              <w:left w:val="nil"/>
              <w:bottom w:val="single" w:sz="4" w:space="0" w:color="auto"/>
              <w:right w:val="single" w:sz="4" w:space="0" w:color="auto"/>
            </w:tcBorders>
            <w:vAlign w:val="center"/>
          </w:tcPr>
          <w:p w:rsidR="003D5A9B" w:rsidRPr="002E29E3" w:rsidRDefault="003D5A9B" w:rsidP="00EA64C7">
            <w:pPr>
              <w:spacing w:before="60" w:after="40" w:line="240" w:lineRule="auto"/>
              <w:jc w:val="center"/>
              <w:rPr>
                <w:rFonts w:cs="Arial"/>
                <w:color w:val="000000"/>
                <w:szCs w:val="22"/>
              </w:rPr>
            </w:pPr>
            <w:r w:rsidRPr="002E29E3">
              <w:rPr>
                <w:rFonts w:cs="Arial"/>
                <w:color w:val="000000"/>
                <w:szCs w:val="22"/>
              </w:rPr>
              <w:t>100</w:t>
            </w:r>
          </w:p>
        </w:tc>
      </w:tr>
    </w:tbl>
    <w:p w:rsidR="003D5A9B" w:rsidRPr="00EA64C7" w:rsidRDefault="008C15C3" w:rsidP="003D5A9B">
      <w:pPr>
        <w:spacing w:before="120" w:after="120" w:line="240" w:lineRule="auto"/>
        <w:rPr>
          <w:rFonts w:cs="Arial"/>
        </w:rPr>
      </w:pPr>
      <w:r w:rsidRPr="00EA64C7">
        <w:rPr>
          <w:rFonts w:cs="Arial"/>
        </w:rPr>
        <w:t xml:space="preserve">Para a barragem </w:t>
      </w:r>
      <w:r w:rsidR="003D5A9B" w:rsidRPr="00EA64C7">
        <w:rPr>
          <w:rFonts w:cs="Arial"/>
        </w:rPr>
        <w:t>Duas Pontes, a implantação não afetará apenas remanescentes de FES em estágio inicial (29,</w:t>
      </w:r>
      <w:r w:rsidR="00CF2F9B" w:rsidRPr="00EA64C7">
        <w:rPr>
          <w:rFonts w:cs="Arial"/>
        </w:rPr>
        <w:t>5</w:t>
      </w:r>
      <w:r w:rsidR="003D5A9B" w:rsidRPr="00EA64C7">
        <w:rPr>
          <w:rFonts w:cs="Arial"/>
        </w:rPr>
        <w:t xml:space="preserve"> ha). Será necessária, também, a supressão de </w:t>
      </w:r>
      <w:r w:rsidR="00CF2F9B" w:rsidRPr="00EA64C7">
        <w:rPr>
          <w:rFonts w:cs="Arial"/>
        </w:rPr>
        <w:t>54</w:t>
      </w:r>
      <w:r w:rsidR="003D5A9B" w:rsidRPr="00EA64C7">
        <w:rPr>
          <w:rFonts w:cs="Arial"/>
        </w:rPr>
        <w:t>,</w:t>
      </w:r>
      <w:r w:rsidR="00CF2F9B" w:rsidRPr="00EA64C7">
        <w:rPr>
          <w:rFonts w:cs="Arial"/>
        </w:rPr>
        <w:t>4</w:t>
      </w:r>
      <w:r w:rsidR="003D5A9B" w:rsidRPr="00EA64C7">
        <w:rPr>
          <w:rFonts w:cs="Arial"/>
        </w:rPr>
        <w:t xml:space="preserve"> ha de formações em estágio médio, dos quais 1</w:t>
      </w:r>
      <w:r w:rsidR="00EA64C7" w:rsidRPr="00EA64C7">
        <w:rPr>
          <w:rFonts w:cs="Arial"/>
        </w:rPr>
        <w:t>4</w:t>
      </w:r>
      <w:r w:rsidR="003D5A9B" w:rsidRPr="00EA64C7">
        <w:rPr>
          <w:rFonts w:cs="Arial"/>
        </w:rPr>
        <w:t>,4 ha são de formações ribeirinhas; e de 9,5 ha de formações nativas em estágio avançado do processo de sucessão secundária.</w:t>
      </w:r>
    </w:p>
    <w:p w:rsidR="003D5A9B" w:rsidRDefault="003D5A9B" w:rsidP="003D5A9B">
      <w:pPr>
        <w:spacing w:before="120" w:after="120" w:line="240" w:lineRule="auto"/>
        <w:rPr>
          <w:rFonts w:cs="Arial"/>
        </w:rPr>
      </w:pPr>
      <w:r>
        <w:rPr>
          <w:rFonts w:cs="Arial"/>
        </w:rPr>
        <w:t xml:space="preserve">Desta forma, dadas </w:t>
      </w:r>
      <w:r w:rsidR="00B04DAB">
        <w:rPr>
          <w:rFonts w:cs="Arial"/>
        </w:rPr>
        <w:t>às</w:t>
      </w:r>
      <w:r>
        <w:rPr>
          <w:rFonts w:cs="Arial"/>
        </w:rPr>
        <w:t xml:space="preserve"> características da cobertu</w:t>
      </w:r>
      <w:r w:rsidR="00263CAA">
        <w:rPr>
          <w:rFonts w:cs="Arial"/>
        </w:rPr>
        <w:t>ra vegetal existente na ADA das</w:t>
      </w:r>
      <w:r>
        <w:rPr>
          <w:rFonts w:cs="Arial"/>
        </w:rPr>
        <w:t xml:space="preserve"> barragens de Pedreira e Duas Pontes será necessária a implementação de ações voltadas ao controle e mitigação dos impactos decorrentes do corte da vegetação, ou seja, dos impactos de: Supressão de Cobertura Vegetal Nativa, Perda de Hábitat para a Fauna Silvestre, Redução da Conectividade entre Remanescentes de Cobertura vegetal Nativa, Aumento dos Efeitos de Fragmentação de Hábitats de Fauna e Afugentamento de Fauna Silvestre. </w:t>
      </w:r>
      <w:r w:rsidR="00263CAA">
        <w:rPr>
          <w:rFonts w:cs="Arial"/>
        </w:rPr>
        <w:t>Parte dessas ações está</w:t>
      </w:r>
      <w:r w:rsidR="00FD7F7F">
        <w:rPr>
          <w:rFonts w:cs="Arial"/>
        </w:rPr>
        <w:t xml:space="preserve"> reunida</w:t>
      </w:r>
      <w:r>
        <w:rPr>
          <w:rFonts w:cs="Arial"/>
        </w:rPr>
        <w:t xml:space="preserve"> no presente Programa de Supressão de Vegetação.</w:t>
      </w:r>
    </w:p>
    <w:p w:rsidR="003D5A9B" w:rsidRPr="0036167C" w:rsidRDefault="003D5A9B" w:rsidP="003D5A9B">
      <w:pPr>
        <w:spacing w:before="120" w:after="120" w:line="240" w:lineRule="auto"/>
        <w:rPr>
          <w:rFonts w:cs="Arial"/>
        </w:rPr>
      </w:pPr>
      <w:r>
        <w:rPr>
          <w:rFonts w:cs="Arial"/>
        </w:rPr>
        <w:t>Neste programa</w:t>
      </w:r>
      <w:r w:rsidRPr="0036167C">
        <w:rPr>
          <w:rFonts w:cs="Arial"/>
        </w:rPr>
        <w:t xml:space="preserve"> </w:t>
      </w:r>
      <w:r>
        <w:rPr>
          <w:rFonts w:cs="Arial"/>
        </w:rPr>
        <w:t>são apresentadas</w:t>
      </w:r>
      <w:r w:rsidRPr="0036167C">
        <w:rPr>
          <w:rFonts w:cs="Arial"/>
        </w:rPr>
        <w:t xml:space="preserve"> as diretrizes e procedimentos para que a supressão de vegetação necessária a </w:t>
      </w:r>
      <w:r>
        <w:rPr>
          <w:rFonts w:cs="Arial"/>
        </w:rPr>
        <w:t>implantação das barragens de Pedreira e Duas Pontes</w:t>
      </w:r>
      <w:r w:rsidRPr="0036167C">
        <w:rPr>
          <w:rFonts w:cs="Arial"/>
        </w:rPr>
        <w:t xml:space="preserve"> seja realizada, resguardando a integridade das formações remanescentes e o resgate de espécimes de flora, reduzindo ao máximo os impactos negativos derivados dessas atividades.</w:t>
      </w:r>
    </w:p>
    <w:p w:rsidR="003D5A9B" w:rsidRPr="0036167C" w:rsidRDefault="003D5A9B" w:rsidP="003D5A9B">
      <w:pPr>
        <w:spacing w:before="120" w:after="120" w:line="240" w:lineRule="auto"/>
        <w:rPr>
          <w:rFonts w:cs="Arial"/>
        </w:rPr>
      </w:pPr>
      <w:r w:rsidRPr="0036167C">
        <w:rPr>
          <w:rFonts w:cs="Arial"/>
        </w:rPr>
        <w:t>Este Programa reúne um conjunto de ações, a ser adotado durante a fase de implantaçã</w:t>
      </w:r>
      <w:r>
        <w:rPr>
          <w:rFonts w:cs="Arial"/>
        </w:rPr>
        <w:t>o do empreendimento, voltadas a</w:t>
      </w:r>
      <w:r w:rsidRPr="0036167C">
        <w:rPr>
          <w:rFonts w:cs="Arial"/>
        </w:rPr>
        <w:t xml:space="preserve"> </w:t>
      </w:r>
      <w:r>
        <w:rPr>
          <w:rFonts w:cs="Arial"/>
        </w:rPr>
        <w:t xml:space="preserve">(1) </w:t>
      </w:r>
      <w:r w:rsidRPr="0036167C">
        <w:rPr>
          <w:rFonts w:cs="Arial"/>
        </w:rPr>
        <w:t>resgatar espécimes da flora de valor ecológico passíveis de reintrodução em áreas de recuperação;</w:t>
      </w:r>
      <w:r>
        <w:rPr>
          <w:rFonts w:cs="Arial"/>
        </w:rPr>
        <w:t xml:space="preserve"> (2)</w:t>
      </w:r>
      <w:r w:rsidRPr="0036167C">
        <w:rPr>
          <w:rFonts w:cs="Arial"/>
        </w:rPr>
        <w:t xml:space="preserve"> garantir que a perda de cobertura vegetal nativa não resulte na perda de indivíduos da fauna; </w:t>
      </w:r>
      <w:r>
        <w:rPr>
          <w:rFonts w:cs="Arial"/>
        </w:rPr>
        <w:t xml:space="preserve">(3) </w:t>
      </w:r>
      <w:r w:rsidRPr="0036167C">
        <w:rPr>
          <w:rFonts w:cs="Arial"/>
        </w:rPr>
        <w:t xml:space="preserve">garantir que supressão fique restrita à área estritamente necessária à implantação do empreendimento; e </w:t>
      </w:r>
      <w:r>
        <w:rPr>
          <w:rFonts w:cs="Arial"/>
        </w:rPr>
        <w:t xml:space="preserve">(4) </w:t>
      </w:r>
      <w:r w:rsidRPr="0036167C">
        <w:rPr>
          <w:rFonts w:cs="Arial"/>
        </w:rPr>
        <w:t>dar o melhor destino à biomassa resultante da supressão</w:t>
      </w:r>
      <w:r>
        <w:rPr>
          <w:rFonts w:cs="Arial"/>
        </w:rPr>
        <w:t xml:space="preserve"> de cobertura vegetal</w:t>
      </w:r>
      <w:r w:rsidRPr="0036167C">
        <w:rPr>
          <w:rFonts w:cs="Arial"/>
        </w:rPr>
        <w:t>.</w:t>
      </w:r>
    </w:p>
    <w:p w:rsidR="003D5A9B" w:rsidRPr="005800A1" w:rsidRDefault="003D5A9B" w:rsidP="00431A97">
      <w:pPr>
        <w:pStyle w:val="Ttulo3"/>
        <w:numPr>
          <w:ilvl w:val="3"/>
          <w:numId w:val="52"/>
        </w:numPr>
        <w:rPr>
          <w:rFonts w:ascii="Arial Negrito" w:hAnsi="Arial Negrito"/>
          <w:bCs/>
        </w:rPr>
      </w:pPr>
      <w:bookmarkStart w:id="1076" w:name="_Toc418758435"/>
      <w:bookmarkStart w:id="1077" w:name="_Toc418759037"/>
      <w:bookmarkStart w:id="1078" w:name="_Toc419813809"/>
      <w:r w:rsidRPr="005800A1">
        <w:rPr>
          <w:rFonts w:ascii="Arial Negrito" w:hAnsi="Arial Negrito"/>
          <w:bCs/>
        </w:rPr>
        <w:t>Objetivos</w:t>
      </w:r>
      <w:bookmarkEnd w:id="1076"/>
      <w:bookmarkEnd w:id="1077"/>
      <w:bookmarkEnd w:id="1078"/>
    </w:p>
    <w:p w:rsidR="003D5A9B" w:rsidRPr="00F820D6" w:rsidRDefault="003D5A9B" w:rsidP="00460820">
      <w:pPr>
        <w:spacing w:before="120" w:after="120" w:line="240" w:lineRule="auto"/>
        <w:rPr>
          <w:rFonts w:cs="Arial"/>
        </w:rPr>
      </w:pPr>
      <w:r w:rsidRPr="00F820D6">
        <w:rPr>
          <w:rFonts w:cs="Arial"/>
        </w:rPr>
        <w:t>O principal objetivo do Programa de Supressão Vegetal é definir as diretrizes para que as atividades de supressão da cobertura vegetal sejam realizadas de forma que não gerem impactos desnecessários à fauna e flora da ADA e adjacências. Os objetivos específicos deste programa são:</w:t>
      </w:r>
    </w:p>
    <w:p w:rsidR="003D5A9B" w:rsidRPr="00F820D6" w:rsidRDefault="003D5A9B" w:rsidP="002E29E3">
      <w:pPr>
        <w:pStyle w:val="Item-Bolinha"/>
      </w:pPr>
      <w:r w:rsidRPr="00F820D6">
        <w:t>Resgatar espécimes da flora, promovendo o salvamento do germoplasma vegetal, de modo que possa ser utilizado nos programas de Revegetação e Enriquecimento Vegetal;</w:t>
      </w:r>
    </w:p>
    <w:p w:rsidR="003D5A9B" w:rsidRPr="00F820D6" w:rsidRDefault="003D5A9B" w:rsidP="002E29E3">
      <w:pPr>
        <w:pStyle w:val="Item-Bolinha"/>
      </w:pPr>
      <w:r w:rsidRPr="00F820D6">
        <w:t>Garantir que a perda de vegetação fique restrita à ADA do empreendimento, resguardando a integridade das formações do entorno do empreendimento;</w:t>
      </w:r>
    </w:p>
    <w:p w:rsidR="003D5A9B" w:rsidRPr="00F820D6" w:rsidRDefault="003D5A9B" w:rsidP="002E29E3">
      <w:pPr>
        <w:pStyle w:val="Item-Bolinha"/>
      </w:pPr>
      <w:r w:rsidRPr="00F820D6">
        <w:t>Evitar a morte de animais silvestres durante a atividade de supressão (ver também Programa de Monitoramento e Conservação da Fauna);</w:t>
      </w:r>
    </w:p>
    <w:p w:rsidR="003D5A9B" w:rsidRPr="00F820D6" w:rsidRDefault="003D5A9B" w:rsidP="002E29E3">
      <w:pPr>
        <w:pStyle w:val="Item-Bolinha"/>
      </w:pPr>
      <w:r w:rsidRPr="00F820D6">
        <w:t>Garantir a melhor destinação para a biomassa resultante da supressão da cobertura vegetal.</w:t>
      </w:r>
    </w:p>
    <w:p w:rsidR="003D5A9B" w:rsidRPr="00317362" w:rsidRDefault="003D5A9B" w:rsidP="00460820">
      <w:pPr>
        <w:spacing w:before="120" w:after="120" w:line="240" w:lineRule="auto"/>
        <w:rPr>
          <w:rFonts w:cs="Arial"/>
        </w:rPr>
      </w:pPr>
      <w:r>
        <w:rPr>
          <w:rFonts w:cs="Arial"/>
        </w:rPr>
        <w:t xml:space="preserve">De modo a atingir os </w:t>
      </w:r>
      <w:r w:rsidRPr="00317362">
        <w:rPr>
          <w:rFonts w:cs="Arial"/>
        </w:rPr>
        <w:t>objetivos acima</w:t>
      </w:r>
      <w:r>
        <w:rPr>
          <w:rFonts w:cs="Arial"/>
        </w:rPr>
        <w:t xml:space="preserve"> listados</w:t>
      </w:r>
      <w:r w:rsidRPr="00317362">
        <w:rPr>
          <w:rFonts w:cs="Arial"/>
        </w:rPr>
        <w:t>, este Programa está subdividido em dois subprogramas:</w:t>
      </w:r>
    </w:p>
    <w:p w:rsidR="003D5A9B" w:rsidRPr="00460820" w:rsidRDefault="003D5A9B" w:rsidP="002E29E3">
      <w:pPr>
        <w:pStyle w:val="Item-Bolinha"/>
      </w:pPr>
      <w:r w:rsidRPr="00460820">
        <w:t>Subprograma de Preparo e Acompanhamento da Supressão da Cobertura Vegetal; e</w:t>
      </w:r>
    </w:p>
    <w:p w:rsidR="003D5A9B" w:rsidRPr="00460820" w:rsidRDefault="003D5A9B" w:rsidP="002E29E3">
      <w:pPr>
        <w:pStyle w:val="Item-Bolinha"/>
      </w:pPr>
      <w:r w:rsidRPr="00460820">
        <w:t>Subprograma de Destinação da Biomassa.</w:t>
      </w:r>
    </w:p>
    <w:p w:rsidR="003D5A9B" w:rsidRPr="005800A1" w:rsidRDefault="003D5A9B" w:rsidP="00431A97">
      <w:pPr>
        <w:pStyle w:val="Ttulo3"/>
        <w:numPr>
          <w:ilvl w:val="3"/>
          <w:numId w:val="52"/>
        </w:numPr>
        <w:rPr>
          <w:rFonts w:ascii="Arial Negrito" w:hAnsi="Arial Negrito"/>
          <w:bCs/>
        </w:rPr>
      </w:pPr>
      <w:bookmarkStart w:id="1079" w:name="_Toc418758436"/>
      <w:bookmarkStart w:id="1080" w:name="_Toc418759038"/>
      <w:bookmarkStart w:id="1081" w:name="_Toc419813810"/>
      <w:r w:rsidRPr="005800A1">
        <w:rPr>
          <w:rFonts w:ascii="Arial Negrito" w:hAnsi="Arial Negrito"/>
          <w:bCs/>
        </w:rPr>
        <w:t>Metas</w:t>
      </w:r>
      <w:bookmarkEnd w:id="1079"/>
      <w:bookmarkEnd w:id="1080"/>
      <w:bookmarkEnd w:id="1081"/>
    </w:p>
    <w:p w:rsidR="003D5A9B" w:rsidRPr="0036167C" w:rsidRDefault="003D5A9B" w:rsidP="00460820">
      <w:pPr>
        <w:spacing w:before="120" w:after="120" w:line="240" w:lineRule="auto"/>
        <w:rPr>
          <w:rFonts w:cs="Arial"/>
        </w:rPr>
      </w:pPr>
      <w:r w:rsidRPr="0036167C">
        <w:rPr>
          <w:rFonts w:cs="Arial"/>
        </w:rPr>
        <w:t xml:space="preserve">Realizar todas as atividades de supressão de vegetação, durante a fase de implantação, </w:t>
      </w:r>
      <w:r>
        <w:rPr>
          <w:rFonts w:cs="Arial"/>
        </w:rPr>
        <w:t>de modo a evitar a</w:t>
      </w:r>
      <w:r w:rsidRPr="0036167C">
        <w:rPr>
          <w:rFonts w:cs="Arial"/>
        </w:rPr>
        <w:t xml:space="preserve"> ocorrência de não conformidades relacionadas às diretrizes estabelecidas nesse programa ambiental, normas técnicas e legislação aplicável.</w:t>
      </w:r>
    </w:p>
    <w:p w:rsidR="003D5A9B" w:rsidRPr="005800A1" w:rsidRDefault="003D5A9B" w:rsidP="00431A97">
      <w:pPr>
        <w:pStyle w:val="Ttulo3"/>
        <w:numPr>
          <w:ilvl w:val="3"/>
          <w:numId w:val="52"/>
        </w:numPr>
        <w:rPr>
          <w:rFonts w:ascii="Arial Negrito" w:hAnsi="Arial Negrito"/>
          <w:bCs/>
        </w:rPr>
      </w:pPr>
      <w:bookmarkStart w:id="1082" w:name="_Toc418758437"/>
      <w:bookmarkStart w:id="1083" w:name="_Toc418759039"/>
      <w:bookmarkStart w:id="1084" w:name="_Toc419813811"/>
      <w:r w:rsidRPr="005800A1">
        <w:rPr>
          <w:rFonts w:ascii="Arial Negrito" w:hAnsi="Arial Negrito"/>
          <w:bCs/>
        </w:rPr>
        <w:t>Público-Alvo</w:t>
      </w:r>
      <w:bookmarkEnd w:id="1082"/>
      <w:bookmarkEnd w:id="1083"/>
      <w:bookmarkEnd w:id="1084"/>
    </w:p>
    <w:p w:rsidR="003D5A9B" w:rsidRPr="0036167C" w:rsidRDefault="003D5A9B" w:rsidP="00460820">
      <w:pPr>
        <w:spacing w:before="120" w:after="120" w:line="240" w:lineRule="auto"/>
        <w:rPr>
          <w:rFonts w:cs="Arial"/>
        </w:rPr>
      </w:pPr>
      <w:r w:rsidRPr="0036167C">
        <w:rPr>
          <w:rFonts w:cs="Arial"/>
        </w:rPr>
        <w:t xml:space="preserve">O público alvo deste Programa de </w:t>
      </w:r>
      <w:r>
        <w:rPr>
          <w:rFonts w:cs="Arial"/>
        </w:rPr>
        <w:t>Supressão de Vegetação</w:t>
      </w:r>
      <w:r w:rsidRPr="0036167C">
        <w:rPr>
          <w:rFonts w:cs="Arial"/>
        </w:rPr>
        <w:t xml:space="preserve"> reúne:</w:t>
      </w:r>
    </w:p>
    <w:p w:rsidR="003D5A9B" w:rsidRPr="00460820" w:rsidRDefault="003D5A9B" w:rsidP="002E29E3">
      <w:pPr>
        <w:pStyle w:val="Item-Bolinha"/>
      </w:pPr>
      <w:r w:rsidRPr="00460820">
        <w:t>Gerenciador das barragens de Pedreira e Duas Pontes;</w:t>
      </w:r>
    </w:p>
    <w:p w:rsidR="003D5A9B" w:rsidRPr="00460820" w:rsidRDefault="003D5A9B" w:rsidP="002E29E3">
      <w:pPr>
        <w:pStyle w:val="Item-Bolinha"/>
      </w:pPr>
      <w:r w:rsidRPr="00460820">
        <w:t>Empresas construtoras contratadas para a fase de implantação; e</w:t>
      </w:r>
    </w:p>
    <w:p w:rsidR="00EA64C7" w:rsidRPr="00AE65ED" w:rsidRDefault="003D5A9B" w:rsidP="002E29E3">
      <w:pPr>
        <w:pStyle w:val="Item-Bolinha"/>
      </w:pPr>
      <w:r w:rsidRPr="00AE65ED">
        <w:t>Profissionais subcontratados para a execução dos serviços de supressão de cobertura vegetal.</w:t>
      </w:r>
    </w:p>
    <w:p w:rsidR="003D5A9B" w:rsidRPr="00AE65ED" w:rsidRDefault="002E29E3" w:rsidP="00AE65ED">
      <w:pPr>
        <w:spacing w:before="120" w:after="120" w:line="240" w:lineRule="auto"/>
        <w:rPr>
          <w:rFonts w:cs="Arial"/>
          <w:b/>
        </w:rPr>
      </w:pPr>
      <w:r>
        <w:rPr>
          <w:rFonts w:cs="Arial"/>
          <w:b/>
        </w:rPr>
        <w:t>a</w:t>
      </w:r>
      <w:r w:rsidR="00AE65ED">
        <w:rPr>
          <w:rFonts w:cs="Arial"/>
          <w:b/>
        </w:rPr>
        <w:t xml:space="preserve">) </w:t>
      </w:r>
      <w:r w:rsidR="003D5A9B" w:rsidRPr="00AE65ED">
        <w:rPr>
          <w:rFonts w:cs="Arial"/>
          <w:b/>
        </w:rPr>
        <w:t>Subprograma de Preparo e Acompanhamento da Supressão da Cobertura Vegetal</w:t>
      </w:r>
    </w:p>
    <w:p w:rsidR="003D5A9B" w:rsidRPr="0080063B" w:rsidRDefault="003D5A9B" w:rsidP="00460820">
      <w:pPr>
        <w:spacing w:before="120" w:after="120" w:line="240" w:lineRule="auto"/>
        <w:rPr>
          <w:rFonts w:cs="Arial"/>
        </w:rPr>
      </w:pPr>
      <w:r w:rsidRPr="0080063B">
        <w:rPr>
          <w:rFonts w:cs="Arial"/>
        </w:rPr>
        <w:t>São descritas para o Subprograma de Preparo e Acompanhamento da Supressão da Cobertura Vegetal: as atividades propostas (procedimentos), os indicadores ambientais e os recursos materiais e humanos.</w:t>
      </w:r>
    </w:p>
    <w:p w:rsidR="003D5A9B" w:rsidRPr="00E0520E" w:rsidRDefault="002E29E3" w:rsidP="002E29E3">
      <w:pPr>
        <w:autoSpaceDE w:val="0"/>
        <w:autoSpaceDN w:val="0"/>
        <w:adjustRightInd w:val="0"/>
        <w:spacing w:before="240" w:after="240" w:line="240" w:lineRule="auto"/>
        <w:rPr>
          <w:rFonts w:cs="Arial"/>
          <w:b/>
          <w:szCs w:val="22"/>
        </w:rPr>
      </w:pPr>
      <w:r>
        <w:rPr>
          <w:rFonts w:cs="Arial"/>
          <w:b/>
          <w:szCs w:val="22"/>
        </w:rPr>
        <w:t>a</w:t>
      </w:r>
      <w:r w:rsidR="00AE65ED">
        <w:rPr>
          <w:rFonts w:cs="Arial"/>
          <w:b/>
          <w:szCs w:val="22"/>
        </w:rPr>
        <w:t>.1.</w:t>
      </w:r>
      <w:r>
        <w:rPr>
          <w:rFonts w:cs="Arial"/>
          <w:b/>
          <w:szCs w:val="22"/>
        </w:rPr>
        <w:t>)</w:t>
      </w:r>
      <w:r w:rsidR="00AE65ED">
        <w:rPr>
          <w:rFonts w:cs="Arial"/>
          <w:b/>
          <w:szCs w:val="22"/>
        </w:rPr>
        <w:t xml:space="preserve"> </w:t>
      </w:r>
      <w:r w:rsidR="003D5A9B" w:rsidRPr="00E0520E">
        <w:rPr>
          <w:rFonts w:cs="Arial"/>
          <w:b/>
          <w:szCs w:val="22"/>
        </w:rPr>
        <w:t>Métodos e descrição do programa (procedimentos)</w:t>
      </w:r>
    </w:p>
    <w:p w:rsidR="003D5A9B" w:rsidRPr="0080063B" w:rsidRDefault="003D5A9B" w:rsidP="00460820">
      <w:pPr>
        <w:spacing w:before="120" w:after="120" w:line="240" w:lineRule="auto"/>
        <w:rPr>
          <w:rFonts w:cs="Arial"/>
        </w:rPr>
      </w:pPr>
      <w:r w:rsidRPr="0080063B">
        <w:rPr>
          <w:rFonts w:cs="Arial"/>
        </w:rPr>
        <w:t>Para o Preparo e Acompanhamento da Supressão da Cobertura Vegetal das barragens Pedreira e Duas Pontes devem ser seguidas as diretrizes relacionadas a diante:</w:t>
      </w:r>
    </w:p>
    <w:p w:rsidR="003D5A9B" w:rsidRPr="00460820" w:rsidRDefault="003D5A9B" w:rsidP="002E29E3">
      <w:pPr>
        <w:pStyle w:val="Item-Bolinha"/>
      </w:pPr>
      <w:r w:rsidRPr="00460820">
        <w:t>Antes do início das atividades de supressão da vegetação, deverão ser obtidas junto ao órgão ambiental competente as autorizações necessárias para a atividade, de acordo com a legislação aplicável vigente;</w:t>
      </w:r>
    </w:p>
    <w:p w:rsidR="003D5A9B" w:rsidRPr="00460820" w:rsidRDefault="003D5A9B" w:rsidP="002E29E3">
      <w:pPr>
        <w:pStyle w:val="Item-Bolinha"/>
      </w:pPr>
      <w:r w:rsidRPr="00460820">
        <w:t>As cópias das autorizações e/ou licenças deverão ser mantidas nas f</w:t>
      </w:r>
      <w:r w:rsidR="008C15C3">
        <w:t>rentes de obras das barragens</w:t>
      </w:r>
      <w:r w:rsidRPr="00460820">
        <w:t xml:space="preserve"> Pedreira e Duas Pontes, de modo a atender a quaisquer verificações por parte de autoridades competentes. A ausência destes documentos durante os serviços poderá acarretar a interrupção das atividades;</w:t>
      </w:r>
    </w:p>
    <w:p w:rsidR="003D5A9B" w:rsidRPr="00460820" w:rsidRDefault="003D5A9B" w:rsidP="002E29E3">
      <w:pPr>
        <w:pStyle w:val="Item-Bolinha"/>
      </w:pPr>
      <w:r w:rsidRPr="00460820">
        <w:t>Demarcação física das áreas a serem suprimidas, de ambas as barragens, deverá ser realizada por meio de estaqueamento, barreiras plásticas, fitas de sinalização, entre outros. A demarcação será realizada com base no projeto detalhado do empreendimento, onde são indicadas não apenas as estruturas que compõem o empreendimento, áreas de inundação, e, também, todas as áreas de apoio necessárias à implantação dos projetos (p.ex. pátios e acessos provisórios);</w:t>
      </w:r>
    </w:p>
    <w:p w:rsidR="003D5A9B" w:rsidRPr="00460820" w:rsidRDefault="003D5A9B" w:rsidP="002E29E3">
      <w:pPr>
        <w:pStyle w:val="Item-Bolinha"/>
      </w:pPr>
      <w:r w:rsidRPr="00460820">
        <w:t>As áreas que sofrerão supressão da cobertura vegetal deverão ser divididas em módulos sequenciais com o objetivo de orientar as etapas de remoção da vegetação. A sequência dos módulos de retirada da cobertura vegetal deve ser determinada de modo que as últimas áreas a serem desmatadas sejam aquelas próximas de outros remanescentes existentes no entorno e que não serão diretamente afetadas pelo projeto. Desta forma os animais são induzidos a se deslocarem para áreas situadas fora da ADA e que possuam ambientes com características semelhantes;</w:t>
      </w:r>
    </w:p>
    <w:p w:rsidR="003D5A9B" w:rsidRPr="00460820" w:rsidRDefault="003D5A9B" w:rsidP="002E29E3">
      <w:pPr>
        <w:pStyle w:val="Item-Bolinha"/>
      </w:pPr>
      <w:r w:rsidRPr="00460820">
        <w:t>Toda a operação de retirada da cobertura vegetal deverá ser acompanhada por técnico treinado para orientar os operadores das máquinas de modo que o planejamento da atividade seja obedecido e, ainda, que a remoção da vegetação fique restrita àquela área estritamente necessária</w:t>
      </w:r>
      <w:r w:rsidR="008C15C3">
        <w:t xml:space="preserve"> à implantação das barragens </w:t>
      </w:r>
      <w:r w:rsidRPr="00460820">
        <w:t>Pedreira e Duas Pontes. O acompanhamento e orientação transmitida por esses técnicos aos operadores das máquinas contribuem, também, para evitar outros danos aos ambientes adjacentes decorrentes, por exemplo, da disposição inadequada de resíduos sólidos (ex. solo e matéria vegetal), movimentados durante a atividade de supressão;</w:t>
      </w:r>
    </w:p>
    <w:p w:rsidR="003D5A9B" w:rsidRPr="00460820" w:rsidRDefault="003D5A9B" w:rsidP="002E29E3">
      <w:pPr>
        <w:pStyle w:val="Item-Bolinha"/>
      </w:pPr>
      <w:r w:rsidRPr="00460820">
        <w:t>Após a supressão de vegetação, a área deverá ser completamente limpa, com a remoção do material vegetal gerado (folhas e galhos), visando prevenir possíveis obstruções dos dispositivos de drenagem ou possibilidade da ocorrência de fogo. Não deverá ser executada a prática da queima dos restos da vegetação suprimida;</w:t>
      </w:r>
    </w:p>
    <w:p w:rsidR="003D5A9B" w:rsidRPr="00460820" w:rsidRDefault="003D5A9B" w:rsidP="002E29E3">
      <w:pPr>
        <w:pStyle w:val="Item-Bolinha"/>
      </w:pPr>
      <w:r w:rsidRPr="00460820">
        <w:t>O material lenhoso a ser gerado pelo corte da vegetação deve ser estocado em pilhas de baixa altura, em locais que não ofereçam riscos de acidentes aos usuários e trabalhadores, isolados, com acesso restrito e com controle de fontes de ignição. Este material poderá ser doado às prefeituras da região, à comunidade ou, ainda, disposto adequadamente em áreas licenciadas, conforme descrito no Subprograma de Destinação da Biomassa;</w:t>
      </w:r>
    </w:p>
    <w:p w:rsidR="003D5A9B" w:rsidRPr="00460820" w:rsidRDefault="003D5A9B" w:rsidP="002E29E3">
      <w:pPr>
        <w:pStyle w:val="Item-Bolinha"/>
      </w:pPr>
      <w:r w:rsidRPr="00460820">
        <w:t>A camada de solo vegetal removida deverá ser estocada em local adequado, não sujeito à erosão, para posterior aproveitamento, constituindo um substrato para o desenvolvimento da cobertura vegetal a ser implantada em outras áreas, como aquelas que serão objeto de recuperação;</w:t>
      </w:r>
    </w:p>
    <w:p w:rsidR="003D5A9B" w:rsidRPr="00460820" w:rsidRDefault="003D5A9B" w:rsidP="002E29E3">
      <w:pPr>
        <w:pStyle w:val="Item-Bolinha"/>
      </w:pPr>
      <w:r w:rsidRPr="00460820">
        <w:t>Os colaboradores deverão ser proibidos de qualquer atividade relacionada à coleta de espécies botânicas nas áreas lindeiras aos locais autorizados para supressão de vegetação, principalmente de epífitas, bromélias e outras de interesse;</w:t>
      </w:r>
    </w:p>
    <w:p w:rsidR="003D5A9B" w:rsidRPr="00460820" w:rsidRDefault="003D5A9B" w:rsidP="002E29E3">
      <w:pPr>
        <w:pStyle w:val="Item-Bolinha"/>
      </w:pPr>
      <w:r w:rsidRPr="00460820">
        <w:t>Os colaboradores deverão ser proibidos de qualquer atividade relacionada à caça furtiva;</w:t>
      </w:r>
    </w:p>
    <w:p w:rsidR="003D5A9B" w:rsidRPr="00460820" w:rsidRDefault="003D5A9B" w:rsidP="002E29E3">
      <w:pPr>
        <w:pStyle w:val="Item-Bolinha"/>
      </w:pPr>
      <w:r w:rsidRPr="00460820">
        <w:t>Os colaboradores deverão executar as ações de supressão de vegetação com Equipamentos de Proteção Individual (EPIs), apropriados e em boa condição de uso, atendendo às instruções da equipe de meio ambiente e fiscalização da obra.</w:t>
      </w:r>
    </w:p>
    <w:p w:rsidR="003D5A9B" w:rsidRPr="00E0520E" w:rsidRDefault="002E29E3" w:rsidP="002E29E3">
      <w:pPr>
        <w:autoSpaceDE w:val="0"/>
        <w:autoSpaceDN w:val="0"/>
        <w:adjustRightInd w:val="0"/>
        <w:spacing w:before="240" w:after="240" w:line="240" w:lineRule="auto"/>
        <w:rPr>
          <w:rFonts w:cs="Arial"/>
          <w:b/>
          <w:szCs w:val="22"/>
        </w:rPr>
      </w:pPr>
      <w:r>
        <w:rPr>
          <w:rFonts w:cs="Arial"/>
          <w:b/>
          <w:szCs w:val="22"/>
        </w:rPr>
        <w:t>a</w:t>
      </w:r>
      <w:r w:rsidR="00AE65ED">
        <w:rPr>
          <w:rFonts w:cs="Arial"/>
          <w:b/>
          <w:szCs w:val="22"/>
        </w:rPr>
        <w:t>.2.</w:t>
      </w:r>
      <w:r>
        <w:rPr>
          <w:rFonts w:cs="Arial"/>
          <w:b/>
          <w:szCs w:val="22"/>
        </w:rPr>
        <w:t>)</w:t>
      </w:r>
      <w:r w:rsidR="00AE65ED">
        <w:rPr>
          <w:rFonts w:cs="Arial"/>
          <w:b/>
          <w:szCs w:val="22"/>
        </w:rPr>
        <w:t xml:space="preserve"> </w:t>
      </w:r>
      <w:r w:rsidR="003D5A9B" w:rsidRPr="00E0520E">
        <w:rPr>
          <w:rFonts w:cs="Arial"/>
          <w:b/>
          <w:szCs w:val="22"/>
        </w:rPr>
        <w:t>Indicadores Ambientais</w:t>
      </w:r>
    </w:p>
    <w:p w:rsidR="003D5A9B" w:rsidRPr="0036167C" w:rsidRDefault="003D5A9B" w:rsidP="00460820">
      <w:pPr>
        <w:spacing w:before="120" w:after="120" w:line="240" w:lineRule="auto"/>
        <w:rPr>
          <w:rFonts w:cs="Arial"/>
        </w:rPr>
      </w:pPr>
      <w:r w:rsidRPr="0036167C">
        <w:rPr>
          <w:rFonts w:cs="Arial"/>
        </w:rPr>
        <w:t>Os indicadores ambientais do Programa de Acompanhamento da Supressão da Cobertura Vegetal são:</w:t>
      </w:r>
    </w:p>
    <w:p w:rsidR="003D5A9B" w:rsidRPr="00460820" w:rsidRDefault="003D5A9B" w:rsidP="002E29E3">
      <w:pPr>
        <w:pStyle w:val="Item-Bolinha"/>
      </w:pPr>
      <w:r w:rsidRPr="00460820">
        <w:t>Quantidade de não conformidades relacionadas às diretrizes desse subprograma, normas técnicas e legislação aplicável, por mês; e</w:t>
      </w:r>
    </w:p>
    <w:p w:rsidR="003D5A9B" w:rsidRDefault="003D5A9B" w:rsidP="002E29E3">
      <w:pPr>
        <w:pStyle w:val="Item-Bolinha"/>
      </w:pPr>
      <w:r w:rsidRPr="00460820">
        <w:t>Diferença entre a área total desmatada e a área definida em projeto para ser ocupada pelo empreendimento.</w:t>
      </w:r>
    </w:p>
    <w:p w:rsidR="003D5A9B" w:rsidRPr="00E0520E" w:rsidRDefault="002E29E3" w:rsidP="002E29E3">
      <w:pPr>
        <w:autoSpaceDE w:val="0"/>
        <w:autoSpaceDN w:val="0"/>
        <w:adjustRightInd w:val="0"/>
        <w:spacing w:before="240" w:after="240" w:line="240" w:lineRule="auto"/>
        <w:rPr>
          <w:rFonts w:cs="Arial"/>
          <w:b/>
          <w:szCs w:val="22"/>
        </w:rPr>
      </w:pPr>
      <w:r>
        <w:rPr>
          <w:rFonts w:cs="Arial"/>
          <w:b/>
          <w:szCs w:val="22"/>
        </w:rPr>
        <w:t>a</w:t>
      </w:r>
      <w:r w:rsidR="00AE65ED">
        <w:rPr>
          <w:rFonts w:cs="Arial"/>
          <w:b/>
          <w:szCs w:val="22"/>
        </w:rPr>
        <w:t>.3.</w:t>
      </w:r>
      <w:r>
        <w:rPr>
          <w:rFonts w:cs="Arial"/>
          <w:b/>
          <w:szCs w:val="22"/>
        </w:rPr>
        <w:t>)</w:t>
      </w:r>
      <w:r w:rsidR="00AE65ED">
        <w:rPr>
          <w:rFonts w:cs="Arial"/>
          <w:b/>
          <w:szCs w:val="22"/>
        </w:rPr>
        <w:t xml:space="preserve"> </w:t>
      </w:r>
      <w:r w:rsidR="003D5A9B" w:rsidRPr="00E0520E">
        <w:rPr>
          <w:rFonts w:cs="Arial"/>
          <w:b/>
          <w:szCs w:val="22"/>
        </w:rPr>
        <w:t>Recursos Materiais e Humanos</w:t>
      </w:r>
    </w:p>
    <w:p w:rsidR="003D5A9B" w:rsidRDefault="003D5A9B" w:rsidP="00460820">
      <w:pPr>
        <w:spacing w:before="120" w:after="120" w:line="240" w:lineRule="auto"/>
        <w:rPr>
          <w:rFonts w:cs="Arial"/>
        </w:rPr>
      </w:pPr>
      <w:r w:rsidRPr="0036167C">
        <w:rPr>
          <w:rFonts w:cs="Arial"/>
        </w:rPr>
        <w:t>O Empreendedor deverá contratar os serviços de profissionais técnicos especializados em flora e fauna (engenheiros florestais e biólogos) para a execução das atividades preconizadas nesse subprograma ambiental. Os recursos materiais necessários para a execução desse subprograma ambiental serão disponibilizados pelo Empreendedor.</w:t>
      </w:r>
    </w:p>
    <w:p w:rsidR="003D5A9B" w:rsidRPr="00E0520E" w:rsidRDefault="002E29E3" w:rsidP="00176F1A">
      <w:pPr>
        <w:autoSpaceDE w:val="0"/>
        <w:autoSpaceDN w:val="0"/>
        <w:adjustRightInd w:val="0"/>
        <w:spacing w:before="240" w:after="240" w:line="240" w:lineRule="auto"/>
        <w:rPr>
          <w:rFonts w:cs="Arial"/>
          <w:b/>
          <w:szCs w:val="22"/>
        </w:rPr>
      </w:pPr>
      <w:r>
        <w:rPr>
          <w:rFonts w:cs="Arial"/>
          <w:b/>
          <w:szCs w:val="22"/>
        </w:rPr>
        <w:t>b</w:t>
      </w:r>
      <w:r w:rsidR="00AE65ED">
        <w:rPr>
          <w:rFonts w:cs="Arial"/>
          <w:b/>
          <w:szCs w:val="22"/>
        </w:rPr>
        <w:t xml:space="preserve">) </w:t>
      </w:r>
      <w:r w:rsidR="003D5A9B" w:rsidRPr="00E0520E">
        <w:rPr>
          <w:rFonts w:cs="Arial"/>
          <w:b/>
          <w:szCs w:val="22"/>
        </w:rPr>
        <w:t>Subprograma de Salvamento de Germoplasma Vegetal</w:t>
      </w:r>
    </w:p>
    <w:p w:rsidR="003D5A9B" w:rsidRPr="00491E87" w:rsidRDefault="003D5A9B" w:rsidP="00460820">
      <w:pPr>
        <w:spacing w:before="120" w:after="120" w:line="240" w:lineRule="auto"/>
        <w:rPr>
          <w:rFonts w:cs="Arial"/>
        </w:rPr>
      </w:pPr>
      <w:r>
        <w:rPr>
          <w:rFonts w:cs="Arial"/>
        </w:rPr>
        <w:t>Neste item são apresentadas os métodos e procedimentos, assim como</w:t>
      </w:r>
      <w:r w:rsidRPr="0036167C">
        <w:rPr>
          <w:rFonts w:cs="Arial"/>
        </w:rPr>
        <w:t xml:space="preserve"> os indicadores ambientais e o</w:t>
      </w:r>
      <w:r>
        <w:rPr>
          <w:rFonts w:cs="Arial"/>
        </w:rPr>
        <w:t>s recursos materiais e humanos do Subprograma de Salvamento de Germoplasma Vegetal.</w:t>
      </w:r>
    </w:p>
    <w:p w:rsidR="003D5A9B" w:rsidRPr="00E0520E" w:rsidRDefault="002E29E3" w:rsidP="00AE65ED">
      <w:pPr>
        <w:autoSpaceDE w:val="0"/>
        <w:autoSpaceDN w:val="0"/>
        <w:adjustRightInd w:val="0"/>
        <w:spacing w:before="120" w:after="120" w:line="240" w:lineRule="auto"/>
        <w:rPr>
          <w:rFonts w:cs="Arial"/>
          <w:b/>
          <w:szCs w:val="22"/>
        </w:rPr>
      </w:pPr>
      <w:r>
        <w:rPr>
          <w:rFonts w:cs="Arial"/>
          <w:b/>
          <w:szCs w:val="22"/>
        </w:rPr>
        <w:t>b</w:t>
      </w:r>
      <w:r w:rsidR="00AE65ED">
        <w:rPr>
          <w:rFonts w:cs="Arial"/>
          <w:b/>
          <w:szCs w:val="22"/>
        </w:rPr>
        <w:t>.1.</w:t>
      </w:r>
      <w:r>
        <w:rPr>
          <w:rFonts w:cs="Arial"/>
          <w:b/>
          <w:szCs w:val="22"/>
        </w:rPr>
        <w:t>)</w:t>
      </w:r>
      <w:r w:rsidR="00AE65ED">
        <w:rPr>
          <w:rFonts w:cs="Arial"/>
          <w:b/>
          <w:szCs w:val="22"/>
        </w:rPr>
        <w:t xml:space="preserve"> </w:t>
      </w:r>
      <w:r w:rsidR="003D5A9B" w:rsidRPr="00E0520E">
        <w:rPr>
          <w:rFonts w:cs="Arial"/>
          <w:b/>
          <w:szCs w:val="22"/>
        </w:rPr>
        <w:t>Métodos e descrição do programa (procedimentos)</w:t>
      </w:r>
    </w:p>
    <w:p w:rsidR="003D5A9B" w:rsidRPr="00460820" w:rsidRDefault="003D5A9B" w:rsidP="005800A1">
      <w:pPr>
        <w:pStyle w:val="Item-Bolinha"/>
      </w:pPr>
      <w:r w:rsidRPr="00460820">
        <w:t>Após a demarcação das áreas cuja cobertura vegetal será suprimida deve ser realizado o resgate de indivíduos da flora, principalmente, propágulos e plântulas (de espécies de maior interesse para conservação e/ou que possam ser utilizadas no Programa de Revegetação e Enriquecimento Vegetal); e epífitas (orquídeas e bromélias);</w:t>
      </w:r>
    </w:p>
    <w:p w:rsidR="003D5A9B" w:rsidRPr="00460820" w:rsidRDefault="003D5A9B" w:rsidP="005800A1">
      <w:pPr>
        <w:pStyle w:val="Item-Bolinha"/>
      </w:pPr>
      <w:r w:rsidRPr="00460820">
        <w:t xml:space="preserve">Caso venha a ser identifica a ocorrência de espécies consideradas ameaçadas de extinção deverá ser avaliado o transplante dos indivíduos para áreas no entorno da ADA dos empreendimentos, que apresentam condições para o seu estabelecimento e desenvolvimento, conforme preconizado no artigo 4º da Resolução SMA </w:t>
      </w:r>
      <w:r w:rsidR="00EA17F5">
        <w:t xml:space="preserve">nº </w:t>
      </w:r>
      <w:r w:rsidRPr="00460820">
        <w:t>22/2010;</w:t>
      </w:r>
    </w:p>
    <w:p w:rsidR="003D5A9B" w:rsidRPr="00460820" w:rsidRDefault="003D5A9B" w:rsidP="005800A1">
      <w:pPr>
        <w:pStyle w:val="Item-Bolinha"/>
      </w:pPr>
      <w:r w:rsidRPr="00460820">
        <w:t>Essa campanha de resgate deverá iniciar com no mínimo 1 (um) mês de antecedência do início das atividades de supressão de vegetação e continuar até o término dessa atividade;</w:t>
      </w:r>
    </w:p>
    <w:p w:rsidR="003D5A9B" w:rsidRPr="00460820" w:rsidRDefault="003D5A9B" w:rsidP="005800A1">
      <w:pPr>
        <w:pStyle w:val="Item-Bolinha"/>
      </w:pPr>
      <w:r w:rsidRPr="00460820">
        <w:t>O resgate deverá concentrar os esforços nos propágulos das espécies arbustivas e arbóreas encontradas na área de supressão, ou seja, será realizado o resgate de frutos e sementes encontrados na área além do salvamento de plântulas de espécies nativas de maior interesse para conservação e/ou recuperação de outras áreas;</w:t>
      </w:r>
    </w:p>
    <w:p w:rsidR="003D5A9B" w:rsidRPr="00460820" w:rsidRDefault="003D5A9B" w:rsidP="005800A1">
      <w:pPr>
        <w:pStyle w:val="Item-Bolinha"/>
      </w:pPr>
      <w:r w:rsidRPr="00460820">
        <w:t>Depois de resgatadas, todas as sementes deverão ser levadas para um viveiro florestal (a ser definido pelo empreendedor), beneficiadas, cadastradas e armazenadas e/ou semeadas a fim de integrarem o processo produtivo de mudas;</w:t>
      </w:r>
    </w:p>
    <w:p w:rsidR="003D5A9B" w:rsidRPr="00460820" w:rsidRDefault="003D5A9B" w:rsidP="005800A1">
      <w:pPr>
        <w:pStyle w:val="Item-Bolinha"/>
      </w:pPr>
      <w:r w:rsidRPr="00460820">
        <w:t>No tocante ao resgate de plântulas, estas deverão ser removidas com o máximo de cuidado possível para evitar perdas, sendo imediatamente encaminhadas para um viveiro florestal, onde receberão os cuidados necessários. É importante ressaltar que esses indivíduos não poderão ser submetidos a situações de stress, como exposição demasiada ao sol; e</w:t>
      </w:r>
    </w:p>
    <w:p w:rsidR="003D5A9B" w:rsidRPr="00460820" w:rsidRDefault="003D5A9B" w:rsidP="005800A1">
      <w:pPr>
        <w:pStyle w:val="Item-Bolinha"/>
      </w:pPr>
      <w:r w:rsidRPr="00460820">
        <w:t>Após o resgate, deverão ser geradas listagens com os respectivos quantitativos de sementes e plântulas para controle e planejamento. Nesses quantitativos deverão constar informações básicas sobre as espécies, como nome vulgar, científico, família, porte, grupo ecológico a que pertence (pioneiro, secundário ou clímax) e ambientes de ocorrência.</w:t>
      </w:r>
    </w:p>
    <w:p w:rsidR="003D5A9B" w:rsidRPr="00E0520E" w:rsidRDefault="005800A1" w:rsidP="00176F1A">
      <w:pPr>
        <w:autoSpaceDE w:val="0"/>
        <w:autoSpaceDN w:val="0"/>
        <w:adjustRightInd w:val="0"/>
        <w:spacing w:before="240" w:after="240" w:line="240" w:lineRule="auto"/>
        <w:rPr>
          <w:rFonts w:cs="Arial"/>
          <w:b/>
          <w:szCs w:val="22"/>
        </w:rPr>
      </w:pPr>
      <w:r>
        <w:rPr>
          <w:rFonts w:cs="Arial"/>
          <w:b/>
          <w:szCs w:val="22"/>
        </w:rPr>
        <w:t>b</w:t>
      </w:r>
      <w:r w:rsidR="00AE65ED">
        <w:rPr>
          <w:rFonts w:cs="Arial"/>
          <w:b/>
          <w:szCs w:val="22"/>
        </w:rPr>
        <w:t>.2.</w:t>
      </w:r>
      <w:r>
        <w:rPr>
          <w:rFonts w:cs="Arial"/>
          <w:b/>
          <w:szCs w:val="22"/>
        </w:rPr>
        <w:t>)</w:t>
      </w:r>
      <w:r w:rsidR="00AE65ED">
        <w:rPr>
          <w:rFonts w:cs="Arial"/>
          <w:b/>
          <w:szCs w:val="22"/>
        </w:rPr>
        <w:t xml:space="preserve"> </w:t>
      </w:r>
      <w:r w:rsidR="003D5A9B" w:rsidRPr="00E0520E">
        <w:rPr>
          <w:rFonts w:cs="Arial"/>
          <w:b/>
          <w:szCs w:val="22"/>
        </w:rPr>
        <w:t>Indicadores Ambientais</w:t>
      </w:r>
    </w:p>
    <w:p w:rsidR="003D5A9B" w:rsidRPr="0036167C" w:rsidRDefault="003D5A9B" w:rsidP="003D5A9B">
      <w:pPr>
        <w:rPr>
          <w:rFonts w:cs="Arial"/>
        </w:rPr>
      </w:pPr>
      <w:r w:rsidRPr="0036167C">
        <w:rPr>
          <w:rFonts w:cs="Arial"/>
        </w:rPr>
        <w:t xml:space="preserve">Os indicadores ambientais </w:t>
      </w:r>
      <w:r>
        <w:rPr>
          <w:rFonts w:cs="Arial"/>
        </w:rPr>
        <w:t>do Subprograma de Salvamento de Germoplasma Vegetal</w:t>
      </w:r>
      <w:r w:rsidRPr="0036167C">
        <w:rPr>
          <w:rFonts w:cs="Arial"/>
        </w:rPr>
        <w:t>:</w:t>
      </w:r>
    </w:p>
    <w:p w:rsidR="003D5A9B" w:rsidRPr="00BD08FC" w:rsidRDefault="003D5A9B" w:rsidP="005800A1">
      <w:pPr>
        <w:pStyle w:val="Item-Bolinha"/>
      </w:pPr>
      <w:r w:rsidRPr="00BD08FC">
        <w:t>Quantidade de não conformidades relacionadas às diretrizes desse subprograma, normas técnicas e legislação aplicável, por mês;</w:t>
      </w:r>
    </w:p>
    <w:p w:rsidR="003D5A9B" w:rsidRPr="00BD08FC" w:rsidRDefault="003D5A9B" w:rsidP="005800A1">
      <w:pPr>
        <w:pStyle w:val="Item-Bolinha"/>
      </w:pPr>
      <w:r w:rsidRPr="00BD08FC">
        <w:t>Quantidade de espécimes de propágulos, plântulas e epífitas resgatados, por mês</w:t>
      </w:r>
      <w:r w:rsidR="00BD08FC">
        <w:t>.</w:t>
      </w:r>
    </w:p>
    <w:p w:rsidR="003D5A9B" w:rsidRPr="00E0520E" w:rsidRDefault="005800A1" w:rsidP="00176F1A">
      <w:pPr>
        <w:autoSpaceDE w:val="0"/>
        <w:autoSpaceDN w:val="0"/>
        <w:adjustRightInd w:val="0"/>
        <w:spacing w:before="240" w:after="240" w:line="240" w:lineRule="auto"/>
        <w:rPr>
          <w:rFonts w:cs="Arial"/>
          <w:b/>
          <w:szCs w:val="22"/>
        </w:rPr>
      </w:pPr>
      <w:r>
        <w:rPr>
          <w:rFonts w:cs="Arial"/>
          <w:b/>
          <w:szCs w:val="22"/>
        </w:rPr>
        <w:t>b)</w:t>
      </w:r>
      <w:r w:rsidR="00AE65ED">
        <w:rPr>
          <w:rFonts w:cs="Arial"/>
          <w:b/>
          <w:szCs w:val="22"/>
        </w:rPr>
        <w:t xml:space="preserve">.3. </w:t>
      </w:r>
      <w:r w:rsidR="003D5A9B" w:rsidRPr="00E0520E">
        <w:rPr>
          <w:rFonts w:cs="Arial"/>
          <w:b/>
          <w:szCs w:val="22"/>
        </w:rPr>
        <w:t>Recursos Materiais e Humanos</w:t>
      </w:r>
    </w:p>
    <w:p w:rsidR="003D5A9B" w:rsidRDefault="003D5A9B" w:rsidP="00460820">
      <w:pPr>
        <w:spacing w:before="120" w:after="120" w:line="240" w:lineRule="auto"/>
        <w:rPr>
          <w:rFonts w:cs="Arial"/>
        </w:rPr>
      </w:pPr>
      <w:r w:rsidRPr="0036167C">
        <w:rPr>
          <w:rFonts w:cs="Arial"/>
        </w:rPr>
        <w:t>O Empreendedor deverá contratar os serviços de profissionais técnicos especializados em flora (</w:t>
      </w:r>
      <w:r>
        <w:rPr>
          <w:rFonts w:cs="Arial"/>
        </w:rPr>
        <w:t xml:space="preserve">ex. </w:t>
      </w:r>
      <w:r w:rsidRPr="0036167C">
        <w:rPr>
          <w:rFonts w:cs="Arial"/>
        </w:rPr>
        <w:t>engenheiros florestais e biólogos) para a execução das atividades preconizadas nesse subprograma. Os recursos materiais necessários para a execução desse subprograma serão disponibilizados pelo Empreendedor.</w:t>
      </w:r>
    </w:p>
    <w:p w:rsidR="003D5A9B" w:rsidRPr="00E0520E" w:rsidRDefault="005800A1" w:rsidP="00176F1A">
      <w:pPr>
        <w:autoSpaceDE w:val="0"/>
        <w:autoSpaceDN w:val="0"/>
        <w:adjustRightInd w:val="0"/>
        <w:spacing w:before="240" w:after="240" w:line="240" w:lineRule="auto"/>
        <w:rPr>
          <w:rFonts w:cs="Arial"/>
          <w:b/>
          <w:szCs w:val="22"/>
        </w:rPr>
      </w:pPr>
      <w:r>
        <w:rPr>
          <w:rFonts w:cs="Arial"/>
          <w:b/>
          <w:szCs w:val="22"/>
        </w:rPr>
        <w:t>c</w:t>
      </w:r>
      <w:r w:rsidR="00AE65ED">
        <w:rPr>
          <w:rFonts w:cs="Arial"/>
          <w:b/>
          <w:szCs w:val="22"/>
        </w:rPr>
        <w:t xml:space="preserve">) </w:t>
      </w:r>
      <w:r w:rsidR="003D5A9B" w:rsidRPr="00E0520E">
        <w:rPr>
          <w:rFonts w:cs="Arial"/>
          <w:b/>
          <w:szCs w:val="22"/>
        </w:rPr>
        <w:t>Subprograma de Salvamento de Espécimes da Fauna</w:t>
      </w:r>
    </w:p>
    <w:p w:rsidR="003D5A9B" w:rsidRPr="007423C6" w:rsidRDefault="003D5A9B" w:rsidP="00BD08FC">
      <w:pPr>
        <w:spacing w:before="120" w:after="120" w:line="240" w:lineRule="auto"/>
        <w:rPr>
          <w:rFonts w:cs="Arial"/>
        </w:rPr>
      </w:pPr>
      <w:r>
        <w:rPr>
          <w:rFonts w:cs="Arial"/>
        </w:rPr>
        <w:t>Neste item são apresentadas os métodos e procedimentos, assim como</w:t>
      </w:r>
      <w:r w:rsidRPr="0036167C">
        <w:rPr>
          <w:rFonts w:cs="Arial"/>
        </w:rPr>
        <w:t xml:space="preserve"> os indicadores ambientais e o</w:t>
      </w:r>
      <w:r>
        <w:rPr>
          <w:rFonts w:cs="Arial"/>
        </w:rPr>
        <w:t>s recursos materiais e humanos do Subprograma de Salvamento de Espécimes da Fauna.</w:t>
      </w:r>
    </w:p>
    <w:p w:rsidR="003D5A9B" w:rsidRPr="00E0520E" w:rsidRDefault="005800A1" w:rsidP="00176F1A">
      <w:pPr>
        <w:autoSpaceDE w:val="0"/>
        <w:autoSpaceDN w:val="0"/>
        <w:adjustRightInd w:val="0"/>
        <w:spacing w:before="240" w:after="240" w:line="240" w:lineRule="auto"/>
        <w:rPr>
          <w:rFonts w:cs="Arial"/>
          <w:b/>
          <w:szCs w:val="22"/>
        </w:rPr>
      </w:pPr>
      <w:r>
        <w:rPr>
          <w:rFonts w:cs="Arial"/>
          <w:b/>
          <w:szCs w:val="22"/>
        </w:rPr>
        <w:t>c</w:t>
      </w:r>
      <w:r w:rsidR="00AE65ED">
        <w:rPr>
          <w:rFonts w:cs="Arial"/>
          <w:b/>
          <w:szCs w:val="22"/>
        </w:rPr>
        <w:t>.1.</w:t>
      </w:r>
      <w:r>
        <w:rPr>
          <w:rFonts w:cs="Arial"/>
          <w:b/>
          <w:szCs w:val="22"/>
        </w:rPr>
        <w:t>)</w:t>
      </w:r>
      <w:r w:rsidR="00AE65ED">
        <w:rPr>
          <w:rFonts w:cs="Arial"/>
          <w:b/>
          <w:szCs w:val="22"/>
        </w:rPr>
        <w:t xml:space="preserve"> </w:t>
      </w:r>
      <w:r w:rsidR="003D5A9B" w:rsidRPr="00E0520E">
        <w:rPr>
          <w:rFonts w:cs="Arial"/>
          <w:b/>
          <w:szCs w:val="22"/>
        </w:rPr>
        <w:t>Métodos e descrição do programa (procedimentos)</w:t>
      </w:r>
    </w:p>
    <w:p w:rsidR="003D5A9B" w:rsidRPr="00BD08FC" w:rsidRDefault="003D5A9B" w:rsidP="005800A1">
      <w:pPr>
        <w:pStyle w:val="Item-Bolinha"/>
      </w:pPr>
      <w:r w:rsidRPr="00BD08FC">
        <w:t>Antes do início da atividade de remoção da cobertura vegetal da ADA, as áreas serão percorridas por profissionais que se utilizarão de técnicas para o afugentamento dos animais presentes na área de modo a reduzir o número de indivíduos presentes quando da supressão;</w:t>
      </w:r>
    </w:p>
    <w:p w:rsidR="003D5A9B" w:rsidRPr="00BD08FC" w:rsidRDefault="003D5A9B" w:rsidP="005800A1">
      <w:pPr>
        <w:pStyle w:val="Item-Bolinha"/>
      </w:pPr>
      <w:r w:rsidRPr="00BD08FC">
        <w:t>Este procedimento deverá ocorrer naturalmente pela entrada de homens e pelo barulho das máquinas na área, mas acompanhado e orientado pela equipe de profissionais responsáveis pela execução deste Subprograma;</w:t>
      </w:r>
    </w:p>
    <w:p w:rsidR="003D5A9B" w:rsidRPr="00BD08FC" w:rsidRDefault="003D5A9B" w:rsidP="005800A1">
      <w:pPr>
        <w:pStyle w:val="Item-Bolinha"/>
      </w:pPr>
      <w:r w:rsidRPr="00BD08FC">
        <w:t>Durante a supressão de vegetação, independentemente de sua natureza (mecanizada ou não), uma equipe de campo especializada deverá acompanhar os trabalhos, acompanhando o deslocamento dos animais ou, quando necessário, procedendo a captura; e</w:t>
      </w:r>
      <w:r w:rsidR="00B04DAB">
        <w:t>;</w:t>
      </w:r>
    </w:p>
    <w:p w:rsidR="003D5A9B" w:rsidRPr="00BD08FC" w:rsidRDefault="003D5A9B" w:rsidP="005800A1">
      <w:pPr>
        <w:pStyle w:val="Item-Bolinha"/>
      </w:pPr>
      <w:r w:rsidRPr="00BD08FC">
        <w:t>Caso seja observada a impossibilidade de determinado espécime se locomover ou se dispersar por seus próprios meios, serão necessárias ações de captura/coleta. Caso seja necessária a captura de algum espécime, deverão ser seguidas as orientações estabelecidas no Programa de Monitoramento e Conservação da Fauna.</w:t>
      </w:r>
    </w:p>
    <w:p w:rsidR="003D5A9B" w:rsidRPr="00E0520E" w:rsidRDefault="005800A1" w:rsidP="00176F1A">
      <w:pPr>
        <w:autoSpaceDE w:val="0"/>
        <w:autoSpaceDN w:val="0"/>
        <w:adjustRightInd w:val="0"/>
        <w:spacing w:before="240" w:after="240" w:line="240" w:lineRule="auto"/>
        <w:rPr>
          <w:rFonts w:cs="Arial"/>
          <w:b/>
          <w:szCs w:val="22"/>
        </w:rPr>
      </w:pPr>
      <w:r>
        <w:rPr>
          <w:rFonts w:cs="Arial"/>
          <w:b/>
          <w:szCs w:val="22"/>
        </w:rPr>
        <w:t>c</w:t>
      </w:r>
      <w:r w:rsidR="00AE65ED">
        <w:rPr>
          <w:rFonts w:cs="Arial"/>
          <w:b/>
          <w:szCs w:val="22"/>
        </w:rPr>
        <w:t>.2.</w:t>
      </w:r>
      <w:r>
        <w:rPr>
          <w:rFonts w:cs="Arial"/>
          <w:b/>
          <w:szCs w:val="22"/>
        </w:rPr>
        <w:t>)</w:t>
      </w:r>
      <w:r w:rsidR="00AE65ED">
        <w:rPr>
          <w:rFonts w:cs="Arial"/>
          <w:b/>
          <w:szCs w:val="22"/>
        </w:rPr>
        <w:t xml:space="preserve"> </w:t>
      </w:r>
      <w:r w:rsidR="003D5A9B" w:rsidRPr="00E0520E">
        <w:rPr>
          <w:rFonts w:cs="Arial"/>
          <w:b/>
          <w:szCs w:val="22"/>
        </w:rPr>
        <w:t>Indicadores Ambientais</w:t>
      </w:r>
    </w:p>
    <w:p w:rsidR="003D5A9B" w:rsidRPr="0036167C" w:rsidRDefault="003D5A9B" w:rsidP="00BD08FC">
      <w:pPr>
        <w:spacing w:before="120" w:after="120" w:line="240" w:lineRule="auto"/>
        <w:rPr>
          <w:rFonts w:cs="Arial"/>
        </w:rPr>
      </w:pPr>
      <w:r w:rsidRPr="0036167C">
        <w:rPr>
          <w:rFonts w:cs="Arial"/>
        </w:rPr>
        <w:t xml:space="preserve">Os indicadores ambientais do </w:t>
      </w:r>
      <w:r>
        <w:rPr>
          <w:rFonts w:cs="Arial"/>
        </w:rPr>
        <w:t>Subprograma de Salvamento</w:t>
      </w:r>
      <w:r w:rsidRPr="0036167C">
        <w:rPr>
          <w:rFonts w:cs="Arial"/>
        </w:rPr>
        <w:t xml:space="preserve"> </w:t>
      </w:r>
      <w:r>
        <w:rPr>
          <w:rFonts w:cs="Arial"/>
        </w:rPr>
        <w:t xml:space="preserve">de Espécimes da Fauna </w:t>
      </w:r>
      <w:r w:rsidRPr="0036167C">
        <w:rPr>
          <w:rFonts w:cs="Arial"/>
        </w:rPr>
        <w:t>são:</w:t>
      </w:r>
    </w:p>
    <w:p w:rsidR="003D5A9B" w:rsidRPr="00BD08FC" w:rsidRDefault="003D5A9B" w:rsidP="005800A1">
      <w:pPr>
        <w:pStyle w:val="Item-Bolinha"/>
      </w:pPr>
      <w:r w:rsidRPr="00BD08FC">
        <w:t>Quantidade de não conformidades relacionadas às diretrizes desse subprograma, normas técnicas e legislação aplicável, por mês;</w:t>
      </w:r>
    </w:p>
    <w:p w:rsidR="003D5A9B" w:rsidRPr="00BD08FC" w:rsidRDefault="003D5A9B" w:rsidP="005800A1">
      <w:pPr>
        <w:pStyle w:val="Item-Bolinha"/>
      </w:pPr>
      <w:r w:rsidRPr="00BD08FC">
        <w:t>Quantidade de espécimes de fauna avistados durante os trabalhos de afugentamento, por mês; e</w:t>
      </w:r>
    </w:p>
    <w:p w:rsidR="003D5A9B" w:rsidRPr="00C24C86" w:rsidRDefault="003D5A9B" w:rsidP="005800A1">
      <w:pPr>
        <w:pStyle w:val="Item-Bolinha"/>
      </w:pPr>
      <w:r w:rsidRPr="00BD08FC">
        <w:t>Quantidade de espécimes de fauna capturados durante os trabalhos de afugentamento, por mês.</w:t>
      </w:r>
    </w:p>
    <w:p w:rsidR="003D5A9B" w:rsidRPr="00E0520E" w:rsidRDefault="005800A1" w:rsidP="005800A1">
      <w:pPr>
        <w:autoSpaceDE w:val="0"/>
        <w:autoSpaceDN w:val="0"/>
        <w:adjustRightInd w:val="0"/>
        <w:spacing w:before="240" w:after="240" w:line="240" w:lineRule="auto"/>
        <w:rPr>
          <w:rFonts w:cs="Arial"/>
          <w:b/>
          <w:szCs w:val="22"/>
        </w:rPr>
      </w:pPr>
      <w:r>
        <w:rPr>
          <w:rFonts w:cs="Arial"/>
          <w:b/>
          <w:szCs w:val="22"/>
        </w:rPr>
        <w:t>c</w:t>
      </w:r>
      <w:r w:rsidR="00AE65ED">
        <w:rPr>
          <w:rFonts w:cs="Arial"/>
          <w:b/>
          <w:szCs w:val="22"/>
        </w:rPr>
        <w:t>.3.</w:t>
      </w:r>
      <w:r>
        <w:rPr>
          <w:rFonts w:cs="Arial"/>
          <w:b/>
          <w:szCs w:val="22"/>
        </w:rPr>
        <w:t>)</w:t>
      </w:r>
      <w:r w:rsidR="00AE65ED">
        <w:rPr>
          <w:rFonts w:cs="Arial"/>
          <w:b/>
          <w:szCs w:val="22"/>
        </w:rPr>
        <w:t xml:space="preserve"> </w:t>
      </w:r>
      <w:r w:rsidR="003D5A9B" w:rsidRPr="00E0520E">
        <w:rPr>
          <w:rFonts w:cs="Arial"/>
          <w:b/>
          <w:szCs w:val="22"/>
        </w:rPr>
        <w:t>Recursos Materiais e Humanos</w:t>
      </w:r>
    </w:p>
    <w:p w:rsidR="003D5A9B" w:rsidRPr="0036167C" w:rsidRDefault="003D5A9B" w:rsidP="00BD08FC">
      <w:pPr>
        <w:spacing w:before="120" w:after="120" w:line="240" w:lineRule="auto"/>
        <w:rPr>
          <w:rFonts w:cs="Arial"/>
        </w:rPr>
      </w:pPr>
      <w:r w:rsidRPr="0036167C">
        <w:rPr>
          <w:rFonts w:cs="Arial"/>
        </w:rPr>
        <w:t>O Empreendedor deverá contratar os serviços de profissionais técnicos especializados em fauna (</w:t>
      </w:r>
      <w:r>
        <w:rPr>
          <w:rFonts w:cs="Arial"/>
        </w:rPr>
        <w:t xml:space="preserve">ex. </w:t>
      </w:r>
      <w:r w:rsidRPr="0036167C">
        <w:rPr>
          <w:rFonts w:cs="Arial"/>
        </w:rPr>
        <w:t>biólogos) para a execução das atividades preconizadas nesse subprograma. Os recursos materiais necessários para a execução desse subprograma serão disponibilizados pelo Empreendedor.</w:t>
      </w:r>
    </w:p>
    <w:p w:rsidR="003D5A9B" w:rsidRPr="00E0520E" w:rsidRDefault="005800A1" w:rsidP="005800A1">
      <w:pPr>
        <w:autoSpaceDE w:val="0"/>
        <w:autoSpaceDN w:val="0"/>
        <w:adjustRightInd w:val="0"/>
        <w:spacing w:before="240" w:after="240" w:line="240" w:lineRule="auto"/>
        <w:rPr>
          <w:rFonts w:cs="Arial"/>
          <w:b/>
          <w:szCs w:val="22"/>
        </w:rPr>
      </w:pPr>
      <w:r>
        <w:rPr>
          <w:rFonts w:cs="Arial"/>
          <w:b/>
          <w:szCs w:val="22"/>
        </w:rPr>
        <w:t>d</w:t>
      </w:r>
      <w:r w:rsidR="00AE65ED">
        <w:rPr>
          <w:rFonts w:cs="Arial"/>
          <w:b/>
          <w:szCs w:val="22"/>
        </w:rPr>
        <w:t xml:space="preserve">) </w:t>
      </w:r>
      <w:r w:rsidR="003D5A9B" w:rsidRPr="00E0520E">
        <w:rPr>
          <w:rFonts w:cs="Arial"/>
          <w:b/>
          <w:szCs w:val="22"/>
        </w:rPr>
        <w:t>Subprograma de Destinação da Biomassa</w:t>
      </w:r>
    </w:p>
    <w:p w:rsidR="003D5A9B" w:rsidRPr="0036167C" w:rsidRDefault="003D5A9B" w:rsidP="00BD08FC">
      <w:pPr>
        <w:spacing w:before="120" w:after="120" w:line="240" w:lineRule="auto"/>
        <w:rPr>
          <w:rFonts w:cs="Arial"/>
        </w:rPr>
      </w:pPr>
      <w:r w:rsidRPr="0036167C">
        <w:rPr>
          <w:rFonts w:cs="Arial"/>
        </w:rPr>
        <w:t xml:space="preserve">Conforme já explicitado para </w:t>
      </w:r>
      <w:r>
        <w:rPr>
          <w:rFonts w:cs="Arial"/>
        </w:rPr>
        <w:t>os demais Subprogramas</w:t>
      </w:r>
      <w:r w:rsidRPr="0036167C">
        <w:rPr>
          <w:rFonts w:cs="Arial"/>
        </w:rPr>
        <w:t>, para o Subprograma de Destinação de Biomassa também são descritas as atividades propostas (procedimentos), os indicadores ambientais e os recursos materiais e humanos.</w:t>
      </w:r>
    </w:p>
    <w:p w:rsidR="003D5A9B" w:rsidRPr="0036167C" w:rsidRDefault="003D5A9B" w:rsidP="00BD08FC">
      <w:pPr>
        <w:spacing w:before="120" w:after="120" w:line="240" w:lineRule="auto"/>
        <w:rPr>
          <w:rFonts w:cs="Arial"/>
        </w:rPr>
      </w:pPr>
      <w:r w:rsidRPr="0036167C">
        <w:rPr>
          <w:rFonts w:cs="Arial"/>
        </w:rPr>
        <w:t>Ressalta-se que, como produto da atividade de supressão da cobertura vegetal será produzida grande quantidade de biomassa que deve receber o melhor destino, de modo a otimizar o seu aproveitamento e não causar novos impactos</w:t>
      </w:r>
      <w:r>
        <w:rPr>
          <w:rFonts w:cs="Arial"/>
        </w:rPr>
        <w:t>.</w:t>
      </w:r>
    </w:p>
    <w:p w:rsidR="003D5A9B" w:rsidRPr="00E0520E" w:rsidRDefault="005800A1" w:rsidP="005800A1">
      <w:pPr>
        <w:autoSpaceDE w:val="0"/>
        <w:autoSpaceDN w:val="0"/>
        <w:adjustRightInd w:val="0"/>
        <w:spacing w:before="240" w:after="240" w:line="240" w:lineRule="auto"/>
        <w:rPr>
          <w:rFonts w:cs="Arial"/>
          <w:b/>
          <w:szCs w:val="22"/>
        </w:rPr>
      </w:pPr>
      <w:r>
        <w:rPr>
          <w:rFonts w:cs="Arial"/>
          <w:b/>
          <w:szCs w:val="22"/>
        </w:rPr>
        <w:t>d</w:t>
      </w:r>
      <w:r w:rsidR="00AE65ED">
        <w:rPr>
          <w:rFonts w:cs="Arial"/>
          <w:b/>
          <w:szCs w:val="22"/>
        </w:rPr>
        <w:t>.1.</w:t>
      </w:r>
      <w:r>
        <w:rPr>
          <w:rFonts w:cs="Arial"/>
          <w:b/>
          <w:szCs w:val="22"/>
        </w:rPr>
        <w:t>)</w:t>
      </w:r>
      <w:r w:rsidR="00AE65ED">
        <w:rPr>
          <w:rFonts w:cs="Arial"/>
          <w:b/>
          <w:szCs w:val="22"/>
        </w:rPr>
        <w:t xml:space="preserve"> </w:t>
      </w:r>
      <w:r w:rsidR="003D5A9B" w:rsidRPr="00E0520E">
        <w:rPr>
          <w:rFonts w:cs="Arial"/>
          <w:b/>
          <w:szCs w:val="22"/>
        </w:rPr>
        <w:t>Métodos e descrição do programa (procedimentos)</w:t>
      </w:r>
    </w:p>
    <w:p w:rsidR="003D5A9B" w:rsidRPr="0036167C" w:rsidRDefault="003D5A9B" w:rsidP="00BD08FC">
      <w:pPr>
        <w:spacing w:before="120" w:after="120" w:line="240" w:lineRule="auto"/>
        <w:rPr>
          <w:rFonts w:cs="Arial"/>
        </w:rPr>
      </w:pPr>
      <w:r w:rsidRPr="0036167C">
        <w:rPr>
          <w:rFonts w:cs="Arial"/>
        </w:rPr>
        <w:t xml:space="preserve">O Subprograma de Destinação de Biomassa deve </w:t>
      </w:r>
      <w:r>
        <w:rPr>
          <w:rFonts w:cs="Arial"/>
        </w:rPr>
        <w:t>seguir as seguintes orientações:</w:t>
      </w:r>
    </w:p>
    <w:p w:rsidR="003D5A9B" w:rsidRPr="00BD08FC" w:rsidRDefault="003D5A9B" w:rsidP="005800A1">
      <w:pPr>
        <w:pStyle w:val="Item-Bolinha"/>
      </w:pPr>
      <w:r w:rsidRPr="00BD08FC">
        <w:t>Elaboração de um Estudo de Utilização do Material Lenhoso, proveniente da supressão de vegetação, como mourões a serem utilizados na fase de obras do empreendimento, bem a aplicação em outros usos. Este estudo deve considerar os possíveis usos do material vegetal gerado pela atividade supressão com base nas características do material e na de</w:t>
      </w:r>
      <w:r w:rsidR="008C15C3">
        <w:t>manda da região das barragens</w:t>
      </w:r>
      <w:r w:rsidRPr="00BD08FC">
        <w:t xml:space="preserve"> Pedreira e Duas Pontes;</w:t>
      </w:r>
    </w:p>
    <w:p w:rsidR="003D5A9B" w:rsidRPr="00BD08FC" w:rsidRDefault="003D5A9B" w:rsidP="005800A1">
      <w:pPr>
        <w:pStyle w:val="Item-Bolinha"/>
      </w:pPr>
      <w:r w:rsidRPr="00BD08FC">
        <w:t>O material lenhoso proveniente das atividades de supressão de vegetação, desenvolvidas nas ADAs dos empreendimentos, deverão ser, preferencialmente, destinados aos usos identificados no Estudo de Utilização do Material Lenhoso. O material excedente poderá ser destinado à produção de lenha, ou doado aos moradores do entorno do empreendimento; e</w:t>
      </w:r>
    </w:p>
    <w:p w:rsidR="003D5A9B" w:rsidRPr="00BD08FC" w:rsidRDefault="003D5A9B" w:rsidP="005800A1">
      <w:pPr>
        <w:pStyle w:val="Item-Bolinha"/>
      </w:pPr>
      <w:r w:rsidRPr="00BD08FC">
        <w:t>Os ramos mais finos, assim como folhas (e material reprodutivo, quando houver) serão picados e destinados à compostagem para a produção de adubo pela prefeitura, viveiros e/ou empresas de reposição florestal da região. Parte desse material, no entanto, poderá ser destinado às áreas onde serão implementadas as ações previstas no Programa de Revegetação e Enriquecimento Florestal, uma vez que este material além de conter propágulos, contribui para a conservação do solo (recobrimento e aporte de nutrientes).</w:t>
      </w:r>
    </w:p>
    <w:p w:rsidR="003D5A9B" w:rsidRPr="00E0520E" w:rsidRDefault="005800A1" w:rsidP="00EF6B5D">
      <w:pPr>
        <w:autoSpaceDE w:val="0"/>
        <w:autoSpaceDN w:val="0"/>
        <w:adjustRightInd w:val="0"/>
        <w:spacing w:before="240" w:after="240" w:line="240" w:lineRule="auto"/>
        <w:rPr>
          <w:rFonts w:cs="Arial"/>
          <w:b/>
          <w:szCs w:val="22"/>
        </w:rPr>
      </w:pPr>
      <w:r>
        <w:rPr>
          <w:rFonts w:cs="Arial"/>
          <w:b/>
          <w:szCs w:val="22"/>
        </w:rPr>
        <w:t>d</w:t>
      </w:r>
      <w:r w:rsidR="00AE65ED">
        <w:rPr>
          <w:rFonts w:cs="Arial"/>
          <w:b/>
          <w:szCs w:val="22"/>
        </w:rPr>
        <w:t>.2.</w:t>
      </w:r>
      <w:r>
        <w:rPr>
          <w:rFonts w:cs="Arial"/>
          <w:b/>
          <w:szCs w:val="22"/>
        </w:rPr>
        <w:t>)</w:t>
      </w:r>
      <w:r w:rsidR="00AE65ED">
        <w:rPr>
          <w:rFonts w:cs="Arial"/>
          <w:b/>
          <w:szCs w:val="22"/>
        </w:rPr>
        <w:t xml:space="preserve"> </w:t>
      </w:r>
      <w:r w:rsidR="003D5A9B" w:rsidRPr="00E0520E">
        <w:rPr>
          <w:rFonts w:cs="Arial"/>
          <w:b/>
          <w:szCs w:val="22"/>
        </w:rPr>
        <w:t>Indicadores Ambientais</w:t>
      </w:r>
    </w:p>
    <w:p w:rsidR="003D5A9B" w:rsidRPr="0036167C" w:rsidRDefault="003D5A9B" w:rsidP="00BD08FC">
      <w:pPr>
        <w:spacing w:before="120" w:after="120" w:line="240" w:lineRule="auto"/>
        <w:rPr>
          <w:rFonts w:cs="Arial"/>
        </w:rPr>
      </w:pPr>
      <w:r>
        <w:rPr>
          <w:rFonts w:cs="Arial"/>
        </w:rPr>
        <w:t>O indicador ambiental do Subprograma de Destinação da Biomassa será a relação entre o v</w:t>
      </w:r>
      <w:r w:rsidRPr="0036167C">
        <w:rPr>
          <w:rFonts w:cs="Arial"/>
        </w:rPr>
        <w:t>olume</w:t>
      </w:r>
      <w:r>
        <w:rPr>
          <w:rFonts w:cs="Arial"/>
        </w:rPr>
        <w:t xml:space="preserve"> de material lenhoso destinado</w:t>
      </w:r>
      <w:r w:rsidRPr="0036167C">
        <w:rPr>
          <w:rFonts w:cs="Arial"/>
        </w:rPr>
        <w:t xml:space="preserve"> aos usos especificad</w:t>
      </w:r>
      <w:r>
        <w:rPr>
          <w:rFonts w:cs="Arial"/>
        </w:rPr>
        <w:t>os no Estudo de Utilização, e</w:t>
      </w:r>
      <w:r w:rsidRPr="0036167C">
        <w:rPr>
          <w:rFonts w:cs="Arial"/>
        </w:rPr>
        <w:t xml:space="preserve"> volume total de material len</w:t>
      </w:r>
      <w:r>
        <w:rPr>
          <w:rFonts w:cs="Arial"/>
        </w:rPr>
        <w:t>hoso gerado.</w:t>
      </w:r>
    </w:p>
    <w:p w:rsidR="003D5A9B" w:rsidRPr="007A4AFD" w:rsidRDefault="005800A1" w:rsidP="00EF6B5D">
      <w:pPr>
        <w:autoSpaceDE w:val="0"/>
        <w:autoSpaceDN w:val="0"/>
        <w:adjustRightInd w:val="0"/>
        <w:spacing w:before="240" w:after="240" w:line="240" w:lineRule="auto"/>
        <w:rPr>
          <w:rFonts w:cs="Arial"/>
          <w:b/>
          <w:szCs w:val="22"/>
        </w:rPr>
      </w:pPr>
      <w:r>
        <w:rPr>
          <w:rFonts w:cs="Arial"/>
          <w:b/>
          <w:szCs w:val="22"/>
        </w:rPr>
        <w:t>d</w:t>
      </w:r>
      <w:r w:rsidR="00AE65ED">
        <w:rPr>
          <w:rFonts w:cs="Arial"/>
          <w:b/>
          <w:szCs w:val="22"/>
        </w:rPr>
        <w:t>.3.</w:t>
      </w:r>
      <w:r>
        <w:rPr>
          <w:rFonts w:cs="Arial"/>
          <w:b/>
          <w:szCs w:val="22"/>
        </w:rPr>
        <w:t xml:space="preserve">) </w:t>
      </w:r>
      <w:r w:rsidR="003D5A9B" w:rsidRPr="007A4AFD">
        <w:rPr>
          <w:rFonts w:cs="Arial"/>
          <w:b/>
          <w:szCs w:val="22"/>
        </w:rPr>
        <w:t>Recursos Materiais e Humanos</w:t>
      </w:r>
    </w:p>
    <w:p w:rsidR="003D5A9B" w:rsidRDefault="003D5A9B" w:rsidP="00BD08FC">
      <w:pPr>
        <w:spacing w:before="120" w:after="120" w:line="240" w:lineRule="auto"/>
        <w:rPr>
          <w:rFonts w:cs="Arial"/>
        </w:rPr>
      </w:pPr>
      <w:r w:rsidRPr="0036167C">
        <w:rPr>
          <w:rFonts w:cs="Arial"/>
        </w:rPr>
        <w:t>O Empreendedor deverá contratar os serviços de profissionais técnicos especializados em flora (ex. engenheiros florestais e biólogos) para a execução das atividades preconizadas nesse subprograma</w:t>
      </w:r>
      <w:r>
        <w:rPr>
          <w:rFonts w:cs="Arial"/>
        </w:rPr>
        <w:t xml:space="preserve"> de destinação da biomassa</w:t>
      </w:r>
      <w:r w:rsidRPr="0036167C">
        <w:rPr>
          <w:rFonts w:cs="Arial"/>
        </w:rPr>
        <w:t xml:space="preserve">. Os recursos materiais necessários para a execução </w:t>
      </w:r>
      <w:r>
        <w:rPr>
          <w:rFonts w:cs="Arial"/>
        </w:rPr>
        <w:t>das atividades previstas</w:t>
      </w:r>
      <w:r w:rsidRPr="0036167C">
        <w:rPr>
          <w:rFonts w:cs="Arial"/>
        </w:rPr>
        <w:t xml:space="preserve"> serão disp</w:t>
      </w:r>
      <w:r>
        <w:rPr>
          <w:rFonts w:cs="Arial"/>
        </w:rPr>
        <w:t>onibilizados pelo Empreendedor.</w:t>
      </w:r>
    </w:p>
    <w:p w:rsidR="003D5A9B" w:rsidRPr="005800A1" w:rsidRDefault="005800A1" w:rsidP="00EF6B5D">
      <w:pPr>
        <w:pStyle w:val="Ttulo3"/>
        <w:spacing w:after="240"/>
        <w:rPr>
          <w:rFonts w:ascii="Arial Negrito" w:hAnsi="Arial Negrito"/>
          <w:bCs/>
        </w:rPr>
      </w:pPr>
      <w:bookmarkStart w:id="1085" w:name="_Toc418758438"/>
      <w:bookmarkStart w:id="1086" w:name="_Toc418759040"/>
      <w:bookmarkStart w:id="1087" w:name="_Toc419813812"/>
      <w:r>
        <w:rPr>
          <w:rFonts w:ascii="Arial Negrito" w:hAnsi="Arial Negrito"/>
          <w:bCs/>
        </w:rPr>
        <w:t>3.4.</w:t>
      </w:r>
      <w:r w:rsidR="004651D8">
        <w:rPr>
          <w:rFonts w:ascii="Arial Negrito" w:hAnsi="Arial Negrito"/>
          <w:bCs/>
        </w:rPr>
        <w:t>1.</w:t>
      </w:r>
      <w:r>
        <w:rPr>
          <w:rFonts w:ascii="Arial Negrito" w:hAnsi="Arial Negrito"/>
          <w:bCs/>
        </w:rPr>
        <w:t xml:space="preserve">5. </w:t>
      </w:r>
      <w:r w:rsidR="003D5A9B" w:rsidRPr="005800A1">
        <w:rPr>
          <w:rFonts w:ascii="Arial Negrito" w:hAnsi="Arial Negrito"/>
          <w:bCs/>
        </w:rPr>
        <w:t>Atendimento a Requisitos Legais e/ou Outros Requisitos</w:t>
      </w:r>
      <w:bookmarkEnd w:id="1085"/>
      <w:bookmarkEnd w:id="1086"/>
      <w:bookmarkEnd w:id="1087"/>
    </w:p>
    <w:p w:rsidR="003D5A9B" w:rsidRPr="0036167C" w:rsidRDefault="003D5A9B" w:rsidP="00BD08FC">
      <w:pPr>
        <w:spacing w:before="120" w:after="120" w:line="240" w:lineRule="auto"/>
        <w:rPr>
          <w:rFonts w:cs="Arial"/>
        </w:rPr>
      </w:pPr>
      <w:r w:rsidRPr="0036167C">
        <w:rPr>
          <w:rFonts w:cs="Arial"/>
        </w:rPr>
        <w:t>Entre os requisitos legais e/ou outros requisitos aplicáveis a esse programa ambiental, destacam-se:</w:t>
      </w:r>
    </w:p>
    <w:p w:rsidR="003D5A9B" w:rsidRPr="00BD08FC" w:rsidRDefault="003D5A9B" w:rsidP="00176F1A">
      <w:pPr>
        <w:pStyle w:val="Item-Bolinha"/>
      </w:pPr>
      <w:r w:rsidRPr="00BD08FC">
        <w:t xml:space="preserve">Lei Federal </w:t>
      </w:r>
      <w:r w:rsidR="00176F1A">
        <w:rPr>
          <w:rFonts w:eastAsia="Batang"/>
          <w:lang w:eastAsia="en-US"/>
        </w:rPr>
        <w:t>n</w:t>
      </w:r>
      <w:r w:rsidR="00176F1A">
        <w:rPr>
          <w:rFonts w:eastAsia="Batang"/>
          <w:u w:val="single"/>
          <w:vertAlign w:val="superscript"/>
          <w:lang w:eastAsia="en-US"/>
        </w:rPr>
        <w:t>o</w:t>
      </w:r>
      <w:r w:rsidRPr="00BD08FC">
        <w:t xml:space="preserve"> 12.651/2012 – Novo Código Florestal Federal – Alterada pela Lei Federal </w:t>
      </w:r>
      <w:r w:rsidR="00176F1A">
        <w:rPr>
          <w:rFonts w:eastAsia="Batang"/>
          <w:lang w:eastAsia="en-US"/>
        </w:rPr>
        <w:t>n</w:t>
      </w:r>
      <w:r w:rsidR="00176F1A">
        <w:rPr>
          <w:rFonts w:eastAsia="Batang"/>
          <w:u w:val="single"/>
          <w:vertAlign w:val="superscript"/>
          <w:lang w:eastAsia="en-US"/>
        </w:rPr>
        <w:t>o</w:t>
      </w:r>
      <w:r w:rsidRPr="00BD08FC">
        <w:t xml:space="preserve"> 12.727/2012;</w:t>
      </w:r>
    </w:p>
    <w:p w:rsidR="003D5A9B" w:rsidRPr="00BD08FC" w:rsidRDefault="003D5A9B" w:rsidP="00176F1A">
      <w:pPr>
        <w:pStyle w:val="Item-Bolinha"/>
      </w:pPr>
      <w:r w:rsidRPr="00BD08FC">
        <w:t xml:space="preserve">Lei Federal </w:t>
      </w:r>
      <w:r w:rsidR="00176F1A">
        <w:rPr>
          <w:rFonts w:eastAsia="Batang"/>
          <w:lang w:eastAsia="en-US"/>
        </w:rPr>
        <w:t>n</w:t>
      </w:r>
      <w:r w:rsidR="00176F1A">
        <w:rPr>
          <w:rFonts w:eastAsia="Batang"/>
          <w:u w:val="single"/>
          <w:vertAlign w:val="superscript"/>
          <w:lang w:eastAsia="en-US"/>
        </w:rPr>
        <w:t>o</w:t>
      </w:r>
      <w:r w:rsidRPr="00BD08FC">
        <w:t xml:space="preserve"> 11.428/2006 – Lei da Mata Atlântica;</w:t>
      </w:r>
    </w:p>
    <w:p w:rsidR="003D5A9B" w:rsidRPr="00BD08FC" w:rsidRDefault="003D5A9B" w:rsidP="00176F1A">
      <w:pPr>
        <w:pStyle w:val="Item-Bolinha"/>
      </w:pPr>
      <w:r w:rsidRPr="00BD08FC">
        <w:t xml:space="preserve">Lei Federal </w:t>
      </w:r>
      <w:r w:rsidR="00176F1A">
        <w:rPr>
          <w:rFonts w:eastAsia="Batang"/>
          <w:lang w:eastAsia="en-US"/>
        </w:rPr>
        <w:t>n</w:t>
      </w:r>
      <w:r w:rsidR="00176F1A">
        <w:rPr>
          <w:rFonts w:eastAsia="Batang"/>
          <w:u w:val="single"/>
          <w:vertAlign w:val="superscript"/>
          <w:lang w:eastAsia="en-US"/>
        </w:rPr>
        <w:t>o</w:t>
      </w:r>
      <w:r w:rsidRPr="00BD08FC">
        <w:t xml:space="preserve"> 9.605/1998 – Lei de Crimes Ambientais;</w:t>
      </w:r>
    </w:p>
    <w:p w:rsidR="003D5A9B" w:rsidRPr="00BD08FC" w:rsidRDefault="003D5A9B" w:rsidP="00176F1A">
      <w:pPr>
        <w:pStyle w:val="Item-Bolinha"/>
      </w:pPr>
      <w:r w:rsidRPr="00BD08FC">
        <w:t xml:space="preserve">Instrução Normativa MMA </w:t>
      </w:r>
      <w:r w:rsidR="00176F1A">
        <w:rPr>
          <w:rFonts w:eastAsia="Batang"/>
          <w:lang w:eastAsia="en-US"/>
        </w:rPr>
        <w:t>n</w:t>
      </w:r>
      <w:r w:rsidR="00176F1A">
        <w:rPr>
          <w:rFonts w:eastAsia="Batang"/>
          <w:u w:val="single"/>
          <w:vertAlign w:val="superscript"/>
          <w:lang w:eastAsia="en-US"/>
        </w:rPr>
        <w:t>o</w:t>
      </w:r>
      <w:r w:rsidRPr="00BD08FC">
        <w:t xml:space="preserve"> 06/2008 – Dispõe sobre o reconhecimento de espécies da flora brasileira ameaçadas de extinção como aquelas constantes do Anexo I a esta Instrução Normativa;</w:t>
      </w:r>
    </w:p>
    <w:p w:rsidR="003D5A9B" w:rsidRPr="00BD08FC" w:rsidRDefault="003D5A9B" w:rsidP="00176F1A">
      <w:pPr>
        <w:pStyle w:val="Item-Bolinha"/>
      </w:pPr>
      <w:r w:rsidRPr="00BD08FC">
        <w:t xml:space="preserve">Instrução Normativa Ibama </w:t>
      </w:r>
      <w:r w:rsidR="00176F1A">
        <w:rPr>
          <w:rFonts w:eastAsia="Batang"/>
          <w:lang w:eastAsia="en-US"/>
        </w:rPr>
        <w:t>n</w:t>
      </w:r>
      <w:r w:rsidR="00176F1A">
        <w:rPr>
          <w:rFonts w:eastAsia="Batang"/>
          <w:u w:val="single"/>
          <w:vertAlign w:val="superscript"/>
          <w:lang w:eastAsia="en-US"/>
        </w:rPr>
        <w:t>o</w:t>
      </w:r>
      <w:r w:rsidRPr="00BD08FC">
        <w:t xml:space="preserve"> 112/2006 – Trata do Documento de Origem Florestal - DOF;</w:t>
      </w:r>
    </w:p>
    <w:p w:rsidR="003D5A9B" w:rsidRPr="00BD08FC" w:rsidRDefault="003D5A9B" w:rsidP="00176F1A">
      <w:pPr>
        <w:pStyle w:val="Item-Bolinha"/>
      </w:pPr>
      <w:r w:rsidRPr="00BD08FC">
        <w:t xml:space="preserve">Resolução SMA </w:t>
      </w:r>
      <w:r w:rsidR="00176F1A">
        <w:rPr>
          <w:rFonts w:eastAsia="Batang"/>
          <w:lang w:eastAsia="en-US"/>
        </w:rPr>
        <w:t>n</w:t>
      </w:r>
      <w:r w:rsidR="00176F1A">
        <w:rPr>
          <w:rFonts w:eastAsia="Batang"/>
          <w:u w:val="single"/>
          <w:vertAlign w:val="superscript"/>
          <w:lang w:eastAsia="en-US"/>
        </w:rPr>
        <w:t>o</w:t>
      </w:r>
      <w:r w:rsidRPr="00BD08FC">
        <w:t xml:space="preserve"> 48/2004 - Publica a lista oficial das espécies da flora do Estado de São Paulo ameaçadas de extinção;</w:t>
      </w:r>
    </w:p>
    <w:p w:rsidR="003D5A9B" w:rsidRPr="00EE40BE" w:rsidRDefault="003D5A9B" w:rsidP="00176F1A">
      <w:pPr>
        <w:pStyle w:val="Item-Bolinha"/>
      </w:pPr>
      <w:r w:rsidRPr="00BD08FC">
        <w:t xml:space="preserve">Resolução SMA </w:t>
      </w:r>
      <w:r w:rsidR="00176F1A">
        <w:rPr>
          <w:rFonts w:eastAsia="Batang"/>
          <w:lang w:eastAsia="en-US"/>
        </w:rPr>
        <w:t>n</w:t>
      </w:r>
      <w:r w:rsidR="00176F1A">
        <w:rPr>
          <w:rFonts w:eastAsia="Batang"/>
          <w:u w:val="single"/>
          <w:vertAlign w:val="superscript"/>
          <w:lang w:eastAsia="en-US"/>
        </w:rPr>
        <w:t>o</w:t>
      </w:r>
      <w:r w:rsidRPr="00BD08FC">
        <w:t xml:space="preserve"> 22/2010 – Orienta a supressão de vegetação e afugentamento e resgate de fauna (caso ocorra supressão de mais de 1 ha de vegetação nativa em estágio médio ou avançado).</w:t>
      </w:r>
    </w:p>
    <w:p w:rsidR="003D5A9B" w:rsidRPr="00D4740B" w:rsidRDefault="003D5A9B" w:rsidP="00431A97">
      <w:pPr>
        <w:pStyle w:val="Ttulo3"/>
        <w:numPr>
          <w:ilvl w:val="3"/>
          <w:numId w:val="70"/>
        </w:numPr>
        <w:spacing w:after="240"/>
        <w:ind w:left="1077" w:hanging="1077"/>
        <w:rPr>
          <w:rFonts w:ascii="Arial Negrito" w:hAnsi="Arial Negrito"/>
          <w:b w:val="0"/>
        </w:rPr>
      </w:pPr>
      <w:bookmarkStart w:id="1088" w:name="_Toc418758439"/>
      <w:bookmarkStart w:id="1089" w:name="_Toc418759041"/>
      <w:bookmarkStart w:id="1090" w:name="_Toc419813813"/>
      <w:r w:rsidRPr="00D4740B">
        <w:rPr>
          <w:rFonts w:ascii="Arial Negrito" w:hAnsi="Arial Negrito"/>
          <w:b w:val="0"/>
        </w:rPr>
        <w:t>Inter-relação com outros Planos e Programas</w:t>
      </w:r>
      <w:bookmarkEnd w:id="1088"/>
      <w:bookmarkEnd w:id="1089"/>
      <w:bookmarkEnd w:id="1090"/>
    </w:p>
    <w:p w:rsidR="003D5A9B" w:rsidRPr="0036167C" w:rsidRDefault="003D5A9B" w:rsidP="00BD08FC">
      <w:pPr>
        <w:spacing w:before="120" w:after="120" w:line="240" w:lineRule="auto"/>
        <w:rPr>
          <w:rFonts w:cs="Arial"/>
        </w:rPr>
      </w:pPr>
      <w:r w:rsidRPr="0036167C">
        <w:rPr>
          <w:rFonts w:cs="Arial"/>
        </w:rPr>
        <w:t xml:space="preserve">Esse Programa possui relação com o </w:t>
      </w:r>
      <w:r>
        <w:rPr>
          <w:rFonts w:cs="Arial"/>
        </w:rPr>
        <w:t>Programa de Gestão Ambiental da Obra</w:t>
      </w:r>
      <w:r w:rsidRPr="0036167C">
        <w:rPr>
          <w:rFonts w:cs="Arial"/>
        </w:rPr>
        <w:t>, que estabelece as condições operacionais para o acompanhamento e cumprimento dos demais Planos e Programas Ambientais, associados às fases de implantação e operação do empreendimento.</w:t>
      </w:r>
    </w:p>
    <w:p w:rsidR="003D5A9B" w:rsidRPr="0036167C" w:rsidRDefault="003D5A9B" w:rsidP="00BD08FC">
      <w:pPr>
        <w:spacing w:before="120" w:after="120" w:line="240" w:lineRule="auto"/>
        <w:rPr>
          <w:rFonts w:cs="Arial"/>
        </w:rPr>
      </w:pPr>
      <w:r>
        <w:rPr>
          <w:rFonts w:cs="Arial"/>
        </w:rPr>
        <w:t xml:space="preserve">O Programa de </w:t>
      </w:r>
      <w:r w:rsidRPr="0036167C">
        <w:rPr>
          <w:rFonts w:cs="Arial"/>
        </w:rPr>
        <w:t xml:space="preserve">Supressão </w:t>
      </w:r>
      <w:r>
        <w:rPr>
          <w:rFonts w:cs="Arial"/>
        </w:rPr>
        <w:t>de Vegetação</w:t>
      </w:r>
      <w:r w:rsidRPr="0036167C">
        <w:rPr>
          <w:rFonts w:cs="Arial"/>
        </w:rPr>
        <w:t xml:space="preserve"> também possui relação com os seguintes programas:</w:t>
      </w:r>
    </w:p>
    <w:p w:rsidR="003D5A9B" w:rsidRPr="00BD08FC" w:rsidRDefault="003D5A9B" w:rsidP="00176F1A">
      <w:pPr>
        <w:pStyle w:val="Item-Bolinha"/>
      </w:pPr>
      <w:r w:rsidRPr="00BD08FC">
        <w:t>Programa de Monitoramento e Conservação da Fauna; e</w:t>
      </w:r>
    </w:p>
    <w:p w:rsidR="003D5A9B" w:rsidRPr="00AE65ED" w:rsidRDefault="003D5A9B" w:rsidP="00176F1A">
      <w:pPr>
        <w:pStyle w:val="Item-Bolinha"/>
      </w:pPr>
      <w:r w:rsidRPr="00BD08FC">
        <w:t>Programa de Revegetação e Enriquecimento Florestal.</w:t>
      </w:r>
    </w:p>
    <w:p w:rsidR="003D5A9B" w:rsidRPr="00D4740B" w:rsidRDefault="003D5A9B" w:rsidP="00431A97">
      <w:pPr>
        <w:pStyle w:val="Ttulo3"/>
        <w:numPr>
          <w:ilvl w:val="3"/>
          <w:numId w:val="70"/>
        </w:numPr>
        <w:rPr>
          <w:rFonts w:ascii="Arial Negrito" w:hAnsi="Arial Negrito"/>
          <w:b w:val="0"/>
        </w:rPr>
      </w:pPr>
      <w:bookmarkStart w:id="1091" w:name="_Toc418758440"/>
      <w:bookmarkStart w:id="1092" w:name="_Toc418759042"/>
      <w:bookmarkStart w:id="1093" w:name="_Toc419813814"/>
      <w:r w:rsidRPr="00D4740B">
        <w:rPr>
          <w:rFonts w:ascii="Arial Negrito" w:hAnsi="Arial Negrito"/>
          <w:b w:val="0"/>
        </w:rPr>
        <w:t>Etapa do Empreendimento</w:t>
      </w:r>
      <w:bookmarkEnd w:id="1091"/>
      <w:bookmarkEnd w:id="1092"/>
      <w:bookmarkEnd w:id="1093"/>
    </w:p>
    <w:p w:rsidR="003D5A9B" w:rsidRPr="0036167C" w:rsidRDefault="003D5A9B" w:rsidP="00953D6C">
      <w:pPr>
        <w:spacing w:before="120" w:after="120" w:line="240" w:lineRule="auto"/>
        <w:rPr>
          <w:rFonts w:cs="Arial"/>
        </w:rPr>
      </w:pPr>
      <w:r w:rsidRPr="0036167C">
        <w:rPr>
          <w:rFonts w:cs="Arial"/>
        </w:rPr>
        <w:t xml:space="preserve">As atividades que compõem o Programa de Supressão </w:t>
      </w:r>
      <w:r>
        <w:rPr>
          <w:rFonts w:cs="Arial"/>
        </w:rPr>
        <w:t>de Vegetação</w:t>
      </w:r>
      <w:r w:rsidRPr="0036167C">
        <w:rPr>
          <w:rFonts w:cs="Arial"/>
        </w:rPr>
        <w:t xml:space="preserve"> serão realizadas na Fase de Implantação </w:t>
      </w:r>
      <w:r w:rsidR="008C15C3">
        <w:rPr>
          <w:rFonts w:cs="Arial"/>
        </w:rPr>
        <w:t>das barragens</w:t>
      </w:r>
      <w:r>
        <w:rPr>
          <w:rFonts w:cs="Arial"/>
        </w:rPr>
        <w:t xml:space="preserve"> Pedreira e Duas Pontes</w:t>
      </w:r>
      <w:r w:rsidRPr="0036167C">
        <w:rPr>
          <w:rFonts w:cs="Arial"/>
        </w:rPr>
        <w:t>.</w:t>
      </w:r>
    </w:p>
    <w:p w:rsidR="003D5A9B" w:rsidRPr="00D4740B" w:rsidRDefault="003D5A9B" w:rsidP="00431A97">
      <w:pPr>
        <w:pStyle w:val="Ttulo3"/>
        <w:numPr>
          <w:ilvl w:val="3"/>
          <w:numId w:val="70"/>
        </w:numPr>
        <w:spacing w:after="240"/>
        <w:ind w:left="1077" w:hanging="1077"/>
        <w:rPr>
          <w:rFonts w:ascii="Arial Negrito" w:hAnsi="Arial Negrito"/>
          <w:b w:val="0"/>
        </w:rPr>
      </w:pPr>
      <w:bookmarkStart w:id="1094" w:name="_Toc418758441"/>
      <w:bookmarkStart w:id="1095" w:name="_Toc418759043"/>
      <w:bookmarkStart w:id="1096" w:name="_Toc419813815"/>
      <w:r w:rsidRPr="00D4740B">
        <w:rPr>
          <w:rFonts w:ascii="Arial Negrito" w:hAnsi="Arial Negrito"/>
          <w:b w:val="0"/>
        </w:rPr>
        <w:t>Cronograma de Execução</w:t>
      </w:r>
      <w:bookmarkEnd w:id="1094"/>
      <w:bookmarkEnd w:id="1095"/>
      <w:bookmarkEnd w:id="1096"/>
    </w:p>
    <w:p w:rsidR="001835E6" w:rsidRDefault="001835E6" w:rsidP="001835E6">
      <w:pPr>
        <w:autoSpaceDE w:val="0"/>
        <w:autoSpaceDN w:val="0"/>
        <w:adjustRightInd w:val="0"/>
        <w:spacing w:before="120" w:after="120" w:line="240" w:lineRule="auto"/>
        <w:rPr>
          <w:rFonts w:cs="Arial"/>
          <w:szCs w:val="22"/>
        </w:rPr>
      </w:pPr>
      <w:r w:rsidRPr="001835E6">
        <w:rPr>
          <w:rFonts w:cs="Arial"/>
          <w:szCs w:val="22"/>
        </w:rPr>
        <w:t xml:space="preserve">As atividades </w:t>
      </w:r>
      <w:r>
        <w:rPr>
          <w:rFonts w:cs="Arial"/>
          <w:szCs w:val="22"/>
        </w:rPr>
        <w:t>a serem realizadas são:</w:t>
      </w:r>
    </w:p>
    <w:p w:rsidR="001835E6" w:rsidRDefault="001835E6" w:rsidP="00D4740B">
      <w:pPr>
        <w:pStyle w:val="Item-Trainho"/>
      </w:pPr>
      <w:r>
        <w:t xml:space="preserve">Subprograma de preparo e acompanhamento da Supressão da Cobertura Vegetal - atividade a ser concluída no mínimo 3 meses antes do enchimento do reservatório; </w:t>
      </w:r>
    </w:p>
    <w:p w:rsidR="001835E6" w:rsidRPr="001835E6" w:rsidRDefault="001835E6" w:rsidP="00D4740B">
      <w:pPr>
        <w:pStyle w:val="Item-Trainho"/>
      </w:pPr>
      <w:r w:rsidRPr="001835E6">
        <w:t>Subprograma de Salvamento do Germoplasma Vegetal</w:t>
      </w:r>
      <w:r>
        <w:t xml:space="preserve"> – a atividade deve ser realizada concomitantemente com o subprograma de </w:t>
      </w:r>
      <w:r w:rsidRPr="001835E6">
        <w:t xml:space="preserve">Subprograma </w:t>
      </w:r>
      <w:r w:rsidR="00AF44D9">
        <w:t>de Supressão da Cobertura Vegetal;</w:t>
      </w:r>
    </w:p>
    <w:p w:rsidR="001835E6" w:rsidRPr="0036167C" w:rsidRDefault="00AF44D9" w:rsidP="00D4740B">
      <w:pPr>
        <w:pStyle w:val="Item-Trainho"/>
      </w:pPr>
      <w:r w:rsidRPr="00AF44D9">
        <w:t>Subprograma de Destinação da Biomassa</w:t>
      </w:r>
      <w:r>
        <w:t xml:space="preserve"> – Esta atividade se realiza junto com a Supressão da Cobertura Vegetal, a medida que vá se retirando a vegetação suprimida dentro da área do reservatório.</w:t>
      </w:r>
    </w:p>
    <w:p w:rsidR="003D5A9B" w:rsidRPr="00D4740B" w:rsidRDefault="003D5A9B" w:rsidP="00431A97">
      <w:pPr>
        <w:pStyle w:val="Ttulo3"/>
        <w:numPr>
          <w:ilvl w:val="3"/>
          <w:numId w:val="70"/>
        </w:numPr>
        <w:spacing w:after="240"/>
        <w:ind w:left="1077" w:hanging="1077"/>
        <w:rPr>
          <w:rFonts w:ascii="Arial Negrito" w:hAnsi="Arial Negrito"/>
          <w:b w:val="0"/>
        </w:rPr>
      </w:pPr>
      <w:bookmarkStart w:id="1097" w:name="_Toc418758442"/>
      <w:bookmarkStart w:id="1098" w:name="_Toc418759044"/>
      <w:bookmarkStart w:id="1099" w:name="_Toc419813816"/>
      <w:r w:rsidRPr="00D4740B">
        <w:rPr>
          <w:rFonts w:ascii="Arial Negrito" w:hAnsi="Arial Negrito"/>
          <w:b w:val="0"/>
        </w:rPr>
        <w:t>Responsável pela Implementação do Programa</w:t>
      </w:r>
      <w:bookmarkEnd w:id="1097"/>
      <w:bookmarkEnd w:id="1098"/>
      <w:bookmarkEnd w:id="1099"/>
    </w:p>
    <w:p w:rsidR="003D5A9B" w:rsidRPr="0036167C" w:rsidRDefault="003D5A9B" w:rsidP="00953D6C">
      <w:pPr>
        <w:spacing w:before="120" w:after="120" w:line="240" w:lineRule="auto"/>
        <w:rPr>
          <w:rFonts w:cs="Arial"/>
        </w:rPr>
      </w:pPr>
      <w:r w:rsidRPr="0036167C">
        <w:rPr>
          <w:rFonts w:cs="Arial"/>
        </w:rPr>
        <w:t>A responsabilidade de implantação do Programa de Acompanhamento da Supressão da Cobertura Vegetal é do Empreendedor, juntamente com a Empresa Construtora contratada para as obras da fase de implantação.</w:t>
      </w:r>
    </w:p>
    <w:p w:rsidR="003D5A9B" w:rsidRPr="00D4740B" w:rsidRDefault="003D5A9B" w:rsidP="00431A97">
      <w:pPr>
        <w:pStyle w:val="Ttulo3"/>
        <w:numPr>
          <w:ilvl w:val="3"/>
          <w:numId w:val="70"/>
        </w:numPr>
        <w:spacing w:after="240"/>
        <w:ind w:left="1077" w:hanging="1077"/>
        <w:rPr>
          <w:rFonts w:ascii="Arial Negrito" w:hAnsi="Arial Negrito"/>
          <w:b w:val="0"/>
        </w:rPr>
      </w:pPr>
      <w:bookmarkStart w:id="1100" w:name="_Toc418758443"/>
      <w:bookmarkStart w:id="1101" w:name="_Toc418759045"/>
      <w:bookmarkStart w:id="1102" w:name="_Toc419813817"/>
      <w:r w:rsidRPr="00D4740B">
        <w:rPr>
          <w:rFonts w:ascii="Arial Negrito" w:hAnsi="Arial Negrito"/>
          <w:b w:val="0"/>
        </w:rPr>
        <w:t>Sistemas de Registros</w:t>
      </w:r>
      <w:bookmarkEnd w:id="1100"/>
      <w:bookmarkEnd w:id="1101"/>
      <w:bookmarkEnd w:id="1102"/>
    </w:p>
    <w:p w:rsidR="003D5A9B" w:rsidRPr="0036167C" w:rsidRDefault="003D5A9B" w:rsidP="00953D6C">
      <w:pPr>
        <w:spacing w:before="120" w:after="120" w:line="240" w:lineRule="auto"/>
        <w:rPr>
          <w:rFonts w:cs="Arial"/>
        </w:rPr>
      </w:pPr>
      <w:r>
        <w:rPr>
          <w:rFonts w:cs="Arial"/>
        </w:rPr>
        <w:t>Deverão ser elaborados relatórios mensais internos, apresentando os resultados dos</w:t>
      </w:r>
      <w:r w:rsidRPr="0036167C">
        <w:rPr>
          <w:rFonts w:cs="Arial"/>
        </w:rPr>
        <w:t xml:space="preserve"> Subprograma</w:t>
      </w:r>
      <w:r>
        <w:rPr>
          <w:rFonts w:cs="Arial"/>
        </w:rPr>
        <w:t>s</w:t>
      </w:r>
      <w:r w:rsidRPr="0036167C">
        <w:rPr>
          <w:rFonts w:cs="Arial"/>
        </w:rPr>
        <w:t xml:space="preserve"> de Preparo e Acompanhamento da Supressão da Cobertura Vegetal, </w:t>
      </w:r>
      <w:r>
        <w:rPr>
          <w:rFonts w:cs="Arial"/>
        </w:rPr>
        <w:t>Salvamento de Germoplasma Vegetal e Salvamento de Espécimes da Fauna. Estes relatórios deverão apresentar como conteúdo mínimo</w:t>
      </w:r>
      <w:r w:rsidRPr="0036167C">
        <w:rPr>
          <w:rFonts w:cs="Arial"/>
        </w:rPr>
        <w:t>:</w:t>
      </w:r>
    </w:p>
    <w:p w:rsidR="003D5A9B" w:rsidRPr="00953D6C" w:rsidRDefault="003D5A9B" w:rsidP="00176F1A">
      <w:pPr>
        <w:pStyle w:val="Item-Bolinha"/>
      </w:pPr>
      <w:r w:rsidRPr="00953D6C">
        <w:t>Áreas e volumes suprimidos no período;</w:t>
      </w:r>
    </w:p>
    <w:p w:rsidR="003D5A9B" w:rsidRPr="00953D6C" w:rsidRDefault="003D5A9B" w:rsidP="00176F1A">
      <w:pPr>
        <w:pStyle w:val="Item-Bolinha"/>
      </w:pPr>
      <w:r w:rsidRPr="00953D6C">
        <w:t>Avanço da atividade de supressão de vegetação;</w:t>
      </w:r>
    </w:p>
    <w:p w:rsidR="003D5A9B" w:rsidRPr="00953D6C" w:rsidRDefault="003D5A9B" w:rsidP="00176F1A">
      <w:pPr>
        <w:pStyle w:val="Item-Bolinha"/>
      </w:pPr>
      <w:r w:rsidRPr="00953D6C">
        <w:t>Espécimes da flora resgatados;</w:t>
      </w:r>
    </w:p>
    <w:p w:rsidR="003D5A9B" w:rsidRPr="00953D6C" w:rsidRDefault="003D5A9B" w:rsidP="00176F1A">
      <w:pPr>
        <w:pStyle w:val="Item-Bolinha"/>
      </w:pPr>
      <w:r w:rsidRPr="00953D6C">
        <w:t>Destinação dos espécimes de flora resgatados;</w:t>
      </w:r>
    </w:p>
    <w:p w:rsidR="003D5A9B" w:rsidRPr="00953D6C" w:rsidRDefault="003D5A9B" w:rsidP="00176F1A">
      <w:pPr>
        <w:pStyle w:val="Item-Bolinha"/>
      </w:pPr>
      <w:r w:rsidRPr="00953D6C">
        <w:t>Espécimes de fauna encaminhados ao CETAS;</w:t>
      </w:r>
    </w:p>
    <w:p w:rsidR="003D5A9B" w:rsidRPr="00953D6C" w:rsidRDefault="003D5A9B" w:rsidP="00176F1A">
      <w:pPr>
        <w:pStyle w:val="Item-Bolinha"/>
      </w:pPr>
      <w:r w:rsidRPr="00953D6C">
        <w:t>Registros fotográficos;</w:t>
      </w:r>
    </w:p>
    <w:p w:rsidR="003D5A9B" w:rsidRPr="00953D6C" w:rsidRDefault="003D5A9B" w:rsidP="00176F1A">
      <w:pPr>
        <w:pStyle w:val="Item-Bolinha"/>
      </w:pPr>
      <w:r w:rsidRPr="00953D6C">
        <w:t>Outras informações relevantes.</w:t>
      </w:r>
    </w:p>
    <w:p w:rsidR="003D5A9B" w:rsidRPr="0036167C" w:rsidRDefault="003D5A9B" w:rsidP="00953D6C">
      <w:pPr>
        <w:spacing w:before="120" w:after="120" w:line="240" w:lineRule="auto"/>
        <w:rPr>
          <w:rFonts w:cs="Arial"/>
        </w:rPr>
      </w:pPr>
      <w:r w:rsidRPr="0036167C">
        <w:rPr>
          <w:rFonts w:cs="Arial"/>
        </w:rPr>
        <w:t>Para o Subprograma de Destinação de Biomassa, também deverão ser elaborados relatórios mensais internos, durante o período de execução de atividades de supressão da cobertura vegetal, contendo informações quali-quantitativas, e preferencialmente com o seguinte conteúdo:</w:t>
      </w:r>
    </w:p>
    <w:p w:rsidR="003D5A9B" w:rsidRPr="00953D6C" w:rsidRDefault="003D5A9B" w:rsidP="00176F1A">
      <w:pPr>
        <w:pStyle w:val="Item-Bolinha"/>
      </w:pPr>
      <w:r w:rsidRPr="00953D6C">
        <w:t>Áreas e volumes suprimidos no período;</w:t>
      </w:r>
    </w:p>
    <w:p w:rsidR="003D5A9B" w:rsidRPr="00953D6C" w:rsidRDefault="003D5A9B" w:rsidP="00176F1A">
      <w:pPr>
        <w:pStyle w:val="Item-Bolinha"/>
      </w:pPr>
      <w:r w:rsidRPr="00953D6C">
        <w:t>Avanço da atividade de supressão de vegetação;</w:t>
      </w:r>
    </w:p>
    <w:p w:rsidR="003D5A9B" w:rsidRPr="00953D6C" w:rsidRDefault="003D5A9B" w:rsidP="00176F1A">
      <w:pPr>
        <w:pStyle w:val="Item-Bolinha"/>
      </w:pPr>
      <w:r w:rsidRPr="00953D6C">
        <w:t>Destinação da biomassa com os respectivos volumes;</w:t>
      </w:r>
    </w:p>
    <w:p w:rsidR="003D5A9B" w:rsidRPr="00953D6C" w:rsidRDefault="003D5A9B" w:rsidP="00176F1A">
      <w:pPr>
        <w:pStyle w:val="Item-Bolinha"/>
      </w:pPr>
      <w:r w:rsidRPr="00953D6C">
        <w:t>Registros fotográficos;</w:t>
      </w:r>
    </w:p>
    <w:p w:rsidR="003D5A9B" w:rsidRPr="00953D6C" w:rsidRDefault="003D5A9B" w:rsidP="00176F1A">
      <w:pPr>
        <w:pStyle w:val="Item-Bolinha"/>
      </w:pPr>
      <w:r w:rsidRPr="00953D6C">
        <w:t>Outras informações relevantes.</w:t>
      </w:r>
    </w:p>
    <w:p w:rsidR="003D5A9B" w:rsidRPr="0036167C" w:rsidRDefault="003D5A9B" w:rsidP="00953D6C">
      <w:pPr>
        <w:spacing w:before="120" w:after="120" w:line="240" w:lineRule="auto"/>
        <w:rPr>
          <w:rFonts w:cs="Arial"/>
        </w:rPr>
      </w:pPr>
      <w:r w:rsidRPr="0036167C">
        <w:rPr>
          <w:rFonts w:cs="Arial"/>
        </w:rPr>
        <w:t>Após o término das atividades de supressão de vegetação, também será elaborado um relatório consolidado das informações apresentadas nos relatórios mensais internos. Esse relatório consolidado será encaminhado para a CETESB.</w:t>
      </w:r>
    </w:p>
    <w:p w:rsidR="007C22CC" w:rsidRDefault="003D5A9B" w:rsidP="00482BB1">
      <w:pPr>
        <w:spacing w:before="120" w:after="120" w:line="240" w:lineRule="auto"/>
        <w:rPr>
          <w:rFonts w:cs="Arial"/>
        </w:rPr>
      </w:pPr>
      <w:r w:rsidRPr="0036167C">
        <w:rPr>
          <w:rFonts w:cs="Arial"/>
        </w:rPr>
        <w:t>As informações levantadas deverão integrar o banco d</w:t>
      </w:r>
      <w:r>
        <w:rPr>
          <w:rFonts w:cs="Arial"/>
        </w:rPr>
        <w:t xml:space="preserve">e dados do Programa de Gestão </w:t>
      </w:r>
      <w:r w:rsidRPr="0036167C">
        <w:rPr>
          <w:rFonts w:cs="Arial"/>
        </w:rPr>
        <w:t>Ambiental</w:t>
      </w:r>
      <w:r>
        <w:rPr>
          <w:rFonts w:cs="Arial"/>
        </w:rPr>
        <w:t xml:space="preserve"> da Obra</w:t>
      </w:r>
      <w:r w:rsidRPr="0036167C">
        <w:rPr>
          <w:rFonts w:cs="Arial"/>
        </w:rPr>
        <w:t>.</w:t>
      </w:r>
    </w:p>
    <w:p w:rsidR="007C22CC" w:rsidRPr="00D4740B" w:rsidRDefault="007C22CC" w:rsidP="00431A97">
      <w:pPr>
        <w:pStyle w:val="Ttulo3"/>
        <w:numPr>
          <w:ilvl w:val="2"/>
          <w:numId w:val="70"/>
        </w:numPr>
        <w:spacing w:after="240"/>
        <w:rPr>
          <w:rFonts w:ascii="Arial Negrito" w:hAnsi="Arial Negrito"/>
          <w:b w:val="0"/>
        </w:rPr>
      </w:pPr>
      <w:bookmarkStart w:id="1103" w:name="_Toc418758444"/>
      <w:bookmarkStart w:id="1104" w:name="_Toc418759046"/>
      <w:bookmarkStart w:id="1105" w:name="_Toc419813818"/>
      <w:r w:rsidRPr="00D4740B">
        <w:rPr>
          <w:rFonts w:ascii="Arial Negrito" w:hAnsi="Arial Negrito"/>
          <w:b w:val="0"/>
        </w:rPr>
        <w:t>Programa de Revegetação e Enriquecimento Florestal</w:t>
      </w:r>
      <w:bookmarkEnd w:id="1103"/>
      <w:bookmarkEnd w:id="1104"/>
      <w:bookmarkEnd w:id="1105"/>
    </w:p>
    <w:p w:rsidR="00482BB1" w:rsidRPr="00D4740B" w:rsidRDefault="000F0749" w:rsidP="00431A97">
      <w:pPr>
        <w:pStyle w:val="Ttulo3"/>
        <w:numPr>
          <w:ilvl w:val="3"/>
          <w:numId w:val="84"/>
        </w:numPr>
        <w:spacing w:after="240"/>
        <w:rPr>
          <w:rFonts w:ascii="Arial Negrito" w:hAnsi="Arial Negrito"/>
          <w:b w:val="0"/>
        </w:rPr>
      </w:pPr>
      <w:bookmarkStart w:id="1106" w:name="_Toc418758445"/>
      <w:bookmarkStart w:id="1107" w:name="_Toc418759047"/>
      <w:bookmarkStart w:id="1108" w:name="_Toc419813819"/>
      <w:r w:rsidRPr="00D4740B">
        <w:rPr>
          <w:rFonts w:ascii="Arial Negrito" w:hAnsi="Arial Negrito"/>
          <w:b w:val="0"/>
        </w:rPr>
        <w:t>Apresentação e J</w:t>
      </w:r>
      <w:r w:rsidR="00482BB1" w:rsidRPr="00D4740B">
        <w:rPr>
          <w:rFonts w:ascii="Arial Negrito" w:hAnsi="Arial Negrito"/>
          <w:b w:val="0"/>
        </w:rPr>
        <w:t>ustificativa</w:t>
      </w:r>
      <w:bookmarkEnd w:id="1106"/>
      <w:bookmarkEnd w:id="1107"/>
      <w:bookmarkEnd w:id="1108"/>
    </w:p>
    <w:p w:rsidR="00482BB1" w:rsidRPr="007C3B08" w:rsidRDefault="00482BB1" w:rsidP="00482BB1">
      <w:pPr>
        <w:spacing w:before="120" w:after="120" w:line="240" w:lineRule="auto"/>
        <w:rPr>
          <w:rFonts w:cs="Arial"/>
        </w:rPr>
      </w:pPr>
      <w:r w:rsidRPr="007C3B08">
        <w:rPr>
          <w:rFonts w:cs="Arial"/>
        </w:rPr>
        <w:t>O Programa de Revegetação e Enriquecimento Florestal reúne as ações destinadas à revegetação das Áreas de Preservação Permanente dos futuros reservatórios das</w:t>
      </w:r>
      <w:r>
        <w:rPr>
          <w:rFonts w:cs="Arial"/>
        </w:rPr>
        <w:t xml:space="preserve"> </w:t>
      </w:r>
      <w:r w:rsidR="008C15C3">
        <w:rPr>
          <w:rFonts w:cs="Arial"/>
        </w:rPr>
        <w:t>barragens</w:t>
      </w:r>
      <w:r w:rsidRPr="007C3B08">
        <w:rPr>
          <w:rFonts w:cs="Arial"/>
        </w:rPr>
        <w:t xml:space="preserve"> Pedreira e Duas Pontes, assim como as ações compensatórias de revegetação e enriquecimento florestal resultantes da supressão de cobertura vegetal nativa necessária à implantação dos empreendimentos.</w:t>
      </w:r>
    </w:p>
    <w:p w:rsidR="00482BB1" w:rsidRPr="007C3B08" w:rsidRDefault="00482BB1" w:rsidP="00482BB1">
      <w:pPr>
        <w:spacing w:before="120" w:after="120" w:line="240" w:lineRule="auto"/>
        <w:rPr>
          <w:rFonts w:cs="Arial"/>
        </w:rPr>
      </w:pPr>
      <w:r w:rsidRPr="007C3B08">
        <w:rPr>
          <w:rFonts w:cs="Arial"/>
        </w:rPr>
        <w:t>Conforme apresentado no item que trata dos impactos ambientais</w:t>
      </w:r>
      <w:r w:rsidR="008C15C3">
        <w:rPr>
          <w:rFonts w:cs="Arial"/>
        </w:rPr>
        <w:t>, a implantação das barragens</w:t>
      </w:r>
      <w:r w:rsidRPr="007C3B08">
        <w:rPr>
          <w:rFonts w:cs="Arial"/>
        </w:rPr>
        <w:t xml:space="preserve"> Pedreira e Duas Pontes irá gerar uma séria de impactos sobre o meio biótico, todos de natureza negativa. Entre eles a Perda de Cobertura Vegetal Nativa, a Perda de Hábitat para a Fauna Silvestre, a Redução de Conectividade entre Remanescentes de Cobertura Vegetal Nativa, Aumento dos Efeitos da Fragmentação de Hábitats de Fauna e Afugentamento de Indivíduos da Fauna Silvestre. Todos esses impactos concorrem para o processo de perda de diversidade biológica, sendo que a maioria deles não é passível de mitigação.</w:t>
      </w:r>
    </w:p>
    <w:p w:rsidR="00EE40BE" w:rsidRPr="007C3B08" w:rsidRDefault="00482BB1" w:rsidP="00482BB1">
      <w:pPr>
        <w:spacing w:before="120" w:after="120" w:line="240" w:lineRule="auto"/>
        <w:rPr>
          <w:rFonts w:cs="Arial"/>
        </w:rPr>
      </w:pPr>
      <w:r w:rsidRPr="007C3B08">
        <w:rPr>
          <w:rFonts w:cs="Arial"/>
        </w:rPr>
        <w:t>Assim considerando os aspectos legais e a necessidade de compensar os impactos negativos sobre o meio biótico são apresentadas a seguir as justificativas para as ações previstas nos dois subprogramas que compões o Programa de Revegetação e Enriquecimento Florestal, ou seja: o Subprograma de Incremento da Conectividade e o Subprograma de Reflorestamento das APPs dos Futuros Reservatórios.</w:t>
      </w:r>
    </w:p>
    <w:p w:rsidR="00482BB1" w:rsidRPr="00482BB1" w:rsidRDefault="00482BB1" w:rsidP="00482BB1">
      <w:pPr>
        <w:spacing w:before="120" w:after="120" w:line="240" w:lineRule="auto"/>
        <w:rPr>
          <w:rFonts w:cs="Arial"/>
          <w:b/>
          <w:i/>
        </w:rPr>
      </w:pPr>
      <w:r>
        <w:rPr>
          <w:rFonts w:cs="Arial"/>
          <w:b/>
          <w:i/>
        </w:rPr>
        <w:t xml:space="preserve">a) </w:t>
      </w:r>
      <w:r w:rsidRPr="00482BB1">
        <w:rPr>
          <w:rFonts w:cs="Arial"/>
          <w:b/>
          <w:i/>
        </w:rPr>
        <w:t>Incremento da Conectividade</w:t>
      </w:r>
    </w:p>
    <w:p w:rsidR="00482BB1" w:rsidRDefault="00482BB1" w:rsidP="00482BB1">
      <w:pPr>
        <w:spacing w:before="120" w:after="120" w:line="240" w:lineRule="auto"/>
        <w:rPr>
          <w:rFonts w:cs="Arial"/>
        </w:rPr>
      </w:pPr>
      <w:r w:rsidRPr="007C3B08">
        <w:rPr>
          <w:rFonts w:cs="Arial"/>
        </w:rPr>
        <w:t>As ações propostas neste subprograma são propostas como compensação à supressão de cobertura vegetal nativa. Conforme estabelecido pela Lei Federal 11.428/2006 (Lei da Mata Atlântica), a supressão de vegetação de vegetação primária ou secundária nos estágios médio ou avançado de regeneração do Bioma Mata Atlântica, ficam condicionados à compensação ambiental, conforme pode ser observado em seu artigo 17:</w:t>
      </w:r>
    </w:p>
    <w:p w:rsidR="001D5114" w:rsidRDefault="001D5114" w:rsidP="00482BB1">
      <w:pPr>
        <w:spacing w:before="120" w:after="120" w:line="240" w:lineRule="auto"/>
        <w:rPr>
          <w:rFonts w:cs="Arial"/>
        </w:rPr>
      </w:pPr>
      <w:r>
        <w:rPr>
          <w:rFonts w:cs="Arial"/>
        </w:rPr>
        <w:br w:type="page"/>
      </w:r>
    </w:p>
    <w:p w:rsidR="001D5114" w:rsidRPr="007C3B08" w:rsidRDefault="001D5114" w:rsidP="00482BB1">
      <w:pPr>
        <w:spacing w:before="120" w:after="120" w:line="240" w:lineRule="auto"/>
        <w:rPr>
          <w:rFonts w:cs="Arial"/>
        </w:rPr>
      </w:pPr>
    </w:p>
    <w:p w:rsidR="00482BB1" w:rsidRPr="00482BB1" w:rsidRDefault="00482BB1" w:rsidP="00D4740B">
      <w:pPr>
        <w:spacing w:before="120" w:after="120" w:line="240" w:lineRule="auto"/>
        <w:ind w:left="1134" w:right="1417"/>
        <w:rPr>
          <w:rFonts w:cs="Arial"/>
          <w:i/>
        </w:rPr>
      </w:pPr>
      <w:r w:rsidRPr="00482BB1">
        <w:rPr>
          <w:rFonts w:cs="Arial"/>
          <w:i/>
        </w:rPr>
        <w:t>Art. 17. O corte ou a supressão de vegetação primária ou secundária nos estágios médio ou avançado de regeneração do Bioma Mata Atlântica, autorizados por esta Lei, ficam condicionados à compensação ambiental, na forma da destinação de área equivalente à extensão da área desmatada, com as mesmas características ecológicas, na mesma bacia hidrográfica, sempre que possível na mesma microbacia hidrográfica, e, nos casos previstos nos arts. 30 e 31, ambos desta Lei, em áreas localizadas no mesmo Município ou região metropolitana.</w:t>
      </w:r>
    </w:p>
    <w:p w:rsidR="00482BB1" w:rsidRPr="00482BB1" w:rsidRDefault="00482BB1" w:rsidP="00D4740B">
      <w:pPr>
        <w:spacing w:before="120" w:after="120" w:line="240" w:lineRule="auto"/>
        <w:ind w:left="1134" w:right="1417"/>
        <w:rPr>
          <w:rFonts w:cs="Arial"/>
          <w:i/>
        </w:rPr>
      </w:pPr>
      <w:r w:rsidRPr="00482BB1">
        <w:rPr>
          <w:rFonts w:cs="Arial"/>
          <w:i/>
        </w:rPr>
        <w:t>§ 1º Verificada pelo órgão ambiental a impossibilidade da compensação ambiental prevista no caput deste artigo, será exigida a reposição florestal, com espécies nativas, em área equivalente à desmatada, na mesma bacia hidrográfica, sempre que possível na mesma microbacia hidrográfica.[...]</w:t>
      </w:r>
    </w:p>
    <w:p w:rsidR="00482BB1" w:rsidRPr="007C3B08" w:rsidRDefault="00482BB1" w:rsidP="00482BB1">
      <w:pPr>
        <w:spacing w:before="120" w:after="120" w:line="240" w:lineRule="auto"/>
        <w:rPr>
          <w:rFonts w:cs="Arial"/>
        </w:rPr>
      </w:pPr>
      <w:r w:rsidRPr="007C3B08">
        <w:rPr>
          <w:rFonts w:cs="Arial"/>
        </w:rPr>
        <w:t>Assim buscou-se alternativas de ações de compensação desses impactos, que envolvessem intervenções na paisagem das áreas sob influência do empreendimento, voltadas à melhoria da qualidade ambiental, garantindo, assim, a conservação dos processos biológicos, necessários à manutenção da biodiversidade.</w:t>
      </w:r>
    </w:p>
    <w:p w:rsidR="00482BB1" w:rsidRPr="007C3B08" w:rsidRDefault="00482BB1" w:rsidP="00482BB1">
      <w:pPr>
        <w:spacing w:before="120" w:after="120" w:line="240" w:lineRule="auto"/>
        <w:rPr>
          <w:rFonts w:cs="Arial"/>
        </w:rPr>
      </w:pPr>
      <w:r w:rsidRPr="007C3B08">
        <w:rPr>
          <w:rFonts w:cs="Arial"/>
        </w:rPr>
        <w:t>A perda e a fragmentação do hábitat são dois processos que ocorrem na escala da paisagem e muitos cientistas os apontam como as mais importantes ameaças para a conservação da biodiversidade (Wilcox e Murphy 1985, Noss 1991, Lamont et. al. 1993, Didham et al. 1996). Debate corrente na literatura especializada (revisão em Fahrig 2002 e 2003, Fahrig 2001, Radford e Bennett, 2004) aponta que os efeitos relativos destas variáveis, apesar de importantes para a conservação de espécies (Fahrig e Merriam 1994, Fahrig 1998, Bruun 2000, Burke e Nol 2000, Hill e Curran 2003, Borgella e Gavin 2005), não são similares e nem independentes.</w:t>
      </w:r>
    </w:p>
    <w:p w:rsidR="00482BB1" w:rsidRPr="007C3B08" w:rsidRDefault="00482BB1" w:rsidP="00482BB1">
      <w:pPr>
        <w:spacing w:before="120" w:after="120" w:line="240" w:lineRule="auto"/>
        <w:rPr>
          <w:rFonts w:cs="Arial"/>
        </w:rPr>
      </w:pPr>
      <w:r w:rsidRPr="007C3B08">
        <w:rPr>
          <w:rFonts w:cs="Arial"/>
        </w:rPr>
        <w:t>Os processos de perda e fragmentação do hábitat resultam em paisagens, como nos casos em estudo, com fragmentos de tamanho pequeno e bastante isolados (With 1997, Fahrig 2003). Nestes casos, o tamanho e a conectividade dos fragmentos influenciariam diretamente a presença das espécies (Fahrig e Merriam 1985, Taylor et al. 1993, Fahrig e Merriam 1994, Hanski e Simberloff 1997, Metzger e Décamps 1997, Beier e Noss 1998, Metzger 2000, Antongiovanni e Metzger 2005).</w:t>
      </w:r>
    </w:p>
    <w:p w:rsidR="00482BB1" w:rsidRPr="007C3B08" w:rsidRDefault="00482BB1" w:rsidP="00482BB1">
      <w:pPr>
        <w:spacing w:before="120" w:after="120" w:line="240" w:lineRule="auto"/>
        <w:rPr>
          <w:rFonts w:cs="Arial"/>
        </w:rPr>
      </w:pPr>
      <w:r w:rsidRPr="007C3B08">
        <w:rPr>
          <w:rFonts w:cs="Arial"/>
        </w:rPr>
        <w:t xml:space="preserve">O tamanho do fragmento está relacionado ao tamanho populacional, e desta maneira associado às probabilidades de extinção das espécies no fragmento focal (Temple e Cary 1988, Roth e Johnson 1993, Jules 1998, veja também Debinski e Holt 2000 e </w:t>
      </w:r>
      <w:r w:rsidRPr="00482BB1">
        <w:rPr>
          <w:rFonts w:cs="Arial"/>
        </w:rPr>
        <w:t>Bowman et al. 2002</w:t>
      </w:r>
      <w:r w:rsidRPr="007C3B08">
        <w:rPr>
          <w:rFonts w:cs="Arial"/>
        </w:rPr>
        <w:t xml:space="preserve">). Por outro lado, a conectividade, que é uma medida de fluxo de indivíduos ou genes pela paisagem, está relacionada com as probabilidades de (re)colonização (Fahrig e Merriam 1985, Hanski e Simberloff 1997, Franken e Hik 2004) e com o efeito de resgate (Brown e Kodrick-Brown 1977), processos-chave para a manutenção de populações em ambientes fragmentados (Levins 1969, Fahrig e Merriam 1985, Hanski e Simberloff 1997). </w:t>
      </w:r>
    </w:p>
    <w:p w:rsidR="00482BB1" w:rsidRDefault="00482BB1" w:rsidP="00482BB1">
      <w:pPr>
        <w:spacing w:before="120" w:after="120" w:line="240" w:lineRule="auto"/>
        <w:rPr>
          <w:rFonts w:cs="Arial"/>
        </w:rPr>
      </w:pPr>
      <w:r w:rsidRPr="007C3B08">
        <w:rPr>
          <w:rFonts w:cs="Arial"/>
        </w:rPr>
        <w:t>Neste sentido é proposto no Subprograma de Incremento da Conectividade, a adoção de um método para a seleção das áreas a serem recuperadas de modo a garantir a maximização da conservação da diversidade biológica da região. Desta forma propõem-se o uso das ferramentas da Ecologia de Paisagem para a definição das áreas de maior interesse para que sejam realizadas intervenções (ex aumento do tamanho dos fragmentos, enriquecimento dos remanescentes, melhoria da relação perímetro/área, aumento da conectividade entre fragmentos) voltadas à melhoria das condições ambientais de modo a assegurar a conservação (ou mesmo o incremento) da biodiversidade da região</w:t>
      </w:r>
      <w:r w:rsidR="008C15C3">
        <w:rPr>
          <w:rFonts w:cs="Arial"/>
        </w:rPr>
        <w:t xml:space="preserve"> onde se inserem as barragens</w:t>
      </w:r>
      <w:r w:rsidRPr="007C3B08">
        <w:rPr>
          <w:rFonts w:cs="Arial"/>
        </w:rPr>
        <w:t xml:space="preserve"> Pedreira e Duas Pontes).</w:t>
      </w:r>
    </w:p>
    <w:p w:rsidR="001D5114" w:rsidRDefault="001D5114" w:rsidP="00482BB1">
      <w:pPr>
        <w:spacing w:before="120" w:after="120" w:line="240" w:lineRule="auto"/>
        <w:rPr>
          <w:rFonts w:cs="Arial"/>
        </w:rPr>
      </w:pPr>
      <w:r>
        <w:rPr>
          <w:rFonts w:cs="Arial"/>
        </w:rPr>
        <w:br w:type="page"/>
      </w:r>
    </w:p>
    <w:p w:rsidR="001D5114" w:rsidRPr="007C3B08" w:rsidRDefault="001D5114" w:rsidP="00482BB1">
      <w:pPr>
        <w:spacing w:before="120" w:after="120" w:line="240" w:lineRule="auto"/>
        <w:rPr>
          <w:rFonts w:cs="Arial"/>
        </w:rPr>
      </w:pPr>
    </w:p>
    <w:p w:rsidR="00482BB1" w:rsidRPr="00EE40BE" w:rsidRDefault="00482BB1" w:rsidP="00482BB1">
      <w:pPr>
        <w:spacing w:before="120" w:after="120" w:line="240" w:lineRule="auto"/>
        <w:rPr>
          <w:rFonts w:cs="Arial"/>
          <w:b/>
          <w:i/>
        </w:rPr>
      </w:pPr>
      <w:r w:rsidRPr="00EE40BE">
        <w:rPr>
          <w:rFonts w:cs="Arial"/>
          <w:b/>
          <w:i/>
        </w:rPr>
        <w:t>b) Reflorestamento das APPs dos Futuros Reservatórios</w:t>
      </w:r>
    </w:p>
    <w:p w:rsidR="00482BB1" w:rsidRPr="0036167C" w:rsidRDefault="00482BB1" w:rsidP="00482BB1">
      <w:pPr>
        <w:spacing w:before="120" w:after="120" w:line="240" w:lineRule="auto"/>
        <w:rPr>
          <w:rFonts w:cs="Arial"/>
        </w:rPr>
      </w:pPr>
      <w:r>
        <w:rPr>
          <w:rFonts w:cs="Arial"/>
        </w:rPr>
        <w:t xml:space="preserve">A </w:t>
      </w:r>
      <w:r w:rsidRPr="0036167C">
        <w:rPr>
          <w:rFonts w:cs="Arial"/>
        </w:rPr>
        <w:t xml:space="preserve">Lei Federal </w:t>
      </w:r>
      <w:r w:rsidR="00B04DAB">
        <w:rPr>
          <w:rFonts w:eastAsia="Batang"/>
          <w:lang w:eastAsia="en-US"/>
        </w:rPr>
        <w:t>n</w:t>
      </w:r>
      <w:r w:rsidR="00B04DAB" w:rsidRPr="00F94909">
        <w:rPr>
          <w:rFonts w:eastAsia="Batang"/>
          <w:u w:val="single"/>
          <w:vertAlign w:val="superscript"/>
          <w:lang w:eastAsia="en-US"/>
        </w:rPr>
        <w:t>o</w:t>
      </w:r>
      <w:r w:rsidR="00B04DAB" w:rsidRPr="0036167C">
        <w:rPr>
          <w:rFonts w:cs="Arial"/>
        </w:rPr>
        <w:t xml:space="preserve"> </w:t>
      </w:r>
      <w:r w:rsidRPr="0036167C">
        <w:rPr>
          <w:rFonts w:cs="Arial"/>
        </w:rPr>
        <w:t xml:space="preserve">12.651/2012 (com alterações da Lei Federal </w:t>
      </w:r>
      <w:r w:rsidR="00B04DAB">
        <w:rPr>
          <w:rFonts w:eastAsia="Batang"/>
          <w:lang w:eastAsia="en-US"/>
        </w:rPr>
        <w:t>n</w:t>
      </w:r>
      <w:r w:rsidR="00B04DAB" w:rsidRPr="00F94909">
        <w:rPr>
          <w:rFonts w:eastAsia="Batang"/>
          <w:u w:val="single"/>
          <w:vertAlign w:val="superscript"/>
          <w:lang w:eastAsia="en-US"/>
        </w:rPr>
        <w:t>o</w:t>
      </w:r>
      <w:r w:rsidR="00B04DAB" w:rsidRPr="0036167C">
        <w:rPr>
          <w:rFonts w:cs="Arial"/>
        </w:rPr>
        <w:t xml:space="preserve"> </w:t>
      </w:r>
      <w:r w:rsidRPr="0036167C">
        <w:rPr>
          <w:rFonts w:cs="Arial"/>
        </w:rPr>
        <w:t xml:space="preserve">12.727/2012), que instituiu o Novo Código Florestal e revogou a Lei Federal </w:t>
      </w:r>
      <w:r w:rsidR="00B04DAB">
        <w:rPr>
          <w:rFonts w:eastAsia="Batang"/>
          <w:lang w:eastAsia="en-US"/>
        </w:rPr>
        <w:t>n</w:t>
      </w:r>
      <w:r w:rsidR="00B04DAB" w:rsidRPr="00F94909">
        <w:rPr>
          <w:rFonts w:eastAsia="Batang"/>
          <w:u w:val="single"/>
          <w:vertAlign w:val="superscript"/>
          <w:lang w:eastAsia="en-US"/>
        </w:rPr>
        <w:t>o</w:t>
      </w:r>
      <w:r w:rsidR="00B04DAB" w:rsidRPr="0036167C">
        <w:rPr>
          <w:rFonts w:cs="Arial"/>
        </w:rPr>
        <w:t xml:space="preserve"> </w:t>
      </w:r>
      <w:r w:rsidRPr="0036167C">
        <w:rPr>
          <w:rFonts w:cs="Arial"/>
        </w:rPr>
        <w:t>4.771/1965; define as Áreas de Preservação Permanente (APPs),</w:t>
      </w:r>
      <w:r>
        <w:rPr>
          <w:rFonts w:cs="Arial"/>
        </w:rPr>
        <w:t xml:space="preserve"> incluindo aquelas associadas a </w:t>
      </w:r>
      <w:r w:rsidRPr="0036167C">
        <w:rPr>
          <w:rFonts w:cs="Arial"/>
        </w:rPr>
        <w:t>reservatórios d'água artificiais, conforme descrito a seguir.</w:t>
      </w:r>
    </w:p>
    <w:p w:rsidR="00482BB1" w:rsidRPr="0036167C" w:rsidRDefault="00482BB1" w:rsidP="00482BB1">
      <w:pPr>
        <w:spacing w:before="120" w:after="120" w:line="240" w:lineRule="auto"/>
        <w:rPr>
          <w:rFonts w:cs="Arial"/>
        </w:rPr>
      </w:pPr>
      <w:r w:rsidRPr="0036167C">
        <w:rPr>
          <w:rFonts w:cs="Arial"/>
        </w:rPr>
        <w:t>De acordo com o Inciso II, Artigo 3º do referido dispositivo legal, a APP é definida como:</w:t>
      </w:r>
    </w:p>
    <w:p w:rsidR="00482BB1" w:rsidRPr="00482BB1" w:rsidRDefault="00482BB1" w:rsidP="00D4740B">
      <w:pPr>
        <w:spacing w:before="120" w:after="120" w:line="240" w:lineRule="auto"/>
        <w:ind w:left="1134" w:right="1417"/>
        <w:rPr>
          <w:rFonts w:cs="Arial"/>
          <w:i/>
        </w:rPr>
      </w:pPr>
      <w:r w:rsidRPr="00482BB1">
        <w:rPr>
          <w:rFonts w:cs="Arial"/>
          <w:i/>
        </w:rPr>
        <w:t>[...] área protegida, coberta ou não por vegetação nativa, com a função ambiental de preservar os recursos hídricos, a paisagem, a estabilidade geológica e a biodiversidade, facilitar o fluxo gênico de fauna e flora, proteger o solo e assegurar o bem-estar das populações humanas;</w:t>
      </w:r>
    </w:p>
    <w:p w:rsidR="00482BB1" w:rsidRPr="0036167C" w:rsidRDefault="00482BB1" w:rsidP="00482BB1">
      <w:pPr>
        <w:spacing w:before="120" w:after="120" w:line="240" w:lineRule="auto"/>
        <w:rPr>
          <w:rFonts w:cs="Arial"/>
        </w:rPr>
      </w:pPr>
      <w:r w:rsidRPr="0036167C">
        <w:rPr>
          <w:rFonts w:cs="Arial"/>
        </w:rPr>
        <w:t xml:space="preserve">O Artigo 4º da Lei Federal </w:t>
      </w:r>
      <w:r w:rsidR="00B04DAB">
        <w:rPr>
          <w:rFonts w:eastAsia="Batang"/>
          <w:lang w:eastAsia="en-US"/>
        </w:rPr>
        <w:t>n</w:t>
      </w:r>
      <w:r w:rsidR="00B04DAB" w:rsidRPr="00F94909">
        <w:rPr>
          <w:rFonts w:eastAsia="Batang"/>
          <w:u w:val="single"/>
          <w:vertAlign w:val="superscript"/>
          <w:lang w:eastAsia="en-US"/>
        </w:rPr>
        <w:t>o</w:t>
      </w:r>
      <w:r w:rsidR="00B04DAB" w:rsidRPr="0036167C">
        <w:rPr>
          <w:rFonts w:cs="Arial"/>
        </w:rPr>
        <w:t xml:space="preserve"> </w:t>
      </w:r>
      <w:r w:rsidRPr="0036167C">
        <w:rPr>
          <w:rFonts w:cs="Arial"/>
        </w:rPr>
        <w:t>12.651/2012, por sua vez, considera APPs, em zonas rurais ou urbanas, entre outras áreas:</w:t>
      </w:r>
    </w:p>
    <w:p w:rsidR="00482BB1" w:rsidRPr="00482BB1" w:rsidRDefault="00482BB1" w:rsidP="00D4740B">
      <w:pPr>
        <w:spacing w:before="120" w:after="120" w:line="240" w:lineRule="auto"/>
        <w:ind w:left="1134" w:right="1417"/>
        <w:rPr>
          <w:rFonts w:cs="Arial"/>
          <w:i/>
        </w:rPr>
      </w:pPr>
      <w:r w:rsidRPr="00482BB1">
        <w:rPr>
          <w:rFonts w:cs="Arial"/>
          <w:i/>
        </w:rPr>
        <w:t xml:space="preserve">III - as áreas no entorno dos reservatórios d’água artificiais, decorrentes de barramento ou represamento de cursos d’água naturais, na faixa definida na licença ambiental do empreendimento; (Incluído pela Lei </w:t>
      </w:r>
      <w:r w:rsidR="00B04DAB">
        <w:rPr>
          <w:rFonts w:eastAsia="Batang"/>
          <w:lang w:eastAsia="en-US"/>
        </w:rPr>
        <w:t>n</w:t>
      </w:r>
      <w:r w:rsidR="00B04DAB" w:rsidRPr="00F94909">
        <w:rPr>
          <w:rFonts w:eastAsia="Batang"/>
          <w:u w:val="single"/>
          <w:vertAlign w:val="superscript"/>
          <w:lang w:eastAsia="en-US"/>
        </w:rPr>
        <w:t>o</w:t>
      </w:r>
      <w:r w:rsidR="00B04DAB" w:rsidRPr="00482BB1">
        <w:rPr>
          <w:rFonts w:cs="Arial"/>
          <w:i/>
        </w:rPr>
        <w:t xml:space="preserve"> </w:t>
      </w:r>
      <w:r w:rsidRPr="00482BB1">
        <w:rPr>
          <w:rFonts w:cs="Arial"/>
          <w:i/>
        </w:rPr>
        <w:t>12.727, de 2012).</w:t>
      </w:r>
    </w:p>
    <w:p w:rsidR="00482BB1" w:rsidRDefault="00482BB1" w:rsidP="00482BB1">
      <w:pPr>
        <w:spacing w:before="120" w:after="120" w:line="240" w:lineRule="auto"/>
        <w:rPr>
          <w:rFonts w:cs="Arial"/>
        </w:rPr>
      </w:pPr>
      <w:r>
        <w:rPr>
          <w:rFonts w:cs="Arial"/>
        </w:rPr>
        <w:t>Desta forma, o Subp</w:t>
      </w:r>
      <w:r w:rsidRPr="0036167C">
        <w:rPr>
          <w:rFonts w:cs="Arial"/>
        </w:rPr>
        <w:t>rograma de Reflorestamento da</w:t>
      </w:r>
      <w:r>
        <w:rPr>
          <w:rFonts w:cs="Arial"/>
        </w:rPr>
        <w:t>s</w:t>
      </w:r>
      <w:r w:rsidRPr="0036167C">
        <w:rPr>
          <w:rFonts w:cs="Arial"/>
        </w:rPr>
        <w:t xml:space="preserve"> APP</w:t>
      </w:r>
      <w:r>
        <w:rPr>
          <w:rFonts w:cs="Arial"/>
        </w:rPr>
        <w:t>s</w:t>
      </w:r>
      <w:r w:rsidRPr="0036167C">
        <w:rPr>
          <w:rFonts w:cs="Arial"/>
        </w:rPr>
        <w:t xml:space="preserve"> do</w:t>
      </w:r>
      <w:r>
        <w:rPr>
          <w:rFonts w:cs="Arial"/>
        </w:rPr>
        <w:t>s</w:t>
      </w:r>
      <w:r w:rsidRPr="0036167C">
        <w:rPr>
          <w:rFonts w:cs="Arial"/>
        </w:rPr>
        <w:t xml:space="preserve"> Futuro</w:t>
      </w:r>
      <w:r>
        <w:rPr>
          <w:rFonts w:cs="Arial"/>
        </w:rPr>
        <w:t>s</w:t>
      </w:r>
      <w:r w:rsidRPr="0036167C">
        <w:rPr>
          <w:rFonts w:cs="Arial"/>
        </w:rPr>
        <w:t xml:space="preserve"> Reservatório</w:t>
      </w:r>
      <w:r>
        <w:rPr>
          <w:rFonts w:cs="Arial"/>
        </w:rPr>
        <w:t>s</w:t>
      </w:r>
      <w:r w:rsidRPr="0036167C">
        <w:rPr>
          <w:rFonts w:cs="Arial"/>
        </w:rPr>
        <w:t xml:space="preserve">, vem ao encontro das obrigações legais do empreendimento, seja com relação à necessidade de se compensar as formações vegetais nativas suprimidas para a implantação </w:t>
      </w:r>
      <w:r w:rsidR="008C15C3">
        <w:rPr>
          <w:rFonts w:cs="Arial"/>
        </w:rPr>
        <w:t>das barragens</w:t>
      </w:r>
      <w:r>
        <w:rPr>
          <w:rFonts w:cs="Arial"/>
        </w:rPr>
        <w:t xml:space="preserve"> Pedreira e Duas Pontes</w:t>
      </w:r>
      <w:r w:rsidRPr="0036167C">
        <w:rPr>
          <w:rFonts w:cs="Arial"/>
        </w:rPr>
        <w:t xml:space="preserve">, seja para cumprir suas obrigações em relação ao reflorestamento das novas APPs definidas </w:t>
      </w:r>
      <w:r>
        <w:rPr>
          <w:rFonts w:cs="Arial"/>
        </w:rPr>
        <w:t>pela</w:t>
      </w:r>
      <w:r w:rsidRPr="0036167C">
        <w:rPr>
          <w:rFonts w:cs="Arial"/>
        </w:rPr>
        <w:t xml:space="preserve"> criação de </w:t>
      </w:r>
      <w:r>
        <w:rPr>
          <w:rFonts w:cs="Arial"/>
        </w:rPr>
        <w:t>dois</w:t>
      </w:r>
      <w:r w:rsidRPr="0036167C">
        <w:rPr>
          <w:rFonts w:cs="Arial"/>
        </w:rPr>
        <w:t xml:space="preserve"> novo</w:t>
      </w:r>
      <w:r>
        <w:rPr>
          <w:rFonts w:cs="Arial"/>
        </w:rPr>
        <w:t>s</w:t>
      </w:r>
      <w:r w:rsidRPr="0036167C">
        <w:rPr>
          <w:rFonts w:cs="Arial"/>
        </w:rPr>
        <w:t xml:space="preserve"> reservatório</w:t>
      </w:r>
      <w:r>
        <w:rPr>
          <w:rFonts w:cs="Arial"/>
        </w:rPr>
        <w:t>s</w:t>
      </w:r>
      <w:r w:rsidRPr="0036167C">
        <w:rPr>
          <w:rFonts w:cs="Arial"/>
        </w:rPr>
        <w:t xml:space="preserve"> artificial.</w:t>
      </w:r>
    </w:p>
    <w:p w:rsidR="00482BB1" w:rsidRPr="0036167C" w:rsidRDefault="00482BB1" w:rsidP="000F0749">
      <w:pPr>
        <w:spacing w:before="120" w:after="120" w:line="240" w:lineRule="auto"/>
        <w:rPr>
          <w:rFonts w:cs="Arial"/>
        </w:rPr>
      </w:pPr>
      <w:r>
        <w:rPr>
          <w:rFonts w:cs="Arial"/>
        </w:rPr>
        <w:t>Assim, as ações previstas no Programa de Revegetação e Enriquecimento Florestal visam a melhoria da qualidade ambiental da região, aumentando as áreas cobertas por vegetação nativa de modo a garantia a conservação da diversidade biológica existente na região destes empreendimentos.</w:t>
      </w:r>
    </w:p>
    <w:p w:rsidR="00482BB1" w:rsidRPr="00D4740B" w:rsidRDefault="00482BB1" w:rsidP="00431A97">
      <w:pPr>
        <w:pStyle w:val="Ttulo3"/>
        <w:numPr>
          <w:ilvl w:val="3"/>
          <w:numId w:val="84"/>
        </w:numPr>
        <w:spacing w:after="240"/>
        <w:rPr>
          <w:rFonts w:ascii="Arial Negrito" w:hAnsi="Arial Negrito"/>
          <w:b w:val="0"/>
        </w:rPr>
      </w:pPr>
      <w:bookmarkStart w:id="1109" w:name="_Toc418758446"/>
      <w:bookmarkStart w:id="1110" w:name="_Toc418759048"/>
      <w:bookmarkStart w:id="1111" w:name="_Toc419813820"/>
      <w:r w:rsidRPr="00D4740B">
        <w:rPr>
          <w:rFonts w:ascii="Arial Negrito" w:hAnsi="Arial Negrito"/>
          <w:b w:val="0"/>
        </w:rPr>
        <w:t>Objetivos</w:t>
      </w:r>
      <w:bookmarkEnd w:id="1109"/>
      <w:bookmarkEnd w:id="1110"/>
      <w:bookmarkEnd w:id="1111"/>
    </w:p>
    <w:p w:rsidR="00482BB1" w:rsidRPr="00487952" w:rsidRDefault="00482BB1" w:rsidP="000F0749">
      <w:pPr>
        <w:spacing w:before="120" w:after="120" w:line="240" w:lineRule="auto"/>
        <w:rPr>
          <w:rFonts w:cs="Arial"/>
        </w:rPr>
      </w:pPr>
      <w:r w:rsidRPr="00487952">
        <w:rPr>
          <w:rFonts w:cs="Arial"/>
        </w:rPr>
        <w:t>O objetivo principal do Programa de Revegetação e Enriquecimento Florestal é a melhoria da qualidade ambiental da regiã</w:t>
      </w:r>
      <w:r w:rsidR="008C15C3">
        <w:rPr>
          <w:rFonts w:cs="Arial"/>
        </w:rPr>
        <w:t>o onde se insere as barragens</w:t>
      </w:r>
      <w:r w:rsidRPr="00487952">
        <w:rPr>
          <w:rFonts w:cs="Arial"/>
        </w:rPr>
        <w:t xml:space="preserve"> Pedreira e Duas Pontes. Os objetivos específicos são apresentados a seguir, por subprograma.</w:t>
      </w:r>
    </w:p>
    <w:p w:rsidR="00482BB1" w:rsidRPr="00487952" w:rsidRDefault="00482BB1" w:rsidP="000F0749">
      <w:pPr>
        <w:spacing w:before="120" w:after="120" w:line="240" w:lineRule="auto"/>
        <w:rPr>
          <w:rFonts w:cs="Arial"/>
        </w:rPr>
      </w:pPr>
      <w:r w:rsidRPr="00487952">
        <w:rPr>
          <w:rFonts w:cs="Arial"/>
        </w:rPr>
        <w:t>O Subprograma de Incremento da Conectividade tem como objetivo específico contribuir para a conservação da biodiversidade (fauna e flora terrestres) existente na região do empreendimento por meio de intervenções na paisagem que aumentem a conectividade entre os remanescentes de florestas nativas.</w:t>
      </w:r>
    </w:p>
    <w:p w:rsidR="00482BB1" w:rsidRPr="00487952" w:rsidRDefault="00482BB1" w:rsidP="000F0749">
      <w:pPr>
        <w:spacing w:before="120" w:after="120" w:line="240" w:lineRule="auto"/>
        <w:rPr>
          <w:rFonts w:cs="Arial"/>
        </w:rPr>
      </w:pPr>
      <w:r w:rsidRPr="00487952">
        <w:rPr>
          <w:rFonts w:cs="Arial"/>
        </w:rPr>
        <w:t>O Subprograma de Reflorestamento das APPs dos Futuros Reservatórios tem como objetivos específicos:</w:t>
      </w:r>
    </w:p>
    <w:p w:rsidR="00482BB1" w:rsidRPr="000F0749" w:rsidRDefault="00482BB1" w:rsidP="00176F1A">
      <w:pPr>
        <w:pStyle w:val="Item-Bolinha"/>
      </w:pPr>
      <w:r w:rsidRPr="000F0749">
        <w:t>Garantir que a diversidade e estrutura final dessas áreas reflorestadas sejam semelhantes às das formações naturais;</w:t>
      </w:r>
    </w:p>
    <w:p w:rsidR="00482BB1" w:rsidRPr="000F0749" w:rsidRDefault="00482BB1" w:rsidP="00176F1A">
      <w:pPr>
        <w:pStyle w:val="Item-Bolinha"/>
      </w:pPr>
      <w:r w:rsidRPr="000F0749">
        <w:t>Aumentar a conectividade entre os fragmentos remanescentes (de forma complementar ao Subprograma de Incremento da Conectividade); e</w:t>
      </w:r>
    </w:p>
    <w:p w:rsidR="00482BB1" w:rsidRPr="000F0749" w:rsidRDefault="00482BB1" w:rsidP="00176F1A">
      <w:pPr>
        <w:pStyle w:val="Item-Bolinha"/>
      </w:pPr>
      <w:r w:rsidRPr="000F0749">
        <w:t>Garantir maior proteção às margens dos reservatórios, inibindo o estabelecimento de processo de dinâmica superficial.</w:t>
      </w:r>
    </w:p>
    <w:p w:rsidR="00482BB1" w:rsidRPr="00D4740B" w:rsidRDefault="00482BB1" w:rsidP="00431A97">
      <w:pPr>
        <w:pStyle w:val="Ttulo3"/>
        <w:numPr>
          <w:ilvl w:val="3"/>
          <w:numId w:val="84"/>
        </w:numPr>
        <w:spacing w:after="240"/>
        <w:ind w:left="1077" w:hanging="1077"/>
        <w:rPr>
          <w:rFonts w:ascii="Arial Negrito" w:hAnsi="Arial Negrito"/>
          <w:b w:val="0"/>
        </w:rPr>
      </w:pPr>
      <w:bookmarkStart w:id="1112" w:name="_Toc418758447"/>
      <w:bookmarkStart w:id="1113" w:name="_Toc418759049"/>
      <w:bookmarkStart w:id="1114" w:name="_Toc419813821"/>
      <w:r w:rsidRPr="00D4740B">
        <w:rPr>
          <w:rFonts w:ascii="Arial Negrito" w:hAnsi="Arial Negrito"/>
          <w:b w:val="0"/>
        </w:rPr>
        <w:t>Metas</w:t>
      </w:r>
      <w:bookmarkEnd w:id="1112"/>
      <w:bookmarkEnd w:id="1113"/>
      <w:bookmarkEnd w:id="1114"/>
    </w:p>
    <w:p w:rsidR="00482BB1" w:rsidRPr="0036167C" w:rsidRDefault="00482BB1" w:rsidP="000F0749">
      <w:pPr>
        <w:spacing w:before="120" w:after="120" w:line="240" w:lineRule="auto"/>
        <w:rPr>
          <w:rFonts w:cs="Arial"/>
        </w:rPr>
      </w:pPr>
      <w:r w:rsidRPr="00487952">
        <w:rPr>
          <w:rFonts w:cs="Arial"/>
        </w:rPr>
        <w:t>A meta do Programa de Revegetação e Enriquecimento Florestal é realizar o reflorestamento dessas áreas (objeto de ambos os subprogramas), antes do início da fase de operação dos empreendimentos.</w:t>
      </w:r>
    </w:p>
    <w:p w:rsidR="00482BB1" w:rsidRPr="00D4740B" w:rsidRDefault="00482BB1" w:rsidP="00431A97">
      <w:pPr>
        <w:pStyle w:val="Ttulo3"/>
        <w:numPr>
          <w:ilvl w:val="3"/>
          <w:numId w:val="84"/>
        </w:numPr>
        <w:spacing w:after="240"/>
        <w:ind w:left="1077" w:hanging="1077"/>
        <w:rPr>
          <w:rFonts w:ascii="Arial Negrito" w:hAnsi="Arial Negrito"/>
          <w:b w:val="0"/>
        </w:rPr>
      </w:pPr>
      <w:bookmarkStart w:id="1115" w:name="_Toc418758448"/>
      <w:bookmarkStart w:id="1116" w:name="_Toc418759050"/>
      <w:bookmarkStart w:id="1117" w:name="_Toc419813822"/>
      <w:r w:rsidRPr="00D4740B">
        <w:rPr>
          <w:rFonts w:ascii="Arial Negrito" w:hAnsi="Arial Negrito"/>
          <w:b w:val="0"/>
        </w:rPr>
        <w:t>Público-alvo</w:t>
      </w:r>
      <w:bookmarkEnd w:id="1115"/>
      <w:bookmarkEnd w:id="1116"/>
      <w:bookmarkEnd w:id="1117"/>
    </w:p>
    <w:p w:rsidR="00482BB1" w:rsidRPr="0036167C" w:rsidRDefault="00482BB1" w:rsidP="000F0749">
      <w:pPr>
        <w:spacing w:before="120" w:after="120" w:line="240" w:lineRule="auto"/>
        <w:rPr>
          <w:rFonts w:cs="Arial"/>
        </w:rPr>
      </w:pPr>
      <w:r w:rsidRPr="00487952">
        <w:rPr>
          <w:rFonts w:cs="Arial"/>
        </w:rPr>
        <w:t>O público alvo do Programa de Revegetação e Enriquecimento Florestal é formado pelos gerenciadores do empreendimento; empresas contratadas para execução dos serviços de reflorestamento; assim como os órgãos ambientais e comunidade (ex. ONGs e universidades).</w:t>
      </w:r>
    </w:p>
    <w:p w:rsidR="00482BB1" w:rsidRPr="00D4740B" w:rsidRDefault="00482BB1" w:rsidP="00431A97">
      <w:pPr>
        <w:pStyle w:val="Ttulo3"/>
        <w:numPr>
          <w:ilvl w:val="3"/>
          <w:numId w:val="84"/>
        </w:numPr>
        <w:spacing w:after="240"/>
        <w:ind w:left="1077" w:hanging="1077"/>
        <w:rPr>
          <w:rFonts w:ascii="Arial Negrito" w:hAnsi="Arial Negrito"/>
          <w:b w:val="0"/>
        </w:rPr>
      </w:pPr>
      <w:bookmarkStart w:id="1118" w:name="_Toc418758449"/>
      <w:bookmarkStart w:id="1119" w:name="_Toc418759051"/>
      <w:bookmarkStart w:id="1120" w:name="_Toc419813823"/>
      <w:r w:rsidRPr="00D4740B">
        <w:rPr>
          <w:rFonts w:ascii="Arial Negrito" w:hAnsi="Arial Negrito"/>
          <w:b w:val="0"/>
        </w:rPr>
        <w:t>Subprograma de Incremento da Conectividade</w:t>
      </w:r>
      <w:bookmarkEnd w:id="1118"/>
      <w:bookmarkEnd w:id="1119"/>
      <w:bookmarkEnd w:id="1120"/>
    </w:p>
    <w:p w:rsidR="00482BB1" w:rsidRDefault="00482BB1" w:rsidP="000F0749">
      <w:pPr>
        <w:spacing w:before="120" w:after="120" w:line="240" w:lineRule="auto"/>
        <w:rPr>
          <w:rFonts w:cs="Arial"/>
        </w:rPr>
      </w:pPr>
      <w:r>
        <w:rPr>
          <w:rFonts w:cs="Arial"/>
        </w:rPr>
        <w:t>Neste item são apresentadas os métodos e procedimentos, assim como</w:t>
      </w:r>
      <w:r w:rsidRPr="0036167C">
        <w:rPr>
          <w:rFonts w:cs="Arial"/>
        </w:rPr>
        <w:t xml:space="preserve"> os indicadores ambientais e o</w:t>
      </w:r>
      <w:r>
        <w:rPr>
          <w:rFonts w:cs="Arial"/>
        </w:rPr>
        <w:t>s recursos materiais e humanos do Subprograma de Incremento da Conectividade.</w:t>
      </w:r>
    </w:p>
    <w:p w:rsidR="00482BB1" w:rsidRPr="00D4740B" w:rsidRDefault="00482BB1" w:rsidP="00431A97">
      <w:pPr>
        <w:pStyle w:val="Ttulo3"/>
        <w:numPr>
          <w:ilvl w:val="3"/>
          <w:numId w:val="84"/>
        </w:numPr>
        <w:spacing w:after="240"/>
        <w:ind w:left="1077" w:hanging="1077"/>
        <w:rPr>
          <w:rFonts w:ascii="Arial Negrito" w:hAnsi="Arial Negrito"/>
          <w:b w:val="0"/>
        </w:rPr>
      </w:pPr>
      <w:bookmarkStart w:id="1121" w:name="_Toc418758450"/>
      <w:bookmarkStart w:id="1122" w:name="_Toc418759052"/>
      <w:bookmarkStart w:id="1123" w:name="_Toc419813824"/>
      <w:r w:rsidRPr="00D4740B">
        <w:rPr>
          <w:rFonts w:ascii="Arial Negrito" w:hAnsi="Arial Negrito"/>
          <w:b w:val="0"/>
        </w:rPr>
        <w:t>Métodos e descrição do programa (procedimentos)</w:t>
      </w:r>
      <w:bookmarkEnd w:id="1121"/>
      <w:bookmarkEnd w:id="1122"/>
      <w:bookmarkEnd w:id="1123"/>
    </w:p>
    <w:p w:rsidR="00482BB1" w:rsidRPr="0036167C" w:rsidRDefault="00482BB1" w:rsidP="000F0749">
      <w:pPr>
        <w:spacing w:before="120" w:after="120" w:line="240" w:lineRule="auto"/>
        <w:rPr>
          <w:rFonts w:cs="Arial"/>
        </w:rPr>
      </w:pPr>
      <w:r w:rsidRPr="0036167C">
        <w:rPr>
          <w:rFonts w:cs="Arial"/>
        </w:rPr>
        <w:t xml:space="preserve">Neste </w:t>
      </w:r>
      <w:r>
        <w:rPr>
          <w:rFonts w:cs="Arial"/>
        </w:rPr>
        <w:t>sub</w:t>
      </w:r>
      <w:r w:rsidRPr="0036167C">
        <w:rPr>
          <w:rFonts w:cs="Arial"/>
        </w:rPr>
        <w:t xml:space="preserve">programa é proposta a análise da paisagem </w:t>
      </w:r>
      <w:r>
        <w:rPr>
          <w:rFonts w:cs="Arial"/>
        </w:rPr>
        <w:t xml:space="preserve">das </w:t>
      </w:r>
      <w:r w:rsidRPr="0036167C">
        <w:rPr>
          <w:rFonts w:cs="Arial"/>
        </w:rPr>
        <w:t>AID</w:t>
      </w:r>
      <w:r>
        <w:rPr>
          <w:rFonts w:cs="Arial"/>
        </w:rPr>
        <w:t>s das barragens Pedreira e Duas Pontes</w:t>
      </w:r>
      <w:r w:rsidRPr="0036167C">
        <w:rPr>
          <w:rFonts w:cs="Arial"/>
        </w:rPr>
        <w:t xml:space="preserve"> para a definição das áreas prioritárias para o estabelecimento da conectividade entre fragmentos de florestas nativas. </w:t>
      </w:r>
    </w:p>
    <w:p w:rsidR="00482BB1" w:rsidRPr="00176F1A" w:rsidRDefault="00482BB1" w:rsidP="00482BB1">
      <w:pPr>
        <w:rPr>
          <w:rFonts w:cs="Arial"/>
          <w:b/>
        </w:rPr>
      </w:pPr>
      <w:r w:rsidRPr="00176F1A">
        <w:rPr>
          <w:rFonts w:cs="Arial"/>
          <w:b/>
        </w:rPr>
        <w:t xml:space="preserve">Atividade 1 – Caracterização dos remanescentes das áreas de estudo </w:t>
      </w:r>
    </w:p>
    <w:p w:rsidR="00482BB1" w:rsidRDefault="00482BB1" w:rsidP="000F0749">
      <w:pPr>
        <w:spacing w:before="120" w:after="120" w:line="240" w:lineRule="auto"/>
        <w:rPr>
          <w:rFonts w:cs="Arial"/>
        </w:rPr>
      </w:pPr>
      <w:r w:rsidRPr="0036167C">
        <w:rPr>
          <w:rFonts w:cs="Arial"/>
        </w:rPr>
        <w:t xml:space="preserve">Para a definição das áreas prioritárias para o restabelecimento da conectividade entre os remanescentes de floresta nativa, será conduzida uma caracterização </w:t>
      </w:r>
      <w:r>
        <w:rPr>
          <w:rFonts w:cs="Arial"/>
        </w:rPr>
        <w:t xml:space="preserve">inicial </w:t>
      </w:r>
      <w:r w:rsidRPr="0036167C">
        <w:rPr>
          <w:rFonts w:cs="Arial"/>
        </w:rPr>
        <w:t>dos fragmentos existentes, usando em particular, os dados disponíveis em literatura e aqueles coletados durante o diagnóstico ambiental realizado no âmbito deste EIA. Desta maneira, cada remanescente de cada fitofisionomia será classificado quanto a sua biodiversidade, baseado também nas variáveis de paisagem, estabelecendo assim para cada unidade da paisagem de ambiente natural, um “índice de biodiversidade”. Serão consideradas as seguintes variáveis da paisagem:</w:t>
      </w:r>
    </w:p>
    <w:p w:rsidR="00482BB1" w:rsidRPr="000F0749" w:rsidRDefault="00482BB1" w:rsidP="00D4740B">
      <w:pPr>
        <w:pStyle w:val="Item-Bolinha"/>
      </w:pPr>
      <w:r w:rsidRPr="000F0749">
        <w:t>Tamanho dos remanescentes;</w:t>
      </w:r>
    </w:p>
    <w:p w:rsidR="00482BB1" w:rsidRPr="000F0749" w:rsidRDefault="00482BB1" w:rsidP="00D4740B">
      <w:pPr>
        <w:pStyle w:val="Item-Bolinha"/>
      </w:pPr>
      <w:r w:rsidRPr="000F0749">
        <w:t>Forma dos remanescentes;</w:t>
      </w:r>
    </w:p>
    <w:p w:rsidR="00482BB1" w:rsidRPr="000F0749" w:rsidRDefault="00482BB1" w:rsidP="00D4740B">
      <w:pPr>
        <w:pStyle w:val="Item-Bolinha"/>
      </w:pPr>
      <w:r w:rsidRPr="000F0749">
        <w:t>Conectividade estrutural;</w:t>
      </w:r>
    </w:p>
    <w:p w:rsidR="00482BB1" w:rsidRPr="000F0749" w:rsidRDefault="00482BB1" w:rsidP="00D4740B">
      <w:pPr>
        <w:pStyle w:val="Item-Bolinha"/>
      </w:pPr>
      <w:r w:rsidRPr="000F0749">
        <w:t>Conectividade funcional;</w:t>
      </w:r>
    </w:p>
    <w:p w:rsidR="00482BB1" w:rsidRPr="000F0749" w:rsidRDefault="00482BB1" w:rsidP="00D4740B">
      <w:pPr>
        <w:pStyle w:val="Item-Bolinha"/>
      </w:pPr>
      <w:r w:rsidRPr="000F0749">
        <w:t>Área de borda;</w:t>
      </w:r>
    </w:p>
    <w:p w:rsidR="00482BB1" w:rsidRPr="000F0749" w:rsidRDefault="00482BB1" w:rsidP="00D4740B">
      <w:pPr>
        <w:pStyle w:val="Item-Bolinha"/>
      </w:pPr>
      <w:r w:rsidRPr="000F0749">
        <w:t>Área core;</w:t>
      </w:r>
    </w:p>
    <w:p w:rsidR="00482BB1" w:rsidRPr="000F0749" w:rsidRDefault="00482BB1" w:rsidP="00D4740B">
      <w:pPr>
        <w:pStyle w:val="Item-Bolinha"/>
      </w:pPr>
      <w:r w:rsidRPr="000F0749">
        <w:t>Distância para possíveis áreas fonte;</w:t>
      </w:r>
    </w:p>
    <w:p w:rsidR="00482BB1" w:rsidRPr="000F0749" w:rsidRDefault="00482BB1" w:rsidP="00D4740B">
      <w:pPr>
        <w:pStyle w:val="Item-Bolinha"/>
      </w:pPr>
      <w:r w:rsidRPr="000F0749">
        <w:t>Distância para vizinho mais próximo; e</w:t>
      </w:r>
    </w:p>
    <w:p w:rsidR="00482BB1" w:rsidRPr="000F0749" w:rsidRDefault="00482BB1" w:rsidP="00D4740B">
      <w:pPr>
        <w:pStyle w:val="Item-Bolinha"/>
      </w:pPr>
      <w:r w:rsidRPr="000F0749">
        <w:t>Índice de proximidade.</w:t>
      </w:r>
    </w:p>
    <w:p w:rsidR="00482BB1" w:rsidRPr="0036167C" w:rsidRDefault="00482BB1" w:rsidP="000F0749">
      <w:pPr>
        <w:spacing w:before="120" w:after="120" w:line="240" w:lineRule="auto"/>
        <w:rPr>
          <w:rFonts w:cs="Arial"/>
        </w:rPr>
      </w:pPr>
      <w:r w:rsidRPr="0036167C">
        <w:rPr>
          <w:rFonts w:cs="Arial"/>
        </w:rPr>
        <w:t>Para a caracterização dos remanescentes da área de estudo e produção do cenário base serão realizados os seguintes cálculos:</w:t>
      </w:r>
    </w:p>
    <w:p w:rsidR="00482BB1" w:rsidRPr="000F0749" w:rsidRDefault="00482BB1" w:rsidP="00D4740B">
      <w:pPr>
        <w:pStyle w:val="Item-Bolinha"/>
      </w:pPr>
      <w:r w:rsidRPr="000F0749">
        <w:t>As áreas de todos os remanescentes de cada uma das AIDs;</w:t>
      </w:r>
    </w:p>
    <w:p w:rsidR="00482BB1" w:rsidRPr="000F0749" w:rsidRDefault="00482BB1" w:rsidP="00D4740B">
      <w:pPr>
        <w:pStyle w:val="Item-Bolinha"/>
      </w:pPr>
      <w:r w:rsidRPr="000F0749">
        <w:t>A área nuclear de todos os remanescentes existentes nas áreas de estudo (considerando-se diferentes áreas de borda, em função de dados de literatura);</w:t>
      </w:r>
    </w:p>
    <w:p w:rsidR="00482BB1" w:rsidRPr="000F0749" w:rsidRDefault="00482BB1" w:rsidP="00D4740B">
      <w:pPr>
        <w:pStyle w:val="Item-Bolinha"/>
      </w:pPr>
      <w:r w:rsidRPr="000F0749">
        <w:t>A área de borda de todos os remanescentes das áreas de estudo (considerando-se diferentes áreas de borda, em função de dados de literatura);</w:t>
      </w:r>
    </w:p>
    <w:p w:rsidR="00482BB1" w:rsidRPr="000F0749" w:rsidRDefault="00482BB1" w:rsidP="00D4740B">
      <w:pPr>
        <w:pStyle w:val="Item-Bolinha"/>
      </w:pPr>
      <w:r w:rsidRPr="000F0749">
        <w:t>Os índices de forma para todos os remanescentes das áreas de estudo;</w:t>
      </w:r>
    </w:p>
    <w:p w:rsidR="00482BB1" w:rsidRPr="000F0749" w:rsidRDefault="00482BB1" w:rsidP="00D4740B">
      <w:pPr>
        <w:pStyle w:val="Item-Bolinha"/>
      </w:pPr>
      <w:r w:rsidRPr="000F0749">
        <w:t>A conectividade estrutural das fitofisionomias;</w:t>
      </w:r>
    </w:p>
    <w:p w:rsidR="00482BB1" w:rsidRPr="000F0749" w:rsidRDefault="00482BB1" w:rsidP="00D4740B">
      <w:pPr>
        <w:pStyle w:val="Item-Bolinha"/>
      </w:pPr>
      <w:r w:rsidRPr="000F0749">
        <w:t>A conectividade estrutural de todos os remanescentes por fitofisionomia, considerando corredores de diferentes larguras e comprimentos;</w:t>
      </w:r>
    </w:p>
    <w:p w:rsidR="00482BB1" w:rsidRPr="000F0749" w:rsidRDefault="00482BB1" w:rsidP="00D4740B">
      <w:pPr>
        <w:pStyle w:val="Item-Bolinha"/>
      </w:pPr>
      <w:r w:rsidRPr="000F0749">
        <w:t>A conectividade funcional, considerando-se organismos com diferentes capacidades de deslocamento e/ou dispersão;</w:t>
      </w:r>
    </w:p>
    <w:p w:rsidR="00482BB1" w:rsidRPr="000F0749" w:rsidRDefault="00482BB1" w:rsidP="00D4740B">
      <w:pPr>
        <w:pStyle w:val="Item-Bolinha"/>
      </w:pPr>
      <w:r w:rsidRPr="000F0749">
        <w:t>A distância ao vizinho mais próximo para remanescentes da mesma fitofisionomia; e</w:t>
      </w:r>
    </w:p>
    <w:p w:rsidR="00482BB1" w:rsidRPr="000F0749" w:rsidRDefault="00482BB1" w:rsidP="00D4740B">
      <w:pPr>
        <w:pStyle w:val="Item-Bolinha"/>
      </w:pPr>
      <w:r w:rsidRPr="000F0749">
        <w:t>O índice de proximidade, onde será medida a contribuição dos remanescentes vizinhos ao remanescente focal.</w:t>
      </w:r>
    </w:p>
    <w:p w:rsidR="00482BB1" w:rsidRPr="00176F1A" w:rsidRDefault="00482BB1" w:rsidP="00D5686D">
      <w:pPr>
        <w:spacing w:before="120" w:after="120" w:line="240" w:lineRule="auto"/>
        <w:rPr>
          <w:rFonts w:cs="Arial"/>
          <w:b/>
        </w:rPr>
      </w:pPr>
      <w:r w:rsidRPr="00176F1A">
        <w:rPr>
          <w:rFonts w:cs="Arial"/>
          <w:b/>
        </w:rPr>
        <w:t>Atividade 2 – Opções de Cenários para a Recuperação de Áreas</w:t>
      </w:r>
    </w:p>
    <w:p w:rsidR="00482BB1" w:rsidRPr="0036167C" w:rsidRDefault="00482BB1" w:rsidP="000F0749">
      <w:pPr>
        <w:spacing w:before="120" w:after="120" w:line="240" w:lineRule="auto"/>
        <w:rPr>
          <w:rFonts w:cs="Arial"/>
        </w:rPr>
      </w:pPr>
      <w:r w:rsidRPr="0036167C">
        <w:rPr>
          <w:rFonts w:cs="Arial"/>
        </w:rPr>
        <w:t>A partir do</w:t>
      </w:r>
      <w:r>
        <w:rPr>
          <w:rFonts w:cs="Arial"/>
        </w:rPr>
        <w:t>s</w:t>
      </w:r>
      <w:r w:rsidRPr="0036167C">
        <w:rPr>
          <w:rFonts w:cs="Arial"/>
        </w:rPr>
        <w:t xml:space="preserve"> cenário</w:t>
      </w:r>
      <w:r>
        <w:rPr>
          <w:rFonts w:cs="Arial"/>
        </w:rPr>
        <w:t>s</w:t>
      </w:r>
      <w:r w:rsidRPr="0036167C">
        <w:rPr>
          <w:rFonts w:cs="Arial"/>
        </w:rPr>
        <w:t xml:space="preserve"> base gerado na Atividade 1 </w:t>
      </w:r>
      <w:r w:rsidR="008C15C3">
        <w:rPr>
          <w:rFonts w:cs="Arial"/>
        </w:rPr>
        <w:t>para a AID da barragem</w:t>
      </w:r>
      <w:r>
        <w:rPr>
          <w:rFonts w:cs="Arial"/>
        </w:rPr>
        <w:t xml:space="preserve"> Pedre</w:t>
      </w:r>
      <w:r w:rsidR="008C15C3">
        <w:rPr>
          <w:rFonts w:cs="Arial"/>
        </w:rPr>
        <w:t xml:space="preserve">ira e para a AID da barragem </w:t>
      </w:r>
      <w:r>
        <w:rPr>
          <w:rFonts w:cs="Arial"/>
        </w:rPr>
        <w:t xml:space="preserve">Duas Pontes </w:t>
      </w:r>
      <w:r w:rsidRPr="0036167C">
        <w:rPr>
          <w:rFonts w:cs="Arial"/>
        </w:rPr>
        <w:t>será, então, produzido diferentes “cenários opções” para a definição das áreas a serem recuperadas para incremento da conectividade, priorizando-se aquelas áreas, que associadas a recuperação das APPs, gerem os melhores resultados biológicos.</w:t>
      </w:r>
    </w:p>
    <w:p w:rsidR="00A94986" w:rsidRPr="0036167C" w:rsidRDefault="00482BB1" w:rsidP="000F0749">
      <w:pPr>
        <w:spacing w:before="120" w:after="120" w:line="240" w:lineRule="auto"/>
        <w:rPr>
          <w:rFonts w:cs="Arial"/>
        </w:rPr>
      </w:pPr>
      <w:r w:rsidRPr="0036167C">
        <w:rPr>
          <w:rFonts w:cs="Arial"/>
        </w:rPr>
        <w:t xml:space="preserve">Quanto melhor o conhecimento biológico da área sob avaliação, melhores são os resultados das análises e mais robustas são as predições relacionadas aos possíveis cenários biológicos futuros. </w:t>
      </w:r>
    </w:p>
    <w:p w:rsidR="00482BB1" w:rsidRPr="0036167C" w:rsidRDefault="00482BB1" w:rsidP="000F0749">
      <w:pPr>
        <w:spacing w:before="120" w:after="120" w:line="240" w:lineRule="auto"/>
        <w:rPr>
          <w:rFonts w:cs="Arial"/>
        </w:rPr>
      </w:pPr>
      <w:r w:rsidRPr="0036167C">
        <w:rPr>
          <w:rFonts w:cs="Arial"/>
        </w:rPr>
        <w:t xml:space="preserve">Serão utilizadas como áreas focais os fragmentos existentes </w:t>
      </w:r>
      <w:r>
        <w:rPr>
          <w:rFonts w:cs="Arial"/>
        </w:rPr>
        <w:t>nas AIDs das barragens que apresentem maior área e/ou melhor estado de conservação. Assim, estes fragmentos</w:t>
      </w:r>
      <w:r w:rsidRPr="0036167C">
        <w:rPr>
          <w:rFonts w:cs="Arial"/>
        </w:rPr>
        <w:t xml:space="preserve"> deverão ser considerados de modo diferenciado nas análises da paisagem a serem realizadas. Essas áreas deverão ser consideradas como prioritárias para o estabelecimento de conectividade com outros remanescentes. Desta forma, assegura-se a definição dos melhores cenários biológicos, possíveis de serem estabelecidos com as futuras intervenções.</w:t>
      </w:r>
    </w:p>
    <w:p w:rsidR="00482BB1" w:rsidRPr="0036167C" w:rsidRDefault="00482BB1" w:rsidP="000F0749">
      <w:pPr>
        <w:spacing w:before="120" w:after="120" w:line="240" w:lineRule="auto"/>
        <w:rPr>
          <w:rFonts w:cs="Arial"/>
        </w:rPr>
      </w:pPr>
      <w:r w:rsidRPr="0036167C">
        <w:rPr>
          <w:rFonts w:cs="Arial"/>
        </w:rPr>
        <w:t>A partir de um modelo que considera inúmeras variáveis, entre elas os dados biológicos disponíveis e as métricas da paisagem, serão produzidos diferentes cenários relacionados às diferentes possibilidades de intervenção nas áreas visando o incremento da conectividade na área compreendida pela</w:t>
      </w:r>
      <w:r>
        <w:rPr>
          <w:rFonts w:cs="Arial"/>
        </w:rPr>
        <w:t>s</w:t>
      </w:r>
      <w:r w:rsidRPr="0036167C">
        <w:rPr>
          <w:rFonts w:cs="Arial"/>
        </w:rPr>
        <w:t xml:space="preserve"> AID</w:t>
      </w:r>
      <w:r w:rsidR="008C15C3">
        <w:rPr>
          <w:rFonts w:cs="Arial"/>
        </w:rPr>
        <w:t>s das barragens</w:t>
      </w:r>
      <w:r>
        <w:rPr>
          <w:rFonts w:cs="Arial"/>
        </w:rPr>
        <w:t xml:space="preserve"> Pedreira e Duas Pontes</w:t>
      </w:r>
      <w:r w:rsidRPr="0036167C">
        <w:rPr>
          <w:rFonts w:cs="Arial"/>
        </w:rPr>
        <w:t>. Cada cenário terá associado um “valor biológico” que traduz os ganhos ambientais correspondentes.</w:t>
      </w:r>
    </w:p>
    <w:p w:rsidR="00176F1A" w:rsidRDefault="00482BB1" w:rsidP="000F0749">
      <w:pPr>
        <w:spacing w:before="120" w:after="120" w:line="240" w:lineRule="auto"/>
        <w:rPr>
          <w:rFonts w:cs="Arial"/>
        </w:rPr>
      </w:pPr>
      <w:r w:rsidRPr="0036167C">
        <w:rPr>
          <w:rFonts w:cs="Arial"/>
        </w:rPr>
        <w:t>A pa</w:t>
      </w:r>
      <w:r>
        <w:rPr>
          <w:rFonts w:cs="Arial"/>
        </w:rPr>
        <w:t>rtir dos cenários obtidos para cada uma das</w:t>
      </w:r>
      <w:r w:rsidRPr="0036167C">
        <w:rPr>
          <w:rFonts w:cs="Arial"/>
        </w:rPr>
        <w:t xml:space="preserve"> AID</w:t>
      </w:r>
      <w:r>
        <w:rPr>
          <w:rFonts w:cs="Arial"/>
        </w:rPr>
        <w:t>s</w:t>
      </w:r>
      <w:r w:rsidRPr="0036167C">
        <w:rPr>
          <w:rFonts w:cs="Arial"/>
        </w:rPr>
        <w:t xml:space="preserve"> será realizada uma nova rodada de análises incluindo a restrições geográficas das possíveis intervenções, assim como as rodovias e os limites das propriedades. Como produto destas análises serão definidas as áreas de maior prioridade para recuperação e, portanto, aquelas mais indicadas para recuperação.</w:t>
      </w:r>
    </w:p>
    <w:p w:rsidR="00482BB1" w:rsidRPr="000F0749" w:rsidRDefault="00482BB1" w:rsidP="000F0749">
      <w:pPr>
        <w:spacing w:before="120" w:after="120" w:line="240" w:lineRule="auto"/>
        <w:rPr>
          <w:rFonts w:cs="Arial"/>
          <w:b/>
        </w:rPr>
      </w:pPr>
      <w:r w:rsidRPr="000F0749">
        <w:rPr>
          <w:rFonts w:cs="Arial"/>
          <w:b/>
        </w:rPr>
        <w:t xml:space="preserve">Atividade 3 – Reflorestamento das áreas selecionadas </w:t>
      </w:r>
    </w:p>
    <w:p w:rsidR="00967581" w:rsidRPr="0036167C" w:rsidRDefault="00482BB1" w:rsidP="000F0749">
      <w:pPr>
        <w:spacing w:before="120" w:after="120" w:line="240" w:lineRule="auto"/>
        <w:rPr>
          <w:rFonts w:cs="Arial"/>
        </w:rPr>
      </w:pPr>
      <w:r w:rsidRPr="0036167C">
        <w:rPr>
          <w:rFonts w:cs="Arial"/>
        </w:rPr>
        <w:t>O reflorestamento das áreas selecionadas deverá ser realizado concomitantemente àquele destinado às APPs do</w:t>
      </w:r>
      <w:r>
        <w:rPr>
          <w:rFonts w:cs="Arial"/>
        </w:rPr>
        <w:t>s</w:t>
      </w:r>
      <w:r w:rsidRPr="0036167C">
        <w:rPr>
          <w:rFonts w:cs="Arial"/>
        </w:rPr>
        <w:t xml:space="preserve"> futuro</w:t>
      </w:r>
      <w:r>
        <w:rPr>
          <w:rFonts w:cs="Arial"/>
        </w:rPr>
        <w:t>s</w:t>
      </w:r>
      <w:r w:rsidRPr="0036167C">
        <w:rPr>
          <w:rFonts w:cs="Arial"/>
        </w:rPr>
        <w:t xml:space="preserve"> reservatório</w:t>
      </w:r>
      <w:r>
        <w:rPr>
          <w:rFonts w:cs="Arial"/>
        </w:rPr>
        <w:t>s</w:t>
      </w:r>
      <w:r w:rsidRPr="0036167C">
        <w:rPr>
          <w:rFonts w:cs="Arial"/>
        </w:rPr>
        <w:t>, de modo a otimizar os esforços e recursos envolvidos nessa atividade. Assim, a atividade de reflorestamento voltado ao incremento da conectividade deverá seguir as mesmas orien</w:t>
      </w:r>
      <w:r>
        <w:rPr>
          <w:rFonts w:cs="Arial"/>
        </w:rPr>
        <w:t>tações gerais estabelecidas no Sub</w:t>
      </w:r>
      <w:r w:rsidR="00FD7F7F">
        <w:rPr>
          <w:rFonts w:cs="Arial"/>
        </w:rPr>
        <w:t>p</w:t>
      </w:r>
      <w:r w:rsidRPr="0036167C">
        <w:rPr>
          <w:rFonts w:cs="Arial"/>
        </w:rPr>
        <w:t>rograma de Reflorestamento da APP</w:t>
      </w:r>
      <w:r>
        <w:rPr>
          <w:rFonts w:cs="Arial"/>
        </w:rPr>
        <w:t>s</w:t>
      </w:r>
      <w:r w:rsidRPr="0036167C">
        <w:rPr>
          <w:rFonts w:cs="Arial"/>
        </w:rPr>
        <w:t xml:space="preserve"> do</w:t>
      </w:r>
      <w:r>
        <w:rPr>
          <w:rFonts w:cs="Arial"/>
        </w:rPr>
        <w:t>s</w:t>
      </w:r>
      <w:r w:rsidRPr="0036167C">
        <w:rPr>
          <w:rFonts w:cs="Arial"/>
        </w:rPr>
        <w:t xml:space="preserve"> Futuro</w:t>
      </w:r>
      <w:r>
        <w:rPr>
          <w:rFonts w:cs="Arial"/>
        </w:rPr>
        <w:t>s</w:t>
      </w:r>
      <w:r w:rsidRPr="0036167C">
        <w:rPr>
          <w:rFonts w:cs="Arial"/>
        </w:rPr>
        <w:t xml:space="preserve"> Reservatório</w:t>
      </w:r>
      <w:r>
        <w:rPr>
          <w:rFonts w:cs="Arial"/>
        </w:rPr>
        <w:t xml:space="preserve">s, detalhadas no item dedicado ao referido subprograma. </w:t>
      </w:r>
    </w:p>
    <w:p w:rsidR="00482BB1" w:rsidRPr="00D4740B" w:rsidRDefault="00482BB1" w:rsidP="00431A97">
      <w:pPr>
        <w:pStyle w:val="Ttulo3"/>
        <w:numPr>
          <w:ilvl w:val="3"/>
          <w:numId w:val="84"/>
        </w:numPr>
        <w:spacing w:after="240"/>
        <w:ind w:left="1077" w:hanging="1077"/>
        <w:rPr>
          <w:rFonts w:ascii="Arial Negrito" w:hAnsi="Arial Negrito"/>
          <w:b w:val="0"/>
        </w:rPr>
      </w:pPr>
      <w:bookmarkStart w:id="1124" w:name="_Toc418758451"/>
      <w:bookmarkStart w:id="1125" w:name="_Toc418759053"/>
      <w:bookmarkStart w:id="1126" w:name="_Toc419813825"/>
      <w:r w:rsidRPr="00D4740B">
        <w:rPr>
          <w:rFonts w:ascii="Arial Negrito" w:hAnsi="Arial Negrito"/>
          <w:b w:val="0"/>
        </w:rPr>
        <w:t>Indicadores Ambientais</w:t>
      </w:r>
      <w:bookmarkEnd w:id="1124"/>
      <w:bookmarkEnd w:id="1125"/>
      <w:bookmarkEnd w:id="1126"/>
    </w:p>
    <w:p w:rsidR="00482BB1" w:rsidRDefault="00482BB1" w:rsidP="000F0749">
      <w:pPr>
        <w:spacing w:before="120" w:after="120" w:line="240" w:lineRule="auto"/>
        <w:rPr>
          <w:rFonts w:cs="Arial"/>
        </w:rPr>
      </w:pPr>
      <w:r>
        <w:rPr>
          <w:rFonts w:cs="Arial"/>
        </w:rPr>
        <w:t>Os indicadores ambientais do Subprograma de Incremento de Conectividade são:</w:t>
      </w:r>
    </w:p>
    <w:p w:rsidR="00482BB1" w:rsidRPr="000F0749" w:rsidRDefault="00482BB1" w:rsidP="00D4740B">
      <w:pPr>
        <w:pStyle w:val="Item-Bolinha"/>
      </w:pPr>
      <w:r w:rsidRPr="000F0749">
        <w:t>Número de espécies utilizadas</w:t>
      </w:r>
    </w:p>
    <w:p w:rsidR="00482BB1" w:rsidRPr="000F0749" w:rsidRDefault="00482BB1" w:rsidP="00D4740B">
      <w:pPr>
        <w:pStyle w:val="Item-Bolinha"/>
      </w:pPr>
      <w:r w:rsidRPr="000F0749">
        <w:t>Área recuperada por mês,</w:t>
      </w:r>
    </w:p>
    <w:p w:rsidR="00482BB1" w:rsidRPr="000F0749" w:rsidRDefault="00482BB1" w:rsidP="00D4740B">
      <w:pPr>
        <w:pStyle w:val="Item-Bolinha"/>
      </w:pPr>
      <w:r w:rsidRPr="000F0749">
        <w:t>Número de mudas plantadas, por mês</w:t>
      </w:r>
    </w:p>
    <w:p w:rsidR="00482BB1" w:rsidRPr="000F0749" w:rsidRDefault="00482BB1" w:rsidP="004651D8">
      <w:pPr>
        <w:pStyle w:val="Item-Bolinha"/>
        <w:spacing w:before="240" w:after="240"/>
      </w:pPr>
      <w:r w:rsidRPr="000F0749">
        <w:t>Número de mudas repostas, por mês</w:t>
      </w:r>
    </w:p>
    <w:p w:rsidR="00482BB1" w:rsidRPr="005252F1" w:rsidRDefault="004651D8" w:rsidP="00EF6B5D">
      <w:pPr>
        <w:spacing w:before="240" w:after="240"/>
        <w:rPr>
          <w:rFonts w:cs="Arial"/>
          <w:b/>
        </w:rPr>
      </w:pPr>
      <w:r>
        <w:rPr>
          <w:rFonts w:cs="Arial"/>
          <w:b/>
        </w:rPr>
        <w:t>a</w:t>
      </w:r>
      <w:r w:rsidR="00883D6C">
        <w:rPr>
          <w:rFonts w:cs="Arial"/>
          <w:b/>
        </w:rPr>
        <w:t xml:space="preserve">) </w:t>
      </w:r>
      <w:r w:rsidR="00482BB1" w:rsidRPr="005252F1">
        <w:rPr>
          <w:rFonts w:cs="Arial"/>
          <w:b/>
        </w:rPr>
        <w:t>Subprograma de Reflorestamento das APPs dos Futuros Reservatórios</w:t>
      </w:r>
    </w:p>
    <w:p w:rsidR="00482BB1" w:rsidRDefault="00482BB1" w:rsidP="000F0749">
      <w:pPr>
        <w:spacing w:before="120" w:after="120" w:line="240" w:lineRule="auto"/>
        <w:rPr>
          <w:rFonts w:cs="Arial"/>
        </w:rPr>
      </w:pPr>
      <w:r>
        <w:rPr>
          <w:rFonts w:cs="Arial"/>
        </w:rPr>
        <w:t>Neste item são apresentadas os métodos e procedimentos, assim como</w:t>
      </w:r>
      <w:r w:rsidRPr="0036167C">
        <w:rPr>
          <w:rFonts w:cs="Arial"/>
        </w:rPr>
        <w:t xml:space="preserve"> os indicadores ambientais e o</w:t>
      </w:r>
      <w:r>
        <w:rPr>
          <w:rFonts w:cs="Arial"/>
        </w:rPr>
        <w:t>s recursos materiais e humanos do Subprograma de Reflorestamento das APPs dos Futuros Reservatórios.</w:t>
      </w:r>
    </w:p>
    <w:p w:rsidR="00482BB1" w:rsidRPr="000F0749" w:rsidRDefault="00492964" w:rsidP="00EF6B5D">
      <w:pPr>
        <w:spacing w:before="240" w:after="240"/>
        <w:rPr>
          <w:rFonts w:cs="Arial"/>
          <w:b/>
        </w:rPr>
      </w:pPr>
      <w:r>
        <w:rPr>
          <w:rFonts w:cs="Arial"/>
          <w:b/>
        </w:rPr>
        <w:t>a</w:t>
      </w:r>
      <w:r w:rsidR="00883D6C">
        <w:rPr>
          <w:rFonts w:cs="Arial"/>
          <w:b/>
        </w:rPr>
        <w:t>.1.</w:t>
      </w:r>
      <w:r>
        <w:rPr>
          <w:rFonts w:cs="Arial"/>
          <w:b/>
        </w:rPr>
        <w:t>)</w:t>
      </w:r>
      <w:r w:rsidR="00883D6C">
        <w:rPr>
          <w:rFonts w:cs="Arial"/>
          <w:b/>
        </w:rPr>
        <w:t xml:space="preserve"> </w:t>
      </w:r>
      <w:r w:rsidR="00482BB1" w:rsidRPr="000F0749">
        <w:rPr>
          <w:rFonts w:cs="Arial"/>
          <w:b/>
        </w:rPr>
        <w:t>Métodos e descrição do programa (procedimentos)</w:t>
      </w:r>
    </w:p>
    <w:p w:rsidR="00482BB1" w:rsidRPr="0036167C" w:rsidRDefault="00482BB1" w:rsidP="000F0749">
      <w:pPr>
        <w:spacing w:before="120" w:after="120" w:line="240" w:lineRule="auto"/>
        <w:rPr>
          <w:rFonts w:cs="Arial"/>
        </w:rPr>
      </w:pPr>
      <w:r>
        <w:rPr>
          <w:rFonts w:cs="Arial"/>
        </w:rPr>
        <w:t>O Subp</w:t>
      </w:r>
      <w:r w:rsidRPr="0036167C">
        <w:rPr>
          <w:rFonts w:cs="Arial"/>
        </w:rPr>
        <w:t>rograma de Reflorestamento das APPs do</w:t>
      </w:r>
      <w:r>
        <w:rPr>
          <w:rFonts w:cs="Arial"/>
        </w:rPr>
        <w:t>s</w:t>
      </w:r>
      <w:r w:rsidRPr="0036167C">
        <w:rPr>
          <w:rFonts w:cs="Arial"/>
        </w:rPr>
        <w:t xml:space="preserve"> Futuro</w:t>
      </w:r>
      <w:r>
        <w:rPr>
          <w:rFonts w:cs="Arial"/>
        </w:rPr>
        <w:t>s</w:t>
      </w:r>
      <w:r w:rsidRPr="0036167C">
        <w:rPr>
          <w:rFonts w:cs="Arial"/>
        </w:rPr>
        <w:t xml:space="preserve"> Reservatório</w:t>
      </w:r>
      <w:r>
        <w:rPr>
          <w:rFonts w:cs="Arial"/>
        </w:rPr>
        <w:t>s é composto pelas seguintes atividades:</w:t>
      </w:r>
    </w:p>
    <w:p w:rsidR="00482BB1" w:rsidRPr="00176F1A" w:rsidRDefault="00482BB1" w:rsidP="000F0749">
      <w:pPr>
        <w:spacing w:before="120" w:after="120" w:line="240" w:lineRule="auto"/>
        <w:rPr>
          <w:rFonts w:cs="Arial"/>
          <w:b/>
        </w:rPr>
      </w:pPr>
      <w:r w:rsidRPr="00176F1A">
        <w:rPr>
          <w:rFonts w:cs="Arial"/>
          <w:b/>
        </w:rPr>
        <w:t>Atividade 1 - Detalhamento da Supressão de Vegetação:</w:t>
      </w:r>
    </w:p>
    <w:p w:rsidR="00482BB1" w:rsidRPr="000F0749" w:rsidRDefault="00482BB1" w:rsidP="00492964">
      <w:pPr>
        <w:pStyle w:val="Item-Bolinha"/>
      </w:pPr>
      <w:r w:rsidRPr="000F0749">
        <w:t>Durante a fase de solicitação da Licença de Instalação dos empreendimentos, deverá ser realizado o detalhamento do projeto das barragens de Pedreira e Duas Pontes, bem como o Inventário Florestal, de modo a detalhar os quantitativos referentes à supressão de vegetação;</w:t>
      </w:r>
    </w:p>
    <w:p w:rsidR="00482BB1" w:rsidRPr="00471A8B" w:rsidRDefault="00482BB1" w:rsidP="00492964">
      <w:pPr>
        <w:pStyle w:val="Item-Bolinha"/>
      </w:pPr>
      <w:r w:rsidRPr="000F0749">
        <w:t>Deverão ser calculados os quantitativos gerais do projeto de reflorestamento, para fins de planejamento;</w:t>
      </w:r>
    </w:p>
    <w:p w:rsidR="00482BB1" w:rsidRPr="00176F1A" w:rsidRDefault="00482BB1" w:rsidP="000F0749">
      <w:pPr>
        <w:spacing w:before="120" w:after="120" w:line="240" w:lineRule="auto"/>
        <w:rPr>
          <w:rFonts w:cs="Arial"/>
          <w:b/>
        </w:rPr>
      </w:pPr>
      <w:r w:rsidRPr="00176F1A">
        <w:rPr>
          <w:rFonts w:cs="Arial"/>
          <w:b/>
        </w:rPr>
        <w:t>Atividade 2 - Planejamento</w:t>
      </w:r>
    </w:p>
    <w:p w:rsidR="00482BB1" w:rsidRPr="000F0749" w:rsidRDefault="00482BB1" w:rsidP="00492964">
      <w:pPr>
        <w:pStyle w:val="Item-Bolinha"/>
      </w:pPr>
      <w:r w:rsidRPr="000F0749">
        <w:t>Deverá ser realizada a seleção prévia das áreas a serem destinadas ao reflorestamento, localizadas nas APPs dos futuros reservatórios, de modo a atender os quantitativos requeridos para o plantio compensatório;</w:t>
      </w:r>
    </w:p>
    <w:p w:rsidR="00482BB1" w:rsidRPr="000F0749" w:rsidRDefault="00482BB1" w:rsidP="00492964">
      <w:pPr>
        <w:pStyle w:val="Item-Bolinha"/>
      </w:pPr>
      <w:r w:rsidRPr="000F0749">
        <w:t>Deverá ser elaborado o Projeto Executivo do Reflorestamento, por profissional habilitado, para as áreas selecionadas para o reflorestamento; e</w:t>
      </w:r>
    </w:p>
    <w:p w:rsidR="00482BB1" w:rsidRPr="000F0749" w:rsidRDefault="00482BB1" w:rsidP="00492964">
      <w:pPr>
        <w:pStyle w:val="Item-Bolinha"/>
      </w:pPr>
      <w:r w:rsidRPr="000F0749">
        <w:t>Deverá ser contratada empresa especializada para a realização dos reflorestamentos.</w:t>
      </w:r>
    </w:p>
    <w:p w:rsidR="00482BB1" w:rsidRPr="00176F1A" w:rsidRDefault="00482BB1" w:rsidP="000F0749">
      <w:pPr>
        <w:spacing w:before="120" w:after="120" w:line="240" w:lineRule="auto"/>
        <w:rPr>
          <w:rFonts w:cs="Arial"/>
          <w:b/>
        </w:rPr>
      </w:pPr>
      <w:r w:rsidRPr="00176F1A">
        <w:rPr>
          <w:rFonts w:cs="Arial"/>
          <w:b/>
        </w:rPr>
        <w:t>Atividade 3 - Execução do reflorestamento</w:t>
      </w:r>
    </w:p>
    <w:p w:rsidR="00482BB1" w:rsidRPr="0036167C" w:rsidRDefault="00482BB1" w:rsidP="000F0749">
      <w:pPr>
        <w:spacing w:before="120" w:after="120" w:line="240" w:lineRule="auto"/>
        <w:rPr>
          <w:rFonts w:cs="Arial"/>
        </w:rPr>
      </w:pPr>
      <w:r>
        <w:rPr>
          <w:rFonts w:cs="Arial"/>
        </w:rPr>
        <w:t>As atividades de</w:t>
      </w:r>
      <w:r w:rsidRPr="0036167C">
        <w:rPr>
          <w:rFonts w:cs="Arial"/>
        </w:rPr>
        <w:t xml:space="preserve"> reflorestamento</w:t>
      </w:r>
      <w:r>
        <w:rPr>
          <w:rFonts w:cs="Arial"/>
        </w:rPr>
        <w:t xml:space="preserve"> deverão</w:t>
      </w:r>
      <w:r w:rsidRPr="0036167C">
        <w:rPr>
          <w:rFonts w:cs="Arial"/>
        </w:rPr>
        <w:t xml:space="preserve"> adotar as diretrizes estabelecidas na Resolução SMA n° 008, de 31 de janeiro de 2008, que fixa a orientação para o reflorestamento heterogêneo de áreas degradadas e dá providências correlatas.</w:t>
      </w:r>
      <w:r>
        <w:rPr>
          <w:rFonts w:cs="Arial"/>
        </w:rPr>
        <w:t xml:space="preserve"> Deverão ser realizadas as seguintes ações:</w:t>
      </w:r>
    </w:p>
    <w:p w:rsidR="00482BB1" w:rsidRPr="000F0749" w:rsidRDefault="00482BB1" w:rsidP="00492964">
      <w:pPr>
        <w:pStyle w:val="Item-Bolinha"/>
      </w:pPr>
      <w:r w:rsidRPr="000F0749">
        <w:t>Demarcação física das áreas onde serão realizados os reflorestamentos;</w:t>
      </w:r>
    </w:p>
    <w:p w:rsidR="00482BB1" w:rsidRPr="000F0749" w:rsidRDefault="00482BB1" w:rsidP="00492964">
      <w:pPr>
        <w:pStyle w:val="Item-Bolinha"/>
      </w:pPr>
      <w:r w:rsidRPr="000F0749">
        <w:t>Roçada de ervas daninhas: realização de roçada do terreno com a finalidade de retirar ao máximo as ervas daninhas presentes na área, caso seja necessário. Esses tratos são importantes, pois eliminam a competição com as mudas por luz e nutrientes, o que pode prejudicar o desenvolvimento destas;</w:t>
      </w:r>
    </w:p>
    <w:p w:rsidR="00482BB1" w:rsidRPr="000F0749" w:rsidRDefault="00482BB1" w:rsidP="00492964">
      <w:pPr>
        <w:pStyle w:val="Item-Bolinha"/>
      </w:pPr>
      <w:r w:rsidRPr="000F0749">
        <w:t>Abertura de covas manualmente, com dimensões mínimas adequadas ao porte da muda utilizada, obedecendo o espaçamento estabelecido para cada área de recuperação;</w:t>
      </w:r>
    </w:p>
    <w:p w:rsidR="00482BB1" w:rsidRPr="000F0749" w:rsidRDefault="00482BB1" w:rsidP="00492964">
      <w:pPr>
        <w:pStyle w:val="Item-Bolinha"/>
      </w:pPr>
      <w:r w:rsidRPr="000F0749">
        <w:t>Combate a formigas cortadeiras para minimizar os danos causados às mudas, promovidos por essas espécies. Esse combate deve ser realizado utilizando-se de técnicas menos nocivas ao ambiente;</w:t>
      </w:r>
    </w:p>
    <w:p w:rsidR="00482BB1" w:rsidRPr="000F0749" w:rsidRDefault="00482BB1" w:rsidP="00492964">
      <w:pPr>
        <w:pStyle w:val="Item-Bolinha"/>
      </w:pPr>
      <w:r w:rsidRPr="000F0749">
        <w:t>Enchimento das covas. Nessa etapa deve ser realizada a correção do pH e a fertilização, caso necessário. A calagem deverá ser efetuada com antecedência de no mínimo um mês antes da adubação fosfatada e do plantio. Posteriormente deverá ser realizada a adubação. Será utilizado, preferencialmente, o adubo produzido por meio do Subprograma de Destinação de Biomassa;</w:t>
      </w:r>
    </w:p>
    <w:p w:rsidR="00482BB1" w:rsidRPr="000F0749" w:rsidRDefault="00482BB1" w:rsidP="00492964">
      <w:pPr>
        <w:pStyle w:val="Item-Bolinha"/>
      </w:pPr>
      <w:r w:rsidRPr="000F0749">
        <w:t>Plantio das mudas poderá ser executado em qualquer época, a medida em que as áreas selecionadas forem sendo liberadas. Caso seja realizado em época de menor pluviosidade, será necessária irrigação;</w:t>
      </w:r>
    </w:p>
    <w:p w:rsidR="00482BB1" w:rsidRDefault="00482BB1" w:rsidP="00492964">
      <w:pPr>
        <w:pStyle w:val="Item-Bolinha"/>
      </w:pPr>
      <w:r w:rsidRPr="000F0749">
        <w:t>O plantio deve ser realizado em curva de nível, preferencialmente em quinquôncio de modo a inibir o estabelecimento de processos erosivos. O projeto do plantio (ex. número de linhas, espaçamento e consorciamento) deve ser estabelecido após a definição das espécies a serem utilizadas e as características da área que receberá as mesmas.</w:t>
      </w:r>
    </w:p>
    <w:p w:rsidR="00482BB1" w:rsidRPr="00492964" w:rsidRDefault="00482BB1" w:rsidP="00EF6B5D">
      <w:pPr>
        <w:spacing w:before="240" w:after="240" w:line="240" w:lineRule="auto"/>
        <w:rPr>
          <w:rFonts w:cs="Arial"/>
          <w:b/>
        </w:rPr>
      </w:pPr>
      <w:r w:rsidRPr="00492964">
        <w:rPr>
          <w:rFonts w:cs="Arial"/>
          <w:b/>
        </w:rPr>
        <w:t>Atividade 4 - Execução dos Tratos Culturais</w:t>
      </w:r>
    </w:p>
    <w:p w:rsidR="00482BB1" w:rsidRPr="0036167C" w:rsidRDefault="00482BB1" w:rsidP="00D5686D">
      <w:pPr>
        <w:spacing w:before="120" w:after="120" w:line="240" w:lineRule="auto"/>
        <w:rPr>
          <w:rFonts w:cs="Arial"/>
        </w:rPr>
      </w:pPr>
      <w:r w:rsidRPr="0036167C">
        <w:rPr>
          <w:rFonts w:cs="Arial"/>
        </w:rPr>
        <w:t>Os serviços de manutenção das áreas de plantio deverão ocorrer por um período de pelo menos 5 anos após a conclusão das atividades anteriores. A seguir são apresentados alguns dos tratos culturais a serem empregados nas áreas objeto deste programa.</w:t>
      </w:r>
    </w:p>
    <w:p w:rsidR="00482BB1" w:rsidRPr="000F0749" w:rsidRDefault="00482BB1" w:rsidP="00492964">
      <w:pPr>
        <w:pStyle w:val="Item-Bolinha"/>
      </w:pPr>
      <w:r w:rsidRPr="000F0749">
        <w:t>Adubação de cobertura consiste no fornecimento de nutrientes à planta possibilitando o melhor pegamento das mudas durante sua fase mais sensível de desenvolvimento. Será dada preferência para o uso de adubos orgânicos produzidos no âmbito do Subprograma de Destinação da Biomassa, estabelecido no âmbito do Programa de Supressão de Vegetação;</w:t>
      </w:r>
    </w:p>
    <w:p w:rsidR="00482BB1" w:rsidRPr="000F0749" w:rsidRDefault="00482BB1" w:rsidP="00492964">
      <w:pPr>
        <w:pStyle w:val="Item-Bolinha"/>
      </w:pPr>
      <w:r w:rsidRPr="000F0749">
        <w:t>Coroamento ao redor das covas para evitar a competição aérea (luz) e radicular (nutrientes) entre as ervas daninhas e as mudas;</w:t>
      </w:r>
    </w:p>
    <w:p w:rsidR="00482BB1" w:rsidRPr="000F0749" w:rsidRDefault="00482BB1" w:rsidP="00492964">
      <w:pPr>
        <w:pStyle w:val="Item-Bolinha"/>
      </w:pPr>
      <w:r w:rsidRPr="000F0749">
        <w:t>Cuidados fitossanitários deverão ser realizados. Capinas deverão ser executadas mantendo limas as áreas em volta das mudas. Quaisquer sintomas de doenças deverão ser comunicados ao responsável pela revegetação para devidas providências;</w:t>
      </w:r>
    </w:p>
    <w:p w:rsidR="00482BB1" w:rsidRPr="000F0749" w:rsidRDefault="00482BB1" w:rsidP="00492964">
      <w:pPr>
        <w:pStyle w:val="Item-Bolinha"/>
      </w:pPr>
      <w:r w:rsidRPr="000F0749">
        <w:t>Reposição de mudas (replantio) caso sejam detectadas perdas. Essas perdas poderão ocorrer devido a vários fatores, entre eles, déficit hídrico, doenças, pragas, etc.</w:t>
      </w:r>
    </w:p>
    <w:p w:rsidR="00482BB1" w:rsidRPr="00D5686D" w:rsidRDefault="00492964" w:rsidP="00EF6B5D">
      <w:pPr>
        <w:spacing w:before="240" w:after="240" w:line="240" w:lineRule="auto"/>
        <w:rPr>
          <w:rFonts w:cs="Arial"/>
          <w:b/>
        </w:rPr>
      </w:pPr>
      <w:r>
        <w:rPr>
          <w:rFonts w:cs="Arial"/>
          <w:b/>
        </w:rPr>
        <w:t>a</w:t>
      </w:r>
      <w:r w:rsidR="00883D6C">
        <w:rPr>
          <w:rFonts w:cs="Arial"/>
          <w:b/>
        </w:rPr>
        <w:t>.2.</w:t>
      </w:r>
      <w:r>
        <w:rPr>
          <w:rFonts w:cs="Arial"/>
          <w:b/>
        </w:rPr>
        <w:t>)</w:t>
      </w:r>
      <w:r w:rsidR="00883D6C">
        <w:rPr>
          <w:rFonts w:cs="Arial"/>
          <w:b/>
        </w:rPr>
        <w:t xml:space="preserve"> </w:t>
      </w:r>
      <w:r w:rsidR="00482BB1" w:rsidRPr="00D5686D">
        <w:rPr>
          <w:rFonts w:cs="Arial"/>
          <w:b/>
        </w:rPr>
        <w:t>Indicadores Ambientais</w:t>
      </w:r>
    </w:p>
    <w:p w:rsidR="00482BB1" w:rsidRPr="0036167C" w:rsidRDefault="00482BB1" w:rsidP="00482BB1">
      <w:pPr>
        <w:rPr>
          <w:rFonts w:cs="Arial"/>
        </w:rPr>
      </w:pPr>
      <w:r>
        <w:rPr>
          <w:rFonts w:cs="Arial"/>
        </w:rPr>
        <w:t>Os indicadores do Sub</w:t>
      </w:r>
      <w:r w:rsidR="00CA5534">
        <w:rPr>
          <w:rFonts w:cs="Arial"/>
        </w:rPr>
        <w:t>p</w:t>
      </w:r>
      <w:r w:rsidRPr="0036167C">
        <w:rPr>
          <w:rFonts w:cs="Arial"/>
        </w:rPr>
        <w:t>rograma de Revegetação das APPs do</w:t>
      </w:r>
      <w:r>
        <w:rPr>
          <w:rFonts w:cs="Arial"/>
        </w:rPr>
        <w:t>s</w:t>
      </w:r>
      <w:r w:rsidRPr="0036167C">
        <w:rPr>
          <w:rFonts w:cs="Arial"/>
        </w:rPr>
        <w:t xml:space="preserve"> Futuro</w:t>
      </w:r>
      <w:r>
        <w:rPr>
          <w:rFonts w:cs="Arial"/>
        </w:rPr>
        <w:t>s</w:t>
      </w:r>
      <w:r w:rsidRPr="0036167C">
        <w:rPr>
          <w:rFonts w:cs="Arial"/>
        </w:rPr>
        <w:t xml:space="preserve"> Reservatório</w:t>
      </w:r>
      <w:r>
        <w:rPr>
          <w:rFonts w:cs="Arial"/>
        </w:rPr>
        <w:t>s</w:t>
      </w:r>
      <w:r w:rsidRPr="0036167C">
        <w:rPr>
          <w:rFonts w:cs="Arial"/>
        </w:rPr>
        <w:t xml:space="preserve"> são:</w:t>
      </w:r>
    </w:p>
    <w:p w:rsidR="00482BB1" w:rsidRPr="000F0749" w:rsidRDefault="00482BB1" w:rsidP="00492964">
      <w:pPr>
        <w:pStyle w:val="Item-Bolinha"/>
      </w:pPr>
      <w:r w:rsidRPr="000F0749">
        <w:t>Número de espécies utilizadas;</w:t>
      </w:r>
    </w:p>
    <w:p w:rsidR="00482BB1" w:rsidRPr="000F0749" w:rsidRDefault="00482BB1" w:rsidP="00492964">
      <w:pPr>
        <w:pStyle w:val="Item-Bolinha"/>
      </w:pPr>
      <w:r w:rsidRPr="000F0749">
        <w:t>Área recuperada, por mês;</w:t>
      </w:r>
    </w:p>
    <w:p w:rsidR="00482BB1" w:rsidRPr="000F0749" w:rsidRDefault="00482BB1" w:rsidP="00492964">
      <w:pPr>
        <w:pStyle w:val="Item-Bolinha"/>
      </w:pPr>
      <w:r w:rsidRPr="000F0749">
        <w:t>Quantidade de mudas mortas, por mês; e</w:t>
      </w:r>
    </w:p>
    <w:p w:rsidR="00482BB1" w:rsidRPr="000F0749" w:rsidRDefault="00482BB1" w:rsidP="00492964">
      <w:pPr>
        <w:pStyle w:val="Item-Bolinha"/>
      </w:pPr>
      <w:r w:rsidRPr="000F0749">
        <w:t>Quantidade de mudas repostas, por mês;</w:t>
      </w:r>
    </w:p>
    <w:p w:rsidR="00482BB1" w:rsidRPr="00D5686D" w:rsidRDefault="00492964" w:rsidP="00EF6B5D">
      <w:pPr>
        <w:spacing w:before="240" w:after="240" w:line="240" w:lineRule="auto"/>
        <w:rPr>
          <w:rFonts w:cs="Arial"/>
          <w:b/>
        </w:rPr>
      </w:pPr>
      <w:r>
        <w:rPr>
          <w:rFonts w:cs="Arial"/>
          <w:b/>
        </w:rPr>
        <w:t>a</w:t>
      </w:r>
      <w:r w:rsidR="00883D6C">
        <w:rPr>
          <w:rFonts w:cs="Arial"/>
          <w:b/>
        </w:rPr>
        <w:t>.3.</w:t>
      </w:r>
      <w:r>
        <w:rPr>
          <w:rFonts w:cs="Arial"/>
          <w:b/>
        </w:rPr>
        <w:t>)</w:t>
      </w:r>
      <w:r w:rsidR="00883D6C">
        <w:rPr>
          <w:rFonts w:cs="Arial"/>
          <w:b/>
        </w:rPr>
        <w:t xml:space="preserve"> </w:t>
      </w:r>
      <w:r w:rsidR="00482BB1" w:rsidRPr="00D5686D">
        <w:rPr>
          <w:rFonts w:cs="Arial"/>
          <w:b/>
        </w:rPr>
        <w:t>Recursos materiais e humanos</w:t>
      </w:r>
    </w:p>
    <w:p w:rsidR="00482BB1" w:rsidRPr="0036167C" w:rsidRDefault="00482BB1" w:rsidP="00D5686D">
      <w:pPr>
        <w:spacing w:before="120" w:after="120" w:line="240" w:lineRule="auto"/>
        <w:rPr>
          <w:rFonts w:cs="Arial"/>
        </w:rPr>
      </w:pPr>
      <w:r w:rsidRPr="0036167C">
        <w:rPr>
          <w:rFonts w:cs="Arial"/>
        </w:rPr>
        <w:t xml:space="preserve">O Empreendedor deverá contratar os serviços de profissionais técnicos especializados em reflorestamento para a execução das atividades preconizadas nesse </w:t>
      </w:r>
      <w:r>
        <w:rPr>
          <w:rFonts w:cs="Arial"/>
        </w:rPr>
        <w:t>subprograma</w:t>
      </w:r>
      <w:r w:rsidRPr="0036167C">
        <w:rPr>
          <w:rFonts w:cs="Arial"/>
        </w:rPr>
        <w:t>. Os recursos materiais necessários para a execução serão disponibilizados pelo Empreendedor.</w:t>
      </w:r>
    </w:p>
    <w:p w:rsidR="00482BB1" w:rsidRPr="00D4740B" w:rsidRDefault="00482BB1" w:rsidP="00431A97">
      <w:pPr>
        <w:pStyle w:val="Ttulo3"/>
        <w:numPr>
          <w:ilvl w:val="3"/>
          <w:numId w:val="84"/>
        </w:numPr>
        <w:spacing w:after="240"/>
        <w:ind w:left="1077" w:hanging="1077"/>
        <w:rPr>
          <w:rFonts w:ascii="Arial Negrito" w:hAnsi="Arial Negrito"/>
          <w:b w:val="0"/>
        </w:rPr>
      </w:pPr>
      <w:bookmarkStart w:id="1127" w:name="_Toc418758452"/>
      <w:bookmarkStart w:id="1128" w:name="_Toc418759054"/>
      <w:bookmarkStart w:id="1129" w:name="_Toc419813826"/>
      <w:r w:rsidRPr="00D4740B">
        <w:rPr>
          <w:rFonts w:ascii="Arial Negrito" w:hAnsi="Arial Negrito"/>
          <w:b w:val="0"/>
        </w:rPr>
        <w:t>Atendimento a Requisitos Legais e/ou Outros Requisitos</w:t>
      </w:r>
      <w:bookmarkEnd w:id="1127"/>
      <w:bookmarkEnd w:id="1128"/>
      <w:bookmarkEnd w:id="1129"/>
    </w:p>
    <w:p w:rsidR="00482BB1" w:rsidRDefault="00482BB1" w:rsidP="00D5686D">
      <w:pPr>
        <w:spacing w:before="120" w:after="120" w:line="240" w:lineRule="auto"/>
        <w:rPr>
          <w:rFonts w:cs="Arial"/>
        </w:rPr>
      </w:pPr>
      <w:r>
        <w:rPr>
          <w:rFonts w:cs="Arial"/>
        </w:rPr>
        <w:t>A seguir são relacionados os instrumentos legais associados ao Programa de Revegetação e Enriquecimento Florestal:</w:t>
      </w:r>
    </w:p>
    <w:p w:rsidR="00482BB1" w:rsidRPr="00D5686D" w:rsidRDefault="00482BB1" w:rsidP="00D4740B">
      <w:pPr>
        <w:pStyle w:val="Item-Bolinha"/>
      </w:pPr>
      <w:r w:rsidRPr="00D5686D">
        <w:t xml:space="preserve">Lei Federal </w:t>
      </w:r>
      <w:r w:rsidR="00492964">
        <w:rPr>
          <w:rFonts w:eastAsia="Batang"/>
          <w:lang w:eastAsia="en-US"/>
        </w:rPr>
        <w:t>n</w:t>
      </w:r>
      <w:r w:rsidR="00492964">
        <w:rPr>
          <w:rFonts w:eastAsia="Batang"/>
          <w:u w:val="single"/>
          <w:vertAlign w:val="superscript"/>
          <w:lang w:eastAsia="en-US"/>
        </w:rPr>
        <w:t>o</w:t>
      </w:r>
      <w:r w:rsidRPr="00D5686D">
        <w:t xml:space="preserve"> 12.651/2012 – Novo Código Florestal Federal – Alterada pela Lei Federal </w:t>
      </w:r>
      <w:r w:rsidR="00492964">
        <w:rPr>
          <w:rFonts w:eastAsia="Batang"/>
          <w:lang w:eastAsia="en-US"/>
        </w:rPr>
        <w:t>n</w:t>
      </w:r>
      <w:r w:rsidR="00492964">
        <w:rPr>
          <w:rFonts w:eastAsia="Batang"/>
          <w:u w:val="single"/>
          <w:vertAlign w:val="superscript"/>
          <w:lang w:eastAsia="en-US"/>
        </w:rPr>
        <w:t>o</w:t>
      </w:r>
      <w:r w:rsidRPr="00D5686D">
        <w:t xml:space="preserve"> 12.727/2012;</w:t>
      </w:r>
    </w:p>
    <w:p w:rsidR="00482BB1" w:rsidRPr="00D5686D" w:rsidRDefault="00482BB1" w:rsidP="00D4740B">
      <w:pPr>
        <w:pStyle w:val="Item-Bolinha"/>
      </w:pPr>
      <w:r w:rsidRPr="00D5686D">
        <w:t xml:space="preserve">Lei Federal </w:t>
      </w:r>
      <w:r w:rsidR="00492964">
        <w:rPr>
          <w:rFonts w:eastAsia="Batang"/>
          <w:lang w:eastAsia="en-US"/>
        </w:rPr>
        <w:t>n</w:t>
      </w:r>
      <w:r w:rsidR="00492964">
        <w:rPr>
          <w:rFonts w:eastAsia="Batang"/>
          <w:u w:val="single"/>
          <w:vertAlign w:val="superscript"/>
          <w:lang w:eastAsia="en-US"/>
        </w:rPr>
        <w:t>o</w:t>
      </w:r>
      <w:r w:rsidRPr="00D5686D">
        <w:t xml:space="preserve"> 11.428/2006 – Lei da Mata Atlântica;</w:t>
      </w:r>
    </w:p>
    <w:p w:rsidR="00482BB1" w:rsidRPr="00D5686D" w:rsidRDefault="00482BB1" w:rsidP="00D4740B">
      <w:pPr>
        <w:pStyle w:val="Item-Bolinha"/>
      </w:pPr>
      <w:r w:rsidRPr="00D5686D">
        <w:t xml:space="preserve">Lei Federal </w:t>
      </w:r>
      <w:r w:rsidR="00492964">
        <w:rPr>
          <w:rFonts w:eastAsia="Batang"/>
          <w:lang w:eastAsia="en-US"/>
        </w:rPr>
        <w:t>n</w:t>
      </w:r>
      <w:r w:rsidR="00492964">
        <w:rPr>
          <w:rFonts w:eastAsia="Batang"/>
          <w:u w:val="single"/>
          <w:vertAlign w:val="superscript"/>
          <w:lang w:eastAsia="en-US"/>
        </w:rPr>
        <w:t>o</w:t>
      </w:r>
      <w:r w:rsidRPr="00D5686D">
        <w:t xml:space="preserve"> 9.605/1998 – Lei de Crimes Ambientais;</w:t>
      </w:r>
    </w:p>
    <w:p w:rsidR="00482BB1" w:rsidRPr="00D5686D" w:rsidRDefault="00482BB1" w:rsidP="00D4740B">
      <w:pPr>
        <w:pStyle w:val="Item-Bolinha"/>
      </w:pPr>
      <w:r w:rsidRPr="00D5686D">
        <w:t xml:space="preserve">Decreto Federal </w:t>
      </w:r>
      <w:r w:rsidR="00492964">
        <w:rPr>
          <w:rFonts w:eastAsia="Batang"/>
          <w:lang w:eastAsia="en-US"/>
        </w:rPr>
        <w:t>n</w:t>
      </w:r>
      <w:r w:rsidR="00492964">
        <w:rPr>
          <w:rFonts w:eastAsia="Batang"/>
          <w:u w:val="single"/>
          <w:vertAlign w:val="superscript"/>
          <w:lang w:eastAsia="en-US"/>
        </w:rPr>
        <w:t>o</w:t>
      </w:r>
      <w:r w:rsidRPr="00D5686D">
        <w:t xml:space="preserve"> 6.660/2008 – Regulamenta dispositivos da Lei Federal </w:t>
      </w:r>
      <w:r w:rsidR="00492964">
        <w:rPr>
          <w:rFonts w:eastAsia="Batang"/>
          <w:lang w:eastAsia="en-US"/>
        </w:rPr>
        <w:t>n</w:t>
      </w:r>
      <w:r w:rsidR="00492964">
        <w:rPr>
          <w:rFonts w:eastAsia="Batang"/>
          <w:u w:val="single"/>
          <w:vertAlign w:val="superscript"/>
          <w:lang w:eastAsia="en-US"/>
        </w:rPr>
        <w:t>o</w:t>
      </w:r>
      <w:r w:rsidRPr="00D5686D">
        <w:t xml:space="preserve"> 11.428/2006, que dispõe sobre a utilização e proteção da vegetação nativa do Bioma Mata Atlântica;</w:t>
      </w:r>
    </w:p>
    <w:p w:rsidR="00482BB1" w:rsidRPr="00D5686D" w:rsidRDefault="00482BB1" w:rsidP="00D4740B">
      <w:pPr>
        <w:pStyle w:val="Item-Bolinha"/>
      </w:pPr>
      <w:r w:rsidRPr="00D5686D">
        <w:t xml:space="preserve">Instrução Normativa MMA </w:t>
      </w:r>
      <w:r w:rsidR="00492964">
        <w:rPr>
          <w:rFonts w:eastAsia="Batang"/>
          <w:lang w:eastAsia="en-US"/>
        </w:rPr>
        <w:t>n</w:t>
      </w:r>
      <w:r w:rsidR="00492964">
        <w:rPr>
          <w:rFonts w:eastAsia="Batang"/>
          <w:u w:val="single"/>
          <w:vertAlign w:val="superscript"/>
          <w:lang w:eastAsia="en-US"/>
        </w:rPr>
        <w:t>o</w:t>
      </w:r>
      <w:r w:rsidRPr="00D5686D">
        <w:t xml:space="preserve"> 06/2008 – Dispõe sobre o reconhecimento de espécies da flora brasileira ameaçadas de extinção como aquelas constantes do Anexo I a esta Instrução Normativa;</w:t>
      </w:r>
    </w:p>
    <w:p w:rsidR="00482BB1" w:rsidRPr="00D5686D" w:rsidRDefault="00482BB1" w:rsidP="00D4740B">
      <w:pPr>
        <w:pStyle w:val="Item-Bolinha"/>
      </w:pPr>
      <w:r w:rsidRPr="00D5686D">
        <w:t xml:space="preserve">Resolução SMA </w:t>
      </w:r>
      <w:r w:rsidR="00492964">
        <w:rPr>
          <w:rFonts w:eastAsia="Batang"/>
          <w:lang w:eastAsia="en-US"/>
        </w:rPr>
        <w:t>n</w:t>
      </w:r>
      <w:r w:rsidR="00492964">
        <w:rPr>
          <w:rFonts w:eastAsia="Batang"/>
          <w:u w:val="single"/>
          <w:vertAlign w:val="superscript"/>
          <w:lang w:eastAsia="en-US"/>
        </w:rPr>
        <w:t>o</w:t>
      </w:r>
      <w:r w:rsidRPr="00D5686D">
        <w:t xml:space="preserve"> 48/2004 - Publica a lista oficial das espécies da flora do Estado de São Paulo ameaçadas de extinção;</w:t>
      </w:r>
    </w:p>
    <w:p w:rsidR="00482BB1" w:rsidRPr="00D5686D" w:rsidRDefault="00482BB1" w:rsidP="00D4740B">
      <w:pPr>
        <w:pStyle w:val="Item-Bolinha"/>
      </w:pPr>
      <w:r w:rsidRPr="00D5686D">
        <w:t xml:space="preserve">Resolução SMA </w:t>
      </w:r>
      <w:r w:rsidR="00492964">
        <w:rPr>
          <w:rFonts w:eastAsia="Batang"/>
          <w:lang w:eastAsia="en-US"/>
        </w:rPr>
        <w:t>n</w:t>
      </w:r>
      <w:r w:rsidR="00492964">
        <w:rPr>
          <w:rFonts w:eastAsia="Batang"/>
          <w:u w:val="single"/>
          <w:vertAlign w:val="superscript"/>
          <w:lang w:eastAsia="en-US"/>
        </w:rPr>
        <w:t>o</w:t>
      </w:r>
      <w:r w:rsidRPr="00D5686D">
        <w:t xml:space="preserve"> 22/2010 – Orienta a supressão de vegetação e afugentamento e resgate de fauna (caso ocorra supressão de mais de 1 ha de vegetação nativa em estágio médio ou avançado);</w:t>
      </w:r>
    </w:p>
    <w:p w:rsidR="00482BB1" w:rsidRPr="00D5686D" w:rsidRDefault="00482BB1" w:rsidP="00D4740B">
      <w:pPr>
        <w:pStyle w:val="Item-Bolinha"/>
      </w:pPr>
      <w:r w:rsidRPr="00D5686D">
        <w:t xml:space="preserve">Resolução SMA </w:t>
      </w:r>
      <w:r w:rsidR="00492964">
        <w:rPr>
          <w:rFonts w:eastAsia="Batang"/>
          <w:lang w:eastAsia="en-US"/>
        </w:rPr>
        <w:t>n</w:t>
      </w:r>
      <w:r w:rsidR="00492964">
        <w:rPr>
          <w:rFonts w:eastAsia="Batang"/>
          <w:u w:val="single"/>
          <w:vertAlign w:val="superscript"/>
          <w:lang w:eastAsia="en-US"/>
        </w:rPr>
        <w:t>o</w:t>
      </w:r>
      <w:r w:rsidRPr="00D5686D">
        <w:t xml:space="preserve"> 08/2008 – Dispõe sobre o reflorestamento heterogêneo; e</w:t>
      </w:r>
    </w:p>
    <w:p w:rsidR="00482BB1" w:rsidRPr="00D5686D" w:rsidRDefault="00482BB1" w:rsidP="00D4740B">
      <w:pPr>
        <w:pStyle w:val="Item-Bolinha"/>
      </w:pPr>
      <w:r w:rsidRPr="00D5686D">
        <w:t xml:space="preserve">Resolução SMA </w:t>
      </w:r>
      <w:r w:rsidR="00492964">
        <w:rPr>
          <w:rFonts w:eastAsia="Batang"/>
          <w:lang w:eastAsia="en-US"/>
        </w:rPr>
        <w:t>n</w:t>
      </w:r>
      <w:r w:rsidR="00492964">
        <w:rPr>
          <w:rFonts w:eastAsia="Batang"/>
          <w:u w:val="single"/>
          <w:vertAlign w:val="superscript"/>
          <w:lang w:eastAsia="en-US"/>
        </w:rPr>
        <w:t>o</w:t>
      </w:r>
      <w:r w:rsidRPr="00D5686D">
        <w:t xml:space="preserve"> 86/2009 – Dispõe sobre os critérios e parâmetros para a compensação ambiental das áreas objeto de pedido de autorização para supressão de vegetação nativa em áreas rurais no Estado de São Paulo.</w:t>
      </w:r>
    </w:p>
    <w:p w:rsidR="00482BB1" w:rsidRPr="00D4740B" w:rsidRDefault="00482BB1" w:rsidP="00431A97">
      <w:pPr>
        <w:pStyle w:val="Ttulo3"/>
        <w:numPr>
          <w:ilvl w:val="3"/>
          <w:numId w:val="84"/>
        </w:numPr>
        <w:spacing w:after="240"/>
        <w:ind w:left="1077" w:hanging="1077"/>
        <w:rPr>
          <w:rFonts w:ascii="Arial Negrito" w:hAnsi="Arial Negrito"/>
          <w:b w:val="0"/>
        </w:rPr>
      </w:pPr>
      <w:bookmarkStart w:id="1130" w:name="_Toc418758453"/>
      <w:bookmarkStart w:id="1131" w:name="_Toc418759055"/>
      <w:bookmarkStart w:id="1132" w:name="_Toc419813827"/>
      <w:r w:rsidRPr="00D4740B">
        <w:rPr>
          <w:rFonts w:ascii="Arial Negrito" w:hAnsi="Arial Negrito"/>
          <w:b w:val="0"/>
        </w:rPr>
        <w:t>Inter-Relação com Outros Planos e Programas</w:t>
      </w:r>
      <w:bookmarkEnd w:id="1130"/>
      <w:bookmarkEnd w:id="1131"/>
      <w:bookmarkEnd w:id="1132"/>
    </w:p>
    <w:p w:rsidR="00482BB1" w:rsidRPr="003904EF" w:rsidRDefault="00482BB1" w:rsidP="00D5686D">
      <w:pPr>
        <w:spacing w:before="120" w:after="120" w:line="240" w:lineRule="auto"/>
        <w:rPr>
          <w:rFonts w:cs="Arial"/>
        </w:rPr>
      </w:pPr>
      <w:r w:rsidRPr="003904EF">
        <w:rPr>
          <w:rFonts w:cs="Arial"/>
        </w:rPr>
        <w:t>O Programa de Revegetação e Enriquecimento Florestal possui relação com o Plano de Gestão Ambiental da Obra, que estabelece as condições operacionais para o acompanhamento e cumprimento dos demais Programas Ambientais, associados às fases de implantação e operação do empreendimento.</w:t>
      </w:r>
    </w:p>
    <w:p w:rsidR="00482BB1" w:rsidRPr="003904EF" w:rsidRDefault="00482BB1" w:rsidP="00D5686D">
      <w:pPr>
        <w:spacing w:before="120" w:after="120" w:line="240" w:lineRule="auto"/>
        <w:rPr>
          <w:rFonts w:cs="Arial"/>
        </w:rPr>
      </w:pPr>
      <w:r w:rsidRPr="003904EF">
        <w:rPr>
          <w:rFonts w:cs="Arial"/>
        </w:rPr>
        <w:t xml:space="preserve">O presente programa apresenta relações, ainda, com os seguintes programas: </w:t>
      </w:r>
    </w:p>
    <w:p w:rsidR="00482BB1" w:rsidRPr="00D5686D" w:rsidRDefault="00482BB1" w:rsidP="00D4740B">
      <w:pPr>
        <w:pStyle w:val="Item-Bolinha"/>
      </w:pPr>
      <w:r w:rsidRPr="00D5686D">
        <w:t>Programa de Supressão da Vegetação; e</w:t>
      </w:r>
    </w:p>
    <w:p w:rsidR="00482BB1" w:rsidRPr="00D5686D" w:rsidRDefault="00482BB1" w:rsidP="00D4740B">
      <w:pPr>
        <w:pStyle w:val="Item-Bolinha"/>
      </w:pPr>
      <w:r w:rsidRPr="00D5686D">
        <w:t>Programa de Monitoramento e Conservação da Fauna Silvestre.</w:t>
      </w:r>
    </w:p>
    <w:p w:rsidR="00482BB1" w:rsidRPr="00D4740B" w:rsidRDefault="00482BB1" w:rsidP="00431A97">
      <w:pPr>
        <w:pStyle w:val="Ttulo3"/>
        <w:numPr>
          <w:ilvl w:val="3"/>
          <w:numId w:val="84"/>
        </w:numPr>
        <w:spacing w:after="240"/>
        <w:ind w:left="1077" w:hanging="1077"/>
        <w:rPr>
          <w:rFonts w:ascii="Arial Negrito" w:hAnsi="Arial Negrito"/>
          <w:b w:val="0"/>
        </w:rPr>
      </w:pPr>
      <w:bookmarkStart w:id="1133" w:name="_Toc418758454"/>
      <w:bookmarkStart w:id="1134" w:name="_Toc418759056"/>
      <w:bookmarkStart w:id="1135" w:name="_Toc419813828"/>
      <w:r w:rsidRPr="00D4740B">
        <w:rPr>
          <w:rFonts w:ascii="Arial Negrito" w:hAnsi="Arial Negrito"/>
          <w:b w:val="0"/>
        </w:rPr>
        <w:t>Etapa dos Empreendimentos</w:t>
      </w:r>
      <w:bookmarkEnd w:id="1133"/>
      <w:bookmarkEnd w:id="1134"/>
      <w:bookmarkEnd w:id="1135"/>
    </w:p>
    <w:p w:rsidR="00482BB1" w:rsidRDefault="00482BB1" w:rsidP="00D5686D">
      <w:pPr>
        <w:spacing w:before="120" w:after="120" w:line="240" w:lineRule="auto"/>
        <w:rPr>
          <w:rFonts w:cs="Arial"/>
        </w:rPr>
      </w:pPr>
      <w:r w:rsidRPr="003904EF">
        <w:rPr>
          <w:rFonts w:cs="Arial"/>
        </w:rPr>
        <w:t>As principais atividades que compõem o Programa de Revegetação e En</w:t>
      </w:r>
      <w:r w:rsidR="008062BB">
        <w:rPr>
          <w:rFonts w:cs="Arial"/>
        </w:rPr>
        <w:t>riquecimento Florestal deverão t</w:t>
      </w:r>
      <w:r w:rsidRPr="003904EF">
        <w:rPr>
          <w:rFonts w:cs="Arial"/>
        </w:rPr>
        <w:t>er</w:t>
      </w:r>
      <w:r w:rsidR="008062BB">
        <w:rPr>
          <w:rFonts w:cs="Arial"/>
        </w:rPr>
        <w:t xml:space="preserve"> início </w:t>
      </w:r>
      <w:r w:rsidRPr="003904EF">
        <w:rPr>
          <w:rFonts w:cs="Arial"/>
        </w:rPr>
        <w:t xml:space="preserve">durante a Fase </w:t>
      </w:r>
      <w:r w:rsidR="008C15C3">
        <w:rPr>
          <w:rFonts w:cs="Arial"/>
        </w:rPr>
        <w:t xml:space="preserve">de Implantação das barragens </w:t>
      </w:r>
      <w:r w:rsidRPr="003904EF">
        <w:rPr>
          <w:rFonts w:cs="Arial"/>
        </w:rPr>
        <w:t xml:space="preserve">Pedreira e Duas Pontes.  Entretanto, atividades como aquelas relativas aos tratos culturais se estenderão pela Fase de Operação dos empreendimentos. </w:t>
      </w:r>
    </w:p>
    <w:p w:rsidR="001F268D" w:rsidRDefault="001F268D" w:rsidP="001F268D">
      <w:pPr>
        <w:spacing w:before="120" w:after="120" w:line="240" w:lineRule="auto"/>
        <w:rPr>
          <w:rFonts w:cs="Arial"/>
        </w:rPr>
      </w:pPr>
      <w:r>
        <w:rPr>
          <w:rFonts w:cs="Arial"/>
        </w:rPr>
        <w:t xml:space="preserve">No </w:t>
      </w:r>
      <w:r w:rsidRPr="00AF0F8B">
        <w:rPr>
          <w:rFonts w:cs="Arial"/>
        </w:rPr>
        <w:t xml:space="preserve">Programa de Revegetação e Enriquecimento Florestal </w:t>
      </w:r>
      <w:r>
        <w:rPr>
          <w:rFonts w:cs="Arial"/>
        </w:rPr>
        <w:t>foram</w:t>
      </w:r>
      <w:r w:rsidRPr="00AF0F8B">
        <w:rPr>
          <w:rFonts w:cs="Arial"/>
        </w:rPr>
        <w:t xml:space="preserve"> </w:t>
      </w:r>
      <w:r>
        <w:rPr>
          <w:rFonts w:cs="Arial"/>
        </w:rPr>
        <w:t xml:space="preserve">estimadas as áreas para a implantação dos </w:t>
      </w:r>
      <w:r w:rsidRPr="00AF0F8B">
        <w:rPr>
          <w:rFonts w:cs="Arial"/>
        </w:rPr>
        <w:t>dois subprogramas</w:t>
      </w:r>
      <w:r>
        <w:rPr>
          <w:rFonts w:cs="Arial"/>
        </w:rPr>
        <w:t>.</w:t>
      </w:r>
    </w:p>
    <w:p w:rsidR="001F268D" w:rsidRDefault="001F268D" w:rsidP="001F268D">
      <w:pPr>
        <w:spacing w:before="120" w:after="120" w:line="240" w:lineRule="auto"/>
        <w:rPr>
          <w:rFonts w:cs="Arial"/>
        </w:rPr>
      </w:pPr>
      <w:r>
        <w:rPr>
          <w:rFonts w:cs="Arial"/>
        </w:rPr>
        <w:t>O Subprograma de Incremento da Conectividade, conforme mencionado, dedica-se ao plantio compensatório decorrente da supressão de cobertura vegetal nativa. Assim, para o cálculo da área a ser revegetada foi utilizada como referência a Resolução 86/2009. Esta Resolução define os critérios e parâmetros para a compensação pela supressão de vegetação nativa. Em seu Artigo 5º determina que:</w:t>
      </w:r>
    </w:p>
    <w:p w:rsidR="001D5114" w:rsidRDefault="001D5114" w:rsidP="001F268D">
      <w:pPr>
        <w:spacing w:before="120" w:after="120" w:line="240" w:lineRule="auto"/>
        <w:rPr>
          <w:rFonts w:cs="Arial"/>
        </w:rPr>
      </w:pPr>
      <w:r>
        <w:rPr>
          <w:rFonts w:cs="Arial"/>
        </w:rPr>
        <w:br w:type="page"/>
      </w:r>
    </w:p>
    <w:p w:rsidR="001D5114" w:rsidRDefault="001D5114" w:rsidP="001F268D">
      <w:pPr>
        <w:spacing w:before="120" w:after="120" w:line="240" w:lineRule="auto"/>
        <w:rPr>
          <w:rFonts w:cs="Arial"/>
        </w:rPr>
      </w:pPr>
    </w:p>
    <w:p w:rsidR="001F268D" w:rsidRPr="00D5686D" w:rsidRDefault="001F268D" w:rsidP="00D4740B">
      <w:pPr>
        <w:spacing w:before="120" w:after="120" w:line="240" w:lineRule="auto"/>
        <w:ind w:left="1134" w:right="1417"/>
        <w:rPr>
          <w:rFonts w:cs="Arial"/>
          <w:i/>
        </w:rPr>
      </w:pPr>
      <w:r w:rsidRPr="00D5686D">
        <w:rPr>
          <w:rFonts w:cs="Arial"/>
          <w:i/>
        </w:rPr>
        <w:t>“A compensação ambiental no caso de concessão de autorização para supressão de vegetação nativa, considerando as escala de classificação presentes no mapa ‘Áreas prioritárias para incremento de conectividade’, deverá atender aos seguintes critérios:</w:t>
      </w:r>
    </w:p>
    <w:p w:rsidR="001F268D" w:rsidRPr="00D5686D" w:rsidRDefault="001F268D" w:rsidP="00D4740B">
      <w:pPr>
        <w:spacing w:before="120" w:after="120" w:line="240" w:lineRule="auto"/>
        <w:ind w:left="1134" w:right="1417"/>
        <w:rPr>
          <w:rFonts w:cs="Arial"/>
          <w:i/>
        </w:rPr>
      </w:pPr>
      <w:r w:rsidRPr="00D5686D">
        <w:rPr>
          <w:rFonts w:cs="Arial"/>
          <w:i/>
        </w:rPr>
        <w:t xml:space="preserve">I </w:t>
      </w:r>
      <w:r w:rsidR="00EF6B5D">
        <w:rPr>
          <w:rFonts w:cs="Arial"/>
          <w:i/>
        </w:rPr>
        <w:t>-</w:t>
      </w:r>
      <w:r w:rsidRPr="00D5686D">
        <w:rPr>
          <w:rFonts w:cs="Arial"/>
          <w:i/>
        </w:rPr>
        <w:t xml:space="preserve"> Dentro da escala de 6 a 8 deverá ser compensada áre</w:t>
      </w:r>
      <w:r>
        <w:rPr>
          <w:rFonts w:cs="Arial"/>
          <w:i/>
        </w:rPr>
        <w:t>a</w:t>
      </w:r>
      <w:r w:rsidRPr="00D5686D">
        <w:rPr>
          <w:rFonts w:cs="Arial"/>
          <w:i/>
        </w:rPr>
        <w:t xml:space="preserve"> equivalente a 6 (seis) vezes a área autorizada;</w:t>
      </w:r>
    </w:p>
    <w:p w:rsidR="001F268D" w:rsidRPr="00D5686D" w:rsidRDefault="001F268D" w:rsidP="00D4740B">
      <w:pPr>
        <w:spacing w:before="120" w:after="120" w:line="240" w:lineRule="auto"/>
        <w:ind w:left="1134" w:right="1417"/>
        <w:rPr>
          <w:rFonts w:cs="Arial"/>
          <w:i/>
        </w:rPr>
      </w:pPr>
      <w:r w:rsidRPr="00D5686D">
        <w:rPr>
          <w:rFonts w:cs="Arial"/>
          <w:i/>
        </w:rPr>
        <w:t xml:space="preserve">II </w:t>
      </w:r>
      <w:r w:rsidR="00EF6B5D">
        <w:rPr>
          <w:rFonts w:cs="Arial"/>
          <w:i/>
        </w:rPr>
        <w:t>-</w:t>
      </w:r>
      <w:r w:rsidRPr="00D5686D">
        <w:rPr>
          <w:rFonts w:cs="Arial"/>
          <w:i/>
        </w:rPr>
        <w:t xml:space="preserve"> Dentro da escala de 3 a 5 deverá ser compensada área equivalente a 2(duas) vezes a área autorizada;</w:t>
      </w:r>
    </w:p>
    <w:p w:rsidR="001F268D" w:rsidRPr="00D5686D" w:rsidRDefault="001F268D" w:rsidP="00D4740B">
      <w:pPr>
        <w:spacing w:before="120" w:after="120" w:line="240" w:lineRule="auto"/>
        <w:ind w:left="1134" w:right="1417"/>
        <w:rPr>
          <w:rFonts w:cs="Arial"/>
          <w:i/>
        </w:rPr>
      </w:pPr>
      <w:r w:rsidRPr="00D5686D">
        <w:rPr>
          <w:rFonts w:cs="Arial"/>
          <w:i/>
        </w:rPr>
        <w:t xml:space="preserve">III </w:t>
      </w:r>
      <w:r w:rsidR="00EF6B5D">
        <w:rPr>
          <w:rFonts w:cs="Arial"/>
          <w:i/>
        </w:rPr>
        <w:t>-</w:t>
      </w:r>
      <w:r w:rsidRPr="00D5686D">
        <w:rPr>
          <w:rFonts w:cs="Arial"/>
          <w:i/>
        </w:rPr>
        <w:t xml:space="preserve"> Dentro da escala de 1 a 2 deverá ser seguida a legislação vigente”</w:t>
      </w:r>
    </w:p>
    <w:p w:rsidR="001F268D" w:rsidRDefault="001F268D" w:rsidP="001F268D">
      <w:pPr>
        <w:spacing w:before="120" w:after="120" w:line="240" w:lineRule="auto"/>
        <w:rPr>
          <w:rFonts w:cs="Arial"/>
        </w:rPr>
      </w:pPr>
      <w:r>
        <w:rPr>
          <w:rFonts w:cs="Arial"/>
        </w:rPr>
        <w:t xml:space="preserve">Assim, considerando que tanto a ADA da barragem Pedreira como a ADA da barragem Duas Pontes se inserem dentro de uma região classificada na categoria 4 (quatro) de prioridade para o incremento de conectividade, deverão ser revegetados 2 (dois) hectares para cada hectare de vegetação nativa suprimida que se </w:t>
      </w:r>
      <w:r w:rsidR="00EE28C9">
        <w:rPr>
          <w:rFonts w:cs="Arial"/>
        </w:rPr>
        <w:t>encontre</w:t>
      </w:r>
      <w:r>
        <w:rPr>
          <w:rFonts w:cs="Arial"/>
        </w:rPr>
        <w:t xml:space="preserve"> em estágio inicial, médio ou avançado de regeneração. Portanto, considerando que para a implantação da barragem Pedreira será necessária a supressão </w:t>
      </w:r>
      <w:r w:rsidRPr="002F4620">
        <w:rPr>
          <w:rFonts w:cs="Arial"/>
        </w:rPr>
        <w:t xml:space="preserve">de </w:t>
      </w:r>
      <w:r w:rsidRPr="002F4620">
        <w:rPr>
          <w:rFonts w:cs="Arial"/>
          <w:b/>
        </w:rPr>
        <w:t>93,0</w:t>
      </w:r>
      <w:r w:rsidRPr="002F4620">
        <w:rPr>
          <w:rFonts w:cs="Arial"/>
        </w:rPr>
        <w:t xml:space="preserve"> ha de vegetação nativa, e para a implantação da barragem Duas Pontes este montante é de </w:t>
      </w:r>
      <w:r w:rsidRPr="002F4620">
        <w:rPr>
          <w:rFonts w:cs="Arial"/>
          <w:b/>
        </w:rPr>
        <w:t>93,</w:t>
      </w:r>
      <w:r w:rsidR="00260287">
        <w:rPr>
          <w:rFonts w:cs="Arial"/>
          <w:b/>
        </w:rPr>
        <w:t>4</w:t>
      </w:r>
      <w:r w:rsidR="00EE28C9" w:rsidRPr="002F4620">
        <w:rPr>
          <w:rFonts w:cs="Arial"/>
          <w:b/>
        </w:rPr>
        <w:t xml:space="preserve"> </w:t>
      </w:r>
      <w:r w:rsidRPr="002F4620">
        <w:rPr>
          <w:rFonts w:cs="Arial"/>
          <w:b/>
        </w:rPr>
        <w:t>ha</w:t>
      </w:r>
      <w:r w:rsidRPr="002F4620">
        <w:rPr>
          <w:rFonts w:cs="Arial"/>
        </w:rPr>
        <w:t xml:space="preserve">, as áreas objeto do Subprograma de Incremento de Conectividade serão de </w:t>
      </w:r>
      <w:r w:rsidRPr="002F4620">
        <w:rPr>
          <w:rFonts w:cs="Arial"/>
          <w:b/>
        </w:rPr>
        <w:t>186,0</w:t>
      </w:r>
      <w:r w:rsidRPr="002F4620">
        <w:rPr>
          <w:rFonts w:cs="Arial"/>
        </w:rPr>
        <w:t xml:space="preserve"> ha e </w:t>
      </w:r>
      <w:r w:rsidRPr="002F4620">
        <w:rPr>
          <w:rFonts w:cs="Arial"/>
          <w:b/>
        </w:rPr>
        <w:t>186,</w:t>
      </w:r>
      <w:r w:rsidR="00260287">
        <w:rPr>
          <w:rFonts w:cs="Arial"/>
          <w:b/>
        </w:rPr>
        <w:t>8</w:t>
      </w:r>
      <w:r w:rsidR="00EE28C9" w:rsidRPr="002F4620">
        <w:rPr>
          <w:rFonts w:cs="Arial"/>
        </w:rPr>
        <w:t xml:space="preserve"> </w:t>
      </w:r>
      <w:r w:rsidR="00DE43A8">
        <w:rPr>
          <w:rFonts w:cs="Arial"/>
        </w:rPr>
        <w:t>ha, respectivamente, totalizando 372,8 ha.</w:t>
      </w:r>
    </w:p>
    <w:p w:rsidR="001F268D" w:rsidRPr="002F4620" w:rsidRDefault="001F268D" w:rsidP="001F268D">
      <w:pPr>
        <w:spacing w:before="120" w:after="120" w:line="240" w:lineRule="auto"/>
        <w:rPr>
          <w:rFonts w:cs="Arial"/>
        </w:rPr>
      </w:pPr>
      <w:r>
        <w:rPr>
          <w:rFonts w:cs="Arial"/>
        </w:rPr>
        <w:t xml:space="preserve">Por outro lado, o total de áreas envolvidas no Subprograma de Revegetação das APPs dos Futuros Reservatórios é igual à área representada por toda a superfície das APPs dos futuros reservatórios que se encontram desprovidas de qualquer tipo de cobertura vegetal nativa. No </w:t>
      </w:r>
      <w:r w:rsidRPr="002F4620">
        <w:rPr>
          <w:rFonts w:cs="Arial"/>
        </w:rPr>
        <w:t xml:space="preserve">caso da barragem Pedreira a área a ser objeto de revegetação no âmbito deste subprograma é de 134,9 ha (soma das áreas atualmente ocupadas por pastagens, silvicultura, edificações e estradas). Por outro lado, </w:t>
      </w:r>
      <w:r>
        <w:rPr>
          <w:rFonts w:cs="Arial"/>
        </w:rPr>
        <w:t>o total de área a ser revegetada</w:t>
      </w:r>
      <w:r w:rsidRPr="002F4620">
        <w:rPr>
          <w:rFonts w:cs="Arial"/>
        </w:rPr>
        <w:t xml:space="preserve"> na APP da barragem Duas Pontes, será de </w:t>
      </w:r>
      <w:r>
        <w:rPr>
          <w:rFonts w:cs="Arial"/>
        </w:rPr>
        <w:t>292,2</w:t>
      </w:r>
      <w:r w:rsidRPr="002F4620">
        <w:rPr>
          <w:rFonts w:cs="Arial"/>
        </w:rPr>
        <w:t xml:space="preserve"> ha (soma de áreas de campo úmido antropizado, silvicultura, </w:t>
      </w:r>
      <w:r>
        <w:rPr>
          <w:rFonts w:cs="Arial"/>
        </w:rPr>
        <w:t>cana-de-açúcar</w:t>
      </w:r>
      <w:r w:rsidRPr="002F4620">
        <w:rPr>
          <w:rFonts w:cs="Arial"/>
        </w:rPr>
        <w:t>, outros cultivos, pastagens e edificações).</w:t>
      </w:r>
    </w:p>
    <w:p w:rsidR="001F268D" w:rsidRPr="002F4620" w:rsidRDefault="001F268D" w:rsidP="001F268D">
      <w:pPr>
        <w:spacing w:before="120" w:after="120" w:line="240" w:lineRule="auto"/>
        <w:rPr>
          <w:rFonts w:cs="Arial"/>
        </w:rPr>
      </w:pPr>
      <w:r w:rsidRPr="002F4620">
        <w:rPr>
          <w:rFonts w:cs="Arial"/>
        </w:rPr>
        <w:t xml:space="preserve">Portanto, o total de área a ser revegetada no âmbito do Programa de Revegetação e Enriquecimento Florestal será </w:t>
      </w:r>
      <w:r>
        <w:rPr>
          <w:rFonts w:cs="Arial"/>
        </w:rPr>
        <w:t>da ordem de 800,0</w:t>
      </w:r>
      <w:r w:rsidRPr="002F4620">
        <w:rPr>
          <w:rFonts w:cs="Arial"/>
        </w:rPr>
        <w:t xml:space="preserve"> ha, das quais 320,9 ha referentes à barragem Pedreira e </w:t>
      </w:r>
      <w:r w:rsidR="00260287">
        <w:rPr>
          <w:rFonts w:cs="Arial"/>
        </w:rPr>
        <w:t>479,0</w:t>
      </w:r>
      <w:r w:rsidR="00EE28C9" w:rsidRPr="002F4620">
        <w:rPr>
          <w:rFonts w:cs="Arial"/>
        </w:rPr>
        <w:t xml:space="preserve"> </w:t>
      </w:r>
      <w:r w:rsidRPr="002F4620">
        <w:rPr>
          <w:rFonts w:cs="Arial"/>
        </w:rPr>
        <w:t xml:space="preserve">ha referentes à </w:t>
      </w:r>
      <w:r>
        <w:rPr>
          <w:rFonts w:cs="Arial"/>
        </w:rPr>
        <w:t>B</w:t>
      </w:r>
      <w:r w:rsidRPr="002F4620">
        <w:rPr>
          <w:rFonts w:cs="Arial"/>
        </w:rPr>
        <w:t>arragem Duas Pontes.</w:t>
      </w:r>
    </w:p>
    <w:p w:rsidR="00482BB1" w:rsidRPr="008C32BC" w:rsidRDefault="00482BB1" w:rsidP="00431A97">
      <w:pPr>
        <w:pStyle w:val="Ttulo3"/>
        <w:numPr>
          <w:ilvl w:val="3"/>
          <w:numId w:val="84"/>
        </w:numPr>
        <w:spacing w:after="240"/>
        <w:ind w:left="1077" w:hanging="1077"/>
        <w:rPr>
          <w:rFonts w:ascii="Arial Negrito" w:hAnsi="Arial Negrito"/>
          <w:b w:val="0"/>
          <w:bCs/>
        </w:rPr>
      </w:pPr>
      <w:bookmarkStart w:id="1136" w:name="_Toc418758455"/>
      <w:bookmarkStart w:id="1137" w:name="_Toc418759057"/>
      <w:bookmarkStart w:id="1138" w:name="_Toc419813829"/>
      <w:r w:rsidRPr="008C32BC">
        <w:rPr>
          <w:rFonts w:ascii="Arial Negrito" w:hAnsi="Arial Negrito"/>
          <w:b w:val="0"/>
          <w:bCs/>
        </w:rPr>
        <w:t>Cronograma de Execução</w:t>
      </w:r>
      <w:bookmarkEnd w:id="1136"/>
      <w:bookmarkEnd w:id="1137"/>
      <w:bookmarkEnd w:id="1138"/>
    </w:p>
    <w:p w:rsidR="006D0CB7" w:rsidRDefault="006D0CB7" w:rsidP="006D0CB7">
      <w:pPr>
        <w:autoSpaceDE w:val="0"/>
        <w:autoSpaceDN w:val="0"/>
        <w:adjustRightInd w:val="0"/>
        <w:spacing w:before="120" w:after="120" w:line="240" w:lineRule="auto"/>
        <w:rPr>
          <w:rFonts w:cs="Arial"/>
          <w:szCs w:val="22"/>
        </w:rPr>
      </w:pPr>
      <w:r w:rsidRPr="001835E6">
        <w:rPr>
          <w:rFonts w:cs="Arial"/>
          <w:szCs w:val="22"/>
        </w:rPr>
        <w:t xml:space="preserve">As atividades </w:t>
      </w:r>
      <w:r>
        <w:rPr>
          <w:rFonts w:cs="Arial"/>
          <w:szCs w:val="22"/>
        </w:rPr>
        <w:t>a serem realizadas são:</w:t>
      </w:r>
    </w:p>
    <w:p w:rsidR="006D0CB7" w:rsidRDefault="006D0CB7" w:rsidP="00D4740B">
      <w:pPr>
        <w:pStyle w:val="Item-Trainho"/>
      </w:pPr>
      <w:r>
        <w:t xml:space="preserve">Subprograma de Incremento de Conectividade - atividade a ser iniciada na fase de implantação do empreendimento, estimando-se que se estenda por cinco anos; </w:t>
      </w:r>
    </w:p>
    <w:p w:rsidR="006D0CB7" w:rsidRDefault="006D0CB7" w:rsidP="00D4740B">
      <w:pPr>
        <w:pStyle w:val="Item-Trainho"/>
      </w:pPr>
      <w:r w:rsidRPr="001835E6">
        <w:t xml:space="preserve">Subprograma de </w:t>
      </w:r>
      <w:r w:rsidR="0063124A">
        <w:t>Reflorestamento das APPs dos futuros reservatórios</w:t>
      </w:r>
      <w:r>
        <w:t xml:space="preserve"> – a </w:t>
      </w:r>
      <w:r w:rsidR="0063124A">
        <w:t>atividade deve t</w:t>
      </w:r>
      <w:r>
        <w:t xml:space="preserve">er </w:t>
      </w:r>
      <w:r w:rsidR="0063124A">
        <w:t xml:space="preserve">início na fase de implantação dos empreendimentos, estimando-se que se estenda por cinco anos. </w:t>
      </w:r>
      <w:r w:rsidR="00FB5938">
        <w:t>Após esse prazo devem continuar as atividades de manutenção das áreas plantadas.</w:t>
      </w:r>
    </w:p>
    <w:p w:rsidR="00482BB1" w:rsidRPr="008C32BC" w:rsidRDefault="00482BB1" w:rsidP="00431A97">
      <w:pPr>
        <w:pStyle w:val="Ttulo3"/>
        <w:numPr>
          <w:ilvl w:val="3"/>
          <w:numId w:val="84"/>
        </w:numPr>
        <w:spacing w:after="240"/>
        <w:ind w:left="1077" w:hanging="1077"/>
        <w:rPr>
          <w:rFonts w:ascii="Arial Negrito" w:hAnsi="Arial Negrito"/>
          <w:b w:val="0"/>
        </w:rPr>
      </w:pPr>
      <w:bookmarkStart w:id="1139" w:name="_Toc418758456"/>
      <w:bookmarkStart w:id="1140" w:name="_Toc418759058"/>
      <w:bookmarkStart w:id="1141" w:name="_Toc419813830"/>
      <w:r w:rsidRPr="008C32BC">
        <w:rPr>
          <w:rFonts w:ascii="Arial Negrito" w:hAnsi="Arial Negrito"/>
          <w:b w:val="0"/>
        </w:rPr>
        <w:t>Responsável pela Implementação do Programa</w:t>
      </w:r>
      <w:bookmarkEnd w:id="1139"/>
      <w:bookmarkEnd w:id="1140"/>
      <w:bookmarkEnd w:id="1141"/>
    </w:p>
    <w:p w:rsidR="00482BB1" w:rsidRDefault="00482BB1" w:rsidP="00D5686D">
      <w:pPr>
        <w:spacing w:before="120" w:after="120" w:line="240" w:lineRule="auto"/>
        <w:rPr>
          <w:rFonts w:cs="Arial"/>
        </w:rPr>
      </w:pPr>
      <w:r w:rsidRPr="0036167C">
        <w:rPr>
          <w:rFonts w:cs="Arial"/>
        </w:rPr>
        <w:t xml:space="preserve">A responsabilidade de implantação do Programa </w:t>
      </w:r>
      <w:r>
        <w:rPr>
          <w:rFonts w:cs="Arial"/>
        </w:rPr>
        <w:t>de Revegetação e Enriquecimento Florestal</w:t>
      </w:r>
      <w:r w:rsidRPr="0036167C">
        <w:rPr>
          <w:rFonts w:cs="Arial"/>
        </w:rPr>
        <w:t xml:space="preserve"> é do Empreendedor, juntamente com a equi</w:t>
      </w:r>
      <w:r>
        <w:rPr>
          <w:rFonts w:cs="Arial"/>
        </w:rPr>
        <w:t>pe contratada para a execução.</w:t>
      </w:r>
    </w:p>
    <w:p w:rsidR="00482BB1" w:rsidRPr="008C32BC" w:rsidRDefault="00482BB1" w:rsidP="00431A97">
      <w:pPr>
        <w:pStyle w:val="Ttulo3"/>
        <w:numPr>
          <w:ilvl w:val="3"/>
          <w:numId w:val="84"/>
        </w:numPr>
        <w:spacing w:after="240"/>
        <w:ind w:left="1077" w:hanging="1077"/>
        <w:rPr>
          <w:rFonts w:ascii="Arial Negrito" w:hAnsi="Arial Negrito"/>
          <w:bCs/>
        </w:rPr>
      </w:pPr>
      <w:bookmarkStart w:id="1142" w:name="_Toc418758457"/>
      <w:bookmarkStart w:id="1143" w:name="_Toc418759059"/>
      <w:bookmarkStart w:id="1144" w:name="_Toc419813831"/>
      <w:r w:rsidRPr="008C32BC">
        <w:rPr>
          <w:rFonts w:ascii="Arial Negrito" w:hAnsi="Arial Negrito"/>
          <w:bCs/>
        </w:rPr>
        <w:t>Sistemas de Registros</w:t>
      </w:r>
      <w:bookmarkEnd w:id="1142"/>
      <w:bookmarkEnd w:id="1143"/>
      <w:bookmarkEnd w:id="1144"/>
    </w:p>
    <w:p w:rsidR="00482BB1" w:rsidRPr="00AB6C25" w:rsidRDefault="00482BB1" w:rsidP="00D5686D">
      <w:pPr>
        <w:spacing w:before="120" w:after="120" w:line="240" w:lineRule="auto"/>
        <w:rPr>
          <w:rFonts w:cs="Arial"/>
        </w:rPr>
      </w:pPr>
      <w:r w:rsidRPr="00AB6C25">
        <w:rPr>
          <w:rFonts w:cs="Arial"/>
        </w:rPr>
        <w:t>Para o Programa de Revegetação e Enriquecimento Florestal deverá ser elaborado um relatório contendo, minimamente, as seguintes informações:</w:t>
      </w:r>
    </w:p>
    <w:p w:rsidR="00482BB1" w:rsidRPr="00D5686D" w:rsidRDefault="00482BB1" w:rsidP="00492964">
      <w:pPr>
        <w:pStyle w:val="Item-Bolinha"/>
      </w:pPr>
      <w:r w:rsidRPr="00D5686D">
        <w:t>Descrição do material e métodos utilizados;</w:t>
      </w:r>
    </w:p>
    <w:p w:rsidR="00482BB1" w:rsidRPr="00D5686D" w:rsidRDefault="00482BB1" w:rsidP="00492964">
      <w:pPr>
        <w:pStyle w:val="Item-Bolinha"/>
      </w:pPr>
      <w:r w:rsidRPr="00D5686D">
        <w:t>Identificação dos possíveis cenários de intervenção;</w:t>
      </w:r>
    </w:p>
    <w:p w:rsidR="00482BB1" w:rsidRPr="00D5686D" w:rsidRDefault="00482BB1" w:rsidP="00492964">
      <w:pPr>
        <w:pStyle w:val="Item-Bolinha"/>
      </w:pPr>
      <w:r w:rsidRPr="00D5686D">
        <w:t>Cenário indicado para intervenção; e</w:t>
      </w:r>
    </w:p>
    <w:p w:rsidR="00482BB1" w:rsidRPr="00D5686D" w:rsidRDefault="00482BB1" w:rsidP="00492964">
      <w:pPr>
        <w:pStyle w:val="Item-Bolinha"/>
      </w:pPr>
      <w:r w:rsidRPr="00D5686D">
        <w:t>Material cartográfico representando a área a ser objeto de intervenções.</w:t>
      </w:r>
    </w:p>
    <w:p w:rsidR="00482BB1" w:rsidRPr="00AB6C25" w:rsidRDefault="00482BB1" w:rsidP="00D5686D">
      <w:pPr>
        <w:spacing w:before="120" w:after="120" w:line="240" w:lineRule="auto"/>
        <w:rPr>
          <w:rFonts w:cs="Arial"/>
        </w:rPr>
      </w:pPr>
      <w:r w:rsidRPr="00AB6C25">
        <w:rPr>
          <w:rFonts w:cs="Arial"/>
        </w:rPr>
        <w:t>Após o relatório contendo os resultados das análises de paisagem deverá ser apresentado um relatório dedicado ao acompanhamento das atividades de reflorestamento das áreas selecionadas (de ambos os subprogramas). Este relatório deverá conter, minimamente, as seguintes informações:</w:t>
      </w:r>
    </w:p>
    <w:p w:rsidR="00482BB1" w:rsidRPr="00D5686D" w:rsidRDefault="00482BB1" w:rsidP="00492964">
      <w:pPr>
        <w:pStyle w:val="Item-Bolinha"/>
      </w:pPr>
      <w:r w:rsidRPr="00D5686D">
        <w:t>Mapa das áreas a serem reflorestadas;</w:t>
      </w:r>
    </w:p>
    <w:p w:rsidR="00482BB1" w:rsidRPr="00D5686D" w:rsidRDefault="00482BB1" w:rsidP="00492964">
      <w:pPr>
        <w:pStyle w:val="Item-Bolinha"/>
      </w:pPr>
      <w:r w:rsidRPr="00D5686D">
        <w:t>Justificativa dos métodos a serem empregados;</w:t>
      </w:r>
    </w:p>
    <w:p w:rsidR="00482BB1" w:rsidRPr="00D5686D" w:rsidRDefault="00482BB1" w:rsidP="00492964">
      <w:pPr>
        <w:pStyle w:val="Item-Bolinha"/>
      </w:pPr>
      <w:r w:rsidRPr="00D5686D">
        <w:t>Descrição dos métodos de plantio a serem utilizados;</w:t>
      </w:r>
    </w:p>
    <w:p w:rsidR="00482BB1" w:rsidRPr="00D5686D" w:rsidRDefault="00482BB1" w:rsidP="00492964">
      <w:pPr>
        <w:pStyle w:val="Item-Bolinha"/>
      </w:pPr>
      <w:r w:rsidRPr="00D5686D">
        <w:t>Relação de espécies a serem utilizadas e respectivos quantitativos;</w:t>
      </w:r>
    </w:p>
    <w:p w:rsidR="00482BB1" w:rsidRPr="00D5686D" w:rsidRDefault="00482BB1" w:rsidP="00492964">
      <w:pPr>
        <w:pStyle w:val="Item-Bolinha"/>
      </w:pPr>
      <w:r w:rsidRPr="00D5686D">
        <w:t>Tratos culturais a serem empregados; e</w:t>
      </w:r>
    </w:p>
    <w:p w:rsidR="00482BB1" w:rsidRPr="00D5686D" w:rsidRDefault="00482BB1" w:rsidP="00492964">
      <w:pPr>
        <w:pStyle w:val="Item-Bolinha"/>
      </w:pPr>
      <w:r w:rsidRPr="00D5686D">
        <w:t>Cronograma.</w:t>
      </w:r>
    </w:p>
    <w:p w:rsidR="00482BB1" w:rsidRDefault="00482BB1" w:rsidP="00D5686D">
      <w:pPr>
        <w:spacing w:before="120" w:after="120" w:line="240" w:lineRule="auto"/>
        <w:rPr>
          <w:rFonts w:cs="Arial"/>
        </w:rPr>
      </w:pPr>
      <w:r w:rsidRPr="00AB6C25">
        <w:rPr>
          <w:rFonts w:cs="Arial"/>
        </w:rPr>
        <w:t xml:space="preserve">Após a definição das áreas e métodos de plantio deverão ser elaborados relatórios mensais internos, para o acompanhamento das atividades de reflorestamento </w:t>
      </w:r>
      <w:r w:rsidR="00D5686D">
        <w:rPr>
          <w:rFonts w:cs="Arial"/>
        </w:rPr>
        <w:t>das áreas das barragens</w:t>
      </w:r>
      <w:r w:rsidRPr="00AB6C25">
        <w:rPr>
          <w:rFonts w:cs="Arial"/>
        </w:rPr>
        <w:t xml:space="preserve"> Pedreira e Duas Pontes. </w:t>
      </w:r>
    </w:p>
    <w:p w:rsidR="007C22CC" w:rsidRPr="008C32BC" w:rsidRDefault="007C22CC" w:rsidP="00431A97">
      <w:pPr>
        <w:pStyle w:val="Ttulo3"/>
        <w:numPr>
          <w:ilvl w:val="2"/>
          <w:numId w:val="84"/>
        </w:numPr>
        <w:spacing w:after="240"/>
        <w:rPr>
          <w:rFonts w:ascii="Arial Negrito" w:hAnsi="Arial Negrito"/>
          <w:bCs/>
        </w:rPr>
      </w:pPr>
      <w:bookmarkStart w:id="1145" w:name="_Toc418758458"/>
      <w:bookmarkStart w:id="1146" w:name="_Toc418759060"/>
      <w:bookmarkStart w:id="1147" w:name="_Toc419813832"/>
      <w:r w:rsidRPr="008C32BC">
        <w:rPr>
          <w:rFonts w:ascii="Arial Negrito" w:hAnsi="Arial Negrito"/>
          <w:bCs/>
        </w:rPr>
        <w:t xml:space="preserve">Programa de </w:t>
      </w:r>
      <w:r w:rsidR="002D6EDB" w:rsidRPr="008C32BC">
        <w:rPr>
          <w:rFonts w:ascii="Arial Negrito" w:hAnsi="Arial Negrito"/>
          <w:bCs/>
        </w:rPr>
        <w:t xml:space="preserve">Monitoramento e </w:t>
      </w:r>
      <w:r w:rsidRPr="008C32BC">
        <w:rPr>
          <w:rFonts w:ascii="Arial Negrito" w:hAnsi="Arial Negrito"/>
          <w:bCs/>
        </w:rPr>
        <w:t>Conservação</w:t>
      </w:r>
      <w:r w:rsidR="002D6EDB" w:rsidRPr="008C32BC">
        <w:rPr>
          <w:rFonts w:ascii="Arial Negrito" w:hAnsi="Arial Negrito"/>
          <w:bCs/>
        </w:rPr>
        <w:t xml:space="preserve"> da Fauna</w:t>
      </w:r>
      <w:bookmarkEnd w:id="1145"/>
      <w:bookmarkEnd w:id="1146"/>
      <w:bookmarkEnd w:id="1147"/>
    </w:p>
    <w:p w:rsidR="00D033F1" w:rsidRPr="008C32BC" w:rsidRDefault="00D033F1" w:rsidP="00431A97">
      <w:pPr>
        <w:pStyle w:val="Ttulo3"/>
        <w:numPr>
          <w:ilvl w:val="3"/>
          <w:numId w:val="84"/>
        </w:numPr>
        <w:spacing w:after="240"/>
        <w:ind w:left="1077" w:hanging="1077"/>
        <w:rPr>
          <w:rFonts w:ascii="Arial Negrito" w:hAnsi="Arial Negrito"/>
          <w:bCs/>
        </w:rPr>
      </w:pPr>
      <w:bookmarkStart w:id="1148" w:name="_Toc418758459"/>
      <w:bookmarkStart w:id="1149" w:name="_Toc418759061"/>
      <w:bookmarkStart w:id="1150" w:name="_Toc419813833"/>
      <w:r w:rsidRPr="008C32BC">
        <w:rPr>
          <w:rFonts w:ascii="Arial Negrito" w:hAnsi="Arial Negrito"/>
          <w:bCs/>
        </w:rPr>
        <w:t>Apresentação e Justificativa</w:t>
      </w:r>
      <w:bookmarkEnd w:id="1148"/>
      <w:bookmarkEnd w:id="1149"/>
      <w:bookmarkEnd w:id="1150"/>
    </w:p>
    <w:p w:rsidR="00D033F1" w:rsidRDefault="00D033F1" w:rsidP="00D033F1">
      <w:pPr>
        <w:spacing w:before="120" w:after="120" w:line="240" w:lineRule="auto"/>
        <w:rPr>
          <w:rFonts w:cs="Arial"/>
        </w:rPr>
      </w:pPr>
      <w:r>
        <w:rPr>
          <w:rFonts w:cs="Arial"/>
        </w:rPr>
        <w:t xml:space="preserve">De acordo com o </w:t>
      </w:r>
      <w:r w:rsidRPr="0036167C">
        <w:rPr>
          <w:rFonts w:cs="Arial"/>
        </w:rPr>
        <w:t xml:space="preserve">diagnóstico ambiental do presente </w:t>
      </w:r>
      <w:r>
        <w:rPr>
          <w:rFonts w:cs="Arial"/>
        </w:rPr>
        <w:t>EIA</w:t>
      </w:r>
      <w:r w:rsidRPr="0036167C">
        <w:rPr>
          <w:rFonts w:cs="Arial"/>
        </w:rPr>
        <w:t xml:space="preserve">, foram registradas inúmeras espécies de aves, mamíferos, répteis e anfíbios associadas aos ambientes que serão diretamente impactados pela implantação </w:t>
      </w:r>
      <w:r w:rsidR="008C15C3">
        <w:rPr>
          <w:rFonts w:cs="Arial"/>
        </w:rPr>
        <w:t>das barragens</w:t>
      </w:r>
      <w:r>
        <w:rPr>
          <w:rFonts w:cs="Arial"/>
        </w:rPr>
        <w:t xml:space="preserve"> Pedreira e, principalmente Duas Pontes</w:t>
      </w:r>
      <w:r w:rsidRPr="0036167C">
        <w:rPr>
          <w:rFonts w:cs="Arial"/>
        </w:rPr>
        <w:t xml:space="preserve">. </w:t>
      </w:r>
      <w:r>
        <w:rPr>
          <w:rFonts w:cs="Arial"/>
        </w:rPr>
        <w:t>E</w:t>
      </w:r>
      <w:r w:rsidRPr="0036167C">
        <w:rPr>
          <w:rFonts w:cs="Arial"/>
        </w:rPr>
        <w:t>ntre as espécies registrad</w:t>
      </w:r>
      <w:r>
        <w:rPr>
          <w:rFonts w:cs="Arial"/>
        </w:rPr>
        <w:t>as encontram-se táxons endêmicos da Mata Atlântica</w:t>
      </w:r>
      <w:r w:rsidRPr="0036167C">
        <w:rPr>
          <w:rFonts w:cs="Arial"/>
        </w:rPr>
        <w:t xml:space="preserve"> e outros sob algum grau de ameaça de extinção (conforme lista estadual). </w:t>
      </w:r>
    </w:p>
    <w:p w:rsidR="00D033F1" w:rsidRDefault="008C15C3" w:rsidP="00D033F1">
      <w:pPr>
        <w:spacing w:before="120" w:after="120" w:line="240" w:lineRule="auto"/>
        <w:rPr>
          <w:rFonts w:cs="Arial"/>
        </w:rPr>
      </w:pPr>
      <w:r>
        <w:rPr>
          <w:rFonts w:cs="Arial"/>
        </w:rPr>
        <w:t>Para a implantação da barragem</w:t>
      </w:r>
      <w:r w:rsidR="00D033F1" w:rsidRPr="00D033F1">
        <w:rPr>
          <w:rFonts w:cs="Arial"/>
        </w:rPr>
        <w:t xml:space="preserve"> Pedreira será necessária a </w:t>
      </w:r>
      <w:r w:rsidR="00D033F1" w:rsidRPr="0094352A">
        <w:rPr>
          <w:rFonts w:cs="Arial"/>
        </w:rPr>
        <w:t xml:space="preserve">supressão de </w:t>
      </w:r>
      <w:r w:rsidR="00FD7F7F" w:rsidRPr="0094352A">
        <w:rPr>
          <w:rFonts w:cs="Arial"/>
        </w:rPr>
        <w:t>93</w:t>
      </w:r>
      <w:r w:rsidR="00D033F1" w:rsidRPr="0094352A">
        <w:rPr>
          <w:rFonts w:cs="Arial"/>
        </w:rPr>
        <w:t>,</w:t>
      </w:r>
      <w:r w:rsidR="00FD7F7F" w:rsidRPr="0094352A">
        <w:rPr>
          <w:rFonts w:cs="Arial"/>
        </w:rPr>
        <w:t xml:space="preserve">0 </w:t>
      </w:r>
      <w:r w:rsidR="00D033F1" w:rsidRPr="0094352A">
        <w:rPr>
          <w:rFonts w:cs="Arial"/>
        </w:rPr>
        <w:t xml:space="preserve">ha de FES em estágio inicial do processo de sucessão secundária, sendo </w:t>
      </w:r>
      <w:r w:rsidR="00FD7F7F" w:rsidRPr="0094352A">
        <w:rPr>
          <w:rFonts w:cs="Arial"/>
        </w:rPr>
        <w:t>32,7</w:t>
      </w:r>
      <w:r w:rsidR="00D033F1" w:rsidRPr="0094352A">
        <w:rPr>
          <w:rFonts w:cs="Arial"/>
        </w:rPr>
        <w:t xml:space="preserve"> ha de formações ribeirinhas e </w:t>
      </w:r>
      <w:r w:rsidR="00FD7F7F" w:rsidRPr="0094352A">
        <w:rPr>
          <w:rFonts w:cs="Arial"/>
        </w:rPr>
        <w:t>31</w:t>
      </w:r>
      <w:r w:rsidR="00D033F1" w:rsidRPr="0094352A">
        <w:rPr>
          <w:rFonts w:cs="Arial"/>
        </w:rPr>
        <w:t>,</w:t>
      </w:r>
      <w:r w:rsidR="00FD7F7F" w:rsidRPr="0094352A">
        <w:rPr>
          <w:rFonts w:cs="Arial"/>
        </w:rPr>
        <w:t>1</w:t>
      </w:r>
      <w:r w:rsidR="00D033F1" w:rsidRPr="0094352A">
        <w:rPr>
          <w:rFonts w:cs="Arial"/>
        </w:rPr>
        <w:t xml:space="preserve"> ha de formações cujo dossel é formado por eucalipto. O restante, </w:t>
      </w:r>
      <w:r w:rsidR="00FB566B" w:rsidRPr="0094352A">
        <w:rPr>
          <w:rFonts w:cs="Arial"/>
        </w:rPr>
        <w:t>29,2</w:t>
      </w:r>
      <w:r w:rsidR="00D033F1" w:rsidRPr="0094352A">
        <w:rPr>
          <w:rFonts w:cs="Arial"/>
        </w:rPr>
        <w:t xml:space="preserve"> ha são formações que se desenvolvem nos interflúvios, sem influência direta dos cursos d’água.</w:t>
      </w:r>
    </w:p>
    <w:p w:rsidR="00D033F1" w:rsidRPr="00F40CD2" w:rsidRDefault="00D033F1" w:rsidP="00D033F1">
      <w:pPr>
        <w:spacing w:before="120" w:after="120" w:line="240" w:lineRule="auto"/>
        <w:rPr>
          <w:rFonts w:cs="Arial"/>
        </w:rPr>
      </w:pPr>
      <w:r w:rsidRPr="0094352A">
        <w:rPr>
          <w:rFonts w:cs="Arial"/>
        </w:rPr>
        <w:t>Por outro lado, pa</w:t>
      </w:r>
      <w:r w:rsidR="008C15C3" w:rsidRPr="0094352A">
        <w:rPr>
          <w:rFonts w:cs="Arial"/>
        </w:rPr>
        <w:t xml:space="preserve">ra a implantação da barragem </w:t>
      </w:r>
      <w:r w:rsidRPr="0094352A">
        <w:rPr>
          <w:rFonts w:cs="Arial"/>
        </w:rPr>
        <w:t>Duas Pontes, será necessária a supressão de 29,</w:t>
      </w:r>
      <w:r w:rsidR="00FB566B" w:rsidRPr="0094352A">
        <w:rPr>
          <w:rFonts w:cs="Arial"/>
        </w:rPr>
        <w:t>5</w:t>
      </w:r>
      <w:r w:rsidRPr="0094352A">
        <w:rPr>
          <w:rFonts w:cs="Arial"/>
        </w:rPr>
        <w:t xml:space="preserve"> ha de FES em estágio inicial. Será necessária, também, a supressão de </w:t>
      </w:r>
      <w:r w:rsidR="00FB566B" w:rsidRPr="0094352A">
        <w:rPr>
          <w:rFonts w:cs="Arial"/>
        </w:rPr>
        <w:t>54</w:t>
      </w:r>
      <w:r w:rsidRPr="0094352A">
        <w:rPr>
          <w:rFonts w:cs="Arial"/>
        </w:rPr>
        <w:t>,</w:t>
      </w:r>
      <w:r w:rsidR="0094352A" w:rsidRPr="0094352A">
        <w:rPr>
          <w:rFonts w:cs="Arial"/>
        </w:rPr>
        <w:t xml:space="preserve">3 </w:t>
      </w:r>
      <w:r w:rsidRPr="0094352A">
        <w:rPr>
          <w:rFonts w:cs="Arial"/>
        </w:rPr>
        <w:t>ha de formações em estágio médio, dos quais 1</w:t>
      </w:r>
      <w:r w:rsidR="00FB566B" w:rsidRPr="0094352A">
        <w:rPr>
          <w:rFonts w:cs="Arial"/>
        </w:rPr>
        <w:t>3</w:t>
      </w:r>
      <w:r w:rsidRPr="0094352A">
        <w:rPr>
          <w:rFonts w:cs="Arial"/>
        </w:rPr>
        <w:t>,4 ha de formações ribeirinhas; e de 9,5 ha</w:t>
      </w:r>
      <w:r w:rsidRPr="00D033F1">
        <w:rPr>
          <w:rFonts w:cs="Arial"/>
        </w:rPr>
        <w:t xml:space="preserve"> de formações nativas em estágio avançado do processo de sucessão secundária.</w:t>
      </w:r>
    </w:p>
    <w:p w:rsidR="00D033F1" w:rsidRPr="00D033F1" w:rsidRDefault="00D033F1" w:rsidP="00D033F1">
      <w:pPr>
        <w:spacing w:before="120" w:after="120" w:line="240" w:lineRule="auto"/>
        <w:rPr>
          <w:rFonts w:cs="Arial"/>
        </w:rPr>
      </w:pPr>
      <w:r w:rsidRPr="00D033F1">
        <w:rPr>
          <w:rFonts w:cs="Arial"/>
        </w:rPr>
        <w:t xml:space="preserve">Os aspectos ambientais relacionados às atividades da Fase de Implantação das barragens Pedreira e Duas Pontes resultarão em uma série de impactos sobre a fauna, ou seja, Perda de Hábitat para a Fauna Silvestre, Aumento dos Efeitos da Fragmentação de Habitats de Fauna, Afugentamento de Fauna e, mesmo, do Aumento do Atropelamento de Indivíduos da Fauna Silvestre. </w:t>
      </w:r>
    </w:p>
    <w:p w:rsidR="00D033F1" w:rsidRPr="00D033F1" w:rsidRDefault="00D033F1" w:rsidP="00D033F1">
      <w:pPr>
        <w:spacing w:before="120" w:after="120" w:line="240" w:lineRule="auto"/>
        <w:rPr>
          <w:rFonts w:cs="Arial"/>
        </w:rPr>
      </w:pPr>
      <w:r w:rsidRPr="00D033F1">
        <w:rPr>
          <w:rFonts w:cs="Arial"/>
        </w:rPr>
        <w:t>A maioria dos impactos citados, que se manifestam sobre a fauna, não são passíveis de mitigação, portanto, foram propostas algumas ações voltadas à compensação desses efeitos negativos. Essas ações estão organizadas, principalmente, no Programa de Revegetação e Enriquecimento Florestal.</w:t>
      </w:r>
    </w:p>
    <w:p w:rsidR="00D033F1" w:rsidRPr="00D033F1" w:rsidRDefault="00D033F1" w:rsidP="00D033F1">
      <w:pPr>
        <w:spacing w:before="120" w:after="120" w:line="240" w:lineRule="auto"/>
        <w:rPr>
          <w:rFonts w:cs="Arial"/>
        </w:rPr>
      </w:pPr>
      <w:r w:rsidRPr="00D033F1">
        <w:rPr>
          <w:rFonts w:cs="Arial"/>
        </w:rPr>
        <w:t>Assim, considerando os impactos negativos sobre a fauna silvestre, decorrentes da implantação e operação do empreendimento, e a grande importância dos ambientes afetados, torna-se imprescindível a adoção de ações ambientais destinadas (1) ao monitoramento dos efeitos desses impactos sobre as espécies da fauna silvestre, assim como da efetividade das ações de compensação propostas; e (2) ao resgate da fauna silvestre em razão do</w:t>
      </w:r>
      <w:r w:rsidR="008C15C3">
        <w:rPr>
          <w:rFonts w:cs="Arial"/>
        </w:rPr>
        <w:t xml:space="preserve"> enchimento dos reservatórios das barragens</w:t>
      </w:r>
      <w:r w:rsidRPr="00D033F1">
        <w:rPr>
          <w:rFonts w:cs="Arial"/>
        </w:rPr>
        <w:t xml:space="preserve"> Pedreira e Duas Pontes.</w:t>
      </w:r>
    </w:p>
    <w:p w:rsidR="00D033F1" w:rsidRPr="00F40CD2" w:rsidRDefault="00D033F1" w:rsidP="00D033F1">
      <w:pPr>
        <w:spacing w:before="120" w:after="120" w:line="240" w:lineRule="auto"/>
        <w:rPr>
          <w:rFonts w:cs="Arial"/>
        </w:rPr>
      </w:pPr>
      <w:r w:rsidRPr="00D033F1">
        <w:rPr>
          <w:rFonts w:cs="Arial"/>
        </w:rPr>
        <w:t>Esse programa está subdividido em três subprogramas: Subprograma de Monitoramento dos Efeitos de Perda e Fragmentação de Hábitats e de Efetividade das Ações de Compensação Ambiental; Subprograma de Resgate da Fauna Silvestre; e Subprograma de Monitoramento dos Eventos de Atropelamento de Fauna.</w:t>
      </w:r>
    </w:p>
    <w:p w:rsidR="00D033F1" w:rsidRPr="008C32BC" w:rsidRDefault="00D033F1" w:rsidP="00431A97">
      <w:pPr>
        <w:pStyle w:val="Ttulo3"/>
        <w:numPr>
          <w:ilvl w:val="3"/>
          <w:numId w:val="84"/>
        </w:numPr>
        <w:spacing w:after="240"/>
        <w:ind w:left="1077" w:hanging="1077"/>
        <w:rPr>
          <w:rFonts w:ascii="Arial Negrito" w:hAnsi="Arial Negrito"/>
          <w:bCs/>
        </w:rPr>
      </w:pPr>
      <w:bookmarkStart w:id="1151" w:name="_Toc418758460"/>
      <w:bookmarkStart w:id="1152" w:name="_Toc418759062"/>
      <w:bookmarkStart w:id="1153" w:name="_Toc419813834"/>
      <w:r w:rsidRPr="008C32BC">
        <w:rPr>
          <w:rFonts w:ascii="Arial Negrito" w:hAnsi="Arial Negrito"/>
          <w:bCs/>
        </w:rPr>
        <w:t>Objetivos</w:t>
      </w:r>
      <w:bookmarkEnd w:id="1151"/>
      <w:bookmarkEnd w:id="1152"/>
      <w:bookmarkEnd w:id="1153"/>
    </w:p>
    <w:p w:rsidR="00D033F1" w:rsidRPr="00D033F1" w:rsidRDefault="00D033F1" w:rsidP="00D033F1">
      <w:pPr>
        <w:spacing w:before="120" w:after="120" w:line="240" w:lineRule="auto"/>
        <w:rPr>
          <w:rFonts w:cs="Arial"/>
        </w:rPr>
      </w:pPr>
      <w:r w:rsidRPr="00D033F1">
        <w:rPr>
          <w:rFonts w:cs="Arial"/>
        </w:rPr>
        <w:t>O Programa de Monitoramento e Conservação da Fauna tem como objetivo principal garantir a conservação da diversidade faunística das áreas onde se inserem as barragens de Pedreira e Duas Pontes.</w:t>
      </w:r>
    </w:p>
    <w:p w:rsidR="00D033F1" w:rsidRPr="00D033F1" w:rsidRDefault="00D033F1" w:rsidP="00D033F1">
      <w:pPr>
        <w:spacing w:before="120" w:after="120" w:line="240" w:lineRule="auto"/>
        <w:rPr>
          <w:rFonts w:cs="Arial"/>
        </w:rPr>
      </w:pPr>
      <w:r w:rsidRPr="00D033F1">
        <w:rPr>
          <w:rFonts w:cs="Arial"/>
        </w:rPr>
        <w:t>Como objetivos específicos deste programa relacionamos:</w:t>
      </w:r>
    </w:p>
    <w:p w:rsidR="00D033F1" w:rsidRPr="00D033F1" w:rsidRDefault="00D033F1" w:rsidP="00492964">
      <w:pPr>
        <w:pStyle w:val="Item-Bolinha"/>
      </w:pPr>
      <w:r w:rsidRPr="00D033F1">
        <w:t>Conhecer e avaliar os reais impactos sobre a fauna decorrentes das atividades de implantação e operação do empreendimento;</w:t>
      </w:r>
    </w:p>
    <w:p w:rsidR="00D033F1" w:rsidRPr="00D033F1" w:rsidRDefault="00D033F1" w:rsidP="00492964">
      <w:pPr>
        <w:pStyle w:val="Item-Bolinha"/>
      </w:pPr>
      <w:r w:rsidRPr="00D033F1">
        <w:t>Avaliar a efetividade das ações propostas no Programa de Revegetação e Enriquecimento Florestal;</w:t>
      </w:r>
    </w:p>
    <w:p w:rsidR="00D033F1" w:rsidRPr="00D033F1" w:rsidRDefault="00D033F1" w:rsidP="00492964">
      <w:pPr>
        <w:pStyle w:val="Item-Bolinha"/>
      </w:pPr>
      <w:r w:rsidRPr="00D033F1">
        <w:t>Indicar as medidas corretivas que venham a ser necessárias;</w:t>
      </w:r>
    </w:p>
    <w:p w:rsidR="00D033F1" w:rsidRPr="00D033F1" w:rsidRDefault="00D033F1" w:rsidP="00492964">
      <w:pPr>
        <w:pStyle w:val="Item-Bolinha"/>
      </w:pPr>
      <w:r w:rsidRPr="00D033F1">
        <w:t>Evitar as ocorrências de morte ou ferimento de animais silvestres, decorrentes das atividades de implantação do empreendimento.</w:t>
      </w:r>
    </w:p>
    <w:p w:rsidR="00D033F1" w:rsidRPr="00D033F1" w:rsidRDefault="00D033F1" w:rsidP="00492964">
      <w:pPr>
        <w:pStyle w:val="Item-Bolinha"/>
      </w:pPr>
      <w:r w:rsidRPr="00D033F1">
        <w:t>Resgatar espécimes da fauna silvestre durante as atividades de implantação do empreendimento;</w:t>
      </w:r>
    </w:p>
    <w:p w:rsidR="00D033F1" w:rsidRPr="00D033F1" w:rsidRDefault="00D033F1" w:rsidP="00492964">
      <w:pPr>
        <w:pStyle w:val="Item-Bolinha"/>
      </w:pPr>
      <w:r w:rsidRPr="00D033F1">
        <w:t>Realizar os procedimentos necessários para garantir a integridade dos espécimes resgatados;</w:t>
      </w:r>
    </w:p>
    <w:p w:rsidR="00D033F1" w:rsidRPr="00D033F1" w:rsidRDefault="00D033F1" w:rsidP="00492964">
      <w:pPr>
        <w:pStyle w:val="Item-Bolinha"/>
      </w:pPr>
      <w:r w:rsidRPr="00D033F1">
        <w:t>Realizar inventário, registrar e catalogar todos os espécimes resgatados, assim como seus dados biológicos, ecológicos, sanitários, de captura e seu destino final, como forma de complementação do inventário faunístico;</w:t>
      </w:r>
    </w:p>
    <w:p w:rsidR="00D033F1" w:rsidRPr="00D033F1" w:rsidRDefault="00D033F1" w:rsidP="00492964">
      <w:pPr>
        <w:pStyle w:val="Item-Bolinha"/>
      </w:pPr>
      <w:r w:rsidRPr="00D033F1">
        <w:t>Desenvolver ações de aproveitamento científico, processando e destinando o material coletado que se encontrar bem preservado (vítimas de acidentes que vierem a óbito) para instituições de pesquisas (ex. museus, universidades).</w:t>
      </w:r>
    </w:p>
    <w:p w:rsidR="00D033F1" w:rsidRPr="008C32BC" w:rsidRDefault="00D033F1" w:rsidP="00431A97">
      <w:pPr>
        <w:pStyle w:val="Ttulo3"/>
        <w:numPr>
          <w:ilvl w:val="3"/>
          <w:numId w:val="84"/>
        </w:numPr>
        <w:spacing w:after="240"/>
        <w:ind w:left="1077" w:hanging="1077"/>
        <w:rPr>
          <w:rFonts w:ascii="Arial Negrito" w:hAnsi="Arial Negrito"/>
          <w:bCs/>
        </w:rPr>
      </w:pPr>
      <w:bookmarkStart w:id="1154" w:name="_Toc418758461"/>
      <w:bookmarkStart w:id="1155" w:name="_Toc418759063"/>
      <w:bookmarkStart w:id="1156" w:name="_Toc419813835"/>
      <w:r w:rsidRPr="008C32BC">
        <w:rPr>
          <w:rFonts w:ascii="Arial Negrito" w:hAnsi="Arial Negrito"/>
          <w:bCs/>
        </w:rPr>
        <w:t>Metas</w:t>
      </w:r>
      <w:bookmarkEnd w:id="1154"/>
      <w:bookmarkEnd w:id="1155"/>
      <w:bookmarkEnd w:id="1156"/>
    </w:p>
    <w:p w:rsidR="00D033F1" w:rsidRPr="00D033F1" w:rsidRDefault="00D033F1" w:rsidP="00D033F1">
      <w:pPr>
        <w:spacing w:before="120" w:after="120" w:line="240" w:lineRule="auto"/>
        <w:rPr>
          <w:rFonts w:cs="Arial"/>
        </w:rPr>
      </w:pPr>
      <w:r w:rsidRPr="00D033F1">
        <w:rPr>
          <w:rFonts w:cs="Arial"/>
        </w:rPr>
        <w:t>O Programa de Monitoramento e Conservação da Fauna tem como metas:</w:t>
      </w:r>
    </w:p>
    <w:p w:rsidR="00D033F1" w:rsidRPr="00D033F1" w:rsidRDefault="00D033F1" w:rsidP="00492964">
      <w:pPr>
        <w:pStyle w:val="Item-Bolinha"/>
      </w:pPr>
      <w:r w:rsidRPr="00D033F1">
        <w:t>Gerar dados sobre os efeitos da implantação e operação do empreendimento sobre a fauna; e</w:t>
      </w:r>
    </w:p>
    <w:p w:rsidR="00D033F1" w:rsidRPr="00D033F1" w:rsidRDefault="00D033F1" w:rsidP="00492964">
      <w:pPr>
        <w:pStyle w:val="Item-Bolinha"/>
      </w:pPr>
      <w:r w:rsidRPr="00D033F1">
        <w:t>Gerar dados sobre os efeitos das medidas compensatórias sobre a fauna.</w:t>
      </w:r>
    </w:p>
    <w:p w:rsidR="00D033F1" w:rsidRPr="00D033F1" w:rsidRDefault="00D033F1" w:rsidP="00492964">
      <w:pPr>
        <w:pStyle w:val="Item-Bolinha"/>
      </w:pPr>
      <w:r w:rsidRPr="00D033F1">
        <w:t>Minimizar a ocorrência do número de acidentes com a fauna silvestre, durante a fase de implantação do empreendimento;</w:t>
      </w:r>
    </w:p>
    <w:p w:rsidR="00D033F1" w:rsidRPr="0036167C" w:rsidRDefault="00D033F1" w:rsidP="00492964">
      <w:pPr>
        <w:pStyle w:val="Item-Bolinha"/>
      </w:pPr>
      <w:r w:rsidRPr="00D033F1">
        <w:t>Realizar o salvamento da fauna nas áreas de implantação do empreendimento, durante as atividades de supressão de cobertura vegetal e de enchimento dos reservatórios;</w:t>
      </w:r>
    </w:p>
    <w:p w:rsidR="00D033F1" w:rsidRPr="008C32BC" w:rsidRDefault="00D033F1" w:rsidP="00431A97">
      <w:pPr>
        <w:pStyle w:val="Ttulo3"/>
        <w:numPr>
          <w:ilvl w:val="3"/>
          <w:numId w:val="84"/>
        </w:numPr>
        <w:spacing w:after="240"/>
        <w:ind w:left="1077" w:hanging="1077"/>
        <w:rPr>
          <w:rFonts w:ascii="Arial Negrito" w:hAnsi="Arial Negrito"/>
          <w:bCs/>
        </w:rPr>
      </w:pPr>
      <w:bookmarkStart w:id="1157" w:name="_Toc418758462"/>
      <w:bookmarkStart w:id="1158" w:name="_Toc418759064"/>
      <w:bookmarkStart w:id="1159" w:name="_Toc419813836"/>
      <w:r w:rsidRPr="008C32BC">
        <w:rPr>
          <w:rFonts w:ascii="Arial Negrito" w:hAnsi="Arial Negrito"/>
          <w:bCs/>
        </w:rPr>
        <w:t>Público-Alvo</w:t>
      </w:r>
      <w:bookmarkEnd w:id="1157"/>
      <w:bookmarkEnd w:id="1158"/>
      <w:bookmarkEnd w:id="1159"/>
    </w:p>
    <w:p w:rsidR="00D033F1" w:rsidRDefault="00D033F1" w:rsidP="00D033F1">
      <w:pPr>
        <w:spacing w:before="120" w:after="120" w:line="240" w:lineRule="auto"/>
        <w:rPr>
          <w:rFonts w:cs="Arial"/>
        </w:rPr>
      </w:pPr>
      <w:r w:rsidRPr="00D033F1">
        <w:rPr>
          <w:rFonts w:cs="Arial"/>
        </w:rPr>
        <w:t>O público alvo do Programa de Monitoramento e Conservação da Fauna é composto pelo:</w:t>
      </w:r>
    </w:p>
    <w:p w:rsidR="00D033F1" w:rsidRPr="00D033F1" w:rsidRDefault="008C15C3" w:rsidP="00492964">
      <w:pPr>
        <w:pStyle w:val="Item-Bolinha"/>
      </w:pPr>
      <w:r>
        <w:t>Gerenciador das barragens</w:t>
      </w:r>
      <w:r w:rsidR="00D033F1" w:rsidRPr="00D033F1">
        <w:t xml:space="preserve"> Pedreira e Duas Pontes;</w:t>
      </w:r>
    </w:p>
    <w:p w:rsidR="00D033F1" w:rsidRPr="00D033F1" w:rsidRDefault="00D033F1" w:rsidP="00492964">
      <w:pPr>
        <w:pStyle w:val="Item-Bolinha"/>
      </w:pPr>
      <w:r w:rsidRPr="00D033F1">
        <w:t>Empresa Construtora contratada para a fase de implantação;</w:t>
      </w:r>
    </w:p>
    <w:p w:rsidR="00D033F1" w:rsidRPr="00D033F1" w:rsidRDefault="00D033F1" w:rsidP="00492964">
      <w:pPr>
        <w:pStyle w:val="Item-Bolinha"/>
      </w:pPr>
      <w:r w:rsidRPr="00D033F1">
        <w:t>Equipes subcontratadas para a execução dos serviços deste programa;</w:t>
      </w:r>
    </w:p>
    <w:p w:rsidR="00D033F1" w:rsidRPr="00D033F1" w:rsidRDefault="00D033F1" w:rsidP="00492964">
      <w:pPr>
        <w:pStyle w:val="Item-Bolinha"/>
      </w:pPr>
      <w:r w:rsidRPr="00D033F1">
        <w:t>Órgãos ambientais; e</w:t>
      </w:r>
    </w:p>
    <w:p w:rsidR="00D033F1" w:rsidRPr="006F5200" w:rsidRDefault="00D033F1" w:rsidP="00492964">
      <w:pPr>
        <w:pStyle w:val="Item-Bolinha"/>
      </w:pPr>
      <w:r w:rsidRPr="00D033F1">
        <w:t>Instituições de pesquisa.</w:t>
      </w:r>
    </w:p>
    <w:p w:rsidR="00D033F1" w:rsidRPr="00C0305C" w:rsidRDefault="00492964" w:rsidP="00EF6B5D">
      <w:pPr>
        <w:spacing w:before="240" w:after="240" w:line="240" w:lineRule="auto"/>
        <w:rPr>
          <w:rFonts w:cs="Arial"/>
          <w:b/>
        </w:rPr>
      </w:pPr>
      <w:r>
        <w:rPr>
          <w:rFonts w:cs="Arial"/>
          <w:b/>
        </w:rPr>
        <w:t>a</w:t>
      </w:r>
      <w:r w:rsidR="001F268D">
        <w:rPr>
          <w:rFonts w:cs="Arial"/>
          <w:b/>
        </w:rPr>
        <w:t xml:space="preserve">) </w:t>
      </w:r>
      <w:r w:rsidR="00D033F1" w:rsidRPr="00C0305C">
        <w:rPr>
          <w:rFonts w:cs="Arial"/>
          <w:b/>
        </w:rPr>
        <w:t>Subprograma de Monitoramento da Fauna</w:t>
      </w:r>
    </w:p>
    <w:p w:rsidR="00D033F1" w:rsidRDefault="00D033F1" w:rsidP="00D033F1">
      <w:pPr>
        <w:spacing w:before="120" w:after="120" w:line="240" w:lineRule="auto"/>
        <w:rPr>
          <w:rFonts w:cs="Arial"/>
        </w:rPr>
      </w:pPr>
      <w:r>
        <w:rPr>
          <w:rFonts w:cs="Arial"/>
        </w:rPr>
        <w:t>Neste item são apresentadas os métodos e procedimentos, assim como</w:t>
      </w:r>
      <w:r w:rsidRPr="0036167C">
        <w:rPr>
          <w:rFonts w:cs="Arial"/>
        </w:rPr>
        <w:t xml:space="preserve"> os indicadores ambientais e o</w:t>
      </w:r>
      <w:r>
        <w:rPr>
          <w:rFonts w:cs="Arial"/>
        </w:rPr>
        <w:t>s recursos materiais e humanos do Subprograma de Monitoramento de Fauna.</w:t>
      </w:r>
    </w:p>
    <w:p w:rsidR="00D033F1" w:rsidRPr="00D033F1" w:rsidRDefault="00492964" w:rsidP="00EF6B5D">
      <w:pPr>
        <w:spacing w:before="240" w:after="240"/>
        <w:rPr>
          <w:rFonts w:cs="Arial"/>
          <w:b/>
        </w:rPr>
      </w:pPr>
      <w:r>
        <w:rPr>
          <w:rFonts w:cs="Arial"/>
          <w:b/>
        </w:rPr>
        <w:t>a</w:t>
      </w:r>
      <w:r w:rsidR="001F268D" w:rsidRPr="001F268D">
        <w:rPr>
          <w:rFonts w:cs="Arial"/>
          <w:b/>
        </w:rPr>
        <w:t>.1.</w:t>
      </w:r>
      <w:r>
        <w:rPr>
          <w:rFonts w:cs="Arial"/>
          <w:b/>
        </w:rPr>
        <w:t>)</w:t>
      </w:r>
      <w:r w:rsidR="001F268D">
        <w:rPr>
          <w:rFonts w:cs="Arial"/>
        </w:rPr>
        <w:t xml:space="preserve"> </w:t>
      </w:r>
      <w:r w:rsidR="00D033F1" w:rsidRPr="00D033F1">
        <w:rPr>
          <w:rFonts w:cs="Arial"/>
          <w:b/>
        </w:rPr>
        <w:t>Métodos e descrição do programa (procedimentos)</w:t>
      </w:r>
    </w:p>
    <w:p w:rsidR="00D033F1" w:rsidRPr="00D033F1" w:rsidRDefault="001F268D" w:rsidP="001F268D">
      <w:pPr>
        <w:pStyle w:val="SPE-Texto"/>
        <w:spacing w:before="120" w:after="120" w:line="240" w:lineRule="auto"/>
        <w:rPr>
          <w:rFonts w:ascii="Arial" w:hAnsi="Arial" w:cs="Arial"/>
          <w:b/>
          <w:sz w:val="22"/>
          <w:szCs w:val="22"/>
        </w:rPr>
      </w:pPr>
      <w:r>
        <w:rPr>
          <w:rFonts w:ascii="Arial" w:hAnsi="Arial" w:cs="Arial"/>
          <w:b/>
          <w:sz w:val="22"/>
          <w:szCs w:val="22"/>
        </w:rPr>
        <w:t xml:space="preserve">- </w:t>
      </w:r>
      <w:r w:rsidR="00D033F1" w:rsidRPr="00D033F1">
        <w:rPr>
          <w:rFonts w:ascii="Arial" w:hAnsi="Arial" w:cs="Arial"/>
          <w:b/>
          <w:sz w:val="22"/>
          <w:szCs w:val="22"/>
        </w:rPr>
        <w:t>Malha de Amostragem</w:t>
      </w:r>
    </w:p>
    <w:p w:rsidR="00D033F1" w:rsidRPr="0036167C" w:rsidRDefault="00D033F1" w:rsidP="00D033F1">
      <w:pPr>
        <w:pStyle w:val="SPE-Texto"/>
        <w:spacing w:before="120" w:after="120" w:line="240" w:lineRule="auto"/>
        <w:rPr>
          <w:rFonts w:ascii="Arial" w:hAnsi="Arial" w:cs="Arial"/>
          <w:sz w:val="22"/>
          <w:szCs w:val="22"/>
        </w:rPr>
      </w:pPr>
      <w:r w:rsidRPr="0036167C">
        <w:rPr>
          <w:rFonts w:ascii="Arial" w:hAnsi="Arial" w:cs="Arial"/>
          <w:sz w:val="22"/>
          <w:szCs w:val="22"/>
        </w:rPr>
        <w:t xml:space="preserve">O Subprograma de Monitoramento </w:t>
      </w:r>
      <w:r>
        <w:rPr>
          <w:rFonts w:ascii="Arial" w:hAnsi="Arial" w:cs="Arial"/>
          <w:sz w:val="22"/>
          <w:szCs w:val="22"/>
        </w:rPr>
        <w:t>de Fauna</w:t>
      </w:r>
      <w:r w:rsidRPr="0036167C">
        <w:rPr>
          <w:rFonts w:ascii="Arial" w:hAnsi="Arial" w:cs="Arial"/>
          <w:sz w:val="22"/>
          <w:szCs w:val="22"/>
        </w:rPr>
        <w:t xml:space="preserve"> deverá ter uma malha de amostragem que inclua (1) ambientes da ADA; (2) remanescentes do entorno (AID); (3) estradas; e áreas que serão objeto dos </w:t>
      </w:r>
      <w:r>
        <w:rPr>
          <w:rFonts w:ascii="Arial" w:hAnsi="Arial" w:cs="Arial"/>
          <w:sz w:val="22"/>
          <w:szCs w:val="22"/>
        </w:rPr>
        <w:t>sub</w:t>
      </w:r>
      <w:r w:rsidRPr="0036167C">
        <w:rPr>
          <w:rFonts w:ascii="Arial" w:hAnsi="Arial" w:cs="Arial"/>
          <w:sz w:val="22"/>
          <w:szCs w:val="22"/>
        </w:rPr>
        <w:t>programas (4) de Reflorestamento da</w:t>
      </w:r>
      <w:r>
        <w:rPr>
          <w:rFonts w:ascii="Arial" w:hAnsi="Arial" w:cs="Arial"/>
          <w:sz w:val="22"/>
          <w:szCs w:val="22"/>
        </w:rPr>
        <w:t>s</w:t>
      </w:r>
      <w:r w:rsidRPr="0036167C">
        <w:rPr>
          <w:rFonts w:ascii="Arial" w:hAnsi="Arial" w:cs="Arial"/>
          <w:sz w:val="22"/>
          <w:szCs w:val="22"/>
        </w:rPr>
        <w:t xml:space="preserve"> APP</w:t>
      </w:r>
      <w:r>
        <w:rPr>
          <w:rFonts w:ascii="Arial" w:hAnsi="Arial" w:cs="Arial"/>
          <w:sz w:val="22"/>
          <w:szCs w:val="22"/>
        </w:rPr>
        <w:t>s</w:t>
      </w:r>
      <w:r w:rsidRPr="0036167C">
        <w:rPr>
          <w:rFonts w:ascii="Arial" w:hAnsi="Arial" w:cs="Arial"/>
          <w:sz w:val="22"/>
          <w:szCs w:val="22"/>
        </w:rPr>
        <w:t xml:space="preserve"> do</w:t>
      </w:r>
      <w:r>
        <w:rPr>
          <w:rFonts w:ascii="Arial" w:hAnsi="Arial" w:cs="Arial"/>
          <w:sz w:val="22"/>
          <w:szCs w:val="22"/>
        </w:rPr>
        <w:t>s</w:t>
      </w:r>
      <w:r w:rsidRPr="0036167C">
        <w:rPr>
          <w:rFonts w:ascii="Arial" w:hAnsi="Arial" w:cs="Arial"/>
          <w:sz w:val="22"/>
          <w:szCs w:val="22"/>
        </w:rPr>
        <w:t xml:space="preserve"> Futuro</w:t>
      </w:r>
      <w:r>
        <w:rPr>
          <w:rFonts w:ascii="Arial" w:hAnsi="Arial" w:cs="Arial"/>
          <w:sz w:val="22"/>
          <w:szCs w:val="22"/>
        </w:rPr>
        <w:t>s</w:t>
      </w:r>
      <w:r w:rsidRPr="0036167C">
        <w:rPr>
          <w:rFonts w:ascii="Arial" w:hAnsi="Arial" w:cs="Arial"/>
          <w:sz w:val="22"/>
          <w:szCs w:val="22"/>
        </w:rPr>
        <w:t xml:space="preserve"> Reservatório</w:t>
      </w:r>
      <w:r>
        <w:rPr>
          <w:rFonts w:ascii="Arial" w:hAnsi="Arial" w:cs="Arial"/>
          <w:sz w:val="22"/>
          <w:szCs w:val="22"/>
        </w:rPr>
        <w:t>s</w:t>
      </w:r>
      <w:r w:rsidRPr="0036167C">
        <w:rPr>
          <w:rFonts w:ascii="Arial" w:hAnsi="Arial" w:cs="Arial"/>
          <w:sz w:val="22"/>
          <w:szCs w:val="22"/>
        </w:rPr>
        <w:t xml:space="preserve"> e (5) de Incremento da Conectividade. </w:t>
      </w:r>
    </w:p>
    <w:p w:rsidR="00D033F1" w:rsidRPr="00D033F1" w:rsidRDefault="001F268D" w:rsidP="00D033F1">
      <w:pPr>
        <w:pStyle w:val="SPE-Texto"/>
        <w:spacing w:before="120" w:after="120" w:line="240" w:lineRule="auto"/>
        <w:rPr>
          <w:rFonts w:ascii="Arial" w:hAnsi="Arial" w:cs="Arial"/>
          <w:b/>
          <w:sz w:val="22"/>
          <w:szCs w:val="22"/>
        </w:rPr>
      </w:pPr>
      <w:r>
        <w:rPr>
          <w:rFonts w:ascii="Arial" w:hAnsi="Arial" w:cs="Arial"/>
          <w:b/>
          <w:sz w:val="22"/>
          <w:szCs w:val="22"/>
        </w:rPr>
        <w:t xml:space="preserve">- </w:t>
      </w:r>
      <w:r w:rsidR="00D033F1" w:rsidRPr="00D033F1">
        <w:rPr>
          <w:rFonts w:ascii="Arial" w:hAnsi="Arial" w:cs="Arial"/>
          <w:b/>
          <w:sz w:val="22"/>
          <w:szCs w:val="22"/>
        </w:rPr>
        <w:t>Métodos</w:t>
      </w:r>
    </w:p>
    <w:p w:rsidR="00D033F1" w:rsidRPr="0036167C" w:rsidRDefault="00D033F1" w:rsidP="00D033F1">
      <w:pPr>
        <w:pStyle w:val="SPE-Texto"/>
        <w:spacing w:before="120" w:after="120" w:line="240" w:lineRule="auto"/>
        <w:rPr>
          <w:rFonts w:ascii="Arial" w:hAnsi="Arial" w:cs="Arial"/>
          <w:sz w:val="22"/>
          <w:szCs w:val="22"/>
        </w:rPr>
      </w:pPr>
      <w:r w:rsidRPr="0036167C">
        <w:rPr>
          <w:rFonts w:ascii="Arial" w:hAnsi="Arial" w:cs="Arial"/>
          <w:sz w:val="22"/>
          <w:szCs w:val="22"/>
        </w:rPr>
        <w:t>Para o monitoramento da fauna de aves, mamíferos, répteis e anfíbios deverão ser empregados os métodos consagrados de amostragem, ou seja:</w:t>
      </w:r>
    </w:p>
    <w:p w:rsidR="00D033F1" w:rsidRPr="00492964" w:rsidRDefault="00D033F1" w:rsidP="00D033F1">
      <w:pPr>
        <w:pStyle w:val="SPE-Texto"/>
        <w:spacing w:before="120" w:after="120" w:line="240" w:lineRule="auto"/>
        <w:rPr>
          <w:rFonts w:ascii="Arial" w:hAnsi="Arial" w:cs="Arial"/>
          <w:b/>
          <w:sz w:val="22"/>
          <w:szCs w:val="22"/>
        </w:rPr>
      </w:pPr>
      <w:r w:rsidRPr="00492964">
        <w:rPr>
          <w:rFonts w:ascii="Arial" w:hAnsi="Arial" w:cs="Arial"/>
          <w:b/>
          <w:sz w:val="22"/>
          <w:szCs w:val="22"/>
        </w:rPr>
        <w:t>Avifauna</w:t>
      </w:r>
    </w:p>
    <w:p w:rsidR="00D033F1" w:rsidRPr="0036167C" w:rsidRDefault="00D033F1" w:rsidP="00D033F1">
      <w:pPr>
        <w:pStyle w:val="SPE-Texto"/>
        <w:spacing w:before="120" w:after="120" w:line="240" w:lineRule="auto"/>
        <w:rPr>
          <w:rFonts w:ascii="Arial" w:hAnsi="Arial" w:cs="Arial"/>
          <w:sz w:val="22"/>
          <w:szCs w:val="22"/>
        </w:rPr>
      </w:pPr>
      <w:r w:rsidRPr="0036167C">
        <w:rPr>
          <w:rFonts w:ascii="Arial" w:hAnsi="Arial" w:cs="Arial"/>
          <w:sz w:val="22"/>
          <w:szCs w:val="22"/>
        </w:rPr>
        <w:t xml:space="preserve">O monitoramento da avifauna das áreas sob influência do empreendimento deverá ser realizado através do emprego </w:t>
      </w:r>
      <w:r>
        <w:rPr>
          <w:rFonts w:ascii="Arial" w:hAnsi="Arial" w:cs="Arial"/>
          <w:sz w:val="22"/>
          <w:szCs w:val="22"/>
        </w:rPr>
        <w:t>do métodos de amostragem por</w:t>
      </w:r>
      <w:r w:rsidRPr="0036167C">
        <w:rPr>
          <w:rFonts w:ascii="Arial" w:hAnsi="Arial" w:cs="Arial"/>
          <w:sz w:val="22"/>
          <w:szCs w:val="22"/>
        </w:rPr>
        <w:t xml:space="preserve"> ponto fixo e redes de neblina (captura-marcação-recaptura).</w:t>
      </w:r>
    </w:p>
    <w:p w:rsidR="00D033F1" w:rsidRPr="0036167C" w:rsidRDefault="00D033F1" w:rsidP="00492964">
      <w:pPr>
        <w:pStyle w:val="Item-Bolinha"/>
      </w:pPr>
      <w:r w:rsidRPr="00D033F1">
        <w:rPr>
          <w:b/>
          <w:i/>
        </w:rPr>
        <w:t>Ponto Fixo</w:t>
      </w:r>
      <w:r w:rsidRPr="0036167C">
        <w:t xml:space="preserve"> – Sugere-se a utilização do método de amostragem por pontos fixos com duas bandas (Bibby </w:t>
      </w:r>
      <w:r w:rsidRPr="0036167C">
        <w:rPr>
          <w:i/>
        </w:rPr>
        <w:t>et al</w:t>
      </w:r>
      <w:r w:rsidRPr="0036167C">
        <w:t xml:space="preserve">. 1993), onde o observador permanece estacionário, durante tempo pré-determinado, registrando as espécies e o número de indivíduos de cada espécie, dentro ou fora da área definida por um raio R, a ser definido.  Este método permite obter informações quali-quantitativas da avifauna associada à cada área objeto de amostragem (terrestres e aquáticas). Devem ser definidos o mínimo de pontos fixos por área a ser amostrada de modo que os dados gerados sejam robustos. Os pontos deverão ser definidos de modo a distarem, minimamente, 200 m, a fim de minimizar a sobreposição de áreas amostradas. O número de pontos definidos para a amostragem de cada ambiente poderá ser diferente em razão da extensão em que as mesmas encontram-se representadas na área a ser estudada. </w:t>
      </w:r>
    </w:p>
    <w:p w:rsidR="00D033F1" w:rsidRPr="0036167C" w:rsidRDefault="00D033F1" w:rsidP="00492964">
      <w:pPr>
        <w:pStyle w:val="Item-Bolinha"/>
      </w:pPr>
      <w:r w:rsidRPr="00D033F1">
        <w:rPr>
          <w:b/>
          <w:i/>
        </w:rPr>
        <w:t>Redes de Neblina</w:t>
      </w:r>
      <w:r w:rsidRPr="0036167C">
        <w:rPr>
          <w:i/>
        </w:rPr>
        <w:t xml:space="preserve"> (captura-marcação-recaptura)</w:t>
      </w:r>
      <w:r w:rsidRPr="0036167C">
        <w:t xml:space="preserve"> - O emprego do método de captura-marcação-recaptura através do uso de redes de neblina permite, não apenas a avaliação quali-quantitativa das comunidades de sub-bosque associadas a cada área amostrada mas também a avaliação do fluxo de indivíduos entre áreas. As redes devem ser armadas em linhas compostas por, no mínimo, 10 unidades (12 metros cada), totalizando 120 metros. As redes devem permanecer abertas pelo menos durante o período da manhã, sendo fechadas, necessariamente, no período noturno. Durante o período que permanecerem abertas, as redes devem ser vistoriadas a intervalos regulares (até no máximo de 2 horas), quando os indivíduos capturados deverão ser identificados, anilhados e soltos.</w:t>
      </w:r>
    </w:p>
    <w:p w:rsidR="00D033F1" w:rsidRPr="00D033F1" w:rsidRDefault="00D033F1" w:rsidP="00D033F1">
      <w:pPr>
        <w:pStyle w:val="SPE-Texto"/>
        <w:spacing w:before="120" w:after="120" w:line="240" w:lineRule="auto"/>
        <w:rPr>
          <w:rFonts w:ascii="Arial" w:hAnsi="Arial" w:cs="Arial"/>
          <w:b/>
          <w:i/>
          <w:sz w:val="22"/>
          <w:szCs w:val="22"/>
        </w:rPr>
      </w:pPr>
      <w:r w:rsidRPr="00D033F1">
        <w:rPr>
          <w:rFonts w:ascii="Arial" w:hAnsi="Arial" w:cs="Arial"/>
          <w:b/>
          <w:i/>
          <w:sz w:val="22"/>
          <w:szCs w:val="22"/>
        </w:rPr>
        <w:t>Herpetofauna</w:t>
      </w:r>
    </w:p>
    <w:p w:rsidR="00D033F1" w:rsidRPr="0036167C" w:rsidRDefault="00D033F1" w:rsidP="00D033F1">
      <w:pPr>
        <w:pStyle w:val="SPE-Texto"/>
        <w:spacing w:before="120" w:after="120" w:line="240" w:lineRule="auto"/>
        <w:rPr>
          <w:rFonts w:ascii="Arial" w:hAnsi="Arial" w:cs="Arial"/>
          <w:sz w:val="22"/>
          <w:szCs w:val="22"/>
        </w:rPr>
      </w:pPr>
      <w:r w:rsidRPr="0036167C">
        <w:rPr>
          <w:rFonts w:ascii="Arial" w:hAnsi="Arial" w:cs="Arial"/>
          <w:sz w:val="22"/>
          <w:szCs w:val="22"/>
        </w:rPr>
        <w:t>A fauna de répteis e anfíbios será monitorada nos mesmos ambientes definidos para a avifauna. Na amostragem serão utilizados dois métodos: armadilhas de queda e transecções (procura visual e auditiva):</w:t>
      </w:r>
    </w:p>
    <w:p w:rsidR="00D033F1" w:rsidRPr="0036167C" w:rsidRDefault="00D033F1" w:rsidP="00492964">
      <w:pPr>
        <w:pStyle w:val="Item-Bolinha"/>
      </w:pPr>
      <w:r w:rsidRPr="00D033F1">
        <w:rPr>
          <w:b/>
          <w:i/>
        </w:rPr>
        <w:t>Armadilhas de queda (pitfall traps)</w:t>
      </w:r>
      <w:r w:rsidRPr="0036167C">
        <w:t xml:space="preserve"> - as unidades amostrais das armadilhas de queda serão representadas por pontos com duas linhas paralelas de cinco baldes de 30 l. Um mesmo número de réplicas deverá ser instalado em cada ambiente a ser amostrado. Os dados gerado</w:t>
      </w:r>
      <w:r>
        <w:t>s através desse método permitirão</w:t>
      </w:r>
      <w:r w:rsidRPr="0036167C">
        <w:t xml:space="preserve"> a avaliação quali-quatitativa da herpetofauna associada a cada área amo</w:t>
      </w:r>
      <w:r>
        <w:t>strada (efeito do afugentamento</w:t>
      </w:r>
      <w:r w:rsidRPr="0036167C">
        <w:t xml:space="preserve"> de fauna); e </w:t>
      </w:r>
    </w:p>
    <w:p w:rsidR="00D033F1" w:rsidRPr="0036167C" w:rsidRDefault="00D033F1" w:rsidP="00492964">
      <w:pPr>
        <w:pStyle w:val="Item-Bolinha"/>
      </w:pPr>
      <w:r w:rsidRPr="00D033F1">
        <w:rPr>
          <w:b/>
          <w:i/>
        </w:rPr>
        <w:t>Transecções</w:t>
      </w:r>
      <w:r w:rsidRPr="00D033F1">
        <w:rPr>
          <w:b/>
        </w:rPr>
        <w:t xml:space="preserve"> </w:t>
      </w:r>
      <w:r w:rsidRPr="0036167C">
        <w:t xml:space="preserve">– serão definidas transecções (terrestres e aquáticas) que serão percorridas a intervalos regulares para a realização de procuras auditivas e visuais, permitindo que sejam feitas análises quali-quantitativas da herpetofauna associada a cada área amostrada. O número e tamanho dos transectos deverão ainda ser definidos. </w:t>
      </w:r>
    </w:p>
    <w:p w:rsidR="00D033F1" w:rsidRPr="00D033F1" w:rsidRDefault="00D033F1" w:rsidP="00D033F1">
      <w:pPr>
        <w:pStyle w:val="SPE-Texto"/>
        <w:spacing w:before="120" w:after="120" w:line="240" w:lineRule="auto"/>
        <w:rPr>
          <w:rFonts w:ascii="Arial" w:hAnsi="Arial" w:cs="Arial"/>
          <w:b/>
          <w:i/>
          <w:sz w:val="22"/>
          <w:szCs w:val="22"/>
        </w:rPr>
      </w:pPr>
      <w:r w:rsidRPr="00D033F1">
        <w:rPr>
          <w:rFonts w:ascii="Arial" w:hAnsi="Arial" w:cs="Arial"/>
          <w:b/>
          <w:i/>
          <w:sz w:val="22"/>
          <w:szCs w:val="22"/>
        </w:rPr>
        <w:t>Mastofauna</w:t>
      </w:r>
    </w:p>
    <w:p w:rsidR="00D033F1" w:rsidRPr="0036167C" w:rsidRDefault="00D033F1" w:rsidP="00D033F1">
      <w:pPr>
        <w:pStyle w:val="SPE-Texto"/>
        <w:spacing w:before="120" w:after="120" w:line="240" w:lineRule="auto"/>
        <w:rPr>
          <w:rFonts w:ascii="Arial" w:hAnsi="Arial" w:cs="Arial"/>
          <w:sz w:val="22"/>
          <w:szCs w:val="22"/>
        </w:rPr>
      </w:pPr>
      <w:r w:rsidRPr="0036167C">
        <w:rPr>
          <w:rFonts w:ascii="Arial" w:hAnsi="Arial" w:cs="Arial"/>
          <w:sz w:val="22"/>
          <w:szCs w:val="22"/>
        </w:rPr>
        <w:t>Para a amostragem da fauna de mamíferos se faz necessário empregar diferentes métodos de amostragem, de modo que os diferentes grupos possam ser adequadamente monitorados. Assim são propostos métodos de amostragem específicos para os diferentes grupos de mamíferos, conforme descrito a seguir:</w:t>
      </w:r>
    </w:p>
    <w:p w:rsidR="00D033F1" w:rsidRPr="0036167C" w:rsidRDefault="00D033F1" w:rsidP="00492964">
      <w:pPr>
        <w:pStyle w:val="Item-Bolinha"/>
      </w:pPr>
      <w:r w:rsidRPr="00D033F1">
        <w:rPr>
          <w:b/>
          <w:i/>
        </w:rPr>
        <w:t>Armadilhas de isca</w:t>
      </w:r>
      <w:r w:rsidRPr="00D033F1">
        <w:rPr>
          <w:b/>
        </w:rPr>
        <w:t>:</w:t>
      </w:r>
      <w:r w:rsidRPr="0036167C">
        <w:t xml:space="preserve"> sugere-se a utilização de armadilhas do tipo </w:t>
      </w:r>
      <w:r w:rsidRPr="0036167C">
        <w:rPr>
          <w:i/>
        </w:rPr>
        <w:t>Sherman</w:t>
      </w:r>
      <w:r w:rsidRPr="0036167C">
        <w:t xml:space="preserve"> de dois tamanhos, dispostas em linha. Em cada área amostrada devem ser instaladas o mínimo de 15 armadilhas distantes 20 m e iscadas. Os indivíduos capturados devem ser identificados, marcados e soltos. Este método permite que sejam gerados dados não apenas sobre o efeito do afugentamento de fauna sobre as áreas do entorno do empreendimento como permite também, avaliar o efeito de fragmentação;</w:t>
      </w:r>
    </w:p>
    <w:p w:rsidR="00D033F1" w:rsidRPr="0036167C" w:rsidRDefault="00D033F1" w:rsidP="00492964">
      <w:pPr>
        <w:pStyle w:val="Item-Bolinha"/>
      </w:pPr>
      <w:r w:rsidRPr="00D033F1">
        <w:rPr>
          <w:b/>
          <w:i/>
        </w:rPr>
        <w:t>Armadilhas de queda (pitfall traps)</w:t>
      </w:r>
      <w:r w:rsidRPr="0036167C">
        <w:t xml:space="preserve"> – as unidades amostrais das armadilhas de queda devem ser as mesmas utilizadas pela equipe de herpetofauna de modo a otimizar os esforços de campo. Os dados gerado</w:t>
      </w:r>
      <w:r>
        <w:t>s através desse método permitirão</w:t>
      </w:r>
      <w:r w:rsidRPr="0036167C">
        <w:t xml:space="preserve"> a avaliação quali-quatitativa da mastofauna associada a cada área amostrada (efeito do afugentamento de fauna), assim como do fluxo de indivíduos entre áreas (efeito da fragmentação).</w:t>
      </w:r>
    </w:p>
    <w:p w:rsidR="00967581" w:rsidRPr="002F4620" w:rsidRDefault="00D033F1" w:rsidP="00492964">
      <w:pPr>
        <w:pStyle w:val="Item-Bolinha"/>
      </w:pPr>
      <w:r w:rsidRPr="00D033F1">
        <w:rPr>
          <w:b/>
          <w:i/>
        </w:rPr>
        <w:t>Armadilhas fotográficas</w:t>
      </w:r>
      <w:r w:rsidRPr="0036167C">
        <w:rPr>
          <w:i/>
        </w:rPr>
        <w:t xml:space="preserve"> - </w:t>
      </w:r>
      <w:r w:rsidRPr="0036167C">
        <w:t>as armadilhas fotográficas são utilizadas, principalmente, para o registro de espécies de médio e grande porte. Ao passar na frente da câmera um sensor faz com que ela dispare, documentando a presença daquele indivíduo. As câmeras deverão ser instaladas em locais de passagem preferencial desses mamíferos. O número de armadilhas e locais de instalação ainda deverão ser definidos.</w:t>
      </w:r>
    </w:p>
    <w:p w:rsidR="00D033F1" w:rsidRPr="00CD37E1" w:rsidRDefault="001F268D" w:rsidP="00CD37E1">
      <w:pPr>
        <w:pStyle w:val="SPE-Texto"/>
        <w:spacing w:before="120" w:after="120" w:line="240" w:lineRule="auto"/>
        <w:rPr>
          <w:rFonts w:ascii="Arial" w:hAnsi="Arial" w:cs="Arial"/>
          <w:b/>
          <w:sz w:val="22"/>
          <w:szCs w:val="22"/>
        </w:rPr>
      </w:pPr>
      <w:r>
        <w:rPr>
          <w:rFonts w:ascii="Arial" w:hAnsi="Arial" w:cs="Arial"/>
          <w:b/>
          <w:sz w:val="22"/>
          <w:szCs w:val="22"/>
        </w:rPr>
        <w:t xml:space="preserve">- </w:t>
      </w:r>
      <w:r w:rsidR="00D033F1" w:rsidRPr="00CD37E1">
        <w:rPr>
          <w:rFonts w:ascii="Arial" w:hAnsi="Arial" w:cs="Arial"/>
          <w:b/>
          <w:sz w:val="22"/>
          <w:szCs w:val="22"/>
        </w:rPr>
        <w:t>Análises</w:t>
      </w:r>
    </w:p>
    <w:p w:rsidR="00D033F1" w:rsidRPr="0036167C" w:rsidRDefault="00D033F1" w:rsidP="00CD37E1">
      <w:pPr>
        <w:pStyle w:val="SPE-Texto"/>
        <w:spacing w:before="120" w:after="120" w:line="240" w:lineRule="auto"/>
        <w:rPr>
          <w:rFonts w:ascii="Arial" w:hAnsi="Arial" w:cs="Arial"/>
          <w:sz w:val="22"/>
          <w:szCs w:val="22"/>
        </w:rPr>
      </w:pPr>
      <w:r w:rsidRPr="0036167C">
        <w:rPr>
          <w:rFonts w:ascii="Arial" w:hAnsi="Arial" w:cs="Arial"/>
          <w:sz w:val="22"/>
          <w:szCs w:val="22"/>
        </w:rPr>
        <w:t>A análise dos dados deverá ser realizada de modo a possibilitar a identificação de eventuais efeitos da implantação e operação do</w:t>
      </w:r>
      <w:r>
        <w:rPr>
          <w:rFonts w:ascii="Arial" w:hAnsi="Arial" w:cs="Arial"/>
          <w:sz w:val="22"/>
          <w:szCs w:val="22"/>
        </w:rPr>
        <w:t>s</w:t>
      </w:r>
      <w:r w:rsidRPr="0036167C">
        <w:rPr>
          <w:rFonts w:ascii="Arial" w:hAnsi="Arial" w:cs="Arial"/>
          <w:sz w:val="22"/>
          <w:szCs w:val="22"/>
        </w:rPr>
        <w:t xml:space="preserve"> empreendimento</w:t>
      </w:r>
      <w:r>
        <w:rPr>
          <w:rFonts w:ascii="Arial" w:hAnsi="Arial" w:cs="Arial"/>
          <w:sz w:val="22"/>
          <w:szCs w:val="22"/>
        </w:rPr>
        <w:t>s</w:t>
      </w:r>
      <w:r w:rsidRPr="0036167C">
        <w:rPr>
          <w:rFonts w:ascii="Arial" w:hAnsi="Arial" w:cs="Arial"/>
          <w:sz w:val="22"/>
          <w:szCs w:val="22"/>
        </w:rPr>
        <w:t xml:space="preserve"> sobre a fauna terrestre e os ambientes dos quais dependem. Essa análise deve ser conduzida de modo a comparar, principalmente, os conjuntos de dados coletados considerando-se duas variáveis:</w:t>
      </w:r>
    </w:p>
    <w:p w:rsidR="00D033F1" w:rsidRPr="0036167C" w:rsidRDefault="00D033F1" w:rsidP="00492964">
      <w:pPr>
        <w:pStyle w:val="Item-Bolinha"/>
      </w:pPr>
      <w:r w:rsidRPr="00CD37E1">
        <w:rPr>
          <w:b/>
        </w:rPr>
        <w:t>Variável Temporal</w:t>
      </w:r>
      <w:r w:rsidRPr="0036167C">
        <w:t xml:space="preserve"> – comparação dos dados coligidos em uma determinada área ao longo de diferentes fases de implantação e operação do empreendimento permitindo a avaliação dos efeitos sobre essas comunidades ao longo do tempo; e</w:t>
      </w:r>
    </w:p>
    <w:p w:rsidR="00D033F1" w:rsidRPr="0036167C" w:rsidRDefault="00D033F1" w:rsidP="00492964">
      <w:pPr>
        <w:pStyle w:val="Item-Bolinha"/>
      </w:pPr>
      <w:r w:rsidRPr="00CD37E1">
        <w:rPr>
          <w:b/>
        </w:rPr>
        <w:t>Variável Espacial</w:t>
      </w:r>
      <w:r w:rsidRPr="0036167C">
        <w:t xml:space="preserve"> – comparação dos conjuntos de dados coligidos em ambientes diferentes áreas afetadas pelo empreendimento, ou que foram objeto de intervenções voltadas ao reflorestamento.</w:t>
      </w:r>
    </w:p>
    <w:p w:rsidR="00D033F1" w:rsidRPr="009423BE" w:rsidRDefault="00D033F1" w:rsidP="00CD37E1">
      <w:pPr>
        <w:pStyle w:val="SPE-Texto"/>
        <w:spacing w:before="120" w:after="120" w:line="240" w:lineRule="auto"/>
        <w:rPr>
          <w:rFonts w:ascii="Arial" w:hAnsi="Arial" w:cs="Arial"/>
          <w:sz w:val="22"/>
          <w:szCs w:val="22"/>
        </w:rPr>
      </w:pPr>
      <w:r w:rsidRPr="0036167C">
        <w:rPr>
          <w:rFonts w:ascii="Arial" w:hAnsi="Arial" w:cs="Arial"/>
          <w:sz w:val="22"/>
          <w:szCs w:val="22"/>
        </w:rPr>
        <w:t>Para tanto serão analisados, minimamente, parâmetros biológicos, como riqueza, abundância das espécies, frequência, índices de diversidade, equitabilidade e similaridade. Ainda, devem ser aplicados testes estatísticos para avaliar a hipótese de existência de diferenças significativas entre am</w:t>
      </w:r>
      <w:r>
        <w:rPr>
          <w:rFonts w:ascii="Arial" w:hAnsi="Arial" w:cs="Arial"/>
          <w:sz w:val="22"/>
          <w:szCs w:val="22"/>
        </w:rPr>
        <w:t>ostras (temporais e espaciais).</w:t>
      </w:r>
    </w:p>
    <w:p w:rsidR="00D033F1" w:rsidRPr="00CD37E1" w:rsidRDefault="00492964" w:rsidP="00EF6B5D">
      <w:pPr>
        <w:spacing w:before="240" w:after="240"/>
        <w:rPr>
          <w:rFonts w:cs="Arial"/>
          <w:b/>
        </w:rPr>
      </w:pPr>
      <w:r>
        <w:rPr>
          <w:rFonts w:cs="Arial"/>
          <w:b/>
        </w:rPr>
        <w:t>a</w:t>
      </w:r>
      <w:r w:rsidR="001F268D">
        <w:rPr>
          <w:rFonts w:cs="Arial"/>
          <w:b/>
        </w:rPr>
        <w:t>.2.</w:t>
      </w:r>
      <w:r>
        <w:rPr>
          <w:rFonts w:cs="Arial"/>
          <w:b/>
        </w:rPr>
        <w:t>)</w:t>
      </w:r>
      <w:r w:rsidR="001F268D">
        <w:rPr>
          <w:rFonts w:cs="Arial"/>
          <w:b/>
        </w:rPr>
        <w:t xml:space="preserve"> Indicadores A</w:t>
      </w:r>
      <w:r w:rsidR="00D033F1" w:rsidRPr="00CD37E1">
        <w:rPr>
          <w:rFonts w:cs="Arial"/>
          <w:b/>
        </w:rPr>
        <w:t>mbientais</w:t>
      </w:r>
    </w:p>
    <w:p w:rsidR="00D033F1" w:rsidRDefault="00D033F1" w:rsidP="00CD37E1">
      <w:pPr>
        <w:pStyle w:val="SPE-Texto"/>
        <w:spacing w:before="120" w:after="120" w:line="240" w:lineRule="auto"/>
        <w:rPr>
          <w:rFonts w:ascii="Arial" w:hAnsi="Arial" w:cs="Arial"/>
          <w:sz w:val="22"/>
          <w:szCs w:val="22"/>
        </w:rPr>
      </w:pPr>
      <w:r w:rsidRPr="0036167C">
        <w:rPr>
          <w:rFonts w:ascii="Arial" w:hAnsi="Arial" w:cs="Arial"/>
          <w:sz w:val="22"/>
          <w:szCs w:val="22"/>
        </w:rPr>
        <w:t xml:space="preserve">Os indicadores ambientais do Subprograma de Monitoramento </w:t>
      </w:r>
      <w:r>
        <w:rPr>
          <w:rFonts w:ascii="Arial" w:hAnsi="Arial" w:cs="Arial"/>
          <w:sz w:val="22"/>
          <w:szCs w:val="22"/>
        </w:rPr>
        <w:t>de Fauna</w:t>
      </w:r>
      <w:r w:rsidRPr="0036167C">
        <w:rPr>
          <w:rFonts w:ascii="Arial" w:hAnsi="Arial" w:cs="Arial"/>
          <w:sz w:val="22"/>
          <w:szCs w:val="22"/>
        </w:rPr>
        <w:t xml:space="preserve"> devem incluir, minimamente, o</w:t>
      </w:r>
      <w:r>
        <w:rPr>
          <w:rFonts w:ascii="Arial" w:hAnsi="Arial" w:cs="Arial"/>
          <w:sz w:val="22"/>
          <w:szCs w:val="22"/>
        </w:rPr>
        <w:t>s</w:t>
      </w:r>
      <w:r w:rsidRPr="0036167C">
        <w:rPr>
          <w:rFonts w:ascii="Arial" w:hAnsi="Arial" w:cs="Arial"/>
          <w:sz w:val="22"/>
          <w:szCs w:val="22"/>
        </w:rPr>
        <w:t xml:space="preserve"> índices de:</w:t>
      </w:r>
    </w:p>
    <w:p w:rsidR="00D033F1" w:rsidRPr="0036167C" w:rsidRDefault="00D033F1" w:rsidP="00492964">
      <w:pPr>
        <w:pStyle w:val="Item-Bolinha"/>
      </w:pPr>
      <w:r w:rsidRPr="0036167C">
        <w:t>Riqueza;</w:t>
      </w:r>
    </w:p>
    <w:p w:rsidR="00D033F1" w:rsidRPr="0036167C" w:rsidRDefault="00D033F1" w:rsidP="00492964">
      <w:pPr>
        <w:pStyle w:val="Item-Bolinha"/>
      </w:pPr>
      <w:r w:rsidRPr="0036167C">
        <w:t>Abundância;</w:t>
      </w:r>
    </w:p>
    <w:p w:rsidR="00D033F1" w:rsidRPr="0036167C" w:rsidRDefault="00D033F1" w:rsidP="00492964">
      <w:pPr>
        <w:pStyle w:val="Item-Bolinha"/>
      </w:pPr>
      <w:r w:rsidRPr="0036167C">
        <w:t>Similaridade;</w:t>
      </w:r>
    </w:p>
    <w:p w:rsidR="00D033F1" w:rsidRPr="0036167C" w:rsidRDefault="00D033F1" w:rsidP="00492964">
      <w:pPr>
        <w:pStyle w:val="Item-Bolinha"/>
      </w:pPr>
      <w:r w:rsidRPr="0036167C">
        <w:t>Diversidade; e</w:t>
      </w:r>
    </w:p>
    <w:p w:rsidR="00D033F1" w:rsidRPr="0036167C" w:rsidRDefault="00D033F1" w:rsidP="00492964">
      <w:pPr>
        <w:pStyle w:val="Item-Bolinha"/>
      </w:pPr>
      <w:r w:rsidRPr="0036167C">
        <w:t>Equitabilidade.</w:t>
      </w:r>
    </w:p>
    <w:p w:rsidR="00D033F1" w:rsidRPr="00CD37E1" w:rsidRDefault="00492964" w:rsidP="00EF6B5D">
      <w:pPr>
        <w:spacing w:before="240" w:after="240"/>
        <w:rPr>
          <w:rFonts w:cs="Arial"/>
          <w:b/>
        </w:rPr>
      </w:pPr>
      <w:r>
        <w:rPr>
          <w:rFonts w:cs="Arial"/>
          <w:b/>
        </w:rPr>
        <w:t>a</w:t>
      </w:r>
      <w:r w:rsidR="001F268D">
        <w:rPr>
          <w:rFonts w:cs="Arial"/>
          <w:b/>
        </w:rPr>
        <w:t>.3.</w:t>
      </w:r>
      <w:r>
        <w:rPr>
          <w:rFonts w:cs="Arial"/>
          <w:b/>
        </w:rPr>
        <w:t>)</w:t>
      </w:r>
      <w:r w:rsidR="001F268D">
        <w:rPr>
          <w:rFonts w:cs="Arial"/>
          <w:b/>
        </w:rPr>
        <w:t xml:space="preserve"> </w:t>
      </w:r>
      <w:r w:rsidR="00D033F1" w:rsidRPr="00CD37E1">
        <w:rPr>
          <w:rFonts w:cs="Arial"/>
          <w:b/>
        </w:rPr>
        <w:t>Recursos materiais e humanos</w:t>
      </w:r>
    </w:p>
    <w:p w:rsidR="00D033F1" w:rsidRPr="0036167C" w:rsidRDefault="00D033F1" w:rsidP="00CD37E1">
      <w:pPr>
        <w:pStyle w:val="SPE-Texto"/>
        <w:rPr>
          <w:rFonts w:cs="Arial"/>
        </w:rPr>
      </w:pPr>
      <w:r w:rsidRPr="0036167C">
        <w:rPr>
          <w:rFonts w:ascii="Arial" w:hAnsi="Arial" w:cs="Arial"/>
          <w:sz w:val="22"/>
          <w:szCs w:val="22"/>
        </w:rPr>
        <w:t xml:space="preserve">Para a implementação do Subprograma de Monitoramento </w:t>
      </w:r>
      <w:r>
        <w:rPr>
          <w:rFonts w:ascii="Arial" w:hAnsi="Arial" w:cs="Arial"/>
          <w:sz w:val="22"/>
          <w:szCs w:val="22"/>
        </w:rPr>
        <w:t>de Fauna</w:t>
      </w:r>
      <w:r w:rsidRPr="0036167C">
        <w:rPr>
          <w:rFonts w:ascii="Arial" w:hAnsi="Arial" w:cs="Arial"/>
          <w:sz w:val="22"/>
          <w:szCs w:val="22"/>
        </w:rPr>
        <w:t xml:space="preserve"> será necessária a contratação de equipe composta por especialistas com capacitação para a amostragem dos diferentes grupos de </w:t>
      </w:r>
      <w:r>
        <w:rPr>
          <w:rFonts w:ascii="Arial" w:hAnsi="Arial" w:cs="Arial"/>
          <w:sz w:val="22"/>
          <w:szCs w:val="22"/>
        </w:rPr>
        <w:t>vertebrados terrestres</w:t>
      </w:r>
      <w:r w:rsidRPr="0036167C">
        <w:rPr>
          <w:rFonts w:ascii="Arial" w:hAnsi="Arial" w:cs="Arial"/>
          <w:sz w:val="22"/>
          <w:szCs w:val="22"/>
        </w:rPr>
        <w:t>. Para os trabalhos de campo será necessária, ainda, a aquisição/contratação dos equipamentos necessários para o emprego dos métodos de amostragem relacionados.</w:t>
      </w:r>
    </w:p>
    <w:p w:rsidR="00D033F1" w:rsidRPr="00C0305C" w:rsidRDefault="00492964" w:rsidP="001F268D">
      <w:pPr>
        <w:spacing w:before="120" w:after="120" w:line="240" w:lineRule="auto"/>
        <w:rPr>
          <w:rFonts w:cs="Arial"/>
          <w:b/>
        </w:rPr>
      </w:pPr>
      <w:r>
        <w:rPr>
          <w:rFonts w:cs="Arial"/>
          <w:b/>
        </w:rPr>
        <w:t>b</w:t>
      </w:r>
      <w:r w:rsidR="001F268D">
        <w:rPr>
          <w:rFonts w:cs="Arial"/>
          <w:b/>
        </w:rPr>
        <w:t xml:space="preserve">) </w:t>
      </w:r>
      <w:r w:rsidR="00D033F1" w:rsidRPr="00C0305C">
        <w:rPr>
          <w:rFonts w:cs="Arial"/>
          <w:b/>
        </w:rPr>
        <w:t>Subprograma de Resgate da Fauna</w:t>
      </w:r>
    </w:p>
    <w:p w:rsidR="00D033F1" w:rsidRPr="00CD37E1" w:rsidRDefault="00D033F1" w:rsidP="00CD37E1">
      <w:pPr>
        <w:pStyle w:val="SPE-Texto"/>
        <w:rPr>
          <w:rFonts w:ascii="Arial" w:hAnsi="Arial" w:cs="Arial"/>
          <w:sz w:val="22"/>
          <w:szCs w:val="22"/>
        </w:rPr>
      </w:pPr>
      <w:r w:rsidRPr="00CD37E1">
        <w:rPr>
          <w:rFonts w:ascii="Arial" w:hAnsi="Arial" w:cs="Arial"/>
          <w:sz w:val="22"/>
          <w:szCs w:val="22"/>
        </w:rPr>
        <w:t>Neste item são apresentadas os métodos e procedimentos, assim como os indicadores ambientais e os recursos materiais e humanos do Subprograma de Resgate de Fauna.</w:t>
      </w:r>
    </w:p>
    <w:p w:rsidR="00D033F1" w:rsidRPr="00CD37E1" w:rsidRDefault="00492964" w:rsidP="001F268D">
      <w:pPr>
        <w:spacing w:before="120" w:after="120" w:line="240" w:lineRule="auto"/>
        <w:rPr>
          <w:rFonts w:cs="Arial"/>
          <w:b/>
        </w:rPr>
      </w:pPr>
      <w:r>
        <w:rPr>
          <w:rFonts w:cs="Arial"/>
          <w:b/>
        </w:rPr>
        <w:t>b</w:t>
      </w:r>
      <w:r w:rsidR="001F268D">
        <w:rPr>
          <w:rFonts w:cs="Arial"/>
          <w:b/>
        </w:rPr>
        <w:t>.1.</w:t>
      </w:r>
      <w:r>
        <w:rPr>
          <w:rFonts w:cs="Arial"/>
          <w:b/>
        </w:rPr>
        <w:t>)</w:t>
      </w:r>
      <w:r w:rsidR="001F268D">
        <w:rPr>
          <w:rFonts w:cs="Arial"/>
          <w:b/>
        </w:rPr>
        <w:t xml:space="preserve"> </w:t>
      </w:r>
      <w:r w:rsidR="00D033F1" w:rsidRPr="00CD37E1">
        <w:rPr>
          <w:rFonts w:cs="Arial"/>
          <w:b/>
        </w:rPr>
        <w:t>Métodos e descrição do programa (procedimentos)</w:t>
      </w:r>
    </w:p>
    <w:p w:rsidR="00D033F1" w:rsidRDefault="00D033F1" w:rsidP="00CD37E1">
      <w:pPr>
        <w:pStyle w:val="SPE-Texto"/>
        <w:rPr>
          <w:rFonts w:ascii="Arial" w:hAnsi="Arial" w:cs="Arial"/>
          <w:sz w:val="22"/>
          <w:szCs w:val="22"/>
        </w:rPr>
      </w:pPr>
      <w:r w:rsidRPr="00CD37E1">
        <w:rPr>
          <w:rFonts w:ascii="Arial" w:hAnsi="Arial" w:cs="Arial"/>
          <w:sz w:val="22"/>
          <w:szCs w:val="22"/>
        </w:rPr>
        <w:t>As principais atividades que compõem o Subprograma de Resgate da Fauna Silvestre são apresentadas a seguir:</w:t>
      </w:r>
    </w:p>
    <w:p w:rsidR="00D033F1" w:rsidRPr="00492964" w:rsidRDefault="00D033F1" w:rsidP="00D033F1">
      <w:pPr>
        <w:rPr>
          <w:rFonts w:cs="Arial"/>
          <w:b/>
        </w:rPr>
      </w:pPr>
      <w:r w:rsidRPr="00492964">
        <w:rPr>
          <w:rFonts w:cs="Arial"/>
          <w:b/>
        </w:rPr>
        <w:t>Atividade 1 - Planejamento</w:t>
      </w:r>
    </w:p>
    <w:p w:rsidR="00D033F1" w:rsidRPr="00CD37E1" w:rsidRDefault="00D033F1" w:rsidP="00492964">
      <w:pPr>
        <w:pStyle w:val="Item-Bolinha"/>
      </w:pPr>
      <w:r w:rsidRPr="00CD37E1">
        <w:t>Formar a equipe técnica, devidamente habilitada, responsável pelo resgate da fauna, antes do início das atividades de supressão de vegetação e do enchimento dos reservatórios;</w:t>
      </w:r>
    </w:p>
    <w:p w:rsidR="00D033F1" w:rsidRPr="00CD37E1" w:rsidRDefault="00D033F1" w:rsidP="00492964">
      <w:pPr>
        <w:pStyle w:val="Item-Bolinha"/>
      </w:pPr>
      <w:r w:rsidRPr="00CD37E1">
        <w:t>Obter as autorizações para coleta de fauna, no órgão ambiental competente, antes do início das atividades de supressão de vegetação e do enchimento dos reservatórios;</w:t>
      </w:r>
    </w:p>
    <w:p w:rsidR="00D033F1" w:rsidRPr="00CD37E1" w:rsidRDefault="00D033F1" w:rsidP="00492964">
      <w:pPr>
        <w:pStyle w:val="Item-Bolinha"/>
      </w:pPr>
      <w:r w:rsidRPr="00CD37E1">
        <w:t>Estabelecer parceria com clínica veterinária na região do empreendimento, de modo a encaminhar os espécimes de fauna capturados que necessitem de tratamento;</w:t>
      </w:r>
    </w:p>
    <w:p w:rsidR="00CD37E1" w:rsidRPr="001C5534" w:rsidRDefault="00D033F1" w:rsidP="00492964">
      <w:pPr>
        <w:pStyle w:val="Item-Bolinha"/>
      </w:pPr>
      <w:r w:rsidRPr="00CD37E1">
        <w:t>Estabelecer parceria com o Centro de Triagem de Animais Silvestres (CETAS) para encaminhamento de espécimes de fauna capturados.</w:t>
      </w:r>
    </w:p>
    <w:p w:rsidR="00D033F1" w:rsidRPr="00492964" w:rsidRDefault="00D033F1" w:rsidP="00CD37E1">
      <w:pPr>
        <w:spacing w:before="120" w:after="120" w:line="240" w:lineRule="auto"/>
        <w:rPr>
          <w:rFonts w:cs="Arial"/>
          <w:b/>
        </w:rPr>
      </w:pPr>
      <w:r w:rsidRPr="00492964">
        <w:rPr>
          <w:rFonts w:cs="Arial"/>
          <w:b/>
        </w:rPr>
        <w:t>Atividade 2 - Afugentamento</w:t>
      </w:r>
    </w:p>
    <w:p w:rsidR="00D033F1" w:rsidRDefault="00D033F1" w:rsidP="00492964">
      <w:pPr>
        <w:pStyle w:val="Item-Bolinha"/>
      </w:pPr>
      <w:r w:rsidRPr="00CD37E1">
        <w:t>Realizar o afugentamento da fauna, com maior capacidade de locomoção, previamente e concomitantemente às atividades de supressão de vegetação, conforme preconizado no Programa de Supressão da vegetação.</w:t>
      </w:r>
    </w:p>
    <w:p w:rsidR="00623CE0" w:rsidRDefault="00623CE0" w:rsidP="00623CE0">
      <w:pPr>
        <w:pStyle w:val="Item-Bolinha"/>
        <w:numPr>
          <w:ilvl w:val="0"/>
          <w:numId w:val="0"/>
        </w:numPr>
        <w:ind w:left="340" w:hanging="340"/>
      </w:pPr>
    </w:p>
    <w:p w:rsidR="00623CE0" w:rsidRPr="00CD37E1" w:rsidRDefault="00623CE0" w:rsidP="00623CE0">
      <w:pPr>
        <w:pStyle w:val="Item-Bolinha"/>
        <w:numPr>
          <w:ilvl w:val="0"/>
          <w:numId w:val="0"/>
        </w:numPr>
        <w:ind w:left="340" w:hanging="340"/>
      </w:pPr>
    </w:p>
    <w:p w:rsidR="00D033F1" w:rsidRPr="00492964" w:rsidRDefault="00D033F1" w:rsidP="00CD37E1">
      <w:pPr>
        <w:spacing w:before="120" w:after="120" w:line="240" w:lineRule="auto"/>
        <w:rPr>
          <w:rFonts w:cs="Arial"/>
          <w:b/>
        </w:rPr>
      </w:pPr>
      <w:r w:rsidRPr="00492964">
        <w:rPr>
          <w:rFonts w:cs="Arial"/>
          <w:b/>
        </w:rPr>
        <w:t>Atividade 3 - Resgate de Espécimes</w:t>
      </w:r>
    </w:p>
    <w:p w:rsidR="00D033F1" w:rsidRPr="00CD37E1" w:rsidRDefault="00D033F1" w:rsidP="00CD37E1">
      <w:pPr>
        <w:pStyle w:val="SPE-Texto"/>
        <w:rPr>
          <w:rFonts w:ascii="Arial" w:hAnsi="Arial" w:cs="Arial"/>
          <w:sz w:val="22"/>
          <w:szCs w:val="22"/>
        </w:rPr>
      </w:pPr>
      <w:r w:rsidRPr="00CD37E1">
        <w:rPr>
          <w:rFonts w:ascii="Arial" w:hAnsi="Arial" w:cs="Arial"/>
          <w:sz w:val="22"/>
          <w:szCs w:val="22"/>
        </w:rPr>
        <w:t>As atividades de resgate da fauna deverão ser realizadas não apenas durante as atividades de supressão de vegetação, conforme detalhado no Programa de Supressão de Vegetação, como, também, durante a etapa de enchimento dos reservatórios. Os procedimentos gerais de resgate são apresentados a seguir.</w:t>
      </w:r>
    </w:p>
    <w:p w:rsidR="00D033F1" w:rsidRPr="00CD37E1" w:rsidRDefault="00D033F1" w:rsidP="00492964">
      <w:pPr>
        <w:pStyle w:val="Item-Bolinha"/>
      </w:pPr>
      <w:r w:rsidRPr="00CD37E1">
        <w:t>As atividades deverão permitir aos animais a chance de deslocamentos para as áreas do entorno. Entretanto, caso esse deslocamento não seja possível em razão da baixa mobilidade ou pela incapacidade de se deslocarem pelos ambientes vizinhos (ex. durante o enchimento) os indivíduos deverão ser capturados;</w:t>
      </w:r>
    </w:p>
    <w:p w:rsidR="00D033F1" w:rsidRPr="00CD37E1" w:rsidRDefault="00D033F1" w:rsidP="00492964">
      <w:pPr>
        <w:pStyle w:val="Item-Bolinha"/>
      </w:pPr>
      <w:r w:rsidRPr="00CD37E1">
        <w:t>Para a captura dos espécimes da fauna poderão ser utilizados puçás, armadilhas, anestésicos ou mobilização, por profissionais habilitados. Tais procedimento devem ser adequados à espécie que está sendo manejada;</w:t>
      </w:r>
    </w:p>
    <w:p w:rsidR="00D033F1" w:rsidRPr="00CD37E1" w:rsidRDefault="00D033F1" w:rsidP="00492964">
      <w:pPr>
        <w:pStyle w:val="Item-Bolinha"/>
      </w:pPr>
      <w:r w:rsidRPr="00CD37E1">
        <w:t>Espécies peçonhentas deverão ser manejadas com luva de couro, capturadas com auxílio de gancho e acondicionadas em caixa especial de madeira para transporte (ex. tipo fabricado pelo Instituto Butantan);</w:t>
      </w:r>
    </w:p>
    <w:p w:rsidR="00D033F1" w:rsidRPr="00CD37E1" w:rsidRDefault="00D033F1" w:rsidP="00492964">
      <w:pPr>
        <w:pStyle w:val="Item-Bolinha"/>
      </w:pPr>
      <w:r w:rsidRPr="00CD37E1">
        <w:t>Apesar da maior capacidade de deslocamento de muitas espécies de aves, deve ser dada atenção aos ninhos com ovos e filhotes;</w:t>
      </w:r>
    </w:p>
    <w:p w:rsidR="00D033F1" w:rsidRPr="00CD37E1" w:rsidRDefault="00D033F1" w:rsidP="00492964">
      <w:pPr>
        <w:pStyle w:val="Item-Bolinha"/>
      </w:pPr>
      <w:r w:rsidRPr="00CD37E1">
        <w:t>Os espécimes capturados deverão ser marcados, medidos, sexados, pesados e fotografados. Todos os cuidados necessários (definidos pelo veterinário) deverão ser tomados durante o manuseio dos animais para reduzir ao mínimo possível o estresse infligido aos mesmos;</w:t>
      </w:r>
    </w:p>
    <w:p w:rsidR="00D033F1" w:rsidRPr="00CD37E1" w:rsidRDefault="00D033F1" w:rsidP="00492964">
      <w:pPr>
        <w:pStyle w:val="Item-Bolinha"/>
      </w:pPr>
      <w:r w:rsidRPr="00CD37E1">
        <w:t>Os dados referentes a cada animal resgatado deverão constar de uma ficha de acompanhamento;</w:t>
      </w:r>
    </w:p>
    <w:p w:rsidR="00D033F1" w:rsidRPr="00CD37E1" w:rsidRDefault="00D033F1" w:rsidP="00492964">
      <w:pPr>
        <w:pStyle w:val="Item-Bolinha"/>
      </w:pPr>
      <w:r w:rsidRPr="00CD37E1">
        <w:t>Os animais a serem soltos deverão ser primeiramente marcados para posterior monitoramento. A marcação deverá ser feita por meio, por exemplo, de anilhas, brincos ou tintas atóxicas. A forma de marcação deverá ser definida com base nas características específicas de cada espécime;</w:t>
      </w:r>
    </w:p>
    <w:p w:rsidR="00D033F1" w:rsidRPr="00CD37E1" w:rsidRDefault="00D033F1" w:rsidP="00492964">
      <w:pPr>
        <w:pStyle w:val="Item-Bolinha"/>
      </w:pPr>
      <w:r w:rsidRPr="00CD37E1">
        <w:t>A captura dos animais deverá ser feita por uma equipe capacitada, formada por biólogos e médicos veterinários familiarizados com fauna silvestre e auxiliares de campo;</w:t>
      </w:r>
    </w:p>
    <w:p w:rsidR="00D033F1" w:rsidRPr="00CD37E1" w:rsidRDefault="00D033F1" w:rsidP="00492964">
      <w:pPr>
        <w:pStyle w:val="Item-Bolinha"/>
      </w:pPr>
      <w:r w:rsidRPr="00CD37E1">
        <w:t>A equipe técnica deverá utilizar os EPIs adequados, tais como botas, luvas, perneiras e calças grossas; e</w:t>
      </w:r>
    </w:p>
    <w:p w:rsidR="001F268D" w:rsidRDefault="00D033F1" w:rsidP="00492964">
      <w:pPr>
        <w:pStyle w:val="Item-Bolinha"/>
      </w:pPr>
      <w:r w:rsidRPr="00CD37E1">
        <w:t>A equipe técnica acompanhará as atividades de supressão de vegetação e enchimento dos reservatórios, de modo a estar de prontidão para realizar capturas de emergência.</w:t>
      </w:r>
    </w:p>
    <w:p w:rsidR="00D033F1" w:rsidRPr="00492964" w:rsidRDefault="00D033F1" w:rsidP="00CD37E1">
      <w:pPr>
        <w:spacing w:before="120" w:after="120" w:line="240" w:lineRule="auto"/>
        <w:rPr>
          <w:rFonts w:cs="Arial"/>
          <w:b/>
        </w:rPr>
      </w:pPr>
      <w:r w:rsidRPr="00492964">
        <w:rPr>
          <w:rFonts w:cs="Arial"/>
          <w:b/>
        </w:rPr>
        <w:t>Atividade 4 - Destino de Espécimes Debilitados</w:t>
      </w:r>
    </w:p>
    <w:p w:rsidR="00D033F1" w:rsidRPr="00CD37E1" w:rsidRDefault="00D033F1" w:rsidP="00CD37E1">
      <w:pPr>
        <w:pStyle w:val="SPE-Texto"/>
        <w:rPr>
          <w:rFonts w:ascii="Arial" w:hAnsi="Arial" w:cs="Arial"/>
          <w:sz w:val="22"/>
          <w:szCs w:val="22"/>
        </w:rPr>
      </w:pPr>
      <w:r w:rsidRPr="00CD37E1">
        <w:rPr>
          <w:rFonts w:ascii="Arial" w:hAnsi="Arial" w:cs="Arial"/>
          <w:sz w:val="22"/>
          <w:szCs w:val="22"/>
        </w:rPr>
        <w:t>A seguir são apresentados os principais procedimentos relativos à atividade de resgate de espécimes debilitados.</w:t>
      </w:r>
    </w:p>
    <w:p w:rsidR="00D033F1" w:rsidRPr="00CD37E1" w:rsidRDefault="00D033F1" w:rsidP="00492964">
      <w:pPr>
        <w:pStyle w:val="Item-Bolinha"/>
      </w:pPr>
      <w:r w:rsidRPr="00CD37E1">
        <w:t>Caso sejam encontrados espécimes feridos durante as atividades de supressão de vegetação ou durante o enchimento dos reservatórios, os mesmos deverão ser capturados e encaminhados ao CETAS da região. Os animais de médio e grande porte (carnívoros, grandes roedores, preguiças, cervídeos, primatas e outros) deverão ser anestesiados pelo médico veterinário responsável, de modo a evitar o estresse causado pela ação de manejo;</w:t>
      </w:r>
    </w:p>
    <w:p w:rsidR="00D033F1" w:rsidRPr="00CD37E1" w:rsidRDefault="00D033F1" w:rsidP="00492964">
      <w:pPr>
        <w:pStyle w:val="Item-Bolinha"/>
      </w:pPr>
      <w:r w:rsidRPr="00CD37E1">
        <w:t>No CETAS os espécimes capturados deverão ser avaliados, receberão os tratamentos necessários até sua reabilitação; e</w:t>
      </w:r>
    </w:p>
    <w:p w:rsidR="00D033F1" w:rsidRPr="006F5200" w:rsidRDefault="00D033F1" w:rsidP="00492964">
      <w:pPr>
        <w:pStyle w:val="Item-Bolinha"/>
      </w:pPr>
      <w:r w:rsidRPr="00CD37E1">
        <w:t>Todos os espécimes encontrados feridos deverão permanecer em quarentena. Após o tratamento deverá ser definido se os mesmos serão soltos em áreas previamente determinadas ou encaminhados a zoológicos ou criadouros (científicos ou conservacionistas).</w:t>
      </w:r>
    </w:p>
    <w:p w:rsidR="00D033F1" w:rsidRPr="00492964" w:rsidRDefault="00D033F1" w:rsidP="00CD37E1">
      <w:pPr>
        <w:spacing w:before="120" w:after="120" w:line="240" w:lineRule="auto"/>
        <w:rPr>
          <w:rFonts w:cs="Arial"/>
          <w:b/>
        </w:rPr>
      </w:pPr>
      <w:r w:rsidRPr="00492964">
        <w:rPr>
          <w:rFonts w:cs="Arial"/>
          <w:b/>
        </w:rPr>
        <w:t>Atividade 5 - Soltura</w:t>
      </w:r>
    </w:p>
    <w:p w:rsidR="00D033F1" w:rsidRPr="006C7885" w:rsidRDefault="00D033F1" w:rsidP="006C7885">
      <w:pPr>
        <w:pStyle w:val="SPE-Texto"/>
        <w:rPr>
          <w:rFonts w:ascii="Arial" w:hAnsi="Arial" w:cs="Arial"/>
          <w:sz w:val="22"/>
          <w:szCs w:val="22"/>
        </w:rPr>
      </w:pPr>
      <w:r w:rsidRPr="006C7885">
        <w:rPr>
          <w:rFonts w:ascii="Arial" w:hAnsi="Arial" w:cs="Arial"/>
          <w:sz w:val="22"/>
          <w:szCs w:val="22"/>
        </w:rPr>
        <w:t>Caso seja definido que um espécime pode ser solto na natureza, deverá ser determinada previamente a área que será objeto de soltura. As áreas para a soltura de espécimes capturados devem ser definidas conjuntamente com os órgãos ambientais, seguindo todos os critérios técnicos necessários, de modo a evitar impactos adicionais à fauna daquela área.</w:t>
      </w:r>
    </w:p>
    <w:p w:rsidR="00D033F1" w:rsidRDefault="00D033F1" w:rsidP="006C7885">
      <w:pPr>
        <w:pStyle w:val="SPE-Texto"/>
        <w:rPr>
          <w:rFonts w:ascii="Arial" w:hAnsi="Arial" w:cs="Arial"/>
          <w:sz w:val="22"/>
          <w:szCs w:val="22"/>
        </w:rPr>
      </w:pPr>
      <w:r w:rsidRPr="006C7885">
        <w:rPr>
          <w:rFonts w:ascii="Arial" w:hAnsi="Arial" w:cs="Arial"/>
          <w:sz w:val="22"/>
          <w:szCs w:val="22"/>
        </w:rPr>
        <w:t>As espécies consideradas ameaçadas de extinção serão objeto de atenção especial durante a translocação para novas áreas. A determinação da escolha da área deverá ser feita em conjunto com os órgãos ambientais e com as equipes responsáveis pelo Programa de Monitoramento e Conservação de Fauna Silvestre.</w:t>
      </w:r>
    </w:p>
    <w:p w:rsidR="00D033F1" w:rsidRPr="00492964" w:rsidRDefault="00D033F1" w:rsidP="006C7885">
      <w:pPr>
        <w:spacing w:before="120" w:after="120" w:line="240" w:lineRule="auto"/>
        <w:rPr>
          <w:rFonts w:cs="Arial"/>
          <w:b/>
        </w:rPr>
      </w:pPr>
      <w:r w:rsidRPr="00492964">
        <w:rPr>
          <w:rFonts w:cs="Arial"/>
          <w:b/>
        </w:rPr>
        <w:t>Atividade 6- Aproveitamento Científico</w:t>
      </w:r>
    </w:p>
    <w:p w:rsidR="00D033F1" w:rsidRPr="006C7885" w:rsidRDefault="00D033F1" w:rsidP="006C7885">
      <w:pPr>
        <w:pStyle w:val="SPE-Texto"/>
        <w:rPr>
          <w:rFonts w:ascii="Arial" w:hAnsi="Arial" w:cs="Arial"/>
          <w:sz w:val="22"/>
          <w:szCs w:val="22"/>
        </w:rPr>
      </w:pPr>
      <w:r w:rsidRPr="006C7885">
        <w:rPr>
          <w:rFonts w:ascii="Arial" w:hAnsi="Arial" w:cs="Arial"/>
          <w:sz w:val="22"/>
          <w:szCs w:val="22"/>
        </w:rPr>
        <w:t>Aqueles espécimes resgatados, que venham a falecer deverão ser encaminhados a instituições de pesquisa (ex. universidades, museus de história natural) previamente cadastrados.</w:t>
      </w:r>
    </w:p>
    <w:p w:rsidR="00D033F1" w:rsidRPr="006C7885" w:rsidRDefault="00492964" w:rsidP="00EF6B5D">
      <w:pPr>
        <w:spacing w:before="240" w:after="240" w:line="240" w:lineRule="auto"/>
        <w:rPr>
          <w:rFonts w:cs="Arial"/>
          <w:b/>
        </w:rPr>
      </w:pPr>
      <w:r>
        <w:rPr>
          <w:rFonts w:cs="Arial"/>
          <w:b/>
        </w:rPr>
        <w:t>b</w:t>
      </w:r>
      <w:r w:rsidR="001F268D">
        <w:rPr>
          <w:rFonts w:cs="Arial"/>
          <w:b/>
        </w:rPr>
        <w:t>.2.</w:t>
      </w:r>
      <w:r>
        <w:rPr>
          <w:rFonts w:cs="Arial"/>
          <w:b/>
        </w:rPr>
        <w:t>)</w:t>
      </w:r>
      <w:r w:rsidR="001F268D">
        <w:rPr>
          <w:rFonts w:cs="Arial"/>
          <w:b/>
        </w:rPr>
        <w:t xml:space="preserve"> </w:t>
      </w:r>
      <w:r w:rsidR="00D033F1" w:rsidRPr="006C7885">
        <w:rPr>
          <w:rFonts w:cs="Arial"/>
          <w:b/>
        </w:rPr>
        <w:t>Indicadores ambientais</w:t>
      </w:r>
    </w:p>
    <w:p w:rsidR="00D033F1" w:rsidRPr="006C7885" w:rsidRDefault="00D033F1" w:rsidP="006C7885">
      <w:pPr>
        <w:pStyle w:val="SPE-Texto"/>
        <w:rPr>
          <w:rFonts w:ascii="Arial" w:hAnsi="Arial" w:cs="Arial"/>
          <w:sz w:val="22"/>
          <w:szCs w:val="22"/>
        </w:rPr>
      </w:pPr>
      <w:r w:rsidRPr="006C7885">
        <w:rPr>
          <w:rFonts w:ascii="Arial" w:hAnsi="Arial" w:cs="Arial"/>
          <w:sz w:val="22"/>
          <w:szCs w:val="22"/>
        </w:rPr>
        <w:t>Os indicadores ambientais do Subprograma de Resgate da Fauna Silvestre são:</w:t>
      </w:r>
    </w:p>
    <w:p w:rsidR="00D033F1" w:rsidRPr="006C7885" w:rsidRDefault="00D033F1" w:rsidP="00492964">
      <w:pPr>
        <w:pStyle w:val="Item-Bolinha"/>
      </w:pPr>
      <w:r w:rsidRPr="006C7885">
        <w:t>Número de espécimes resgatados, por mês;</w:t>
      </w:r>
    </w:p>
    <w:p w:rsidR="00D033F1" w:rsidRPr="006C7885" w:rsidRDefault="00D033F1" w:rsidP="00492964">
      <w:pPr>
        <w:pStyle w:val="Item-Bolinha"/>
      </w:pPr>
      <w:r w:rsidRPr="006C7885">
        <w:t>Número de espécimes acidentados, por mês;</w:t>
      </w:r>
    </w:p>
    <w:p w:rsidR="00D033F1" w:rsidRPr="006C7885" w:rsidRDefault="00D033F1" w:rsidP="00492964">
      <w:pPr>
        <w:pStyle w:val="Item-Bolinha"/>
      </w:pPr>
      <w:r w:rsidRPr="006C7885">
        <w:t>Número de espécimes encaminhados ao CETAS, por mês;</w:t>
      </w:r>
    </w:p>
    <w:p w:rsidR="00D033F1" w:rsidRPr="006C7885" w:rsidRDefault="00D033F1" w:rsidP="00492964">
      <w:pPr>
        <w:pStyle w:val="Item-Bolinha"/>
      </w:pPr>
      <w:r w:rsidRPr="006C7885">
        <w:t>Número de espécimes soltos, por mês;</w:t>
      </w:r>
    </w:p>
    <w:p w:rsidR="00D033F1" w:rsidRDefault="00D033F1" w:rsidP="00492964">
      <w:pPr>
        <w:pStyle w:val="Item-Bolinha"/>
      </w:pPr>
      <w:r w:rsidRPr="006C7885">
        <w:t>Número de espécimes mortos encaminhados a instituições científicas, por mês.</w:t>
      </w:r>
    </w:p>
    <w:p w:rsidR="00D033F1" w:rsidRPr="006C7885" w:rsidRDefault="00492964" w:rsidP="00EF6B5D">
      <w:pPr>
        <w:spacing w:before="240" w:after="240" w:line="240" w:lineRule="auto"/>
        <w:rPr>
          <w:rFonts w:cs="Arial"/>
          <w:b/>
        </w:rPr>
      </w:pPr>
      <w:r>
        <w:rPr>
          <w:rFonts w:cs="Arial"/>
          <w:b/>
        </w:rPr>
        <w:t>b</w:t>
      </w:r>
      <w:r w:rsidR="001F268D">
        <w:rPr>
          <w:rFonts w:cs="Arial"/>
          <w:b/>
        </w:rPr>
        <w:t>.3.</w:t>
      </w:r>
      <w:r>
        <w:rPr>
          <w:rFonts w:cs="Arial"/>
          <w:b/>
        </w:rPr>
        <w:t>)</w:t>
      </w:r>
      <w:r w:rsidR="001F268D">
        <w:rPr>
          <w:rFonts w:cs="Arial"/>
          <w:b/>
        </w:rPr>
        <w:t xml:space="preserve"> </w:t>
      </w:r>
      <w:r w:rsidR="00D033F1" w:rsidRPr="006C7885">
        <w:rPr>
          <w:rFonts w:cs="Arial"/>
          <w:b/>
        </w:rPr>
        <w:t>Recursos materiais e humanos</w:t>
      </w:r>
    </w:p>
    <w:p w:rsidR="00D033F1" w:rsidRPr="006C7885" w:rsidRDefault="00D033F1" w:rsidP="007351D2">
      <w:pPr>
        <w:pStyle w:val="SPE-Texto"/>
        <w:spacing w:after="240"/>
        <w:rPr>
          <w:rFonts w:ascii="Arial" w:hAnsi="Arial" w:cs="Arial"/>
          <w:sz w:val="22"/>
          <w:szCs w:val="22"/>
        </w:rPr>
      </w:pPr>
      <w:r w:rsidRPr="006C7885">
        <w:rPr>
          <w:rFonts w:ascii="Arial" w:hAnsi="Arial" w:cs="Arial"/>
          <w:sz w:val="22"/>
          <w:szCs w:val="22"/>
        </w:rPr>
        <w:t>O Empreendedor deverá contratar os serviços de profissionais técnicos especializados em manejo de fauna (biólogos e médicos veterinários) para a execução das atividades preconizadas nesse programa. Os recursos materiais necessários para a execução serão disponibilizados pelo Empreendedor.</w:t>
      </w:r>
    </w:p>
    <w:p w:rsidR="00D033F1" w:rsidRPr="00A100B4" w:rsidRDefault="00492964" w:rsidP="007351D2">
      <w:pPr>
        <w:pStyle w:val="SPE-Texto"/>
        <w:rPr>
          <w:rFonts w:ascii="Arial" w:hAnsi="Arial" w:cs="Arial"/>
          <w:b/>
          <w:sz w:val="22"/>
          <w:szCs w:val="22"/>
        </w:rPr>
      </w:pPr>
      <w:r>
        <w:rPr>
          <w:rFonts w:ascii="Arial" w:hAnsi="Arial" w:cs="Arial"/>
          <w:b/>
          <w:sz w:val="22"/>
          <w:szCs w:val="22"/>
        </w:rPr>
        <w:t>c</w:t>
      </w:r>
      <w:r w:rsidR="007351D2">
        <w:rPr>
          <w:rFonts w:ascii="Arial" w:hAnsi="Arial" w:cs="Arial"/>
          <w:b/>
          <w:sz w:val="22"/>
          <w:szCs w:val="22"/>
        </w:rPr>
        <w:t xml:space="preserve">) </w:t>
      </w:r>
      <w:r w:rsidR="00D033F1" w:rsidRPr="00A100B4">
        <w:rPr>
          <w:rFonts w:ascii="Arial" w:hAnsi="Arial" w:cs="Arial"/>
          <w:b/>
          <w:sz w:val="22"/>
          <w:szCs w:val="22"/>
        </w:rPr>
        <w:t>Subprograma de Monitoramento dos Eventos de Atropelamento de Fauna</w:t>
      </w:r>
    </w:p>
    <w:p w:rsidR="00D033F1" w:rsidRPr="0036167C" w:rsidRDefault="00D033F1" w:rsidP="00D033F1">
      <w:pPr>
        <w:pStyle w:val="SPE-Texto"/>
        <w:rPr>
          <w:rFonts w:ascii="Arial" w:hAnsi="Arial" w:cs="Arial"/>
          <w:sz w:val="22"/>
          <w:szCs w:val="22"/>
        </w:rPr>
      </w:pPr>
      <w:r w:rsidRPr="0036167C">
        <w:rPr>
          <w:rFonts w:ascii="Arial" w:hAnsi="Arial" w:cs="Arial"/>
          <w:sz w:val="22"/>
          <w:szCs w:val="22"/>
        </w:rPr>
        <w:t>O Subprograma de Monitoramento dos Eventos de Atropelamento de Fauna será realizado nas estradas da</w:t>
      </w:r>
      <w:r>
        <w:rPr>
          <w:rFonts w:ascii="Arial" w:hAnsi="Arial" w:cs="Arial"/>
          <w:sz w:val="22"/>
          <w:szCs w:val="22"/>
        </w:rPr>
        <w:t>s</w:t>
      </w:r>
      <w:r w:rsidRPr="0036167C">
        <w:rPr>
          <w:rFonts w:ascii="Arial" w:hAnsi="Arial" w:cs="Arial"/>
          <w:sz w:val="22"/>
          <w:szCs w:val="22"/>
        </w:rPr>
        <w:t xml:space="preserve"> AID</w:t>
      </w:r>
      <w:r>
        <w:rPr>
          <w:rFonts w:ascii="Arial" w:hAnsi="Arial" w:cs="Arial"/>
          <w:sz w:val="22"/>
          <w:szCs w:val="22"/>
        </w:rPr>
        <w:t>s</w:t>
      </w:r>
      <w:r w:rsidRPr="0036167C">
        <w:rPr>
          <w:rFonts w:ascii="Arial" w:hAnsi="Arial" w:cs="Arial"/>
          <w:sz w:val="22"/>
          <w:szCs w:val="22"/>
        </w:rPr>
        <w:t xml:space="preserve"> </w:t>
      </w:r>
      <w:r w:rsidR="008C15C3">
        <w:rPr>
          <w:rFonts w:ascii="Arial" w:hAnsi="Arial" w:cs="Arial"/>
          <w:sz w:val="22"/>
          <w:szCs w:val="22"/>
        </w:rPr>
        <w:t xml:space="preserve">das barragens </w:t>
      </w:r>
      <w:r>
        <w:rPr>
          <w:rFonts w:ascii="Arial" w:hAnsi="Arial" w:cs="Arial"/>
          <w:sz w:val="22"/>
          <w:szCs w:val="22"/>
        </w:rPr>
        <w:t>Pedreira e Duas Pontes</w:t>
      </w:r>
      <w:r w:rsidRPr="0036167C">
        <w:rPr>
          <w:rFonts w:ascii="Arial" w:hAnsi="Arial" w:cs="Arial"/>
          <w:sz w:val="22"/>
          <w:szCs w:val="22"/>
        </w:rPr>
        <w:t xml:space="preserve"> que serão utilizadas para o transporte de trabalhadores, material de construção, e produtos, durante a fase de implantação. Todos os grupos de vertebrados terrestres serão contemplados neste monitoramento (avifauna, mastofauna e herpetofauna).</w:t>
      </w:r>
    </w:p>
    <w:p w:rsidR="00D033F1" w:rsidRPr="006C7885" w:rsidRDefault="00492964" w:rsidP="007351D2">
      <w:pPr>
        <w:pStyle w:val="SPE-Texto"/>
        <w:rPr>
          <w:rFonts w:ascii="Arial" w:hAnsi="Arial" w:cs="Arial"/>
          <w:b/>
          <w:sz w:val="22"/>
          <w:szCs w:val="22"/>
        </w:rPr>
      </w:pPr>
      <w:r>
        <w:rPr>
          <w:rFonts w:ascii="Arial" w:hAnsi="Arial" w:cs="Arial"/>
          <w:b/>
          <w:sz w:val="22"/>
          <w:szCs w:val="22"/>
        </w:rPr>
        <w:t>c</w:t>
      </w:r>
      <w:r w:rsidR="007351D2">
        <w:rPr>
          <w:rFonts w:ascii="Arial" w:hAnsi="Arial" w:cs="Arial"/>
          <w:b/>
          <w:sz w:val="22"/>
          <w:szCs w:val="22"/>
        </w:rPr>
        <w:t>.1.</w:t>
      </w:r>
      <w:r>
        <w:rPr>
          <w:rFonts w:ascii="Arial" w:hAnsi="Arial" w:cs="Arial"/>
          <w:b/>
          <w:sz w:val="22"/>
          <w:szCs w:val="22"/>
        </w:rPr>
        <w:t>)</w:t>
      </w:r>
      <w:r w:rsidR="007351D2">
        <w:rPr>
          <w:rFonts w:ascii="Arial" w:hAnsi="Arial" w:cs="Arial"/>
          <w:b/>
          <w:sz w:val="22"/>
          <w:szCs w:val="22"/>
        </w:rPr>
        <w:t xml:space="preserve"> </w:t>
      </w:r>
      <w:r w:rsidR="00D033F1" w:rsidRPr="006C7885">
        <w:rPr>
          <w:rFonts w:ascii="Arial" w:hAnsi="Arial" w:cs="Arial"/>
          <w:b/>
          <w:sz w:val="22"/>
          <w:szCs w:val="22"/>
        </w:rPr>
        <w:t>Métodos e descrição do programa (procedimentos)</w:t>
      </w:r>
    </w:p>
    <w:p w:rsidR="00D033F1" w:rsidRPr="006C7885" w:rsidRDefault="00D033F1" w:rsidP="006C7885">
      <w:pPr>
        <w:spacing w:line="240" w:lineRule="auto"/>
        <w:rPr>
          <w:rFonts w:cs="Arial"/>
          <w:b/>
        </w:rPr>
      </w:pPr>
      <w:r w:rsidRPr="006C7885">
        <w:rPr>
          <w:rFonts w:cs="Arial"/>
          <w:b/>
        </w:rPr>
        <w:t>a) Métodos</w:t>
      </w:r>
    </w:p>
    <w:p w:rsidR="00D033F1" w:rsidRPr="006C7885" w:rsidRDefault="00D033F1" w:rsidP="006C7885">
      <w:pPr>
        <w:pStyle w:val="SPE-Texto"/>
        <w:rPr>
          <w:rFonts w:ascii="Arial" w:hAnsi="Arial" w:cs="Arial"/>
          <w:sz w:val="22"/>
          <w:szCs w:val="22"/>
        </w:rPr>
      </w:pPr>
      <w:r w:rsidRPr="006C7885">
        <w:rPr>
          <w:rFonts w:ascii="Arial" w:hAnsi="Arial" w:cs="Arial"/>
          <w:sz w:val="22"/>
          <w:szCs w:val="22"/>
        </w:rPr>
        <w:t>Para o monitoramento dos eventos de atropelamento de fauna sugere-se a utilização do método de transectos com veículos, conforme descrito a seguir.</w:t>
      </w:r>
    </w:p>
    <w:p w:rsidR="00D033F1" w:rsidRPr="0036167C" w:rsidRDefault="00D033F1" w:rsidP="00492964">
      <w:pPr>
        <w:pStyle w:val="Item-Bolinha"/>
      </w:pPr>
      <w:r w:rsidRPr="006C7885">
        <w:rPr>
          <w:b/>
        </w:rPr>
        <w:t>Transectos com veículos</w:t>
      </w:r>
      <w:r w:rsidRPr="0036167C">
        <w:t xml:space="preserve"> – As principais vias de tráfego serão percorridas com periodicidade mensal de modo a registrar as eventuais ocorrências de atropelamento de fauna. Todos os espécimes encontrados deverão ser registrados em ficha padronizada, conforme modelo apresentado a seguir, de modo a facilitar a sistematização das informações. Cada evento registrado deverá ser acompanhado das seguintes informações: espécie (nome popular), local, coordenadas geográficas, data e, se possível, um registro fotográfico do espécime.</w:t>
      </w:r>
    </w:p>
    <w:p w:rsidR="00D033F1" w:rsidRDefault="00D033F1" w:rsidP="006C7885">
      <w:pPr>
        <w:pStyle w:val="SPE-Texto"/>
        <w:rPr>
          <w:rFonts w:ascii="Arial" w:hAnsi="Arial" w:cs="Arial"/>
          <w:sz w:val="22"/>
          <w:szCs w:val="22"/>
        </w:rPr>
      </w:pPr>
      <w:r w:rsidRPr="00623CE0">
        <w:rPr>
          <w:rFonts w:ascii="Arial" w:hAnsi="Arial" w:cs="Arial"/>
          <w:sz w:val="22"/>
          <w:szCs w:val="22"/>
        </w:rPr>
        <w:t>Modelo para Ficha de Registro de Animais Atropelados, apresentada no Quadro 3.</w:t>
      </w:r>
      <w:r w:rsidR="00492964" w:rsidRPr="00623CE0">
        <w:rPr>
          <w:rFonts w:ascii="Arial" w:hAnsi="Arial" w:cs="Arial"/>
          <w:sz w:val="22"/>
          <w:szCs w:val="22"/>
        </w:rPr>
        <w:t>4.</w:t>
      </w:r>
      <w:r w:rsidR="00B04DAB" w:rsidRPr="00623CE0">
        <w:rPr>
          <w:rFonts w:ascii="Arial" w:hAnsi="Arial" w:cs="Arial"/>
          <w:sz w:val="22"/>
          <w:szCs w:val="22"/>
        </w:rPr>
        <w:t>3</w:t>
      </w:r>
      <w:r w:rsidRPr="00623CE0">
        <w:rPr>
          <w:rFonts w:ascii="Arial" w:hAnsi="Arial" w:cs="Arial"/>
          <w:sz w:val="22"/>
          <w:szCs w:val="22"/>
        </w:rPr>
        <w:t>, a seguir:</w:t>
      </w:r>
    </w:p>
    <w:p w:rsidR="00D033F1" w:rsidRPr="00B04DAB" w:rsidRDefault="00B04DAB" w:rsidP="00B04DAB">
      <w:pPr>
        <w:pStyle w:val="Legenda"/>
        <w:jc w:val="center"/>
        <w:rPr>
          <w:rFonts w:cs="Arial"/>
          <w:b w:val="0"/>
          <w:i w:val="0"/>
        </w:rPr>
      </w:pPr>
      <w:r w:rsidRPr="00B04DAB">
        <w:rPr>
          <w:i w:val="0"/>
        </w:rPr>
        <w:t>Quadro 3.4.</w:t>
      </w:r>
      <w:r w:rsidR="00B80A05" w:rsidRPr="00B04DAB">
        <w:rPr>
          <w:i w:val="0"/>
        </w:rPr>
        <w:fldChar w:fldCharType="begin"/>
      </w:r>
      <w:r w:rsidRPr="00B04DAB">
        <w:rPr>
          <w:i w:val="0"/>
        </w:rPr>
        <w:instrText xml:space="preserve"> SEQ Quadro_3.4. \* ARABIC </w:instrText>
      </w:r>
      <w:r w:rsidR="00B80A05" w:rsidRPr="00B04DAB">
        <w:rPr>
          <w:i w:val="0"/>
        </w:rPr>
        <w:fldChar w:fldCharType="separate"/>
      </w:r>
      <w:r w:rsidR="00316060">
        <w:rPr>
          <w:i w:val="0"/>
          <w:noProof/>
        </w:rPr>
        <w:t>10</w:t>
      </w:r>
      <w:r w:rsidR="00B80A05" w:rsidRPr="00B04DAB">
        <w:rPr>
          <w:i w:val="0"/>
        </w:rPr>
        <w:fldChar w:fldCharType="end"/>
      </w:r>
      <w:r w:rsidRPr="00B04DAB">
        <w:rPr>
          <w:i w:val="0"/>
        </w:rPr>
        <w:t>.</w:t>
      </w:r>
      <w:r w:rsidRPr="00B04DAB">
        <w:rPr>
          <w:b w:val="0"/>
          <w:i w:val="0"/>
        </w:rPr>
        <w:t xml:space="preserve"> - </w:t>
      </w:r>
      <w:r w:rsidR="00D033F1" w:rsidRPr="00B04DAB">
        <w:rPr>
          <w:rFonts w:cs="Arial"/>
          <w:b w:val="0"/>
          <w:i w:val="0"/>
        </w:rPr>
        <w:t>Modelo para Ficha de Registro de Animais Atropelados.</w:t>
      </w:r>
    </w:p>
    <w:tbl>
      <w:tblPr>
        <w:tblW w:w="69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38"/>
        <w:gridCol w:w="1119"/>
        <w:gridCol w:w="1149"/>
        <w:gridCol w:w="1276"/>
        <w:gridCol w:w="1559"/>
      </w:tblGrid>
      <w:tr w:rsidR="00D033F1" w:rsidRPr="009423BE" w:rsidTr="00492964">
        <w:trPr>
          <w:trHeight w:val="128"/>
          <w:jc w:val="center"/>
        </w:trPr>
        <w:tc>
          <w:tcPr>
            <w:tcW w:w="1838" w:type="dxa"/>
            <w:shd w:val="clear" w:color="auto" w:fill="D9D9D9" w:themeFill="background1" w:themeFillShade="D9"/>
            <w:vAlign w:val="center"/>
          </w:tcPr>
          <w:p w:rsidR="00D033F1" w:rsidRPr="009423BE" w:rsidRDefault="00D033F1" w:rsidP="001629A9">
            <w:pPr>
              <w:rPr>
                <w:rFonts w:cs="Arial"/>
                <w:b/>
                <w:sz w:val="20"/>
              </w:rPr>
            </w:pPr>
            <w:r w:rsidRPr="009423BE">
              <w:rPr>
                <w:rFonts w:cs="Arial"/>
                <w:b/>
                <w:i/>
                <w:caps/>
                <w:sz w:val="20"/>
              </w:rPr>
              <w:br w:type="page"/>
            </w:r>
            <w:r w:rsidRPr="009423BE">
              <w:rPr>
                <w:rFonts w:cs="Arial"/>
                <w:sz w:val="20"/>
              </w:rPr>
              <w:br w:type="page"/>
            </w:r>
            <w:r w:rsidRPr="009423BE">
              <w:rPr>
                <w:rFonts w:cs="Arial"/>
                <w:b/>
                <w:i/>
                <w:caps/>
                <w:sz w:val="20"/>
              </w:rPr>
              <w:br w:type="page"/>
            </w:r>
            <w:r w:rsidRPr="009423BE">
              <w:rPr>
                <w:rFonts w:cs="Arial"/>
                <w:b/>
                <w:sz w:val="20"/>
              </w:rPr>
              <w:t>Responsável</w:t>
            </w:r>
          </w:p>
        </w:tc>
        <w:tc>
          <w:tcPr>
            <w:tcW w:w="5103" w:type="dxa"/>
            <w:gridSpan w:val="4"/>
            <w:shd w:val="clear" w:color="auto" w:fill="D9D9D9" w:themeFill="background1" w:themeFillShade="D9"/>
            <w:vAlign w:val="center"/>
          </w:tcPr>
          <w:p w:rsidR="00D033F1" w:rsidRPr="009423BE" w:rsidRDefault="00D033F1" w:rsidP="001629A9">
            <w:pPr>
              <w:rPr>
                <w:rFonts w:cs="Arial"/>
                <w:b/>
                <w:sz w:val="20"/>
              </w:rPr>
            </w:pPr>
          </w:p>
        </w:tc>
      </w:tr>
      <w:tr w:rsidR="00623CE0" w:rsidRPr="009423BE" w:rsidTr="001629A9">
        <w:trPr>
          <w:trHeight w:val="251"/>
          <w:jc w:val="center"/>
        </w:trPr>
        <w:tc>
          <w:tcPr>
            <w:tcW w:w="1838" w:type="dxa"/>
            <w:vMerge w:val="restart"/>
            <w:vAlign w:val="center"/>
          </w:tcPr>
          <w:p w:rsidR="00623CE0" w:rsidRPr="009423BE" w:rsidRDefault="00623CE0" w:rsidP="001629A9">
            <w:pPr>
              <w:rPr>
                <w:rFonts w:cs="Arial"/>
                <w:b/>
                <w:sz w:val="20"/>
              </w:rPr>
            </w:pPr>
            <w:r w:rsidRPr="009423BE">
              <w:rPr>
                <w:rFonts w:cs="Arial"/>
                <w:b/>
                <w:sz w:val="20"/>
              </w:rPr>
              <w:t>Espécie</w:t>
            </w:r>
          </w:p>
        </w:tc>
        <w:tc>
          <w:tcPr>
            <w:tcW w:w="1119" w:type="dxa"/>
            <w:vMerge w:val="restart"/>
            <w:vAlign w:val="center"/>
          </w:tcPr>
          <w:p w:rsidR="00623CE0" w:rsidRPr="009423BE" w:rsidRDefault="00623CE0" w:rsidP="001629A9">
            <w:pPr>
              <w:rPr>
                <w:rFonts w:cs="Arial"/>
                <w:b/>
                <w:sz w:val="20"/>
              </w:rPr>
            </w:pPr>
            <w:r w:rsidRPr="009423BE">
              <w:rPr>
                <w:rFonts w:cs="Arial"/>
                <w:b/>
                <w:sz w:val="20"/>
              </w:rPr>
              <w:t>Local</w:t>
            </w:r>
          </w:p>
        </w:tc>
        <w:tc>
          <w:tcPr>
            <w:tcW w:w="2425" w:type="dxa"/>
            <w:gridSpan w:val="2"/>
            <w:vAlign w:val="center"/>
          </w:tcPr>
          <w:p w:rsidR="00623CE0" w:rsidRPr="009423BE" w:rsidRDefault="00623CE0" w:rsidP="001629A9">
            <w:pPr>
              <w:rPr>
                <w:rFonts w:cs="Arial"/>
                <w:b/>
                <w:sz w:val="20"/>
              </w:rPr>
            </w:pPr>
            <w:r w:rsidRPr="009423BE">
              <w:rPr>
                <w:rFonts w:cs="Arial"/>
                <w:b/>
                <w:sz w:val="20"/>
              </w:rPr>
              <w:t>Coordenadas Geográficas</w:t>
            </w:r>
          </w:p>
        </w:tc>
        <w:tc>
          <w:tcPr>
            <w:tcW w:w="1559" w:type="dxa"/>
            <w:vMerge w:val="restart"/>
            <w:vAlign w:val="center"/>
          </w:tcPr>
          <w:p w:rsidR="00623CE0" w:rsidRPr="009423BE" w:rsidRDefault="00623CE0" w:rsidP="001629A9">
            <w:pPr>
              <w:rPr>
                <w:rFonts w:cs="Arial"/>
                <w:b/>
                <w:sz w:val="20"/>
              </w:rPr>
            </w:pPr>
            <w:r w:rsidRPr="009423BE">
              <w:rPr>
                <w:rFonts w:cs="Arial"/>
                <w:b/>
                <w:sz w:val="20"/>
              </w:rPr>
              <w:t>Data</w:t>
            </w:r>
          </w:p>
        </w:tc>
      </w:tr>
      <w:tr w:rsidR="00623CE0" w:rsidRPr="009423BE" w:rsidTr="00623CE0">
        <w:trPr>
          <w:trHeight w:val="623"/>
          <w:jc w:val="center"/>
        </w:trPr>
        <w:tc>
          <w:tcPr>
            <w:tcW w:w="1838" w:type="dxa"/>
            <w:vMerge/>
            <w:tcBorders>
              <w:bottom w:val="single" w:sz="4" w:space="0" w:color="auto"/>
            </w:tcBorders>
            <w:vAlign w:val="center"/>
          </w:tcPr>
          <w:p w:rsidR="00623CE0" w:rsidRPr="009423BE" w:rsidRDefault="00623CE0" w:rsidP="001629A9">
            <w:pPr>
              <w:rPr>
                <w:rFonts w:cs="Arial"/>
                <w:sz w:val="20"/>
              </w:rPr>
            </w:pPr>
          </w:p>
        </w:tc>
        <w:tc>
          <w:tcPr>
            <w:tcW w:w="1119" w:type="dxa"/>
            <w:vMerge/>
            <w:tcBorders>
              <w:bottom w:val="single" w:sz="4" w:space="0" w:color="auto"/>
            </w:tcBorders>
            <w:vAlign w:val="center"/>
          </w:tcPr>
          <w:p w:rsidR="00623CE0" w:rsidRPr="009423BE" w:rsidRDefault="00623CE0" w:rsidP="001629A9">
            <w:pPr>
              <w:rPr>
                <w:rFonts w:cs="Arial"/>
                <w:sz w:val="20"/>
              </w:rPr>
            </w:pPr>
          </w:p>
        </w:tc>
        <w:tc>
          <w:tcPr>
            <w:tcW w:w="1149" w:type="dxa"/>
            <w:tcBorders>
              <w:bottom w:val="single" w:sz="4" w:space="0" w:color="auto"/>
            </w:tcBorders>
            <w:vAlign w:val="center"/>
          </w:tcPr>
          <w:p w:rsidR="00623CE0" w:rsidRPr="009423BE" w:rsidRDefault="00623CE0" w:rsidP="001629A9">
            <w:pPr>
              <w:rPr>
                <w:rFonts w:cs="Arial"/>
                <w:b/>
                <w:sz w:val="20"/>
              </w:rPr>
            </w:pPr>
            <w:r w:rsidRPr="009423BE">
              <w:rPr>
                <w:rFonts w:cs="Arial"/>
                <w:b/>
                <w:sz w:val="20"/>
              </w:rPr>
              <w:t>Latitude</w:t>
            </w:r>
          </w:p>
        </w:tc>
        <w:tc>
          <w:tcPr>
            <w:tcW w:w="1276" w:type="dxa"/>
            <w:tcBorders>
              <w:bottom w:val="single" w:sz="4" w:space="0" w:color="auto"/>
            </w:tcBorders>
            <w:vAlign w:val="center"/>
          </w:tcPr>
          <w:p w:rsidR="00623CE0" w:rsidRPr="009423BE" w:rsidRDefault="00623CE0" w:rsidP="001629A9">
            <w:pPr>
              <w:rPr>
                <w:rFonts w:cs="Arial"/>
                <w:b/>
                <w:sz w:val="20"/>
              </w:rPr>
            </w:pPr>
            <w:r w:rsidRPr="009423BE">
              <w:rPr>
                <w:rFonts w:cs="Arial"/>
                <w:b/>
                <w:sz w:val="20"/>
              </w:rPr>
              <w:t>Longitude</w:t>
            </w:r>
          </w:p>
        </w:tc>
        <w:tc>
          <w:tcPr>
            <w:tcW w:w="1559" w:type="dxa"/>
            <w:vMerge/>
            <w:tcBorders>
              <w:bottom w:val="single" w:sz="4" w:space="0" w:color="auto"/>
            </w:tcBorders>
            <w:vAlign w:val="center"/>
          </w:tcPr>
          <w:p w:rsidR="00623CE0" w:rsidRPr="009423BE" w:rsidRDefault="00623CE0" w:rsidP="001629A9">
            <w:pPr>
              <w:rPr>
                <w:rFonts w:cs="Arial"/>
                <w:sz w:val="20"/>
              </w:rPr>
            </w:pPr>
          </w:p>
        </w:tc>
      </w:tr>
      <w:tr w:rsidR="00D033F1" w:rsidRPr="009423BE" w:rsidTr="001629A9">
        <w:trPr>
          <w:trHeight w:val="331"/>
          <w:jc w:val="center"/>
        </w:trPr>
        <w:tc>
          <w:tcPr>
            <w:tcW w:w="6941" w:type="dxa"/>
            <w:gridSpan w:val="5"/>
            <w:vAlign w:val="center"/>
          </w:tcPr>
          <w:p w:rsidR="00623CE0" w:rsidRDefault="00623CE0" w:rsidP="001629A9">
            <w:pPr>
              <w:rPr>
                <w:rFonts w:cs="Arial"/>
                <w:b/>
                <w:sz w:val="20"/>
              </w:rPr>
            </w:pPr>
          </w:p>
          <w:p w:rsidR="00D033F1" w:rsidRPr="009423BE" w:rsidRDefault="00D033F1" w:rsidP="001629A9">
            <w:pPr>
              <w:rPr>
                <w:rFonts w:cs="Arial"/>
                <w:b/>
                <w:sz w:val="20"/>
              </w:rPr>
            </w:pPr>
            <w:r w:rsidRPr="009423BE">
              <w:rPr>
                <w:rFonts w:cs="Arial"/>
                <w:b/>
                <w:sz w:val="20"/>
              </w:rPr>
              <w:t>Registro Fotográfico</w:t>
            </w:r>
          </w:p>
          <w:p w:rsidR="00D033F1" w:rsidRDefault="00D033F1" w:rsidP="001629A9">
            <w:pPr>
              <w:rPr>
                <w:rFonts w:cs="Arial"/>
                <w:sz w:val="20"/>
              </w:rPr>
            </w:pPr>
          </w:p>
          <w:p w:rsidR="006C7885" w:rsidRPr="009423BE" w:rsidRDefault="006C7885" w:rsidP="001629A9">
            <w:pPr>
              <w:rPr>
                <w:rFonts w:cs="Arial"/>
                <w:sz w:val="20"/>
              </w:rPr>
            </w:pPr>
          </w:p>
          <w:p w:rsidR="00D033F1" w:rsidRPr="009423BE" w:rsidRDefault="00D033F1" w:rsidP="001629A9">
            <w:pPr>
              <w:rPr>
                <w:rFonts w:cs="Arial"/>
                <w:sz w:val="20"/>
              </w:rPr>
            </w:pPr>
          </w:p>
        </w:tc>
      </w:tr>
      <w:tr w:rsidR="00D033F1" w:rsidRPr="009423BE" w:rsidTr="001629A9">
        <w:trPr>
          <w:trHeight w:val="131"/>
          <w:jc w:val="center"/>
        </w:trPr>
        <w:tc>
          <w:tcPr>
            <w:tcW w:w="1838" w:type="dxa"/>
            <w:vAlign w:val="center"/>
          </w:tcPr>
          <w:p w:rsidR="00D033F1" w:rsidRPr="009423BE" w:rsidRDefault="00D033F1" w:rsidP="001629A9">
            <w:pPr>
              <w:rPr>
                <w:rFonts w:cs="Arial"/>
                <w:b/>
                <w:sz w:val="20"/>
              </w:rPr>
            </w:pPr>
            <w:r w:rsidRPr="009423BE">
              <w:rPr>
                <w:rFonts w:cs="Arial"/>
                <w:b/>
                <w:sz w:val="20"/>
              </w:rPr>
              <w:t>Observações</w:t>
            </w:r>
          </w:p>
        </w:tc>
        <w:tc>
          <w:tcPr>
            <w:tcW w:w="5103" w:type="dxa"/>
            <w:gridSpan w:val="4"/>
            <w:vAlign w:val="center"/>
          </w:tcPr>
          <w:p w:rsidR="00D033F1" w:rsidRPr="009423BE" w:rsidRDefault="00D033F1" w:rsidP="001629A9">
            <w:pPr>
              <w:rPr>
                <w:rFonts w:cs="Arial"/>
                <w:sz w:val="20"/>
              </w:rPr>
            </w:pPr>
          </w:p>
        </w:tc>
      </w:tr>
    </w:tbl>
    <w:p w:rsidR="00D033F1" w:rsidRPr="0036167C" w:rsidRDefault="00D033F1" w:rsidP="00D033F1">
      <w:pPr>
        <w:rPr>
          <w:rFonts w:cs="Arial"/>
        </w:rPr>
      </w:pPr>
    </w:p>
    <w:p w:rsidR="00D033F1" w:rsidRPr="006C7885" w:rsidRDefault="00D033F1" w:rsidP="006C7885">
      <w:pPr>
        <w:spacing w:line="240" w:lineRule="auto"/>
        <w:rPr>
          <w:rFonts w:cs="Arial"/>
          <w:b/>
        </w:rPr>
      </w:pPr>
      <w:r w:rsidRPr="006C7885">
        <w:rPr>
          <w:rFonts w:cs="Arial"/>
          <w:b/>
        </w:rPr>
        <w:t>b) Análises</w:t>
      </w:r>
    </w:p>
    <w:p w:rsidR="00967581" w:rsidRPr="00967581" w:rsidRDefault="00D033F1" w:rsidP="006C7885">
      <w:pPr>
        <w:pStyle w:val="SPE-Texto"/>
        <w:rPr>
          <w:rFonts w:ascii="Arial" w:hAnsi="Arial" w:cs="Arial"/>
          <w:sz w:val="22"/>
          <w:szCs w:val="22"/>
        </w:rPr>
      </w:pPr>
      <w:r w:rsidRPr="006C7885">
        <w:rPr>
          <w:rFonts w:ascii="Arial" w:hAnsi="Arial" w:cs="Arial"/>
          <w:sz w:val="22"/>
          <w:szCs w:val="22"/>
        </w:rPr>
        <w:t xml:space="preserve">Esses registros deverão ser inseridos em um banco de dados </w:t>
      </w:r>
      <w:r w:rsidR="00544DE1" w:rsidRPr="006C7885">
        <w:rPr>
          <w:rFonts w:ascii="Arial" w:hAnsi="Arial" w:cs="Arial"/>
          <w:sz w:val="22"/>
          <w:szCs w:val="22"/>
        </w:rPr>
        <w:t>georreferenciado</w:t>
      </w:r>
      <w:r w:rsidRPr="006C7885">
        <w:rPr>
          <w:rFonts w:ascii="Arial" w:hAnsi="Arial" w:cs="Arial"/>
          <w:sz w:val="22"/>
          <w:szCs w:val="22"/>
        </w:rPr>
        <w:t xml:space="preserve"> de modo que seja possível a identificação de eventuais padrões espaço-temporais de ocorrência desse tipo de evento.</w:t>
      </w:r>
    </w:p>
    <w:p w:rsidR="00D033F1" w:rsidRPr="006C7885" w:rsidRDefault="00492964" w:rsidP="00492964">
      <w:pPr>
        <w:pStyle w:val="SPE-Texto"/>
        <w:spacing w:before="240" w:after="240"/>
        <w:rPr>
          <w:rFonts w:ascii="Arial" w:hAnsi="Arial" w:cs="Arial"/>
          <w:b/>
          <w:sz w:val="22"/>
          <w:szCs w:val="22"/>
        </w:rPr>
      </w:pPr>
      <w:r>
        <w:rPr>
          <w:rFonts w:ascii="Arial" w:hAnsi="Arial" w:cs="Arial"/>
          <w:b/>
          <w:sz w:val="22"/>
          <w:szCs w:val="22"/>
        </w:rPr>
        <w:t>c</w:t>
      </w:r>
      <w:r w:rsidR="007351D2">
        <w:rPr>
          <w:rFonts w:ascii="Arial" w:hAnsi="Arial" w:cs="Arial"/>
          <w:b/>
          <w:sz w:val="22"/>
          <w:szCs w:val="22"/>
        </w:rPr>
        <w:t>.2.</w:t>
      </w:r>
      <w:r>
        <w:rPr>
          <w:rFonts w:ascii="Arial" w:hAnsi="Arial" w:cs="Arial"/>
          <w:b/>
          <w:sz w:val="22"/>
          <w:szCs w:val="22"/>
        </w:rPr>
        <w:t>)</w:t>
      </w:r>
      <w:r w:rsidR="007351D2">
        <w:rPr>
          <w:rFonts w:ascii="Arial" w:hAnsi="Arial" w:cs="Arial"/>
          <w:b/>
          <w:sz w:val="22"/>
          <w:szCs w:val="22"/>
        </w:rPr>
        <w:t xml:space="preserve"> </w:t>
      </w:r>
      <w:r w:rsidR="00D033F1" w:rsidRPr="006C7885">
        <w:rPr>
          <w:rFonts w:ascii="Arial" w:hAnsi="Arial" w:cs="Arial"/>
          <w:b/>
          <w:sz w:val="22"/>
          <w:szCs w:val="22"/>
        </w:rPr>
        <w:t>Indicadores Ambientais</w:t>
      </w:r>
    </w:p>
    <w:p w:rsidR="00D033F1" w:rsidRPr="006C7885" w:rsidRDefault="00D033F1" w:rsidP="006C7885">
      <w:pPr>
        <w:pStyle w:val="SPE-Texto"/>
        <w:rPr>
          <w:rFonts w:ascii="Arial" w:hAnsi="Arial" w:cs="Arial"/>
          <w:sz w:val="22"/>
          <w:szCs w:val="22"/>
        </w:rPr>
      </w:pPr>
      <w:r w:rsidRPr="006C7885">
        <w:rPr>
          <w:rFonts w:ascii="Arial" w:hAnsi="Arial" w:cs="Arial"/>
          <w:sz w:val="22"/>
          <w:szCs w:val="22"/>
        </w:rPr>
        <w:t>Os indicadores ambientais do Subprograma de Monitoramento dos Eventos de Atropelamento de Fauna são:</w:t>
      </w:r>
    </w:p>
    <w:p w:rsidR="00D033F1" w:rsidRPr="006C7885" w:rsidRDefault="00D033F1" w:rsidP="00492964">
      <w:pPr>
        <w:pStyle w:val="Item-Bolinha"/>
      </w:pPr>
      <w:r w:rsidRPr="006C7885">
        <w:t>Número de espécies identificadas por mês;</w:t>
      </w:r>
    </w:p>
    <w:p w:rsidR="00D033F1" w:rsidRPr="006C7885" w:rsidRDefault="00D033F1" w:rsidP="00492964">
      <w:pPr>
        <w:pStyle w:val="Item-Bolinha"/>
      </w:pPr>
      <w:r w:rsidRPr="006C7885">
        <w:t>Número de indivíduos registrados por mês; e</w:t>
      </w:r>
    </w:p>
    <w:p w:rsidR="006C7885" w:rsidRPr="006C7885" w:rsidRDefault="00D033F1" w:rsidP="00492964">
      <w:pPr>
        <w:pStyle w:val="Item-Bolinha"/>
      </w:pPr>
      <w:r w:rsidRPr="006C7885">
        <w:t>Número de registros por km percorrido.</w:t>
      </w:r>
    </w:p>
    <w:p w:rsidR="00D033F1" w:rsidRPr="006C7885" w:rsidRDefault="00623CE0" w:rsidP="007351D2">
      <w:pPr>
        <w:pStyle w:val="SPE-Texto"/>
        <w:rPr>
          <w:rFonts w:ascii="Arial" w:hAnsi="Arial" w:cs="Arial"/>
          <w:b/>
          <w:sz w:val="22"/>
          <w:szCs w:val="22"/>
        </w:rPr>
      </w:pPr>
      <w:r>
        <w:rPr>
          <w:rFonts w:ascii="Arial" w:hAnsi="Arial" w:cs="Arial"/>
          <w:b/>
          <w:sz w:val="22"/>
          <w:szCs w:val="22"/>
        </w:rPr>
        <w:t>c</w:t>
      </w:r>
      <w:r w:rsidR="007351D2">
        <w:rPr>
          <w:rFonts w:ascii="Arial" w:hAnsi="Arial" w:cs="Arial"/>
          <w:b/>
          <w:sz w:val="22"/>
          <w:szCs w:val="22"/>
        </w:rPr>
        <w:t>.3.</w:t>
      </w:r>
      <w:r>
        <w:rPr>
          <w:rFonts w:ascii="Arial" w:hAnsi="Arial" w:cs="Arial"/>
          <w:b/>
          <w:sz w:val="22"/>
          <w:szCs w:val="22"/>
        </w:rPr>
        <w:t>)</w:t>
      </w:r>
      <w:r w:rsidR="007351D2">
        <w:rPr>
          <w:rFonts w:ascii="Arial" w:hAnsi="Arial" w:cs="Arial"/>
          <w:b/>
          <w:sz w:val="22"/>
          <w:szCs w:val="22"/>
        </w:rPr>
        <w:t xml:space="preserve"> </w:t>
      </w:r>
      <w:r w:rsidR="00D033F1" w:rsidRPr="006C7885">
        <w:rPr>
          <w:rFonts w:ascii="Arial" w:hAnsi="Arial" w:cs="Arial"/>
          <w:b/>
          <w:sz w:val="22"/>
          <w:szCs w:val="22"/>
        </w:rPr>
        <w:t>Recursos Materiais e Humanos</w:t>
      </w:r>
    </w:p>
    <w:p w:rsidR="00D033F1" w:rsidRDefault="00D033F1" w:rsidP="006C7885">
      <w:pPr>
        <w:pStyle w:val="SPE-Texto"/>
        <w:rPr>
          <w:rFonts w:cs="Arial"/>
          <w:b/>
        </w:rPr>
      </w:pPr>
      <w:r w:rsidRPr="006C7885">
        <w:rPr>
          <w:rFonts w:ascii="Arial" w:hAnsi="Arial" w:cs="Arial"/>
          <w:sz w:val="22"/>
          <w:szCs w:val="22"/>
        </w:rPr>
        <w:t>Para a implementação do Subprograma de Monitoramento de Eventos de Atropelamento de Animais Silvestres será necessária a contratação/treinamento de profissional(is) para a realização dos registros, além de equipamentos (ex. veículo, computador, GPS e câmera fotográfica) para a obtenção e armazenamento dos dados.</w:t>
      </w:r>
    </w:p>
    <w:p w:rsidR="00D033F1" w:rsidRPr="008C32BC" w:rsidRDefault="00D033F1" w:rsidP="00431A97">
      <w:pPr>
        <w:pStyle w:val="Ttulo3"/>
        <w:numPr>
          <w:ilvl w:val="3"/>
          <w:numId w:val="84"/>
        </w:numPr>
        <w:rPr>
          <w:rFonts w:ascii="Arial Negrito" w:hAnsi="Arial Negrito"/>
          <w:bCs/>
        </w:rPr>
      </w:pPr>
      <w:bookmarkStart w:id="1160" w:name="_Toc418758463"/>
      <w:bookmarkStart w:id="1161" w:name="_Toc418759065"/>
      <w:bookmarkStart w:id="1162" w:name="_Toc419813837"/>
      <w:r w:rsidRPr="008C32BC">
        <w:rPr>
          <w:rFonts w:ascii="Arial Negrito" w:hAnsi="Arial Negrito"/>
          <w:bCs/>
        </w:rPr>
        <w:t>Atendimento a Requisitos Legais e/ou Outros Requisitos</w:t>
      </w:r>
      <w:bookmarkEnd w:id="1160"/>
      <w:bookmarkEnd w:id="1161"/>
      <w:bookmarkEnd w:id="1162"/>
    </w:p>
    <w:p w:rsidR="00D033F1" w:rsidRPr="006C7885" w:rsidRDefault="00D033F1" w:rsidP="00492964">
      <w:pPr>
        <w:pStyle w:val="Item-Bolinha"/>
      </w:pPr>
      <w:r w:rsidRPr="006C7885">
        <w:t xml:space="preserve">Lei Federal </w:t>
      </w:r>
      <w:r w:rsidR="00492964">
        <w:rPr>
          <w:rFonts w:eastAsia="Batang"/>
          <w:lang w:eastAsia="en-US"/>
        </w:rPr>
        <w:t>n</w:t>
      </w:r>
      <w:r w:rsidR="00492964">
        <w:rPr>
          <w:rFonts w:eastAsia="Batang"/>
          <w:u w:val="single"/>
          <w:vertAlign w:val="superscript"/>
          <w:lang w:eastAsia="en-US"/>
        </w:rPr>
        <w:t>o</w:t>
      </w:r>
      <w:r w:rsidRPr="006C7885">
        <w:t xml:space="preserve"> 6.938/81 - Política Nacional do Meio Ambiente;</w:t>
      </w:r>
    </w:p>
    <w:p w:rsidR="00D033F1" w:rsidRPr="006C7885" w:rsidRDefault="00D033F1" w:rsidP="00492964">
      <w:pPr>
        <w:pStyle w:val="Item-Bolinha"/>
      </w:pPr>
      <w:r w:rsidRPr="006C7885">
        <w:t xml:space="preserve">Lei Federal </w:t>
      </w:r>
      <w:r w:rsidR="00492964">
        <w:rPr>
          <w:rFonts w:eastAsia="Batang"/>
          <w:lang w:eastAsia="en-US"/>
        </w:rPr>
        <w:t>n</w:t>
      </w:r>
      <w:r w:rsidR="00492964">
        <w:rPr>
          <w:rFonts w:eastAsia="Batang"/>
          <w:u w:val="single"/>
          <w:vertAlign w:val="superscript"/>
          <w:lang w:eastAsia="en-US"/>
        </w:rPr>
        <w:t>o</w:t>
      </w:r>
      <w:r w:rsidRPr="006C7885">
        <w:t xml:space="preserve"> 9.605/98 - Lei de Crimes Ambientais;</w:t>
      </w:r>
    </w:p>
    <w:p w:rsidR="00D033F1" w:rsidRPr="006C7885" w:rsidRDefault="00D033F1" w:rsidP="00492964">
      <w:pPr>
        <w:pStyle w:val="Item-Bolinha"/>
      </w:pPr>
      <w:r w:rsidRPr="006C7885">
        <w:t xml:space="preserve">Instrução Normativa MMA </w:t>
      </w:r>
      <w:r w:rsidR="00492964">
        <w:rPr>
          <w:rFonts w:eastAsia="Batang"/>
          <w:lang w:eastAsia="en-US"/>
        </w:rPr>
        <w:t>n</w:t>
      </w:r>
      <w:r w:rsidR="00492964">
        <w:rPr>
          <w:rFonts w:eastAsia="Batang"/>
          <w:u w:val="single"/>
          <w:vertAlign w:val="superscript"/>
          <w:lang w:eastAsia="en-US"/>
        </w:rPr>
        <w:t>o</w:t>
      </w:r>
      <w:r w:rsidRPr="006C7885">
        <w:t xml:space="preserve"> 146/2007 - Estabelece critérios para procedimentos relativos ao manejo de fauna silvestre (levantamento, monitoramento, salvamento, resgate e destinação) em áreas de influência de empreendimentos e atividades consideradas efetiva ou potencialmente causadoras de impactos à fauna sujeitas ao licenciamento ambiental, como definido pela </w:t>
      </w:r>
      <w:r w:rsidR="00492964">
        <w:t>L</w:t>
      </w:r>
      <w:r w:rsidRPr="006C7885">
        <w:t xml:space="preserve">ei </w:t>
      </w:r>
      <w:r w:rsidR="00492964">
        <w:rPr>
          <w:rFonts w:eastAsia="Batang"/>
          <w:lang w:eastAsia="en-US"/>
        </w:rPr>
        <w:t>n</w:t>
      </w:r>
      <w:r w:rsidR="00492964">
        <w:rPr>
          <w:rFonts w:eastAsia="Batang"/>
          <w:u w:val="single"/>
          <w:vertAlign w:val="superscript"/>
          <w:lang w:eastAsia="en-US"/>
        </w:rPr>
        <w:t>o</w:t>
      </w:r>
      <w:r w:rsidRPr="006C7885">
        <w:t xml:space="preserve"> 6938/81 e pelas Resoluções </w:t>
      </w:r>
      <w:r w:rsidR="00504078">
        <w:t>CONAMA</w:t>
      </w:r>
      <w:r w:rsidRPr="006C7885">
        <w:t xml:space="preserve"> </w:t>
      </w:r>
      <w:r w:rsidR="00492964">
        <w:rPr>
          <w:rFonts w:eastAsia="Batang"/>
          <w:lang w:eastAsia="en-US"/>
        </w:rPr>
        <w:t>n</w:t>
      </w:r>
      <w:r w:rsidR="00492964">
        <w:rPr>
          <w:rFonts w:eastAsia="Batang"/>
          <w:u w:val="single"/>
          <w:vertAlign w:val="superscript"/>
          <w:lang w:eastAsia="en-US"/>
        </w:rPr>
        <w:t>o</w:t>
      </w:r>
      <w:r w:rsidRPr="006C7885">
        <w:t xml:space="preserve"> 001/86 e nº 237/97.</w:t>
      </w:r>
    </w:p>
    <w:p w:rsidR="00D033F1" w:rsidRPr="006C7885" w:rsidRDefault="00D033F1" w:rsidP="00492964">
      <w:pPr>
        <w:pStyle w:val="Item-Bolinha"/>
      </w:pPr>
      <w:r w:rsidRPr="006C7885">
        <w:t xml:space="preserve">Instrução Normativa MMA </w:t>
      </w:r>
      <w:r w:rsidR="00492964">
        <w:rPr>
          <w:rFonts w:eastAsia="Batang"/>
          <w:lang w:eastAsia="en-US"/>
        </w:rPr>
        <w:t>n</w:t>
      </w:r>
      <w:r w:rsidR="00492964">
        <w:rPr>
          <w:rFonts w:eastAsia="Batang"/>
          <w:u w:val="single"/>
          <w:vertAlign w:val="superscript"/>
          <w:lang w:eastAsia="en-US"/>
        </w:rPr>
        <w:t>o</w:t>
      </w:r>
      <w:r w:rsidRPr="006C7885">
        <w:t xml:space="preserve"> 03/2003 - Lista Oficial das Espécies da Fauna Brasileira Ameaçadas de Extinção (considerando apenas os seguintes grupos de animais: anfíbios, aves, invertebrados terrestres, mamíferos e répteis);</w:t>
      </w:r>
    </w:p>
    <w:p w:rsidR="00D033F1" w:rsidRPr="006C7885" w:rsidRDefault="00D033F1" w:rsidP="00492964">
      <w:pPr>
        <w:pStyle w:val="Item-Bolinha"/>
      </w:pPr>
      <w:r w:rsidRPr="006C7885">
        <w:t xml:space="preserve">Lei Federal </w:t>
      </w:r>
      <w:r w:rsidR="00492964">
        <w:rPr>
          <w:rFonts w:eastAsia="Batang"/>
          <w:lang w:eastAsia="en-US"/>
        </w:rPr>
        <w:t>n</w:t>
      </w:r>
      <w:r w:rsidR="00492964">
        <w:rPr>
          <w:rFonts w:eastAsia="Batang"/>
          <w:u w:val="single"/>
          <w:vertAlign w:val="superscript"/>
          <w:lang w:eastAsia="en-US"/>
        </w:rPr>
        <w:t>o</w:t>
      </w:r>
      <w:r w:rsidRPr="006C7885">
        <w:t xml:space="preserve"> 5.197/1967 - dispõe sobre a proteção à fauna;</w:t>
      </w:r>
    </w:p>
    <w:p w:rsidR="00D033F1" w:rsidRPr="006C7885" w:rsidRDefault="00D033F1" w:rsidP="00492964">
      <w:pPr>
        <w:pStyle w:val="Item-Bolinha"/>
      </w:pPr>
      <w:r w:rsidRPr="006C7885">
        <w:t xml:space="preserve">Lei Federal </w:t>
      </w:r>
      <w:r w:rsidR="00492964">
        <w:rPr>
          <w:rFonts w:eastAsia="Batang"/>
          <w:lang w:eastAsia="en-US"/>
        </w:rPr>
        <w:t>n</w:t>
      </w:r>
      <w:r w:rsidR="00492964">
        <w:rPr>
          <w:rFonts w:eastAsia="Batang"/>
          <w:u w:val="single"/>
          <w:vertAlign w:val="superscript"/>
          <w:lang w:eastAsia="en-US"/>
        </w:rPr>
        <w:t>o</w:t>
      </w:r>
      <w:r w:rsidRPr="006C7885">
        <w:t xml:space="preserve"> 12.651/2012 – Novo Código Florestal Federal – Alterada pela Lei Federal nº 12.727/2012;</w:t>
      </w:r>
    </w:p>
    <w:p w:rsidR="00D033F1" w:rsidRPr="006C7885" w:rsidRDefault="00D033F1" w:rsidP="00492964">
      <w:pPr>
        <w:pStyle w:val="Item-Bolinha"/>
      </w:pPr>
      <w:r w:rsidRPr="006C7885">
        <w:t xml:space="preserve">Resolução </w:t>
      </w:r>
      <w:r w:rsidR="00492964">
        <w:rPr>
          <w:rFonts w:eastAsia="Batang"/>
          <w:lang w:eastAsia="en-US"/>
        </w:rPr>
        <w:t>n</w:t>
      </w:r>
      <w:r w:rsidR="00492964">
        <w:rPr>
          <w:rFonts w:eastAsia="Batang"/>
          <w:u w:val="single"/>
          <w:vertAlign w:val="superscript"/>
          <w:lang w:eastAsia="en-US"/>
        </w:rPr>
        <w:t>o</w:t>
      </w:r>
      <w:r w:rsidRPr="006C7885">
        <w:t xml:space="preserve"> 877/2008, do Conselho Federal de Medicina Veterinária - Dispõe sobre os procedimentos cirúrgicos em animais de produção e em animais silvestres; e cirurgias mutilantes em pequenos animais e dá outras providências;</w:t>
      </w:r>
    </w:p>
    <w:p w:rsidR="00D033F1" w:rsidRPr="006C7885" w:rsidRDefault="00D033F1" w:rsidP="00492964">
      <w:pPr>
        <w:pStyle w:val="Item-Bolinha"/>
      </w:pPr>
      <w:r w:rsidRPr="006C7885">
        <w:t xml:space="preserve">Decreto Estadual </w:t>
      </w:r>
      <w:r w:rsidR="00492964">
        <w:rPr>
          <w:rFonts w:eastAsia="Batang"/>
          <w:lang w:eastAsia="en-US"/>
        </w:rPr>
        <w:t>n</w:t>
      </w:r>
      <w:r w:rsidR="00492964">
        <w:rPr>
          <w:rFonts w:eastAsia="Batang"/>
          <w:u w:val="single"/>
          <w:vertAlign w:val="superscript"/>
          <w:lang w:eastAsia="en-US"/>
        </w:rPr>
        <w:t>o</w:t>
      </w:r>
      <w:r w:rsidRPr="006C7885">
        <w:t xml:space="preserve"> 60.133/2014 - Declara as Espécies da Fauna Silvestre Ameaçadas, as Quase Ameaçadas, as Colapsadas, Sobrexplotadas, Ameaçadas de Sobrexplotação e com dados insuficientes para avaliação no Estado de São Paulo e dá providências correlatas</w:t>
      </w:r>
      <w:r w:rsidR="006C7885" w:rsidRPr="006C7885">
        <w:t>.</w:t>
      </w:r>
    </w:p>
    <w:p w:rsidR="00D033F1" w:rsidRPr="008C32BC" w:rsidRDefault="008C32BC" w:rsidP="008C32BC">
      <w:pPr>
        <w:pStyle w:val="Ttulo3"/>
        <w:rPr>
          <w:rFonts w:ascii="Arial Negrito" w:hAnsi="Arial Negrito"/>
          <w:bCs/>
        </w:rPr>
      </w:pPr>
      <w:bookmarkStart w:id="1163" w:name="_Toc418758464"/>
      <w:bookmarkStart w:id="1164" w:name="_Toc418759066"/>
      <w:bookmarkStart w:id="1165" w:name="_Toc419813838"/>
      <w:r>
        <w:rPr>
          <w:rFonts w:ascii="Arial Negrito" w:hAnsi="Arial Negrito"/>
          <w:bCs/>
        </w:rPr>
        <w:t xml:space="preserve">3.4.3.6. </w:t>
      </w:r>
      <w:r w:rsidR="00C96894" w:rsidRPr="008C32BC">
        <w:rPr>
          <w:rFonts w:ascii="Arial Negrito" w:hAnsi="Arial Negrito"/>
          <w:bCs/>
        </w:rPr>
        <w:t>Inter-relação</w:t>
      </w:r>
      <w:r w:rsidR="00D033F1" w:rsidRPr="008C32BC">
        <w:rPr>
          <w:rFonts w:ascii="Arial Negrito" w:hAnsi="Arial Negrito"/>
          <w:bCs/>
        </w:rPr>
        <w:t xml:space="preserve"> com Outros Planos e Programas</w:t>
      </w:r>
      <w:bookmarkEnd w:id="1163"/>
      <w:bookmarkEnd w:id="1164"/>
      <w:bookmarkEnd w:id="1165"/>
    </w:p>
    <w:p w:rsidR="00D033F1" w:rsidRPr="006C7885" w:rsidRDefault="00D033F1" w:rsidP="006C7885">
      <w:pPr>
        <w:pStyle w:val="SPE-Texto"/>
        <w:spacing w:before="120" w:after="120" w:line="240" w:lineRule="auto"/>
        <w:rPr>
          <w:rFonts w:ascii="Arial" w:hAnsi="Arial" w:cs="Arial"/>
          <w:sz w:val="22"/>
          <w:szCs w:val="22"/>
        </w:rPr>
      </w:pPr>
      <w:r w:rsidRPr="006C7885">
        <w:rPr>
          <w:rFonts w:ascii="Arial" w:hAnsi="Arial" w:cs="Arial"/>
          <w:sz w:val="22"/>
          <w:szCs w:val="22"/>
        </w:rPr>
        <w:t>Esse Programa possui relação com o Programa de Gestão Ambiental da Obra, que estabelece as condições operacionais para o acompanhamento e cumprimento dos demais Programas Ambientais, associados às fases de implantação e operação do empreendimento.</w:t>
      </w:r>
    </w:p>
    <w:p w:rsidR="00D033F1" w:rsidRPr="006C7885" w:rsidRDefault="00D033F1" w:rsidP="006C7885">
      <w:pPr>
        <w:pStyle w:val="SPE-Texto"/>
        <w:spacing w:before="120" w:after="120" w:line="240" w:lineRule="auto"/>
        <w:rPr>
          <w:rFonts w:ascii="Arial" w:hAnsi="Arial" w:cs="Arial"/>
          <w:sz w:val="22"/>
          <w:szCs w:val="22"/>
        </w:rPr>
      </w:pPr>
      <w:r w:rsidRPr="006C7885">
        <w:rPr>
          <w:rFonts w:ascii="Arial" w:hAnsi="Arial" w:cs="Arial"/>
          <w:sz w:val="22"/>
          <w:szCs w:val="22"/>
        </w:rPr>
        <w:t>O Programa de Monitoramento e Conservação da Fauna também possui relação, ainda, com os seguintes programas ambientais:</w:t>
      </w:r>
    </w:p>
    <w:p w:rsidR="00D033F1" w:rsidRPr="00B04DAB" w:rsidRDefault="00D033F1" w:rsidP="00B04DAB">
      <w:pPr>
        <w:pStyle w:val="Item-Bolinha"/>
      </w:pPr>
      <w:r w:rsidRPr="00B04DAB">
        <w:t>Programa de Supressão da vegetação; e</w:t>
      </w:r>
    </w:p>
    <w:p w:rsidR="00D033F1" w:rsidRPr="006C7885" w:rsidRDefault="00D033F1" w:rsidP="00B04DAB">
      <w:pPr>
        <w:pStyle w:val="Item-Bolinha"/>
      </w:pPr>
      <w:r w:rsidRPr="00B04DAB">
        <w:t>Programa</w:t>
      </w:r>
      <w:r w:rsidRPr="006C7885">
        <w:t xml:space="preserve"> de Revegetação e Enriquecimento Florestal.</w:t>
      </w:r>
    </w:p>
    <w:p w:rsidR="00D033F1" w:rsidRPr="008C32BC" w:rsidRDefault="008C32BC" w:rsidP="008C32BC">
      <w:pPr>
        <w:pStyle w:val="Ttulo3"/>
        <w:rPr>
          <w:rFonts w:ascii="Arial Negrito" w:hAnsi="Arial Negrito"/>
          <w:bCs/>
        </w:rPr>
      </w:pPr>
      <w:bookmarkStart w:id="1166" w:name="_Toc418758465"/>
      <w:bookmarkStart w:id="1167" w:name="_Toc418759067"/>
      <w:bookmarkStart w:id="1168" w:name="_Toc419813839"/>
      <w:r>
        <w:rPr>
          <w:rFonts w:ascii="Arial Negrito" w:hAnsi="Arial Negrito"/>
          <w:bCs/>
        </w:rPr>
        <w:t xml:space="preserve">3.4.3.7. </w:t>
      </w:r>
      <w:r w:rsidR="00D033F1" w:rsidRPr="008C32BC">
        <w:rPr>
          <w:rFonts w:ascii="Arial Negrito" w:hAnsi="Arial Negrito"/>
          <w:bCs/>
        </w:rPr>
        <w:t>Etapa dos Empreendimentos</w:t>
      </w:r>
      <w:bookmarkEnd w:id="1166"/>
      <w:bookmarkEnd w:id="1167"/>
      <w:bookmarkEnd w:id="1168"/>
    </w:p>
    <w:p w:rsidR="00D033F1" w:rsidRDefault="00D033F1" w:rsidP="006C7885">
      <w:pPr>
        <w:pStyle w:val="SPE-Texto"/>
        <w:spacing w:before="120" w:after="120" w:line="240" w:lineRule="auto"/>
        <w:rPr>
          <w:rFonts w:ascii="Arial" w:hAnsi="Arial" w:cs="Arial"/>
          <w:sz w:val="22"/>
          <w:szCs w:val="22"/>
        </w:rPr>
      </w:pPr>
      <w:r w:rsidRPr="006C7885">
        <w:rPr>
          <w:rFonts w:ascii="Arial" w:hAnsi="Arial" w:cs="Arial"/>
          <w:sz w:val="22"/>
          <w:szCs w:val="22"/>
        </w:rPr>
        <w:t>As atividades que compõem o Programa de Monitoramento e Conservação da Fauna deverão ocorrer durante a Fase</w:t>
      </w:r>
      <w:r w:rsidR="008C15C3">
        <w:rPr>
          <w:rFonts w:ascii="Arial" w:hAnsi="Arial" w:cs="Arial"/>
          <w:sz w:val="22"/>
          <w:szCs w:val="22"/>
        </w:rPr>
        <w:t xml:space="preserve"> de Implantação das barragens</w:t>
      </w:r>
      <w:r w:rsidRPr="006C7885">
        <w:rPr>
          <w:rFonts w:ascii="Arial" w:hAnsi="Arial" w:cs="Arial"/>
          <w:sz w:val="22"/>
          <w:szCs w:val="22"/>
        </w:rPr>
        <w:t xml:space="preserve"> Pedreira e Duas Pontes.</w:t>
      </w:r>
    </w:p>
    <w:p w:rsidR="00D033F1" w:rsidRPr="008C32BC" w:rsidRDefault="008C32BC" w:rsidP="008C32BC">
      <w:pPr>
        <w:pStyle w:val="Ttulo3"/>
        <w:rPr>
          <w:rFonts w:ascii="Arial Negrito" w:hAnsi="Arial Negrito"/>
          <w:bCs/>
        </w:rPr>
      </w:pPr>
      <w:bookmarkStart w:id="1169" w:name="_Toc418758466"/>
      <w:bookmarkStart w:id="1170" w:name="_Toc418759068"/>
      <w:bookmarkStart w:id="1171" w:name="_Toc419813840"/>
      <w:r>
        <w:rPr>
          <w:rFonts w:ascii="Arial Negrito" w:hAnsi="Arial Negrito"/>
          <w:bCs/>
        </w:rPr>
        <w:t xml:space="preserve">3.4.3.8. </w:t>
      </w:r>
      <w:r w:rsidR="00D033F1" w:rsidRPr="008C32BC">
        <w:rPr>
          <w:rFonts w:ascii="Arial Negrito" w:hAnsi="Arial Negrito"/>
          <w:bCs/>
        </w:rPr>
        <w:t>Cronograma de Execução</w:t>
      </w:r>
      <w:bookmarkEnd w:id="1169"/>
      <w:bookmarkEnd w:id="1170"/>
      <w:bookmarkEnd w:id="1171"/>
    </w:p>
    <w:p w:rsidR="000623CE" w:rsidRDefault="000623CE" w:rsidP="000623CE">
      <w:pPr>
        <w:autoSpaceDE w:val="0"/>
        <w:autoSpaceDN w:val="0"/>
        <w:adjustRightInd w:val="0"/>
        <w:spacing w:before="120" w:after="120" w:line="240" w:lineRule="auto"/>
        <w:rPr>
          <w:rFonts w:cs="Arial"/>
          <w:szCs w:val="22"/>
        </w:rPr>
      </w:pPr>
      <w:r w:rsidRPr="001835E6">
        <w:rPr>
          <w:rFonts w:cs="Arial"/>
          <w:szCs w:val="22"/>
        </w:rPr>
        <w:t xml:space="preserve">As atividades </w:t>
      </w:r>
      <w:r>
        <w:rPr>
          <w:rFonts w:cs="Arial"/>
          <w:szCs w:val="22"/>
        </w:rPr>
        <w:t>a serem realizadas são:</w:t>
      </w:r>
    </w:p>
    <w:p w:rsidR="000623CE" w:rsidRDefault="000623CE" w:rsidP="00D4740B">
      <w:pPr>
        <w:pStyle w:val="Item-Trainho"/>
      </w:pPr>
      <w:r>
        <w:t xml:space="preserve">Subprograma de Monitoramento da Fauna - atividade a ser iniciada na fase de implantação do empreendimento, estimando-se que se estenda por cinco anos; </w:t>
      </w:r>
    </w:p>
    <w:p w:rsidR="000623CE" w:rsidRDefault="000623CE" w:rsidP="00D4740B">
      <w:pPr>
        <w:pStyle w:val="Item-Trainho"/>
      </w:pPr>
      <w:r w:rsidRPr="001835E6">
        <w:t xml:space="preserve">Subprograma de </w:t>
      </w:r>
      <w:r>
        <w:t>Resgate da Fauna – essa atividade se desenvolve durante o enchimento dos reservatórios, sendo que as fases de planejamento e preparo do resgate deve ser realizado com antecedência.</w:t>
      </w:r>
    </w:p>
    <w:p w:rsidR="000623CE" w:rsidRDefault="000623CE" w:rsidP="00D4740B">
      <w:pPr>
        <w:pStyle w:val="Item-Trainho"/>
      </w:pPr>
      <w:r>
        <w:t xml:space="preserve">Subprograma de Monitoramento dos Eventos de Atropelamento de Fauna – a atividade </w:t>
      </w:r>
      <w:r w:rsidR="00642790">
        <w:t>deve ser desenvolvida na época de implantação dos empreendimentos, durante um ano, com periodicidade mensal.</w:t>
      </w:r>
    </w:p>
    <w:p w:rsidR="00D033F1" w:rsidRPr="008C32BC" w:rsidRDefault="008C32BC" w:rsidP="008C32BC">
      <w:pPr>
        <w:pStyle w:val="Ttulo3"/>
        <w:rPr>
          <w:rFonts w:ascii="Arial Negrito" w:hAnsi="Arial Negrito"/>
          <w:bCs/>
        </w:rPr>
      </w:pPr>
      <w:bookmarkStart w:id="1172" w:name="_Toc418758467"/>
      <w:bookmarkStart w:id="1173" w:name="_Toc418759069"/>
      <w:bookmarkStart w:id="1174" w:name="_Toc419813841"/>
      <w:r>
        <w:rPr>
          <w:rFonts w:ascii="Arial Negrito" w:hAnsi="Arial Negrito"/>
          <w:bCs/>
        </w:rPr>
        <w:t xml:space="preserve">3.4.3.9. </w:t>
      </w:r>
      <w:r w:rsidR="00D033F1" w:rsidRPr="008C32BC">
        <w:rPr>
          <w:rFonts w:ascii="Arial Negrito" w:hAnsi="Arial Negrito"/>
          <w:bCs/>
        </w:rPr>
        <w:t>Responsável pela Implementação do Programa</w:t>
      </w:r>
      <w:bookmarkEnd w:id="1172"/>
      <w:bookmarkEnd w:id="1173"/>
      <w:bookmarkEnd w:id="1174"/>
    </w:p>
    <w:p w:rsidR="00D033F1" w:rsidRDefault="00D033F1" w:rsidP="006C7885">
      <w:pPr>
        <w:pStyle w:val="SPE-Texto"/>
        <w:spacing w:before="120" w:after="120" w:line="240" w:lineRule="auto"/>
        <w:rPr>
          <w:rFonts w:ascii="Arial" w:hAnsi="Arial" w:cs="Arial"/>
          <w:sz w:val="22"/>
          <w:szCs w:val="22"/>
        </w:rPr>
      </w:pPr>
      <w:r w:rsidRPr="006C7885">
        <w:rPr>
          <w:rFonts w:ascii="Arial" w:hAnsi="Arial" w:cs="Arial"/>
          <w:sz w:val="22"/>
          <w:szCs w:val="22"/>
        </w:rPr>
        <w:t>A responsabilidade de implantação do Programa de Monitoramento e Conservação da Fauna é do Empreendedor, juntamente com a Empresa Construtora contratada para as obras da fase de implantação das b</w:t>
      </w:r>
      <w:r w:rsidR="008C15C3">
        <w:rPr>
          <w:rFonts w:ascii="Arial" w:hAnsi="Arial" w:cs="Arial"/>
          <w:sz w:val="22"/>
          <w:szCs w:val="22"/>
        </w:rPr>
        <w:t>arragens</w:t>
      </w:r>
      <w:r w:rsidRPr="006C7885">
        <w:rPr>
          <w:rFonts w:ascii="Arial" w:hAnsi="Arial" w:cs="Arial"/>
          <w:sz w:val="22"/>
          <w:szCs w:val="22"/>
        </w:rPr>
        <w:t xml:space="preserve"> Pedreira e Duas Pontes, assim como da equipe de profissionais contratada para a execução dos serviços de resgate de fauna silvestre.</w:t>
      </w:r>
    </w:p>
    <w:p w:rsidR="00D033F1" w:rsidRPr="008C32BC" w:rsidRDefault="008C32BC" w:rsidP="008C32BC">
      <w:pPr>
        <w:pStyle w:val="Ttulo3"/>
        <w:rPr>
          <w:rFonts w:ascii="Arial Negrito" w:hAnsi="Arial Negrito"/>
          <w:bCs/>
        </w:rPr>
      </w:pPr>
      <w:bookmarkStart w:id="1175" w:name="_Toc418758468"/>
      <w:bookmarkStart w:id="1176" w:name="_Toc418759070"/>
      <w:bookmarkStart w:id="1177" w:name="_Toc419813842"/>
      <w:r>
        <w:rPr>
          <w:rFonts w:ascii="Arial Negrito" w:hAnsi="Arial Negrito"/>
          <w:bCs/>
        </w:rPr>
        <w:t xml:space="preserve">3.4.3.10. </w:t>
      </w:r>
      <w:r w:rsidR="00D033F1" w:rsidRPr="008C32BC">
        <w:rPr>
          <w:rFonts w:ascii="Arial Negrito" w:hAnsi="Arial Negrito"/>
          <w:bCs/>
        </w:rPr>
        <w:t>Sistemas de Registros</w:t>
      </w:r>
      <w:bookmarkEnd w:id="1175"/>
      <w:bookmarkEnd w:id="1176"/>
      <w:bookmarkEnd w:id="1177"/>
    </w:p>
    <w:p w:rsidR="00D033F1" w:rsidRPr="00243639" w:rsidRDefault="00D033F1" w:rsidP="00243639">
      <w:pPr>
        <w:pStyle w:val="SPE-Texto"/>
        <w:spacing w:before="120" w:after="120" w:line="240" w:lineRule="auto"/>
        <w:rPr>
          <w:rFonts w:ascii="Arial" w:hAnsi="Arial" w:cs="Arial"/>
          <w:sz w:val="22"/>
          <w:szCs w:val="22"/>
        </w:rPr>
      </w:pPr>
      <w:r w:rsidRPr="00243639">
        <w:rPr>
          <w:rFonts w:ascii="Arial" w:hAnsi="Arial" w:cs="Arial"/>
          <w:sz w:val="22"/>
          <w:szCs w:val="22"/>
        </w:rPr>
        <w:t>Os registros do Programa de Resgate da Fauna Silvestre serão realizados por meio de planilhas de campo, utilizada pelos técnicos responsáveis por sua execução, que deve conter informações importantes dos espécimes resgatados e afugentados.</w:t>
      </w:r>
    </w:p>
    <w:p w:rsidR="00D033F1" w:rsidRDefault="00D033F1" w:rsidP="00243639">
      <w:pPr>
        <w:pStyle w:val="SPE-Texto"/>
        <w:spacing w:before="120" w:after="120" w:line="240" w:lineRule="auto"/>
        <w:rPr>
          <w:rFonts w:ascii="Arial" w:hAnsi="Arial" w:cs="Arial"/>
          <w:sz w:val="22"/>
          <w:szCs w:val="22"/>
        </w:rPr>
      </w:pPr>
      <w:r w:rsidRPr="00243639">
        <w:rPr>
          <w:rFonts w:ascii="Arial" w:hAnsi="Arial" w:cs="Arial"/>
          <w:sz w:val="22"/>
          <w:szCs w:val="22"/>
        </w:rPr>
        <w:t>Todas as informações sobre resgate, destino, soltura e aproveitamento científico deverão ser sistematizadas no banco de dados proposto no Programa de Gestão e Supervisão Ambiental das Obras que acumulará todo o acervo de dados gerados durante o período de implementação do programa. Mensalmente, será elaborado um relatório consolidado as informações acumuladas até aquele período.</w:t>
      </w:r>
    </w:p>
    <w:p w:rsidR="00D80357" w:rsidRPr="00FF64D3" w:rsidRDefault="002D6EDB" w:rsidP="00431A97">
      <w:pPr>
        <w:pStyle w:val="Ttulo3"/>
        <w:numPr>
          <w:ilvl w:val="2"/>
          <w:numId w:val="84"/>
        </w:numPr>
        <w:rPr>
          <w:rFonts w:ascii="Arial Negrito" w:hAnsi="Arial Negrito"/>
          <w:bCs/>
        </w:rPr>
      </w:pPr>
      <w:bookmarkStart w:id="1178" w:name="_Toc419813843"/>
      <w:bookmarkStart w:id="1179" w:name="_Toc418758469"/>
      <w:bookmarkStart w:id="1180" w:name="_Toc418759071"/>
      <w:r w:rsidRPr="00FF64D3">
        <w:rPr>
          <w:rFonts w:ascii="Arial Negrito" w:hAnsi="Arial Negrito"/>
          <w:bCs/>
        </w:rPr>
        <w:t>Programa de Monitoramento da</w:t>
      </w:r>
      <w:r w:rsidR="0008766F" w:rsidRPr="00FF64D3">
        <w:rPr>
          <w:rFonts w:ascii="Arial Negrito" w:hAnsi="Arial Negrito"/>
          <w:bCs/>
        </w:rPr>
        <w:t xml:space="preserve"> Biota Aquática</w:t>
      </w:r>
      <w:bookmarkEnd w:id="1178"/>
      <w:r w:rsidR="0008766F" w:rsidRPr="00FF64D3">
        <w:rPr>
          <w:rFonts w:ascii="Arial Negrito" w:hAnsi="Arial Negrito"/>
          <w:bCs/>
        </w:rPr>
        <w:t xml:space="preserve"> </w:t>
      </w:r>
      <w:bookmarkEnd w:id="1179"/>
      <w:bookmarkEnd w:id="1180"/>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bookmarkStart w:id="1181" w:name="_Toc419813844"/>
      <w:r w:rsidRPr="00DE1C35">
        <w:rPr>
          <w:rFonts w:ascii="Arial" w:hAnsi="Arial"/>
          <w:bCs w:val="0"/>
          <w:smallCaps w:val="0"/>
          <w:color w:val="auto"/>
          <w:sz w:val="22"/>
        </w:rPr>
        <w:t>Apresentação e Justificativa</w:t>
      </w:r>
      <w:bookmarkEnd w:id="1181"/>
    </w:p>
    <w:p w:rsidR="0008766F" w:rsidRPr="003645D8" w:rsidRDefault="0008766F" w:rsidP="0008766F">
      <w:pPr>
        <w:autoSpaceDE w:val="0"/>
        <w:autoSpaceDN w:val="0"/>
        <w:adjustRightInd w:val="0"/>
        <w:spacing w:before="120" w:after="120" w:line="240" w:lineRule="auto"/>
        <w:rPr>
          <w:rFonts w:cs="Arial"/>
          <w:szCs w:val="22"/>
        </w:rPr>
      </w:pPr>
      <w:r w:rsidRPr="003645D8">
        <w:rPr>
          <w:rFonts w:cs="Arial"/>
          <w:szCs w:val="22"/>
        </w:rPr>
        <w:t>De acordo com a avaliação de impactos ambientais (</w:t>
      </w:r>
      <w:r>
        <w:rPr>
          <w:rFonts w:cs="Arial"/>
          <w:szCs w:val="22"/>
        </w:rPr>
        <w:t>Volume V – Av</w:t>
      </w:r>
      <w:r w:rsidR="00D15BE9">
        <w:rPr>
          <w:rFonts w:cs="Arial"/>
          <w:szCs w:val="22"/>
        </w:rPr>
        <w:t>aliação dos Impactos Ambientais</w:t>
      </w:r>
      <w:r>
        <w:rPr>
          <w:rFonts w:cs="Arial"/>
          <w:szCs w:val="22"/>
        </w:rPr>
        <w:t xml:space="preserve"> </w:t>
      </w:r>
      <w:r w:rsidR="00D15BE9">
        <w:rPr>
          <w:rFonts w:cs="Arial"/>
          <w:szCs w:val="22"/>
        </w:rPr>
        <w:t xml:space="preserve">- </w:t>
      </w:r>
      <w:r>
        <w:rPr>
          <w:rFonts w:cs="Arial"/>
          <w:szCs w:val="22"/>
        </w:rPr>
        <w:t>Tomo 1-Texto</w:t>
      </w:r>
      <w:r w:rsidRPr="003645D8">
        <w:rPr>
          <w:rFonts w:cs="Arial"/>
          <w:szCs w:val="22"/>
        </w:rPr>
        <w:t xml:space="preserve">), as obras para construção das Barragens Pedreira e Duas Pontes poderão resultar no aporte de sedimentos, principalmente aos rios Jaguari e Camanducaia, o que tenderá a reduzir temporariamente a zona eufótica, afetando a produtividade primária do fitoplâncton, com reflexos nos demais elos da cadeia </w:t>
      </w:r>
      <w:r w:rsidR="005D5845">
        <w:rPr>
          <w:rFonts w:cs="Arial"/>
          <w:szCs w:val="22"/>
        </w:rPr>
        <w:t xml:space="preserve">alimentar </w:t>
      </w:r>
      <w:r w:rsidRPr="003645D8">
        <w:rPr>
          <w:rFonts w:cs="Arial"/>
          <w:szCs w:val="22"/>
        </w:rPr>
        <w:t>aquática.</w:t>
      </w:r>
    </w:p>
    <w:p w:rsidR="005D5845" w:rsidRPr="005D5845" w:rsidRDefault="005D5845" w:rsidP="005D5845">
      <w:pPr>
        <w:autoSpaceDE w:val="0"/>
        <w:autoSpaceDN w:val="0"/>
        <w:adjustRightInd w:val="0"/>
        <w:spacing w:before="120" w:after="120" w:line="240" w:lineRule="auto"/>
        <w:rPr>
          <w:rFonts w:cs="Arial"/>
          <w:szCs w:val="22"/>
        </w:rPr>
      </w:pPr>
      <w:r w:rsidRPr="005D5845">
        <w:rPr>
          <w:rFonts w:cs="Arial"/>
          <w:szCs w:val="22"/>
        </w:rPr>
        <w:t xml:space="preserve">Durante o enchimento das Barragens Pedreira e Duas Pontes, a redução na velocidade de correnteza e o eventual acúmulo de nutrientes em braços tributários dos reservatórios tenderão a criar um ambiente seletivo para essas comunidades aquáticas, podendo ocorrer a redução da diversidade e o predomínio de grupos com maior plasticidade ambiental, tais como as algas Chlorophyceae e Chrysophyceae (fitoplâncton), os rotíferos (zooplâncton) e os dípteros Chironomidae (invertebrados bentônicos).  </w:t>
      </w:r>
    </w:p>
    <w:p w:rsidR="005D5845" w:rsidRPr="005D5845" w:rsidRDefault="005D5845" w:rsidP="005D5845">
      <w:pPr>
        <w:autoSpaceDE w:val="0"/>
        <w:autoSpaceDN w:val="0"/>
        <w:adjustRightInd w:val="0"/>
        <w:spacing w:before="120" w:after="120" w:line="240" w:lineRule="auto"/>
        <w:rPr>
          <w:rFonts w:cs="Arial"/>
          <w:szCs w:val="22"/>
        </w:rPr>
      </w:pPr>
      <w:r w:rsidRPr="005D5845">
        <w:rPr>
          <w:rFonts w:cs="Arial"/>
          <w:szCs w:val="22"/>
        </w:rPr>
        <w:t>Nessa etapa, o aumento da profundidade do sistema aquático e a deposição de sólidos nos reservatórios tenderão também a alterar a composição da fauna bentônica, devido à uniformização do fundo pelo preenchimento das reentrâncias e pela perda de nichos disponíveis.</w:t>
      </w:r>
    </w:p>
    <w:p w:rsidR="005D5845" w:rsidRPr="005D5845" w:rsidRDefault="005D5845" w:rsidP="005D5845">
      <w:pPr>
        <w:autoSpaceDE w:val="0"/>
        <w:autoSpaceDN w:val="0"/>
        <w:adjustRightInd w:val="0"/>
        <w:spacing w:before="120" w:after="120" w:line="240" w:lineRule="auto"/>
        <w:rPr>
          <w:rFonts w:cs="Arial"/>
          <w:szCs w:val="22"/>
        </w:rPr>
      </w:pPr>
      <w:r w:rsidRPr="005D5845">
        <w:rPr>
          <w:rFonts w:cs="Arial"/>
          <w:szCs w:val="22"/>
        </w:rPr>
        <w:t>O enchimento dos reservatórios poderá implicar a perda de espécies e a redução das populações de macrófitas aquáticas de hábito restrito, principalmente da vegetação enraizada no substrato.</w:t>
      </w:r>
    </w:p>
    <w:p w:rsidR="005D5845" w:rsidRPr="005D5845" w:rsidRDefault="005D5845" w:rsidP="005D5845">
      <w:pPr>
        <w:autoSpaceDE w:val="0"/>
        <w:autoSpaceDN w:val="0"/>
        <w:adjustRightInd w:val="0"/>
        <w:spacing w:before="120" w:after="120" w:line="240" w:lineRule="auto"/>
        <w:rPr>
          <w:rFonts w:cs="Arial"/>
          <w:szCs w:val="22"/>
        </w:rPr>
      </w:pPr>
      <w:r w:rsidRPr="005D5845">
        <w:rPr>
          <w:rFonts w:cs="Arial"/>
          <w:szCs w:val="22"/>
        </w:rPr>
        <w:t xml:space="preserve">Durante a operação de ambos os empreendimentos, a estabilização das condições físico-químicas da água e a disponibilidade de fósforo no sistema hídrico possivelmente propiciarão o maior desenvolvimento do fitoplâncton e de macrófitas aquáticas. </w:t>
      </w:r>
      <w:r w:rsidR="00B2744D">
        <w:rPr>
          <w:rFonts w:cs="Arial"/>
          <w:szCs w:val="22"/>
        </w:rPr>
        <w:t xml:space="preserve"> </w:t>
      </w:r>
    </w:p>
    <w:p w:rsidR="0008766F" w:rsidRDefault="0008766F" w:rsidP="0008766F">
      <w:pPr>
        <w:autoSpaceDE w:val="0"/>
        <w:autoSpaceDN w:val="0"/>
        <w:adjustRightInd w:val="0"/>
        <w:spacing w:before="120" w:after="120" w:line="240" w:lineRule="auto"/>
        <w:rPr>
          <w:rFonts w:cs="Arial"/>
          <w:szCs w:val="22"/>
        </w:rPr>
      </w:pPr>
      <w:r w:rsidRPr="001F31FA">
        <w:rPr>
          <w:rFonts w:cs="Arial"/>
          <w:szCs w:val="22"/>
        </w:rPr>
        <w:t>De acordo com os resultados de simulações de modelagem matemática</w:t>
      </w:r>
      <w:r>
        <w:rPr>
          <w:rFonts w:cs="Arial"/>
          <w:szCs w:val="22"/>
        </w:rPr>
        <w:t xml:space="preserve"> (Volume II – Diagnóstico Ambiental do Meio Físico – Tomo 1-Texto, Item 4. Qualidade das Águas e dos Sedimentos), </w:t>
      </w:r>
      <w:r w:rsidR="00B2744D" w:rsidRPr="00B2744D">
        <w:rPr>
          <w:rFonts w:cs="Arial"/>
          <w:szCs w:val="22"/>
        </w:rPr>
        <w:t xml:space="preserve">na etapa de operação, as águas deverão se enquadrar predominantemente em estado Mesotrófico, no corpo central do reservatório e nos tributários da Barragem Pedreira. Contudo, no reservatório da Barragem Duas Pontes, os dados apontam elevado nível de trofia no corpo principal do reservatório, caracterizando um ambiente Supereutrófico, enquanto que nos braços tributários verifica-se tendência de estabilização, em condições Mesotrófico e Eutrófico. </w:t>
      </w:r>
      <w:r>
        <w:rPr>
          <w:rFonts w:cs="Arial"/>
          <w:szCs w:val="22"/>
        </w:rPr>
        <w:t xml:space="preserve"> </w:t>
      </w:r>
    </w:p>
    <w:p w:rsidR="00B2744D" w:rsidRPr="00B2744D" w:rsidRDefault="00B2744D" w:rsidP="00B2744D">
      <w:pPr>
        <w:tabs>
          <w:tab w:val="left" w:pos="567"/>
        </w:tabs>
        <w:spacing w:before="120" w:after="120" w:line="240" w:lineRule="auto"/>
        <w:rPr>
          <w:rFonts w:cs="Arial"/>
          <w:szCs w:val="22"/>
        </w:rPr>
      </w:pPr>
      <w:r w:rsidRPr="00B2744D">
        <w:rPr>
          <w:rFonts w:cs="Arial"/>
          <w:szCs w:val="22"/>
        </w:rPr>
        <w:t xml:space="preserve">Nessas circunstâncias, haverá maior probabilidade da ocorrência de episódios de floração de cianobactérias. Algumas espécies de cianobactérias podem produzir toxinas e metabólitos que causam gosto e odor, alterando as características organolépticas das águas para abastecimento público. Concomitantemente poderá ocorrer a proliferação de espécies de macrófitas flutuantes livres, tais como as </w:t>
      </w:r>
      <w:r w:rsidRPr="00B2744D">
        <w:rPr>
          <w:rFonts w:cs="Arial"/>
          <w:i/>
          <w:szCs w:val="22"/>
        </w:rPr>
        <w:t>Eichhornia crassipes</w:t>
      </w:r>
      <w:r w:rsidRPr="00B2744D">
        <w:rPr>
          <w:rFonts w:cs="Arial"/>
          <w:szCs w:val="22"/>
        </w:rPr>
        <w:t>,</w:t>
      </w:r>
      <w:r w:rsidRPr="00B2744D">
        <w:rPr>
          <w:rFonts w:cs="Arial"/>
          <w:i/>
          <w:szCs w:val="22"/>
        </w:rPr>
        <w:t xml:space="preserve"> Pistia stratiotes</w:t>
      </w:r>
      <w:r w:rsidRPr="00B2744D">
        <w:rPr>
          <w:rFonts w:cs="Arial"/>
          <w:szCs w:val="22"/>
        </w:rPr>
        <w:t xml:space="preserve"> e </w:t>
      </w:r>
      <w:r w:rsidRPr="00B2744D">
        <w:rPr>
          <w:rFonts w:cs="Arial"/>
          <w:i/>
          <w:szCs w:val="22"/>
        </w:rPr>
        <w:t xml:space="preserve">Salvinia auriculata. </w:t>
      </w:r>
      <w:r w:rsidRPr="00B2744D">
        <w:rPr>
          <w:rFonts w:cs="Arial"/>
          <w:szCs w:val="22"/>
        </w:rPr>
        <w:t>Cabe destacar que o crescimento excessivo destes organismos causa alterações na qualidade da água, podendo levar a interferências nos sistemas de abastecimento público e na geração de energia elétrica.</w:t>
      </w:r>
    </w:p>
    <w:p w:rsidR="0008766F" w:rsidRDefault="00B2744D" w:rsidP="0008766F">
      <w:pPr>
        <w:tabs>
          <w:tab w:val="left" w:pos="567"/>
        </w:tabs>
        <w:spacing w:before="120" w:after="120" w:line="240" w:lineRule="auto"/>
        <w:rPr>
          <w:rFonts w:cs="Arial"/>
          <w:szCs w:val="22"/>
        </w:rPr>
      </w:pPr>
      <w:r w:rsidRPr="00B2744D">
        <w:rPr>
          <w:rFonts w:cs="Arial"/>
          <w:szCs w:val="22"/>
        </w:rPr>
        <w:t>Na etapa de operação desses sistemas, a maior oferta de alimentos para o zooplâncton e a estabilidade da coluna d’água propiciarão o aumento na densidade de espécies tipicamente planctônicas, como rotíferos e copépodes. Na comunidade bentônica, possivelmente, prevalecerão grupos mais resistentes às perturbações ambientais como Chironomidae, Oligochaeta e Nematoda.</w:t>
      </w:r>
    </w:p>
    <w:p w:rsidR="0008766F" w:rsidRPr="00DE1C35" w:rsidRDefault="0008766F" w:rsidP="0008766F">
      <w:pPr>
        <w:autoSpaceDE w:val="0"/>
        <w:autoSpaceDN w:val="0"/>
        <w:adjustRightInd w:val="0"/>
        <w:spacing w:before="120" w:after="120" w:line="240" w:lineRule="auto"/>
        <w:rPr>
          <w:rFonts w:cs="Arial"/>
          <w:szCs w:val="22"/>
        </w:rPr>
      </w:pPr>
      <w:r w:rsidRPr="00E45F79">
        <w:rPr>
          <w:rFonts w:cs="Arial"/>
          <w:szCs w:val="22"/>
        </w:rPr>
        <w:t>Nesse sentido, o Programa de Monitoramento da Biota Aquática visa acompanhar as alterações nas comunidades planctônicas (fitoplâncton e zooplâncton), bentônicas e de macrófitas aquáticas durante as fases de implantação e de operação das Barragens Pedreira e Duas Pontes.</w:t>
      </w:r>
      <w:r>
        <w:rPr>
          <w:rFonts w:cs="Arial"/>
          <w:szCs w:val="22"/>
        </w:rPr>
        <w:t xml:space="preserve"> </w:t>
      </w:r>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r w:rsidRPr="00DE1C35">
        <w:rPr>
          <w:rFonts w:ascii="Arial" w:hAnsi="Arial"/>
          <w:bCs w:val="0"/>
          <w:smallCaps w:val="0"/>
          <w:color w:val="auto"/>
          <w:sz w:val="22"/>
        </w:rPr>
        <w:t xml:space="preserve"> </w:t>
      </w:r>
      <w:bookmarkStart w:id="1182" w:name="_Toc419813845"/>
      <w:r w:rsidRPr="00DE1C35">
        <w:rPr>
          <w:rFonts w:ascii="Arial" w:hAnsi="Arial"/>
          <w:bCs w:val="0"/>
          <w:smallCaps w:val="0"/>
          <w:color w:val="auto"/>
          <w:sz w:val="22"/>
        </w:rPr>
        <w:t>Objetivos</w:t>
      </w:r>
      <w:bookmarkEnd w:id="1182"/>
    </w:p>
    <w:p w:rsidR="00B2744D" w:rsidRDefault="00B2744D" w:rsidP="00B2744D">
      <w:pPr>
        <w:autoSpaceDE w:val="0"/>
        <w:autoSpaceDN w:val="0"/>
        <w:adjustRightInd w:val="0"/>
        <w:spacing w:before="120" w:after="120" w:line="240" w:lineRule="auto"/>
        <w:rPr>
          <w:rFonts w:cs="Arial"/>
          <w:szCs w:val="22"/>
        </w:rPr>
      </w:pPr>
      <w:r w:rsidRPr="00B2744D">
        <w:rPr>
          <w:rFonts w:cs="Arial"/>
          <w:szCs w:val="22"/>
        </w:rPr>
        <w:t>O Programa de Monitoramento da Biota Aquática tem como principal objetivo acompanhar e avaliar possíveis alterações nas comunidades aquáticas (fitoplâncton, zooplâncton, invertebrados bentônicos e macrófitas aquáticas), subsidiando as ações de controle estratégicas preventivas e corretivas para manutenção da qualidade da água nos padrões adequados para abastecimento público. Os objetivos específicos incluem:</w:t>
      </w:r>
    </w:p>
    <w:p w:rsidR="0008766F" w:rsidRPr="00B2744D" w:rsidRDefault="0008766F" w:rsidP="00B2744D">
      <w:pPr>
        <w:pStyle w:val="Item-Bolinha"/>
      </w:pPr>
      <w:r w:rsidRPr="00B2744D">
        <w:t xml:space="preserve">Relacionar os resultados obtidos com os dados de qualidade da água e dos sedimentos e demais programas associados. </w:t>
      </w:r>
    </w:p>
    <w:p w:rsidR="0008766F" w:rsidRPr="0098599C" w:rsidRDefault="0008766F" w:rsidP="00B04DAB">
      <w:pPr>
        <w:pStyle w:val="Item-Bolinha"/>
      </w:pPr>
      <w:r w:rsidRPr="0098599C">
        <w:t xml:space="preserve">Monitorar o desenvolvimento do fitoplâncton, incluindo a contagem de células de cianobactérias, e sua relação com o nível de trofia do ecossistema aquático, com </w:t>
      </w:r>
      <w:r w:rsidRPr="0098599C">
        <w:rPr>
          <w:rFonts w:eastAsia="Calibri"/>
          <w:lang w:eastAsia="en-US"/>
        </w:rPr>
        <w:t>amostragem em trechos situados a montante e a jusante dos reservatórios projetados, nos braços tributários e no ponto de captação de cada barragem.</w:t>
      </w:r>
    </w:p>
    <w:p w:rsidR="0008766F" w:rsidRDefault="0008766F" w:rsidP="00B04DAB">
      <w:pPr>
        <w:pStyle w:val="Item-Bolinha"/>
      </w:pPr>
      <w:r w:rsidRPr="001159EA">
        <w:t>Manter a concentração de células de cianobactérias em níveis condizentes com o</w:t>
      </w:r>
      <w:r>
        <w:t>s</w:t>
      </w:r>
      <w:r w:rsidRPr="001159EA">
        <w:t xml:space="preserve"> limite</w:t>
      </w:r>
      <w:r>
        <w:t>s</w:t>
      </w:r>
      <w:r w:rsidRPr="001159EA">
        <w:t xml:space="preserve"> estabelecido</w:t>
      </w:r>
      <w:r>
        <w:t>s</w:t>
      </w:r>
      <w:r w:rsidRPr="001159EA">
        <w:t xml:space="preserve"> pela Resolução </w:t>
      </w:r>
      <w:r w:rsidR="00504078">
        <w:t>CONAMA</w:t>
      </w:r>
      <w:r w:rsidRPr="001159EA">
        <w:t xml:space="preserve"> 357/05 para águas doces classe 2 e pela  Portaria</w:t>
      </w:r>
      <w:r>
        <w:t xml:space="preserve"> do Ministério da Saúde- MS</w:t>
      </w:r>
      <w:r w:rsidRPr="001159EA">
        <w:t xml:space="preserve"> 2</w:t>
      </w:r>
      <w:r>
        <w:t>.</w:t>
      </w:r>
      <w:r w:rsidRPr="001159EA">
        <w:t>914/11.</w:t>
      </w:r>
    </w:p>
    <w:p w:rsidR="0008766F" w:rsidRPr="001159EA" w:rsidRDefault="0008766F" w:rsidP="00B04DAB">
      <w:pPr>
        <w:pStyle w:val="Item-Bolinha"/>
      </w:pPr>
      <w:r>
        <w:t>Acompanhar o crescimento das macrófitas aquáticas, sobretudo na área dos mananciais projetados.</w:t>
      </w:r>
    </w:p>
    <w:p w:rsidR="0008766F" w:rsidRPr="00DE1C35" w:rsidRDefault="0008766F" w:rsidP="00B04DAB">
      <w:pPr>
        <w:pStyle w:val="Item-Bolinha"/>
      </w:pPr>
      <w:r w:rsidRPr="00DE1C35">
        <w:t xml:space="preserve">Analisar a eficiência dos mecanismos de controle ambiental adotados pelo empreendimento, visando manter o sistema aquático em condições apropriadas para </w:t>
      </w:r>
      <w:r>
        <w:t>o desenvolvimento da biota aquática e para o abastecimento público.</w:t>
      </w:r>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r w:rsidRPr="00DE1C35">
        <w:rPr>
          <w:rFonts w:ascii="Arial" w:hAnsi="Arial"/>
          <w:bCs w:val="0"/>
          <w:smallCaps w:val="0"/>
          <w:color w:val="auto"/>
          <w:sz w:val="22"/>
        </w:rPr>
        <w:t xml:space="preserve"> </w:t>
      </w:r>
      <w:bookmarkStart w:id="1183" w:name="_Toc419813846"/>
      <w:r w:rsidRPr="00DE1C35">
        <w:rPr>
          <w:rFonts w:ascii="Arial" w:hAnsi="Arial"/>
          <w:bCs w:val="0"/>
          <w:smallCaps w:val="0"/>
          <w:color w:val="auto"/>
          <w:sz w:val="22"/>
        </w:rPr>
        <w:t>Metas</w:t>
      </w:r>
      <w:bookmarkEnd w:id="1183"/>
      <w:r w:rsidRPr="00DE1C35">
        <w:rPr>
          <w:rFonts w:ascii="Arial" w:hAnsi="Arial"/>
          <w:bCs w:val="0"/>
          <w:smallCaps w:val="0"/>
          <w:color w:val="auto"/>
          <w:sz w:val="22"/>
        </w:rPr>
        <w:t xml:space="preserve"> </w:t>
      </w:r>
    </w:p>
    <w:p w:rsidR="0008766F" w:rsidRPr="00E45F79" w:rsidRDefault="00B2744D" w:rsidP="0008766F">
      <w:pPr>
        <w:autoSpaceDE w:val="0"/>
        <w:autoSpaceDN w:val="0"/>
        <w:adjustRightInd w:val="0"/>
        <w:spacing w:after="120" w:line="240" w:lineRule="auto"/>
        <w:rPr>
          <w:rFonts w:cs="Arial"/>
          <w:szCs w:val="22"/>
        </w:rPr>
      </w:pPr>
      <w:r w:rsidRPr="00B2744D">
        <w:rPr>
          <w:rFonts w:cs="Arial"/>
          <w:szCs w:val="22"/>
        </w:rPr>
        <w:t>Este programa tem como meta a realização de campanhas de monitoramento periódicas para avaliação da biota aquática. As metas desse programa incluem a emissão de relatórios técnicos, relacionando os resultados obtidos com as condições anteriores à formação dos reservatórios e com os padrões de qualidade estabelecidos pelas legislações vigentes, bem como o controle de cianobactérias e de macrófitas aquáticas, visando à manutenção dos padrões de potabilidade nos pontos de captações das respectivas barragens.</w:t>
      </w:r>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bookmarkStart w:id="1184" w:name="_Toc419813847"/>
      <w:r w:rsidRPr="00DE1C35">
        <w:rPr>
          <w:rFonts w:ascii="Arial" w:hAnsi="Arial"/>
          <w:bCs w:val="0"/>
          <w:smallCaps w:val="0"/>
          <w:color w:val="auto"/>
          <w:sz w:val="22"/>
        </w:rPr>
        <w:t>Público Alvo</w:t>
      </w:r>
      <w:bookmarkEnd w:id="1184"/>
    </w:p>
    <w:p w:rsidR="0008766F" w:rsidRPr="00E45F79" w:rsidRDefault="00B2744D" w:rsidP="0008766F">
      <w:pPr>
        <w:autoSpaceDE w:val="0"/>
        <w:autoSpaceDN w:val="0"/>
        <w:adjustRightInd w:val="0"/>
        <w:spacing w:after="120" w:line="240" w:lineRule="auto"/>
        <w:rPr>
          <w:rFonts w:cs="Arial"/>
          <w:szCs w:val="22"/>
        </w:rPr>
      </w:pPr>
      <w:r w:rsidRPr="00B2744D">
        <w:rPr>
          <w:rFonts w:cs="Arial"/>
          <w:szCs w:val="22"/>
        </w:rPr>
        <w:t xml:space="preserve">Este programa tem como principal público alvo a população que será abastecida pelos mananciais projetados nos rios Jaguari e Camanducaia, bem como o empreendedor (Departamento de Águas e Energia Elétrica - DAEE do Estado de São Paulo e Secretaria de Saneamento e Recursos Hídricos - SSRH), responsável pela contratação de empresas que executarão o presente programa. Considera-se também como público alvo os Comitês das Bacias Hidrográficas dos Rios Piracicaba, Capivari e Jundiaí - CBH PCJ e dos Rios Piracicaba e Jaguari - CBH PJ, a Secretaria Estadual do Meio Ambiente – SEMA e a </w:t>
      </w:r>
      <w:r w:rsidR="00504078">
        <w:rPr>
          <w:rFonts w:cs="Arial"/>
          <w:szCs w:val="22"/>
        </w:rPr>
        <w:t>CETESB</w:t>
      </w:r>
      <w:r w:rsidRPr="00B2744D">
        <w:rPr>
          <w:rFonts w:cs="Arial"/>
          <w:szCs w:val="22"/>
        </w:rPr>
        <w:t>, além de instituições de pesquisa e a sociedade civil.</w:t>
      </w:r>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bookmarkStart w:id="1185" w:name="_Toc419813848"/>
      <w:r w:rsidRPr="00DE1C35">
        <w:rPr>
          <w:rFonts w:ascii="Arial" w:hAnsi="Arial"/>
          <w:bCs w:val="0"/>
          <w:smallCaps w:val="0"/>
          <w:color w:val="auto"/>
          <w:sz w:val="22"/>
        </w:rPr>
        <w:t>Métodos e Descrição do Programa</w:t>
      </w:r>
      <w:bookmarkEnd w:id="1185"/>
    </w:p>
    <w:p w:rsidR="0008766F" w:rsidRPr="009E41F8" w:rsidRDefault="0008766F" w:rsidP="0008766F">
      <w:pPr>
        <w:autoSpaceDE w:val="0"/>
        <w:autoSpaceDN w:val="0"/>
        <w:adjustRightInd w:val="0"/>
        <w:spacing w:after="120" w:line="240" w:lineRule="auto"/>
        <w:rPr>
          <w:rFonts w:cs="Arial"/>
          <w:szCs w:val="22"/>
        </w:rPr>
      </w:pPr>
      <w:r w:rsidRPr="009E41F8">
        <w:rPr>
          <w:rFonts w:cs="Arial"/>
          <w:szCs w:val="22"/>
        </w:rPr>
        <w:t xml:space="preserve">A seguir descrevem-se as diretrizes e principais ações previstas na operacionalização do </w:t>
      </w:r>
      <w:r>
        <w:rPr>
          <w:rFonts w:cs="Arial"/>
          <w:szCs w:val="22"/>
        </w:rPr>
        <w:t xml:space="preserve">Programa de Monitoramento da Biota Aquática </w:t>
      </w:r>
      <w:r w:rsidRPr="009E41F8">
        <w:rPr>
          <w:rFonts w:cs="Arial"/>
          <w:szCs w:val="22"/>
        </w:rPr>
        <w:t>compreendendo</w:t>
      </w:r>
      <w:r>
        <w:rPr>
          <w:rFonts w:cs="Arial"/>
          <w:szCs w:val="22"/>
        </w:rPr>
        <w:t>:</w:t>
      </w:r>
      <w:r w:rsidRPr="009E41F8">
        <w:rPr>
          <w:rFonts w:cs="Arial"/>
          <w:szCs w:val="22"/>
        </w:rPr>
        <w:t xml:space="preserve"> a definição da rede de amostragem </w:t>
      </w:r>
      <w:r>
        <w:rPr>
          <w:rFonts w:cs="Arial"/>
          <w:szCs w:val="22"/>
        </w:rPr>
        <w:t xml:space="preserve">(subitem a) </w:t>
      </w:r>
      <w:r w:rsidRPr="009E41F8">
        <w:rPr>
          <w:rFonts w:cs="Arial"/>
          <w:szCs w:val="22"/>
        </w:rPr>
        <w:t>e os procedimentos de coleta e análise</w:t>
      </w:r>
      <w:r>
        <w:rPr>
          <w:rFonts w:cs="Arial"/>
          <w:szCs w:val="22"/>
        </w:rPr>
        <w:t xml:space="preserve"> em laboratório das comunidades </w:t>
      </w:r>
      <w:r w:rsidRPr="00DE1C35">
        <w:rPr>
          <w:rFonts w:cs="Arial"/>
          <w:szCs w:val="22"/>
        </w:rPr>
        <w:t>planctônicas</w:t>
      </w:r>
      <w:r>
        <w:rPr>
          <w:rFonts w:cs="Arial"/>
          <w:szCs w:val="22"/>
        </w:rPr>
        <w:t xml:space="preserve">, </w:t>
      </w:r>
      <w:r w:rsidRPr="00DE1C35">
        <w:rPr>
          <w:rFonts w:cs="Arial"/>
          <w:szCs w:val="22"/>
        </w:rPr>
        <w:t>bentônicas</w:t>
      </w:r>
      <w:r>
        <w:rPr>
          <w:rFonts w:cs="Arial"/>
          <w:szCs w:val="22"/>
        </w:rPr>
        <w:t xml:space="preserve"> e macrófitas aquáticas (subitem b).</w:t>
      </w:r>
    </w:p>
    <w:p w:rsidR="0008766F" w:rsidRPr="009E41F8" w:rsidRDefault="0008766F" w:rsidP="00431A97">
      <w:pPr>
        <w:numPr>
          <w:ilvl w:val="0"/>
          <w:numId w:val="75"/>
        </w:numPr>
        <w:spacing w:after="120" w:line="240" w:lineRule="auto"/>
        <w:ind w:left="567" w:hanging="567"/>
        <w:rPr>
          <w:rFonts w:cs="Arial"/>
          <w:szCs w:val="22"/>
        </w:rPr>
      </w:pPr>
      <w:r w:rsidRPr="009E41F8">
        <w:rPr>
          <w:rFonts w:cs="Arial"/>
          <w:szCs w:val="22"/>
        </w:rPr>
        <w:t>Rede de Amostragem</w:t>
      </w:r>
    </w:p>
    <w:p w:rsidR="0008766F" w:rsidRPr="00B04DAB" w:rsidRDefault="0008766F" w:rsidP="0008766F">
      <w:pPr>
        <w:autoSpaceDE w:val="0"/>
        <w:autoSpaceDN w:val="0"/>
        <w:adjustRightInd w:val="0"/>
        <w:spacing w:after="120" w:line="240" w:lineRule="auto"/>
        <w:rPr>
          <w:rFonts w:cs="Arial"/>
          <w:szCs w:val="22"/>
        </w:rPr>
      </w:pPr>
      <w:r w:rsidRPr="00E45F79">
        <w:rPr>
          <w:rFonts w:cs="Arial"/>
          <w:szCs w:val="22"/>
        </w:rPr>
        <w:t>A avaliação da biota aquática será, em princípio, baseada na mesma rede de amostragem considerada no diagnóstico ambiental (</w:t>
      </w:r>
      <w:r>
        <w:rPr>
          <w:rFonts w:cs="Arial"/>
          <w:szCs w:val="22"/>
        </w:rPr>
        <w:t>Volume III – Diagnóstico Ambiental do Meio Biótico, Tomo 1 (Parte 2), I</w:t>
      </w:r>
      <w:r w:rsidRPr="00E45F79">
        <w:rPr>
          <w:rFonts w:cs="Arial"/>
          <w:szCs w:val="22"/>
        </w:rPr>
        <w:t xml:space="preserve">tem </w:t>
      </w:r>
      <w:r>
        <w:rPr>
          <w:rFonts w:cs="Arial"/>
          <w:szCs w:val="22"/>
        </w:rPr>
        <w:t>6</w:t>
      </w:r>
      <w:r w:rsidRPr="00E45F79">
        <w:rPr>
          <w:rFonts w:eastAsia="Calibri"/>
          <w:szCs w:val="22"/>
          <w:lang w:eastAsia="en-US"/>
        </w:rPr>
        <w:t>)</w:t>
      </w:r>
      <w:r w:rsidRPr="00E45F79">
        <w:rPr>
          <w:rFonts w:cs="Arial"/>
          <w:szCs w:val="22"/>
        </w:rPr>
        <w:t>. Para a Barragem Pedreira, a malha amostral compree</w:t>
      </w:r>
      <w:r>
        <w:rPr>
          <w:rFonts w:cs="Arial"/>
          <w:szCs w:val="22"/>
        </w:rPr>
        <w:t>nderá</w:t>
      </w:r>
      <w:r w:rsidRPr="00E45F79">
        <w:rPr>
          <w:rFonts w:cs="Arial"/>
          <w:szCs w:val="22"/>
        </w:rPr>
        <w:t xml:space="preserve"> um total de cinco pontos de coleta, denominados P01 a P05, dos quais quatro estão localizados no rio Jaguari e um deles situado em seu afluente da margem direita - córrego Entre-Montes (P04), conforme </w:t>
      </w:r>
      <w:r w:rsidRPr="00B04DAB">
        <w:rPr>
          <w:rFonts w:cs="Arial"/>
          <w:szCs w:val="22"/>
        </w:rPr>
        <w:t xml:space="preserve">indicado no Quadro </w:t>
      </w:r>
      <w:r w:rsidR="00B04DAB" w:rsidRPr="00B04DAB">
        <w:rPr>
          <w:rFonts w:cs="Arial"/>
          <w:szCs w:val="22"/>
        </w:rPr>
        <w:t>3.4.4.</w:t>
      </w:r>
    </w:p>
    <w:p w:rsidR="0008766F" w:rsidRDefault="00B04DAB" w:rsidP="00B04DAB">
      <w:pPr>
        <w:pStyle w:val="Legenda"/>
        <w:spacing w:before="0" w:after="0" w:line="240" w:lineRule="auto"/>
        <w:jc w:val="center"/>
        <w:rPr>
          <w:rFonts w:cs="Arial"/>
          <w:b w:val="0"/>
          <w:i w:val="0"/>
          <w:szCs w:val="22"/>
        </w:rPr>
      </w:pPr>
      <w:r w:rsidRPr="00B04DAB">
        <w:rPr>
          <w:i w:val="0"/>
        </w:rPr>
        <w:t>Quadro 3.4.</w:t>
      </w:r>
      <w:r w:rsidR="00B80A05" w:rsidRPr="00B04DAB">
        <w:rPr>
          <w:i w:val="0"/>
        </w:rPr>
        <w:fldChar w:fldCharType="begin"/>
      </w:r>
      <w:r w:rsidRPr="00B04DAB">
        <w:rPr>
          <w:i w:val="0"/>
        </w:rPr>
        <w:instrText xml:space="preserve"> SEQ Quadro_3.4. \* ARABIC </w:instrText>
      </w:r>
      <w:r w:rsidR="00B80A05" w:rsidRPr="00B04DAB">
        <w:rPr>
          <w:i w:val="0"/>
        </w:rPr>
        <w:fldChar w:fldCharType="separate"/>
      </w:r>
      <w:r w:rsidR="00316060">
        <w:rPr>
          <w:i w:val="0"/>
          <w:noProof/>
        </w:rPr>
        <w:t>11</w:t>
      </w:r>
      <w:r w:rsidR="00B80A05" w:rsidRPr="00B04DAB">
        <w:rPr>
          <w:i w:val="0"/>
        </w:rPr>
        <w:fldChar w:fldCharType="end"/>
      </w:r>
      <w:r w:rsidRPr="00B04DAB">
        <w:rPr>
          <w:i w:val="0"/>
        </w:rPr>
        <w:t>.</w:t>
      </w:r>
      <w:r w:rsidRPr="00B04DAB">
        <w:rPr>
          <w:b w:val="0"/>
          <w:i w:val="0"/>
        </w:rPr>
        <w:t xml:space="preserve"> - </w:t>
      </w:r>
      <w:r w:rsidR="0008766F" w:rsidRPr="00B04DAB">
        <w:rPr>
          <w:rFonts w:cs="Arial"/>
          <w:b w:val="0"/>
          <w:i w:val="0"/>
          <w:szCs w:val="22"/>
        </w:rPr>
        <w:t>Rede de Amostragem do Programa de Monitoramento da Biota Aquática - Barragem Pedreira.</w:t>
      </w:r>
    </w:p>
    <w:tbl>
      <w:tblPr>
        <w:tblW w:w="5037" w:type="pct"/>
        <w:jc w:val="center"/>
        <w:tblInd w:w="-72" w:type="dxa"/>
        <w:tblCellMar>
          <w:left w:w="70" w:type="dxa"/>
          <w:right w:w="70" w:type="dxa"/>
        </w:tblCellMar>
        <w:tblLook w:val="04A0" w:firstRow="1" w:lastRow="0" w:firstColumn="1" w:lastColumn="0" w:noHBand="0" w:noVBand="1"/>
      </w:tblPr>
      <w:tblGrid>
        <w:gridCol w:w="850"/>
        <w:gridCol w:w="1986"/>
        <w:gridCol w:w="3969"/>
        <w:gridCol w:w="1379"/>
        <w:gridCol w:w="1381"/>
      </w:tblGrid>
      <w:tr w:rsidR="0008766F" w:rsidRPr="009E41F8" w:rsidTr="00623CE0">
        <w:trPr>
          <w:trHeight w:val="340"/>
          <w:tblHeader/>
          <w:jc w:val="center"/>
        </w:trPr>
        <w:tc>
          <w:tcPr>
            <w:tcW w:w="444"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Ponto</w:t>
            </w:r>
          </w:p>
        </w:tc>
        <w:tc>
          <w:tcPr>
            <w:tcW w:w="1038"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Curso d’água</w:t>
            </w:r>
          </w:p>
        </w:tc>
        <w:tc>
          <w:tcPr>
            <w:tcW w:w="2075"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Localização</w:t>
            </w:r>
          </w:p>
        </w:tc>
        <w:tc>
          <w:tcPr>
            <w:tcW w:w="1443" w:type="pct"/>
            <w:gridSpan w:val="2"/>
            <w:tcBorders>
              <w:top w:val="single" w:sz="8" w:space="0" w:color="auto"/>
              <w:left w:val="nil"/>
              <w:bottom w:val="single" w:sz="8" w:space="0" w:color="auto"/>
              <w:right w:val="single" w:sz="8" w:space="0" w:color="000000"/>
            </w:tcBorders>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Coordenadas Geográficas (Fuso 23K)</w:t>
            </w:r>
          </w:p>
        </w:tc>
      </w:tr>
      <w:tr w:rsidR="00623CE0" w:rsidRPr="009E41F8" w:rsidTr="00623CE0">
        <w:trPr>
          <w:trHeight w:val="340"/>
          <w:tblHeader/>
          <w:jc w:val="center"/>
        </w:trPr>
        <w:tc>
          <w:tcPr>
            <w:tcW w:w="444" w:type="pct"/>
            <w:vMerge/>
            <w:tcBorders>
              <w:top w:val="single" w:sz="8" w:space="0" w:color="auto"/>
              <w:left w:val="single" w:sz="8" w:space="0" w:color="auto"/>
              <w:bottom w:val="single" w:sz="8" w:space="0" w:color="000000"/>
              <w:right w:val="single" w:sz="8" w:space="0" w:color="auto"/>
            </w:tcBorders>
            <w:vAlign w:val="center"/>
            <w:hideMark/>
          </w:tcPr>
          <w:p w:rsidR="0008766F" w:rsidRPr="009E41F8" w:rsidRDefault="0008766F" w:rsidP="0008766F">
            <w:pPr>
              <w:spacing w:after="120" w:line="240" w:lineRule="auto"/>
              <w:jc w:val="left"/>
              <w:rPr>
                <w:rFonts w:cs="Arial"/>
                <w:b/>
                <w:bCs/>
                <w:szCs w:val="22"/>
              </w:rPr>
            </w:pPr>
          </w:p>
        </w:tc>
        <w:tc>
          <w:tcPr>
            <w:tcW w:w="1038" w:type="pct"/>
            <w:vMerge/>
            <w:tcBorders>
              <w:top w:val="single" w:sz="8" w:space="0" w:color="auto"/>
              <w:left w:val="single" w:sz="8" w:space="0" w:color="auto"/>
              <w:bottom w:val="single" w:sz="8" w:space="0" w:color="000000"/>
              <w:right w:val="single" w:sz="8" w:space="0" w:color="auto"/>
            </w:tcBorders>
            <w:vAlign w:val="center"/>
            <w:hideMark/>
          </w:tcPr>
          <w:p w:rsidR="0008766F" w:rsidRPr="009E41F8" w:rsidRDefault="0008766F" w:rsidP="0008766F">
            <w:pPr>
              <w:spacing w:after="120" w:line="240" w:lineRule="auto"/>
              <w:jc w:val="left"/>
              <w:rPr>
                <w:rFonts w:cs="Arial"/>
                <w:b/>
                <w:bCs/>
                <w:szCs w:val="22"/>
              </w:rPr>
            </w:pPr>
          </w:p>
        </w:tc>
        <w:tc>
          <w:tcPr>
            <w:tcW w:w="2075" w:type="pct"/>
            <w:vMerge/>
            <w:tcBorders>
              <w:top w:val="single" w:sz="8" w:space="0" w:color="auto"/>
              <w:left w:val="single" w:sz="8" w:space="0" w:color="auto"/>
              <w:bottom w:val="single" w:sz="8" w:space="0" w:color="000000"/>
              <w:right w:val="single" w:sz="8" w:space="0" w:color="auto"/>
            </w:tcBorders>
            <w:vAlign w:val="center"/>
            <w:hideMark/>
          </w:tcPr>
          <w:p w:rsidR="0008766F" w:rsidRPr="009E41F8" w:rsidRDefault="0008766F" w:rsidP="0008766F">
            <w:pPr>
              <w:spacing w:after="120" w:line="240" w:lineRule="auto"/>
              <w:jc w:val="left"/>
              <w:rPr>
                <w:rFonts w:cs="Arial"/>
                <w:b/>
                <w:bCs/>
                <w:szCs w:val="22"/>
              </w:rPr>
            </w:pPr>
          </w:p>
        </w:tc>
        <w:tc>
          <w:tcPr>
            <w:tcW w:w="721" w:type="pct"/>
            <w:tcBorders>
              <w:top w:val="nil"/>
              <w:left w:val="nil"/>
              <w:bottom w:val="single" w:sz="8" w:space="0" w:color="auto"/>
              <w:right w:val="single" w:sz="8" w:space="0" w:color="auto"/>
            </w:tcBorders>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Norte</w:t>
            </w:r>
          </w:p>
        </w:tc>
        <w:tc>
          <w:tcPr>
            <w:tcW w:w="721" w:type="pct"/>
            <w:tcBorders>
              <w:top w:val="nil"/>
              <w:left w:val="nil"/>
              <w:bottom w:val="single" w:sz="8" w:space="0" w:color="auto"/>
              <w:right w:val="single" w:sz="8" w:space="0" w:color="auto"/>
            </w:tcBorders>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Leste</w:t>
            </w:r>
          </w:p>
        </w:tc>
      </w:tr>
      <w:tr w:rsidR="00623CE0" w:rsidRPr="009E41F8" w:rsidTr="00623CE0">
        <w:trPr>
          <w:trHeight w:val="340"/>
          <w:jc w:val="center"/>
        </w:trPr>
        <w:tc>
          <w:tcPr>
            <w:tcW w:w="444" w:type="pct"/>
            <w:tcBorders>
              <w:top w:val="nil"/>
              <w:left w:val="single" w:sz="8" w:space="0" w:color="auto"/>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P01</w:t>
            </w:r>
          </w:p>
        </w:tc>
        <w:tc>
          <w:tcPr>
            <w:tcW w:w="1038"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Rio Jaguari</w:t>
            </w:r>
          </w:p>
        </w:tc>
        <w:tc>
          <w:tcPr>
            <w:tcW w:w="2075"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B04DAB">
            <w:pPr>
              <w:spacing w:after="120" w:line="240" w:lineRule="auto"/>
              <w:rPr>
                <w:rFonts w:cs="Arial"/>
                <w:szCs w:val="22"/>
              </w:rPr>
            </w:pPr>
            <w:r w:rsidRPr="009E41F8">
              <w:rPr>
                <w:rFonts w:cs="Arial"/>
                <w:szCs w:val="22"/>
              </w:rPr>
              <w:t>A montante do futuro reservatório</w:t>
            </w:r>
          </w:p>
        </w:tc>
        <w:tc>
          <w:tcPr>
            <w:tcW w:w="72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7.476.703</w:t>
            </w:r>
          </w:p>
        </w:tc>
        <w:tc>
          <w:tcPr>
            <w:tcW w:w="72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305.538</w:t>
            </w:r>
          </w:p>
        </w:tc>
      </w:tr>
      <w:tr w:rsidR="00623CE0" w:rsidRPr="009E41F8" w:rsidTr="00623CE0">
        <w:trPr>
          <w:trHeight w:val="340"/>
          <w:jc w:val="center"/>
        </w:trPr>
        <w:tc>
          <w:tcPr>
            <w:tcW w:w="444" w:type="pct"/>
            <w:tcBorders>
              <w:top w:val="nil"/>
              <w:left w:val="single" w:sz="8" w:space="0" w:color="auto"/>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P02</w:t>
            </w:r>
          </w:p>
        </w:tc>
        <w:tc>
          <w:tcPr>
            <w:tcW w:w="1038"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Rio Jaguari</w:t>
            </w:r>
          </w:p>
        </w:tc>
        <w:tc>
          <w:tcPr>
            <w:tcW w:w="2075"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B04DAB">
            <w:pPr>
              <w:spacing w:after="120" w:line="240" w:lineRule="auto"/>
              <w:rPr>
                <w:rFonts w:cs="Arial"/>
                <w:szCs w:val="22"/>
              </w:rPr>
            </w:pPr>
            <w:r w:rsidRPr="009E41F8">
              <w:rPr>
                <w:rFonts w:cs="Arial"/>
                <w:szCs w:val="22"/>
              </w:rPr>
              <w:t>Corpo principal do futuro reservatório, próximo à barragem projetada</w:t>
            </w:r>
          </w:p>
        </w:tc>
        <w:tc>
          <w:tcPr>
            <w:tcW w:w="72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7.480.678</w:t>
            </w:r>
          </w:p>
        </w:tc>
        <w:tc>
          <w:tcPr>
            <w:tcW w:w="72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304.646</w:t>
            </w:r>
          </w:p>
        </w:tc>
      </w:tr>
      <w:tr w:rsidR="00623CE0" w:rsidRPr="009E41F8" w:rsidTr="00623CE0">
        <w:trPr>
          <w:trHeight w:val="340"/>
          <w:jc w:val="center"/>
        </w:trPr>
        <w:tc>
          <w:tcPr>
            <w:tcW w:w="444" w:type="pct"/>
            <w:tcBorders>
              <w:top w:val="nil"/>
              <w:left w:val="single" w:sz="8" w:space="0" w:color="auto"/>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P03</w:t>
            </w:r>
          </w:p>
        </w:tc>
        <w:tc>
          <w:tcPr>
            <w:tcW w:w="1038"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Rio Jaguari</w:t>
            </w:r>
          </w:p>
        </w:tc>
        <w:tc>
          <w:tcPr>
            <w:tcW w:w="2075"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B04DAB">
            <w:pPr>
              <w:spacing w:after="120" w:line="240" w:lineRule="auto"/>
              <w:rPr>
                <w:rFonts w:cs="Arial"/>
                <w:szCs w:val="22"/>
              </w:rPr>
            </w:pPr>
            <w:r w:rsidRPr="009E41F8">
              <w:rPr>
                <w:rFonts w:cs="Arial"/>
                <w:szCs w:val="22"/>
              </w:rPr>
              <w:t>A jusante do futuro reservatório</w:t>
            </w:r>
          </w:p>
        </w:tc>
        <w:tc>
          <w:tcPr>
            <w:tcW w:w="72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7.481.271</w:t>
            </w:r>
          </w:p>
        </w:tc>
        <w:tc>
          <w:tcPr>
            <w:tcW w:w="72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304.270</w:t>
            </w:r>
          </w:p>
        </w:tc>
      </w:tr>
      <w:tr w:rsidR="00623CE0" w:rsidRPr="009E41F8" w:rsidTr="00623CE0">
        <w:trPr>
          <w:trHeight w:val="340"/>
          <w:jc w:val="center"/>
        </w:trPr>
        <w:tc>
          <w:tcPr>
            <w:tcW w:w="444" w:type="pct"/>
            <w:tcBorders>
              <w:top w:val="nil"/>
              <w:left w:val="single" w:sz="8" w:space="0" w:color="auto"/>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P04</w:t>
            </w:r>
          </w:p>
        </w:tc>
        <w:tc>
          <w:tcPr>
            <w:tcW w:w="1038"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Córrego Entre-Montes</w:t>
            </w:r>
          </w:p>
        </w:tc>
        <w:tc>
          <w:tcPr>
            <w:tcW w:w="2075"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B04DAB">
            <w:pPr>
              <w:spacing w:after="120" w:line="240" w:lineRule="auto"/>
              <w:rPr>
                <w:rFonts w:cs="Arial"/>
                <w:szCs w:val="22"/>
              </w:rPr>
            </w:pPr>
            <w:r w:rsidRPr="009E41F8">
              <w:rPr>
                <w:rFonts w:cs="Arial"/>
                <w:szCs w:val="22"/>
              </w:rPr>
              <w:t>Braço contribuinte da margem direita do futuro reservatório, próximo à foz</w:t>
            </w:r>
          </w:p>
        </w:tc>
        <w:tc>
          <w:tcPr>
            <w:tcW w:w="72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7.478.768</w:t>
            </w:r>
          </w:p>
        </w:tc>
        <w:tc>
          <w:tcPr>
            <w:tcW w:w="72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304.980</w:t>
            </w:r>
          </w:p>
        </w:tc>
      </w:tr>
      <w:tr w:rsidR="00623CE0" w:rsidRPr="009E41F8" w:rsidTr="00623CE0">
        <w:trPr>
          <w:trHeight w:val="340"/>
          <w:jc w:val="center"/>
        </w:trPr>
        <w:tc>
          <w:tcPr>
            <w:tcW w:w="444" w:type="pct"/>
            <w:tcBorders>
              <w:top w:val="nil"/>
              <w:left w:val="single" w:sz="8" w:space="0" w:color="auto"/>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P05</w:t>
            </w:r>
          </w:p>
        </w:tc>
        <w:tc>
          <w:tcPr>
            <w:tcW w:w="1038"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Rio Jaguari</w:t>
            </w:r>
          </w:p>
        </w:tc>
        <w:tc>
          <w:tcPr>
            <w:tcW w:w="2075"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B04DAB">
            <w:pPr>
              <w:spacing w:after="120" w:line="240" w:lineRule="auto"/>
              <w:rPr>
                <w:rFonts w:cs="Arial"/>
                <w:szCs w:val="22"/>
              </w:rPr>
            </w:pPr>
            <w:r w:rsidRPr="009E41F8">
              <w:rPr>
                <w:rFonts w:cs="Arial"/>
                <w:szCs w:val="22"/>
              </w:rPr>
              <w:t>Corpo principal do futuro reservatório, a jusante do córrego Entre-Montes</w:t>
            </w:r>
          </w:p>
        </w:tc>
        <w:tc>
          <w:tcPr>
            <w:tcW w:w="72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7.480.039</w:t>
            </w:r>
          </w:p>
        </w:tc>
        <w:tc>
          <w:tcPr>
            <w:tcW w:w="72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304.877</w:t>
            </w:r>
          </w:p>
        </w:tc>
      </w:tr>
    </w:tbl>
    <w:p w:rsidR="0008766F" w:rsidRPr="009E41F8" w:rsidRDefault="0008766F" w:rsidP="0008766F">
      <w:pPr>
        <w:autoSpaceDE w:val="0"/>
        <w:autoSpaceDN w:val="0"/>
        <w:adjustRightInd w:val="0"/>
        <w:spacing w:after="120" w:line="240" w:lineRule="auto"/>
        <w:rPr>
          <w:rFonts w:cs="Arial"/>
          <w:szCs w:val="22"/>
          <w:highlight w:val="yellow"/>
        </w:rPr>
      </w:pPr>
    </w:p>
    <w:p w:rsidR="0008766F" w:rsidRDefault="0008766F" w:rsidP="0008766F">
      <w:pPr>
        <w:autoSpaceDE w:val="0"/>
        <w:autoSpaceDN w:val="0"/>
        <w:adjustRightInd w:val="0"/>
        <w:spacing w:after="120" w:line="240" w:lineRule="auto"/>
        <w:rPr>
          <w:rFonts w:cs="Arial"/>
          <w:szCs w:val="22"/>
        </w:rPr>
      </w:pPr>
      <w:r w:rsidRPr="009E41F8">
        <w:rPr>
          <w:rFonts w:cs="Arial"/>
          <w:szCs w:val="22"/>
        </w:rPr>
        <w:t xml:space="preserve">A rede de amostragem da </w:t>
      </w:r>
      <w:r>
        <w:rPr>
          <w:rFonts w:cs="Arial"/>
          <w:szCs w:val="22"/>
        </w:rPr>
        <w:t>biota aquática d</w:t>
      </w:r>
      <w:r w:rsidRPr="009E41F8">
        <w:rPr>
          <w:rFonts w:cs="Arial"/>
          <w:szCs w:val="22"/>
        </w:rPr>
        <w:t>a Barragem Duas Pontes</w:t>
      </w:r>
      <w:r>
        <w:rPr>
          <w:rFonts w:cs="Arial"/>
          <w:szCs w:val="22"/>
        </w:rPr>
        <w:t xml:space="preserve"> contemplará </w:t>
      </w:r>
      <w:r w:rsidRPr="009E41F8">
        <w:rPr>
          <w:rFonts w:cs="Arial"/>
          <w:szCs w:val="22"/>
        </w:rPr>
        <w:t xml:space="preserve">seis pontos de coleta, localizados no rio Camanducaia (P01, P02 e P03) e em seus afluentes, um na margem esquerda (P05) e dois na margem direita, posicionados no ribeirão do Pantaleão (P04) e no córrego da Boa Vista (P06), </w:t>
      </w:r>
      <w:r w:rsidRPr="00B04DAB">
        <w:rPr>
          <w:rFonts w:cs="Arial"/>
          <w:szCs w:val="22"/>
        </w:rPr>
        <w:t xml:space="preserve">respectivamente (Quadro </w:t>
      </w:r>
      <w:r w:rsidR="00B04DAB" w:rsidRPr="00B04DAB">
        <w:rPr>
          <w:rFonts w:cs="Arial"/>
          <w:szCs w:val="22"/>
        </w:rPr>
        <w:t>3.4.5.</w:t>
      </w:r>
      <w:r w:rsidRPr="00B04DAB">
        <w:rPr>
          <w:rFonts w:cs="Arial"/>
          <w:szCs w:val="22"/>
        </w:rPr>
        <w:t>).</w:t>
      </w:r>
    </w:p>
    <w:p w:rsidR="00623CE0" w:rsidRDefault="00623CE0" w:rsidP="0008766F">
      <w:pPr>
        <w:autoSpaceDE w:val="0"/>
        <w:autoSpaceDN w:val="0"/>
        <w:adjustRightInd w:val="0"/>
        <w:spacing w:after="120" w:line="240" w:lineRule="auto"/>
        <w:rPr>
          <w:rFonts w:cs="Arial"/>
          <w:szCs w:val="22"/>
        </w:rPr>
      </w:pPr>
      <w:r>
        <w:rPr>
          <w:rFonts w:cs="Arial"/>
          <w:szCs w:val="22"/>
        </w:rPr>
        <w:br w:type="page"/>
      </w:r>
    </w:p>
    <w:p w:rsidR="0008766F" w:rsidRPr="00B04DAB" w:rsidRDefault="00B04DAB" w:rsidP="00B04DAB">
      <w:pPr>
        <w:pStyle w:val="Legenda"/>
        <w:spacing w:before="0" w:after="0" w:line="240" w:lineRule="auto"/>
        <w:jc w:val="center"/>
        <w:rPr>
          <w:b w:val="0"/>
          <w:i w:val="0"/>
          <w:szCs w:val="22"/>
        </w:rPr>
      </w:pPr>
      <w:r w:rsidRPr="00B04DAB">
        <w:rPr>
          <w:i w:val="0"/>
        </w:rPr>
        <w:t>Quadro 3.4.</w:t>
      </w:r>
      <w:r w:rsidR="00B80A05" w:rsidRPr="00B04DAB">
        <w:rPr>
          <w:i w:val="0"/>
        </w:rPr>
        <w:fldChar w:fldCharType="begin"/>
      </w:r>
      <w:r w:rsidRPr="00B04DAB">
        <w:rPr>
          <w:i w:val="0"/>
        </w:rPr>
        <w:instrText xml:space="preserve"> SEQ Quadro_3.4. \* ARABIC </w:instrText>
      </w:r>
      <w:r w:rsidR="00B80A05" w:rsidRPr="00B04DAB">
        <w:rPr>
          <w:i w:val="0"/>
        </w:rPr>
        <w:fldChar w:fldCharType="separate"/>
      </w:r>
      <w:r w:rsidR="00316060">
        <w:rPr>
          <w:i w:val="0"/>
          <w:noProof/>
        </w:rPr>
        <w:t>12</w:t>
      </w:r>
      <w:r w:rsidR="00B80A05" w:rsidRPr="00B04DAB">
        <w:rPr>
          <w:i w:val="0"/>
        </w:rPr>
        <w:fldChar w:fldCharType="end"/>
      </w:r>
      <w:r w:rsidRPr="00B04DAB">
        <w:rPr>
          <w:i w:val="0"/>
        </w:rPr>
        <w:t>.</w:t>
      </w:r>
      <w:r w:rsidRPr="00B04DAB">
        <w:rPr>
          <w:b w:val="0"/>
          <w:i w:val="0"/>
        </w:rPr>
        <w:t xml:space="preserve"> - </w:t>
      </w:r>
      <w:r w:rsidR="0008766F" w:rsidRPr="00B04DAB">
        <w:rPr>
          <w:rStyle w:val="CorpodetextoChar"/>
          <w:rFonts w:cs="Arial"/>
          <w:b w:val="0"/>
          <w:bCs/>
          <w:i w:val="0"/>
          <w:szCs w:val="22"/>
        </w:rPr>
        <w:t xml:space="preserve">Rede de </w:t>
      </w:r>
      <w:r w:rsidR="0008766F" w:rsidRPr="00B04DAB">
        <w:rPr>
          <w:b w:val="0"/>
          <w:i w:val="0"/>
          <w:szCs w:val="22"/>
        </w:rPr>
        <w:t xml:space="preserve">Amostragem do </w:t>
      </w:r>
      <w:r w:rsidR="0008766F" w:rsidRPr="00B04DAB">
        <w:rPr>
          <w:rFonts w:cs="Arial"/>
          <w:b w:val="0"/>
          <w:i w:val="0"/>
          <w:szCs w:val="22"/>
        </w:rPr>
        <w:t xml:space="preserve">Programa de Monitoramento da Biota Aquática </w:t>
      </w:r>
      <w:r w:rsidR="0008766F" w:rsidRPr="00B04DAB">
        <w:rPr>
          <w:b w:val="0"/>
          <w:i w:val="0"/>
          <w:szCs w:val="22"/>
        </w:rPr>
        <w:t>- Barragem Duas Pontes.</w:t>
      </w:r>
    </w:p>
    <w:tbl>
      <w:tblPr>
        <w:tblW w:w="5000" w:type="pct"/>
        <w:jc w:val="center"/>
        <w:tblCellMar>
          <w:left w:w="70" w:type="dxa"/>
          <w:right w:w="70" w:type="dxa"/>
        </w:tblCellMar>
        <w:tblLook w:val="04A0" w:firstRow="1" w:lastRow="0" w:firstColumn="1" w:lastColumn="0" w:noHBand="0" w:noVBand="1"/>
      </w:tblPr>
      <w:tblGrid>
        <w:gridCol w:w="1082"/>
        <w:gridCol w:w="1844"/>
        <w:gridCol w:w="3806"/>
        <w:gridCol w:w="1381"/>
        <w:gridCol w:w="1382"/>
      </w:tblGrid>
      <w:tr w:rsidR="0008766F" w:rsidRPr="009E41F8" w:rsidTr="00623CE0">
        <w:trPr>
          <w:trHeight w:val="340"/>
          <w:tblHeader/>
          <w:jc w:val="center"/>
        </w:trPr>
        <w:tc>
          <w:tcPr>
            <w:tcW w:w="570"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Ponto</w:t>
            </w:r>
          </w:p>
        </w:tc>
        <w:tc>
          <w:tcPr>
            <w:tcW w:w="971"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Curso d’água</w:t>
            </w:r>
          </w:p>
        </w:tc>
        <w:tc>
          <w:tcPr>
            <w:tcW w:w="2004"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Localização</w:t>
            </w:r>
          </w:p>
        </w:tc>
        <w:tc>
          <w:tcPr>
            <w:tcW w:w="1455" w:type="pct"/>
            <w:gridSpan w:val="2"/>
            <w:tcBorders>
              <w:top w:val="single" w:sz="8" w:space="0" w:color="auto"/>
              <w:left w:val="nil"/>
              <w:bottom w:val="single" w:sz="8" w:space="0" w:color="auto"/>
              <w:right w:val="single" w:sz="8" w:space="0" w:color="000000"/>
            </w:tcBorders>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Coordenadas Geográficas (Fuso 23K)</w:t>
            </w:r>
          </w:p>
        </w:tc>
      </w:tr>
      <w:tr w:rsidR="0008766F" w:rsidRPr="009E41F8" w:rsidTr="00623CE0">
        <w:trPr>
          <w:trHeight w:val="340"/>
          <w:tblHeader/>
          <w:jc w:val="center"/>
        </w:trPr>
        <w:tc>
          <w:tcPr>
            <w:tcW w:w="570" w:type="pct"/>
            <w:vMerge/>
            <w:tcBorders>
              <w:top w:val="single" w:sz="8" w:space="0" w:color="auto"/>
              <w:left w:val="single" w:sz="8" w:space="0" w:color="auto"/>
              <w:bottom w:val="single" w:sz="8" w:space="0" w:color="000000"/>
              <w:right w:val="single" w:sz="8" w:space="0" w:color="auto"/>
            </w:tcBorders>
            <w:vAlign w:val="center"/>
            <w:hideMark/>
          </w:tcPr>
          <w:p w:rsidR="0008766F" w:rsidRPr="009E41F8" w:rsidRDefault="0008766F" w:rsidP="0008766F">
            <w:pPr>
              <w:spacing w:after="120" w:line="240" w:lineRule="auto"/>
              <w:jc w:val="left"/>
              <w:rPr>
                <w:rFonts w:cs="Arial"/>
                <w:b/>
                <w:bCs/>
                <w:szCs w:val="22"/>
              </w:rPr>
            </w:pPr>
          </w:p>
        </w:tc>
        <w:tc>
          <w:tcPr>
            <w:tcW w:w="971" w:type="pct"/>
            <w:vMerge/>
            <w:tcBorders>
              <w:top w:val="single" w:sz="8" w:space="0" w:color="auto"/>
              <w:left w:val="single" w:sz="8" w:space="0" w:color="auto"/>
              <w:bottom w:val="single" w:sz="8" w:space="0" w:color="000000"/>
              <w:right w:val="single" w:sz="8" w:space="0" w:color="auto"/>
            </w:tcBorders>
            <w:vAlign w:val="center"/>
            <w:hideMark/>
          </w:tcPr>
          <w:p w:rsidR="0008766F" w:rsidRPr="009E41F8" w:rsidRDefault="0008766F" w:rsidP="0008766F">
            <w:pPr>
              <w:spacing w:after="120" w:line="240" w:lineRule="auto"/>
              <w:jc w:val="left"/>
              <w:rPr>
                <w:rFonts w:cs="Arial"/>
                <w:b/>
                <w:bCs/>
                <w:szCs w:val="22"/>
              </w:rPr>
            </w:pPr>
          </w:p>
        </w:tc>
        <w:tc>
          <w:tcPr>
            <w:tcW w:w="2004" w:type="pct"/>
            <w:vMerge/>
            <w:tcBorders>
              <w:top w:val="single" w:sz="8" w:space="0" w:color="auto"/>
              <w:left w:val="single" w:sz="8" w:space="0" w:color="auto"/>
              <w:bottom w:val="single" w:sz="8" w:space="0" w:color="000000"/>
              <w:right w:val="single" w:sz="8" w:space="0" w:color="auto"/>
            </w:tcBorders>
            <w:vAlign w:val="center"/>
            <w:hideMark/>
          </w:tcPr>
          <w:p w:rsidR="0008766F" w:rsidRPr="009E41F8" w:rsidRDefault="0008766F" w:rsidP="0008766F">
            <w:pPr>
              <w:spacing w:after="120" w:line="240" w:lineRule="auto"/>
              <w:jc w:val="left"/>
              <w:rPr>
                <w:rFonts w:cs="Arial"/>
                <w:b/>
                <w:bCs/>
                <w:szCs w:val="22"/>
              </w:rPr>
            </w:pPr>
          </w:p>
        </w:tc>
        <w:tc>
          <w:tcPr>
            <w:tcW w:w="727" w:type="pct"/>
            <w:tcBorders>
              <w:top w:val="nil"/>
              <w:left w:val="nil"/>
              <w:bottom w:val="single" w:sz="8" w:space="0" w:color="auto"/>
              <w:right w:val="single" w:sz="8" w:space="0" w:color="auto"/>
            </w:tcBorders>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Norte</w:t>
            </w:r>
          </w:p>
        </w:tc>
        <w:tc>
          <w:tcPr>
            <w:tcW w:w="728" w:type="pct"/>
            <w:tcBorders>
              <w:top w:val="nil"/>
              <w:left w:val="nil"/>
              <w:bottom w:val="single" w:sz="8" w:space="0" w:color="auto"/>
              <w:right w:val="single" w:sz="8" w:space="0" w:color="auto"/>
            </w:tcBorders>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Leste</w:t>
            </w:r>
          </w:p>
        </w:tc>
      </w:tr>
      <w:tr w:rsidR="0008766F" w:rsidRPr="009E41F8" w:rsidTr="00623CE0">
        <w:trPr>
          <w:trHeight w:val="340"/>
          <w:jc w:val="center"/>
        </w:trPr>
        <w:tc>
          <w:tcPr>
            <w:tcW w:w="570" w:type="pct"/>
            <w:tcBorders>
              <w:top w:val="nil"/>
              <w:left w:val="single" w:sz="8" w:space="0" w:color="auto"/>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P01</w:t>
            </w:r>
          </w:p>
        </w:tc>
        <w:tc>
          <w:tcPr>
            <w:tcW w:w="97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Rio Camanducaia</w:t>
            </w:r>
          </w:p>
        </w:tc>
        <w:tc>
          <w:tcPr>
            <w:tcW w:w="2004"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B04DAB">
            <w:pPr>
              <w:spacing w:after="120" w:line="240" w:lineRule="auto"/>
              <w:rPr>
                <w:rFonts w:cs="Arial"/>
                <w:szCs w:val="22"/>
              </w:rPr>
            </w:pPr>
            <w:r>
              <w:rPr>
                <w:rFonts w:cs="Arial"/>
                <w:szCs w:val="22"/>
              </w:rPr>
              <w:t xml:space="preserve">A montante </w:t>
            </w:r>
            <w:r w:rsidRPr="009E41F8">
              <w:rPr>
                <w:rFonts w:cs="Arial"/>
                <w:szCs w:val="22"/>
              </w:rPr>
              <w:t>do futuro reservatório</w:t>
            </w:r>
          </w:p>
        </w:tc>
        <w:tc>
          <w:tcPr>
            <w:tcW w:w="727"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3C480A">
              <w:rPr>
                <w:rFonts w:cs="Arial"/>
                <w:szCs w:val="22"/>
              </w:rPr>
              <w:t>7</w:t>
            </w:r>
            <w:r>
              <w:rPr>
                <w:rFonts w:cs="Arial"/>
                <w:szCs w:val="22"/>
              </w:rPr>
              <w:t>.</w:t>
            </w:r>
            <w:r w:rsidRPr="003C480A">
              <w:rPr>
                <w:rFonts w:cs="Arial"/>
                <w:szCs w:val="22"/>
              </w:rPr>
              <w:t>487</w:t>
            </w:r>
            <w:r>
              <w:rPr>
                <w:rFonts w:cs="Arial"/>
                <w:szCs w:val="22"/>
              </w:rPr>
              <w:t>.</w:t>
            </w:r>
            <w:r w:rsidRPr="003C480A">
              <w:rPr>
                <w:rFonts w:cs="Arial"/>
                <w:szCs w:val="22"/>
              </w:rPr>
              <w:t>641</w:t>
            </w:r>
          </w:p>
        </w:tc>
        <w:tc>
          <w:tcPr>
            <w:tcW w:w="728"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3C480A">
              <w:rPr>
                <w:rFonts w:cs="Arial"/>
                <w:szCs w:val="22"/>
              </w:rPr>
              <w:t>311</w:t>
            </w:r>
            <w:r>
              <w:rPr>
                <w:rFonts w:cs="Arial"/>
                <w:szCs w:val="22"/>
              </w:rPr>
              <w:t>.</w:t>
            </w:r>
            <w:r w:rsidRPr="003C480A">
              <w:rPr>
                <w:rFonts w:cs="Arial"/>
                <w:szCs w:val="22"/>
              </w:rPr>
              <w:t>043</w:t>
            </w:r>
          </w:p>
        </w:tc>
      </w:tr>
      <w:tr w:rsidR="0008766F" w:rsidRPr="009E41F8" w:rsidTr="00623CE0">
        <w:trPr>
          <w:trHeight w:val="340"/>
          <w:jc w:val="center"/>
        </w:trPr>
        <w:tc>
          <w:tcPr>
            <w:tcW w:w="570" w:type="pct"/>
            <w:tcBorders>
              <w:top w:val="nil"/>
              <w:left w:val="single" w:sz="8" w:space="0" w:color="auto"/>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P02</w:t>
            </w:r>
          </w:p>
        </w:tc>
        <w:tc>
          <w:tcPr>
            <w:tcW w:w="97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Rio Camanducaia</w:t>
            </w:r>
          </w:p>
        </w:tc>
        <w:tc>
          <w:tcPr>
            <w:tcW w:w="2004"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B04DAB">
            <w:pPr>
              <w:spacing w:after="120" w:line="240" w:lineRule="auto"/>
              <w:rPr>
                <w:rFonts w:cs="Arial"/>
                <w:szCs w:val="22"/>
              </w:rPr>
            </w:pPr>
            <w:r w:rsidRPr="009E41F8">
              <w:rPr>
                <w:rFonts w:cs="Arial"/>
                <w:szCs w:val="22"/>
              </w:rPr>
              <w:t>Corpo principal do futuro reservatório, próximo à barragem projetada</w:t>
            </w:r>
          </w:p>
        </w:tc>
        <w:tc>
          <w:tcPr>
            <w:tcW w:w="727"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7.490.643</w:t>
            </w:r>
          </w:p>
        </w:tc>
        <w:tc>
          <w:tcPr>
            <w:tcW w:w="728"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308.309</w:t>
            </w:r>
          </w:p>
        </w:tc>
      </w:tr>
      <w:tr w:rsidR="0008766F" w:rsidRPr="009E41F8" w:rsidTr="00623CE0">
        <w:trPr>
          <w:trHeight w:val="340"/>
          <w:jc w:val="center"/>
        </w:trPr>
        <w:tc>
          <w:tcPr>
            <w:tcW w:w="570" w:type="pct"/>
            <w:tcBorders>
              <w:top w:val="nil"/>
              <w:left w:val="single" w:sz="8" w:space="0" w:color="auto"/>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P03</w:t>
            </w:r>
          </w:p>
        </w:tc>
        <w:tc>
          <w:tcPr>
            <w:tcW w:w="97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Rio Camanducaia</w:t>
            </w:r>
          </w:p>
        </w:tc>
        <w:tc>
          <w:tcPr>
            <w:tcW w:w="2004"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B04DAB">
            <w:pPr>
              <w:spacing w:after="120" w:line="240" w:lineRule="auto"/>
              <w:rPr>
                <w:rFonts w:cs="Arial"/>
                <w:szCs w:val="22"/>
              </w:rPr>
            </w:pPr>
            <w:r w:rsidRPr="009E41F8">
              <w:rPr>
                <w:rFonts w:cs="Arial"/>
                <w:szCs w:val="22"/>
              </w:rPr>
              <w:t>A jusante do futuro reservatório</w:t>
            </w:r>
          </w:p>
        </w:tc>
        <w:tc>
          <w:tcPr>
            <w:tcW w:w="727"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7.489.924</w:t>
            </w:r>
          </w:p>
        </w:tc>
        <w:tc>
          <w:tcPr>
            <w:tcW w:w="728"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306.890</w:t>
            </w:r>
          </w:p>
        </w:tc>
      </w:tr>
      <w:tr w:rsidR="0008766F" w:rsidRPr="009E41F8" w:rsidTr="00623CE0">
        <w:trPr>
          <w:trHeight w:val="340"/>
          <w:jc w:val="center"/>
        </w:trPr>
        <w:tc>
          <w:tcPr>
            <w:tcW w:w="570" w:type="pct"/>
            <w:tcBorders>
              <w:top w:val="nil"/>
              <w:left w:val="single" w:sz="8" w:space="0" w:color="auto"/>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P04</w:t>
            </w:r>
          </w:p>
        </w:tc>
        <w:tc>
          <w:tcPr>
            <w:tcW w:w="97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Ribeirão do Pantaleão</w:t>
            </w:r>
          </w:p>
        </w:tc>
        <w:tc>
          <w:tcPr>
            <w:tcW w:w="2004"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B04DAB">
            <w:pPr>
              <w:spacing w:after="120" w:line="240" w:lineRule="auto"/>
              <w:rPr>
                <w:rFonts w:cs="Arial"/>
                <w:szCs w:val="22"/>
              </w:rPr>
            </w:pPr>
            <w:r w:rsidRPr="009E41F8">
              <w:rPr>
                <w:rFonts w:cs="Arial"/>
                <w:szCs w:val="22"/>
              </w:rPr>
              <w:t>Principal braço contribuinte da margem direita do futuro reservatório</w:t>
            </w:r>
          </w:p>
        </w:tc>
        <w:tc>
          <w:tcPr>
            <w:tcW w:w="727"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7.492.416</w:t>
            </w:r>
          </w:p>
        </w:tc>
        <w:tc>
          <w:tcPr>
            <w:tcW w:w="728"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310.719</w:t>
            </w:r>
          </w:p>
        </w:tc>
      </w:tr>
      <w:tr w:rsidR="0008766F" w:rsidRPr="009E41F8" w:rsidTr="00623CE0">
        <w:trPr>
          <w:trHeight w:val="340"/>
          <w:jc w:val="center"/>
        </w:trPr>
        <w:tc>
          <w:tcPr>
            <w:tcW w:w="570" w:type="pct"/>
            <w:tcBorders>
              <w:top w:val="nil"/>
              <w:left w:val="single" w:sz="8" w:space="0" w:color="auto"/>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P05</w:t>
            </w:r>
          </w:p>
        </w:tc>
        <w:tc>
          <w:tcPr>
            <w:tcW w:w="97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Afluente Sem Denominação</w:t>
            </w:r>
          </w:p>
        </w:tc>
        <w:tc>
          <w:tcPr>
            <w:tcW w:w="2004"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B04DAB">
            <w:pPr>
              <w:spacing w:after="120" w:line="240" w:lineRule="auto"/>
              <w:rPr>
                <w:rFonts w:cs="Arial"/>
                <w:szCs w:val="22"/>
              </w:rPr>
            </w:pPr>
            <w:r w:rsidRPr="009E41F8">
              <w:rPr>
                <w:rFonts w:cs="Arial"/>
                <w:szCs w:val="22"/>
              </w:rPr>
              <w:t>Braço contribuinte da margem esquerda do futuro reservatório</w:t>
            </w:r>
          </w:p>
        </w:tc>
        <w:tc>
          <w:tcPr>
            <w:tcW w:w="727"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7.489.467</w:t>
            </w:r>
          </w:p>
        </w:tc>
        <w:tc>
          <w:tcPr>
            <w:tcW w:w="728"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308.694</w:t>
            </w:r>
          </w:p>
        </w:tc>
      </w:tr>
      <w:tr w:rsidR="0008766F" w:rsidRPr="009E41F8" w:rsidTr="00623CE0">
        <w:trPr>
          <w:trHeight w:val="340"/>
          <w:jc w:val="center"/>
        </w:trPr>
        <w:tc>
          <w:tcPr>
            <w:tcW w:w="570" w:type="pct"/>
            <w:tcBorders>
              <w:top w:val="nil"/>
              <w:left w:val="single" w:sz="8" w:space="0" w:color="auto"/>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P06</w:t>
            </w:r>
          </w:p>
        </w:tc>
        <w:tc>
          <w:tcPr>
            <w:tcW w:w="971"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Córrego da Boa Vista (lago)</w:t>
            </w:r>
          </w:p>
        </w:tc>
        <w:tc>
          <w:tcPr>
            <w:tcW w:w="2004"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B04DAB">
            <w:pPr>
              <w:spacing w:after="120" w:line="240" w:lineRule="auto"/>
              <w:rPr>
                <w:rFonts w:cs="Arial"/>
                <w:szCs w:val="22"/>
              </w:rPr>
            </w:pPr>
            <w:r w:rsidRPr="009E41F8">
              <w:rPr>
                <w:rFonts w:cs="Arial"/>
                <w:szCs w:val="22"/>
              </w:rPr>
              <w:t>Braço contribuinte da margem direita do futuro reservatório</w:t>
            </w:r>
          </w:p>
        </w:tc>
        <w:tc>
          <w:tcPr>
            <w:tcW w:w="727"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7.491.401</w:t>
            </w:r>
          </w:p>
        </w:tc>
        <w:tc>
          <w:tcPr>
            <w:tcW w:w="728" w:type="pct"/>
            <w:tcBorders>
              <w:top w:val="nil"/>
              <w:left w:val="nil"/>
              <w:bottom w:val="single" w:sz="8" w:space="0" w:color="auto"/>
              <w:right w:val="single" w:sz="8" w:space="0" w:color="auto"/>
            </w:tcBorders>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308.345</w:t>
            </w:r>
          </w:p>
        </w:tc>
      </w:tr>
    </w:tbl>
    <w:p w:rsidR="0008766F" w:rsidRPr="00E45F79" w:rsidRDefault="00B2744D" w:rsidP="0008766F">
      <w:pPr>
        <w:spacing w:before="120" w:after="120" w:line="240" w:lineRule="auto"/>
        <w:rPr>
          <w:rFonts w:cs="Arial"/>
          <w:szCs w:val="22"/>
        </w:rPr>
      </w:pPr>
      <w:r w:rsidRPr="00B2744D">
        <w:rPr>
          <w:rFonts w:cs="Arial"/>
          <w:szCs w:val="22"/>
        </w:rPr>
        <w:t>Nas fases de enchimento e operação das Barragens Pedreira e Duas Pontes, essa rede básica de monitoramento poderá ser ajustada para se adequar às condições particulares dos ambientes que serão formados a partir do enchimento dos reservatórios, devendo ser incluídos na rede amostral os pontos nas respectivas captações de água para abastecimento público.</w:t>
      </w:r>
    </w:p>
    <w:p w:rsidR="0008766F" w:rsidRDefault="0008766F" w:rsidP="0008766F">
      <w:pPr>
        <w:spacing w:before="120" w:after="120" w:line="240" w:lineRule="auto"/>
        <w:rPr>
          <w:rFonts w:cs="Arial"/>
          <w:szCs w:val="22"/>
        </w:rPr>
      </w:pPr>
      <w:r w:rsidRPr="00E45F79">
        <w:rPr>
          <w:rFonts w:cs="Arial"/>
          <w:szCs w:val="22"/>
        </w:rPr>
        <w:t>As campanhas deverão ser conduzidas juntamente com as coletas de qualidade das águas e sedimentos, de forma a otimizar os trabalhos de campo e permitir a integração e correlação dos resultados obtidos.</w:t>
      </w:r>
    </w:p>
    <w:p w:rsidR="0008766F" w:rsidRDefault="0008766F" w:rsidP="00431A97">
      <w:pPr>
        <w:numPr>
          <w:ilvl w:val="0"/>
          <w:numId w:val="75"/>
        </w:numPr>
        <w:spacing w:before="120" w:after="120"/>
        <w:ind w:left="567" w:hanging="567"/>
        <w:rPr>
          <w:rFonts w:cs="Arial"/>
          <w:szCs w:val="22"/>
        </w:rPr>
      </w:pPr>
      <w:r w:rsidRPr="00DE1C35">
        <w:rPr>
          <w:rFonts w:cs="Arial"/>
          <w:szCs w:val="22"/>
        </w:rPr>
        <w:t>Procedimentos de Coleta e Análise</w:t>
      </w:r>
    </w:p>
    <w:p w:rsidR="0008766F" w:rsidRPr="000014A4" w:rsidRDefault="0008766F" w:rsidP="000014A4">
      <w:pPr>
        <w:spacing w:before="120" w:after="120" w:line="240" w:lineRule="auto"/>
        <w:rPr>
          <w:rFonts w:cs="Arial"/>
          <w:szCs w:val="22"/>
        </w:rPr>
      </w:pPr>
      <w:r w:rsidRPr="000014A4">
        <w:rPr>
          <w:rFonts w:cs="Arial"/>
          <w:szCs w:val="22"/>
        </w:rPr>
        <w:t xml:space="preserve">Na sequência, são listados os procedimentos específicos para a coleta e análise em laboratório das comunidades planctônicas (fitoplâncton e zooplâncton), bentônicas e macrófitas aquáticas. </w:t>
      </w:r>
    </w:p>
    <w:p w:rsidR="0008766F" w:rsidRPr="00DE1C35" w:rsidRDefault="0008766F" w:rsidP="00431A97">
      <w:pPr>
        <w:numPr>
          <w:ilvl w:val="0"/>
          <w:numId w:val="33"/>
        </w:numPr>
        <w:tabs>
          <w:tab w:val="clear" w:pos="360"/>
        </w:tabs>
        <w:spacing w:before="120" w:after="120" w:line="240" w:lineRule="auto"/>
        <w:rPr>
          <w:rFonts w:eastAsia="Calibri" w:cs="Arial"/>
          <w:b/>
          <w:szCs w:val="22"/>
          <w:lang w:eastAsia="en-US"/>
        </w:rPr>
      </w:pPr>
      <w:r w:rsidRPr="00DE1C35">
        <w:rPr>
          <w:rFonts w:eastAsia="Calibri" w:cs="Arial"/>
          <w:b/>
          <w:szCs w:val="22"/>
          <w:lang w:eastAsia="en-US"/>
        </w:rPr>
        <w:t>Fitoplâncton</w:t>
      </w:r>
    </w:p>
    <w:p w:rsidR="00B2744D" w:rsidRPr="00B2744D" w:rsidRDefault="00B2744D" w:rsidP="00B2744D">
      <w:pPr>
        <w:pStyle w:val="UNIDUTO-Texto"/>
        <w:spacing w:before="120" w:after="120" w:line="240" w:lineRule="auto"/>
        <w:rPr>
          <w:rFonts w:ascii="Arial" w:hAnsi="Arial" w:cs="Arial"/>
          <w:szCs w:val="22"/>
        </w:rPr>
      </w:pPr>
      <w:r w:rsidRPr="00B2744D">
        <w:rPr>
          <w:rFonts w:ascii="Arial" w:hAnsi="Arial" w:cs="Arial"/>
          <w:szCs w:val="22"/>
        </w:rPr>
        <w:t>Em cada ponto de amostragem, serão tomadas amostras qualitativas e quantitativas do fitoplâncton. As amostras qualitativas serão obtidas por meio de arrasto horizontal utilizando-se rede de 20 µm de abertura de malha, enquanto que as amostras quantitativas serão coletadas através da imersão de frasco de coleta diretamente na água até seu enchimento.</w:t>
      </w:r>
    </w:p>
    <w:p w:rsidR="00B2744D" w:rsidRPr="00B2744D" w:rsidRDefault="00B2744D" w:rsidP="00B2744D">
      <w:pPr>
        <w:pStyle w:val="UNIDUTO-Texto"/>
        <w:spacing w:before="120" w:after="120" w:line="240" w:lineRule="auto"/>
        <w:rPr>
          <w:rFonts w:ascii="Arial" w:hAnsi="Arial" w:cs="Arial"/>
          <w:szCs w:val="22"/>
        </w:rPr>
      </w:pPr>
      <w:r w:rsidRPr="00B2744D">
        <w:rPr>
          <w:rFonts w:ascii="Arial" w:hAnsi="Arial" w:cs="Arial"/>
          <w:szCs w:val="22"/>
        </w:rPr>
        <w:t xml:space="preserve">Para preservação da amostra qualitativa será utilizada solução de formalina a 4% neutralizada com bicarbonato de sódio. Nessa amostra serão adicionadas gotas de lugol. Os frascos de coleta serão homogeneizados, etiquetados e encaminhados ao laboratório para identificação e contagem dos principais grupos taxonômicos. </w:t>
      </w:r>
    </w:p>
    <w:p w:rsidR="00B2744D" w:rsidRPr="00B2744D" w:rsidRDefault="00B2744D" w:rsidP="00B2744D">
      <w:pPr>
        <w:pStyle w:val="UNIDUTO-Texto"/>
        <w:spacing w:before="120" w:after="120" w:line="240" w:lineRule="auto"/>
        <w:rPr>
          <w:rFonts w:ascii="Arial" w:hAnsi="Arial" w:cs="Arial"/>
          <w:szCs w:val="22"/>
        </w:rPr>
      </w:pPr>
      <w:r w:rsidRPr="00B2744D">
        <w:rPr>
          <w:rFonts w:ascii="Arial" w:hAnsi="Arial" w:cs="Arial"/>
          <w:szCs w:val="22"/>
        </w:rPr>
        <w:t xml:space="preserve">Em laboratório, as análises serão realizadas segundo a metodologia proposta pelo Standard Methods for the Examination of Water and Wastewater, 22ª ed. (APHA, 2012). Os resultados de densidade do fitoplâncton serão expressos em organismos por mililitro (org./mL). </w:t>
      </w:r>
    </w:p>
    <w:p w:rsidR="0008766F" w:rsidRDefault="00B2744D" w:rsidP="00B2744D">
      <w:pPr>
        <w:pStyle w:val="UNIDUTO-Texto"/>
        <w:spacing w:before="120" w:after="120" w:line="240" w:lineRule="auto"/>
        <w:rPr>
          <w:rFonts w:ascii="Arial" w:hAnsi="Arial" w:cs="Arial"/>
          <w:szCs w:val="22"/>
        </w:rPr>
      </w:pPr>
      <w:r w:rsidRPr="00B2744D">
        <w:rPr>
          <w:rFonts w:ascii="Arial" w:hAnsi="Arial" w:cs="Arial"/>
          <w:szCs w:val="22"/>
        </w:rPr>
        <w:t xml:space="preserve">Cabe destacar que será efetuada a contagem de células de cianobactérias, em atendimento à Resolução </w:t>
      </w:r>
      <w:r w:rsidR="00504078">
        <w:rPr>
          <w:rFonts w:ascii="Arial" w:hAnsi="Arial" w:cs="Arial"/>
          <w:szCs w:val="22"/>
        </w:rPr>
        <w:t>CONAMA</w:t>
      </w:r>
      <w:r w:rsidRPr="00B2744D">
        <w:rPr>
          <w:rFonts w:ascii="Arial" w:hAnsi="Arial" w:cs="Arial"/>
          <w:szCs w:val="22"/>
        </w:rPr>
        <w:t xml:space="preserve"> 357/05 e à Portaria do Ministério da Saúde - MS nº 2.914/2011, com resultados expressos em células por mililitro (cél./mL).</w:t>
      </w:r>
    </w:p>
    <w:p w:rsidR="000014A4" w:rsidRDefault="00B2744D" w:rsidP="0008766F">
      <w:pPr>
        <w:pStyle w:val="UNIDUTO-Texto"/>
        <w:spacing w:before="120" w:after="120" w:line="240" w:lineRule="auto"/>
        <w:rPr>
          <w:rFonts w:ascii="Arial" w:hAnsi="Arial" w:cs="Arial"/>
          <w:szCs w:val="22"/>
        </w:rPr>
      </w:pPr>
      <w:r w:rsidRPr="00B2744D">
        <w:rPr>
          <w:rFonts w:ascii="Arial" w:hAnsi="Arial" w:cs="Arial"/>
          <w:szCs w:val="22"/>
        </w:rPr>
        <w:t>Conforme no Anexo VIII desta portaria, a frequência da amostragem das cianobactérias deverá ser mensal, nos pontos de captação, quando a densidade de células for inferior a 10.000 cél./mL e semanal quando ultrapassar 10.000 cél./mL. Quando a densidade de células de cianobactérias exceder 20.000 cél./mL, deverá ser realizada a análise de cianotoxinas, segundo preconizado no artigo 40 da Portaria nº 2.914/2011</w:t>
      </w:r>
      <w:r w:rsidR="0008766F" w:rsidRPr="00BA3488">
        <w:rPr>
          <w:rFonts w:ascii="Arial" w:hAnsi="Arial" w:cs="Arial"/>
          <w:szCs w:val="22"/>
          <w:lang w:eastAsia="en-GB"/>
        </w:rPr>
        <w:t>.</w:t>
      </w:r>
    </w:p>
    <w:p w:rsidR="0008766F" w:rsidRPr="00DE1C35" w:rsidRDefault="0008766F" w:rsidP="00431A97">
      <w:pPr>
        <w:numPr>
          <w:ilvl w:val="0"/>
          <w:numId w:val="33"/>
        </w:numPr>
        <w:tabs>
          <w:tab w:val="clear" w:pos="360"/>
        </w:tabs>
        <w:spacing w:before="120" w:after="120" w:line="240" w:lineRule="auto"/>
        <w:rPr>
          <w:rFonts w:eastAsia="Calibri" w:cs="Arial"/>
          <w:b/>
          <w:szCs w:val="22"/>
          <w:lang w:eastAsia="en-US"/>
        </w:rPr>
      </w:pPr>
      <w:r w:rsidRPr="00DE1C35">
        <w:rPr>
          <w:rFonts w:eastAsia="Calibri" w:cs="Arial"/>
          <w:b/>
          <w:szCs w:val="22"/>
          <w:lang w:eastAsia="en-US"/>
        </w:rPr>
        <w:t>Zooplâncton</w:t>
      </w:r>
    </w:p>
    <w:p w:rsidR="00B2744D" w:rsidRPr="00B2744D" w:rsidRDefault="00B2744D" w:rsidP="00B2744D">
      <w:pPr>
        <w:spacing w:before="120" w:after="120" w:line="240" w:lineRule="auto"/>
        <w:rPr>
          <w:rFonts w:cs="Arial"/>
          <w:szCs w:val="22"/>
        </w:rPr>
      </w:pPr>
      <w:r w:rsidRPr="00B2744D">
        <w:rPr>
          <w:rFonts w:cs="Arial"/>
          <w:szCs w:val="22"/>
        </w:rPr>
        <w:t>Em cada ponto da rede de amostragem será realizada coleta qualitativa e quantitativa do zooplâncton. As amostras qualitativas serão tomadas por meio de arraste horizontal de rede de 68 µm de abertura de malha, enquanto que a amostragem quantitativa será realizada filtrando-se um total de 200 L de água em rede de mesma malha.</w:t>
      </w:r>
    </w:p>
    <w:p w:rsidR="00B2744D" w:rsidRPr="00B2744D" w:rsidRDefault="00B2744D" w:rsidP="00B2744D">
      <w:pPr>
        <w:spacing w:before="120" w:after="120" w:line="240" w:lineRule="auto"/>
        <w:rPr>
          <w:rFonts w:cs="Arial"/>
          <w:szCs w:val="22"/>
        </w:rPr>
      </w:pPr>
      <w:r w:rsidRPr="00B2744D">
        <w:rPr>
          <w:rFonts w:cs="Arial"/>
          <w:szCs w:val="22"/>
        </w:rPr>
        <w:t>Na preservação das amostras qualitativas e quantitativas do zooplâncton, será adicionada água gaseificada e posteriormente (após 20 minutos) solução de formalina 4% neutralizada com bicarbonato de sódio. Os frascos de coleta serão homogeneizados, etiquetados e encaminhados ao laboratório para identificação e contagem dos principais grupos taxonômicos.</w:t>
      </w:r>
    </w:p>
    <w:p w:rsidR="0008766F" w:rsidRPr="001F6839" w:rsidRDefault="00B2744D" w:rsidP="00B2744D">
      <w:pPr>
        <w:spacing w:before="120" w:after="120" w:line="240" w:lineRule="auto"/>
        <w:rPr>
          <w:rFonts w:cs="Arial"/>
          <w:szCs w:val="22"/>
        </w:rPr>
      </w:pPr>
      <w:r w:rsidRPr="00B2744D">
        <w:rPr>
          <w:rFonts w:cs="Arial"/>
          <w:szCs w:val="22"/>
        </w:rPr>
        <w:t>Em laboratório, as análises serão realizadas segundo a metodologia proposta pelo Standard Methods for the Examination of Water and Wastewater, 22ª ed. (APHA, 2012). Os resultados de densidade do zooplâncton serão expressos em organismos por metro cúbico (org./m³).</w:t>
      </w:r>
    </w:p>
    <w:p w:rsidR="0008766F" w:rsidRPr="001F6839" w:rsidRDefault="0008766F" w:rsidP="00431A97">
      <w:pPr>
        <w:numPr>
          <w:ilvl w:val="0"/>
          <w:numId w:val="33"/>
        </w:numPr>
        <w:tabs>
          <w:tab w:val="clear" w:pos="360"/>
        </w:tabs>
        <w:spacing w:before="120" w:after="120" w:line="240" w:lineRule="auto"/>
        <w:rPr>
          <w:rFonts w:eastAsia="Calibri" w:cs="Arial"/>
          <w:b/>
          <w:szCs w:val="22"/>
          <w:lang w:eastAsia="en-US"/>
        </w:rPr>
      </w:pPr>
      <w:r w:rsidRPr="001F6839">
        <w:rPr>
          <w:rFonts w:eastAsia="Calibri" w:cs="Arial"/>
          <w:b/>
          <w:szCs w:val="22"/>
          <w:lang w:eastAsia="en-US"/>
        </w:rPr>
        <w:t>Invertebrados Bentônicos</w:t>
      </w:r>
    </w:p>
    <w:p w:rsidR="0008766F" w:rsidRDefault="0008766F" w:rsidP="0008766F">
      <w:pPr>
        <w:spacing w:before="120" w:after="120" w:line="240" w:lineRule="auto"/>
        <w:rPr>
          <w:rFonts w:cs="Arial"/>
          <w:szCs w:val="22"/>
        </w:rPr>
      </w:pPr>
      <w:r w:rsidRPr="00DE1C35">
        <w:rPr>
          <w:rFonts w:cs="Arial"/>
          <w:szCs w:val="22"/>
        </w:rPr>
        <w:t xml:space="preserve">Em cada ponto de coleta, as amostras de invertebrados bentônicos serão tomadas em triplicata, utilizando-se um pegador de fundo do tipo Petersen, Van Veen, Corer ou outro amostrador apropriado às condições específicas verificadas no local. O sedimento coletado será lavado em campo com auxílio de peneiras de malha de 250 µm e preservado em álcool 70%. Em laboratório, as análises serão realizadas segundo a metodologia proposta pelo Standard Methods for the Examination of Water and Wastewater, 22ª ed. (APHA, 2012). </w:t>
      </w:r>
      <w:r w:rsidRPr="005D59F7">
        <w:rPr>
          <w:rFonts w:cs="Arial"/>
        </w:rPr>
        <w:t>Os resultados de densidade de invertebrados bentônicos s</w:t>
      </w:r>
      <w:r>
        <w:rPr>
          <w:rFonts w:cs="Arial"/>
        </w:rPr>
        <w:t>erão</w:t>
      </w:r>
      <w:r w:rsidRPr="005D59F7">
        <w:rPr>
          <w:rFonts w:cs="Arial"/>
        </w:rPr>
        <w:t xml:space="preserve"> expressos em organismos por metro </w:t>
      </w:r>
      <w:r w:rsidRPr="00ED7DDB">
        <w:rPr>
          <w:rFonts w:cs="Arial"/>
        </w:rPr>
        <w:t>quadrado (org./m</w:t>
      </w:r>
      <w:r w:rsidRPr="005D59F7">
        <w:rPr>
          <w:rFonts w:cs="Arial"/>
        </w:rPr>
        <w:t>²).</w:t>
      </w:r>
    </w:p>
    <w:p w:rsidR="0008766F" w:rsidRPr="00DE1C35" w:rsidRDefault="0008766F" w:rsidP="00431A97">
      <w:pPr>
        <w:numPr>
          <w:ilvl w:val="0"/>
          <w:numId w:val="33"/>
        </w:numPr>
        <w:tabs>
          <w:tab w:val="clear" w:pos="360"/>
        </w:tabs>
        <w:spacing w:before="120" w:after="120" w:line="240" w:lineRule="auto"/>
        <w:rPr>
          <w:rFonts w:eastAsia="Calibri" w:cs="Arial"/>
          <w:b/>
          <w:szCs w:val="22"/>
          <w:lang w:eastAsia="en-US"/>
        </w:rPr>
      </w:pPr>
      <w:r>
        <w:rPr>
          <w:rFonts w:eastAsia="Calibri" w:cs="Arial"/>
          <w:b/>
          <w:szCs w:val="22"/>
          <w:lang w:eastAsia="en-US"/>
        </w:rPr>
        <w:t>Macrófitas Aquáticas</w:t>
      </w:r>
    </w:p>
    <w:p w:rsidR="00B2744D" w:rsidRPr="00B2744D" w:rsidRDefault="00B2744D" w:rsidP="00B2744D">
      <w:pPr>
        <w:pStyle w:val="Corpodetexto"/>
        <w:rPr>
          <w:rFonts w:cs="Arial"/>
          <w:szCs w:val="22"/>
          <w:lang w:eastAsia="en-GB"/>
        </w:rPr>
      </w:pPr>
      <w:r w:rsidRPr="00B2744D">
        <w:rPr>
          <w:rFonts w:cs="Arial"/>
          <w:szCs w:val="22"/>
          <w:lang w:eastAsia="en-GB"/>
        </w:rPr>
        <w:t>A coleta e análise de macrófitas aquáticas serão embasadas nos métodos propostos no Standard Methods for the Examination of Water and Wastewater, 22ª ed. (APHA, 2012).  A amostragem compreenderá todas as espécies encontradas nos pontos inspecionados, tanto dentro da água, quanto nas margens, até uma distância de 2 m da lâmina d’água tendo em vista a coleta de vegetais anfíbios. Serão anotados em planilha específica os dados dos espécimes presentes em cada banco de macrófitas.</w:t>
      </w:r>
    </w:p>
    <w:p w:rsidR="00B2744D" w:rsidRPr="00B2744D" w:rsidRDefault="00B2744D" w:rsidP="00B2744D">
      <w:pPr>
        <w:pStyle w:val="Corpodetexto"/>
        <w:rPr>
          <w:rFonts w:cs="Arial"/>
          <w:szCs w:val="22"/>
          <w:lang w:eastAsia="en-GB"/>
        </w:rPr>
      </w:pPr>
      <w:r w:rsidRPr="00B2744D">
        <w:rPr>
          <w:rFonts w:cs="Arial"/>
          <w:szCs w:val="22"/>
          <w:lang w:eastAsia="en-GB"/>
        </w:rPr>
        <w:t>As espécies presentes nos pontos terão sua respectiva densidade estimada qualitativamente por meio do índice de cobertura estabelecido por Braun-Blanquet et al. (1932). A determinação da biomassa de macrófitas será realizada para as espécies mais abundantes.</w:t>
      </w:r>
    </w:p>
    <w:p w:rsidR="0008766F" w:rsidRPr="00E4502D" w:rsidRDefault="00B2744D" w:rsidP="00B2744D">
      <w:pPr>
        <w:pStyle w:val="Corpodetexto"/>
        <w:rPr>
          <w:rFonts w:cs="Arial"/>
          <w:szCs w:val="22"/>
        </w:rPr>
      </w:pPr>
      <w:r w:rsidRPr="00B2744D">
        <w:rPr>
          <w:rFonts w:cs="Arial"/>
          <w:szCs w:val="22"/>
          <w:lang w:eastAsia="en-GB"/>
        </w:rPr>
        <w:t>Caso seja detectado o crescimento excessivo de macrófitas aquáticas nos reservatórios das Barragens Pedreira e Duas Pontes, será recomendado o controle destes vegetais.</w:t>
      </w:r>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bookmarkStart w:id="1186" w:name="_Toc419813849"/>
      <w:r w:rsidRPr="00DE1C35">
        <w:rPr>
          <w:rFonts w:ascii="Arial" w:hAnsi="Arial"/>
          <w:bCs w:val="0"/>
          <w:smallCaps w:val="0"/>
          <w:color w:val="auto"/>
          <w:sz w:val="22"/>
        </w:rPr>
        <w:t>Indicadores Ambientais</w:t>
      </w:r>
      <w:bookmarkEnd w:id="1186"/>
      <w:r w:rsidRPr="00DE1C35">
        <w:rPr>
          <w:rFonts w:ascii="Arial" w:hAnsi="Arial"/>
          <w:bCs w:val="0"/>
          <w:smallCaps w:val="0"/>
          <w:color w:val="auto"/>
          <w:sz w:val="22"/>
        </w:rPr>
        <w:t xml:space="preserve"> </w:t>
      </w:r>
    </w:p>
    <w:p w:rsidR="0008766F" w:rsidRDefault="0008766F" w:rsidP="0008766F">
      <w:pPr>
        <w:spacing w:before="120" w:after="120" w:line="240" w:lineRule="auto"/>
        <w:rPr>
          <w:rFonts w:cs="Arial"/>
          <w:szCs w:val="22"/>
        </w:rPr>
      </w:pPr>
      <w:r w:rsidRPr="00DE1C35">
        <w:rPr>
          <w:rFonts w:cs="Arial"/>
          <w:szCs w:val="22"/>
        </w:rPr>
        <w:t>Como indicadores ambientais, consideram-se os seguintes índices descritores: riqueza de espécies, distribuição espacial, frequência de ocorrência, densidade numérica e abundância rel</w:t>
      </w:r>
      <w:r>
        <w:rPr>
          <w:rFonts w:cs="Arial"/>
          <w:szCs w:val="22"/>
        </w:rPr>
        <w:t xml:space="preserve">ativa, índices de diversidade, </w:t>
      </w:r>
      <w:r w:rsidRPr="00DE1C35">
        <w:rPr>
          <w:rFonts w:cs="Arial"/>
          <w:szCs w:val="22"/>
        </w:rPr>
        <w:t>equabilidade</w:t>
      </w:r>
      <w:r>
        <w:rPr>
          <w:rFonts w:cs="Arial"/>
          <w:szCs w:val="22"/>
        </w:rPr>
        <w:t xml:space="preserve"> e similaridade</w:t>
      </w:r>
      <w:r w:rsidRPr="00DE1C35">
        <w:rPr>
          <w:rFonts w:cs="Arial"/>
          <w:szCs w:val="22"/>
        </w:rPr>
        <w:t xml:space="preserve">. </w:t>
      </w:r>
    </w:p>
    <w:p w:rsidR="0008766F" w:rsidRPr="00C8407D" w:rsidRDefault="00B2744D" w:rsidP="0008766F">
      <w:pPr>
        <w:spacing w:before="120" w:after="120" w:line="240" w:lineRule="auto"/>
        <w:rPr>
          <w:rFonts w:cs="Arial"/>
        </w:rPr>
      </w:pPr>
      <w:r w:rsidRPr="00B2744D">
        <w:rPr>
          <w:rFonts w:cs="Arial"/>
          <w:szCs w:val="22"/>
        </w:rPr>
        <w:t xml:space="preserve">Será considerada também a análise do Índice da Comunidade Bentônica – ICB, do Índice da Comunidade Fitoplanctônica – ICF e do Índice da Comunidade Zooplanctônica (ICZ) para reservatórios. Será avaliado o comportamento temporal e espacial destes indicadores, desenvolvidos pela </w:t>
      </w:r>
      <w:r w:rsidR="00504078">
        <w:rPr>
          <w:rFonts w:cs="Arial"/>
          <w:szCs w:val="22"/>
        </w:rPr>
        <w:t>CETESB</w:t>
      </w:r>
      <w:r w:rsidRPr="00B2744D">
        <w:rPr>
          <w:rFonts w:cs="Arial"/>
          <w:szCs w:val="22"/>
        </w:rPr>
        <w:t xml:space="preserve"> (2014), nas Barragens Pedreira e Duas Pontes</w:t>
      </w:r>
      <w:r w:rsidR="0008766F">
        <w:rPr>
          <w:rFonts w:cs="Arial"/>
          <w:szCs w:val="22"/>
        </w:rPr>
        <w:t>.</w:t>
      </w:r>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bookmarkStart w:id="1187" w:name="_Toc419813850"/>
      <w:r w:rsidRPr="00DE1C35">
        <w:rPr>
          <w:rFonts w:ascii="Arial" w:hAnsi="Arial"/>
          <w:bCs w:val="0"/>
          <w:smallCaps w:val="0"/>
          <w:color w:val="auto"/>
          <w:sz w:val="22"/>
        </w:rPr>
        <w:t>Recursos Materiais e Humanos</w:t>
      </w:r>
      <w:bookmarkEnd w:id="1187"/>
    </w:p>
    <w:p w:rsidR="00B2744D" w:rsidRPr="00DE1C35" w:rsidRDefault="00D339F2" w:rsidP="00B2744D">
      <w:pPr>
        <w:spacing w:before="120" w:after="120" w:line="240" w:lineRule="auto"/>
        <w:rPr>
          <w:rFonts w:cs="Arial"/>
          <w:szCs w:val="22"/>
        </w:rPr>
      </w:pPr>
      <w:r w:rsidRPr="00D339F2">
        <w:rPr>
          <w:rFonts w:cs="Arial"/>
          <w:szCs w:val="22"/>
        </w:rPr>
        <w:t>Para atender às demandas do Programa de Monitoramento da Biota Aquática será necessário contratar os serviços especializados de um laboratório de análises biológicas, bem como de biólogos ou outros especialistas nas comunidades planctônicas e bentônicas, os quais ficarão encarregados de realizar a interpretação dos resultados obtidos e a elaboração do relatório técnico. Os recursos materiais necessários serão disponibilizados pela empresa contratante</w:t>
      </w:r>
      <w:r w:rsidR="00B2744D">
        <w:rPr>
          <w:rFonts w:cs="Arial"/>
          <w:szCs w:val="22"/>
        </w:rPr>
        <w:t>.</w:t>
      </w:r>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r w:rsidRPr="00DE1C35">
        <w:rPr>
          <w:rFonts w:ascii="Arial" w:hAnsi="Arial"/>
          <w:bCs w:val="0"/>
          <w:smallCaps w:val="0"/>
          <w:color w:val="auto"/>
          <w:sz w:val="22"/>
        </w:rPr>
        <w:t xml:space="preserve"> </w:t>
      </w:r>
      <w:bookmarkStart w:id="1188" w:name="_Toc419813851"/>
      <w:r w:rsidRPr="00DE1C35">
        <w:rPr>
          <w:rFonts w:ascii="Arial" w:hAnsi="Arial"/>
          <w:bCs w:val="0"/>
          <w:smallCaps w:val="0"/>
          <w:color w:val="auto"/>
          <w:sz w:val="22"/>
        </w:rPr>
        <w:t>Atendimento a Requisitos Legais e/ou Outros Requisitos</w:t>
      </w:r>
      <w:bookmarkEnd w:id="1188"/>
    </w:p>
    <w:p w:rsidR="00D339F2" w:rsidRPr="00D339F2" w:rsidRDefault="00D339F2" w:rsidP="00D339F2">
      <w:pPr>
        <w:spacing w:after="120" w:line="240" w:lineRule="auto"/>
        <w:rPr>
          <w:rFonts w:cs="Arial"/>
          <w:szCs w:val="22"/>
        </w:rPr>
      </w:pPr>
      <w:r w:rsidRPr="00D339F2">
        <w:rPr>
          <w:rFonts w:cs="Arial"/>
          <w:szCs w:val="22"/>
        </w:rPr>
        <w:t>Serão atendidos os critérios estabelecidos pela Instrução Normativa do IBAMA nº 146, de 10 de janeiro de 2007, e pela Resolução SMA nº 92, de 14 de novembro de 2014 para a obtenção de licença de coleta e transporte de material biológico.</w:t>
      </w:r>
    </w:p>
    <w:p w:rsidR="00D339F2" w:rsidRPr="00D339F2" w:rsidRDefault="00D339F2" w:rsidP="00D339F2">
      <w:pPr>
        <w:spacing w:after="120" w:line="240" w:lineRule="auto"/>
        <w:rPr>
          <w:rFonts w:cs="Arial"/>
          <w:szCs w:val="22"/>
        </w:rPr>
      </w:pPr>
      <w:r w:rsidRPr="00D339F2">
        <w:rPr>
          <w:rFonts w:cs="Arial"/>
          <w:szCs w:val="22"/>
        </w:rPr>
        <w:t>Os dados obtidos no monitoramento serão comparados ao Decreto Estadual n° 60.133, de 07 de fevereiro de 2014, que declara as espécies da fauna silvestre ameaçadas de extinção, as quase ameaçadas e as deficientes de dados para avaliação no Estado de São Paulo, bem como a Portaria MMA n° 445, de 17 de dezembro de 2014, que traz a Lista Nacional Oficial de Espécies da Fauna Brasileira Ameaçadas de Extinção - Peixes e Invertebrados Aquáticos.</w:t>
      </w:r>
    </w:p>
    <w:p w:rsidR="00D339F2" w:rsidRPr="00D339F2" w:rsidRDefault="00D339F2" w:rsidP="00D339F2">
      <w:pPr>
        <w:spacing w:after="120" w:line="240" w:lineRule="auto"/>
        <w:rPr>
          <w:rFonts w:cs="Arial"/>
          <w:szCs w:val="22"/>
        </w:rPr>
      </w:pPr>
      <w:r w:rsidRPr="00D339F2">
        <w:rPr>
          <w:rFonts w:cs="Arial"/>
          <w:szCs w:val="22"/>
        </w:rPr>
        <w:t>Além desses dispositivos, os procedimentos de coleta e análise das comunidades planctônicas, bentônicas e macrófitas aquáticas seguirão as diretrizes estabelecidas pela Resolução SMA 100/2013, que regulamenta as exigências para os resultados analíticos, incluindo a determinação de que os relatórios de ensaio sejam emitidos por instituição reconhecida pelo Instituto Nacional de Metrologia, Qualidade e Tecnologia – INMETRO (ISO 17025:2005).</w:t>
      </w:r>
    </w:p>
    <w:p w:rsidR="0008766F" w:rsidRPr="009E41F8" w:rsidRDefault="00D339F2" w:rsidP="00D339F2">
      <w:pPr>
        <w:spacing w:after="120" w:line="240" w:lineRule="auto"/>
        <w:rPr>
          <w:rFonts w:cs="Arial"/>
          <w:szCs w:val="22"/>
        </w:rPr>
      </w:pPr>
      <w:r w:rsidRPr="00D339F2">
        <w:rPr>
          <w:rFonts w:cs="Arial"/>
          <w:szCs w:val="22"/>
        </w:rPr>
        <w:t xml:space="preserve">Os resultados das análises de cianobactérias serão comparados aos padrões determinados pela Resolução </w:t>
      </w:r>
      <w:r w:rsidR="00504078">
        <w:rPr>
          <w:rFonts w:cs="Arial"/>
          <w:szCs w:val="22"/>
        </w:rPr>
        <w:t>CONAMA</w:t>
      </w:r>
      <w:r w:rsidRPr="00D339F2">
        <w:rPr>
          <w:rFonts w:cs="Arial"/>
          <w:szCs w:val="22"/>
        </w:rPr>
        <w:t xml:space="preserve"> 357/05 e pela Portaria 2.914/11</w:t>
      </w:r>
      <w:r w:rsidR="0008766F">
        <w:rPr>
          <w:rFonts w:cs="Arial"/>
          <w:bCs/>
          <w:szCs w:val="22"/>
        </w:rPr>
        <w:t xml:space="preserve">. </w:t>
      </w:r>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bookmarkStart w:id="1189" w:name="_Toc419813852"/>
      <w:r w:rsidRPr="00DE1C35">
        <w:rPr>
          <w:rFonts w:ascii="Arial" w:hAnsi="Arial"/>
          <w:bCs w:val="0"/>
          <w:smallCaps w:val="0"/>
          <w:color w:val="auto"/>
          <w:sz w:val="22"/>
        </w:rPr>
        <w:t>Inter-relação com Outros Planos e Programas</w:t>
      </w:r>
      <w:bookmarkEnd w:id="1189"/>
    </w:p>
    <w:p w:rsidR="0008766F" w:rsidRPr="00DE1C35" w:rsidRDefault="0008766F" w:rsidP="0008766F">
      <w:pPr>
        <w:spacing w:before="120" w:after="120" w:line="240" w:lineRule="auto"/>
        <w:rPr>
          <w:rFonts w:cs="Arial"/>
          <w:szCs w:val="22"/>
        </w:rPr>
      </w:pPr>
      <w:r w:rsidRPr="00DE1C35">
        <w:rPr>
          <w:rFonts w:cs="Arial"/>
          <w:szCs w:val="22"/>
        </w:rPr>
        <w:t xml:space="preserve">O Programa de Monitoramento da Biota Aquática terá relação com os seguintes programas: </w:t>
      </w:r>
    </w:p>
    <w:p w:rsidR="0008766F" w:rsidRDefault="0008766F" w:rsidP="00431A97">
      <w:pPr>
        <w:numPr>
          <w:ilvl w:val="0"/>
          <w:numId w:val="78"/>
        </w:numPr>
        <w:spacing w:after="120" w:line="240" w:lineRule="auto"/>
      </w:pPr>
      <w:r>
        <w:t>Programa de Controle Ambiental das Obras;</w:t>
      </w:r>
      <w:r w:rsidRPr="00DC49C1">
        <w:t xml:space="preserve"> </w:t>
      </w:r>
    </w:p>
    <w:p w:rsidR="0008766F" w:rsidRDefault="0008766F" w:rsidP="00431A97">
      <w:pPr>
        <w:numPr>
          <w:ilvl w:val="0"/>
          <w:numId w:val="78"/>
        </w:numPr>
        <w:spacing w:after="120" w:line="240" w:lineRule="auto"/>
      </w:pPr>
      <w:r>
        <w:t xml:space="preserve">Programa de Monitoramento Sedimentológico; </w:t>
      </w:r>
    </w:p>
    <w:p w:rsidR="0008766F" w:rsidRDefault="0008766F" w:rsidP="00431A97">
      <w:pPr>
        <w:numPr>
          <w:ilvl w:val="0"/>
          <w:numId w:val="78"/>
        </w:numPr>
        <w:autoSpaceDE w:val="0"/>
        <w:autoSpaceDN w:val="0"/>
        <w:adjustRightInd w:val="0"/>
        <w:spacing w:before="120" w:after="120" w:line="240" w:lineRule="auto"/>
        <w:rPr>
          <w:rFonts w:cs="Arial"/>
          <w:szCs w:val="22"/>
        </w:rPr>
      </w:pPr>
      <w:r w:rsidRPr="00073B55">
        <w:rPr>
          <w:rFonts w:cs="Arial"/>
          <w:szCs w:val="22"/>
        </w:rPr>
        <w:t>Programa de Monitoramento da</w:t>
      </w:r>
      <w:r>
        <w:rPr>
          <w:rFonts w:cs="Arial"/>
          <w:szCs w:val="22"/>
        </w:rPr>
        <w:t>s Águas Superficiais e dos Sedimentos;</w:t>
      </w:r>
    </w:p>
    <w:p w:rsidR="0008766F" w:rsidRPr="002B694A" w:rsidRDefault="0008766F" w:rsidP="00431A97">
      <w:pPr>
        <w:numPr>
          <w:ilvl w:val="0"/>
          <w:numId w:val="78"/>
        </w:numPr>
        <w:spacing w:after="120" w:line="240" w:lineRule="auto"/>
        <w:rPr>
          <w:rFonts w:cs="Arial"/>
          <w:szCs w:val="22"/>
        </w:rPr>
      </w:pPr>
      <w:r w:rsidRPr="002B694A">
        <w:t>Programa de Recuperação de Áreas Degradadas</w:t>
      </w:r>
      <w:r>
        <w:t>;</w:t>
      </w:r>
    </w:p>
    <w:p w:rsidR="0008766F" w:rsidRPr="002B694A" w:rsidRDefault="0008766F" w:rsidP="00431A97">
      <w:pPr>
        <w:numPr>
          <w:ilvl w:val="0"/>
          <w:numId w:val="78"/>
        </w:numPr>
        <w:spacing w:after="120" w:line="240" w:lineRule="auto"/>
        <w:rPr>
          <w:rFonts w:cs="Arial"/>
          <w:szCs w:val="22"/>
        </w:rPr>
      </w:pPr>
      <w:r w:rsidRPr="002B694A">
        <w:t>Programa de Conservação da Ictiofauna</w:t>
      </w:r>
      <w:r>
        <w:t>.</w:t>
      </w:r>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bookmarkStart w:id="1190" w:name="_Toc419813853"/>
      <w:r w:rsidRPr="00DE1C35">
        <w:rPr>
          <w:rFonts w:ascii="Arial" w:hAnsi="Arial"/>
          <w:bCs w:val="0"/>
          <w:smallCaps w:val="0"/>
          <w:color w:val="auto"/>
          <w:sz w:val="22"/>
        </w:rPr>
        <w:t xml:space="preserve">Etapa dos </w:t>
      </w:r>
      <w:r>
        <w:rPr>
          <w:rFonts w:ascii="Arial" w:hAnsi="Arial"/>
          <w:bCs w:val="0"/>
          <w:smallCaps w:val="0"/>
          <w:color w:val="auto"/>
          <w:sz w:val="22"/>
        </w:rPr>
        <w:t>E</w:t>
      </w:r>
      <w:r w:rsidRPr="00DE1C35">
        <w:rPr>
          <w:rFonts w:ascii="Arial" w:hAnsi="Arial"/>
          <w:bCs w:val="0"/>
          <w:smallCaps w:val="0"/>
          <w:color w:val="auto"/>
          <w:sz w:val="22"/>
        </w:rPr>
        <w:t>mpreendimentos</w:t>
      </w:r>
      <w:bookmarkEnd w:id="1190"/>
    </w:p>
    <w:p w:rsidR="00D339F2" w:rsidRPr="00D339F2" w:rsidRDefault="00D339F2" w:rsidP="00D339F2">
      <w:pPr>
        <w:spacing w:before="120" w:after="120" w:line="240" w:lineRule="auto"/>
        <w:rPr>
          <w:rFonts w:cs="Arial"/>
          <w:szCs w:val="22"/>
        </w:rPr>
      </w:pPr>
      <w:r w:rsidRPr="00D339F2">
        <w:rPr>
          <w:rFonts w:cs="Arial"/>
          <w:szCs w:val="22"/>
        </w:rPr>
        <w:t xml:space="preserve">Este programa deverá ser iniciado na fase de planejamento, com uma campanha prévia à etapa de implantação dos projetos em pauta, de forma a se obter um quadro de referência na etapa anterior à inserção das Barragens Pedreira e Duas Pontes, nas sub-bacias dos rios Jaguari e Camanducaia, respectivamente. </w:t>
      </w:r>
    </w:p>
    <w:p w:rsidR="0008766F" w:rsidRPr="00073B55" w:rsidRDefault="00D339F2" w:rsidP="00D339F2">
      <w:pPr>
        <w:spacing w:before="120" w:after="120" w:line="240" w:lineRule="auto"/>
        <w:rPr>
          <w:rFonts w:cs="Arial"/>
          <w:szCs w:val="22"/>
        </w:rPr>
      </w:pPr>
      <w:r w:rsidRPr="00D339F2">
        <w:rPr>
          <w:rFonts w:cs="Arial"/>
          <w:szCs w:val="22"/>
        </w:rPr>
        <w:t>Durante as obras, no enchimento e no primeiro semestre da fase de operação de ambos os empreendimentos, serão realizadas campanhas quadrimestrais. A periodicidade das amostragens nas etapas posteriores será determinada durante a execução desse programa. Caso sejam observadas alterações nos corpos d’água em estudo, deverão ser indicadas medidas preventivas e corretivas, visando à preservação do ecossistema aquático em estudo</w:t>
      </w:r>
      <w:r w:rsidR="0008766F" w:rsidRPr="00073B55">
        <w:rPr>
          <w:rFonts w:cs="Arial"/>
          <w:szCs w:val="22"/>
        </w:rPr>
        <w:t xml:space="preserve">. </w:t>
      </w:r>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bookmarkStart w:id="1191" w:name="_Toc419813854"/>
      <w:r w:rsidRPr="00DE1C35">
        <w:rPr>
          <w:rFonts w:ascii="Arial" w:hAnsi="Arial"/>
          <w:bCs w:val="0"/>
          <w:smallCaps w:val="0"/>
          <w:color w:val="auto"/>
          <w:sz w:val="22"/>
        </w:rPr>
        <w:t xml:space="preserve">Cronograma de </w:t>
      </w:r>
      <w:r>
        <w:rPr>
          <w:rFonts w:ascii="Arial" w:hAnsi="Arial"/>
          <w:bCs w:val="0"/>
          <w:smallCaps w:val="0"/>
          <w:color w:val="auto"/>
          <w:sz w:val="22"/>
        </w:rPr>
        <w:t>E</w:t>
      </w:r>
      <w:r w:rsidRPr="00DE1C35">
        <w:rPr>
          <w:rFonts w:ascii="Arial" w:hAnsi="Arial"/>
          <w:bCs w:val="0"/>
          <w:smallCaps w:val="0"/>
          <w:color w:val="auto"/>
          <w:sz w:val="22"/>
        </w:rPr>
        <w:t>xecução</w:t>
      </w:r>
      <w:bookmarkEnd w:id="1191"/>
    </w:p>
    <w:p w:rsidR="0008766F" w:rsidRDefault="0008766F" w:rsidP="0008766F">
      <w:pPr>
        <w:spacing w:before="120" w:after="120" w:line="240" w:lineRule="auto"/>
        <w:rPr>
          <w:rFonts w:cs="Arial"/>
          <w:szCs w:val="22"/>
        </w:rPr>
      </w:pPr>
      <w:r w:rsidRPr="00623CE0">
        <w:rPr>
          <w:rFonts w:cs="Arial"/>
          <w:szCs w:val="22"/>
        </w:rPr>
        <w:t xml:space="preserve">No </w:t>
      </w:r>
      <w:r w:rsidR="00B04DAB" w:rsidRPr="00623CE0">
        <w:rPr>
          <w:rFonts w:cs="Arial"/>
          <w:szCs w:val="22"/>
        </w:rPr>
        <w:t>Q</w:t>
      </w:r>
      <w:r w:rsidRPr="00623CE0">
        <w:rPr>
          <w:rFonts w:cs="Arial"/>
          <w:szCs w:val="22"/>
        </w:rPr>
        <w:t xml:space="preserve">uadro </w:t>
      </w:r>
      <w:r w:rsidR="00B04DAB" w:rsidRPr="00623CE0">
        <w:rPr>
          <w:rFonts w:cs="Arial"/>
          <w:szCs w:val="22"/>
        </w:rPr>
        <w:t xml:space="preserve">3.4.6., </w:t>
      </w:r>
      <w:r w:rsidRPr="00623CE0">
        <w:rPr>
          <w:rFonts w:cs="Arial"/>
          <w:szCs w:val="22"/>
        </w:rPr>
        <w:t>a seguir, é apresentado o cronograma das principais atividades previstas no</w:t>
      </w:r>
      <w:r w:rsidRPr="00DE1C35">
        <w:rPr>
          <w:rFonts w:cs="Arial"/>
          <w:szCs w:val="22"/>
        </w:rPr>
        <w:t xml:space="preserve"> contexto do Programa de Monitoramento da Biota Aquática nas fases de planejamento, implantação e operação </w:t>
      </w:r>
      <w:r>
        <w:rPr>
          <w:rFonts w:cs="Arial"/>
          <w:szCs w:val="22"/>
        </w:rPr>
        <w:t xml:space="preserve">das </w:t>
      </w:r>
      <w:r w:rsidRPr="00DE1C35">
        <w:rPr>
          <w:rFonts w:cs="Arial"/>
          <w:szCs w:val="22"/>
        </w:rPr>
        <w:t>Barragens Pedreira e Duas Pontes.</w:t>
      </w:r>
    </w:p>
    <w:p w:rsidR="0008766F" w:rsidRDefault="00B04DAB" w:rsidP="00B04DAB">
      <w:pPr>
        <w:pStyle w:val="Legenda"/>
        <w:spacing w:before="0" w:after="0" w:line="240" w:lineRule="auto"/>
        <w:jc w:val="center"/>
        <w:rPr>
          <w:rFonts w:cs="Arial"/>
          <w:b w:val="0"/>
          <w:i w:val="0"/>
          <w:szCs w:val="22"/>
        </w:rPr>
      </w:pPr>
      <w:r w:rsidRPr="00B04DAB">
        <w:rPr>
          <w:i w:val="0"/>
        </w:rPr>
        <w:t>Quadro 3.4.</w:t>
      </w:r>
      <w:r w:rsidR="00B80A05" w:rsidRPr="00B04DAB">
        <w:rPr>
          <w:i w:val="0"/>
        </w:rPr>
        <w:fldChar w:fldCharType="begin"/>
      </w:r>
      <w:r w:rsidRPr="00B04DAB">
        <w:rPr>
          <w:i w:val="0"/>
        </w:rPr>
        <w:instrText xml:space="preserve"> SEQ Quadro_3.4. \* ARABIC </w:instrText>
      </w:r>
      <w:r w:rsidR="00B80A05" w:rsidRPr="00B04DAB">
        <w:rPr>
          <w:i w:val="0"/>
        </w:rPr>
        <w:fldChar w:fldCharType="separate"/>
      </w:r>
      <w:r w:rsidR="00316060">
        <w:rPr>
          <w:i w:val="0"/>
          <w:noProof/>
        </w:rPr>
        <w:t>13</w:t>
      </w:r>
      <w:r w:rsidR="00B80A05" w:rsidRPr="00B04DAB">
        <w:rPr>
          <w:i w:val="0"/>
        </w:rPr>
        <w:fldChar w:fldCharType="end"/>
      </w:r>
      <w:r w:rsidRPr="00B04DAB">
        <w:rPr>
          <w:i w:val="0"/>
        </w:rPr>
        <w:t>.</w:t>
      </w:r>
      <w:r w:rsidRPr="00B04DAB">
        <w:rPr>
          <w:b w:val="0"/>
          <w:i w:val="0"/>
        </w:rPr>
        <w:t xml:space="preserve"> -</w:t>
      </w:r>
      <w:r w:rsidR="0008766F" w:rsidRPr="00B04DAB">
        <w:rPr>
          <w:rFonts w:cs="Arial"/>
          <w:b w:val="0"/>
          <w:i w:val="0"/>
          <w:szCs w:val="22"/>
        </w:rPr>
        <w:t xml:space="preserve"> Cronograma de Atividades do Programa de Monitoramento da Biota Aquática - Barragens Pedreira e Duas Pontes.</w:t>
      </w:r>
    </w:p>
    <w:p w:rsidR="00B04DAB" w:rsidRPr="00B04DAB" w:rsidRDefault="00B04DAB" w:rsidP="00B04DAB"/>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4034"/>
        <w:gridCol w:w="2372"/>
        <w:gridCol w:w="1707"/>
        <w:gridCol w:w="1382"/>
      </w:tblGrid>
      <w:tr w:rsidR="0008766F" w:rsidRPr="009E41F8" w:rsidTr="0008766F">
        <w:trPr>
          <w:trHeight w:val="315"/>
          <w:tblHeader/>
        </w:trPr>
        <w:tc>
          <w:tcPr>
            <w:tcW w:w="2124" w:type="pct"/>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Atividades</w:t>
            </w:r>
          </w:p>
        </w:tc>
        <w:tc>
          <w:tcPr>
            <w:tcW w:w="1249" w:type="pct"/>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Planejamento</w:t>
            </w:r>
          </w:p>
        </w:tc>
        <w:tc>
          <w:tcPr>
            <w:tcW w:w="899" w:type="pct"/>
            <w:shd w:val="clear" w:color="000000" w:fill="D9D9D9"/>
            <w:vAlign w:val="center"/>
            <w:hideMark/>
          </w:tcPr>
          <w:p w:rsidR="0008766F" w:rsidRPr="009E41F8" w:rsidRDefault="0008766F" w:rsidP="0008766F">
            <w:pPr>
              <w:spacing w:after="120" w:line="240" w:lineRule="auto"/>
              <w:jc w:val="center"/>
              <w:rPr>
                <w:rFonts w:cs="Arial"/>
                <w:b/>
                <w:bCs/>
                <w:szCs w:val="22"/>
              </w:rPr>
            </w:pPr>
            <w:r w:rsidRPr="009E41F8">
              <w:rPr>
                <w:rFonts w:cs="Arial"/>
                <w:b/>
                <w:bCs/>
                <w:szCs w:val="22"/>
              </w:rPr>
              <w:t>Implantação</w:t>
            </w:r>
          </w:p>
        </w:tc>
        <w:tc>
          <w:tcPr>
            <w:tcW w:w="729" w:type="pct"/>
            <w:shd w:val="clear" w:color="000000" w:fill="D9D9D9"/>
            <w:vAlign w:val="center"/>
          </w:tcPr>
          <w:p w:rsidR="0008766F" w:rsidRPr="009E41F8" w:rsidRDefault="0008766F" w:rsidP="0008766F">
            <w:pPr>
              <w:spacing w:after="120" w:line="240" w:lineRule="auto"/>
              <w:jc w:val="center"/>
              <w:rPr>
                <w:rFonts w:cs="Arial"/>
                <w:b/>
                <w:bCs/>
                <w:szCs w:val="22"/>
              </w:rPr>
            </w:pPr>
            <w:r w:rsidRPr="009E41F8">
              <w:rPr>
                <w:rFonts w:cs="Arial"/>
                <w:b/>
                <w:bCs/>
                <w:szCs w:val="22"/>
              </w:rPr>
              <w:t>Operação</w:t>
            </w:r>
          </w:p>
        </w:tc>
      </w:tr>
      <w:tr w:rsidR="0008766F" w:rsidRPr="009E41F8" w:rsidTr="0008766F">
        <w:trPr>
          <w:trHeight w:val="315"/>
        </w:trPr>
        <w:tc>
          <w:tcPr>
            <w:tcW w:w="2124" w:type="pct"/>
            <w:shd w:val="clear" w:color="000000" w:fill="FFFFFF"/>
            <w:vAlign w:val="center"/>
            <w:hideMark/>
          </w:tcPr>
          <w:p w:rsidR="0008766F" w:rsidRPr="009E41F8" w:rsidRDefault="0008766F" w:rsidP="003442CE">
            <w:pPr>
              <w:spacing w:after="120" w:line="240" w:lineRule="auto"/>
              <w:jc w:val="left"/>
              <w:rPr>
                <w:rFonts w:cs="Arial"/>
                <w:szCs w:val="22"/>
              </w:rPr>
            </w:pPr>
            <w:r>
              <w:rPr>
                <w:rFonts w:cs="Arial"/>
                <w:szCs w:val="22"/>
              </w:rPr>
              <w:t>Execução das c</w:t>
            </w:r>
            <w:r w:rsidRPr="009E41F8">
              <w:rPr>
                <w:rFonts w:cs="Arial"/>
                <w:szCs w:val="22"/>
              </w:rPr>
              <w:t xml:space="preserve">ampanhas de </w:t>
            </w:r>
            <w:r>
              <w:rPr>
                <w:rFonts w:cs="Arial"/>
                <w:szCs w:val="22"/>
              </w:rPr>
              <w:t>c</w:t>
            </w:r>
            <w:r w:rsidRPr="009E41F8">
              <w:rPr>
                <w:rFonts w:cs="Arial"/>
                <w:szCs w:val="22"/>
              </w:rPr>
              <w:t>ampo</w:t>
            </w:r>
          </w:p>
        </w:tc>
        <w:tc>
          <w:tcPr>
            <w:tcW w:w="1249" w:type="pct"/>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X</w:t>
            </w:r>
          </w:p>
        </w:tc>
        <w:tc>
          <w:tcPr>
            <w:tcW w:w="899" w:type="pct"/>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X</w:t>
            </w:r>
          </w:p>
        </w:tc>
        <w:tc>
          <w:tcPr>
            <w:tcW w:w="729" w:type="pct"/>
            <w:vAlign w:val="center"/>
          </w:tcPr>
          <w:p w:rsidR="0008766F" w:rsidRPr="009E41F8" w:rsidRDefault="0008766F" w:rsidP="0008766F">
            <w:pPr>
              <w:spacing w:after="120" w:line="240" w:lineRule="auto"/>
              <w:jc w:val="center"/>
              <w:rPr>
                <w:rFonts w:cs="Arial"/>
                <w:szCs w:val="22"/>
              </w:rPr>
            </w:pPr>
            <w:r w:rsidRPr="009E41F8">
              <w:rPr>
                <w:rFonts w:cs="Arial"/>
                <w:szCs w:val="22"/>
              </w:rPr>
              <w:t>X</w:t>
            </w:r>
          </w:p>
        </w:tc>
      </w:tr>
      <w:tr w:rsidR="0008766F" w:rsidRPr="009E41F8" w:rsidTr="0008766F">
        <w:trPr>
          <w:trHeight w:val="315"/>
        </w:trPr>
        <w:tc>
          <w:tcPr>
            <w:tcW w:w="2124" w:type="pct"/>
            <w:shd w:val="clear" w:color="000000" w:fill="FFFFFF"/>
            <w:vAlign w:val="center"/>
            <w:hideMark/>
          </w:tcPr>
          <w:p w:rsidR="0008766F" w:rsidRPr="009E41F8" w:rsidRDefault="0008766F" w:rsidP="003442CE">
            <w:pPr>
              <w:spacing w:after="120" w:line="240" w:lineRule="auto"/>
              <w:jc w:val="left"/>
              <w:rPr>
                <w:rFonts w:cs="Arial"/>
                <w:szCs w:val="22"/>
              </w:rPr>
            </w:pPr>
            <w:r w:rsidRPr="009E41F8">
              <w:rPr>
                <w:rFonts w:cs="Arial"/>
                <w:szCs w:val="22"/>
              </w:rPr>
              <w:t>Emissão de relatórios técnicos parciais</w:t>
            </w:r>
          </w:p>
        </w:tc>
        <w:tc>
          <w:tcPr>
            <w:tcW w:w="1249" w:type="pct"/>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X</w:t>
            </w:r>
          </w:p>
        </w:tc>
        <w:tc>
          <w:tcPr>
            <w:tcW w:w="899" w:type="pct"/>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X</w:t>
            </w:r>
          </w:p>
        </w:tc>
        <w:tc>
          <w:tcPr>
            <w:tcW w:w="729" w:type="pct"/>
            <w:vAlign w:val="center"/>
          </w:tcPr>
          <w:p w:rsidR="0008766F" w:rsidRPr="009E41F8" w:rsidRDefault="0008766F" w:rsidP="0008766F">
            <w:pPr>
              <w:spacing w:after="120" w:line="240" w:lineRule="auto"/>
              <w:jc w:val="center"/>
              <w:rPr>
                <w:rFonts w:cs="Arial"/>
                <w:szCs w:val="22"/>
              </w:rPr>
            </w:pPr>
            <w:r w:rsidRPr="009E41F8">
              <w:rPr>
                <w:rFonts w:cs="Arial"/>
                <w:szCs w:val="22"/>
              </w:rPr>
              <w:t>X</w:t>
            </w:r>
          </w:p>
        </w:tc>
      </w:tr>
      <w:tr w:rsidR="0008766F" w:rsidRPr="009E41F8" w:rsidTr="0008766F">
        <w:trPr>
          <w:trHeight w:val="315"/>
        </w:trPr>
        <w:tc>
          <w:tcPr>
            <w:tcW w:w="2124" w:type="pct"/>
            <w:shd w:val="clear" w:color="000000" w:fill="FFFFFF"/>
            <w:vAlign w:val="center"/>
            <w:hideMark/>
          </w:tcPr>
          <w:p w:rsidR="0008766F" w:rsidRPr="009E41F8" w:rsidRDefault="0008766F" w:rsidP="003442CE">
            <w:pPr>
              <w:spacing w:after="120" w:line="240" w:lineRule="auto"/>
              <w:jc w:val="left"/>
              <w:rPr>
                <w:rFonts w:cs="Arial"/>
                <w:szCs w:val="22"/>
              </w:rPr>
            </w:pPr>
            <w:r w:rsidRPr="009E41F8">
              <w:rPr>
                <w:rFonts w:cs="Arial"/>
                <w:szCs w:val="22"/>
              </w:rPr>
              <w:t>Emissão de relatórios técnicos consolidados</w:t>
            </w:r>
            <w:r>
              <w:rPr>
                <w:rFonts w:cs="Arial"/>
                <w:szCs w:val="22"/>
              </w:rPr>
              <w:t>*</w:t>
            </w:r>
          </w:p>
        </w:tc>
        <w:tc>
          <w:tcPr>
            <w:tcW w:w="1249" w:type="pct"/>
            <w:shd w:val="clear" w:color="auto" w:fill="auto"/>
            <w:vAlign w:val="center"/>
            <w:hideMark/>
          </w:tcPr>
          <w:p w:rsidR="0008766F" w:rsidRPr="009E41F8" w:rsidRDefault="0008766F" w:rsidP="0008766F">
            <w:pPr>
              <w:spacing w:after="120" w:line="240" w:lineRule="auto"/>
              <w:jc w:val="center"/>
              <w:rPr>
                <w:rFonts w:cs="Arial"/>
                <w:szCs w:val="22"/>
              </w:rPr>
            </w:pPr>
            <w:r>
              <w:rPr>
                <w:rFonts w:cs="Arial"/>
                <w:szCs w:val="22"/>
              </w:rPr>
              <w:t>*</w:t>
            </w:r>
          </w:p>
        </w:tc>
        <w:tc>
          <w:tcPr>
            <w:tcW w:w="899" w:type="pct"/>
            <w:shd w:val="clear" w:color="auto" w:fill="auto"/>
            <w:vAlign w:val="center"/>
            <w:hideMark/>
          </w:tcPr>
          <w:p w:rsidR="0008766F" w:rsidRPr="009E41F8" w:rsidRDefault="0008766F" w:rsidP="0008766F">
            <w:pPr>
              <w:spacing w:after="120" w:line="240" w:lineRule="auto"/>
              <w:jc w:val="center"/>
              <w:rPr>
                <w:rFonts w:cs="Arial"/>
                <w:szCs w:val="22"/>
              </w:rPr>
            </w:pPr>
            <w:r w:rsidRPr="009E41F8">
              <w:rPr>
                <w:rFonts w:cs="Arial"/>
                <w:szCs w:val="22"/>
              </w:rPr>
              <w:t>X</w:t>
            </w:r>
          </w:p>
        </w:tc>
        <w:tc>
          <w:tcPr>
            <w:tcW w:w="729" w:type="pct"/>
            <w:vAlign w:val="center"/>
          </w:tcPr>
          <w:p w:rsidR="0008766F" w:rsidRPr="009E41F8" w:rsidRDefault="0008766F" w:rsidP="0008766F">
            <w:pPr>
              <w:spacing w:after="120" w:line="240" w:lineRule="auto"/>
              <w:jc w:val="center"/>
              <w:rPr>
                <w:rFonts w:cs="Arial"/>
                <w:szCs w:val="22"/>
              </w:rPr>
            </w:pPr>
            <w:r w:rsidRPr="009E41F8">
              <w:rPr>
                <w:rFonts w:cs="Arial"/>
                <w:szCs w:val="22"/>
              </w:rPr>
              <w:t>X</w:t>
            </w:r>
          </w:p>
        </w:tc>
      </w:tr>
    </w:tbl>
    <w:p w:rsidR="0008766F" w:rsidRPr="00B04DAB" w:rsidRDefault="0008766F" w:rsidP="00B04DAB">
      <w:pPr>
        <w:spacing w:after="120" w:line="240" w:lineRule="auto"/>
        <w:ind w:left="851" w:hanging="851"/>
        <w:rPr>
          <w:rFonts w:cs="Arial"/>
          <w:sz w:val="20"/>
          <w:lang w:eastAsia="en-GB"/>
        </w:rPr>
      </w:pPr>
      <w:r w:rsidRPr="00B04DAB">
        <w:rPr>
          <w:rFonts w:cs="Arial"/>
          <w:sz w:val="20"/>
          <w:lang w:eastAsia="en-GB"/>
        </w:rPr>
        <w:t>*Nota:</w:t>
      </w:r>
      <w:r w:rsidR="00B04DAB">
        <w:rPr>
          <w:rFonts w:cs="Arial"/>
          <w:sz w:val="20"/>
          <w:lang w:eastAsia="en-GB"/>
        </w:rPr>
        <w:tab/>
        <w:t>N</w:t>
      </w:r>
      <w:r w:rsidRPr="00B04DAB">
        <w:rPr>
          <w:rFonts w:cs="Arial"/>
          <w:sz w:val="20"/>
          <w:lang w:eastAsia="en-GB"/>
        </w:rPr>
        <w:t>a etapa de planejamento não está prevista a emissão de relatório consolidado, pois será realizada apenas uma coleta.</w:t>
      </w:r>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bookmarkStart w:id="1192" w:name="_Toc419813855"/>
      <w:r w:rsidRPr="00DE1C35">
        <w:rPr>
          <w:rFonts w:ascii="Arial" w:hAnsi="Arial"/>
          <w:bCs w:val="0"/>
          <w:smallCaps w:val="0"/>
          <w:color w:val="auto"/>
          <w:sz w:val="22"/>
        </w:rPr>
        <w:t xml:space="preserve">Responsável pela </w:t>
      </w:r>
      <w:r>
        <w:rPr>
          <w:rFonts w:ascii="Arial" w:hAnsi="Arial"/>
          <w:bCs w:val="0"/>
          <w:smallCaps w:val="0"/>
          <w:color w:val="auto"/>
          <w:sz w:val="22"/>
        </w:rPr>
        <w:t>I</w:t>
      </w:r>
      <w:r w:rsidRPr="00DE1C35">
        <w:rPr>
          <w:rFonts w:ascii="Arial" w:hAnsi="Arial"/>
          <w:bCs w:val="0"/>
          <w:smallCaps w:val="0"/>
          <w:color w:val="auto"/>
          <w:sz w:val="22"/>
        </w:rPr>
        <w:t>mpl</w:t>
      </w:r>
      <w:r>
        <w:rPr>
          <w:rFonts w:ascii="Arial" w:hAnsi="Arial"/>
          <w:bCs w:val="0"/>
          <w:smallCaps w:val="0"/>
          <w:color w:val="auto"/>
          <w:sz w:val="22"/>
        </w:rPr>
        <w:t>antação</w:t>
      </w:r>
      <w:r w:rsidRPr="00DE1C35">
        <w:rPr>
          <w:rFonts w:ascii="Arial" w:hAnsi="Arial"/>
          <w:bCs w:val="0"/>
          <w:smallCaps w:val="0"/>
          <w:color w:val="auto"/>
          <w:sz w:val="22"/>
        </w:rPr>
        <w:t xml:space="preserve"> do </w:t>
      </w:r>
      <w:r>
        <w:rPr>
          <w:rFonts w:ascii="Arial" w:hAnsi="Arial"/>
          <w:bCs w:val="0"/>
          <w:smallCaps w:val="0"/>
          <w:color w:val="auto"/>
          <w:sz w:val="22"/>
        </w:rPr>
        <w:t>P</w:t>
      </w:r>
      <w:r w:rsidRPr="00DE1C35">
        <w:rPr>
          <w:rFonts w:ascii="Arial" w:hAnsi="Arial"/>
          <w:bCs w:val="0"/>
          <w:smallCaps w:val="0"/>
          <w:color w:val="auto"/>
          <w:sz w:val="22"/>
        </w:rPr>
        <w:t>rograma</w:t>
      </w:r>
      <w:bookmarkEnd w:id="1192"/>
    </w:p>
    <w:p w:rsidR="0008766F" w:rsidRPr="009E41F8" w:rsidRDefault="0008766F" w:rsidP="0008766F">
      <w:pPr>
        <w:spacing w:after="120" w:line="240" w:lineRule="auto"/>
        <w:rPr>
          <w:rFonts w:cs="Arial"/>
          <w:szCs w:val="22"/>
        </w:rPr>
      </w:pPr>
      <w:r w:rsidRPr="009E41F8">
        <w:rPr>
          <w:rFonts w:cs="Arial"/>
          <w:szCs w:val="22"/>
        </w:rPr>
        <w:t xml:space="preserve">O empreendedor será responsável </w:t>
      </w:r>
      <w:r w:rsidR="003442CE">
        <w:rPr>
          <w:rFonts w:cs="Arial"/>
          <w:szCs w:val="22"/>
        </w:rPr>
        <w:t xml:space="preserve">pela implementação do programa devendo contratar as </w:t>
      </w:r>
      <w:r w:rsidRPr="009E41F8">
        <w:rPr>
          <w:rFonts w:cs="Arial"/>
          <w:szCs w:val="22"/>
        </w:rPr>
        <w:t>empresas que executarão as ações do programa em pauta e pela supervisão de todas as etapas do projeto.</w:t>
      </w:r>
    </w:p>
    <w:p w:rsidR="0008766F" w:rsidRPr="00DE1C35" w:rsidRDefault="0008766F" w:rsidP="00431A97">
      <w:pPr>
        <w:pStyle w:val="JHSF-Ttulo3"/>
        <w:numPr>
          <w:ilvl w:val="3"/>
          <w:numId w:val="84"/>
        </w:numPr>
        <w:spacing w:before="240" w:line="360" w:lineRule="auto"/>
        <w:rPr>
          <w:rFonts w:ascii="Arial" w:hAnsi="Arial"/>
          <w:bCs w:val="0"/>
          <w:smallCaps w:val="0"/>
          <w:color w:val="auto"/>
          <w:sz w:val="22"/>
        </w:rPr>
      </w:pPr>
      <w:bookmarkStart w:id="1193" w:name="_Toc419813856"/>
      <w:r w:rsidRPr="00DE1C35">
        <w:rPr>
          <w:rFonts w:ascii="Arial" w:hAnsi="Arial"/>
          <w:bCs w:val="0"/>
          <w:smallCaps w:val="0"/>
          <w:color w:val="auto"/>
          <w:sz w:val="22"/>
        </w:rPr>
        <w:t xml:space="preserve">Sistemas de </w:t>
      </w:r>
      <w:r>
        <w:rPr>
          <w:rFonts w:ascii="Arial" w:hAnsi="Arial"/>
          <w:bCs w:val="0"/>
          <w:smallCaps w:val="0"/>
          <w:color w:val="auto"/>
          <w:sz w:val="22"/>
        </w:rPr>
        <w:t>R</w:t>
      </w:r>
      <w:r w:rsidRPr="00DE1C35">
        <w:rPr>
          <w:rFonts w:ascii="Arial" w:hAnsi="Arial"/>
          <w:bCs w:val="0"/>
          <w:smallCaps w:val="0"/>
          <w:color w:val="auto"/>
          <w:sz w:val="22"/>
        </w:rPr>
        <w:t>egistro</w:t>
      </w:r>
      <w:bookmarkEnd w:id="1193"/>
    </w:p>
    <w:p w:rsidR="00D339F2" w:rsidRDefault="00D339F2" w:rsidP="0008766F">
      <w:pPr>
        <w:spacing w:after="120" w:line="240" w:lineRule="auto"/>
        <w:rPr>
          <w:rFonts w:cs="Arial"/>
          <w:szCs w:val="22"/>
        </w:rPr>
      </w:pPr>
      <w:r w:rsidRPr="00D339F2">
        <w:rPr>
          <w:rFonts w:cs="Arial"/>
          <w:szCs w:val="22"/>
        </w:rPr>
        <w:t>Para cada barragem, em cada campanha, será elaborado um relatório técnico e anualmente os dados serão consolidados em um relatório final, levando-se em consideração a variação espacial e temporal dos resultados obtidos. As eventuais alterações nas comunidades aquáticas serão apontadas, bem como as medidas preventivas e corretivas, visando à preservação do ecossistema aquático e a manutenção dos padrões de potabilidade nos mananciais que serão utilizados para o abastecimento público.</w:t>
      </w:r>
    </w:p>
    <w:p w:rsidR="00623CE0" w:rsidRDefault="00623CE0" w:rsidP="0008766F">
      <w:pPr>
        <w:spacing w:after="120" w:line="240" w:lineRule="auto"/>
        <w:rPr>
          <w:rFonts w:cs="Arial"/>
          <w:szCs w:val="22"/>
        </w:rPr>
      </w:pPr>
      <w:r>
        <w:rPr>
          <w:rFonts w:cs="Arial"/>
          <w:szCs w:val="22"/>
        </w:rPr>
        <w:br w:type="page"/>
      </w:r>
    </w:p>
    <w:p w:rsidR="0008766F" w:rsidRDefault="0008766F" w:rsidP="00431A97">
      <w:pPr>
        <w:pStyle w:val="JHSF-Ttulo3"/>
        <w:numPr>
          <w:ilvl w:val="3"/>
          <w:numId w:val="84"/>
        </w:numPr>
        <w:spacing w:before="240" w:line="360" w:lineRule="auto"/>
        <w:rPr>
          <w:rFonts w:ascii="Arial" w:hAnsi="Arial"/>
          <w:bCs w:val="0"/>
          <w:smallCaps w:val="0"/>
          <w:color w:val="auto"/>
          <w:sz w:val="22"/>
        </w:rPr>
      </w:pPr>
      <w:bookmarkStart w:id="1194" w:name="_Toc419813857"/>
      <w:r w:rsidRPr="00DE1C35">
        <w:rPr>
          <w:rFonts w:ascii="Arial" w:hAnsi="Arial"/>
          <w:bCs w:val="0"/>
          <w:smallCaps w:val="0"/>
          <w:color w:val="auto"/>
          <w:sz w:val="22"/>
        </w:rPr>
        <w:t>Referência</w:t>
      </w:r>
      <w:r>
        <w:rPr>
          <w:rFonts w:ascii="Arial" w:hAnsi="Arial"/>
          <w:bCs w:val="0"/>
          <w:smallCaps w:val="0"/>
          <w:color w:val="auto"/>
          <w:sz w:val="22"/>
        </w:rPr>
        <w:t>s</w:t>
      </w:r>
      <w:r w:rsidRPr="00DE1C35">
        <w:rPr>
          <w:rFonts w:ascii="Arial" w:hAnsi="Arial"/>
          <w:bCs w:val="0"/>
          <w:smallCaps w:val="0"/>
          <w:color w:val="auto"/>
          <w:sz w:val="22"/>
        </w:rPr>
        <w:t xml:space="preserve"> Bibliográfica</w:t>
      </w:r>
      <w:r>
        <w:rPr>
          <w:rFonts w:ascii="Arial" w:hAnsi="Arial"/>
          <w:bCs w:val="0"/>
          <w:smallCaps w:val="0"/>
          <w:color w:val="auto"/>
          <w:sz w:val="22"/>
        </w:rPr>
        <w:t>s</w:t>
      </w:r>
      <w:bookmarkEnd w:id="1194"/>
    </w:p>
    <w:p w:rsidR="0008766F" w:rsidRPr="00CA03FC" w:rsidRDefault="0008766F" w:rsidP="00810CA3">
      <w:pPr>
        <w:pStyle w:val="Item-Trainho"/>
        <w:rPr>
          <w:rStyle w:val="CorpodetextoChar"/>
          <w:rFonts w:eastAsia="Calibri" w:cs="Arial"/>
          <w:szCs w:val="22"/>
        </w:rPr>
      </w:pPr>
      <w:r w:rsidRPr="00D60AEB">
        <w:rPr>
          <w:noProof/>
          <w:lang w:val="en-US"/>
        </w:rPr>
        <w:t>AMERICAN PUBLIC HEALTH ASSOCIATION - APHA.</w:t>
      </w:r>
      <w:r w:rsidRPr="00D60AEB">
        <w:rPr>
          <w:b/>
          <w:noProof/>
          <w:lang w:val="en-US"/>
        </w:rPr>
        <w:t xml:space="preserve">Standard </w:t>
      </w:r>
      <w:r>
        <w:rPr>
          <w:b/>
          <w:noProof/>
          <w:lang w:val="en-US"/>
        </w:rPr>
        <w:t>M</w:t>
      </w:r>
      <w:r w:rsidRPr="00D60AEB">
        <w:rPr>
          <w:b/>
          <w:noProof/>
          <w:lang w:val="en-US"/>
        </w:rPr>
        <w:t xml:space="preserve">ethods for </w:t>
      </w:r>
      <w:r>
        <w:rPr>
          <w:b/>
          <w:noProof/>
          <w:lang w:val="en-US"/>
        </w:rPr>
        <w:t>t</w:t>
      </w:r>
      <w:r w:rsidRPr="00D60AEB">
        <w:rPr>
          <w:b/>
          <w:noProof/>
          <w:lang w:val="en-US"/>
        </w:rPr>
        <w:t xml:space="preserve">he </w:t>
      </w:r>
      <w:r>
        <w:rPr>
          <w:b/>
          <w:noProof/>
          <w:lang w:val="en-US"/>
        </w:rPr>
        <w:t>E</w:t>
      </w:r>
      <w:r w:rsidRPr="00D60AEB">
        <w:rPr>
          <w:b/>
          <w:noProof/>
          <w:lang w:val="en-US"/>
        </w:rPr>
        <w:t xml:space="preserve">xamination of </w:t>
      </w:r>
      <w:r>
        <w:rPr>
          <w:b/>
          <w:noProof/>
          <w:lang w:val="en-US"/>
        </w:rPr>
        <w:t>W</w:t>
      </w:r>
      <w:r w:rsidRPr="00D60AEB">
        <w:rPr>
          <w:b/>
          <w:noProof/>
          <w:lang w:val="en-US"/>
        </w:rPr>
        <w:t xml:space="preserve">ater and </w:t>
      </w:r>
      <w:r>
        <w:rPr>
          <w:b/>
          <w:noProof/>
          <w:lang w:val="en-US"/>
        </w:rPr>
        <w:t>W</w:t>
      </w:r>
      <w:r w:rsidRPr="00D60AEB">
        <w:rPr>
          <w:b/>
          <w:noProof/>
          <w:lang w:val="en-US"/>
        </w:rPr>
        <w:t xml:space="preserve">astewater. </w:t>
      </w:r>
      <w:r w:rsidRPr="00CA03FC">
        <w:rPr>
          <w:b/>
          <w:noProof/>
        </w:rPr>
        <w:t>22ª ed.</w:t>
      </w:r>
      <w:r w:rsidRPr="00CA03FC">
        <w:rPr>
          <w:noProof/>
        </w:rPr>
        <w:t xml:space="preserve"> Washington: APHA / AWWA / WEF, 2012.</w:t>
      </w:r>
    </w:p>
    <w:p w:rsidR="0008766F" w:rsidRPr="00D60AEB" w:rsidRDefault="0008766F" w:rsidP="00810CA3">
      <w:pPr>
        <w:pStyle w:val="Item-Trainho"/>
      </w:pPr>
      <w:r w:rsidRPr="00D60AEB">
        <w:t xml:space="preserve">BRASIL. COMPANHIA AMBIENTAL DO ESTADO DE SÃO PAULO - CETESB. </w:t>
      </w:r>
      <w:r w:rsidRPr="00D60AEB">
        <w:rPr>
          <w:b/>
        </w:rPr>
        <w:t>Qualidade das Águas Superficiais no Estado de São Paulo - 2013</w:t>
      </w:r>
      <w:r w:rsidRPr="00D60AEB">
        <w:t>, São Paulo, 2014.</w:t>
      </w:r>
    </w:p>
    <w:p w:rsidR="0008766F" w:rsidRPr="00FF64D3" w:rsidRDefault="0008766F" w:rsidP="00810CA3">
      <w:pPr>
        <w:pStyle w:val="Item-Trainho"/>
      </w:pPr>
      <w:r w:rsidRPr="00FF64D3">
        <w:t>BRASIL. INSTITUTO BRASILEIRO DO MEIO AMBIENTE E DOS RECURSOS NATURAIS RENOVÁVEIS - IBAMA. Instrução Normativa nº 146, de 10 de janeiro de 2007. Diário Oficial da União nº 8, 2007.</w:t>
      </w:r>
    </w:p>
    <w:p w:rsidR="0008766F" w:rsidRDefault="0008766F" w:rsidP="00810CA3">
      <w:pPr>
        <w:pStyle w:val="Item-Trainho"/>
        <w:rPr>
          <w:lang w:val="en-US"/>
        </w:rPr>
      </w:pPr>
      <w:r w:rsidRPr="00D60AEB">
        <w:t xml:space="preserve">BRASIL. MINISTÉRIO DO MEIO AMBIENTE - MMA. </w:t>
      </w:r>
      <w:r w:rsidRPr="00D60AEB">
        <w:rPr>
          <w:b/>
        </w:rPr>
        <w:t>Portaria n° 445 de 17 de dezembro de 2014</w:t>
      </w:r>
      <w:r w:rsidRPr="00D60AEB">
        <w:t xml:space="preserve">: Lista Nacional das Espécies de Invertebrados Aquáticos e Peixes Ameaçados da Fauna Brasileira Ameaçados de Extinção. </w:t>
      </w:r>
      <w:r w:rsidRPr="002E598F">
        <w:rPr>
          <w:lang w:val="en-US"/>
        </w:rPr>
        <w:t>Diário Oficial da União n° 245, 2014.</w:t>
      </w:r>
    </w:p>
    <w:p w:rsidR="0008766F" w:rsidRDefault="0008766F" w:rsidP="00810CA3">
      <w:pPr>
        <w:pStyle w:val="Item-Trainho"/>
      </w:pPr>
      <w:r w:rsidRPr="0060267D">
        <w:t xml:space="preserve">BRASIL. MINISTÉRIO DO MEIO AMBIENTE - MMA. </w:t>
      </w:r>
      <w:r w:rsidRPr="001E720D">
        <w:rPr>
          <w:b/>
        </w:rPr>
        <w:t>Portaria 2.914 de 2011</w:t>
      </w:r>
      <w:r>
        <w:t xml:space="preserve">: </w:t>
      </w:r>
      <w:r w:rsidRPr="00DD0A47">
        <w:t>Dispõe sobre os procedimentos de controle e de vigilância da qualidade da água para consumo humano e seu padrão de potabilidade.</w:t>
      </w:r>
    </w:p>
    <w:p w:rsidR="0008766F" w:rsidRDefault="0008766F" w:rsidP="00810CA3">
      <w:pPr>
        <w:pStyle w:val="Item-Trainho"/>
      </w:pPr>
      <w:r w:rsidRPr="009E41F8">
        <w:t xml:space="preserve">BRASIL. Ministério do Meio Ambiente. Conselho Nacional do Meio Ambiente. </w:t>
      </w:r>
      <w:r w:rsidRPr="009E41F8">
        <w:rPr>
          <w:b/>
        </w:rPr>
        <w:t xml:space="preserve">Resolução </w:t>
      </w:r>
      <w:r w:rsidR="00504078">
        <w:rPr>
          <w:b/>
        </w:rPr>
        <w:t>CONAMA</w:t>
      </w:r>
      <w:r w:rsidRPr="009E41F8">
        <w:rPr>
          <w:b/>
        </w:rPr>
        <w:t xml:space="preserve"> nº 357</w:t>
      </w:r>
      <w:r w:rsidRPr="001E720D">
        <w:t>, de 17 de março de 2005:</w:t>
      </w:r>
      <w:r w:rsidRPr="009E41F8">
        <w:t xml:space="preserve"> dispõe sobre a classificação dos corpos de água e diretrizes ambientais para o seu enquadramento, bem como estabelece as condições e padrões de qualidade da água. Brasília, 2005.</w:t>
      </w:r>
    </w:p>
    <w:p w:rsidR="0008766F" w:rsidRPr="00D60AEB" w:rsidRDefault="0008766F" w:rsidP="00810CA3">
      <w:pPr>
        <w:pStyle w:val="Item-Trainho"/>
        <w:rPr>
          <w:noProof/>
          <w:lang w:val="en-US"/>
        </w:rPr>
      </w:pPr>
      <w:r w:rsidRPr="00D60AEB">
        <w:rPr>
          <w:noProof/>
          <w:lang w:val="en-US"/>
        </w:rPr>
        <w:t xml:space="preserve">BRAUN-BLANQUET, J.; FULLER, G. D.; CONARD, H. S. </w:t>
      </w:r>
      <w:r w:rsidRPr="00D60AEB">
        <w:rPr>
          <w:b/>
          <w:noProof/>
          <w:lang w:val="en-US"/>
        </w:rPr>
        <w:t>Plant sociology; the study of plant communities</w:t>
      </w:r>
      <w:r w:rsidRPr="00D60AEB">
        <w:rPr>
          <w:noProof/>
          <w:lang w:val="en-US"/>
        </w:rPr>
        <w:t>. 1st. New York, London, : McGraw-Hill book company, inc., xviii, 439 p. 1932.</w:t>
      </w:r>
    </w:p>
    <w:p w:rsidR="0008766F" w:rsidRPr="00D60AEB" w:rsidRDefault="0008766F" w:rsidP="00810CA3">
      <w:pPr>
        <w:pStyle w:val="Item-Trainho"/>
      </w:pPr>
      <w:r w:rsidRPr="00D60AEB">
        <w:t xml:space="preserve">SÃO PAULO. </w:t>
      </w:r>
      <w:r>
        <w:t>ASSEMBLEIA LEGISLATIVA DO ESTADO DE SÃO PAULO</w:t>
      </w:r>
      <w:r w:rsidRPr="00D60AEB">
        <w:t xml:space="preserve">. </w:t>
      </w:r>
      <w:r w:rsidRPr="00D60AEB">
        <w:rPr>
          <w:b/>
        </w:rPr>
        <w:t>Decreto Estadual nº 60.133, de 07 de fevereiro de 2014</w:t>
      </w:r>
      <w:r w:rsidRPr="00D60AEB">
        <w:t>: declara as espécies da fauna silvestre ameaçadas de extinção, as quase ameaçadas e as deficientes de dados para avaliação no Estado de São Paulo e dá providências correlatas. São Paulo, 2014.</w:t>
      </w:r>
    </w:p>
    <w:p w:rsidR="0008766F" w:rsidRPr="00D60AEB" w:rsidRDefault="0008766F" w:rsidP="00810CA3">
      <w:pPr>
        <w:pStyle w:val="Item-Trainho"/>
        <w:rPr>
          <w:b/>
          <w:bCs/>
          <w:bdr w:val="none" w:sz="0" w:space="0" w:color="auto" w:frame="1"/>
        </w:rPr>
      </w:pPr>
      <w:r w:rsidRPr="002E598F">
        <w:rPr>
          <w:bCs/>
          <w:bdr w:val="none" w:sz="0" w:space="0" w:color="auto" w:frame="1"/>
        </w:rPr>
        <w:t>SÃO PAULO. SECRETARIA DO MEIO AMBIENTE DO ESTADO DE SÃO PAULO.</w:t>
      </w:r>
      <w:r w:rsidRPr="00D60AEB">
        <w:rPr>
          <w:b/>
          <w:bCs/>
          <w:bdr w:val="none" w:sz="0" w:space="0" w:color="auto" w:frame="1"/>
        </w:rPr>
        <w:t xml:space="preserve"> Resolução SMA nº 100, de 17 de </w:t>
      </w:r>
      <w:r>
        <w:rPr>
          <w:b/>
          <w:bCs/>
          <w:bdr w:val="none" w:sz="0" w:space="0" w:color="auto" w:frame="1"/>
        </w:rPr>
        <w:t>o</w:t>
      </w:r>
      <w:r w:rsidRPr="00D60AEB">
        <w:rPr>
          <w:b/>
          <w:bCs/>
          <w:bdr w:val="none" w:sz="0" w:space="0" w:color="auto" w:frame="1"/>
        </w:rPr>
        <w:t xml:space="preserve">utubro de 2013: </w:t>
      </w:r>
      <w:r>
        <w:rPr>
          <w:iCs/>
          <w:bdr w:val="none" w:sz="0" w:space="0" w:color="auto" w:frame="1"/>
        </w:rPr>
        <w:t>r</w:t>
      </w:r>
      <w:r w:rsidRPr="00D60AEB">
        <w:rPr>
          <w:iCs/>
          <w:bdr w:val="none" w:sz="0" w:space="0" w:color="auto" w:frame="1"/>
        </w:rPr>
        <w:t>egulamenta as exigências para os resultados analíticos,</w:t>
      </w:r>
      <w:r w:rsidRPr="00D60AEB">
        <w:rPr>
          <w:rStyle w:val="apple-converted-space"/>
          <w:rFonts w:cs="Arial"/>
          <w:iCs/>
          <w:szCs w:val="22"/>
          <w:bdr w:val="none" w:sz="0" w:space="0" w:color="auto" w:frame="1"/>
        </w:rPr>
        <w:t> </w:t>
      </w:r>
      <w:r w:rsidRPr="00D60AEB">
        <w:rPr>
          <w:iCs/>
          <w:bdr w:val="none" w:sz="0" w:space="0" w:color="auto" w:frame="1"/>
        </w:rPr>
        <w:t>incluindo-se a amostragem, objeto de apreciação pelos órgãos integrantes do Sistema Estadual de Administração da Qualidade Ambiental, Proteção, Controle e Desenvolvimento do Meio Ambiente e Uso Adequado dos Recursos Naturais – SEAQUA. São Paulo, 2013.</w:t>
      </w:r>
    </w:p>
    <w:p w:rsidR="0008766F" w:rsidRDefault="0008766F" w:rsidP="00810CA3">
      <w:pPr>
        <w:pStyle w:val="Item-Trainho"/>
        <w:rPr>
          <w:iCs/>
          <w:bdr w:val="none" w:sz="0" w:space="0" w:color="auto" w:frame="1"/>
        </w:rPr>
      </w:pPr>
      <w:r w:rsidRPr="002E598F">
        <w:rPr>
          <w:bCs/>
          <w:bdr w:val="none" w:sz="0" w:space="0" w:color="auto" w:frame="1"/>
        </w:rPr>
        <w:t>SÃO PAULO. SECRETARIA DO MEIO AMBIENTE DO ESTADO DE SÃO PAULO.</w:t>
      </w:r>
      <w:r w:rsidRPr="00D60AEB">
        <w:rPr>
          <w:b/>
          <w:bCs/>
          <w:bdr w:val="none" w:sz="0" w:space="0" w:color="auto" w:frame="1"/>
        </w:rPr>
        <w:t xml:space="preserve"> Resolução SMA nº 92, de 14 de </w:t>
      </w:r>
      <w:r>
        <w:rPr>
          <w:b/>
          <w:bCs/>
          <w:bdr w:val="none" w:sz="0" w:space="0" w:color="auto" w:frame="1"/>
        </w:rPr>
        <w:t>n</w:t>
      </w:r>
      <w:r w:rsidRPr="00D60AEB">
        <w:rPr>
          <w:b/>
          <w:bCs/>
          <w:bdr w:val="none" w:sz="0" w:space="0" w:color="auto" w:frame="1"/>
        </w:rPr>
        <w:t>ovembro de 2014: d</w:t>
      </w:r>
      <w:r w:rsidRPr="00D60AEB">
        <w:t xml:space="preserve">efine as autorizações para manejo de fauna silvestre no Estado de São Paulo, e implanta o Sistema Integrado de Gestão de Fauna Silvestre – GEFAU. </w:t>
      </w:r>
      <w:r w:rsidRPr="00D60AEB">
        <w:rPr>
          <w:iCs/>
          <w:bdr w:val="none" w:sz="0" w:space="0" w:color="auto" w:frame="1"/>
        </w:rPr>
        <w:t>São Paulo, 2014.</w:t>
      </w:r>
    </w:p>
    <w:p w:rsidR="00623CE0" w:rsidRDefault="00623CE0" w:rsidP="00623CE0">
      <w:pPr>
        <w:pStyle w:val="Item-Trainho"/>
        <w:numPr>
          <w:ilvl w:val="0"/>
          <w:numId w:val="0"/>
        </w:numPr>
        <w:ind w:left="397" w:hanging="397"/>
        <w:rPr>
          <w:iCs/>
          <w:bdr w:val="none" w:sz="0" w:space="0" w:color="auto" w:frame="1"/>
        </w:rPr>
      </w:pPr>
      <w:r>
        <w:rPr>
          <w:iCs/>
          <w:bdr w:val="none" w:sz="0" w:space="0" w:color="auto" w:frame="1"/>
        </w:rPr>
        <w:br w:type="page"/>
      </w:r>
    </w:p>
    <w:p w:rsidR="007E4C43" w:rsidRPr="008C32BC" w:rsidRDefault="00D80357" w:rsidP="00431A97">
      <w:pPr>
        <w:pStyle w:val="Ttulo3"/>
        <w:numPr>
          <w:ilvl w:val="2"/>
          <w:numId w:val="84"/>
        </w:numPr>
        <w:rPr>
          <w:rFonts w:ascii="Arial Negrito" w:hAnsi="Arial Negrito"/>
          <w:bCs/>
        </w:rPr>
      </w:pPr>
      <w:bookmarkStart w:id="1195" w:name="_Toc418758471"/>
      <w:bookmarkStart w:id="1196" w:name="_Toc418759073"/>
      <w:bookmarkStart w:id="1197" w:name="_Toc419813858"/>
      <w:r w:rsidRPr="008C32BC">
        <w:rPr>
          <w:rFonts w:ascii="Arial Negrito" w:hAnsi="Arial Negrito"/>
          <w:bCs/>
        </w:rPr>
        <w:t xml:space="preserve">Programa </w:t>
      </w:r>
      <w:r w:rsidR="007E4C43" w:rsidRPr="008C32BC">
        <w:rPr>
          <w:rFonts w:ascii="Arial Negrito" w:hAnsi="Arial Negrito"/>
          <w:bCs/>
        </w:rPr>
        <w:t>de Monitoramento de Invertebrados de Interesse Médico Sanitário</w:t>
      </w:r>
      <w:bookmarkEnd w:id="1195"/>
      <w:bookmarkEnd w:id="1196"/>
      <w:bookmarkEnd w:id="1197"/>
    </w:p>
    <w:p w:rsidR="007E4C43" w:rsidRPr="008C32BC" w:rsidRDefault="007E4C43" w:rsidP="00431A97">
      <w:pPr>
        <w:pStyle w:val="Ttulo3"/>
        <w:numPr>
          <w:ilvl w:val="3"/>
          <w:numId w:val="84"/>
        </w:numPr>
        <w:rPr>
          <w:rFonts w:ascii="Arial Negrito" w:hAnsi="Arial Negrito"/>
          <w:bCs/>
        </w:rPr>
      </w:pPr>
      <w:bookmarkStart w:id="1198" w:name="_Toc418758472"/>
      <w:bookmarkStart w:id="1199" w:name="_Toc418759074"/>
      <w:bookmarkStart w:id="1200" w:name="_Toc419813859"/>
      <w:r w:rsidRPr="008C32BC">
        <w:rPr>
          <w:rFonts w:ascii="Arial Negrito" w:hAnsi="Arial Negrito"/>
          <w:bCs/>
        </w:rPr>
        <w:t>Apresentação e justificativa</w:t>
      </w:r>
      <w:bookmarkEnd w:id="1198"/>
      <w:bookmarkEnd w:id="1199"/>
      <w:bookmarkEnd w:id="1200"/>
    </w:p>
    <w:p w:rsidR="007E4C43" w:rsidRPr="00645FF2" w:rsidRDefault="007E4C43" w:rsidP="007E4C43">
      <w:pPr>
        <w:spacing w:before="120" w:after="120" w:line="240" w:lineRule="auto"/>
        <w:rPr>
          <w:rFonts w:cs="Arial"/>
        </w:rPr>
      </w:pPr>
      <w:r w:rsidRPr="00645FF2">
        <w:rPr>
          <w:rFonts w:cs="Arial"/>
        </w:rPr>
        <w:t xml:space="preserve">O diagnóstico da fauna de invertebrados </w:t>
      </w:r>
      <w:r>
        <w:rPr>
          <w:rFonts w:cs="Arial"/>
        </w:rPr>
        <w:t>de interesse médico-sanitário,</w:t>
      </w:r>
      <w:r w:rsidRPr="00645FF2">
        <w:rPr>
          <w:rFonts w:cs="Arial"/>
        </w:rPr>
        <w:t xml:space="preserve"> </w:t>
      </w:r>
      <w:r>
        <w:rPr>
          <w:rFonts w:cs="Arial"/>
        </w:rPr>
        <w:t xml:space="preserve">realizado </w:t>
      </w:r>
      <w:r w:rsidRPr="00645FF2">
        <w:rPr>
          <w:rFonts w:cs="Arial"/>
        </w:rPr>
        <w:t>na</w:t>
      </w:r>
      <w:r>
        <w:rPr>
          <w:rFonts w:cs="Arial"/>
        </w:rPr>
        <w:t>s</w:t>
      </w:r>
      <w:r w:rsidRPr="00645FF2">
        <w:rPr>
          <w:rFonts w:cs="Arial"/>
        </w:rPr>
        <w:t xml:space="preserve"> área</w:t>
      </w:r>
      <w:r>
        <w:rPr>
          <w:rFonts w:cs="Arial"/>
        </w:rPr>
        <w:t>s de influência das barragens Pedreira e Duas Pontes,</w:t>
      </w:r>
      <w:r w:rsidRPr="00645FF2">
        <w:rPr>
          <w:rFonts w:cs="Arial"/>
        </w:rPr>
        <w:t xml:space="preserve"> demonstrou a ocorrência de diversas espécies </w:t>
      </w:r>
      <w:r>
        <w:rPr>
          <w:rFonts w:cs="Arial"/>
        </w:rPr>
        <w:t xml:space="preserve">de invertebrados de importância epidemiológica, por estarem </w:t>
      </w:r>
      <w:r w:rsidRPr="00645FF2">
        <w:rPr>
          <w:rFonts w:cs="Arial"/>
        </w:rPr>
        <w:t>frequentemente associadas à trans</w:t>
      </w:r>
      <w:r>
        <w:rPr>
          <w:rFonts w:cs="Arial"/>
        </w:rPr>
        <w:t>missão de patógenos para os seres humanos</w:t>
      </w:r>
      <w:r w:rsidRPr="00645FF2">
        <w:rPr>
          <w:rFonts w:cs="Arial"/>
        </w:rPr>
        <w:t>. Entre os grupos taxonômicos de maior importância estão os mosquitos (Diptera: Culicidae), flebotomíneos (Diptera: Psychodidae) e caramujos (Pulmunata: Planorbidae).</w:t>
      </w:r>
    </w:p>
    <w:p w:rsidR="007E4C43" w:rsidRDefault="007E4C43" w:rsidP="007E4C43">
      <w:pPr>
        <w:spacing w:before="120" w:after="120" w:line="240" w:lineRule="auto"/>
        <w:rPr>
          <w:rFonts w:cs="Arial"/>
        </w:rPr>
      </w:pPr>
      <w:r w:rsidRPr="00645FF2">
        <w:rPr>
          <w:rFonts w:cs="Arial"/>
        </w:rPr>
        <w:t>Diante desta constatação e os impactos eminentes que irão ocorrer com a implantação do</w:t>
      </w:r>
      <w:r>
        <w:rPr>
          <w:rFonts w:cs="Arial"/>
        </w:rPr>
        <w:t>s</w:t>
      </w:r>
      <w:r w:rsidRPr="00645FF2">
        <w:rPr>
          <w:rFonts w:cs="Arial"/>
        </w:rPr>
        <w:t xml:space="preserve"> </w:t>
      </w:r>
      <w:r>
        <w:rPr>
          <w:rFonts w:cs="Arial"/>
        </w:rPr>
        <w:t xml:space="preserve">dois </w:t>
      </w:r>
      <w:r w:rsidRPr="00645FF2">
        <w:rPr>
          <w:rFonts w:cs="Arial"/>
        </w:rPr>
        <w:t>empreendimento</w:t>
      </w:r>
      <w:r>
        <w:rPr>
          <w:rFonts w:cs="Arial"/>
        </w:rPr>
        <w:t>s</w:t>
      </w:r>
      <w:r w:rsidRPr="00645FF2">
        <w:rPr>
          <w:rFonts w:cs="Arial"/>
        </w:rPr>
        <w:t>, o desenvolvimento de ações de monitoramento de vetores passa a ser fundamental.</w:t>
      </w:r>
      <w:r>
        <w:rPr>
          <w:rFonts w:cs="Arial"/>
        </w:rPr>
        <w:t xml:space="preserve"> A finalidade é de conhecer a composição e distribuição </w:t>
      </w:r>
      <w:r w:rsidR="00DA0C23">
        <w:rPr>
          <w:rFonts w:cs="Arial"/>
        </w:rPr>
        <w:t xml:space="preserve">da </w:t>
      </w:r>
      <w:r>
        <w:rPr>
          <w:rFonts w:cs="Arial"/>
        </w:rPr>
        <w:t>fauna vetora nas áreas de influência das barragens, indicar medidas preventivas e de controle vetorial e monitorar a introdução de espécies invasoras.</w:t>
      </w:r>
    </w:p>
    <w:p w:rsidR="007E4C43" w:rsidRPr="008C32BC" w:rsidRDefault="007E4C43" w:rsidP="00431A97">
      <w:pPr>
        <w:pStyle w:val="Ttulo3"/>
        <w:numPr>
          <w:ilvl w:val="3"/>
          <w:numId w:val="84"/>
        </w:numPr>
        <w:rPr>
          <w:rFonts w:ascii="Arial Negrito" w:hAnsi="Arial Negrito"/>
          <w:bCs/>
        </w:rPr>
      </w:pPr>
      <w:bookmarkStart w:id="1201" w:name="_Toc418758473"/>
      <w:bookmarkStart w:id="1202" w:name="_Toc418759075"/>
      <w:bookmarkStart w:id="1203" w:name="_Toc419813860"/>
      <w:r w:rsidRPr="008C32BC">
        <w:rPr>
          <w:rFonts w:ascii="Arial Negrito" w:hAnsi="Arial Negrito"/>
          <w:bCs/>
        </w:rPr>
        <w:t>Objetivos</w:t>
      </w:r>
      <w:bookmarkEnd w:id="1201"/>
      <w:bookmarkEnd w:id="1202"/>
      <w:bookmarkEnd w:id="1203"/>
    </w:p>
    <w:p w:rsidR="007E4C43" w:rsidRDefault="007E4C43" w:rsidP="00656EA3">
      <w:pPr>
        <w:pStyle w:val="Item-Bolinha"/>
      </w:pPr>
      <w:r>
        <w:t>Objetivo Geral</w:t>
      </w:r>
    </w:p>
    <w:p w:rsidR="007E4C43" w:rsidRPr="00645FF2" w:rsidRDefault="007E4C43" w:rsidP="007E4C43">
      <w:pPr>
        <w:spacing w:before="120" w:after="120" w:line="240" w:lineRule="auto"/>
        <w:rPr>
          <w:rFonts w:cs="Arial"/>
        </w:rPr>
      </w:pPr>
      <w:r w:rsidRPr="00645FF2">
        <w:rPr>
          <w:rFonts w:cs="Arial"/>
        </w:rPr>
        <w:t>Monitorar o comportamento da fauna de invertebr</w:t>
      </w:r>
      <w:r>
        <w:rPr>
          <w:rFonts w:cs="Arial"/>
        </w:rPr>
        <w:t>ados de interesse médico-sanitário</w:t>
      </w:r>
      <w:r w:rsidRPr="00645FF2">
        <w:rPr>
          <w:rFonts w:cs="Arial"/>
        </w:rPr>
        <w:t>, ocorrentes na área de influência da</w:t>
      </w:r>
      <w:r>
        <w:rPr>
          <w:rFonts w:cs="Arial"/>
        </w:rPr>
        <w:t>s</w:t>
      </w:r>
      <w:r w:rsidRPr="00645FF2">
        <w:rPr>
          <w:rFonts w:cs="Arial"/>
        </w:rPr>
        <w:t xml:space="preserve"> </w:t>
      </w:r>
      <w:r>
        <w:rPr>
          <w:rFonts w:cs="Arial"/>
        </w:rPr>
        <w:t>barragens Pedreira e Duas Pontes</w:t>
      </w:r>
      <w:r w:rsidRPr="00645FF2">
        <w:rPr>
          <w:rFonts w:cs="Arial"/>
        </w:rPr>
        <w:t xml:space="preserve">, durante as </w:t>
      </w:r>
      <w:r>
        <w:rPr>
          <w:rFonts w:cs="Arial"/>
        </w:rPr>
        <w:t xml:space="preserve">etapas de planejamento, implantação </w:t>
      </w:r>
      <w:r w:rsidRPr="00645FF2">
        <w:rPr>
          <w:rFonts w:cs="Arial"/>
        </w:rPr>
        <w:t>e operação comercial do</w:t>
      </w:r>
      <w:r>
        <w:rPr>
          <w:rFonts w:cs="Arial"/>
        </w:rPr>
        <w:t>s</w:t>
      </w:r>
      <w:r w:rsidRPr="00645FF2">
        <w:rPr>
          <w:rFonts w:cs="Arial"/>
        </w:rPr>
        <w:t xml:space="preserve"> empreendimento</w:t>
      </w:r>
      <w:r>
        <w:rPr>
          <w:rFonts w:cs="Arial"/>
        </w:rPr>
        <w:t>s</w:t>
      </w:r>
      <w:r w:rsidRPr="00645FF2">
        <w:rPr>
          <w:rFonts w:cs="Arial"/>
        </w:rPr>
        <w:t>.</w:t>
      </w:r>
    </w:p>
    <w:p w:rsidR="007E4C43" w:rsidRPr="007E4C43" w:rsidRDefault="007E4C43" w:rsidP="00656EA3">
      <w:pPr>
        <w:pStyle w:val="Item-Bolinha"/>
      </w:pPr>
      <w:r w:rsidRPr="007E4C43">
        <w:t>Objetivos Específicos</w:t>
      </w:r>
    </w:p>
    <w:p w:rsidR="007E4C43" w:rsidRDefault="007E4C43" w:rsidP="00656EA3">
      <w:pPr>
        <w:pStyle w:val="Item-Trainho"/>
      </w:pPr>
      <w:r w:rsidRPr="007E4C43">
        <w:t>Coletar espécies de invertebrados de interesse médico-sanitário na Área Diretamente Afetada (ADA) dos empreendimentos, utilizando as técnicas de coleta específicas de cada grupo taxonômico monitorado;</w:t>
      </w:r>
    </w:p>
    <w:p w:rsidR="007E4C43" w:rsidRDefault="007E4C43" w:rsidP="00656EA3">
      <w:pPr>
        <w:pStyle w:val="Item-Trainho"/>
      </w:pPr>
      <w:r w:rsidRPr="007E4C43">
        <w:t>Determinar a composição da fauna de invertebrados ocorrentes nas áreas de influência dos empreendimentos e identificar espécies potenciais vetoras de patógenos para os seres humanos;</w:t>
      </w:r>
    </w:p>
    <w:p w:rsidR="007E4C43" w:rsidRDefault="007E4C43" w:rsidP="00656EA3">
      <w:pPr>
        <w:pStyle w:val="Item-Trainho"/>
      </w:pPr>
      <w:r w:rsidRPr="007E4C43">
        <w:t>Vigiar a infestação por espécies invasoras, visando alerta os órgãos de saúde municipais e estadual;</w:t>
      </w:r>
    </w:p>
    <w:p w:rsidR="007E4C43" w:rsidRDefault="007E4C43" w:rsidP="00656EA3">
      <w:pPr>
        <w:pStyle w:val="Item-Trainho"/>
      </w:pPr>
      <w:r w:rsidRPr="007E4C43">
        <w:t>Propor medidas de controle vetorial para a ADA dos dois empreendimentos;</w:t>
      </w:r>
    </w:p>
    <w:p w:rsidR="00EA22BB" w:rsidRPr="00EA22BB" w:rsidRDefault="007E4C43" w:rsidP="00656EA3">
      <w:pPr>
        <w:pStyle w:val="Item-Trainho"/>
      </w:pPr>
      <w:r w:rsidRPr="007E4C43">
        <w:t>Alertar os órgãos de saúde municipal e estadual sobre o risco eminente da ocorrência de surtos.</w:t>
      </w:r>
    </w:p>
    <w:p w:rsidR="007E4C43" w:rsidRPr="008C32BC" w:rsidRDefault="007E4C43" w:rsidP="00431A97">
      <w:pPr>
        <w:pStyle w:val="Ttulo3"/>
        <w:numPr>
          <w:ilvl w:val="3"/>
          <w:numId w:val="84"/>
        </w:numPr>
        <w:rPr>
          <w:rFonts w:ascii="Arial Negrito" w:hAnsi="Arial Negrito"/>
          <w:bCs/>
        </w:rPr>
      </w:pPr>
      <w:bookmarkStart w:id="1204" w:name="_Toc418758474"/>
      <w:bookmarkStart w:id="1205" w:name="_Toc418759076"/>
      <w:bookmarkStart w:id="1206" w:name="_Toc419813861"/>
      <w:r w:rsidRPr="008C32BC">
        <w:rPr>
          <w:rFonts w:ascii="Arial Negrito" w:hAnsi="Arial Negrito"/>
          <w:bCs/>
        </w:rPr>
        <w:t>Metas</w:t>
      </w:r>
      <w:bookmarkEnd w:id="1204"/>
      <w:bookmarkEnd w:id="1205"/>
      <w:bookmarkEnd w:id="1206"/>
    </w:p>
    <w:p w:rsidR="007E4C43" w:rsidRPr="005A4FBB" w:rsidRDefault="007E4C43" w:rsidP="00EA22BB">
      <w:pPr>
        <w:spacing w:before="120" w:after="120" w:line="240" w:lineRule="auto"/>
        <w:rPr>
          <w:rFonts w:cs="Arial"/>
        </w:rPr>
      </w:pPr>
      <w:r w:rsidRPr="005A4FBB">
        <w:rPr>
          <w:rFonts w:cs="Arial"/>
        </w:rPr>
        <w:t>As metas estimadas para o Programa de Monitoramento de Invertebrados de Interesse Médico-Sanitário são:</w:t>
      </w:r>
    </w:p>
    <w:p w:rsidR="007E4C43" w:rsidRPr="00EA22BB" w:rsidRDefault="007E4C43" w:rsidP="00656EA3">
      <w:pPr>
        <w:pStyle w:val="Item-Bolinha"/>
      </w:pPr>
      <w:r w:rsidRPr="00EA22BB">
        <w:t>Realizar uma campanha de campo na etapa de planejamento (pesquisa exploratória), e 15 campanhas de campo referentes ao monitoramento de invertebrados, nas etapas de implantação e operação das barragens Pedreira e Duas Pontes;</w:t>
      </w:r>
    </w:p>
    <w:p w:rsidR="007E4C43" w:rsidRPr="00EA22BB" w:rsidRDefault="007E4C43" w:rsidP="00656EA3">
      <w:pPr>
        <w:pStyle w:val="Item-Bolinha"/>
      </w:pPr>
      <w:r w:rsidRPr="00EA22BB">
        <w:t>Elaborar um Plano de Trabalho (após conclusão da pesquisa exploratória), 15 relatórios parciais, cinco relatórios anuais e um relatório final;</w:t>
      </w:r>
    </w:p>
    <w:p w:rsidR="007E4C43" w:rsidRPr="00EA22BB" w:rsidRDefault="007E4C43" w:rsidP="00656EA3">
      <w:pPr>
        <w:pStyle w:val="Item-Bolinha"/>
      </w:pPr>
      <w:r w:rsidRPr="00EA22BB">
        <w:t>Depositar em coleções de referência específica de cada grupo taxonômico monitorado, no mínimo 20% do total de espécimes de invertebrados coletados nas campanhas de campo, e um representante de cada espécie ou morfoespécie identifica nas áreas de influência dos empreendimentos.</w:t>
      </w:r>
    </w:p>
    <w:p w:rsidR="007E4C43" w:rsidRPr="008C32BC" w:rsidRDefault="007E4C43" w:rsidP="00431A97">
      <w:pPr>
        <w:pStyle w:val="Ttulo3"/>
        <w:numPr>
          <w:ilvl w:val="3"/>
          <w:numId w:val="84"/>
        </w:numPr>
        <w:rPr>
          <w:rFonts w:ascii="Arial Negrito" w:hAnsi="Arial Negrito"/>
          <w:bCs/>
        </w:rPr>
      </w:pPr>
      <w:bookmarkStart w:id="1207" w:name="_Toc418758475"/>
      <w:bookmarkStart w:id="1208" w:name="_Toc418759077"/>
      <w:bookmarkStart w:id="1209" w:name="_Toc419813862"/>
      <w:r w:rsidRPr="008C32BC">
        <w:rPr>
          <w:rFonts w:ascii="Arial Negrito" w:hAnsi="Arial Negrito"/>
          <w:bCs/>
        </w:rPr>
        <w:t>Público-alvo</w:t>
      </w:r>
      <w:bookmarkEnd w:id="1207"/>
      <w:bookmarkEnd w:id="1208"/>
      <w:bookmarkEnd w:id="1209"/>
    </w:p>
    <w:p w:rsidR="007E4C43" w:rsidRDefault="007E4C43" w:rsidP="00EA22BB">
      <w:pPr>
        <w:spacing w:before="120" w:after="120" w:line="240" w:lineRule="auto"/>
        <w:rPr>
          <w:rFonts w:cs="Arial"/>
        </w:rPr>
      </w:pPr>
      <w:r w:rsidRPr="00645FF2">
        <w:rPr>
          <w:rFonts w:cs="Arial"/>
        </w:rPr>
        <w:t xml:space="preserve">As atividades previstas no </w:t>
      </w:r>
      <w:r w:rsidRPr="006A3FEB">
        <w:rPr>
          <w:rFonts w:cs="Arial"/>
        </w:rPr>
        <w:t>Programa de Monitoramento de Invertebrados de Interesse Médico-Sanitário</w:t>
      </w:r>
      <w:r w:rsidRPr="00645FF2">
        <w:rPr>
          <w:rFonts w:cs="Arial"/>
        </w:rPr>
        <w:t xml:space="preserve"> são voltadas para a população vinculada ao</w:t>
      </w:r>
      <w:r>
        <w:rPr>
          <w:rFonts w:cs="Arial"/>
        </w:rPr>
        <w:t>s</w:t>
      </w:r>
      <w:r w:rsidRPr="00645FF2">
        <w:rPr>
          <w:rFonts w:cs="Arial"/>
        </w:rPr>
        <w:t xml:space="preserve"> empreendimento</w:t>
      </w:r>
      <w:r>
        <w:rPr>
          <w:rFonts w:cs="Arial"/>
        </w:rPr>
        <w:t>s</w:t>
      </w:r>
      <w:r w:rsidRPr="00645FF2">
        <w:rPr>
          <w:rFonts w:cs="Arial"/>
        </w:rPr>
        <w:t xml:space="preserve"> e seu entorno.</w:t>
      </w:r>
    </w:p>
    <w:p w:rsidR="007E4C43" w:rsidRPr="008C32BC" w:rsidRDefault="007E4C43" w:rsidP="00431A97">
      <w:pPr>
        <w:pStyle w:val="Ttulo3"/>
        <w:numPr>
          <w:ilvl w:val="3"/>
          <w:numId w:val="84"/>
        </w:numPr>
        <w:rPr>
          <w:rFonts w:ascii="Arial Negrito" w:hAnsi="Arial Negrito"/>
          <w:bCs/>
        </w:rPr>
      </w:pPr>
      <w:bookmarkStart w:id="1210" w:name="_Toc418758476"/>
      <w:bookmarkStart w:id="1211" w:name="_Toc418759078"/>
      <w:bookmarkStart w:id="1212" w:name="_Toc419813863"/>
      <w:r w:rsidRPr="008C32BC">
        <w:rPr>
          <w:rFonts w:ascii="Arial Negrito" w:hAnsi="Arial Negrito"/>
          <w:bCs/>
        </w:rPr>
        <w:t>Métodos e descrição do programa (procedimentos)</w:t>
      </w:r>
      <w:bookmarkEnd w:id="1210"/>
      <w:bookmarkEnd w:id="1211"/>
      <w:bookmarkEnd w:id="1212"/>
    </w:p>
    <w:p w:rsidR="007E4C43" w:rsidRDefault="007E4C43" w:rsidP="00EA22BB">
      <w:pPr>
        <w:spacing w:before="120" w:after="120" w:line="240" w:lineRule="auto"/>
        <w:rPr>
          <w:rFonts w:cs="Arial"/>
        </w:rPr>
      </w:pPr>
      <w:r>
        <w:rPr>
          <w:rFonts w:cs="Arial"/>
        </w:rPr>
        <w:t xml:space="preserve">Conforme os dados apresentados no diagnóstico ambiental e na avaliação dos impactos ambientais decorrentes da implantação e operação das barragens Pedreira e Duas Pontes, </w:t>
      </w:r>
      <w:r w:rsidRPr="00645FF2">
        <w:rPr>
          <w:rFonts w:cs="Arial"/>
        </w:rPr>
        <w:t xml:space="preserve">os grupos taxonômicos de maior importância </w:t>
      </w:r>
      <w:r>
        <w:rPr>
          <w:rFonts w:cs="Arial"/>
        </w:rPr>
        <w:t>para monitoramento s</w:t>
      </w:r>
      <w:r w:rsidRPr="00645FF2">
        <w:rPr>
          <w:rFonts w:cs="Arial"/>
        </w:rPr>
        <w:t>ão os mosquitos, fleb</w:t>
      </w:r>
      <w:r>
        <w:rPr>
          <w:rFonts w:cs="Arial"/>
        </w:rPr>
        <w:t>otomíneos e moluscos límnicos.</w:t>
      </w:r>
    </w:p>
    <w:p w:rsidR="007E4C43" w:rsidRDefault="007E4C43" w:rsidP="00EA22BB">
      <w:pPr>
        <w:spacing w:before="120" w:after="120" w:line="240" w:lineRule="auto"/>
        <w:rPr>
          <w:rFonts w:cs="Arial"/>
        </w:rPr>
      </w:pPr>
      <w:r w:rsidRPr="00E34B25">
        <w:rPr>
          <w:rFonts w:cs="Arial"/>
        </w:rPr>
        <w:t>A</w:t>
      </w:r>
      <w:r>
        <w:rPr>
          <w:rFonts w:cs="Arial"/>
        </w:rPr>
        <w:t>s</w:t>
      </w:r>
      <w:r w:rsidRPr="00E34B25">
        <w:rPr>
          <w:rFonts w:cs="Arial"/>
        </w:rPr>
        <w:t xml:space="preserve"> campanha</w:t>
      </w:r>
      <w:r>
        <w:rPr>
          <w:rFonts w:cs="Arial"/>
        </w:rPr>
        <w:t>s</w:t>
      </w:r>
      <w:r w:rsidRPr="00E34B25">
        <w:rPr>
          <w:rFonts w:cs="Arial"/>
        </w:rPr>
        <w:t xml:space="preserve"> de </w:t>
      </w:r>
      <w:r>
        <w:rPr>
          <w:rFonts w:cs="Arial"/>
        </w:rPr>
        <w:t>campo deverão</w:t>
      </w:r>
      <w:r w:rsidRPr="00E34B25">
        <w:rPr>
          <w:rFonts w:cs="Arial"/>
        </w:rPr>
        <w:t xml:space="preserve"> seguindo ritmo </w:t>
      </w:r>
      <w:r>
        <w:rPr>
          <w:rFonts w:cs="Arial"/>
        </w:rPr>
        <w:t>quadrim</w:t>
      </w:r>
      <w:r w:rsidRPr="00E34B25">
        <w:rPr>
          <w:rFonts w:cs="Arial"/>
        </w:rPr>
        <w:t xml:space="preserve">estral </w:t>
      </w:r>
      <w:r>
        <w:rPr>
          <w:rFonts w:cs="Arial"/>
        </w:rPr>
        <w:t xml:space="preserve">e </w:t>
      </w:r>
      <w:r w:rsidRPr="00E34B25">
        <w:rPr>
          <w:rFonts w:cs="Arial"/>
        </w:rPr>
        <w:t>englobar</w:t>
      </w:r>
      <w:r>
        <w:rPr>
          <w:rFonts w:cs="Arial"/>
        </w:rPr>
        <w:t>,</w:t>
      </w:r>
      <w:r w:rsidRPr="00E34B25">
        <w:rPr>
          <w:rFonts w:cs="Arial"/>
        </w:rPr>
        <w:t xml:space="preserve"> simultaneamente</w:t>
      </w:r>
      <w:r>
        <w:rPr>
          <w:rFonts w:cs="Arial"/>
        </w:rPr>
        <w:t>,</w:t>
      </w:r>
      <w:r w:rsidRPr="00E34B25">
        <w:rPr>
          <w:rFonts w:cs="Arial"/>
        </w:rPr>
        <w:t xml:space="preserve"> todas as modalidades de coleta (Diptera e Planorbidae), com duração mínima de três dias consecutivos </w:t>
      </w:r>
      <w:r>
        <w:rPr>
          <w:rFonts w:cs="Arial"/>
        </w:rPr>
        <w:t>para cada uma das barragens</w:t>
      </w:r>
      <w:r w:rsidRPr="00E34B25">
        <w:rPr>
          <w:rFonts w:cs="Arial"/>
        </w:rPr>
        <w:t>, distribuídas da seguinte forma</w:t>
      </w:r>
      <w:r>
        <w:rPr>
          <w:rFonts w:cs="Arial"/>
        </w:rPr>
        <w:t xml:space="preserve"> ao longo das etapas dos empreendimentos</w:t>
      </w:r>
      <w:r w:rsidRPr="00E34B25">
        <w:rPr>
          <w:rFonts w:cs="Arial"/>
        </w:rPr>
        <w:t>:</w:t>
      </w:r>
      <w:r>
        <w:rPr>
          <w:rFonts w:cs="Arial"/>
        </w:rPr>
        <w:t xml:space="preserve"> </w:t>
      </w:r>
      <w:r w:rsidRPr="00E34B25">
        <w:rPr>
          <w:rFonts w:cs="Arial"/>
        </w:rPr>
        <w:t>Pré-implantação – uma campanha de campo (pesquisa explor</w:t>
      </w:r>
      <w:r>
        <w:rPr>
          <w:rFonts w:cs="Arial"/>
        </w:rPr>
        <w:t xml:space="preserve">atória); </w:t>
      </w:r>
      <w:r w:rsidRPr="00E34B25">
        <w:rPr>
          <w:rFonts w:cs="Arial"/>
        </w:rPr>
        <w:t>Impl</w:t>
      </w:r>
      <w:r>
        <w:rPr>
          <w:rFonts w:cs="Arial"/>
        </w:rPr>
        <w:t>antação</w:t>
      </w:r>
      <w:r w:rsidRPr="00E34B25">
        <w:rPr>
          <w:rFonts w:cs="Arial"/>
        </w:rPr>
        <w:t xml:space="preserve"> –</w:t>
      </w:r>
      <w:r>
        <w:rPr>
          <w:rFonts w:cs="Arial"/>
        </w:rPr>
        <w:t xml:space="preserve"> </w:t>
      </w:r>
      <w:r w:rsidRPr="00E34B25">
        <w:rPr>
          <w:rFonts w:cs="Arial"/>
        </w:rPr>
        <w:t>campanha</w:t>
      </w:r>
      <w:r>
        <w:rPr>
          <w:rFonts w:cs="Arial"/>
        </w:rPr>
        <w:t>s</w:t>
      </w:r>
      <w:r w:rsidRPr="00E34B25">
        <w:rPr>
          <w:rFonts w:cs="Arial"/>
        </w:rPr>
        <w:t xml:space="preserve"> de campo </w:t>
      </w:r>
      <w:r>
        <w:rPr>
          <w:rFonts w:cs="Arial"/>
        </w:rPr>
        <w:t xml:space="preserve">ao longo de todas as fases de construção das barragens (execução do monitoramento); </w:t>
      </w:r>
      <w:r w:rsidRPr="00E34B25">
        <w:rPr>
          <w:rFonts w:cs="Arial"/>
        </w:rPr>
        <w:t>Implantação (enchimento do reservatório) – uma campanha de campo (execução do monitoramento);</w:t>
      </w:r>
      <w:r>
        <w:rPr>
          <w:rFonts w:cs="Arial"/>
        </w:rPr>
        <w:t xml:space="preserve"> Operação – </w:t>
      </w:r>
      <w:r w:rsidRPr="00E34B25">
        <w:rPr>
          <w:rFonts w:cs="Arial"/>
        </w:rPr>
        <w:t xml:space="preserve">campanhas de campo </w:t>
      </w:r>
      <w:r>
        <w:rPr>
          <w:rFonts w:cs="Arial"/>
        </w:rPr>
        <w:t xml:space="preserve">ao longo de no mínimo três anos de operação das barragens </w:t>
      </w:r>
      <w:r w:rsidRPr="00E34B25">
        <w:rPr>
          <w:rFonts w:cs="Arial"/>
        </w:rPr>
        <w:t>(execução do monitoramento).</w:t>
      </w:r>
    </w:p>
    <w:p w:rsidR="007E4C43" w:rsidRDefault="007E4C43" w:rsidP="00EA22BB">
      <w:pPr>
        <w:spacing w:before="120" w:after="120" w:line="240" w:lineRule="auto"/>
        <w:rPr>
          <w:rFonts w:cs="Arial"/>
        </w:rPr>
      </w:pPr>
      <w:r>
        <w:rPr>
          <w:rFonts w:cs="Arial"/>
        </w:rPr>
        <w:t>Os pontos selecionados para as coletas de invertebrados deverão ser georreferenciados, com coordenadas e altitude em relação ao nível médio do mar. Nos locais de coleta de insetos adultos deverá ser tomado a temperatura e umidade relativa do ar (temperatura média, máxima e mínima). Nas coleções hídricas e recipientes onde serão pesquisadas formas imaturas de mosquitos e moluscos límnicos, deverá ser tomada a temperatura e o pH da água. Em todos os pontos de pesquisa deverão ser feitos registros fotográficos com a finalidade de ilustrar os relatórios técnicos.</w:t>
      </w:r>
    </w:p>
    <w:p w:rsidR="007E4C43" w:rsidRPr="00E34B25" w:rsidRDefault="007E4C43" w:rsidP="00EA22BB">
      <w:pPr>
        <w:spacing w:before="120" w:after="120" w:line="240" w:lineRule="auto"/>
        <w:rPr>
          <w:rFonts w:cs="Arial"/>
        </w:rPr>
      </w:pPr>
      <w:r>
        <w:rPr>
          <w:rFonts w:cs="Arial"/>
        </w:rPr>
        <w:t xml:space="preserve">Abaixo são descritos os procedimentos metodológicos que deverão ser empregados no monitoramento da fauna de </w:t>
      </w:r>
      <w:r w:rsidRPr="006A3FEB">
        <w:rPr>
          <w:rFonts w:cs="Arial"/>
        </w:rPr>
        <w:t>invertebrados de interesse médico-sanitário</w:t>
      </w:r>
      <w:r>
        <w:rPr>
          <w:rFonts w:cs="Arial"/>
        </w:rPr>
        <w:t xml:space="preserve"> para as duas barragens, considerando cada grupo taxonômico.</w:t>
      </w:r>
    </w:p>
    <w:p w:rsidR="007E4C43" w:rsidRPr="002F4620" w:rsidRDefault="007E4C43" w:rsidP="00656EA3">
      <w:pPr>
        <w:pStyle w:val="Item-Bolinha"/>
      </w:pPr>
      <w:r w:rsidRPr="002F4620">
        <w:t>Monitoramento de mosquitos</w:t>
      </w:r>
    </w:p>
    <w:p w:rsidR="007E4C43" w:rsidRPr="00137752" w:rsidRDefault="007E4C43" w:rsidP="00EA22BB">
      <w:pPr>
        <w:pStyle w:val="Corpodetexto"/>
        <w:rPr>
          <w:rFonts w:cs="Arial"/>
          <w:bCs/>
          <w:szCs w:val="22"/>
        </w:rPr>
      </w:pPr>
      <w:r w:rsidRPr="00E91E3B">
        <w:rPr>
          <w:rFonts w:cs="Arial"/>
          <w:bCs/>
          <w:szCs w:val="22"/>
        </w:rPr>
        <w:t>Pesquisa de formas imaturas de mosquitos. Para a coleta de formas imaturas d</w:t>
      </w:r>
      <w:r>
        <w:rPr>
          <w:rFonts w:cs="Arial"/>
          <w:bCs/>
          <w:szCs w:val="22"/>
        </w:rPr>
        <w:t>e mosquitos são indicadas</w:t>
      </w:r>
      <w:r w:rsidRPr="00E91E3B">
        <w:rPr>
          <w:rFonts w:cs="Arial"/>
          <w:bCs/>
          <w:szCs w:val="22"/>
        </w:rPr>
        <w:t xml:space="preserve"> modalidades de pesquisa, de caráter quantitativo e qualitativo.</w:t>
      </w:r>
      <w:r>
        <w:rPr>
          <w:rFonts w:cs="Arial"/>
          <w:bCs/>
          <w:szCs w:val="22"/>
        </w:rPr>
        <w:t xml:space="preserve"> </w:t>
      </w:r>
      <w:r w:rsidRPr="00E91E3B">
        <w:rPr>
          <w:rFonts w:cs="Arial"/>
          <w:szCs w:val="22"/>
        </w:rPr>
        <w:t>Para análise quantitativa dos dados, será empregada concha entomológica de cor branca, cabo de 100 cm e coletor medindo 11 cm de diâmetro de abertura, conforme orientação do Ministério da Saúde para avaliação entomológica em</w:t>
      </w:r>
      <w:r>
        <w:rPr>
          <w:rFonts w:cs="Arial"/>
          <w:szCs w:val="22"/>
        </w:rPr>
        <w:t xml:space="preserve"> áreas endêmicas para malária,</w:t>
      </w:r>
      <w:r w:rsidRPr="00E91E3B">
        <w:rPr>
          <w:rFonts w:cs="Arial"/>
          <w:szCs w:val="22"/>
        </w:rPr>
        <w:t xml:space="preserve"> apresentado na </w:t>
      </w:r>
      <w:r w:rsidRPr="00E91E3B">
        <w:rPr>
          <w:rFonts w:cs="Arial"/>
          <w:color w:val="000000"/>
          <w:szCs w:val="22"/>
        </w:rPr>
        <w:t>Nota Técnica n</w:t>
      </w:r>
      <w:r w:rsidRPr="00E91E3B">
        <w:rPr>
          <w:rFonts w:cs="Arial"/>
          <w:color w:val="000000"/>
          <w:szCs w:val="22"/>
        </w:rPr>
        <w:sym w:font="Symbol" w:char="F0B0"/>
      </w:r>
      <w:r w:rsidRPr="00E91E3B">
        <w:rPr>
          <w:rFonts w:cs="Arial"/>
          <w:color w:val="000000"/>
          <w:szCs w:val="22"/>
        </w:rPr>
        <w:t>. 012 CGPNCM/DIGS/SVS/MS, de 04 de junho de 2007.</w:t>
      </w:r>
    </w:p>
    <w:p w:rsidR="007E4C43" w:rsidRPr="00E91E3B" w:rsidRDefault="007E4C43" w:rsidP="00EA22BB">
      <w:pPr>
        <w:pStyle w:val="Corpodetexto"/>
        <w:rPr>
          <w:rFonts w:cs="Arial"/>
          <w:szCs w:val="22"/>
        </w:rPr>
      </w:pPr>
      <w:r w:rsidRPr="00E91E3B">
        <w:rPr>
          <w:rFonts w:cs="Arial"/>
          <w:szCs w:val="22"/>
        </w:rPr>
        <w:t>Em cada ponto, o pesquisador efetuará nove conchadas, posicionado de frente e junto à margem do criadouro, sendo três lances à direita, três à esquerda e outras três à frente respeitando um raio de 1 metro do ponto fixado pelo pesquisador. Nas coleções hídricas de grande porte a pesquisa deverá ser realizada principalmente onde a vegetação se apresentar mais abundante, considerando pontos a cada cinco metros, sendo que para os criadouros maiores que 100 metros de diâmetro poderão ser amostrados até 20 pontos equidistantes.</w:t>
      </w:r>
    </w:p>
    <w:p w:rsidR="007E4C43" w:rsidRPr="00EA22BB" w:rsidRDefault="007E4C43" w:rsidP="00EA22BB">
      <w:pPr>
        <w:pStyle w:val="Corpodetexto"/>
        <w:rPr>
          <w:rFonts w:cs="Arial"/>
          <w:bCs/>
          <w:szCs w:val="22"/>
        </w:rPr>
      </w:pPr>
      <w:r w:rsidRPr="00EA22BB">
        <w:rPr>
          <w:rFonts w:cs="Arial"/>
          <w:bCs/>
          <w:szCs w:val="22"/>
        </w:rPr>
        <w:t>Para análise qualitativa das formas imaturas coletadas em criadouros no solo e recipientes artificiais é indicado o uso rede pesca-larvas feito de tecido com malhas milimétricas. Enquanto que, para capturar mosquitos fitotelmatas poderá ser utilizado aparelho de sucção bucal. Nos pontos de pesquisa com altas densidades de mosquitos da tribo Mansoniini deverá ser realizada inspeção de raízes de plantas semi-aquáticas.</w:t>
      </w:r>
    </w:p>
    <w:p w:rsidR="007E4C43" w:rsidRPr="00EA22BB" w:rsidRDefault="007E4C43" w:rsidP="00EA22BB">
      <w:pPr>
        <w:pStyle w:val="Corpodetexto"/>
        <w:rPr>
          <w:rFonts w:cs="Arial"/>
          <w:bCs/>
          <w:szCs w:val="22"/>
        </w:rPr>
      </w:pPr>
      <w:r w:rsidRPr="00EA22BB">
        <w:rPr>
          <w:rFonts w:cs="Arial"/>
          <w:bCs/>
          <w:szCs w:val="22"/>
        </w:rPr>
        <w:t>Coleta de formas aladas de mosquitos. A seleção dos pontos para coleta de formas aladas de mosquitos deverá levar em consideração a proximidade de potenciais criadouros de formas imaturas de mosquitos e, quando possível, de habitações.</w:t>
      </w:r>
    </w:p>
    <w:p w:rsidR="007E4C43" w:rsidRPr="00EA22BB" w:rsidRDefault="007E4C43" w:rsidP="00EA22BB">
      <w:pPr>
        <w:pStyle w:val="Corpodetexto"/>
        <w:rPr>
          <w:rFonts w:cs="Arial"/>
          <w:bCs/>
          <w:szCs w:val="22"/>
        </w:rPr>
      </w:pPr>
      <w:r w:rsidRPr="00EA22BB">
        <w:rPr>
          <w:rFonts w:cs="Arial"/>
          <w:bCs/>
          <w:szCs w:val="22"/>
        </w:rPr>
        <w:t>O monitoramento deverá contemplar tanto mosquitos silvestres de hábitos diurnos quanto mosquitos noturnos, estes coletados em ambientes antrópicos. As coletas diurnas deverão ocorrer entre as 09h00min e 15h00min, período de maior atividade de mosquitos silvestres, e as coletas noturnas no período pericrepuscular, entre as 17h00min e 22h00min.</w:t>
      </w:r>
    </w:p>
    <w:p w:rsidR="007E4C43" w:rsidRPr="00EA22BB" w:rsidRDefault="007E4C43" w:rsidP="00EA22BB">
      <w:pPr>
        <w:pStyle w:val="Corpodetexto"/>
        <w:rPr>
          <w:rFonts w:cs="Arial"/>
          <w:bCs/>
          <w:szCs w:val="22"/>
        </w:rPr>
      </w:pPr>
      <w:r w:rsidRPr="00EA22BB">
        <w:rPr>
          <w:rFonts w:cs="Arial"/>
          <w:bCs/>
          <w:szCs w:val="22"/>
        </w:rPr>
        <w:t>As técnicas indicadas para coleta de mosquitos estão descritas a seguir:</w:t>
      </w:r>
    </w:p>
    <w:p w:rsidR="007E4C43" w:rsidRDefault="007E4C43" w:rsidP="00656EA3">
      <w:pPr>
        <w:pStyle w:val="Item-Trainho"/>
      </w:pPr>
      <w:r w:rsidRPr="00EA22BB">
        <w:t>Atrativo humano. Está técnica visa avaliar o contato homem-vetor e possibilitar uma análise qualitativa e quantitativa da amostra. Deverá ser empregado nas coletas diurnas e noturnas (extradomicílio, peridomicílio e intradomicílio). Todos os participantes desta modalidade de coleta deverão fazer parte do grupo de pesquisadores contratados, estarem vacinados contra febre amarela e portando EPIs;</w:t>
      </w:r>
    </w:p>
    <w:p w:rsidR="007E4C43" w:rsidRDefault="007E4C43" w:rsidP="00656EA3">
      <w:pPr>
        <w:pStyle w:val="Item-Trainho"/>
        <w:numPr>
          <w:ilvl w:val="0"/>
          <w:numId w:val="0"/>
        </w:numPr>
        <w:ind w:left="426"/>
      </w:pPr>
      <w:r w:rsidRPr="00EA22BB">
        <w:t>Armadilha de Shannon (FORATTINI, 1965). Esta armadilha poderá ser instalada nas bordas de mata, na expectativa de selecionar espécies de mosquitos que tenham tendência a frequentar tanto ambientes silvestres quanto antrópicos;</w:t>
      </w:r>
    </w:p>
    <w:p w:rsidR="007E4C43" w:rsidRDefault="007E4C43" w:rsidP="00656EA3">
      <w:pPr>
        <w:pStyle w:val="Item-Trainho"/>
        <w:numPr>
          <w:ilvl w:val="0"/>
          <w:numId w:val="0"/>
        </w:numPr>
        <w:ind w:left="426"/>
      </w:pPr>
      <w:r w:rsidRPr="00EA22BB">
        <w:t>Armadilha luminosa automática do tipo CDC modificada (GOMES et al., 1985). Deverá ser instalada durante o período noturno visando cobrir diferentes estratos verticais (nível do solo e copa de árvores) e horizontais (extradomicílio, peridomicílio e intradomicílio);</w:t>
      </w:r>
    </w:p>
    <w:p w:rsidR="007E4C43" w:rsidRPr="00EA22BB" w:rsidRDefault="007E4C43" w:rsidP="00656EA3">
      <w:pPr>
        <w:pStyle w:val="Item-Trainho"/>
        <w:numPr>
          <w:ilvl w:val="0"/>
          <w:numId w:val="0"/>
        </w:numPr>
        <w:ind w:left="426"/>
      </w:pPr>
      <w:r w:rsidRPr="00EA22BB">
        <w:t>Aspirador de Nasci (NASCI, 1981). Esta técnica de coleta poderá ser empregada em ambientes antrópico e silvestre, na expectativa de capturar mosquitos em seus locais de abrigo. O uso deste equipamento deverá ser padronizado por meio do tempo de utilização, permitindo assim uma análise melhor das amostras.</w:t>
      </w:r>
    </w:p>
    <w:p w:rsidR="007E4C43" w:rsidRPr="00E91E3B" w:rsidRDefault="007E4C43" w:rsidP="00656EA3">
      <w:pPr>
        <w:pStyle w:val="Item-Trainho"/>
        <w:numPr>
          <w:ilvl w:val="0"/>
          <w:numId w:val="0"/>
        </w:numPr>
        <w:ind w:left="426"/>
        <w:rPr>
          <w:szCs w:val="22"/>
        </w:rPr>
      </w:pPr>
      <w:r w:rsidRPr="00E91E3B">
        <w:rPr>
          <w:szCs w:val="22"/>
        </w:rPr>
        <w:t>Acondicionamento e transporte das amostras. O acondicionamento e transporte de imaturos de mosquitos poderão ser feitos em pequenos tubos de vidro contendo álcool etílico 70%. Em outros momentos deverão ser mantidos vivos na água retirada do próprio criadouro, na expectativa de se obter formas adultas do mosquito que auxiliem na identificação.</w:t>
      </w:r>
    </w:p>
    <w:p w:rsidR="007E4C43" w:rsidRDefault="007E4C43" w:rsidP="00656EA3">
      <w:pPr>
        <w:pStyle w:val="Item-Trainho"/>
        <w:numPr>
          <w:ilvl w:val="0"/>
          <w:numId w:val="0"/>
        </w:numPr>
        <w:ind w:left="426"/>
      </w:pPr>
      <w:r w:rsidRPr="00E91E3B">
        <w:t>Os exemplares de mosquitos adultos coletados serão acondicionados em recip</w:t>
      </w:r>
      <w:r>
        <w:t>iente tratado com naftalina. Est</w:t>
      </w:r>
      <w:r w:rsidRPr="00E91E3B">
        <w:t>a forma de acondicionamento permitirá a identificação específica com auxílio de especialista do grupo, bem como, o estabelecimento de uma coleçã</w:t>
      </w:r>
      <w:r>
        <w:t xml:space="preserve">o de referência sobre </w:t>
      </w:r>
      <w:r w:rsidRPr="00E91E3B">
        <w:t>a diversidade de mosquitos locais.</w:t>
      </w:r>
    </w:p>
    <w:p w:rsidR="007E4C43" w:rsidRPr="002F4620" w:rsidRDefault="007E4C43" w:rsidP="00810CA3">
      <w:pPr>
        <w:pStyle w:val="Item-Bolinha"/>
        <w:spacing w:before="240" w:after="240" w:line="360" w:lineRule="auto"/>
      </w:pPr>
      <w:r w:rsidRPr="002F4620">
        <w:t>Monitoramento de Flebotomíneos</w:t>
      </w:r>
    </w:p>
    <w:p w:rsidR="007E4C43" w:rsidRPr="00E91E3B" w:rsidRDefault="007E4C43" w:rsidP="00EA22BB">
      <w:pPr>
        <w:spacing w:before="120" w:after="120" w:line="240" w:lineRule="auto"/>
        <w:rPr>
          <w:rFonts w:cs="Arial"/>
        </w:rPr>
      </w:pPr>
      <w:r w:rsidRPr="00EA22BB">
        <w:rPr>
          <w:rFonts w:cs="Arial"/>
        </w:rPr>
        <w:t>As coletas deverão ser realizadas no período noturno,</w:t>
      </w:r>
      <w:r w:rsidRPr="00E91E3B">
        <w:rPr>
          <w:rFonts w:cs="Arial"/>
        </w:rPr>
        <w:t xml:space="preserve"> </w:t>
      </w:r>
      <w:r w:rsidRPr="00EA22BB">
        <w:rPr>
          <w:rFonts w:cs="Arial"/>
        </w:rPr>
        <w:t>a partir do crepúsculo vespertino, em pontos selecionados nos canteiros de obras e outros pontos selecionados na ADA dos empreendimentos</w:t>
      </w:r>
      <w:r>
        <w:rPr>
          <w:rFonts w:cs="Arial"/>
        </w:rPr>
        <w:t>, tais como,</w:t>
      </w:r>
      <w:r w:rsidRPr="00E91E3B">
        <w:rPr>
          <w:rFonts w:cs="Arial"/>
        </w:rPr>
        <w:t xml:space="preserve"> </w:t>
      </w:r>
      <w:r>
        <w:rPr>
          <w:rFonts w:cs="Arial"/>
        </w:rPr>
        <w:t>domiciliar (intradomicílio e varanda)</w:t>
      </w:r>
      <w:r w:rsidRPr="00E91E3B">
        <w:rPr>
          <w:rFonts w:cs="Arial"/>
        </w:rPr>
        <w:t>, peridomi</w:t>
      </w:r>
      <w:r>
        <w:rPr>
          <w:rFonts w:cs="Arial"/>
        </w:rPr>
        <w:t>cílio (chiqueiros e galinheiros) e extradomicílio (mata e</w:t>
      </w:r>
      <w:r w:rsidRPr="00E91E3B">
        <w:rPr>
          <w:rFonts w:cs="Arial"/>
        </w:rPr>
        <w:t xml:space="preserve"> margem de mata).</w:t>
      </w:r>
    </w:p>
    <w:p w:rsidR="007E4C43" w:rsidRPr="00EA22BB" w:rsidRDefault="007E4C43" w:rsidP="00EA22BB">
      <w:pPr>
        <w:spacing w:before="120" w:after="120" w:line="240" w:lineRule="auto"/>
        <w:rPr>
          <w:rFonts w:cs="Arial"/>
        </w:rPr>
      </w:pPr>
      <w:r w:rsidRPr="00EA22BB">
        <w:rPr>
          <w:rFonts w:cs="Arial"/>
        </w:rPr>
        <w:t xml:space="preserve">As técnicas de coleta sugeridas são as que utilizam </w:t>
      </w:r>
      <w:r>
        <w:rPr>
          <w:rFonts w:cs="Arial"/>
        </w:rPr>
        <w:t xml:space="preserve">armadilhas luminosas tipo CDC, em </w:t>
      </w:r>
      <w:r w:rsidRPr="000F0BBB">
        <w:rPr>
          <w:rFonts w:cs="Arial"/>
        </w:rPr>
        <w:t>diferentes estratos verticais (nível do solo e copa de árvores)</w:t>
      </w:r>
      <w:r>
        <w:rPr>
          <w:rFonts w:cs="Arial"/>
        </w:rPr>
        <w:t xml:space="preserve"> e horizontais (extradomicílio, </w:t>
      </w:r>
      <w:r w:rsidRPr="00E91E3B">
        <w:rPr>
          <w:rFonts w:cs="Arial"/>
        </w:rPr>
        <w:t>peridomicílio e intradomicílio</w:t>
      </w:r>
      <w:r>
        <w:rPr>
          <w:rFonts w:cs="Arial"/>
        </w:rPr>
        <w:t xml:space="preserve">), </w:t>
      </w:r>
      <w:r w:rsidRPr="00EA22BB">
        <w:rPr>
          <w:rFonts w:cs="Arial"/>
        </w:rPr>
        <w:t>e aspirador elétrico tipo Nasci para inspeção</w:t>
      </w:r>
      <w:r w:rsidRPr="00E91E3B">
        <w:rPr>
          <w:rFonts w:cs="Arial"/>
        </w:rPr>
        <w:t xml:space="preserve"> </w:t>
      </w:r>
      <w:r w:rsidRPr="00EA22BB">
        <w:rPr>
          <w:rFonts w:cs="Arial"/>
        </w:rPr>
        <w:t>em abrigos de animais silvestres e domésticos.</w:t>
      </w:r>
    </w:p>
    <w:p w:rsidR="007E4C43" w:rsidRDefault="007E4C43" w:rsidP="00EA22BB">
      <w:pPr>
        <w:spacing w:before="120" w:after="120" w:line="240" w:lineRule="auto"/>
        <w:rPr>
          <w:rFonts w:cs="Arial"/>
        </w:rPr>
      </w:pPr>
      <w:r w:rsidRPr="00E91E3B">
        <w:rPr>
          <w:rFonts w:cs="Arial"/>
        </w:rPr>
        <w:t>Os espécimes de flebotomíneos coletados poderão ser acondicionados em pequeno recipiente tratado com naftalina ou em tubos de vidro contendo álcool 70%, mas sempre separados conforme ecótopo e horário de captura.</w:t>
      </w:r>
    </w:p>
    <w:p w:rsidR="007E4C43" w:rsidRPr="002F4620" w:rsidRDefault="007E4C43" w:rsidP="00810CA3">
      <w:pPr>
        <w:pStyle w:val="Item-Bolinha"/>
        <w:spacing w:before="240" w:after="240" w:line="360" w:lineRule="auto"/>
      </w:pPr>
      <w:r w:rsidRPr="002F4620">
        <w:t>Monitoramento de Moluscos Límnicos</w:t>
      </w:r>
    </w:p>
    <w:p w:rsidR="007E4C43" w:rsidRPr="00E91E3B" w:rsidRDefault="007E4C43" w:rsidP="00EA22BB">
      <w:pPr>
        <w:spacing w:before="120" w:after="120" w:line="240" w:lineRule="auto"/>
        <w:rPr>
          <w:rFonts w:cs="Arial"/>
        </w:rPr>
      </w:pPr>
      <w:r w:rsidRPr="00E91E3B">
        <w:rPr>
          <w:rFonts w:cs="Arial"/>
        </w:rPr>
        <w:t xml:space="preserve">Para captura de moluscos límnicos, principalmente da família Planorbidae, deverão ser pesquisados diferentes coleções hídricas, tais como: rios, riachos, lagos, lagoas, alagados, brejos, açudes e valas de esgoto ou drenagem. As capturas deverão ocorrer em diferentes pontos de cada criadouro selecionado, </w:t>
      </w:r>
      <w:r>
        <w:rPr>
          <w:rFonts w:cs="Arial"/>
        </w:rPr>
        <w:t xml:space="preserve">com a finalidade </w:t>
      </w:r>
      <w:r w:rsidRPr="00E91E3B">
        <w:rPr>
          <w:rFonts w:cs="Arial"/>
        </w:rPr>
        <w:t>de estimar a densidade</w:t>
      </w:r>
      <w:r>
        <w:rPr>
          <w:rFonts w:cs="Arial"/>
        </w:rPr>
        <w:t xml:space="preserve"> populacional dos planorbídeos n</w:t>
      </w:r>
      <w:r w:rsidRPr="00E91E3B">
        <w:rPr>
          <w:rFonts w:cs="Arial"/>
        </w:rPr>
        <w:t>a área estudada.</w:t>
      </w:r>
    </w:p>
    <w:p w:rsidR="007E4C43" w:rsidRPr="00E91E3B" w:rsidRDefault="007E4C43" w:rsidP="00EA22BB">
      <w:pPr>
        <w:spacing w:before="120" w:after="120" w:line="240" w:lineRule="auto"/>
        <w:rPr>
          <w:rFonts w:cs="Arial"/>
        </w:rPr>
      </w:pPr>
      <w:r w:rsidRPr="00E91E3B">
        <w:rPr>
          <w:rFonts w:cs="Arial"/>
        </w:rPr>
        <w:t xml:space="preserve">O número de estações de pesquisa deverá ser definido de acordo com o tamanho e </w:t>
      </w:r>
      <w:r>
        <w:rPr>
          <w:rFonts w:cs="Arial"/>
        </w:rPr>
        <w:t xml:space="preserve">o </w:t>
      </w:r>
      <w:r w:rsidRPr="00E91E3B">
        <w:rPr>
          <w:rFonts w:cs="Arial"/>
        </w:rPr>
        <w:t xml:space="preserve">grau de importância epidemiológico da coleção hídrica pesquisada. Em cada estação serão realizadas dez “conchadas”, buscando coletar o maior número possível de caramujos. </w:t>
      </w:r>
      <w:r>
        <w:rPr>
          <w:rFonts w:cs="Arial"/>
        </w:rPr>
        <w:t>Para a captura de planorbídeos</w:t>
      </w:r>
      <w:r w:rsidRPr="00E91E3B">
        <w:rPr>
          <w:rFonts w:cs="Arial"/>
        </w:rPr>
        <w:t xml:space="preserve"> </w:t>
      </w:r>
      <w:r>
        <w:rPr>
          <w:rFonts w:cs="Arial"/>
        </w:rPr>
        <w:t>deverá ser utilizando</w:t>
      </w:r>
      <w:r w:rsidRPr="00E91E3B">
        <w:rPr>
          <w:rFonts w:cs="Arial"/>
        </w:rPr>
        <w:t xml:space="preserve"> uma concha com malha de 2 mm</w:t>
      </w:r>
      <w:r>
        <w:rPr>
          <w:rFonts w:cs="Arial"/>
        </w:rPr>
        <w:t xml:space="preserve">, aplicado </w:t>
      </w:r>
      <w:r w:rsidRPr="00E91E3B">
        <w:rPr>
          <w:rFonts w:cs="Arial"/>
        </w:rPr>
        <w:t>sob a vegetação aquática marginal e no fundo das mar</w:t>
      </w:r>
      <w:r>
        <w:rPr>
          <w:rFonts w:cs="Arial"/>
        </w:rPr>
        <w:t>gens das coleções hídricas pesquisadas</w:t>
      </w:r>
      <w:r w:rsidRPr="00E91E3B">
        <w:rPr>
          <w:rFonts w:cs="Arial"/>
        </w:rPr>
        <w:t>.</w:t>
      </w:r>
    </w:p>
    <w:p w:rsidR="007E4C43" w:rsidRPr="00EA22BB" w:rsidRDefault="007E4C43" w:rsidP="00EA22BB">
      <w:pPr>
        <w:spacing w:before="120" w:after="120" w:line="240" w:lineRule="auto"/>
        <w:rPr>
          <w:rFonts w:cs="Arial"/>
        </w:rPr>
      </w:pPr>
      <w:r w:rsidRPr="00E91E3B">
        <w:rPr>
          <w:rFonts w:cs="Arial"/>
        </w:rPr>
        <w:t>Os moluscos capturados deverão ser postos em recipiente plástico seco ou com pequeno pedaço de folha retirada do criadouro para manter a umidade. Exceção se faz para as espécies da família Ancylidae que precisam de um pouco de água e dos ampularídeos que são acondicionados em sacos plásticos (</w:t>
      </w:r>
      <w:r>
        <w:rPr>
          <w:rFonts w:cs="Arial"/>
        </w:rPr>
        <w:t>BARBOSA, 1995; SVS-MS</w:t>
      </w:r>
      <w:r w:rsidRPr="00E91E3B">
        <w:rPr>
          <w:rFonts w:cs="Arial"/>
        </w:rPr>
        <w:t>, 2008).</w:t>
      </w:r>
    </w:p>
    <w:p w:rsidR="007E4C43" w:rsidRPr="00E91E3B" w:rsidRDefault="007E4C43" w:rsidP="00EA22BB">
      <w:pPr>
        <w:spacing w:before="120" w:after="120" w:line="240" w:lineRule="auto"/>
        <w:rPr>
          <w:rFonts w:cs="Arial"/>
        </w:rPr>
      </w:pPr>
      <w:r w:rsidRPr="008F2D49">
        <w:rPr>
          <w:rFonts w:cs="Arial"/>
        </w:rPr>
        <w:t xml:space="preserve">No laboratório os moluscos serão expostos à luz para tentativa de liberação de cercárias e determinar a taxa de percentual de caramujos infectados por </w:t>
      </w:r>
      <w:r w:rsidRPr="00EA22BB">
        <w:rPr>
          <w:rFonts w:cs="Arial"/>
        </w:rPr>
        <w:t>Schistosoma mansoni</w:t>
      </w:r>
      <w:r w:rsidRPr="008F2D49">
        <w:rPr>
          <w:rFonts w:cs="Arial"/>
        </w:rPr>
        <w:t>. Os moluscos serão identificados por meio da morfologia externa da concha e dissecção para visualização da morfologia interna, segundo metodologia proposta por PARAENSE</w:t>
      </w:r>
      <w:r>
        <w:rPr>
          <w:rFonts w:cs="Arial"/>
        </w:rPr>
        <w:t xml:space="preserve"> (1972; 1975).</w:t>
      </w:r>
    </w:p>
    <w:p w:rsidR="007E4C43" w:rsidRPr="008C32BC" w:rsidRDefault="007E4C43" w:rsidP="00431A97">
      <w:pPr>
        <w:pStyle w:val="Ttulo3"/>
        <w:numPr>
          <w:ilvl w:val="3"/>
          <w:numId w:val="84"/>
        </w:numPr>
        <w:rPr>
          <w:rFonts w:ascii="Arial Negrito" w:hAnsi="Arial Negrito"/>
          <w:bCs/>
        </w:rPr>
      </w:pPr>
      <w:bookmarkStart w:id="1213" w:name="_Toc418758477"/>
      <w:bookmarkStart w:id="1214" w:name="_Toc418759079"/>
      <w:bookmarkStart w:id="1215" w:name="_Toc419813864"/>
      <w:r w:rsidRPr="008C32BC">
        <w:rPr>
          <w:rFonts w:ascii="Arial Negrito" w:hAnsi="Arial Negrito"/>
          <w:bCs/>
        </w:rPr>
        <w:t xml:space="preserve">Indicadores </w:t>
      </w:r>
      <w:r w:rsidR="008C32BC">
        <w:rPr>
          <w:rFonts w:ascii="Arial Negrito" w:hAnsi="Arial Negrito"/>
          <w:bCs/>
        </w:rPr>
        <w:t>A</w:t>
      </w:r>
      <w:r w:rsidRPr="008C32BC">
        <w:rPr>
          <w:rFonts w:ascii="Arial Negrito" w:hAnsi="Arial Negrito"/>
          <w:bCs/>
        </w:rPr>
        <w:t>mbientais</w:t>
      </w:r>
      <w:bookmarkEnd w:id="1213"/>
      <w:bookmarkEnd w:id="1214"/>
      <w:bookmarkEnd w:id="1215"/>
    </w:p>
    <w:p w:rsidR="007E4C43" w:rsidRPr="00EA22BB" w:rsidRDefault="007E4C43" w:rsidP="00EA22BB">
      <w:pPr>
        <w:spacing w:before="120" w:after="120" w:line="240" w:lineRule="auto"/>
        <w:rPr>
          <w:rFonts w:cs="Arial"/>
        </w:rPr>
      </w:pPr>
      <w:r w:rsidRPr="00EA22BB">
        <w:rPr>
          <w:rFonts w:cs="Arial"/>
        </w:rPr>
        <w:t>Propõem-se os seguintes indicadores:</w:t>
      </w:r>
    </w:p>
    <w:p w:rsidR="007E4C43" w:rsidRPr="00645FF2" w:rsidRDefault="007E4C43" w:rsidP="00656EA3">
      <w:pPr>
        <w:pStyle w:val="Item-Bolinha"/>
      </w:pPr>
      <w:r w:rsidRPr="00645FF2">
        <w:t>Medidas de frequência: Número absoluto e percentual de espécies vetoras para cada grupo taxonômico, por ponto amostrado e no total de pontos amostrados, considerando cada campanha de monitoramento;</w:t>
      </w:r>
    </w:p>
    <w:p w:rsidR="007E4C43" w:rsidRPr="00645FF2" w:rsidRDefault="007E4C43" w:rsidP="00656EA3">
      <w:pPr>
        <w:pStyle w:val="Item-Bolinha"/>
      </w:pPr>
      <w:r w:rsidRPr="00645FF2">
        <w:t>Índices de diversidade e riqueza de espécies: Índices de abundância (Shannon-Wiener, Simpson), curva do coletor, estimadores de riqueza baseados em abundância (Jacknife 1 e 2, Chao 1 e 2);</w:t>
      </w:r>
    </w:p>
    <w:p w:rsidR="007E4C43" w:rsidRPr="00645FF2" w:rsidRDefault="007E4C43" w:rsidP="00656EA3">
      <w:pPr>
        <w:pStyle w:val="Item-Bolinha"/>
      </w:pPr>
      <w:r w:rsidRPr="00645FF2">
        <w:t>Indicadores entomológicos: Cálculo da média horária, taxa da presença por armadilha-noite, índice de picada/hora/homem, percentual de criadouro positivo, concha/imaturo/hora, índices de abundância sazonal;</w:t>
      </w:r>
    </w:p>
    <w:p w:rsidR="007E4C43" w:rsidRPr="00645FF2" w:rsidRDefault="007E4C43" w:rsidP="00656EA3">
      <w:pPr>
        <w:pStyle w:val="Item-Bolinha"/>
      </w:pPr>
      <w:r w:rsidRPr="00645FF2">
        <w:t>Indicadores de capacidade e competência vetorial: Percentual de espécies vetoras, índice de infestação domiciliar, pico de atividade diurna e noturna;</w:t>
      </w:r>
    </w:p>
    <w:p w:rsidR="007E4C43" w:rsidRPr="00645FF2" w:rsidRDefault="007E4C43" w:rsidP="00656EA3">
      <w:pPr>
        <w:pStyle w:val="Item-Bolinha"/>
      </w:pPr>
      <w:r w:rsidRPr="00645FF2">
        <w:t>Índices epidemiológicos de acompanhamento – Incidência da febre amarela, Incidência da febre hemorrágica da dengue, taxa de incidência de dengue, taxa de incidência de leishmanioses, índice parasitário anual (IPA) de malária, notificação de casos de esquistossomose;</w:t>
      </w:r>
    </w:p>
    <w:p w:rsidR="007E4C43" w:rsidRDefault="007E4C43" w:rsidP="00656EA3">
      <w:pPr>
        <w:pStyle w:val="Item-Bolinha"/>
      </w:pPr>
      <w:r w:rsidRPr="00645FF2">
        <w:t>Indicadores sazonais: Fatores climáticos (períodos hidrológicos, índice pluviométrico, temperatura e umidade relativa do ar, evaporação).</w:t>
      </w:r>
    </w:p>
    <w:p w:rsidR="007E4C43" w:rsidRPr="008C32BC" w:rsidRDefault="007E4C43" w:rsidP="00431A97">
      <w:pPr>
        <w:pStyle w:val="Ttulo3"/>
        <w:numPr>
          <w:ilvl w:val="3"/>
          <w:numId w:val="84"/>
        </w:numPr>
        <w:rPr>
          <w:rFonts w:ascii="Arial Negrito" w:hAnsi="Arial Negrito"/>
          <w:bCs/>
        </w:rPr>
      </w:pPr>
      <w:bookmarkStart w:id="1216" w:name="_Toc418758478"/>
      <w:bookmarkStart w:id="1217" w:name="_Toc418759080"/>
      <w:bookmarkStart w:id="1218" w:name="_Toc419813865"/>
      <w:r w:rsidRPr="008C32BC">
        <w:rPr>
          <w:rFonts w:ascii="Arial Negrito" w:hAnsi="Arial Negrito"/>
          <w:bCs/>
        </w:rPr>
        <w:t xml:space="preserve">Recursos materiais e </w:t>
      </w:r>
      <w:r w:rsidR="008C32BC">
        <w:rPr>
          <w:rFonts w:ascii="Arial Negrito" w:hAnsi="Arial Negrito"/>
          <w:bCs/>
        </w:rPr>
        <w:t>H</w:t>
      </w:r>
      <w:r w:rsidRPr="008C32BC">
        <w:rPr>
          <w:rFonts w:ascii="Arial Negrito" w:hAnsi="Arial Negrito"/>
          <w:bCs/>
        </w:rPr>
        <w:t>umanos</w:t>
      </w:r>
      <w:bookmarkEnd w:id="1216"/>
      <w:bookmarkEnd w:id="1217"/>
      <w:bookmarkEnd w:id="1218"/>
    </w:p>
    <w:p w:rsidR="007E4C43" w:rsidRDefault="007E4C43" w:rsidP="00EA22BB">
      <w:pPr>
        <w:autoSpaceDE w:val="0"/>
        <w:spacing w:before="120" w:after="120" w:line="240" w:lineRule="auto"/>
        <w:rPr>
          <w:rFonts w:cs="Arial"/>
        </w:rPr>
      </w:pPr>
      <w:r>
        <w:rPr>
          <w:rFonts w:cs="Arial"/>
          <w:sz w:val="24"/>
          <w:szCs w:val="24"/>
        </w:rPr>
        <w:t xml:space="preserve">Para a implementação do </w:t>
      </w:r>
      <w:r w:rsidRPr="006A3FEB">
        <w:rPr>
          <w:rFonts w:cs="Arial"/>
        </w:rPr>
        <w:t>Programa de Monitoramento de Invertebrados de Interesse Médico-Sanitário</w:t>
      </w:r>
      <w:r>
        <w:rPr>
          <w:rFonts w:cs="Arial"/>
        </w:rPr>
        <w:t xml:space="preserve"> será necessário a contratação de </w:t>
      </w:r>
      <w:r w:rsidRPr="00645FF2">
        <w:rPr>
          <w:rFonts w:cs="Arial"/>
        </w:rPr>
        <w:t>uma equipe coordenada por Biólogo pós graduado em entomologia médica e com qualificação técnica comprovada por Atestado(s) de Responsabilidade Técnica (ART), e experiência em obra ou serviço compatível em características, quantidades e prazos estabelecidos neste Programa.</w:t>
      </w:r>
      <w:r>
        <w:rPr>
          <w:rFonts w:cs="Arial"/>
        </w:rPr>
        <w:t xml:space="preserve"> </w:t>
      </w:r>
      <w:r w:rsidRPr="00645FF2">
        <w:rPr>
          <w:rFonts w:cs="Arial"/>
        </w:rPr>
        <w:t>Os de</w:t>
      </w:r>
      <w:r>
        <w:rPr>
          <w:rFonts w:cs="Arial"/>
        </w:rPr>
        <w:t xml:space="preserve">mais componentes da equipe serão </w:t>
      </w:r>
      <w:r w:rsidRPr="00645FF2">
        <w:rPr>
          <w:rFonts w:cs="Arial"/>
        </w:rPr>
        <w:t>técnicos auxiliares com experiências na coleta dos grupos taxonômicos. As instituições parceiras serão indicadas na elaboração do PBA como fiéis depositárias das coleções de cada grupo taxonômico monitorado pela equipe técnica.</w:t>
      </w:r>
    </w:p>
    <w:p w:rsidR="007E4C43" w:rsidRDefault="007E4C43" w:rsidP="00EA22BB">
      <w:pPr>
        <w:spacing w:before="120" w:after="120" w:line="240" w:lineRule="auto"/>
        <w:rPr>
          <w:rFonts w:cs="Arial"/>
        </w:rPr>
      </w:pPr>
      <w:r>
        <w:rPr>
          <w:rFonts w:cs="Arial"/>
        </w:rPr>
        <w:t>Todos os equipamentos e materiais permanentes e de consumo, necessários para a realização das coletas, identificação dos invertebrados e elaboração dos relatórios deverão ser providenciado pelo profissional contratado para executar as ações de monitoramento. Os equipamentos necessários para realização das atividades de campo são: armadilha de Shannon, armadilha luminosa tipo CDC, aspirador elétrico tipo Nasci, concha entomológica, rede pesca-larvas, aparelho de sucção bucal, concha malacológica, aparelho GPS, termohigrômetro digital, termômetro de água, fita para medição de pH, máquina fotográfica. Enquanto que, para identificação dos invertebrados serão necessários microscópios entomológico (lupa) e bacteriológico.</w:t>
      </w:r>
    </w:p>
    <w:p w:rsidR="007E4C43" w:rsidRDefault="007E4C43" w:rsidP="00EA22BB">
      <w:pPr>
        <w:spacing w:before="120" w:after="120" w:line="240" w:lineRule="auto"/>
        <w:rPr>
          <w:rFonts w:cs="Arial"/>
        </w:rPr>
      </w:pPr>
      <w:r>
        <w:rPr>
          <w:rFonts w:cs="Arial"/>
        </w:rPr>
        <w:t>Em todas as modalidades do Programa serão necessários materiais de consumo, assim exemplificado: Campanhas de campo - bolsa, pipeta, bacias, potes e tubos plásticos para transporte de amostras biológicas, álcool 70%, algodão, etiquetas, papel impresso, caneta, lápis, borracha e outros; Atividade de laboratório - vidrarias, pinças, reagentes químicos, lâmina, lamínula, alfinetes entomológicos, etiquetas, porta lâminas, armário para coleção entomológica; Atividades d</w:t>
      </w:r>
      <w:r w:rsidR="00EA22BB">
        <w:rPr>
          <w:rFonts w:cs="Arial"/>
        </w:rPr>
        <w:t>e escritório - papel A4</w:t>
      </w:r>
      <w:r>
        <w:rPr>
          <w:rFonts w:cs="Arial"/>
        </w:rPr>
        <w:t xml:space="preserve"> e serviços de impressão.</w:t>
      </w:r>
    </w:p>
    <w:p w:rsidR="007E4C43" w:rsidRPr="008C32BC" w:rsidRDefault="007E4C43" w:rsidP="00431A97">
      <w:pPr>
        <w:pStyle w:val="Ttulo3"/>
        <w:numPr>
          <w:ilvl w:val="3"/>
          <w:numId w:val="84"/>
        </w:numPr>
        <w:rPr>
          <w:rFonts w:ascii="Arial Negrito" w:hAnsi="Arial Negrito"/>
          <w:bCs/>
        </w:rPr>
      </w:pPr>
      <w:bookmarkStart w:id="1219" w:name="_Toc418758479"/>
      <w:bookmarkStart w:id="1220" w:name="_Toc418759081"/>
      <w:bookmarkStart w:id="1221" w:name="_Toc419813866"/>
      <w:r w:rsidRPr="008C32BC">
        <w:rPr>
          <w:rFonts w:ascii="Arial Negrito" w:hAnsi="Arial Negrito"/>
          <w:bCs/>
        </w:rPr>
        <w:t xml:space="preserve">Atendimento a </w:t>
      </w:r>
      <w:r w:rsidR="008C32BC">
        <w:rPr>
          <w:rFonts w:ascii="Arial Negrito" w:hAnsi="Arial Negrito"/>
          <w:bCs/>
        </w:rPr>
        <w:t>R</w:t>
      </w:r>
      <w:r w:rsidRPr="008C32BC">
        <w:rPr>
          <w:rFonts w:ascii="Arial Negrito" w:hAnsi="Arial Negrito"/>
          <w:bCs/>
        </w:rPr>
        <w:t xml:space="preserve">equisitos </w:t>
      </w:r>
      <w:r w:rsidR="008C32BC">
        <w:rPr>
          <w:rFonts w:ascii="Arial Negrito" w:hAnsi="Arial Negrito"/>
          <w:bCs/>
        </w:rPr>
        <w:t>L</w:t>
      </w:r>
      <w:r w:rsidRPr="008C32BC">
        <w:rPr>
          <w:rFonts w:ascii="Arial Negrito" w:hAnsi="Arial Negrito"/>
          <w:bCs/>
        </w:rPr>
        <w:t xml:space="preserve">egais e/ou outros </w:t>
      </w:r>
      <w:r w:rsidR="008C32BC">
        <w:rPr>
          <w:rFonts w:ascii="Arial Negrito" w:hAnsi="Arial Negrito"/>
          <w:bCs/>
        </w:rPr>
        <w:t>R</w:t>
      </w:r>
      <w:r w:rsidRPr="008C32BC">
        <w:rPr>
          <w:rFonts w:ascii="Arial Negrito" w:hAnsi="Arial Negrito"/>
          <w:bCs/>
        </w:rPr>
        <w:t>equisitos</w:t>
      </w:r>
      <w:bookmarkEnd w:id="1219"/>
      <w:bookmarkEnd w:id="1220"/>
      <w:bookmarkEnd w:id="1221"/>
    </w:p>
    <w:p w:rsidR="007E4C43" w:rsidRPr="00EA22BB" w:rsidRDefault="007E4C43" w:rsidP="00EA22BB">
      <w:pPr>
        <w:spacing w:before="120" w:after="120" w:line="240" w:lineRule="auto"/>
        <w:rPr>
          <w:rFonts w:cs="Arial"/>
        </w:rPr>
      </w:pPr>
      <w:r w:rsidRPr="00EA22BB">
        <w:rPr>
          <w:rFonts w:cs="Arial"/>
        </w:rPr>
        <w:t>Resolução do Conselho Nacional do Meio Ambiente (</w:t>
      </w:r>
      <w:r w:rsidR="00504078">
        <w:rPr>
          <w:rFonts w:cs="Arial"/>
        </w:rPr>
        <w:t>CONAMA</w:t>
      </w:r>
      <w:r w:rsidRPr="00EA22BB">
        <w:rPr>
          <w:rFonts w:cs="Arial"/>
        </w:rPr>
        <w:t>)</w:t>
      </w:r>
    </w:p>
    <w:p w:rsidR="007E4C43" w:rsidRPr="00EA22BB" w:rsidRDefault="00504078" w:rsidP="00492964">
      <w:pPr>
        <w:pStyle w:val="Item-Bolinha"/>
        <w:rPr>
          <w:sz w:val="24"/>
          <w:szCs w:val="24"/>
        </w:rPr>
      </w:pPr>
      <w:r>
        <w:t>CONAMA</w:t>
      </w:r>
      <w:r w:rsidR="007E4C43" w:rsidRPr="00EA22BB">
        <w:t xml:space="preserve"> </w:t>
      </w:r>
      <w:r w:rsidR="00492964">
        <w:rPr>
          <w:rFonts w:eastAsia="Batang"/>
          <w:lang w:eastAsia="en-US"/>
        </w:rPr>
        <w:t>n</w:t>
      </w:r>
      <w:r w:rsidR="00492964">
        <w:rPr>
          <w:rFonts w:eastAsia="Batang"/>
          <w:u w:val="single"/>
          <w:vertAlign w:val="superscript"/>
          <w:lang w:eastAsia="en-US"/>
        </w:rPr>
        <w:t>o</w:t>
      </w:r>
      <w:r w:rsidR="007E4C43" w:rsidRPr="00EA22BB">
        <w:t xml:space="preserve"> 237, de 19 de dezembro de 1997 - Objetiva prevenir e mitigar os fatores determinantes e condicionantes da transmissão de agentes patogênicos para seres humanos, por meio de revisão dos procedimentos e critérios utilizados no licenciamento ambiental;</w:t>
      </w:r>
    </w:p>
    <w:p w:rsidR="007E4C43" w:rsidRPr="00EA22BB" w:rsidRDefault="007E4C43" w:rsidP="00EA22BB">
      <w:pPr>
        <w:spacing w:before="120" w:after="120" w:line="240" w:lineRule="auto"/>
        <w:rPr>
          <w:rFonts w:cs="Arial"/>
        </w:rPr>
      </w:pPr>
      <w:r w:rsidRPr="00EA22BB">
        <w:rPr>
          <w:rFonts w:cs="Arial"/>
        </w:rPr>
        <w:t>Instruções normativas e nota técnica</w:t>
      </w:r>
    </w:p>
    <w:p w:rsidR="007E4C43" w:rsidRPr="00EA22BB" w:rsidRDefault="007E4C43" w:rsidP="00492964">
      <w:pPr>
        <w:pStyle w:val="Item-Bolinha"/>
        <w:rPr>
          <w:sz w:val="24"/>
          <w:szCs w:val="24"/>
        </w:rPr>
      </w:pPr>
      <w:r w:rsidRPr="00EA22BB">
        <w:t xml:space="preserve">Instrução Normativa </w:t>
      </w:r>
      <w:r w:rsidR="00492964">
        <w:rPr>
          <w:rFonts w:eastAsia="Batang"/>
          <w:lang w:eastAsia="en-US"/>
        </w:rPr>
        <w:t>n</w:t>
      </w:r>
      <w:r w:rsidR="00492964">
        <w:rPr>
          <w:rFonts w:eastAsia="Batang"/>
          <w:u w:val="single"/>
          <w:vertAlign w:val="superscript"/>
          <w:lang w:eastAsia="en-US"/>
        </w:rPr>
        <w:t>o</w:t>
      </w:r>
      <w:r w:rsidRPr="00EA22BB">
        <w:t xml:space="preserve"> 109, de 3 de agosto de 2006 - Considera a necessidade de ordenar os critérios de manejo e controle da fauna sinantrópica nociva e seu manejo ambiental;</w:t>
      </w:r>
    </w:p>
    <w:p w:rsidR="00D2378F" w:rsidRPr="00D2378F" w:rsidRDefault="007E4C43" w:rsidP="00492964">
      <w:pPr>
        <w:pStyle w:val="Item-Bolinha"/>
        <w:rPr>
          <w:sz w:val="24"/>
          <w:szCs w:val="24"/>
        </w:rPr>
      </w:pPr>
      <w:r w:rsidRPr="00D2378F">
        <w:t xml:space="preserve">Instrução Normativa do IBAMA </w:t>
      </w:r>
      <w:r w:rsidR="00492964">
        <w:rPr>
          <w:rFonts w:eastAsia="Batang"/>
          <w:lang w:eastAsia="en-US"/>
        </w:rPr>
        <w:t>n</w:t>
      </w:r>
      <w:r w:rsidR="00492964">
        <w:rPr>
          <w:rFonts w:eastAsia="Batang"/>
          <w:u w:val="single"/>
          <w:vertAlign w:val="superscript"/>
          <w:lang w:eastAsia="en-US"/>
        </w:rPr>
        <w:t>o</w:t>
      </w:r>
      <w:r w:rsidRPr="00D2378F">
        <w:t xml:space="preserve"> 146, de 11 de janeiro de 2007 - Considera a necessidade de estabelecer critérios e padronizar os procedimentos relativos à fauna no âmbito do licenciamento ambiental de empreendimentos e atividades que causam impactos sobre a fauna silvestre.</w:t>
      </w:r>
    </w:p>
    <w:p w:rsidR="007E4C43" w:rsidRPr="008C32BC" w:rsidRDefault="007E4C43" w:rsidP="00431A97">
      <w:pPr>
        <w:pStyle w:val="Ttulo3"/>
        <w:numPr>
          <w:ilvl w:val="3"/>
          <w:numId w:val="84"/>
        </w:numPr>
        <w:rPr>
          <w:rFonts w:ascii="Arial Negrito" w:hAnsi="Arial Negrito"/>
          <w:bCs/>
        </w:rPr>
      </w:pPr>
      <w:bookmarkStart w:id="1222" w:name="_Toc418758480"/>
      <w:bookmarkStart w:id="1223" w:name="_Toc418759082"/>
      <w:bookmarkStart w:id="1224" w:name="_Toc419813867"/>
      <w:r w:rsidRPr="008C32BC">
        <w:rPr>
          <w:rFonts w:ascii="Arial Negrito" w:hAnsi="Arial Negrito"/>
          <w:bCs/>
        </w:rPr>
        <w:t xml:space="preserve">Inter-relação com outros </w:t>
      </w:r>
      <w:r w:rsidR="008C32BC">
        <w:rPr>
          <w:rFonts w:ascii="Arial Negrito" w:hAnsi="Arial Negrito"/>
          <w:bCs/>
        </w:rPr>
        <w:t>P</w:t>
      </w:r>
      <w:r w:rsidRPr="008C32BC">
        <w:rPr>
          <w:rFonts w:ascii="Arial Negrito" w:hAnsi="Arial Negrito"/>
          <w:bCs/>
        </w:rPr>
        <w:t xml:space="preserve">lanos e </w:t>
      </w:r>
      <w:r w:rsidR="008C32BC">
        <w:rPr>
          <w:rFonts w:ascii="Arial Negrito" w:hAnsi="Arial Negrito"/>
          <w:bCs/>
        </w:rPr>
        <w:t>P</w:t>
      </w:r>
      <w:r w:rsidRPr="008C32BC">
        <w:rPr>
          <w:rFonts w:ascii="Arial Negrito" w:hAnsi="Arial Negrito"/>
          <w:bCs/>
        </w:rPr>
        <w:t>rogramas</w:t>
      </w:r>
      <w:bookmarkEnd w:id="1222"/>
      <w:bookmarkEnd w:id="1223"/>
      <w:bookmarkEnd w:id="1224"/>
    </w:p>
    <w:p w:rsidR="007E4C43" w:rsidRPr="00645FF2" w:rsidRDefault="007E4C43" w:rsidP="00EA22BB">
      <w:pPr>
        <w:spacing w:before="120" w:after="120" w:line="240" w:lineRule="auto"/>
        <w:rPr>
          <w:rFonts w:cs="Arial"/>
        </w:rPr>
      </w:pPr>
      <w:r w:rsidRPr="00645FF2">
        <w:rPr>
          <w:rFonts w:cs="Arial"/>
        </w:rPr>
        <w:t xml:space="preserve">O </w:t>
      </w:r>
      <w:r w:rsidRPr="006A3FEB">
        <w:rPr>
          <w:rFonts w:cs="Arial"/>
        </w:rPr>
        <w:t>Programa de Monitoramento de Invertebrados de Interesse Médico-Sanitário</w:t>
      </w:r>
      <w:r>
        <w:rPr>
          <w:rFonts w:cs="Arial"/>
        </w:rPr>
        <w:t>,</w:t>
      </w:r>
      <w:r w:rsidRPr="00645FF2">
        <w:rPr>
          <w:rFonts w:cs="Arial"/>
        </w:rPr>
        <w:t xml:space="preserve"> </w:t>
      </w:r>
      <w:r>
        <w:rPr>
          <w:rFonts w:cs="Arial"/>
        </w:rPr>
        <w:t xml:space="preserve">das barragens Pedreira e Duas Pontes, </w:t>
      </w:r>
      <w:r w:rsidRPr="00645FF2">
        <w:rPr>
          <w:rFonts w:cs="Arial"/>
        </w:rPr>
        <w:t>terá inter-relação com o “Programa de Saúde e Segurança”, “Programa de Controle Ambiental Intrínseco” e “Programa de Desmobilização de Mão de Obra”, pelo fato de fazerem parte do Plano Ambiental de Construção.</w:t>
      </w:r>
    </w:p>
    <w:p w:rsidR="007E4C43" w:rsidRDefault="007E4C43" w:rsidP="00EA22BB">
      <w:pPr>
        <w:spacing w:before="120" w:after="120" w:line="240" w:lineRule="auto"/>
        <w:rPr>
          <w:rFonts w:cs="Arial"/>
        </w:rPr>
      </w:pPr>
      <w:r w:rsidRPr="00645FF2">
        <w:rPr>
          <w:rFonts w:cs="Arial"/>
        </w:rPr>
        <w:t xml:space="preserve">O compartilhamento das informações e atividades conjuntas poderá ocorrer com outros programas e projetos: </w:t>
      </w:r>
      <w:r w:rsidRPr="00EA22BB">
        <w:rPr>
          <w:rFonts w:cs="Arial"/>
        </w:rPr>
        <w:t>Programa de Monitoramento Limnológico e de Qualidade da Água;</w:t>
      </w:r>
      <w:r w:rsidRPr="00645FF2">
        <w:rPr>
          <w:rFonts w:cs="Arial"/>
        </w:rPr>
        <w:t xml:space="preserve"> </w:t>
      </w:r>
      <w:r w:rsidRPr="00EA22BB">
        <w:rPr>
          <w:rFonts w:cs="Arial"/>
        </w:rPr>
        <w:t xml:space="preserve">Programa de Desmatamento e Limpeza das Áreas dos Reservatórios; </w:t>
      </w:r>
      <w:r w:rsidRPr="00645FF2">
        <w:rPr>
          <w:rFonts w:cs="Arial"/>
        </w:rPr>
        <w:t>Programa de Comunicação e o Programa de Educação Socioambiental</w:t>
      </w:r>
      <w:r w:rsidRPr="00EA22BB">
        <w:rPr>
          <w:rFonts w:cs="Arial"/>
        </w:rPr>
        <w:t>.</w:t>
      </w:r>
    </w:p>
    <w:p w:rsidR="007E4C43" w:rsidRPr="008C32BC" w:rsidRDefault="007E4C43" w:rsidP="00431A97">
      <w:pPr>
        <w:pStyle w:val="Ttulo3"/>
        <w:numPr>
          <w:ilvl w:val="3"/>
          <w:numId w:val="84"/>
        </w:numPr>
        <w:rPr>
          <w:rFonts w:ascii="Arial Negrito" w:hAnsi="Arial Negrito"/>
          <w:bCs/>
        </w:rPr>
      </w:pPr>
      <w:bookmarkStart w:id="1225" w:name="_Toc418758481"/>
      <w:bookmarkStart w:id="1226" w:name="_Toc418759083"/>
      <w:bookmarkStart w:id="1227" w:name="_Toc419813868"/>
      <w:r w:rsidRPr="008C32BC">
        <w:rPr>
          <w:rFonts w:ascii="Arial Negrito" w:hAnsi="Arial Negrito"/>
          <w:bCs/>
        </w:rPr>
        <w:t xml:space="preserve">Etapa dos </w:t>
      </w:r>
      <w:r w:rsidR="008C32BC">
        <w:rPr>
          <w:rFonts w:ascii="Arial Negrito" w:hAnsi="Arial Negrito"/>
          <w:bCs/>
        </w:rPr>
        <w:t>E</w:t>
      </w:r>
      <w:r w:rsidRPr="008C32BC">
        <w:rPr>
          <w:rFonts w:ascii="Arial Negrito" w:hAnsi="Arial Negrito"/>
          <w:bCs/>
        </w:rPr>
        <w:t>mpreendimentos</w:t>
      </w:r>
      <w:bookmarkEnd w:id="1225"/>
      <w:bookmarkEnd w:id="1226"/>
      <w:bookmarkEnd w:id="1227"/>
    </w:p>
    <w:p w:rsidR="007E4C43" w:rsidRPr="00645FF2" w:rsidRDefault="007E4C43" w:rsidP="00EA22BB">
      <w:pPr>
        <w:spacing w:before="120" w:after="120" w:line="240" w:lineRule="auto"/>
        <w:rPr>
          <w:rFonts w:cs="Arial"/>
        </w:rPr>
      </w:pPr>
      <w:r w:rsidRPr="00645FF2">
        <w:rPr>
          <w:rFonts w:cs="Arial"/>
        </w:rPr>
        <w:t xml:space="preserve">O Programa de </w:t>
      </w:r>
      <w:r w:rsidRPr="006A3FEB">
        <w:rPr>
          <w:rFonts w:cs="Arial"/>
        </w:rPr>
        <w:t>Monitoramento de Invertebrados de Interesse Médico-Sanitário</w:t>
      </w:r>
      <w:r w:rsidRPr="00645FF2">
        <w:rPr>
          <w:rFonts w:cs="Arial"/>
        </w:rPr>
        <w:t xml:space="preserve"> está previsto para todas as fases do empreendimento. Desde o planejamento, após a Licença de Instalação (LI), até </w:t>
      </w:r>
      <w:r>
        <w:rPr>
          <w:rFonts w:cs="Arial"/>
        </w:rPr>
        <w:t xml:space="preserve">três </w:t>
      </w:r>
      <w:r w:rsidRPr="00645FF2">
        <w:rPr>
          <w:rFonts w:cs="Arial"/>
        </w:rPr>
        <w:t>ano</w:t>
      </w:r>
      <w:r>
        <w:rPr>
          <w:rFonts w:cs="Arial"/>
        </w:rPr>
        <w:t>s</w:t>
      </w:r>
      <w:r w:rsidRPr="00645FF2">
        <w:rPr>
          <w:rFonts w:cs="Arial"/>
        </w:rPr>
        <w:t xml:space="preserve"> d</w:t>
      </w:r>
      <w:r>
        <w:rPr>
          <w:rFonts w:cs="Arial"/>
        </w:rPr>
        <w:t>e operação comercial das barragens</w:t>
      </w:r>
      <w:r w:rsidRPr="00645FF2">
        <w:rPr>
          <w:rFonts w:cs="Arial"/>
        </w:rPr>
        <w:t>.</w:t>
      </w:r>
    </w:p>
    <w:p w:rsidR="007E4C43" w:rsidRPr="002F4620" w:rsidRDefault="007E4C43" w:rsidP="00810CA3">
      <w:pPr>
        <w:spacing w:before="240" w:after="240"/>
        <w:rPr>
          <w:rFonts w:cs="Arial"/>
          <w:b/>
        </w:rPr>
      </w:pPr>
      <w:r w:rsidRPr="002F4620">
        <w:rPr>
          <w:rFonts w:cs="Arial"/>
          <w:b/>
        </w:rPr>
        <w:t>Planejamento (pré-implantação)</w:t>
      </w:r>
    </w:p>
    <w:p w:rsidR="007E4C43" w:rsidRDefault="007E4C43" w:rsidP="00492964">
      <w:pPr>
        <w:pStyle w:val="Item-Bolinha"/>
      </w:pPr>
      <w:r w:rsidRPr="00645FF2">
        <w:t>Contratação da equipe técnica que irá realizar o monitoramento de vetores, mediante apresentação do “Termo de Referência” para execução dos serviços;</w:t>
      </w:r>
    </w:p>
    <w:p w:rsidR="007E4C43" w:rsidRPr="00645FF2" w:rsidRDefault="007E4C43" w:rsidP="00492964">
      <w:pPr>
        <w:pStyle w:val="Item-Bolinha"/>
      </w:pPr>
      <w:r w:rsidRPr="00645FF2">
        <w:t>Elaboração Projeto Básico Ambiental (PBA) com o detalhamento das ações previstas neste Programa;</w:t>
      </w:r>
    </w:p>
    <w:p w:rsidR="007E4C43" w:rsidRPr="00645FF2" w:rsidRDefault="007E4C43" w:rsidP="00492964">
      <w:pPr>
        <w:pStyle w:val="Item-Bolinha"/>
      </w:pPr>
      <w:r w:rsidRPr="00645FF2">
        <w:t>Realização de pesquisa exploratória para definir os pontos de coleta na área diretamente afetada do</w:t>
      </w:r>
      <w:r>
        <w:t>s</w:t>
      </w:r>
      <w:r w:rsidRPr="00645FF2">
        <w:t xml:space="preserve"> empreendimento</w:t>
      </w:r>
      <w:r>
        <w:t>s,</w:t>
      </w:r>
      <w:r w:rsidRPr="00645FF2">
        <w:t xml:space="preserve"> a serem detalhados no “Plano de Trabalho” que deverá ser apresentado pela contratada.</w:t>
      </w:r>
    </w:p>
    <w:p w:rsidR="007E4C43" w:rsidRPr="002F4620" w:rsidRDefault="007E4C43" w:rsidP="00810CA3">
      <w:pPr>
        <w:spacing w:before="240" w:after="240"/>
        <w:rPr>
          <w:rFonts w:cs="Arial"/>
          <w:b/>
        </w:rPr>
      </w:pPr>
      <w:r w:rsidRPr="002F4620">
        <w:rPr>
          <w:rFonts w:cs="Arial"/>
          <w:b/>
        </w:rPr>
        <w:t>Implantação (construção da barragem)</w:t>
      </w:r>
    </w:p>
    <w:p w:rsidR="007E4C43" w:rsidRPr="00EA22BB" w:rsidRDefault="007E4C43" w:rsidP="00492964">
      <w:pPr>
        <w:pStyle w:val="Item-Bolinha"/>
      </w:pPr>
      <w:r w:rsidRPr="00EA22BB">
        <w:t>Execução das atividades de monitoramento de vetores nos pontos estabelecidos no Plano de Trabalho e áreas de inundação sujeitas a desmatamento.</w:t>
      </w:r>
    </w:p>
    <w:p w:rsidR="007E4C43" w:rsidRPr="002F4620" w:rsidRDefault="007E4C43" w:rsidP="00810CA3">
      <w:pPr>
        <w:spacing w:before="240" w:after="240"/>
        <w:rPr>
          <w:rFonts w:cs="Arial"/>
          <w:b/>
        </w:rPr>
      </w:pPr>
      <w:r w:rsidRPr="002F4620">
        <w:rPr>
          <w:rFonts w:cs="Arial"/>
          <w:b/>
        </w:rPr>
        <w:t>Implantação (enchimento do reservatório)</w:t>
      </w:r>
    </w:p>
    <w:p w:rsidR="007E4C43" w:rsidRPr="00EA22BB" w:rsidRDefault="007E4C43" w:rsidP="00492964">
      <w:pPr>
        <w:pStyle w:val="Item-Bolinha"/>
      </w:pPr>
      <w:r w:rsidRPr="00EA22BB">
        <w:t>Execução das atividades de monitoramento de vetores nos pontos estabelecidos e acompanhamento do enchimento do reservatório para identificar áreas propícias à proliferação de vetores.</w:t>
      </w:r>
    </w:p>
    <w:p w:rsidR="007E4C43" w:rsidRPr="002F4620" w:rsidRDefault="007E4C43" w:rsidP="00810CA3">
      <w:pPr>
        <w:spacing w:before="240" w:after="240"/>
        <w:rPr>
          <w:rFonts w:cs="Arial"/>
          <w:b/>
        </w:rPr>
      </w:pPr>
      <w:r w:rsidRPr="002F4620">
        <w:rPr>
          <w:rFonts w:cs="Arial"/>
          <w:b/>
        </w:rPr>
        <w:t>Operação da usina</w:t>
      </w:r>
    </w:p>
    <w:p w:rsidR="00967581" w:rsidRPr="00437813" w:rsidRDefault="007E4C43" w:rsidP="00492964">
      <w:pPr>
        <w:pStyle w:val="Item-Bolinha"/>
      </w:pPr>
      <w:r w:rsidRPr="00437813">
        <w:t>Execução das atividades de monitoramento de vetores nos pontos selecionados juntos aos reservatórios.</w:t>
      </w:r>
    </w:p>
    <w:p w:rsidR="00E051EC" w:rsidRPr="008C32BC" w:rsidRDefault="007E4C43" w:rsidP="00431A97">
      <w:pPr>
        <w:pStyle w:val="Ttulo3"/>
        <w:numPr>
          <w:ilvl w:val="3"/>
          <w:numId w:val="84"/>
        </w:numPr>
        <w:rPr>
          <w:rFonts w:ascii="Arial Negrito" w:hAnsi="Arial Negrito"/>
          <w:bCs/>
        </w:rPr>
      </w:pPr>
      <w:bookmarkStart w:id="1228" w:name="_Toc418758482"/>
      <w:bookmarkStart w:id="1229" w:name="_Toc418759084"/>
      <w:bookmarkStart w:id="1230" w:name="_Toc419813869"/>
      <w:r w:rsidRPr="008C32BC">
        <w:rPr>
          <w:rFonts w:ascii="Arial Negrito" w:hAnsi="Arial Negrito"/>
          <w:bCs/>
        </w:rPr>
        <w:t xml:space="preserve">Cronograma de </w:t>
      </w:r>
      <w:r w:rsidR="008C32BC">
        <w:rPr>
          <w:rFonts w:ascii="Arial Negrito" w:hAnsi="Arial Negrito"/>
          <w:bCs/>
        </w:rPr>
        <w:t>E</w:t>
      </w:r>
      <w:r w:rsidRPr="008C32BC">
        <w:rPr>
          <w:rFonts w:ascii="Arial Negrito" w:hAnsi="Arial Negrito"/>
          <w:bCs/>
        </w:rPr>
        <w:t>xecução</w:t>
      </w:r>
      <w:bookmarkEnd w:id="1228"/>
      <w:bookmarkEnd w:id="1229"/>
      <w:bookmarkEnd w:id="1230"/>
    </w:p>
    <w:p w:rsidR="00E051EC" w:rsidRPr="00E051EC" w:rsidRDefault="00E051EC" w:rsidP="00E051EC">
      <w:pPr>
        <w:spacing w:before="120" w:after="120" w:line="240" w:lineRule="auto"/>
        <w:rPr>
          <w:rFonts w:cs="Arial"/>
        </w:rPr>
      </w:pPr>
      <w:r w:rsidRPr="00E051EC">
        <w:rPr>
          <w:rFonts w:cs="Arial"/>
        </w:rPr>
        <w:t xml:space="preserve">As atividades do programa de Monitoramento de Invertebrados de Interesse Médico-Sanitário, </w:t>
      </w:r>
      <w:r w:rsidR="00D2378F">
        <w:rPr>
          <w:rFonts w:cs="Arial"/>
        </w:rPr>
        <w:t>foram</w:t>
      </w:r>
      <w:r w:rsidRPr="00E051EC">
        <w:rPr>
          <w:rFonts w:cs="Arial"/>
        </w:rPr>
        <w:t xml:space="preserve"> programadas para serem desenvolvidas num período de cinco anos, tendo início na fase de implantação, e finalizando na fase de operação. </w:t>
      </w:r>
    </w:p>
    <w:p w:rsidR="00E051EC" w:rsidRPr="00E051EC" w:rsidRDefault="00E051EC" w:rsidP="00E051EC">
      <w:pPr>
        <w:spacing w:before="120" w:after="120" w:line="240" w:lineRule="auto"/>
        <w:rPr>
          <w:rFonts w:cs="Arial"/>
        </w:rPr>
      </w:pPr>
      <w:r w:rsidRPr="00E051EC">
        <w:rPr>
          <w:rFonts w:cs="Arial"/>
        </w:rPr>
        <w:t>As atividades a serem desenvolvidas são:</w:t>
      </w:r>
    </w:p>
    <w:p w:rsidR="00E051EC" w:rsidRDefault="00E051EC" w:rsidP="00E051EC">
      <w:pPr>
        <w:spacing w:before="120" w:after="120" w:line="240" w:lineRule="auto"/>
        <w:rPr>
          <w:rFonts w:cs="Arial"/>
          <w:szCs w:val="22"/>
        </w:rPr>
      </w:pPr>
      <w:r w:rsidRPr="00EC5181">
        <w:rPr>
          <w:rFonts w:cs="Arial"/>
          <w:b/>
          <w:szCs w:val="22"/>
        </w:rPr>
        <w:t>Planejamento:</w:t>
      </w:r>
      <w:r>
        <w:rPr>
          <w:rFonts w:cs="Arial"/>
          <w:szCs w:val="22"/>
        </w:rPr>
        <w:t xml:space="preserve"> Nesta fase, desenvolvida antes do início das obras, será detalhado o programa de monitoramento, contratação de equipe técnica para implementação do programa e realização de pesquisas exploratórias, concluindo com a elaboração do Plano de Trabalho;</w:t>
      </w:r>
    </w:p>
    <w:p w:rsidR="00E051EC" w:rsidRPr="00EA22BB" w:rsidRDefault="00E051EC" w:rsidP="00E051EC">
      <w:pPr>
        <w:spacing w:before="120" w:after="120" w:line="240" w:lineRule="auto"/>
        <w:rPr>
          <w:rFonts w:cs="Arial"/>
          <w:b/>
          <w:szCs w:val="22"/>
        </w:rPr>
      </w:pPr>
      <w:r w:rsidRPr="00EC5181">
        <w:rPr>
          <w:rFonts w:cs="Arial"/>
          <w:b/>
          <w:szCs w:val="22"/>
        </w:rPr>
        <w:t>Implantação/Operação:</w:t>
      </w:r>
      <w:r w:rsidRPr="00EC5181">
        <w:rPr>
          <w:rFonts w:cs="Arial"/>
          <w:szCs w:val="22"/>
        </w:rPr>
        <w:t xml:space="preserve"> As campanhas serão realizadas com periodicidade quadrimestral</w:t>
      </w:r>
      <w:r>
        <w:rPr>
          <w:rFonts w:cs="Arial"/>
          <w:szCs w:val="22"/>
        </w:rPr>
        <w:t>, sendo realizada a primeira campanha antes do início das obras (pesquisa exploratória)</w:t>
      </w:r>
      <w:r>
        <w:rPr>
          <w:rFonts w:cs="Arial"/>
        </w:rPr>
        <w:t xml:space="preserve">; na </w:t>
      </w:r>
      <w:r w:rsidRPr="00E34B25">
        <w:rPr>
          <w:rFonts w:cs="Arial"/>
        </w:rPr>
        <w:t>Impl</w:t>
      </w:r>
      <w:r>
        <w:rPr>
          <w:rFonts w:cs="Arial"/>
        </w:rPr>
        <w:t>antação</w:t>
      </w:r>
      <w:r w:rsidRPr="00E34B25">
        <w:rPr>
          <w:rFonts w:cs="Arial"/>
        </w:rPr>
        <w:t xml:space="preserve"> –</w:t>
      </w:r>
      <w:r>
        <w:rPr>
          <w:rFonts w:cs="Arial"/>
        </w:rPr>
        <w:t xml:space="preserve"> </w:t>
      </w:r>
      <w:r w:rsidRPr="00E34B25">
        <w:rPr>
          <w:rFonts w:cs="Arial"/>
        </w:rPr>
        <w:t>campanha</w:t>
      </w:r>
      <w:r>
        <w:rPr>
          <w:rFonts w:cs="Arial"/>
        </w:rPr>
        <w:t>s</w:t>
      </w:r>
      <w:r w:rsidRPr="00E34B25">
        <w:rPr>
          <w:rFonts w:cs="Arial"/>
        </w:rPr>
        <w:t xml:space="preserve"> de campo </w:t>
      </w:r>
      <w:r>
        <w:rPr>
          <w:rFonts w:cs="Arial"/>
        </w:rPr>
        <w:t xml:space="preserve">ao longo de todas as fases de construção das barragens (execução do monitoramento); </w:t>
      </w:r>
      <w:r w:rsidRPr="00E34B25">
        <w:rPr>
          <w:rFonts w:cs="Arial"/>
        </w:rPr>
        <w:t>Implantação (enchimento do reservatório) – uma campanha de ca</w:t>
      </w:r>
      <w:r>
        <w:rPr>
          <w:rFonts w:cs="Arial"/>
        </w:rPr>
        <w:t xml:space="preserve">mpo (execução do monitoramento), e Operação – </w:t>
      </w:r>
      <w:r w:rsidRPr="00E34B25">
        <w:rPr>
          <w:rFonts w:cs="Arial"/>
        </w:rPr>
        <w:t xml:space="preserve">campanhas de campo </w:t>
      </w:r>
      <w:r>
        <w:rPr>
          <w:rFonts w:cs="Arial"/>
        </w:rPr>
        <w:t xml:space="preserve">ao longo de no mínimo três anos de operação das barragens </w:t>
      </w:r>
      <w:r w:rsidRPr="00E34B25">
        <w:rPr>
          <w:rFonts w:cs="Arial"/>
        </w:rPr>
        <w:t>(execução do monitoramento).</w:t>
      </w:r>
      <w:r>
        <w:rPr>
          <w:rFonts w:cs="Arial"/>
        </w:rPr>
        <w:t xml:space="preserve"> Nesta fase serão realizadas,</w:t>
      </w:r>
      <w:r w:rsidRPr="00E34B25">
        <w:rPr>
          <w:rFonts w:cs="Arial"/>
        </w:rPr>
        <w:t xml:space="preserve"> simultaneamente</w:t>
      </w:r>
      <w:r>
        <w:rPr>
          <w:rFonts w:cs="Arial"/>
        </w:rPr>
        <w:t>,</w:t>
      </w:r>
      <w:r w:rsidRPr="00E34B25">
        <w:rPr>
          <w:rFonts w:cs="Arial"/>
        </w:rPr>
        <w:t xml:space="preserve"> todas as modalidades de coleta (Diptera e Planorbidae)</w:t>
      </w:r>
      <w:r>
        <w:rPr>
          <w:rFonts w:cs="Arial"/>
        </w:rPr>
        <w:t xml:space="preserve">, identificadas as espécies, e os resultados consolidados em relatórios semestrais e anuais. </w:t>
      </w:r>
    </w:p>
    <w:p w:rsidR="007E4C43" w:rsidRPr="008C32BC" w:rsidRDefault="007E4C43" w:rsidP="00431A97">
      <w:pPr>
        <w:pStyle w:val="Ttulo3"/>
        <w:numPr>
          <w:ilvl w:val="3"/>
          <w:numId w:val="84"/>
        </w:numPr>
        <w:rPr>
          <w:rFonts w:ascii="Arial Negrito" w:hAnsi="Arial Negrito"/>
          <w:bCs/>
        </w:rPr>
      </w:pPr>
      <w:bookmarkStart w:id="1231" w:name="_Toc418758483"/>
      <w:bookmarkStart w:id="1232" w:name="_Toc418759085"/>
      <w:bookmarkStart w:id="1233" w:name="_Toc419813870"/>
      <w:r w:rsidRPr="008C32BC">
        <w:rPr>
          <w:rFonts w:ascii="Arial Negrito" w:hAnsi="Arial Negrito"/>
          <w:bCs/>
        </w:rPr>
        <w:t xml:space="preserve">Responsável pela </w:t>
      </w:r>
      <w:r w:rsidR="008C32BC">
        <w:rPr>
          <w:rFonts w:ascii="Arial Negrito" w:hAnsi="Arial Negrito"/>
          <w:bCs/>
        </w:rPr>
        <w:t>I</w:t>
      </w:r>
      <w:r w:rsidRPr="008C32BC">
        <w:rPr>
          <w:rFonts w:ascii="Arial Negrito" w:hAnsi="Arial Negrito"/>
          <w:bCs/>
        </w:rPr>
        <w:t xml:space="preserve">mplementação do </w:t>
      </w:r>
      <w:r w:rsidR="008C32BC">
        <w:rPr>
          <w:rFonts w:ascii="Arial Negrito" w:hAnsi="Arial Negrito"/>
          <w:bCs/>
        </w:rPr>
        <w:t>P</w:t>
      </w:r>
      <w:r w:rsidRPr="008C32BC">
        <w:rPr>
          <w:rFonts w:ascii="Arial Negrito" w:hAnsi="Arial Negrito"/>
          <w:bCs/>
        </w:rPr>
        <w:t>rograma</w:t>
      </w:r>
      <w:bookmarkEnd w:id="1231"/>
      <w:bookmarkEnd w:id="1232"/>
      <w:bookmarkEnd w:id="1233"/>
    </w:p>
    <w:p w:rsidR="007E4C43" w:rsidRDefault="007E4C43" w:rsidP="00E051EC">
      <w:pPr>
        <w:autoSpaceDE w:val="0"/>
        <w:spacing w:before="120" w:after="120" w:line="240" w:lineRule="auto"/>
        <w:rPr>
          <w:rFonts w:cs="Arial"/>
        </w:rPr>
      </w:pPr>
      <w:r>
        <w:rPr>
          <w:rFonts w:cs="Arial"/>
        </w:rPr>
        <w:t xml:space="preserve">A responsabilidade de implantação do </w:t>
      </w:r>
      <w:r w:rsidRPr="006A3FEB">
        <w:rPr>
          <w:rFonts w:cs="Arial"/>
        </w:rPr>
        <w:t>Programa de Monitoramento de Invertebrados de Interesse Médico-Sanitário</w:t>
      </w:r>
      <w:r>
        <w:rPr>
          <w:rFonts w:cs="Arial"/>
        </w:rPr>
        <w:t xml:space="preserve"> é do empreendedor, junto à equipe contratada para execução das ações de monitoramento da fauna vetora.</w:t>
      </w:r>
    </w:p>
    <w:p w:rsidR="007E4C43" w:rsidRPr="008C32BC" w:rsidRDefault="007E4C43" w:rsidP="00431A97">
      <w:pPr>
        <w:pStyle w:val="Ttulo3"/>
        <w:numPr>
          <w:ilvl w:val="3"/>
          <w:numId w:val="84"/>
        </w:numPr>
        <w:rPr>
          <w:rFonts w:ascii="Arial Negrito" w:hAnsi="Arial Negrito"/>
          <w:bCs/>
        </w:rPr>
      </w:pPr>
      <w:bookmarkStart w:id="1234" w:name="_Toc418758484"/>
      <w:bookmarkStart w:id="1235" w:name="_Toc418759086"/>
      <w:bookmarkStart w:id="1236" w:name="_Toc419813871"/>
      <w:r w:rsidRPr="008C32BC">
        <w:rPr>
          <w:rFonts w:ascii="Arial Negrito" w:hAnsi="Arial Negrito"/>
          <w:bCs/>
        </w:rPr>
        <w:t xml:space="preserve">Sistemas de </w:t>
      </w:r>
      <w:r w:rsidR="008C32BC">
        <w:rPr>
          <w:rFonts w:ascii="Arial Negrito" w:hAnsi="Arial Negrito"/>
          <w:bCs/>
        </w:rPr>
        <w:t>R</w:t>
      </w:r>
      <w:r w:rsidRPr="008C32BC">
        <w:rPr>
          <w:rFonts w:ascii="Arial Negrito" w:hAnsi="Arial Negrito"/>
          <w:bCs/>
        </w:rPr>
        <w:t>egistros</w:t>
      </w:r>
      <w:bookmarkEnd w:id="1234"/>
      <w:bookmarkEnd w:id="1235"/>
      <w:bookmarkEnd w:id="1236"/>
    </w:p>
    <w:p w:rsidR="007E4C43" w:rsidRPr="00645FF2" w:rsidRDefault="007E4C43" w:rsidP="00EE59F2">
      <w:pPr>
        <w:autoSpaceDE w:val="0"/>
        <w:spacing w:before="120" w:after="120" w:line="240" w:lineRule="auto"/>
        <w:rPr>
          <w:rFonts w:cs="Arial"/>
        </w:rPr>
      </w:pPr>
      <w:r w:rsidRPr="00645FF2">
        <w:rPr>
          <w:rFonts w:cs="Arial"/>
        </w:rPr>
        <w:t>O acompanhamento periódico das ativid</w:t>
      </w:r>
      <w:r>
        <w:rPr>
          <w:rFonts w:cs="Arial"/>
        </w:rPr>
        <w:t>ades de monitoramento de invertebrados</w:t>
      </w:r>
      <w:r w:rsidRPr="00645FF2">
        <w:rPr>
          <w:rFonts w:cs="Arial"/>
        </w:rPr>
        <w:t xml:space="preserve"> ocorrerá por meio de relatórios e informes técnicos, </w:t>
      </w:r>
      <w:r>
        <w:rPr>
          <w:rFonts w:cs="Arial"/>
        </w:rPr>
        <w:t xml:space="preserve">que deverão ser elaborados </w:t>
      </w:r>
      <w:r w:rsidRPr="00645FF2">
        <w:rPr>
          <w:rFonts w:cs="Arial"/>
        </w:rPr>
        <w:t>pelo responsável da equipe contratada e encaminhados para o empreendedor. Este por sua vez, fica responsável em repassar as informações obtidas durante as ações de monitoramento na ADA do</w:t>
      </w:r>
      <w:r>
        <w:rPr>
          <w:rFonts w:cs="Arial"/>
        </w:rPr>
        <w:t>s</w:t>
      </w:r>
      <w:r w:rsidRPr="00645FF2">
        <w:rPr>
          <w:rFonts w:cs="Arial"/>
        </w:rPr>
        <w:t xml:space="preserve"> empreendimento</w:t>
      </w:r>
      <w:r>
        <w:rPr>
          <w:rFonts w:cs="Arial"/>
        </w:rPr>
        <w:t>s,</w:t>
      </w:r>
      <w:r w:rsidRPr="00645FF2">
        <w:rPr>
          <w:rFonts w:cs="Arial"/>
        </w:rPr>
        <w:t xml:space="preserve"> p</w:t>
      </w:r>
      <w:r>
        <w:rPr>
          <w:rFonts w:cs="Arial"/>
        </w:rPr>
        <w:t>ara os órgãos de saúde municipais e do estado de São Paulo</w:t>
      </w:r>
      <w:r w:rsidRPr="00645FF2">
        <w:rPr>
          <w:rFonts w:cs="Arial"/>
        </w:rPr>
        <w:t>.</w:t>
      </w:r>
    </w:p>
    <w:p w:rsidR="007E4C43" w:rsidRPr="00645FF2" w:rsidRDefault="007E4C43" w:rsidP="00492964">
      <w:pPr>
        <w:pStyle w:val="Item-Bolinha"/>
      </w:pPr>
      <w:r w:rsidRPr="00645FF2">
        <w:t>Relatório preliminar - Deverá ser elaborado após a realização da pesquisa exploratória</w:t>
      </w:r>
      <w:r>
        <w:t>, juntamente com o “Plano de Trabalho</w:t>
      </w:r>
      <w:r w:rsidRPr="00645FF2">
        <w:t>”. Deverão constar neste relatório, a caracterização da área de estudo, definição dos pontos de amostragens para cada</w:t>
      </w:r>
      <w:r>
        <w:t xml:space="preserve"> grupo taxonômico</w:t>
      </w:r>
      <w:r w:rsidRPr="00645FF2">
        <w:t>, resultados prévios e o cronograma das campanhas de monitoramento;</w:t>
      </w:r>
    </w:p>
    <w:p w:rsidR="007E4C43" w:rsidRPr="00645FF2" w:rsidRDefault="007E4C43" w:rsidP="00492964">
      <w:pPr>
        <w:pStyle w:val="Item-Bolinha"/>
      </w:pPr>
      <w:r w:rsidRPr="00645FF2">
        <w:t xml:space="preserve">Relatório parcial - Deverá ser elaborado após cada campanha de monitoramento, contendo os registros das atividades realizadas como, metodologia de coleta, </w:t>
      </w:r>
      <w:r>
        <w:t>listas das</w:t>
      </w:r>
      <w:r w:rsidRPr="00645FF2">
        <w:t xml:space="preserve"> espécies</w:t>
      </w:r>
      <w:r>
        <w:t xml:space="preserve"> identificadas</w:t>
      </w:r>
      <w:r w:rsidRPr="00645FF2">
        <w:t>, análise dos dados apresentada em tabelas e gráficos, referências bibliográficas e anexos (fotos e mapas, fichas utilizadas em campo, outros);</w:t>
      </w:r>
    </w:p>
    <w:p w:rsidR="007E4C43" w:rsidRDefault="007E4C43" w:rsidP="00492964">
      <w:pPr>
        <w:pStyle w:val="Item-Bolinha"/>
      </w:pPr>
      <w:r w:rsidRPr="00645FF2">
        <w:t>Informe técnico - Juntamente com os relatórios parciais deverão ser elaborados</w:t>
      </w:r>
      <w:r>
        <w:t>,</w:t>
      </w:r>
      <w:r w:rsidRPr="00645FF2">
        <w:t xml:space="preserve"> </w:t>
      </w:r>
      <w:r>
        <w:t>de forma eventual,</w:t>
      </w:r>
      <w:r w:rsidRPr="00645FF2">
        <w:t xml:space="preserve"> </w:t>
      </w:r>
      <w:r>
        <w:t>informes técnicos</w:t>
      </w:r>
      <w:r w:rsidRPr="00645FF2">
        <w:t xml:space="preserve"> destinados aos profissionais envolvidos com a saúde ocupacional e a prevenção de risco ambiental, a fim de orientar as ações preventivas e de controle das doenças no</w:t>
      </w:r>
      <w:r>
        <w:t>s</w:t>
      </w:r>
      <w:r w:rsidRPr="00645FF2">
        <w:t xml:space="preserve"> canteiro</w:t>
      </w:r>
      <w:r>
        <w:t>s</w:t>
      </w:r>
      <w:r w:rsidRPr="00645FF2">
        <w:t xml:space="preserve"> de obras;</w:t>
      </w:r>
    </w:p>
    <w:p w:rsidR="007E4C43" w:rsidRDefault="007E4C43" w:rsidP="00492964">
      <w:pPr>
        <w:pStyle w:val="Item-Bolinha"/>
      </w:pPr>
      <w:r>
        <w:t>Relatório anual - Deverá ser elaboradas após a realização de quatro campanhas de monitoramento, contendo metodologia de coleta, listas de espécies, análise dos dados apresentada em tabelas e gráficos, avaliação do período</w:t>
      </w:r>
      <w:r w:rsidRPr="00645FF2">
        <w:t xml:space="preserve"> </w:t>
      </w:r>
      <w:r>
        <w:t xml:space="preserve">com propostas para as próximas etapas do monitoramento e </w:t>
      </w:r>
      <w:r w:rsidRPr="00645FF2">
        <w:t>referências bibliográficas</w:t>
      </w:r>
      <w:r>
        <w:t>;</w:t>
      </w:r>
    </w:p>
    <w:p w:rsidR="007E4C43" w:rsidRPr="00C15F8A" w:rsidRDefault="007E4C43" w:rsidP="00492964">
      <w:pPr>
        <w:pStyle w:val="Item-Bolinha"/>
      </w:pPr>
      <w:r w:rsidRPr="00C15F8A">
        <w:t>Relatório final - Deverá ser elaborado no formato técnico-científico com apresentação, sumário, intro</w:t>
      </w:r>
      <w:r>
        <w:t>dução, metodologia, resultados,</w:t>
      </w:r>
      <w:r w:rsidRPr="00C15F8A">
        <w:t xml:space="preserve"> di</w:t>
      </w:r>
      <w:r>
        <w:t>scussão, conclusão</w:t>
      </w:r>
      <w:r w:rsidRPr="00C15F8A">
        <w:t>, bibliografia e recomendações. Nos anexos, deverá constar documentação comprobatória de execução das ações, depósito dos materiais biológicos testemunhos (em coleção de referência), artigos científicos, resumos apresentados em congressos e/ou comprovante de submissão de manuscrito para publicação.</w:t>
      </w:r>
    </w:p>
    <w:p w:rsidR="007E4C43" w:rsidRPr="008C32BC" w:rsidRDefault="008C32BC" w:rsidP="008C32BC">
      <w:pPr>
        <w:pStyle w:val="Ttulo3"/>
        <w:rPr>
          <w:rFonts w:ascii="Arial Negrito" w:hAnsi="Arial Negrito"/>
          <w:bCs/>
        </w:rPr>
      </w:pPr>
      <w:bookmarkStart w:id="1237" w:name="_Toc418758485"/>
      <w:bookmarkStart w:id="1238" w:name="_Toc418759087"/>
      <w:bookmarkStart w:id="1239" w:name="_Toc419813872"/>
      <w:r>
        <w:rPr>
          <w:rFonts w:ascii="Arial Negrito" w:hAnsi="Arial Negrito"/>
          <w:bCs/>
        </w:rPr>
        <w:t>3.4.</w:t>
      </w:r>
      <w:r w:rsidR="00875F02">
        <w:rPr>
          <w:rFonts w:ascii="Arial Negrito" w:hAnsi="Arial Negrito"/>
          <w:bCs/>
        </w:rPr>
        <w:t>5</w:t>
      </w:r>
      <w:r>
        <w:rPr>
          <w:rFonts w:ascii="Arial Negrito" w:hAnsi="Arial Negrito"/>
          <w:bCs/>
        </w:rPr>
        <w:t xml:space="preserve">.14. </w:t>
      </w:r>
      <w:r w:rsidR="007E4C43" w:rsidRPr="008C32BC">
        <w:rPr>
          <w:rFonts w:ascii="Arial Negrito" w:hAnsi="Arial Negrito"/>
          <w:bCs/>
        </w:rPr>
        <w:t xml:space="preserve">Referências </w:t>
      </w:r>
      <w:r w:rsidR="00EE59F2" w:rsidRPr="008C32BC">
        <w:rPr>
          <w:rFonts w:ascii="Arial Negrito" w:hAnsi="Arial Negrito"/>
          <w:bCs/>
        </w:rPr>
        <w:t>B</w:t>
      </w:r>
      <w:r w:rsidR="007E4C43" w:rsidRPr="008C32BC">
        <w:rPr>
          <w:rFonts w:ascii="Arial Negrito" w:hAnsi="Arial Negrito"/>
          <w:bCs/>
        </w:rPr>
        <w:t>ibliográficas</w:t>
      </w:r>
      <w:bookmarkEnd w:id="1237"/>
      <w:bookmarkEnd w:id="1238"/>
      <w:bookmarkEnd w:id="1239"/>
    </w:p>
    <w:p w:rsidR="007E4C43" w:rsidRPr="00904D2B" w:rsidRDefault="007E4C43" w:rsidP="00656EA3">
      <w:pPr>
        <w:pStyle w:val="Item-Trainho"/>
      </w:pPr>
      <w:r w:rsidRPr="00645FF2">
        <w:rPr>
          <w:snapToGrid w:val="0"/>
        </w:rPr>
        <w:t xml:space="preserve">BARBOSA, F.S. (Org.). </w:t>
      </w:r>
      <w:r w:rsidRPr="00645FF2">
        <w:rPr>
          <w:i/>
          <w:snapToGrid w:val="0"/>
        </w:rPr>
        <w:t xml:space="preserve">Tópicos em malacologia médica. </w:t>
      </w:r>
      <w:r w:rsidRPr="00645FF2">
        <w:rPr>
          <w:snapToGrid w:val="0"/>
        </w:rPr>
        <w:t>Rio de Janeiro: Ed. Fiocruz, 314 p., 1995.</w:t>
      </w:r>
    </w:p>
    <w:p w:rsidR="007E4C43" w:rsidRPr="00645FF2" w:rsidRDefault="007E4C43" w:rsidP="00656EA3">
      <w:pPr>
        <w:pStyle w:val="Item-Trainho"/>
      </w:pPr>
      <w:r w:rsidRPr="00645FF2">
        <w:t>FORATTINI, O.P. Entomologia Médica. São Paulo, Edusp, v. 3, 416p., 1965.</w:t>
      </w:r>
    </w:p>
    <w:p w:rsidR="007E4C43" w:rsidRPr="00645FF2" w:rsidRDefault="007E4C43" w:rsidP="00656EA3">
      <w:pPr>
        <w:pStyle w:val="Item-Trainho"/>
        <w:rPr>
          <w:lang w:val="en-US"/>
        </w:rPr>
      </w:pPr>
      <w:r w:rsidRPr="00645FF2">
        <w:t xml:space="preserve">GOMES, A.C.; RABELLO, E.X.; NATAL, D. Uma nova câmara coletora para armadilha CDC-miniatura. </w:t>
      </w:r>
      <w:r w:rsidRPr="00645FF2">
        <w:rPr>
          <w:lang w:val="en-US"/>
        </w:rPr>
        <w:t>Revista de Saúde Pública, 19:190-191, 1985.</w:t>
      </w:r>
    </w:p>
    <w:p w:rsidR="007E4C43" w:rsidRPr="00645FF2" w:rsidRDefault="007E4C43" w:rsidP="00656EA3">
      <w:pPr>
        <w:pStyle w:val="Item-Trainho"/>
      </w:pPr>
      <w:r w:rsidRPr="00645FF2">
        <w:rPr>
          <w:lang w:val="en-US"/>
        </w:rPr>
        <w:t xml:space="preserve">NASCI, R.S. A lightweight batterypowered aspirator for collecting resting mosquitoes in the field. </w:t>
      </w:r>
      <w:r w:rsidRPr="00645FF2">
        <w:t>Mosq News, 41: 808-811, 1981.</w:t>
      </w:r>
    </w:p>
    <w:p w:rsidR="007E4C43" w:rsidRPr="00645FF2" w:rsidRDefault="007E4C43" w:rsidP="00656EA3">
      <w:pPr>
        <w:pStyle w:val="Item-Trainho"/>
      </w:pPr>
      <w:r w:rsidRPr="00645FF2">
        <w:t xml:space="preserve">PARAENSE, W.L. Estado atual da sistemática dos planorbídeos brasileiros. </w:t>
      </w:r>
      <w:r w:rsidRPr="00645FF2">
        <w:rPr>
          <w:i/>
        </w:rPr>
        <w:t>Arq Museu Nac</w:t>
      </w:r>
      <w:r w:rsidRPr="00645FF2">
        <w:t>. 55:105-28, 1975.</w:t>
      </w:r>
    </w:p>
    <w:p w:rsidR="007E4C43" w:rsidRDefault="007E4C43" w:rsidP="00656EA3">
      <w:pPr>
        <w:pStyle w:val="Item-Trainho"/>
      </w:pPr>
      <w:r w:rsidRPr="00645FF2">
        <w:t xml:space="preserve">PARAENSE, W.L. Fauna planorbídica do Brasil. In: Lacaz CS, Baruzzi RG, Siqueira Jr W. </w:t>
      </w:r>
      <w:r w:rsidRPr="00645FF2">
        <w:rPr>
          <w:i/>
        </w:rPr>
        <w:t>Introdução à geografia médica do Brasil</w:t>
      </w:r>
      <w:r w:rsidRPr="00645FF2">
        <w:t>. São Paulo: Editora da Universidade de São Paulo, p. 213-39, 1972.</w:t>
      </w:r>
    </w:p>
    <w:p w:rsidR="007E4C43" w:rsidRPr="00645FF2" w:rsidRDefault="007E4C43" w:rsidP="00656EA3">
      <w:pPr>
        <w:pStyle w:val="Item-Trainho"/>
        <w:rPr>
          <w:snapToGrid w:val="0"/>
        </w:rPr>
      </w:pPr>
      <w:r w:rsidRPr="00645FF2">
        <w:rPr>
          <w:snapToGrid w:val="0"/>
        </w:rPr>
        <w:t>SE</w:t>
      </w:r>
      <w:r>
        <w:rPr>
          <w:snapToGrid w:val="0"/>
        </w:rPr>
        <w:t>CRETARIA DE VIGILÂNCIA EM SAÚDE DO</w:t>
      </w:r>
      <w:r w:rsidRPr="00645FF2">
        <w:rPr>
          <w:snapToGrid w:val="0"/>
        </w:rPr>
        <w:t xml:space="preserve"> MINISTÉRIO DA SAÚDE</w:t>
      </w:r>
      <w:r>
        <w:rPr>
          <w:snapToGrid w:val="0"/>
        </w:rPr>
        <w:t xml:space="preserve"> - SVS-MS</w:t>
      </w:r>
      <w:r w:rsidRPr="00645FF2">
        <w:rPr>
          <w:snapToGrid w:val="0"/>
        </w:rPr>
        <w:t>. Departamento de Vigilância Epidemiológica. Vigilância e controle de moluscos de importância epidemiológica: diretrizes técnicas: Programa de Vigilância e Controle da Esquistossomose (PCE) / Ministério da Saúde, Secretaria de Vigilância em Saúde, Departamento de Vigilância Epidemiológica.– 2. ed. – Brasília : Editora do Ministério da Saúde, 178 p.: il. – (Série A. Normas e Manuais Técnicos), 2008.</w:t>
      </w:r>
    </w:p>
    <w:p w:rsidR="007C22CC" w:rsidRPr="008C32BC" w:rsidRDefault="007C22CC" w:rsidP="00431A97">
      <w:pPr>
        <w:pStyle w:val="Ttulo3"/>
        <w:numPr>
          <w:ilvl w:val="2"/>
          <w:numId w:val="84"/>
        </w:numPr>
        <w:rPr>
          <w:rFonts w:ascii="Arial Negrito" w:hAnsi="Arial Negrito"/>
          <w:bCs/>
        </w:rPr>
      </w:pPr>
      <w:bookmarkStart w:id="1240" w:name="_Toc418758486"/>
      <w:bookmarkStart w:id="1241" w:name="_Toc418759088"/>
      <w:bookmarkStart w:id="1242" w:name="_Toc419813873"/>
      <w:r w:rsidRPr="008C32BC">
        <w:rPr>
          <w:rFonts w:ascii="Arial Negrito" w:hAnsi="Arial Negrito"/>
          <w:bCs/>
        </w:rPr>
        <w:t>Programa de C</w:t>
      </w:r>
      <w:r w:rsidR="00946FA3" w:rsidRPr="008C32BC">
        <w:rPr>
          <w:rFonts w:ascii="Arial Negrito" w:hAnsi="Arial Negrito"/>
          <w:bCs/>
        </w:rPr>
        <w:t>onservação da Ictiofauna</w:t>
      </w:r>
      <w:bookmarkEnd w:id="1240"/>
      <w:bookmarkEnd w:id="1241"/>
      <w:bookmarkEnd w:id="1242"/>
    </w:p>
    <w:p w:rsidR="00BC6507" w:rsidRPr="008C32BC" w:rsidRDefault="00BC6507" w:rsidP="00431A97">
      <w:pPr>
        <w:pStyle w:val="Ttulo3"/>
        <w:numPr>
          <w:ilvl w:val="3"/>
          <w:numId w:val="84"/>
        </w:numPr>
        <w:rPr>
          <w:rFonts w:ascii="Arial Negrito" w:hAnsi="Arial Negrito"/>
          <w:bCs/>
          <w:noProof/>
        </w:rPr>
      </w:pPr>
      <w:bookmarkStart w:id="1243" w:name="_Toc418758487"/>
      <w:bookmarkStart w:id="1244" w:name="_Toc418759089"/>
      <w:bookmarkStart w:id="1245" w:name="_Toc419813874"/>
      <w:r w:rsidRPr="008C32BC">
        <w:rPr>
          <w:rFonts w:ascii="Arial Negrito" w:hAnsi="Arial Negrito"/>
          <w:bCs/>
          <w:noProof/>
        </w:rPr>
        <w:t xml:space="preserve">Apresentação e </w:t>
      </w:r>
      <w:r w:rsidR="008C32BC">
        <w:rPr>
          <w:rFonts w:ascii="Arial Negrito" w:hAnsi="Arial Negrito"/>
          <w:bCs/>
          <w:noProof/>
        </w:rPr>
        <w:t>J</w:t>
      </w:r>
      <w:r w:rsidRPr="008C32BC">
        <w:rPr>
          <w:rFonts w:ascii="Arial Negrito" w:hAnsi="Arial Negrito"/>
          <w:bCs/>
          <w:noProof/>
        </w:rPr>
        <w:t>ustificativa</w:t>
      </w:r>
      <w:bookmarkEnd w:id="1243"/>
      <w:bookmarkEnd w:id="1244"/>
      <w:bookmarkEnd w:id="1245"/>
    </w:p>
    <w:p w:rsidR="00BC6507" w:rsidRPr="00BC6507" w:rsidRDefault="00BC6507" w:rsidP="00BC6507">
      <w:pPr>
        <w:pStyle w:val="JHSF-Texto"/>
        <w:spacing w:before="120" w:after="120"/>
        <w:rPr>
          <w:rFonts w:ascii="Arial" w:hAnsi="Arial" w:cs="Arial"/>
        </w:rPr>
      </w:pPr>
      <w:r w:rsidRPr="00BC6507">
        <w:rPr>
          <w:rFonts w:ascii="Arial" w:hAnsi="Arial" w:cs="Arial"/>
        </w:rPr>
        <w:t xml:space="preserve">O Programa de Monitoramento da Ictiofauna compreende o acompanhamento da fauna ictíica presente nos corpos d’água na AID/ADA dos empreendimentos que deverão ser constituídos pelos reservatórios de </w:t>
      </w:r>
      <w:r w:rsidR="001F7FF7" w:rsidRPr="00BC6507">
        <w:rPr>
          <w:rFonts w:ascii="Arial" w:hAnsi="Arial" w:cs="Arial"/>
        </w:rPr>
        <w:t xml:space="preserve">Pedreira </w:t>
      </w:r>
      <w:r w:rsidR="001F7FF7">
        <w:rPr>
          <w:rFonts w:ascii="Arial" w:hAnsi="Arial" w:cs="Arial"/>
        </w:rPr>
        <w:t xml:space="preserve">e </w:t>
      </w:r>
      <w:r w:rsidRPr="00BC6507">
        <w:rPr>
          <w:rFonts w:ascii="Arial" w:hAnsi="Arial" w:cs="Arial"/>
        </w:rPr>
        <w:t xml:space="preserve">Duas Pontes, verificando sua riqueza, composição, estrutura e dinâmica ao longo das fases de implantação e operação destes barramentos. </w:t>
      </w:r>
    </w:p>
    <w:p w:rsidR="00BC6507" w:rsidRPr="00BC6507" w:rsidRDefault="00BC6507" w:rsidP="00BC6507">
      <w:pPr>
        <w:spacing w:before="120" w:after="120" w:line="240" w:lineRule="auto"/>
        <w:rPr>
          <w:rFonts w:cs="Arial"/>
        </w:rPr>
      </w:pPr>
      <w:r w:rsidRPr="00BC6507">
        <w:rPr>
          <w:rFonts w:cs="Arial"/>
        </w:rPr>
        <w:t xml:space="preserve">Algumas atividades associadas à instalação dos empreendimentos promoverão interferências diretas nos rios, que se constituem em modificações de habitats da ictiofauna, e interferências indiretas, como alterações na qualidade da água dos ecossistemas aquáticos presentes, sobretudo na AID/ADA, que acarretarão perdas de habitats e alterações na composição e estrutura da ictiofauna. </w:t>
      </w:r>
    </w:p>
    <w:p w:rsidR="00BC6507" w:rsidRPr="00BC6507" w:rsidRDefault="00BC6507" w:rsidP="00BC6507">
      <w:pPr>
        <w:spacing w:before="120" w:after="120" w:line="240" w:lineRule="auto"/>
        <w:rPr>
          <w:rFonts w:cs="Arial"/>
        </w:rPr>
      </w:pPr>
      <w:r w:rsidRPr="00BC6507">
        <w:rPr>
          <w:rFonts w:cs="Arial"/>
        </w:rPr>
        <w:t>Essa dinâmica implicará na perda, alteração e transformação de habitats aquáticos que acarretarão mudanças nas comunidades aquáticas, em especial do componente constituído pela ictiofauna. Como decorrência dessas alterações espera-se, consequentemente, a proliferação de algumas espécies e redução de outras mais sensíveis às alterações inerentes à implantação dos reservatórios e, eventualmente, a erradicação de outras, sobretudo nas ADAs.</w:t>
      </w:r>
    </w:p>
    <w:p w:rsidR="00BC6507" w:rsidRPr="00BC6507" w:rsidRDefault="00BC6507" w:rsidP="00BC6507">
      <w:pPr>
        <w:spacing w:before="120" w:after="120" w:line="240" w:lineRule="auto"/>
        <w:rPr>
          <w:rFonts w:cs="Arial"/>
        </w:rPr>
      </w:pPr>
      <w:r w:rsidRPr="00BC6507">
        <w:rPr>
          <w:rFonts w:cs="Arial"/>
        </w:rPr>
        <w:t>A estrutura de uma assembleia de peixes é um dos atributos mais sensíveis às modificações impostas pelo homem aos seus hábitats, sendo que vários aspectos da estratégia de vida das espécies na alocação de energia (crescimento, reprodução ou manutenção) podem ser interpretados pela análise da estrutura populacional (AGOSTINHO et al., 1997). Assim, a síntese das respostas dada pela ictiofauna frente às perturbações ambientais, pode ser obtida pela análise das alterações na riqueza (diversidade alfa e beta), composição e estrutura das populações que compõem a assembleia de peixes.</w:t>
      </w:r>
    </w:p>
    <w:p w:rsidR="00BC6507" w:rsidRPr="008C32BC" w:rsidRDefault="00BC6507" w:rsidP="00431A97">
      <w:pPr>
        <w:pStyle w:val="Ttulo3"/>
        <w:numPr>
          <w:ilvl w:val="3"/>
          <w:numId w:val="84"/>
        </w:numPr>
        <w:rPr>
          <w:rFonts w:ascii="Arial Negrito" w:hAnsi="Arial Negrito"/>
          <w:bCs/>
          <w:noProof/>
        </w:rPr>
      </w:pPr>
      <w:bookmarkStart w:id="1246" w:name="_Toc418758488"/>
      <w:bookmarkStart w:id="1247" w:name="_Toc418759090"/>
      <w:bookmarkStart w:id="1248" w:name="_Toc419813875"/>
      <w:r w:rsidRPr="008C32BC">
        <w:rPr>
          <w:rFonts w:ascii="Arial Negrito" w:hAnsi="Arial Negrito"/>
          <w:bCs/>
          <w:noProof/>
        </w:rPr>
        <w:t>Objetivos</w:t>
      </w:r>
      <w:bookmarkEnd w:id="1246"/>
      <w:bookmarkEnd w:id="1247"/>
      <w:bookmarkEnd w:id="1248"/>
    </w:p>
    <w:p w:rsidR="00BC6507" w:rsidRPr="009A4D91" w:rsidRDefault="00BC6507" w:rsidP="00BC6507">
      <w:pPr>
        <w:spacing w:before="120" w:after="120" w:line="240" w:lineRule="auto"/>
        <w:rPr>
          <w:rFonts w:cs="Arial"/>
        </w:rPr>
      </w:pPr>
      <w:r w:rsidRPr="00FF64D3">
        <w:rPr>
          <w:rFonts w:cs="Arial"/>
        </w:rPr>
        <w:t>Esse programa tem como objetivos avaliar os padrões de variação na atual assembleia de peixes na AID e ADA dos empreendimentos, identificar alterações impostas pela implantação dos reservatórios, assim como nas perdas e modificações de habitats, verificando se os programas ambientais previstos estão mitigando, controlando e minimizando os impactos ambientais inerentes à implantação e operação dos empreendimentos sobre a ictiofauna nativa e, eventualmente, subsidiar outras ações de compensação e/ou mitigação dos impactos negativos.</w:t>
      </w:r>
    </w:p>
    <w:p w:rsidR="00BC6507" w:rsidRDefault="00BC6507" w:rsidP="00BC6507">
      <w:pPr>
        <w:spacing w:before="120" w:after="120" w:line="240" w:lineRule="auto"/>
        <w:rPr>
          <w:rFonts w:cs="Arial"/>
        </w:rPr>
      </w:pPr>
      <w:r w:rsidRPr="009A4D91">
        <w:rPr>
          <w:rFonts w:cs="Arial"/>
        </w:rPr>
        <w:t>Entre os objetivos específicos do programa destacam-se:</w:t>
      </w:r>
    </w:p>
    <w:p w:rsidR="00BC6507" w:rsidRDefault="00BC6507" w:rsidP="00656EA3">
      <w:pPr>
        <w:pStyle w:val="Item-Trainho"/>
      </w:pPr>
      <w:r>
        <w:t>Desenvolvimento do Subprograma de Monitoramento dos Mecanismos de Transposição de Peixes (MTPs) que deverão ser construídos em ambos os empreendimentos, a fim de avaliar sua eficácia na transposição das espécies reófilas, com ênfase para o deslocamento reprodutivo das espécies migradoras de longas distâncias presentes nos trechos que deverão ser afetados pela implantação dos reservatórios de Pedreira e Duas Pontes, respectivamente nas bacias dos rios Jaguari e</w:t>
      </w:r>
      <w:r w:rsidRPr="00365010">
        <w:t xml:space="preserve"> </w:t>
      </w:r>
      <w:r>
        <w:t>Camanducaia;</w:t>
      </w:r>
    </w:p>
    <w:p w:rsidR="00BC6507" w:rsidRDefault="00BC6507" w:rsidP="00656EA3">
      <w:pPr>
        <w:pStyle w:val="Item-Trainho"/>
        <w:rPr>
          <w:rFonts w:eastAsia="Calibri"/>
          <w:szCs w:val="22"/>
          <w:lang w:eastAsia="en-US"/>
        </w:rPr>
      </w:pPr>
      <w:r>
        <w:rPr>
          <w:rFonts w:eastAsia="Calibri"/>
          <w:szCs w:val="22"/>
          <w:lang w:eastAsia="en-US"/>
        </w:rPr>
        <w:t>Realizar o</w:t>
      </w:r>
      <w:r w:rsidR="006F5411">
        <w:rPr>
          <w:rFonts w:eastAsia="Calibri"/>
          <w:szCs w:val="22"/>
          <w:lang w:eastAsia="en-US"/>
        </w:rPr>
        <w:t xml:space="preserve"> Subprograma para o</w:t>
      </w:r>
      <w:r>
        <w:rPr>
          <w:rFonts w:eastAsia="Calibri"/>
          <w:szCs w:val="22"/>
          <w:lang w:eastAsia="en-US"/>
        </w:rPr>
        <w:t xml:space="preserve"> Resgate da Ictiofauna, voltado para o resgate de espécimes de peixes que eventualmente ficarão aprisionados nas áreas das ensecadeiras durante a fase de implantação dos empreendimentos, a fim de minimizar mortalidades maciças que geralmente estão associadas à construção e operacionalização transitória destas estruturas, sobretudo das espécies de peixes reófilas;</w:t>
      </w:r>
    </w:p>
    <w:p w:rsidR="00BC6507" w:rsidRPr="00BC6507" w:rsidRDefault="00BC6507" w:rsidP="00656EA3">
      <w:pPr>
        <w:pStyle w:val="Item-Trainho"/>
        <w:rPr>
          <w:rFonts w:eastAsia="Calibri"/>
          <w:szCs w:val="22"/>
          <w:lang w:eastAsia="en-US"/>
        </w:rPr>
      </w:pPr>
      <w:r w:rsidRPr="00BC6507">
        <w:rPr>
          <w:rFonts w:eastAsia="Calibri"/>
          <w:szCs w:val="22"/>
          <w:lang w:eastAsia="en-US"/>
        </w:rPr>
        <w:t>Realizar o inventário da ictiofauna (incluindo ovos, larvas e formas jovens de peixes), nas áreas de influência direta e indireta dos empreendimentos;</w:t>
      </w:r>
    </w:p>
    <w:p w:rsidR="00BC6507" w:rsidRPr="00BC6507" w:rsidRDefault="00BC6507" w:rsidP="00656EA3">
      <w:pPr>
        <w:pStyle w:val="Item-Trainho"/>
        <w:rPr>
          <w:rFonts w:eastAsia="Calibri"/>
          <w:szCs w:val="22"/>
          <w:lang w:eastAsia="en-US"/>
        </w:rPr>
      </w:pPr>
      <w:r w:rsidRPr="00BC6507">
        <w:rPr>
          <w:rFonts w:eastAsia="Calibri"/>
          <w:szCs w:val="22"/>
          <w:lang w:eastAsia="en-US"/>
        </w:rPr>
        <w:t>Verificar a presença das diferentes espécies de peixes nos ambientes aquáticos da AID/ADA (incluindo ovos, larvas e formas jovens de peixes) durante a fase de implantação e operação dos empreendimentos, com ênfase às espécies nativas, reófilas e/ou ameaçadas de extinção;</w:t>
      </w:r>
    </w:p>
    <w:p w:rsidR="00BC6507" w:rsidRPr="00BC6507" w:rsidRDefault="00BC6507" w:rsidP="00656EA3">
      <w:pPr>
        <w:pStyle w:val="Item-Trainho"/>
        <w:rPr>
          <w:rFonts w:eastAsia="Calibri"/>
          <w:szCs w:val="22"/>
          <w:lang w:eastAsia="en-US"/>
        </w:rPr>
      </w:pPr>
      <w:r w:rsidRPr="00BC6507">
        <w:rPr>
          <w:rFonts w:eastAsia="Calibri"/>
          <w:szCs w:val="22"/>
          <w:lang w:eastAsia="en-US"/>
        </w:rPr>
        <w:t>Verificar as variações espaço-temporais da ictiofauna (composição e abundância relativa, incluindo ovos, larvas e formas jovens de peixes), ao longo do tempo desde a fase de implantação até o início da fase de operação dos reservatórios pelo período estimado de 5 anos;</w:t>
      </w:r>
    </w:p>
    <w:p w:rsidR="00BC6507" w:rsidRPr="00BC6507" w:rsidRDefault="00BC6507" w:rsidP="00656EA3">
      <w:pPr>
        <w:pStyle w:val="Item-Trainho"/>
        <w:rPr>
          <w:rFonts w:eastAsia="Calibri"/>
          <w:szCs w:val="22"/>
          <w:lang w:eastAsia="en-US"/>
        </w:rPr>
      </w:pPr>
      <w:r w:rsidRPr="00BC6507">
        <w:rPr>
          <w:rFonts w:eastAsia="Calibri"/>
          <w:szCs w:val="22"/>
          <w:lang w:eastAsia="en-US"/>
        </w:rPr>
        <w:t>Acompanhar possíveis alterações na abundância e biomassa das espécies de peixes (incluindo ovos, larvas e formas jovens de peixes) presentes nas AIDs/ADAs dos empreendimentos;</w:t>
      </w:r>
    </w:p>
    <w:p w:rsidR="00BC6507" w:rsidRPr="009A4D91" w:rsidRDefault="00BC6507" w:rsidP="00656EA3">
      <w:pPr>
        <w:pStyle w:val="Item-Trainho"/>
        <w:rPr>
          <w:noProof/>
          <w:szCs w:val="22"/>
        </w:rPr>
      </w:pPr>
      <w:r w:rsidRPr="00BC6507">
        <w:rPr>
          <w:rFonts w:eastAsia="Calibri"/>
          <w:szCs w:val="22"/>
          <w:lang w:eastAsia="en-US"/>
        </w:rPr>
        <w:t>Analisar os mecanismos de controle ambientais adotados pelos empreendimentos e a implementação dos programas ambientais previstos (apenas daqueles com influência sobre os ecossistemas aquáticos), visando obter uma avaliação integrada entre estas ações e o Programa de Monitoramento da I</w:t>
      </w:r>
      <w:r>
        <w:rPr>
          <w:rFonts w:eastAsia="Calibri"/>
          <w:szCs w:val="22"/>
          <w:lang w:eastAsia="en-US"/>
        </w:rPr>
        <w:t>ctiofauna.</w:t>
      </w:r>
    </w:p>
    <w:p w:rsidR="00BC6507" w:rsidRPr="008C32BC" w:rsidRDefault="00BC6507" w:rsidP="00431A97">
      <w:pPr>
        <w:pStyle w:val="Ttulo3"/>
        <w:numPr>
          <w:ilvl w:val="3"/>
          <w:numId w:val="84"/>
        </w:numPr>
        <w:rPr>
          <w:rFonts w:ascii="Arial Negrito" w:hAnsi="Arial Negrito"/>
          <w:bCs/>
          <w:noProof/>
        </w:rPr>
      </w:pPr>
      <w:bookmarkStart w:id="1249" w:name="_Toc418758489"/>
      <w:bookmarkStart w:id="1250" w:name="_Toc418759091"/>
      <w:bookmarkStart w:id="1251" w:name="_Toc419813876"/>
      <w:r w:rsidRPr="008C32BC">
        <w:rPr>
          <w:rFonts w:ascii="Arial Negrito" w:hAnsi="Arial Negrito"/>
          <w:bCs/>
          <w:noProof/>
        </w:rPr>
        <w:t>Metas</w:t>
      </w:r>
      <w:bookmarkEnd w:id="1249"/>
      <w:bookmarkEnd w:id="1250"/>
      <w:bookmarkEnd w:id="1251"/>
    </w:p>
    <w:p w:rsidR="00BC6507" w:rsidRPr="00F33469" w:rsidRDefault="00BC6507" w:rsidP="00BC6507">
      <w:pPr>
        <w:spacing w:before="120" w:after="120" w:line="240" w:lineRule="auto"/>
        <w:rPr>
          <w:rFonts w:cs="Arial"/>
        </w:rPr>
      </w:pPr>
      <w:r>
        <w:rPr>
          <w:rFonts w:cs="Arial"/>
        </w:rPr>
        <w:t>D</w:t>
      </w:r>
      <w:r w:rsidRPr="00F33469">
        <w:rPr>
          <w:rFonts w:cs="Arial"/>
        </w:rPr>
        <w:t>urante a construção da</w:t>
      </w:r>
      <w:r>
        <w:rPr>
          <w:rFonts w:cs="Arial"/>
        </w:rPr>
        <w:t>s barragens</w:t>
      </w:r>
      <w:r w:rsidRPr="00F33469">
        <w:rPr>
          <w:rFonts w:cs="Arial"/>
        </w:rPr>
        <w:t xml:space="preserve"> está prevista a obtenção de dados e informações sobre o padrão de variação espaço-temporal na estrutura das populações dos peixes e na composição das assembleias, além de dados das principais espécies de interesse (reófilas; migradoras de longa distância e de maior interesse para a pesca </w:t>
      </w:r>
      <w:r>
        <w:rPr>
          <w:rFonts w:cs="Arial"/>
        </w:rPr>
        <w:t>amadora/recreativa e eventualmente as ameaçadas ou quase ameaçadas de extinção</w:t>
      </w:r>
      <w:r w:rsidRPr="00F33469">
        <w:rPr>
          <w:rFonts w:cs="Arial"/>
        </w:rPr>
        <w:t xml:space="preserve">). </w:t>
      </w:r>
    </w:p>
    <w:p w:rsidR="00BC6507" w:rsidRDefault="00BC6507" w:rsidP="00BC6507">
      <w:pPr>
        <w:spacing w:before="120" w:after="120" w:line="240" w:lineRule="auto"/>
        <w:rPr>
          <w:rFonts w:cs="Arial"/>
        </w:rPr>
      </w:pPr>
      <w:r w:rsidRPr="00F33469">
        <w:rPr>
          <w:rFonts w:cs="Arial"/>
        </w:rPr>
        <w:t>Esses dados e informações deverão compor o referencial para comparações</w:t>
      </w:r>
      <w:r>
        <w:rPr>
          <w:rFonts w:cs="Arial"/>
        </w:rPr>
        <w:t xml:space="preserve"> nos estudos posteriores. Durante </w:t>
      </w:r>
      <w:r w:rsidRPr="00F33469">
        <w:rPr>
          <w:rFonts w:cs="Arial"/>
        </w:rPr>
        <w:t>as fases de enchimento e operação</w:t>
      </w:r>
      <w:r>
        <w:rPr>
          <w:rFonts w:cs="Arial"/>
        </w:rPr>
        <w:t xml:space="preserve"> dos reservatórios</w:t>
      </w:r>
      <w:r w:rsidRPr="00F33469">
        <w:rPr>
          <w:rFonts w:cs="Arial"/>
        </w:rPr>
        <w:t xml:space="preserve"> o mesmo tipo de dados e informações deverá ser obtido para fins de comparação e para efeito de dimensionamento das alterações e proposição de estratégias</w:t>
      </w:r>
      <w:r>
        <w:rPr>
          <w:rFonts w:cs="Arial"/>
        </w:rPr>
        <w:t xml:space="preserve"> e medidas</w:t>
      </w:r>
      <w:r w:rsidRPr="00F33469">
        <w:rPr>
          <w:rFonts w:cs="Arial"/>
        </w:rPr>
        <w:t xml:space="preserve"> de mitiga</w:t>
      </w:r>
      <w:r>
        <w:rPr>
          <w:rFonts w:cs="Arial"/>
        </w:rPr>
        <w:t>ção dos impactos detectados.</w:t>
      </w:r>
    </w:p>
    <w:p w:rsidR="00BC6507" w:rsidRDefault="00BC6507" w:rsidP="00BC6507">
      <w:pPr>
        <w:spacing w:before="120" w:after="120" w:line="240" w:lineRule="auto"/>
        <w:rPr>
          <w:rFonts w:cs="Arial"/>
        </w:rPr>
      </w:pPr>
      <w:r>
        <w:rPr>
          <w:rFonts w:cs="Arial"/>
        </w:rPr>
        <w:t>Pode-se citar como principais metas do Programa de Monitoramento da ictiofauna:</w:t>
      </w:r>
    </w:p>
    <w:p w:rsidR="00BC6507" w:rsidRPr="00BC6507" w:rsidRDefault="00BC6507" w:rsidP="00656EA3">
      <w:pPr>
        <w:pStyle w:val="Item-Trainho"/>
        <w:rPr>
          <w:rFonts w:eastAsia="Calibri"/>
          <w:lang w:eastAsia="en-US"/>
        </w:rPr>
      </w:pPr>
      <w:r w:rsidRPr="00BC6507">
        <w:rPr>
          <w:rFonts w:eastAsia="Calibri"/>
          <w:lang w:eastAsia="en-US"/>
        </w:rPr>
        <w:t>A implantação de um Subprograma para Monitoramento dos MTPs que serão construídos nos reservatórios de Duas Pontes e Pedreira;</w:t>
      </w:r>
    </w:p>
    <w:p w:rsidR="00BC6507" w:rsidRPr="00BC6507" w:rsidRDefault="00BC6507" w:rsidP="00656EA3">
      <w:pPr>
        <w:pStyle w:val="Item-Trainho"/>
        <w:rPr>
          <w:rFonts w:eastAsia="Calibri"/>
          <w:lang w:eastAsia="en-US"/>
        </w:rPr>
      </w:pPr>
      <w:r w:rsidRPr="00BC6507">
        <w:rPr>
          <w:rFonts w:eastAsia="Calibri"/>
          <w:lang w:eastAsia="en-US"/>
        </w:rPr>
        <w:t>A realizaçã</w:t>
      </w:r>
      <w:r w:rsidR="006F5411">
        <w:rPr>
          <w:rFonts w:eastAsia="Calibri"/>
          <w:lang w:eastAsia="en-US"/>
        </w:rPr>
        <w:t>o do Subprograma de</w:t>
      </w:r>
      <w:r w:rsidRPr="00BC6507">
        <w:rPr>
          <w:rFonts w:eastAsia="Calibri"/>
          <w:lang w:eastAsia="en-US"/>
        </w:rPr>
        <w:t xml:space="preserve"> Resgate da Ictiofauna presa nas áreas das ensecadeiras durante as fases de implantação dos empreendimentos;</w:t>
      </w:r>
    </w:p>
    <w:p w:rsidR="00BC6507" w:rsidRPr="00BC6507" w:rsidRDefault="00BC6507" w:rsidP="00656EA3">
      <w:pPr>
        <w:pStyle w:val="Item-Trainho"/>
        <w:rPr>
          <w:rFonts w:eastAsia="Calibri"/>
          <w:lang w:eastAsia="en-US"/>
        </w:rPr>
      </w:pPr>
      <w:r w:rsidRPr="00BC6507">
        <w:rPr>
          <w:rFonts w:eastAsia="Calibri"/>
          <w:lang w:eastAsia="en-US"/>
        </w:rPr>
        <w:t>A implantação de estações de coleta nas mesmas áreas definidas para os estudos diagnósticos da ictiofauna (incluindo ovos, larvas e formas jovens de peixes), para elaboração do EIA/Rima dos reservatórios de Duas Pontes e Pedreira;</w:t>
      </w:r>
    </w:p>
    <w:p w:rsidR="00BC6507" w:rsidRDefault="00BC6507" w:rsidP="00656EA3">
      <w:pPr>
        <w:pStyle w:val="Item-Trainho"/>
        <w:rPr>
          <w:rFonts w:eastAsia="Calibri"/>
          <w:lang w:eastAsia="en-US"/>
        </w:rPr>
      </w:pPr>
      <w:r w:rsidRPr="007D3A3A">
        <w:rPr>
          <w:rFonts w:eastAsia="Calibri"/>
          <w:lang w:eastAsia="en-US"/>
        </w:rPr>
        <w:t xml:space="preserve">A realização de </w:t>
      </w:r>
      <w:r w:rsidR="007D3A3A" w:rsidRPr="007D3A3A">
        <w:rPr>
          <w:rFonts w:eastAsia="Calibri"/>
          <w:lang w:eastAsia="en-US"/>
        </w:rPr>
        <w:t>2</w:t>
      </w:r>
      <w:r w:rsidRPr="007D3A3A">
        <w:rPr>
          <w:rFonts w:eastAsia="Calibri"/>
          <w:lang w:eastAsia="en-US"/>
        </w:rPr>
        <w:t xml:space="preserve"> campanhas de monitoramento da ictiofauna (incluindo ovos, larvas e formas</w:t>
      </w:r>
      <w:r w:rsidRPr="00BC6507">
        <w:rPr>
          <w:rFonts w:eastAsia="Calibri"/>
          <w:lang w:eastAsia="en-US"/>
        </w:rPr>
        <w:t xml:space="preserve"> jovens de peixes) ao longo de cada ano, compreendendo amostragens nas estações seca e chuvosa, em todas as estações de coleta.</w:t>
      </w:r>
    </w:p>
    <w:p w:rsidR="00BC6507" w:rsidRPr="008C32BC" w:rsidRDefault="00BC6507" w:rsidP="00431A97">
      <w:pPr>
        <w:pStyle w:val="Ttulo3"/>
        <w:numPr>
          <w:ilvl w:val="3"/>
          <w:numId w:val="84"/>
        </w:numPr>
        <w:rPr>
          <w:noProof/>
        </w:rPr>
      </w:pPr>
      <w:bookmarkStart w:id="1252" w:name="_Toc418758490"/>
      <w:bookmarkStart w:id="1253" w:name="_Toc418759092"/>
      <w:bookmarkStart w:id="1254" w:name="_Toc419813877"/>
      <w:r w:rsidRPr="008C32BC">
        <w:rPr>
          <w:noProof/>
        </w:rPr>
        <w:t>Público-alvo</w:t>
      </w:r>
      <w:bookmarkEnd w:id="1252"/>
      <w:bookmarkEnd w:id="1253"/>
      <w:bookmarkEnd w:id="1254"/>
    </w:p>
    <w:p w:rsidR="00BC6507" w:rsidRPr="00BC6507" w:rsidRDefault="00BC6507" w:rsidP="00BC6507">
      <w:pPr>
        <w:pStyle w:val="PargrafodaLista"/>
        <w:spacing w:line="240" w:lineRule="auto"/>
        <w:ind w:left="0"/>
        <w:rPr>
          <w:rFonts w:ascii="Arial" w:hAnsi="Arial" w:cs="Arial"/>
        </w:rPr>
      </w:pPr>
      <w:r w:rsidRPr="00BC6507">
        <w:rPr>
          <w:rFonts w:ascii="Arial" w:hAnsi="Arial" w:cs="Arial"/>
        </w:rPr>
        <w:t xml:space="preserve">Este programa tem como principal público alvo os usuários dos recursos hídricos da bacia dos rios Jaguari e Camanducaia, bem como o empreendedor responsável pela contratação de empresas que executarão o presente programa. Considera-se também como público alvo: </w:t>
      </w:r>
    </w:p>
    <w:p w:rsidR="00BC6507" w:rsidRPr="00BC6507" w:rsidRDefault="00BC6507" w:rsidP="00656EA3">
      <w:pPr>
        <w:pStyle w:val="Item-Trainho"/>
        <w:rPr>
          <w:rFonts w:eastAsia="Calibri"/>
          <w:lang w:eastAsia="en-US"/>
        </w:rPr>
      </w:pPr>
      <w:r w:rsidRPr="00BC6507">
        <w:rPr>
          <w:rFonts w:eastAsia="Calibri"/>
          <w:lang w:eastAsia="en-US"/>
        </w:rPr>
        <w:t>Comitê das Bacias Hidrográficas dos Rios Piracicaba, Capivari e Jundiaí – PCJ.</w:t>
      </w:r>
    </w:p>
    <w:p w:rsidR="00BC6507" w:rsidRPr="00BC6507" w:rsidRDefault="00BC6507" w:rsidP="00656EA3">
      <w:pPr>
        <w:pStyle w:val="Item-Trainho"/>
        <w:rPr>
          <w:rFonts w:eastAsia="Calibri"/>
          <w:lang w:eastAsia="en-US"/>
        </w:rPr>
      </w:pPr>
      <w:r w:rsidRPr="00BC6507">
        <w:rPr>
          <w:rFonts w:eastAsia="Calibri"/>
          <w:lang w:eastAsia="en-US"/>
        </w:rPr>
        <w:t>Órgãos governamentais, como a Companhia Ambiental do Estado de São Paulo (CETESB) e a Secretaria Estadual do Meio Ambiente (SMA), além de instituições de pesquisa.</w:t>
      </w:r>
    </w:p>
    <w:p w:rsidR="00BC6507" w:rsidRDefault="00BC6507" w:rsidP="00656EA3">
      <w:pPr>
        <w:pStyle w:val="Item-Trainho"/>
        <w:rPr>
          <w:rFonts w:eastAsia="Calibri"/>
          <w:lang w:eastAsia="en-US"/>
        </w:rPr>
      </w:pPr>
      <w:r w:rsidRPr="00BC6507">
        <w:rPr>
          <w:rFonts w:eastAsia="Calibri"/>
          <w:lang w:eastAsia="en-US"/>
        </w:rPr>
        <w:t>Sociedade Civil, incluindo os usuários dos recursos hídricos da bacia do rio Jaguari, e seu afluente rio Camanducaia, em especial os habitantes dos municípios de Amparo, Campinas e Pedreira.</w:t>
      </w:r>
    </w:p>
    <w:p w:rsidR="00BC6507" w:rsidRPr="008C32BC" w:rsidRDefault="00BC6507" w:rsidP="00431A97">
      <w:pPr>
        <w:pStyle w:val="Ttulo3"/>
        <w:numPr>
          <w:ilvl w:val="3"/>
          <w:numId w:val="84"/>
        </w:numPr>
        <w:rPr>
          <w:rFonts w:ascii="Arial Negrito" w:hAnsi="Arial Negrito"/>
          <w:bCs/>
          <w:noProof/>
          <w:szCs w:val="22"/>
        </w:rPr>
      </w:pPr>
      <w:bookmarkStart w:id="1255" w:name="_Toc418758491"/>
      <w:bookmarkStart w:id="1256" w:name="_Toc418759093"/>
      <w:bookmarkStart w:id="1257" w:name="_Toc419813878"/>
      <w:r w:rsidRPr="008C32BC">
        <w:rPr>
          <w:rFonts w:ascii="Arial Negrito" w:hAnsi="Arial Negrito"/>
          <w:bCs/>
          <w:noProof/>
        </w:rPr>
        <w:t xml:space="preserve">Metodologia e </w:t>
      </w:r>
      <w:r w:rsidR="008C32BC">
        <w:rPr>
          <w:rFonts w:ascii="Arial Negrito" w:hAnsi="Arial Negrito"/>
          <w:bCs/>
          <w:noProof/>
        </w:rPr>
        <w:t>D</w:t>
      </w:r>
      <w:r w:rsidRPr="008C32BC">
        <w:rPr>
          <w:rFonts w:ascii="Arial Negrito" w:hAnsi="Arial Negrito"/>
          <w:bCs/>
          <w:noProof/>
        </w:rPr>
        <w:t xml:space="preserve">escrição do </w:t>
      </w:r>
      <w:r w:rsidR="008C32BC">
        <w:rPr>
          <w:rFonts w:ascii="Arial Negrito" w:hAnsi="Arial Negrito"/>
          <w:bCs/>
          <w:noProof/>
        </w:rPr>
        <w:t>P</w:t>
      </w:r>
      <w:r w:rsidRPr="008C32BC">
        <w:rPr>
          <w:rFonts w:ascii="Arial Negrito" w:hAnsi="Arial Negrito"/>
          <w:bCs/>
          <w:noProof/>
        </w:rPr>
        <w:t>rograma</w:t>
      </w:r>
      <w:bookmarkEnd w:id="1255"/>
      <w:bookmarkEnd w:id="1256"/>
      <w:bookmarkEnd w:id="1257"/>
    </w:p>
    <w:p w:rsidR="00BC6507" w:rsidRPr="009A4D91" w:rsidRDefault="00BC6507" w:rsidP="00BC6507">
      <w:pPr>
        <w:spacing w:before="120" w:after="120" w:line="240" w:lineRule="auto"/>
        <w:rPr>
          <w:rFonts w:cs="Arial"/>
        </w:rPr>
      </w:pPr>
      <w:r w:rsidRPr="009A4D91">
        <w:rPr>
          <w:rFonts w:cs="Arial"/>
        </w:rPr>
        <w:t>Para a avaliação da composição e estrutura da</w:t>
      </w:r>
      <w:r>
        <w:rPr>
          <w:rFonts w:cs="Arial"/>
        </w:rPr>
        <w:t>s populações</w:t>
      </w:r>
      <w:r w:rsidRPr="009A4D91">
        <w:rPr>
          <w:rFonts w:cs="Arial"/>
        </w:rPr>
        <w:t xml:space="preserve"> de peixes na AID/ADA do</w:t>
      </w:r>
      <w:r>
        <w:rPr>
          <w:rFonts w:cs="Arial"/>
        </w:rPr>
        <w:t>s</w:t>
      </w:r>
      <w:r w:rsidRPr="009A4D91">
        <w:rPr>
          <w:rFonts w:cs="Arial"/>
        </w:rPr>
        <w:t xml:space="preserve"> empreendimento</w:t>
      </w:r>
      <w:r>
        <w:rPr>
          <w:rFonts w:cs="Arial"/>
        </w:rPr>
        <w:t>s serão</w:t>
      </w:r>
      <w:r w:rsidRPr="009A4D91">
        <w:rPr>
          <w:rFonts w:cs="Arial"/>
        </w:rPr>
        <w:t xml:space="preserve"> </w:t>
      </w:r>
      <w:r>
        <w:rPr>
          <w:rFonts w:cs="Arial"/>
        </w:rPr>
        <w:t>definidas</w:t>
      </w:r>
      <w:r w:rsidRPr="009A4D91">
        <w:rPr>
          <w:rFonts w:cs="Arial"/>
        </w:rPr>
        <w:t xml:space="preserve"> rede</w:t>
      </w:r>
      <w:r>
        <w:rPr>
          <w:rFonts w:cs="Arial"/>
        </w:rPr>
        <w:t>s amostrais que</w:t>
      </w:r>
      <w:r w:rsidRPr="009A4D91">
        <w:rPr>
          <w:rFonts w:cs="Arial"/>
        </w:rPr>
        <w:t xml:space="preserve"> contempla</w:t>
      </w:r>
      <w:r>
        <w:rPr>
          <w:rFonts w:cs="Arial"/>
        </w:rPr>
        <w:t>m</w:t>
      </w:r>
      <w:r w:rsidRPr="009A4D91">
        <w:rPr>
          <w:rFonts w:cs="Arial"/>
        </w:rPr>
        <w:t xml:space="preserve"> </w:t>
      </w:r>
      <w:r>
        <w:rPr>
          <w:rFonts w:cs="Arial"/>
        </w:rPr>
        <w:t xml:space="preserve">todos </w:t>
      </w:r>
      <w:r w:rsidRPr="009A4D91">
        <w:rPr>
          <w:rFonts w:cs="Arial"/>
        </w:rPr>
        <w:t>os pontos visitados para a elaboração do</w:t>
      </w:r>
      <w:r>
        <w:rPr>
          <w:rFonts w:cs="Arial"/>
        </w:rPr>
        <w:t>s</w:t>
      </w:r>
      <w:r w:rsidRPr="009A4D91">
        <w:rPr>
          <w:rFonts w:cs="Arial"/>
        </w:rPr>
        <w:t xml:space="preserve"> estudo</w:t>
      </w:r>
      <w:r>
        <w:rPr>
          <w:rFonts w:cs="Arial"/>
        </w:rPr>
        <w:t>s</w:t>
      </w:r>
      <w:r w:rsidRPr="009A4D91">
        <w:rPr>
          <w:rFonts w:cs="Arial"/>
        </w:rPr>
        <w:t xml:space="preserve"> diagnóstico</w:t>
      </w:r>
      <w:r>
        <w:rPr>
          <w:rFonts w:cs="Arial"/>
        </w:rPr>
        <w:t>s</w:t>
      </w:r>
      <w:r w:rsidRPr="009A4D91">
        <w:rPr>
          <w:rFonts w:cs="Arial"/>
        </w:rPr>
        <w:t xml:space="preserve"> da biota aquática</w:t>
      </w:r>
      <w:r>
        <w:rPr>
          <w:rFonts w:cs="Arial"/>
        </w:rPr>
        <w:t>, especialmente no que se refere aos estudos da ictiofauna</w:t>
      </w:r>
      <w:r w:rsidRPr="009A4D91">
        <w:rPr>
          <w:rFonts w:cs="Arial"/>
        </w:rPr>
        <w:t xml:space="preserve">. No total a malha adotada compreenderá </w:t>
      </w:r>
      <w:r>
        <w:rPr>
          <w:rFonts w:cs="Arial"/>
        </w:rPr>
        <w:t>pelo menos 4</w:t>
      </w:r>
      <w:r w:rsidRPr="009A4D91">
        <w:rPr>
          <w:rFonts w:cs="Arial"/>
        </w:rPr>
        <w:t xml:space="preserve"> pontos de coleta</w:t>
      </w:r>
      <w:r>
        <w:rPr>
          <w:rFonts w:cs="Arial"/>
        </w:rPr>
        <w:t xml:space="preserve"> em cada uma das drenagens onde deverão ser estabelecidos os referidos empreendimentos</w:t>
      </w:r>
      <w:r w:rsidRPr="009A4D91">
        <w:rPr>
          <w:rFonts w:cs="Arial"/>
        </w:rPr>
        <w:t>, distribuídos no leito do</w:t>
      </w:r>
      <w:r>
        <w:rPr>
          <w:rFonts w:cs="Arial"/>
        </w:rPr>
        <w:t>s rios Camanducaia e Jaguari, assim como de dois riachos afluentes destas drenagens em ambas as ADAs (córregos do Pantaleão na bacia do rio Camanducaia e o córrego Entre-Montes na bacia do rio Jaguari)</w:t>
      </w:r>
      <w:r w:rsidRPr="009A4D91">
        <w:rPr>
          <w:rFonts w:cs="Arial"/>
        </w:rPr>
        <w:t xml:space="preserve">, </w:t>
      </w:r>
      <w:r>
        <w:rPr>
          <w:rFonts w:cs="Arial"/>
        </w:rPr>
        <w:t>além de</w:t>
      </w:r>
      <w:r w:rsidRPr="009A4D91">
        <w:rPr>
          <w:rFonts w:cs="Arial"/>
        </w:rPr>
        <w:t xml:space="preserve"> um ponto situado a montante e outro a jusante da</w:t>
      </w:r>
      <w:r>
        <w:rPr>
          <w:rFonts w:cs="Arial"/>
        </w:rPr>
        <w:t>s AIDs/</w:t>
      </w:r>
      <w:r w:rsidRPr="009A4D91">
        <w:rPr>
          <w:rFonts w:cs="Arial"/>
        </w:rPr>
        <w:t>ADA</w:t>
      </w:r>
      <w:r>
        <w:rPr>
          <w:rFonts w:cs="Arial"/>
        </w:rPr>
        <w:t>s e pontos nas áreas que deverão ser submersas pela implantação dos reservatórios</w:t>
      </w:r>
      <w:r w:rsidRPr="009A4D91">
        <w:rPr>
          <w:rFonts w:cs="Arial"/>
        </w:rPr>
        <w:t xml:space="preserve">. </w:t>
      </w:r>
    </w:p>
    <w:p w:rsidR="00BC6507" w:rsidRPr="009A4D91" w:rsidRDefault="00BC6507" w:rsidP="00BC6507">
      <w:pPr>
        <w:spacing w:before="120" w:after="120" w:line="240" w:lineRule="auto"/>
        <w:rPr>
          <w:rFonts w:cs="Arial"/>
        </w:rPr>
      </w:pPr>
      <w:r w:rsidRPr="009A4D91">
        <w:rPr>
          <w:rFonts w:cs="Arial"/>
        </w:rPr>
        <w:t xml:space="preserve">Os petrechos de pesca a serem utilizados deverão ser </w:t>
      </w:r>
      <w:r>
        <w:rPr>
          <w:rFonts w:cs="Arial"/>
        </w:rPr>
        <w:t>aquele</w:t>
      </w:r>
      <w:r w:rsidRPr="009A4D91">
        <w:rPr>
          <w:rFonts w:cs="Arial"/>
        </w:rPr>
        <w:t xml:space="preserve">s comumente empregados nos estudos de diagnóstico e caracterização da ictiofauna de córregos e riachos como os empregados por Bizerril &amp; Lima (2000); Castro </w:t>
      </w:r>
      <w:r w:rsidRPr="009A4D91">
        <w:rPr>
          <w:rFonts w:cs="Arial"/>
          <w:i/>
        </w:rPr>
        <w:t>et al</w:t>
      </w:r>
      <w:r w:rsidRPr="009A4D91">
        <w:rPr>
          <w:rFonts w:cs="Arial"/>
        </w:rPr>
        <w:t xml:space="preserve">. (2003); Castro </w:t>
      </w:r>
      <w:r w:rsidRPr="009A4D91">
        <w:rPr>
          <w:rFonts w:cs="Arial"/>
          <w:i/>
        </w:rPr>
        <w:t>et al</w:t>
      </w:r>
      <w:r w:rsidRPr="009A4D91">
        <w:rPr>
          <w:rFonts w:cs="Arial"/>
        </w:rPr>
        <w:t xml:space="preserve">. (2004); Lemes &amp; Garutti (2002); Lima (1997); Oyakawa </w:t>
      </w:r>
      <w:r w:rsidRPr="009A4D91">
        <w:rPr>
          <w:rFonts w:cs="Arial"/>
          <w:i/>
        </w:rPr>
        <w:t>et al</w:t>
      </w:r>
      <w:r w:rsidRPr="009A4D91">
        <w:rPr>
          <w:rFonts w:cs="Arial"/>
        </w:rPr>
        <w:t xml:space="preserve">. (2006); Teixeira </w:t>
      </w:r>
      <w:r w:rsidRPr="009A4D91">
        <w:rPr>
          <w:rFonts w:cs="Arial"/>
          <w:i/>
        </w:rPr>
        <w:t>et al</w:t>
      </w:r>
      <w:r w:rsidRPr="009A4D91">
        <w:rPr>
          <w:rFonts w:cs="Arial"/>
        </w:rPr>
        <w:t xml:space="preserve">. (2004) e Teixeira </w:t>
      </w:r>
      <w:r w:rsidRPr="009A4D91">
        <w:rPr>
          <w:rFonts w:cs="Arial"/>
          <w:i/>
        </w:rPr>
        <w:t>et al</w:t>
      </w:r>
      <w:r>
        <w:rPr>
          <w:rFonts w:cs="Arial"/>
        </w:rPr>
        <w:t>. (2005).</w:t>
      </w:r>
    </w:p>
    <w:p w:rsidR="00BC6507" w:rsidRPr="009A4D91" w:rsidRDefault="00BC6507" w:rsidP="00BC6507">
      <w:pPr>
        <w:spacing w:before="120" w:after="120" w:line="240" w:lineRule="auto"/>
        <w:rPr>
          <w:rFonts w:cs="Arial"/>
        </w:rPr>
      </w:pPr>
      <w:r w:rsidRPr="009A4D91">
        <w:rPr>
          <w:rFonts w:cs="Arial"/>
        </w:rPr>
        <w:t>Como to</w:t>
      </w:r>
      <w:r>
        <w:rPr>
          <w:rFonts w:cs="Arial"/>
        </w:rPr>
        <w:t>do aparelho de pesca é seletivo, será realizado</w:t>
      </w:r>
      <w:r w:rsidRPr="009A4D91">
        <w:rPr>
          <w:rFonts w:cs="Arial"/>
        </w:rPr>
        <w:t xml:space="preserve"> o uso de aparelhos variados</w:t>
      </w:r>
      <w:r>
        <w:rPr>
          <w:rFonts w:cs="Arial"/>
        </w:rPr>
        <w:t xml:space="preserve"> nestes estudos que</w:t>
      </w:r>
      <w:r w:rsidRPr="009A4D91">
        <w:rPr>
          <w:rFonts w:cs="Arial"/>
        </w:rPr>
        <w:t xml:space="preserve"> tem como aspecto positivo o fato de um compensar a seletividade dos outros, resultando em amostras mais representativas da comunidade ictíica</w:t>
      </w:r>
      <w:r>
        <w:rPr>
          <w:rFonts w:cs="Arial"/>
        </w:rPr>
        <w:t xml:space="preserve"> </w:t>
      </w:r>
      <w:r w:rsidRPr="009A4D91">
        <w:rPr>
          <w:rFonts w:cs="Arial"/>
        </w:rPr>
        <w:t xml:space="preserve">Castro </w:t>
      </w:r>
      <w:r w:rsidRPr="009A4D91">
        <w:rPr>
          <w:rFonts w:cs="Arial"/>
          <w:i/>
        </w:rPr>
        <w:t>et al</w:t>
      </w:r>
      <w:r w:rsidRPr="009A4D91">
        <w:rPr>
          <w:rFonts w:cs="Arial"/>
        </w:rPr>
        <w:t xml:space="preserve">. (2003); Castro </w:t>
      </w:r>
      <w:r w:rsidRPr="009A4D91">
        <w:rPr>
          <w:rFonts w:cs="Arial"/>
          <w:i/>
        </w:rPr>
        <w:t>et al</w:t>
      </w:r>
      <w:r w:rsidRPr="009A4D91">
        <w:rPr>
          <w:rFonts w:cs="Arial"/>
        </w:rPr>
        <w:t xml:space="preserve">. (2004). </w:t>
      </w:r>
    </w:p>
    <w:p w:rsidR="00BC6507" w:rsidRPr="009A4D91" w:rsidRDefault="00BC6507" w:rsidP="00BC6507">
      <w:pPr>
        <w:spacing w:before="120" w:after="120" w:line="240" w:lineRule="auto"/>
        <w:rPr>
          <w:rFonts w:cs="Arial"/>
        </w:rPr>
      </w:pPr>
      <w:r>
        <w:rPr>
          <w:rFonts w:cs="Arial"/>
        </w:rPr>
        <w:t>Assim</w:t>
      </w:r>
      <w:r w:rsidRPr="009A4D91">
        <w:rPr>
          <w:rFonts w:cs="Arial"/>
        </w:rPr>
        <w:t xml:space="preserve"> ser</w:t>
      </w:r>
      <w:r>
        <w:rPr>
          <w:rFonts w:cs="Arial"/>
        </w:rPr>
        <w:t>ão</w:t>
      </w:r>
      <w:r w:rsidRPr="009A4D91">
        <w:rPr>
          <w:rFonts w:cs="Arial"/>
        </w:rPr>
        <w:t xml:space="preserve"> usadas </w:t>
      </w:r>
      <w:r w:rsidRPr="009A4D91">
        <w:rPr>
          <w:rFonts w:cs="Arial"/>
          <w:noProof/>
        </w:rPr>
        <w:t>redes de espera, peneiras, puçás, armadilhas do tipo covo, vara, linha e anzol e tarrafa</w:t>
      </w:r>
      <w:r>
        <w:rPr>
          <w:rFonts w:cs="Arial"/>
          <w:noProof/>
        </w:rPr>
        <w:t>s, dependendo das características de cada ponto amostrado</w:t>
      </w:r>
      <w:r w:rsidRPr="009A4D91">
        <w:rPr>
          <w:rFonts w:cs="Arial"/>
          <w:noProof/>
        </w:rPr>
        <w:t xml:space="preserve">. </w:t>
      </w:r>
      <w:r w:rsidRPr="009A4D91">
        <w:rPr>
          <w:rFonts w:cs="Arial"/>
        </w:rPr>
        <w:t>As atividades envolvidas nesse programa são a coleta e à caracterização básica da biologia e ecologia geral das espécies:</w:t>
      </w:r>
    </w:p>
    <w:p w:rsidR="00BC6507" w:rsidRPr="009A4D91" w:rsidRDefault="00BC6507" w:rsidP="00656EA3">
      <w:pPr>
        <w:pStyle w:val="Item-Bolinha"/>
        <w:rPr>
          <w:noProof/>
        </w:rPr>
      </w:pPr>
      <w:r w:rsidRPr="009A4D91">
        <w:rPr>
          <w:noProof/>
        </w:rPr>
        <w:t xml:space="preserve">Coleta de espécimes da ictiofauna com o uso de redes de espera, peneiras, puçás, armadilhas do tipo covo, vara, linha e anzol e tarrafas; </w:t>
      </w:r>
    </w:p>
    <w:p w:rsidR="00BC6507" w:rsidRPr="009A4D91" w:rsidRDefault="00BC6507" w:rsidP="00656EA3">
      <w:pPr>
        <w:pStyle w:val="Item-Bolinha"/>
        <w:rPr>
          <w:noProof/>
        </w:rPr>
      </w:pPr>
      <w:r w:rsidRPr="009A4D91">
        <w:rPr>
          <w:noProof/>
        </w:rPr>
        <w:t>Identificação da riqueza de espécies;</w:t>
      </w:r>
    </w:p>
    <w:p w:rsidR="00BC6507" w:rsidRPr="009A4D91" w:rsidRDefault="00BC6507" w:rsidP="00656EA3">
      <w:pPr>
        <w:pStyle w:val="Item-Bolinha"/>
      </w:pPr>
      <w:r w:rsidRPr="009A4D91">
        <w:t>Tomada de dados biológicos/ecológicos, como p.ex. biometria (peso e comprimento) das espécies de maior interesse</w:t>
      </w:r>
      <w:r>
        <w:t>, com ênfase para as migradoras de longas distâncias, ameaçadas ou quase ameaçadas de extinção</w:t>
      </w:r>
      <w:r w:rsidRPr="009A4D91">
        <w:t>;</w:t>
      </w:r>
    </w:p>
    <w:p w:rsidR="00BC6507" w:rsidRDefault="00BC6507" w:rsidP="00656EA3">
      <w:pPr>
        <w:pStyle w:val="Item-Bolinha"/>
        <w:rPr>
          <w:noProof/>
        </w:rPr>
      </w:pPr>
      <w:r w:rsidRPr="00FC0F27">
        <w:t>Análise do estágio de maturação gonadal das espécies de maior importância (migradoras de longas distâncias e de espécies ameaçadas ou quase ameaçadas que venham a ser registradas) definindo os períodos e épocas de reprodução mais importantes/relevantes para estas espécies</w:t>
      </w:r>
      <w:r>
        <w:t>.</w:t>
      </w:r>
    </w:p>
    <w:p w:rsidR="00BC6507" w:rsidRPr="00C23C57" w:rsidRDefault="00BC6507" w:rsidP="00BC6507">
      <w:pPr>
        <w:spacing w:before="120" w:after="120" w:line="240" w:lineRule="auto"/>
        <w:rPr>
          <w:rFonts w:cs="Arial"/>
        </w:rPr>
      </w:pPr>
      <w:r w:rsidRPr="00C23C57">
        <w:rPr>
          <w:rFonts w:cs="Arial"/>
        </w:rPr>
        <w:t xml:space="preserve">Para os levantamentos do ictioplâncton serão realizadas coletas ativas e passivas de ovos, larvas, pós-larvas e alevinos, utilizando métodos consagrados para amostragens em rios, córregos e lagoas, tais como os empregados por Kipper et al. </w:t>
      </w:r>
      <w:r w:rsidRPr="00136C69">
        <w:rPr>
          <w:rFonts w:cs="Arial"/>
          <w:lang w:val="es-AR"/>
        </w:rPr>
        <w:t xml:space="preserve">(2011),  Leite et al. (2006), Leite et al. (2010) e Nakatani et al. </w:t>
      </w:r>
      <w:r w:rsidRPr="00C23C57">
        <w:rPr>
          <w:rFonts w:cs="Arial"/>
        </w:rPr>
        <w:t xml:space="preserve">(2001), em 8 estações pré-definidas, sendo 4 na AID e ADA do rio Jaguari (Reservatório de Pedreira) e 4 na AID e ADA do rio Camanducaia (Reservatório de Duas Pontes). </w:t>
      </w:r>
    </w:p>
    <w:p w:rsidR="00BC6507" w:rsidRPr="00C23C57" w:rsidRDefault="00BC6507" w:rsidP="00BC6507">
      <w:pPr>
        <w:spacing w:before="120" w:after="120" w:line="240" w:lineRule="auto"/>
        <w:rPr>
          <w:rFonts w:cs="Arial"/>
        </w:rPr>
      </w:pPr>
      <w:r w:rsidRPr="00C23C57">
        <w:rPr>
          <w:rFonts w:cs="Arial"/>
        </w:rPr>
        <w:t>Serão realizadas amostragens diurnas e noturnas, a cada 12 (doze) horas, em cada um dos pontos, dentro de um período de 24 horas; desta forma serão tomadas 2 (duas) amostras para cada ponto a cada período de levantamento realizado. Os estudos farão uma caracterização qualitativa de ovos e larvas que forem detectados na área de influência dos futuros empreendimentos dos reservatórios de Duas Pontes e Pedreira.</w:t>
      </w:r>
    </w:p>
    <w:p w:rsidR="00BC6507" w:rsidRPr="00BC6507" w:rsidRDefault="00BC6507" w:rsidP="00BC6507">
      <w:pPr>
        <w:pStyle w:val="APM-Lista1tracinho"/>
        <w:tabs>
          <w:tab w:val="clear" w:pos="357"/>
        </w:tabs>
        <w:spacing w:before="120" w:after="0" w:line="240" w:lineRule="auto"/>
        <w:ind w:left="0" w:firstLine="0"/>
        <w:rPr>
          <w:rFonts w:ascii="Arial" w:eastAsia="Calibri" w:hAnsi="Arial" w:cs="Arial"/>
          <w:szCs w:val="22"/>
          <w:lang w:eastAsia="en-US"/>
        </w:rPr>
      </w:pPr>
      <w:r w:rsidRPr="00BC6507">
        <w:rPr>
          <w:rFonts w:ascii="Arial" w:eastAsia="Calibri" w:hAnsi="Arial" w:cs="Arial"/>
          <w:szCs w:val="22"/>
          <w:lang w:eastAsia="en-US"/>
        </w:rPr>
        <w:t>O material a ser utilizado consistirá de:</w:t>
      </w:r>
    </w:p>
    <w:p w:rsidR="00BC6507" w:rsidRPr="00BC6507" w:rsidRDefault="00BC6507" w:rsidP="00492964">
      <w:pPr>
        <w:pStyle w:val="Item-Trainho"/>
        <w:rPr>
          <w:rFonts w:eastAsia="Calibri"/>
          <w:lang w:eastAsia="en-US"/>
        </w:rPr>
      </w:pPr>
      <w:r w:rsidRPr="00BC6507">
        <w:rPr>
          <w:rFonts w:eastAsia="Calibri"/>
          <w:lang w:eastAsia="en-US"/>
        </w:rPr>
        <w:t>Rede de plâncton;</w:t>
      </w:r>
    </w:p>
    <w:p w:rsidR="00BC6507" w:rsidRPr="00BC6507" w:rsidRDefault="00BC6507" w:rsidP="00492964">
      <w:pPr>
        <w:pStyle w:val="Item-Trainho"/>
        <w:rPr>
          <w:rFonts w:eastAsia="Calibri"/>
          <w:lang w:eastAsia="en-US"/>
        </w:rPr>
      </w:pPr>
      <w:r w:rsidRPr="00BC6507">
        <w:rPr>
          <w:rFonts w:eastAsia="Calibri"/>
          <w:lang w:eastAsia="en-US"/>
        </w:rPr>
        <w:t>Amostrador de deriva;</w:t>
      </w:r>
    </w:p>
    <w:p w:rsidR="00BC6507" w:rsidRDefault="00BC6507" w:rsidP="00492964">
      <w:pPr>
        <w:pStyle w:val="Item-Trainho"/>
        <w:rPr>
          <w:rFonts w:eastAsia="Calibri"/>
          <w:lang w:eastAsia="en-US"/>
        </w:rPr>
      </w:pPr>
      <w:r w:rsidRPr="00BC6507">
        <w:rPr>
          <w:rFonts w:eastAsia="Calibri"/>
          <w:lang w:eastAsia="en-US"/>
        </w:rPr>
        <w:t>Peneirão.</w:t>
      </w:r>
    </w:p>
    <w:p w:rsidR="00BC6507" w:rsidRPr="00F22B21" w:rsidRDefault="00492964" w:rsidP="00492964">
      <w:pPr>
        <w:spacing w:before="240" w:after="240" w:line="240" w:lineRule="auto"/>
        <w:rPr>
          <w:rFonts w:cs="Arial"/>
          <w:b/>
          <w:noProof/>
        </w:rPr>
      </w:pPr>
      <w:r>
        <w:rPr>
          <w:rFonts w:cs="Arial"/>
          <w:b/>
          <w:noProof/>
        </w:rPr>
        <w:t>a</w:t>
      </w:r>
      <w:r w:rsidR="00BC6507" w:rsidRPr="00437813">
        <w:rPr>
          <w:rFonts w:cs="Arial"/>
          <w:b/>
          <w:noProof/>
        </w:rPr>
        <w:t>) Subprograma de Monitoramento dos Mecanismos de Transposição de Peixes (MTPs)</w:t>
      </w:r>
    </w:p>
    <w:p w:rsidR="00BC6507" w:rsidRDefault="00BC6507" w:rsidP="00BC6507">
      <w:pPr>
        <w:spacing w:before="120" w:after="120" w:line="240" w:lineRule="auto"/>
        <w:rPr>
          <w:rFonts w:cs="Arial"/>
        </w:rPr>
      </w:pPr>
      <w:r>
        <w:rPr>
          <w:rFonts w:cs="Arial"/>
        </w:rPr>
        <w:t xml:space="preserve">Os MTPs visam, principalmente, permitir o fluxo dos peixes migradores, em especial daqueles que se deslocam por longas distâncias na época da piracema. Com a criação de um obstáculo intransponível constituído pela barragem, a movimentação dos peixes, em especial das espécies reofílicas, fica muito comprometido. Para tentar minimizar o impacto das usinas é implantado um MTP a fim de minimizar os impactos causados pela presença física da barragem. </w:t>
      </w:r>
    </w:p>
    <w:p w:rsidR="00BC6507" w:rsidRDefault="00BC6507" w:rsidP="00BC6507">
      <w:pPr>
        <w:spacing w:before="120" w:after="120" w:line="240" w:lineRule="auto"/>
        <w:rPr>
          <w:rFonts w:cs="Arial"/>
          <w:noProof/>
        </w:rPr>
      </w:pPr>
      <w:r>
        <w:rPr>
          <w:rFonts w:cs="Arial"/>
        </w:rPr>
        <w:t>Como o dispositivo tende a apresentar uma certa seletividade com relação às espécies e classes de comprimento dos peixes que realizam a transposição,</w:t>
      </w:r>
      <w:r>
        <w:rPr>
          <w:rFonts w:cs="Arial"/>
          <w:noProof/>
        </w:rPr>
        <w:t xml:space="preserve"> se faz necessário o monitoramento dos MTPs propostos nas barragens de </w:t>
      </w:r>
      <w:r w:rsidR="00236B4D">
        <w:rPr>
          <w:rFonts w:cs="Arial"/>
          <w:noProof/>
        </w:rPr>
        <w:t xml:space="preserve">Pedreira e </w:t>
      </w:r>
      <w:r>
        <w:rPr>
          <w:rFonts w:cs="Arial"/>
          <w:noProof/>
        </w:rPr>
        <w:t xml:space="preserve">Duas Pontes, a fim de verificar sua eficiência na transposição das espécies, em especial das migradoras de longas distâncias e reófilas que foram registradas nas AIDs/ADAs pelo Estudo de Impacto Ambiental, mais os dados compilados a partir de fontes secundárias, tais como bibliografia e dados de entrevistas realizadas com moradores locais e pescadores que frequentam as AIDs/ADAs, que apontaram a ocorrência de outras espécies migradoras tais como o dourado (S. </w:t>
      </w:r>
      <w:r w:rsidRPr="00F232E1">
        <w:rPr>
          <w:rFonts w:cs="Arial"/>
          <w:i/>
          <w:noProof/>
        </w:rPr>
        <w:t>brasiliensis</w:t>
      </w:r>
      <w:r>
        <w:rPr>
          <w:rFonts w:cs="Arial"/>
          <w:noProof/>
        </w:rPr>
        <w:t>).</w:t>
      </w:r>
    </w:p>
    <w:p w:rsidR="00BC6507" w:rsidRDefault="00BC6507" w:rsidP="00BC6507">
      <w:pPr>
        <w:spacing w:before="120" w:after="120" w:line="240" w:lineRule="auto"/>
        <w:rPr>
          <w:rFonts w:cs="Arial"/>
          <w:noProof/>
        </w:rPr>
      </w:pPr>
      <w:r>
        <w:rPr>
          <w:rFonts w:cs="Arial"/>
          <w:noProof/>
        </w:rPr>
        <w:t>O monitoramento será realizado após a implantação dos respectivos MTPs e consistirá na visita aos dispositivos e a observação das espécies que estão conseguindo ascender pela escada instalada. O fluxo de água deverá ser interrompido temporariamente para que os técnicos façam a captura das espécies e uma biometria com parte dos exemplares capturados, a fim de verificar as classes de comprimento dos peixes que estarão conseguindo ascender pelo dispositivo. Após o registro e a realização da biometria os peixes serão soltos.</w:t>
      </w:r>
    </w:p>
    <w:p w:rsidR="00BC6507" w:rsidRDefault="00BC6507" w:rsidP="00BC6507">
      <w:pPr>
        <w:spacing w:before="120" w:after="120" w:line="240" w:lineRule="auto"/>
        <w:rPr>
          <w:rFonts w:cs="Arial"/>
          <w:noProof/>
        </w:rPr>
      </w:pPr>
      <w:r w:rsidRPr="00236B4D">
        <w:rPr>
          <w:rFonts w:cs="Arial"/>
          <w:noProof/>
        </w:rPr>
        <w:t xml:space="preserve">O monitoramento deverá ser realizado </w:t>
      </w:r>
      <w:r w:rsidR="00236B4D" w:rsidRPr="00236B4D">
        <w:rPr>
          <w:rFonts w:cs="Arial"/>
          <w:noProof/>
        </w:rPr>
        <w:t>semestralmente</w:t>
      </w:r>
      <w:r>
        <w:rPr>
          <w:rFonts w:cs="Arial"/>
          <w:noProof/>
        </w:rPr>
        <w:t xml:space="preserve"> na mesma ocasião em que forem realizadas as campanhas de monitoramento da ictiofauna.</w:t>
      </w:r>
    </w:p>
    <w:p w:rsidR="00BC6507" w:rsidRPr="00F22B21" w:rsidRDefault="00492964" w:rsidP="00492964">
      <w:pPr>
        <w:spacing w:before="240" w:after="240" w:line="240" w:lineRule="auto"/>
        <w:rPr>
          <w:rFonts w:cs="Arial"/>
          <w:b/>
          <w:noProof/>
        </w:rPr>
      </w:pPr>
      <w:r>
        <w:rPr>
          <w:rFonts w:cs="Arial"/>
          <w:b/>
          <w:noProof/>
        </w:rPr>
        <w:t>b</w:t>
      </w:r>
      <w:r w:rsidR="000F694F" w:rsidRPr="00F941AB">
        <w:rPr>
          <w:rFonts w:cs="Arial"/>
          <w:b/>
          <w:noProof/>
        </w:rPr>
        <w:t xml:space="preserve">) </w:t>
      </w:r>
      <w:r w:rsidR="00BC6507" w:rsidRPr="00F941AB">
        <w:rPr>
          <w:rFonts w:cs="Arial"/>
          <w:b/>
          <w:noProof/>
        </w:rPr>
        <w:t>Subprogra</w:t>
      </w:r>
      <w:r w:rsidR="00A100B4" w:rsidRPr="00F941AB">
        <w:rPr>
          <w:rFonts w:cs="Arial"/>
          <w:b/>
          <w:noProof/>
        </w:rPr>
        <w:t xml:space="preserve">ma de Resgate </w:t>
      </w:r>
      <w:r w:rsidR="00BC6507" w:rsidRPr="00F941AB">
        <w:rPr>
          <w:rFonts w:cs="Arial"/>
          <w:b/>
          <w:noProof/>
        </w:rPr>
        <w:t>da Ictiofauna nas áreas das ensecadeiras</w:t>
      </w:r>
    </w:p>
    <w:p w:rsidR="00BC6507" w:rsidRDefault="00BC6507" w:rsidP="00BC6507">
      <w:pPr>
        <w:pStyle w:val="NormalWeb"/>
        <w:shd w:val="clear" w:color="auto" w:fill="FFFFFF"/>
        <w:spacing w:before="120" w:beforeAutospacing="0" w:after="120" w:afterAutospacing="0"/>
        <w:jc w:val="both"/>
        <w:rPr>
          <w:rFonts w:ascii="Arial" w:hAnsi="Arial" w:cs="Arial"/>
          <w:color w:val="000000"/>
          <w:sz w:val="22"/>
          <w:szCs w:val="22"/>
        </w:rPr>
      </w:pPr>
      <w:r>
        <w:rPr>
          <w:rFonts w:ascii="Arial" w:hAnsi="Arial" w:cs="Arial"/>
          <w:color w:val="000000"/>
          <w:sz w:val="22"/>
          <w:szCs w:val="22"/>
        </w:rPr>
        <w:t>E</w:t>
      </w:r>
      <w:r w:rsidRPr="00B11262">
        <w:rPr>
          <w:rFonts w:ascii="Arial" w:hAnsi="Arial" w:cs="Arial"/>
          <w:color w:val="000000"/>
          <w:sz w:val="22"/>
          <w:szCs w:val="22"/>
        </w:rPr>
        <w:t xml:space="preserve">nsecadeira é um tipo de </w:t>
      </w:r>
      <w:r>
        <w:rPr>
          <w:rFonts w:ascii="Arial" w:hAnsi="Arial" w:cs="Arial"/>
          <w:color w:val="000000"/>
          <w:sz w:val="22"/>
          <w:szCs w:val="22"/>
        </w:rPr>
        <w:t xml:space="preserve">barreira contra a </w:t>
      </w:r>
      <w:r w:rsidRPr="00B11262">
        <w:rPr>
          <w:rFonts w:ascii="Arial" w:hAnsi="Arial" w:cs="Arial"/>
          <w:color w:val="000000"/>
          <w:sz w:val="22"/>
          <w:szCs w:val="22"/>
        </w:rPr>
        <w:t xml:space="preserve">água destinada a </w:t>
      </w:r>
      <w:r>
        <w:rPr>
          <w:rFonts w:ascii="Arial" w:hAnsi="Arial" w:cs="Arial"/>
          <w:color w:val="000000"/>
          <w:sz w:val="22"/>
          <w:szCs w:val="22"/>
        </w:rPr>
        <w:t>permitir a execução de</w:t>
      </w:r>
      <w:r w:rsidRPr="00B11262">
        <w:rPr>
          <w:rFonts w:ascii="Arial" w:hAnsi="Arial" w:cs="Arial"/>
          <w:color w:val="000000"/>
          <w:sz w:val="22"/>
          <w:szCs w:val="22"/>
        </w:rPr>
        <w:t xml:space="preserve"> projetos de construção em áreas que são normalmente submersas, como pontes</w:t>
      </w:r>
      <w:r>
        <w:rPr>
          <w:rFonts w:ascii="Arial" w:hAnsi="Arial" w:cs="Arial"/>
          <w:color w:val="000000"/>
          <w:sz w:val="22"/>
          <w:szCs w:val="22"/>
        </w:rPr>
        <w:t>, barragens</w:t>
      </w:r>
      <w:r w:rsidRPr="00B11262">
        <w:rPr>
          <w:rFonts w:ascii="Arial" w:hAnsi="Arial" w:cs="Arial"/>
          <w:color w:val="000000"/>
          <w:sz w:val="22"/>
          <w:szCs w:val="22"/>
        </w:rPr>
        <w:t xml:space="preserve"> e cais. São dispositivos utilizados para a contenção temporária de superfícies escavadas contra a ação de águas superficiais ou subterrâneas, no leito dos rios, em terrenos saturados ou alagados</w:t>
      </w:r>
      <w:r>
        <w:rPr>
          <w:rFonts w:ascii="Arial" w:hAnsi="Arial" w:cs="Arial"/>
          <w:color w:val="000000"/>
          <w:sz w:val="22"/>
          <w:szCs w:val="22"/>
        </w:rPr>
        <w:t>,</w:t>
      </w:r>
      <w:r w:rsidRPr="00B11262">
        <w:rPr>
          <w:rFonts w:ascii="Arial" w:hAnsi="Arial" w:cs="Arial"/>
          <w:color w:val="000000"/>
          <w:sz w:val="22"/>
          <w:szCs w:val="22"/>
        </w:rPr>
        <w:t xml:space="preserve"> onde serão executadas obras que necessitam</w:t>
      </w:r>
      <w:r>
        <w:rPr>
          <w:rFonts w:ascii="Arial" w:hAnsi="Arial" w:cs="Arial"/>
          <w:color w:val="000000"/>
          <w:sz w:val="22"/>
          <w:szCs w:val="22"/>
        </w:rPr>
        <w:t xml:space="preserve"> ficar livres d</w:t>
      </w:r>
      <w:r w:rsidRPr="00B11262">
        <w:rPr>
          <w:rFonts w:ascii="Arial" w:hAnsi="Arial" w:cs="Arial"/>
          <w:color w:val="000000"/>
          <w:sz w:val="22"/>
          <w:szCs w:val="22"/>
        </w:rPr>
        <w:t>a</w:t>
      </w:r>
      <w:r>
        <w:rPr>
          <w:rFonts w:ascii="Arial" w:hAnsi="Arial" w:cs="Arial"/>
          <w:color w:val="000000"/>
          <w:sz w:val="22"/>
          <w:szCs w:val="22"/>
        </w:rPr>
        <w:t xml:space="preserve"> interferência da água.</w:t>
      </w:r>
    </w:p>
    <w:p w:rsidR="00BC6507" w:rsidRDefault="00BC6507" w:rsidP="00BC6507">
      <w:pPr>
        <w:pStyle w:val="NormalWeb"/>
        <w:shd w:val="clear" w:color="auto" w:fill="FFFFFF"/>
        <w:spacing w:before="120" w:beforeAutospacing="0" w:after="120" w:afterAutospacing="0"/>
        <w:jc w:val="both"/>
        <w:rPr>
          <w:rFonts w:ascii="Arial" w:hAnsi="Arial" w:cs="Arial"/>
          <w:color w:val="000000"/>
          <w:sz w:val="22"/>
          <w:szCs w:val="22"/>
        </w:rPr>
      </w:pPr>
      <w:r>
        <w:rPr>
          <w:rFonts w:ascii="Arial" w:hAnsi="Arial" w:cs="Arial"/>
          <w:color w:val="000000"/>
          <w:sz w:val="22"/>
          <w:szCs w:val="22"/>
        </w:rPr>
        <w:t>A</w:t>
      </w:r>
      <w:r w:rsidRPr="00B11262">
        <w:rPr>
          <w:rFonts w:ascii="Arial" w:hAnsi="Arial" w:cs="Arial"/>
          <w:color w:val="000000"/>
          <w:sz w:val="22"/>
          <w:szCs w:val="22"/>
        </w:rPr>
        <w:t xml:space="preserve"> ensecadeira </w:t>
      </w:r>
      <w:r w:rsidR="00E93E5D">
        <w:rPr>
          <w:rFonts w:ascii="Arial" w:hAnsi="Arial" w:cs="Arial"/>
          <w:color w:val="000000"/>
          <w:sz w:val="22"/>
          <w:szCs w:val="22"/>
        </w:rPr>
        <w:t xml:space="preserve">(barramento de baixa altura) </w:t>
      </w:r>
      <w:r w:rsidRPr="00B11262">
        <w:rPr>
          <w:rFonts w:ascii="Arial" w:hAnsi="Arial" w:cs="Arial"/>
          <w:color w:val="000000"/>
          <w:sz w:val="22"/>
          <w:szCs w:val="22"/>
        </w:rPr>
        <w:t>é instalada na área de trabalho e a água</w:t>
      </w:r>
      <w:r>
        <w:rPr>
          <w:rFonts w:ascii="Arial" w:hAnsi="Arial" w:cs="Arial"/>
          <w:color w:val="000000"/>
          <w:sz w:val="22"/>
          <w:szCs w:val="22"/>
        </w:rPr>
        <w:t xml:space="preserve"> normalmente</w:t>
      </w:r>
      <w:r w:rsidRPr="00B11262">
        <w:rPr>
          <w:rFonts w:ascii="Arial" w:hAnsi="Arial" w:cs="Arial"/>
          <w:color w:val="000000"/>
          <w:sz w:val="22"/>
          <w:szCs w:val="22"/>
        </w:rPr>
        <w:t xml:space="preserve"> é bombeada para fora a fim de expor o leito onde se encontrava o corpo de água</w:t>
      </w:r>
      <w:r>
        <w:rPr>
          <w:rFonts w:ascii="Arial" w:hAnsi="Arial" w:cs="Arial"/>
          <w:color w:val="000000"/>
          <w:sz w:val="22"/>
          <w:szCs w:val="22"/>
        </w:rPr>
        <w:t>, no caso dos reservatórios de Duas Pontes e Pedreira os rios Camanducaia e Jaguari</w:t>
      </w:r>
      <w:r w:rsidRPr="00B11262">
        <w:rPr>
          <w:rFonts w:ascii="Arial" w:hAnsi="Arial" w:cs="Arial"/>
          <w:color w:val="000000"/>
          <w:sz w:val="22"/>
          <w:szCs w:val="22"/>
        </w:rPr>
        <w:t xml:space="preserve">, de modo que os trabalhadores consigam construir </w:t>
      </w:r>
      <w:r>
        <w:rPr>
          <w:rFonts w:ascii="Arial" w:hAnsi="Arial" w:cs="Arial"/>
          <w:color w:val="000000"/>
          <w:sz w:val="22"/>
          <w:szCs w:val="22"/>
        </w:rPr>
        <w:t>as barragens</w:t>
      </w:r>
      <w:r w:rsidRPr="00B11262">
        <w:rPr>
          <w:rFonts w:ascii="Arial" w:hAnsi="Arial" w:cs="Arial"/>
          <w:color w:val="000000"/>
          <w:sz w:val="22"/>
          <w:szCs w:val="22"/>
        </w:rPr>
        <w:t xml:space="preserve"> num ambiente se</w:t>
      </w:r>
      <w:r w:rsidR="00E93E5D">
        <w:rPr>
          <w:rFonts w:ascii="Arial" w:hAnsi="Arial" w:cs="Arial"/>
          <w:color w:val="000000"/>
          <w:sz w:val="22"/>
          <w:szCs w:val="22"/>
        </w:rPr>
        <w:t>co.</w:t>
      </w:r>
    </w:p>
    <w:p w:rsidR="00BC6507" w:rsidRDefault="00BC6507" w:rsidP="00BC6507">
      <w:pPr>
        <w:spacing w:before="120" w:after="120" w:line="240" w:lineRule="auto"/>
        <w:rPr>
          <w:rFonts w:cs="Arial"/>
          <w:noProof/>
        </w:rPr>
      </w:pPr>
      <w:r>
        <w:rPr>
          <w:rFonts w:cs="Arial"/>
          <w:noProof/>
        </w:rPr>
        <w:t>No processo de utilização das ensecadeiras é comum que peixes fiquem presos nas áreas destas estruturas quando de sua instalação, necessitando de sua remoção e realocação nos ambientes nativos.</w:t>
      </w:r>
    </w:p>
    <w:p w:rsidR="00BC6507" w:rsidRDefault="00BC6507" w:rsidP="00BC6507">
      <w:pPr>
        <w:spacing w:before="120" w:after="120" w:line="240" w:lineRule="auto"/>
        <w:rPr>
          <w:rFonts w:cs="Arial"/>
          <w:noProof/>
        </w:rPr>
      </w:pPr>
      <w:r>
        <w:rPr>
          <w:rFonts w:cs="Arial"/>
          <w:noProof/>
        </w:rPr>
        <w:t>Assim sendo, serão realizadas ações visando o salvamento de peixes confinados e o seu transporte para áreas livres das barragens em trechos dos rios Camanducaia e Jaguari livres de intervenções.</w:t>
      </w:r>
    </w:p>
    <w:p w:rsidR="00BC6507" w:rsidRDefault="00BC6507" w:rsidP="00BC6507">
      <w:pPr>
        <w:spacing w:before="120" w:after="120" w:line="240" w:lineRule="auto"/>
        <w:rPr>
          <w:rFonts w:cs="Arial"/>
          <w:noProof/>
        </w:rPr>
      </w:pPr>
      <w:r>
        <w:rPr>
          <w:rFonts w:cs="Arial"/>
          <w:noProof/>
        </w:rPr>
        <w:t>As ações do subprograma consistirão na captura dos indivíduos presos com uso de puçás, redes de arrasto, peneiras etc. Os peixes serão transportados para caixas de contenção e daí colocados em caixas especiais para o transporte de peixes sobre caminhonetes ou caminhões e daí transportados para áreas onde será feita a soltura. Todas as espécies capturadas serão registradas. Dependendo da quantidade e tipo dos peixes capturados, poderão ser utilizadas técnicas para a sedação leve dos indivíduos a fim de se reduzir o estresse de captura e manuseio até a soltura.</w:t>
      </w:r>
    </w:p>
    <w:p w:rsidR="00BC6507" w:rsidRPr="00B11262" w:rsidRDefault="00BC6507" w:rsidP="00BC6507">
      <w:pPr>
        <w:spacing w:before="120" w:after="120" w:line="240" w:lineRule="auto"/>
        <w:rPr>
          <w:rFonts w:cs="Arial"/>
          <w:noProof/>
        </w:rPr>
      </w:pPr>
      <w:r>
        <w:rPr>
          <w:rFonts w:cs="Arial"/>
          <w:noProof/>
        </w:rPr>
        <w:t>Para minimizar os efeitos da alta densidade de peixes nas áreas ensecadas, onde a falta de oxigênio tende a ser um dos fatores mais relevantes associados à mortalidade, serão utilizadas técnicas para propiciar o aumento do O</w:t>
      </w:r>
      <w:r w:rsidRPr="00FA3EDD">
        <w:rPr>
          <w:rFonts w:cs="Arial"/>
          <w:noProof/>
          <w:vertAlign w:val="subscript"/>
        </w:rPr>
        <w:t>2</w:t>
      </w:r>
      <w:r>
        <w:rPr>
          <w:rFonts w:cs="Arial"/>
          <w:noProof/>
        </w:rPr>
        <w:t>D como o uso de aeradores e/ou injeção de oxigênio puro na água via difusores.</w:t>
      </w:r>
    </w:p>
    <w:p w:rsidR="00BC6507" w:rsidRPr="008C32BC" w:rsidRDefault="00BC6507" w:rsidP="00431A97">
      <w:pPr>
        <w:pStyle w:val="Ttulo3"/>
        <w:numPr>
          <w:ilvl w:val="3"/>
          <w:numId w:val="84"/>
        </w:numPr>
        <w:rPr>
          <w:rFonts w:ascii="Arial Negrito" w:hAnsi="Arial Negrito"/>
          <w:bCs/>
          <w:noProof/>
        </w:rPr>
      </w:pPr>
      <w:bookmarkStart w:id="1258" w:name="_Toc418758492"/>
      <w:bookmarkStart w:id="1259" w:name="_Toc418759094"/>
      <w:bookmarkStart w:id="1260" w:name="_Toc419813879"/>
      <w:r w:rsidRPr="008C32BC">
        <w:rPr>
          <w:rFonts w:ascii="Arial Negrito" w:hAnsi="Arial Negrito"/>
          <w:bCs/>
          <w:noProof/>
        </w:rPr>
        <w:t xml:space="preserve">Indicadores </w:t>
      </w:r>
      <w:r w:rsidR="008C32BC">
        <w:rPr>
          <w:rFonts w:ascii="Arial Negrito" w:hAnsi="Arial Negrito"/>
          <w:bCs/>
          <w:noProof/>
        </w:rPr>
        <w:t>A</w:t>
      </w:r>
      <w:r w:rsidRPr="008C32BC">
        <w:rPr>
          <w:rFonts w:ascii="Arial Negrito" w:hAnsi="Arial Negrito"/>
          <w:bCs/>
          <w:noProof/>
        </w:rPr>
        <w:t>mbientais</w:t>
      </w:r>
      <w:bookmarkEnd w:id="1258"/>
      <w:bookmarkEnd w:id="1259"/>
      <w:bookmarkEnd w:id="1260"/>
    </w:p>
    <w:p w:rsidR="00BC6507" w:rsidRPr="00F33469" w:rsidRDefault="00BC6507" w:rsidP="00D2378F">
      <w:pPr>
        <w:spacing w:before="120" w:after="120" w:line="240" w:lineRule="auto"/>
        <w:rPr>
          <w:rFonts w:cs="Arial"/>
        </w:rPr>
      </w:pPr>
      <w:r w:rsidRPr="00F33469">
        <w:rPr>
          <w:rFonts w:cs="Arial"/>
        </w:rPr>
        <w:t xml:space="preserve">Os resultados das amostras qualitativas e quantitativas das comunidades </w:t>
      </w:r>
      <w:r>
        <w:rPr>
          <w:rFonts w:cs="Arial"/>
        </w:rPr>
        <w:t>ictíicas serão avaliada</w:t>
      </w:r>
      <w:r w:rsidRPr="00F33469">
        <w:rPr>
          <w:rFonts w:cs="Arial"/>
        </w:rPr>
        <w:t>s através dos seguintes indicadores ambientais</w:t>
      </w:r>
      <w:r>
        <w:rPr>
          <w:rFonts w:cs="Arial"/>
        </w:rPr>
        <w:t xml:space="preserve"> que descrevem aspectos</w:t>
      </w:r>
      <w:r w:rsidRPr="00F33469">
        <w:rPr>
          <w:rFonts w:cs="Arial"/>
        </w:rPr>
        <w:t xml:space="preserve"> ecológicos de comunidades: </w:t>
      </w:r>
    </w:p>
    <w:p w:rsidR="00BC6507" w:rsidRPr="00F33469" w:rsidRDefault="00BC6507" w:rsidP="00431A97">
      <w:pPr>
        <w:numPr>
          <w:ilvl w:val="0"/>
          <w:numId w:val="33"/>
        </w:numPr>
        <w:tabs>
          <w:tab w:val="clear" w:pos="360"/>
        </w:tabs>
        <w:spacing w:before="120" w:after="120" w:line="240" w:lineRule="auto"/>
        <w:rPr>
          <w:rFonts w:cs="Arial"/>
          <w:b/>
        </w:rPr>
      </w:pPr>
      <w:r w:rsidRPr="00F33469">
        <w:rPr>
          <w:rFonts w:cs="Arial"/>
          <w:b/>
        </w:rPr>
        <w:t>Riqueza de Táxons</w:t>
      </w:r>
    </w:p>
    <w:p w:rsidR="00BC6507" w:rsidRPr="00F33469" w:rsidRDefault="00BC6507" w:rsidP="00D2378F">
      <w:pPr>
        <w:spacing w:before="120" w:after="120" w:line="240" w:lineRule="auto"/>
        <w:rPr>
          <w:rFonts w:cs="Arial"/>
        </w:rPr>
      </w:pPr>
      <w:r w:rsidRPr="00F33469">
        <w:rPr>
          <w:rFonts w:cs="Arial"/>
        </w:rPr>
        <w:t>Será calculada a partir do número total de táxons presentes em cada amostra</w:t>
      </w:r>
      <w:r>
        <w:rPr>
          <w:rFonts w:cs="Arial"/>
        </w:rPr>
        <w:t xml:space="preserve"> e em cada bacia estudada</w:t>
      </w:r>
      <w:r w:rsidRPr="00F33469">
        <w:rPr>
          <w:rFonts w:cs="Arial"/>
        </w:rPr>
        <w:t>.</w:t>
      </w:r>
    </w:p>
    <w:p w:rsidR="00BC6507" w:rsidRPr="00F33469" w:rsidRDefault="00BC6507" w:rsidP="00431A97">
      <w:pPr>
        <w:numPr>
          <w:ilvl w:val="0"/>
          <w:numId w:val="33"/>
        </w:numPr>
        <w:tabs>
          <w:tab w:val="clear" w:pos="360"/>
        </w:tabs>
        <w:spacing w:before="120" w:after="120" w:line="240" w:lineRule="auto"/>
        <w:rPr>
          <w:rFonts w:cs="Arial"/>
          <w:b/>
        </w:rPr>
      </w:pPr>
      <w:r w:rsidRPr="00F33469">
        <w:rPr>
          <w:rFonts w:cs="Arial"/>
          <w:b/>
        </w:rPr>
        <w:t xml:space="preserve">Distribuição Espacial </w:t>
      </w:r>
    </w:p>
    <w:p w:rsidR="00BC6507" w:rsidRPr="00F33469" w:rsidRDefault="00BC6507" w:rsidP="00D2378F">
      <w:pPr>
        <w:spacing w:before="120" w:after="120" w:line="240" w:lineRule="auto"/>
        <w:rPr>
          <w:rFonts w:cs="Arial"/>
        </w:rPr>
      </w:pPr>
      <w:r w:rsidRPr="00F33469">
        <w:rPr>
          <w:rFonts w:cs="Arial"/>
        </w:rPr>
        <w:t>A leitura da distribuição espacial dos organismos na rede de amostragem será realizada com base na presença ou ausência de determinado táxon nos pontos de coleta.</w:t>
      </w:r>
    </w:p>
    <w:p w:rsidR="00BC6507" w:rsidRPr="00F33469" w:rsidRDefault="00BC6507" w:rsidP="00431A97">
      <w:pPr>
        <w:numPr>
          <w:ilvl w:val="0"/>
          <w:numId w:val="33"/>
        </w:numPr>
        <w:tabs>
          <w:tab w:val="clear" w:pos="360"/>
        </w:tabs>
        <w:spacing w:before="120" w:after="120" w:line="240" w:lineRule="auto"/>
        <w:rPr>
          <w:rFonts w:cs="Arial"/>
          <w:b/>
        </w:rPr>
      </w:pPr>
      <w:r w:rsidRPr="00F33469">
        <w:rPr>
          <w:rFonts w:cs="Arial"/>
          <w:b/>
        </w:rPr>
        <w:t>Frequência de Ocorrência</w:t>
      </w:r>
    </w:p>
    <w:p w:rsidR="00BC6507" w:rsidRPr="00F33469" w:rsidRDefault="00BC6507" w:rsidP="00D2378F">
      <w:pPr>
        <w:spacing w:before="120" w:after="120" w:line="240" w:lineRule="auto"/>
        <w:rPr>
          <w:rFonts w:cs="Arial"/>
        </w:rPr>
      </w:pPr>
      <w:r w:rsidRPr="00F33469">
        <w:rPr>
          <w:rFonts w:cs="Arial"/>
        </w:rPr>
        <w:t xml:space="preserve">A frequência de ocorrência de cada táxon será estimada a partir da relação entre o número de amostras em que cada táxon esteve presente e o número total de amostras analisadas. </w:t>
      </w:r>
    </w:p>
    <w:p w:rsidR="00BC6507" w:rsidRPr="00F33469" w:rsidRDefault="00BC6507" w:rsidP="00431A97">
      <w:pPr>
        <w:keepNext/>
        <w:numPr>
          <w:ilvl w:val="0"/>
          <w:numId w:val="33"/>
        </w:numPr>
        <w:tabs>
          <w:tab w:val="clear" w:pos="360"/>
        </w:tabs>
        <w:spacing w:before="120" w:after="120" w:line="240" w:lineRule="auto"/>
        <w:ind w:left="357" w:hanging="357"/>
        <w:rPr>
          <w:rFonts w:cs="Arial"/>
          <w:b/>
        </w:rPr>
      </w:pPr>
      <w:r w:rsidRPr="00F33469">
        <w:rPr>
          <w:rFonts w:cs="Arial"/>
          <w:b/>
        </w:rPr>
        <w:t>Eficiência Amostral</w:t>
      </w:r>
    </w:p>
    <w:p w:rsidR="00BC6507" w:rsidRPr="00F33469" w:rsidRDefault="00BC6507" w:rsidP="00D2378F">
      <w:pPr>
        <w:spacing w:before="120" w:after="120" w:line="240" w:lineRule="auto"/>
        <w:rPr>
          <w:rFonts w:cs="Arial"/>
        </w:rPr>
      </w:pPr>
      <w:r w:rsidRPr="00F33469">
        <w:rPr>
          <w:rFonts w:cs="Arial"/>
        </w:rPr>
        <w:t xml:space="preserve">Para avaliar a suficiência da amostragem será elaborada a curva de acumulação de espécies, com 1.000 aleatorizações na ordem das amostras, confeccionada a partir dos dados gerados pelo programa Estimate S 8.2 (COLWELL, 2005). </w:t>
      </w:r>
    </w:p>
    <w:p w:rsidR="00BC6507" w:rsidRPr="00F33469" w:rsidRDefault="00BC6507" w:rsidP="00431A97">
      <w:pPr>
        <w:numPr>
          <w:ilvl w:val="0"/>
          <w:numId w:val="33"/>
        </w:numPr>
        <w:tabs>
          <w:tab w:val="clear" w:pos="360"/>
        </w:tabs>
        <w:spacing w:before="120" w:after="120" w:line="240" w:lineRule="auto"/>
        <w:rPr>
          <w:rFonts w:cs="Arial"/>
          <w:b/>
        </w:rPr>
      </w:pPr>
      <w:r w:rsidRPr="00F33469">
        <w:rPr>
          <w:rFonts w:cs="Arial"/>
          <w:b/>
        </w:rPr>
        <w:t>Abundância Relativa</w:t>
      </w:r>
    </w:p>
    <w:p w:rsidR="00BC6507" w:rsidRPr="00F33469" w:rsidRDefault="00BC6507" w:rsidP="00D2378F">
      <w:pPr>
        <w:spacing w:before="120" w:after="120" w:line="240" w:lineRule="auto"/>
        <w:rPr>
          <w:rFonts w:cs="Arial"/>
        </w:rPr>
      </w:pPr>
      <w:r w:rsidRPr="00F33469">
        <w:rPr>
          <w:rFonts w:cs="Arial"/>
        </w:rPr>
        <w:t>Esse indicador compreende a relação entre o número de táxon</w:t>
      </w:r>
      <w:r>
        <w:rPr>
          <w:rFonts w:cs="Arial"/>
        </w:rPr>
        <w:t>s</w:t>
      </w:r>
      <w:r w:rsidRPr="00F33469">
        <w:rPr>
          <w:rFonts w:cs="Arial"/>
        </w:rPr>
        <w:t xml:space="preserve"> e o número total de táxons presentes na amostra. Os resultados serão apresentados </w:t>
      </w:r>
      <w:r>
        <w:rPr>
          <w:rFonts w:cs="Arial"/>
        </w:rPr>
        <w:t>na forma de</w:t>
      </w:r>
      <w:r w:rsidRPr="00F33469">
        <w:rPr>
          <w:rFonts w:cs="Arial"/>
        </w:rPr>
        <w:t xml:space="preserve"> porcentagem (%)</w:t>
      </w:r>
      <w:r>
        <w:rPr>
          <w:rFonts w:cs="Arial"/>
        </w:rPr>
        <w:t xml:space="preserve">. </w:t>
      </w:r>
    </w:p>
    <w:p w:rsidR="00BC6507" w:rsidRPr="00F33469" w:rsidRDefault="00BC6507" w:rsidP="00431A97">
      <w:pPr>
        <w:numPr>
          <w:ilvl w:val="0"/>
          <w:numId w:val="33"/>
        </w:numPr>
        <w:tabs>
          <w:tab w:val="clear" w:pos="360"/>
        </w:tabs>
        <w:spacing w:before="120" w:after="120" w:line="240" w:lineRule="auto"/>
        <w:rPr>
          <w:rFonts w:cs="Arial"/>
          <w:b/>
        </w:rPr>
      </w:pPr>
      <w:r w:rsidRPr="00F33469">
        <w:rPr>
          <w:rFonts w:cs="Arial"/>
          <w:b/>
        </w:rPr>
        <w:t xml:space="preserve">Índices </w:t>
      </w:r>
      <w:r>
        <w:rPr>
          <w:rFonts w:cs="Arial"/>
          <w:b/>
        </w:rPr>
        <w:t>de Riqueza e Equitatividade</w:t>
      </w:r>
    </w:p>
    <w:p w:rsidR="00BC6507" w:rsidRPr="00FA3EDD" w:rsidRDefault="00BC6507" w:rsidP="00D2378F">
      <w:pPr>
        <w:spacing w:before="120" w:after="120" w:line="240" w:lineRule="auto"/>
        <w:rPr>
          <w:rFonts w:cs="Arial"/>
          <w:noProof/>
        </w:rPr>
      </w:pPr>
      <w:r w:rsidRPr="00F33469">
        <w:rPr>
          <w:rFonts w:cs="Arial"/>
        </w:rPr>
        <w:t xml:space="preserve">Será adotado o índice de diversidade de Shannon-Wienner e o índice de </w:t>
      </w:r>
      <w:r>
        <w:rPr>
          <w:rFonts w:cs="Arial"/>
        </w:rPr>
        <w:t>Equitatividade</w:t>
      </w:r>
      <w:r w:rsidRPr="00F33469">
        <w:rPr>
          <w:rFonts w:cs="Arial"/>
        </w:rPr>
        <w:t>. O grau de semelhança entre os pontos de coleta</w:t>
      </w:r>
      <w:r>
        <w:rPr>
          <w:rFonts w:cs="Arial"/>
        </w:rPr>
        <w:t xml:space="preserve"> em cada uma das drenagens</w:t>
      </w:r>
      <w:r w:rsidRPr="00F33469">
        <w:rPr>
          <w:rFonts w:cs="Arial"/>
        </w:rPr>
        <w:t xml:space="preserve"> será </w:t>
      </w:r>
      <w:r>
        <w:rPr>
          <w:rFonts w:cs="Arial"/>
        </w:rPr>
        <w:t xml:space="preserve">comparado. </w:t>
      </w:r>
    </w:p>
    <w:p w:rsidR="00BC6507" w:rsidRPr="008C32BC" w:rsidRDefault="00BC6507" w:rsidP="00431A97">
      <w:pPr>
        <w:pStyle w:val="Ttulo3"/>
        <w:numPr>
          <w:ilvl w:val="3"/>
          <w:numId w:val="84"/>
        </w:numPr>
        <w:rPr>
          <w:rFonts w:ascii="Arial Negrito" w:hAnsi="Arial Negrito"/>
          <w:bCs/>
          <w:noProof/>
        </w:rPr>
      </w:pPr>
      <w:bookmarkStart w:id="1261" w:name="_Toc418758493"/>
      <w:bookmarkStart w:id="1262" w:name="_Toc418759095"/>
      <w:bookmarkStart w:id="1263" w:name="_Toc419813880"/>
      <w:r w:rsidRPr="008C32BC">
        <w:rPr>
          <w:rFonts w:ascii="Arial Negrito" w:hAnsi="Arial Negrito"/>
          <w:bCs/>
          <w:noProof/>
        </w:rPr>
        <w:t>Recursos</w:t>
      </w:r>
      <w:r w:rsidR="008C32BC">
        <w:rPr>
          <w:rFonts w:ascii="Arial Negrito" w:hAnsi="Arial Negrito"/>
          <w:bCs/>
          <w:noProof/>
        </w:rPr>
        <w:t>M</w:t>
      </w:r>
      <w:r w:rsidRPr="008C32BC">
        <w:rPr>
          <w:rFonts w:ascii="Arial Negrito" w:hAnsi="Arial Negrito"/>
          <w:bCs/>
          <w:noProof/>
        </w:rPr>
        <w:t xml:space="preserve">materiais e </w:t>
      </w:r>
      <w:r w:rsidR="008C32BC">
        <w:rPr>
          <w:rFonts w:ascii="Arial Negrito" w:hAnsi="Arial Negrito"/>
          <w:bCs/>
          <w:noProof/>
        </w:rPr>
        <w:t>H</w:t>
      </w:r>
      <w:r w:rsidRPr="008C32BC">
        <w:rPr>
          <w:rFonts w:ascii="Arial Negrito" w:hAnsi="Arial Negrito"/>
          <w:bCs/>
          <w:noProof/>
        </w:rPr>
        <w:t>umanos</w:t>
      </w:r>
      <w:bookmarkEnd w:id="1261"/>
      <w:bookmarkEnd w:id="1262"/>
      <w:bookmarkEnd w:id="1263"/>
    </w:p>
    <w:p w:rsidR="00BC6507" w:rsidRPr="00656EA3" w:rsidRDefault="00BC6507" w:rsidP="00656EA3">
      <w:pPr>
        <w:pStyle w:val="Item-Trainho"/>
      </w:pPr>
      <w:r w:rsidRPr="00656EA3">
        <w:t xml:space="preserve">Para a execução do Programa de Monitoramento da Ictiofauna, incluindo os estudos de monitoramento dos MTPs, será preciso contar com uma equipe mínima de especialistas para a realização dos levantamentos de campo (dois técnicos, biólogos, engenheiros de pesca, na categoria pleno) mais dois auxiliares de campo. </w:t>
      </w:r>
    </w:p>
    <w:p w:rsidR="00BC6507" w:rsidRPr="00656EA3" w:rsidRDefault="00BC6507" w:rsidP="00656EA3">
      <w:pPr>
        <w:pStyle w:val="Item-Trainho"/>
      </w:pPr>
      <w:r w:rsidRPr="00656EA3">
        <w:t>Para as operaçõas de salvamento da ictiofauna, além dos técnicos especialistas em ictiofauna (dois biólogos e/ou engenheiros de pesca) será necessário o apoio de mais cinco auxiliares de campo. Caso haja coincidência da implantação das ensecadeiras em ambos os empreendimentos, o número de auxiliares de campo deverá ser dobrado, passando de 5 para 10 pessoas, que serão contratadas apenas durante a fase do Subprograma de Resgate da Ictiofauna;</w:t>
      </w:r>
    </w:p>
    <w:p w:rsidR="00BC6507" w:rsidRPr="00656EA3" w:rsidRDefault="00BC6507" w:rsidP="00656EA3">
      <w:pPr>
        <w:pStyle w:val="Item-Trainho"/>
      </w:pPr>
      <w:r w:rsidRPr="00656EA3">
        <w:t>Material de apoio: barcos completos (</w:t>
      </w:r>
      <w:r w:rsidR="00E03C62" w:rsidRPr="00656EA3">
        <w:t>piloto</w:t>
      </w:r>
      <w:r w:rsidRPr="00656EA3">
        <w:t>, motor, combustível e material de salvatagem), mão-de-obra para auxiliar os técnicos no campo, material de coleta, material para conservação das amostras e material de consumo (iscas, frascos, formol, álcool, material de laboratório etc).</w:t>
      </w:r>
    </w:p>
    <w:p w:rsidR="00BC6507" w:rsidRPr="00FD2308" w:rsidRDefault="00BC6507" w:rsidP="00431A97">
      <w:pPr>
        <w:pStyle w:val="Ttulo3"/>
        <w:numPr>
          <w:ilvl w:val="3"/>
          <w:numId w:val="84"/>
        </w:numPr>
        <w:rPr>
          <w:rFonts w:ascii="Arial Negrito" w:hAnsi="Arial Negrito"/>
          <w:bCs/>
          <w:noProof/>
        </w:rPr>
      </w:pPr>
      <w:bookmarkStart w:id="1264" w:name="_Toc418758494"/>
      <w:bookmarkStart w:id="1265" w:name="_Toc418759096"/>
      <w:bookmarkStart w:id="1266" w:name="_Toc419813881"/>
      <w:r w:rsidRPr="00FD2308">
        <w:rPr>
          <w:rFonts w:ascii="Arial Negrito" w:hAnsi="Arial Negrito"/>
          <w:bCs/>
          <w:noProof/>
        </w:rPr>
        <w:t xml:space="preserve">Atendimento a </w:t>
      </w:r>
      <w:r w:rsidR="00FD2308">
        <w:rPr>
          <w:rFonts w:ascii="Arial Negrito" w:hAnsi="Arial Negrito"/>
          <w:bCs/>
          <w:noProof/>
        </w:rPr>
        <w:t>R</w:t>
      </w:r>
      <w:r w:rsidRPr="00FD2308">
        <w:rPr>
          <w:rFonts w:ascii="Arial Negrito" w:hAnsi="Arial Negrito"/>
          <w:bCs/>
          <w:noProof/>
        </w:rPr>
        <w:t xml:space="preserve">equisitos </w:t>
      </w:r>
      <w:r w:rsidR="00FD2308">
        <w:rPr>
          <w:rFonts w:ascii="Arial Negrito" w:hAnsi="Arial Negrito"/>
          <w:bCs/>
          <w:noProof/>
        </w:rPr>
        <w:t>L</w:t>
      </w:r>
      <w:r w:rsidRPr="00FD2308">
        <w:rPr>
          <w:rFonts w:ascii="Arial Negrito" w:hAnsi="Arial Negrito"/>
          <w:bCs/>
          <w:noProof/>
        </w:rPr>
        <w:t xml:space="preserve">egais e/ou outros </w:t>
      </w:r>
      <w:r w:rsidR="00FD2308">
        <w:rPr>
          <w:rFonts w:ascii="Arial Negrito" w:hAnsi="Arial Negrito"/>
          <w:bCs/>
          <w:noProof/>
        </w:rPr>
        <w:t>R</w:t>
      </w:r>
      <w:r w:rsidRPr="00FD2308">
        <w:rPr>
          <w:rFonts w:ascii="Arial Negrito" w:hAnsi="Arial Negrito"/>
          <w:bCs/>
          <w:noProof/>
        </w:rPr>
        <w:t>equisitos</w:t>
      </w:r>
      <w:bookmarkEnd w:id="1264"/>
      <w:bookmarkEnd w:id="1265"/>
      <w:bookmarkEnd w:id="1266"/>
    </w:p>
    <w:p w:rsidR="00BC6507" w:rsidRPr="009A4D91" w:rsidRDefault="00BC6507" w:rsidP="00BC6507">
      <w:pPr>
        <w:pStyle w:val="APM-Lista1tracinho"/>
        <w:tabs>
          <w:tab w:val="clear" w:pos="357"/>
        </w:tabs>
        <w:spacing w:before="120" w:after="120" w:line="240" w:lineRule="auto"/>
        <w:ind w:left="0" w:firstLine="0"/>
        <w:rPr>
          <w:rFonts w:ascii="Arial" w:hAnsi="Arial" w:cs="Arial"/>
          <w:szCs w:val="22"/>
        </w:rPr>
      </w:pPr>
      <w:r w:rsidRPr="009A4D91">
        <w:rPr>
          <w:rFonts w:ascii="Arial" w:hAnsi="Arial" w:cs="Arial"/>
          <w:szCs w:val="22"/>
        </w:rPr>
        <w:t>O presente programa tem como base legal a Instrução Normativa do IBAMA</w:t>
      </w:r>
      <w:r>
        <w:rPr>
          <w:rFonts w:ascii="Arial" w:hAnsi="Arial" w:cs="Arial"/>
          <w:szCs w:val="22"/>
        </w:rPr>
        <w:t xml:space="preserve"> IN</w:t>
      </w:r>
      <w:r w:rsidRPr="009A4D91">
        <w:rPr>
          <w:rFonts w:ascii="Arial" w:hAnsi="Arial" w:cs="Arial"/>
          <w:szCs w:val="22"/>
        </w:rPr>
        <w:t xml:space="preserve"> nº 146, de 10/01/2007, que considera o Artigo 225, parágrafo 1º, inciso VII da Constituição da República Federativa do Brasil, o Artigo 1o da Lei no 5.197, de 03/01/1967, Artigo 1º, inciso III, e o Artigo 6º, inciso I, item b, da Resolução </w:t>
      </w:r>
      <w:r w:rsidR="00504078">
        <w:rPr>
          <w:rFonts w:ascii="Arial" w:hAnsi="Arial" w:cs="Arial"/>
          <w:szCs w:val="22"/>
        </w:rPr>
        <w:t>CONAMA</w:t>
      </w:r>
      <w:r w:rsidRPr="009A4D91">
        <w:rPr>
          <w:rFonts w:ascii="Arial" w:hAnsi="Arial" w:cs="Arial"/>
          <w:szCs w:val="22"/>
        </w:rPr>
        <w:t xml:space="preserve"> nº 001, de 23/01/1986 e o Artigo 4º, inciso V, parágrafo 2º, da Resolução </w:t>
      </w:r>
      <w:r w:rsidR="00504078">
        <w:rPr>
          <w:rFonts w:ascii="Arial" w:hAnsi="Arial" w:cs="Arial"/>
          <w:szCs w:val="22"/>
        </w:rPr>
        <w:t>CONAMA</w:t>
      </w:r>
      <w:r w:rsidRPr="009A4D91">
        <w:rPr>
          <w:rFonts w:ascii="Arial" w:hAnsi="Arial" w:cs="Arial"/>
          <w:szCs w:val="22"/>
        </w:rPr>
        <w:t xml:space="preserve"> nº 237 de 16/12/1997, o Artigo 15 do Decreto nº 5.718 de 13/03/2006. Esta IN</w:t>
      </w:r>
      <w:r>
        <w:rPr>
          <w:rFonts w:ascii="Arial" w:hAnsi="Arial" w:cs="Arial"/>
          <w:szCs w:val="22"/>
        </w:rPr>
        <w:t xml:space="preserve"> </w:t>
      </w:r>
      <w:r w:rsidRPr="009A4D91">
        <w:rPr>
          <w:rFonts w:ascii="Arial" w:hAnsi="Arial" w:cs="Arial"/>
          <w:szCs w:val="22"/>
        </w:rPr>
        <w:t xml:space="preserve">estabelece os critérios para procedimentos relativos ao manejo de fauna silvestre (levantamento, monitoramento, salvamento, resgate e destinação) em áreas de influência de empreendimentos e atividades consideradas efetiva ou potencialmente causadoras de impactos à fauna e que estão sujeitas ao licenciamento ambiental, como definido pela Lei nº 6.938/81 e pelas Resoluções </w:t>
      </w:r>
      <w:r w:rsidR="00504078">
        <w:rPr>
          <w:rFonts w:ascii="Arial" w:hAnsi="Arial" w:cs="Arial"/>
          <w:szCs w:val="22"/>
        </w:rPr>
        <w:t>CONAMA</w:t>
      </w:r>
      <w:r w:rsidRPr="009A4D91">
        <w:rPr>
          <w:rFonts w:ascii="Arial" w:hAnsi="Arial" w:cs="Arial"/>
          <w:szCs w:val="22"/>
        </w:rPr>
        <w:t xml:space="preserve"> nº 001/86 e nº 237/97. </w:t>
      </w:r>
    </w:p>
    <w:p w:rsidR="00BC6507" w:rsidRPr="009A4D91" w:rsidRDefault="00BC6507" w:rsidP="00BC6507">
      <w:pPr>
        <w:pStyle w:val="APM-Lista1tracinho"/>
        <w:tabs>
          <w:tab w:val="clear" w:pos="357"/>
        </w:tabs>
        <w:spacing w:before="120" w:after="120" w:line="240" w:lineRule="auto"/>
        <w:ind w:left="0" w:firstLine="0"/>
        <w:rPr>
          <w:rFonts w:ascii="Arial" w:hAnsi="Arial" w:cs="Arial"/>
          <w:szCs w:val="22"/>
        </w:rPr>
      </w:pPr>
      <w:r w:rsidRPr="009A4D91">
        <w:rPr>
          <w:rFonts w:ascii="Arial" w:hAnsi="Arial" w:cs="Arial"/>
          <w:szCs w:val="22"/>
        </w:rPr>
        <w:t xml:space="preserve">São citados, a seguir, documentos legais a serem cumpridos, que deverão ser analisados quanto a sua aplicação à ictiofauna. </w:t>
      </w:r>
    </w:p>
    <w:p w:rsidR="00BC6507" w:rsidRPr="009A4D91" w:rsidRDefault="00BC6507" w:rsidP="00656EA3">
      <w:pPr>
        <w:pStyle w:val="Item-Trainho"/>
      </w:pPr>
      <w:r w:rsidRPr="009A4D91">
        <w:t xml:space="preserve">Decreto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 xml:space="preserve">58.054/66, de 23/03/66 – Promulga a Convenção para a proteção da flora, fauna e das belezas cênicas naturais dos países da América, assinada pelo Brasil, em 27/02/40; </w:t>
      </w:r>
    </w:p>
    <w:p w:rsidR="00BC6507" w:rsidRPr="009A4D91" w:rsidRDefault="00BC6507" w:rsidP="00656EA3">
      <w:pPr>
        <w:pStyle w:val="Item-Trainho"/>
      </w:pPr>
      <w:r w:rsidRPr="009A4D91">
        <w:t xml:space="preserve">Lei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 xml:space="preserve">5.197/67, de 03/01/67 – Dispõe sobre a proteção à fauna (alterada pelas Leis nº 7.584/87, nº 7.653/88, nº 7.679/88 e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 xml:space="preserve">9.111/75; Lei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 xml:space="preserve">9.605/98, Decreto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 xml:space="preserve">97.633/89 e Portaria IBAMA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 xml:space="preserve">1.522/89); </w:t>
      </w:r>
    </w:p>
    <w:p w:rsidR="00BC6507" w:rsidRPr="009A4D91" w:rsidRDefault="00BC6507" w:rsidP="00656EA3">
      <w:pPr>
        <w:pStyle w:val="Item-Trainho"/>
      </w:pPr>
      <w:r w:rsidRPr="009A4D91">
        <w:t xml:space="preserve">Lei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 xml:space="preserve">7.584/87, de 06/01/87 – Acrescenta parágrafo ao Artigo 33 da Lei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 xml:space="preserve">5.197/67, que dispõe sobre a proteção à fauna; </w:t>
      </w:r>
    </w:p>
    <w:p w:rsidR="00BC6507" w:rsidRPr="009A4D91" w:rsidRDefault="00BC6507" w:rsidP="00656EA3">
      <w:pPr>
        <w:pStyle w:val="Item-Trainho"/>
      </w:pPr>
      <w:r w:rsidRPr="009A4D91">
        <w:t xml:space="preserve">Decreto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 xml:space="preserve">97.633/89, de 10/04/89 – Dispõe sobre o Conselho Nacional de Proteção à Fauna (Decreto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 xml:space="preserve">1.218/94); </w:t>
      </w:r>
    </w:p>
    <w:p w:rsidR="00BC6507" w:rsidRPr="009A4D91" w:rsidRDefault="00BC6507" w:rsidP="00656EA3">
      <w:pPr>
        <w:pStyle w:val="Item-Trainho"/>
      </w:pPr>
      <w:r w:rsidRPr="009A4D91">
        <w:t xml:space="preserve">Lei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 xml:space="preserve">9.111/95, de 10/10/95 – Acrescenta dispositivo à Lei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5.197/67, que dispõe sobre a proteção à fauna;</w:t>
      </w:r>
    </w:p>
    <w:p w:rsidR="00BC6507" w:rsidRPr="009A4D91" w:rsidRDefault="00BC6507" w:rsidP="00656EA3">
      <w:pPr>
        <w:pStyle w:val="Item-Trainho"/>
        <w:rPr>
          <w:b/>
          <w:bCs/>
        </w:rPr>
      </w:pPr>
      <w:r w:rsidRPr="009A4D91">
        <w:rPr>
          <w:b/>
        </w:rPr>
        <w:t xml:space="preserve">Lei </w:t>
      </w:r>
      <w:r w:rsidR="00810CA3" w:rsidRPr="00810CA3">
        <w:rPr>
          <w:rFonts w:eastAsia="Batang"/>
          <w:b/>
          <w:lang w:eastAsia="en-US"/>
        </w:rPr>
        <w:t>n</w:t>
      </w:r>
      <w:r w:rsidR="00810CA3" w:rsidRPr="00810CA3">
        <w:rPr>
          <w:rFonts w:eastAsia="Batang"/>
          <w:b/>
          <w:u w:val="single"/>
          <w:vertAlign w:val="superscript"/>
          <w:lang w:eastAsia="en-US"/>
        </w:rPr>
        <w:t>o</w:t>
      </w:r>
      <w:r w:rsidR="00810CA3" w:rsidRPr="00810CA3">
        <w:rPr>
          <w:b/>
        </w:rPr>
        <w:t xml:space="preserve"> </w:t>
      </w:r>
      <w:r w:rsidRPr="009A4D91">
        <w:rPr>
          <w:b/>
        </w:rPr>
        <w:t xml:space="preserve">9.798, de 07/10/1997 - </w:t>
      </w:r>
      <w:r w:rsidRPr="009A4D91">
        <w:rPr>
          <w:b/>
          <w:bCs/>
        </w:rPr>
        <w:t>Dispõe sobre a construção de escadas para peixes em barragens edificadas em cursos de água de domínio do Estado de São Paulo;</w:t>
      </w:r>
    </w:p>
    <w:p w:rsidR="00BC6507" w:rsidRPr="009A4D91" w:rsidRDefault="00D84387" w:rsidP="00656EA3">
      <w:pPr>
        <w:pStyle w:val="Item-Trainho"/>
        <w:rPr>
          <w:shd w:val="clear" w:color="auto" w:fill="FFFFFF"/>
        </w:rPr>
      </w:pPr>
      <w:hyperlink r:id="rId48" w:history="1">
        <w:r w:rsidR="00BC6507" w:rsidRPr="00977CD5">
          <w:rPr>
            <w:rStyle w:val="Hyperlink"/>
            <w:rFonts w:eastAsia="Batang" w:cs="Arial"/>
            <w:bCs/>
            <w:color w:val="auto"/>
            <w:szCs w:val="22"/>
            <w:u w:val="none"/>
            <w:shd w:val="clear" w:color="auto" w:fill="FFFFFF"/>
          </w:rPr>
          <w:t xml:space="preserve">Lei </w:t>
        </w:r>
        <w:r w:rsidR="00810CA3">
          <w:rPr>
            <w:rFonts w:eastAsia="Batang"/>
            <w:lang w:eastAsia="en-US"/>
          </w:rPr>
          <w:t>n</w:t>
        </w:r>
        <w:r w:rsidR="00810CA3" w:rsidRPr="00F94909">
          <w:rPr>
            <w:rFonts w:eastAsia="Batang"/>
            <w:u w:val="single"/>
            <w:vertAlign w:val="superscript"/>
            <w:lang w:eastAsia="en-US"/>
          </w:rPr>
          <w:t>o</w:t>
        </w:r>
        <w:r w:rsidR="00810CA3" w:rsidRPr="00977CD5">
          <w:rPr>
            <w:rStyle w:val="Hyperlink"/>
            <w:rFonts w:eastAsia="Batang" w:cs="Arial"/>
            <w:bCs/>
            <w:color w:val="auto"/>
            <w:szCs w:val="22"/>
            <w:u w:val="none"/>
            <w:shd w:val="clear" w:color="auto" w:fill="FFFFFF"/>
          </w:rPr>
          <w:t xml:space="preserve"> </w:t>
        </w:r>
        <w:r w:rsidR="00BC6507" w:rsidRPr="00977CD5">
          <w:rPr>
            <w:rStyle w:val="Hyperlink"/>
            <w:rFonts w:eastAsia="Batang" w:cs="Arial"/>
            <w:bCs/>
            <w:color w:val="auto"/>
            <w:szCs w:val="22"/>
            <w:u w:val="none"/>
            <w:shd w:val="clear" w:color="auto" w:fill="FFFFFF"/>
          </w:rPr>
          <w:t xml:space="preserve">9.605, de 12 de fevereiro de 1998, que </w:t>
        </w:r>
      </w:hyperlink>
      <w:r w:rsidR="00BC6507" w:rsidRPr="00977CD5">
        <w:rPr>
          <w:bCs/>
          <w:shd w:val="clear" w:color="auto" w:fill="FFFFFF"/>
        </w:rPr>
        <w:t>d</w:t>
      </w:r>
      <w:r w:rsidR="00BC6507" w:rsidRPr="00977CD5">
        <w:rPr>
          <w:shd w:val="clear" w:color="auto" w:fill="FFFFFF"/>
        </w:rPr>
        <w:t>ispõe</w:t>
      </w:r>
      <w:r w:rsidR="00BC6507" w:rsidRPr="009A4D91">
        <w:rPr>
          <w:shd w:val="clear" w:color="auto" w:fill="FFFFFF"/>
        </w:rPr>
        <w:t xml:space="preserve"> sobre as sanções penais e administrativas derivadas de condutas e atividades lesivas ao meio ambiente, e dá outras providências;</w:t>
      </w:r>
    </w:p>
    <w:p w:rsidR="00BC6507" w:rsidRPr="009A4D91" w:rsidRDefault="00BC6507" w:rsidP="00656EA3">
      <w:pPr>
        <w:pStyle w:val="Item-Trainho"/>
      </w:pPr>
      <w:r w:rsidRPr="009A4D91">
        <w:t xml:space="preserve">Resolução SMA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 xml:space="preserve">92, de 14 de novembro de 2014, que define as autorizações para manejo de fauna silvestre no Estado de São Paulo, e implanta o Sistema Integrado de Gestão de Fauna Silvestre – GEFAU; </w:t>
      </w:r>
    </w:p>
    <w:p w:rsidR="00BC6507" w:rsidRPr="009A4D91" w:rsidRDefault="00BC6507" w:rsidP="00656EA3">
      <w:pPr>
        <w:pStyle w:val="Item-Trainho"/>
        <w:rPr>
          <w:noProof/>
        </w:rPr>
      </w:pPr>
      <w:r w:rsidRPr="009A4D91">
        <w:t xml:space="preserve">Lei </w:t>
      </w:r>
      <w:r w:rsidR="00810CA3">
        <w:rPr>
          <w:rFonts w:eastAsia="Batang"/>
          <w:lang w:eastAsia="en-US"/>
        </w:rPr>
        <w:t>n</w:t>
      </w:r>
      <w:r w:rsidR="00810CA3" w:rsidRPr="00F94909">
        <w:rPr>
          <w:rFonts w:eastAsia="Batang"/>
          <w:u w:val="single"/>
          <w:vertAlign w:val="superscript"/>
          <w:lang w:eastAsia="en-US"/>
        </w:rPr>
        <w:t>o</w:t>
      </w:r>
      <w:r w:rsidR="00810CA3" w:rsidRPr="009A4D91">
        <w:t xml:space="preserve"> </w:t>
      </w:r>
      <w:r w:rsidRPr="009A4D91">
        <w:t>11.977, de 25 de agosto de 2005 – que dispõe sobre o código de Proteção aos Animais em SP;</w:t>
      </w:r>
    </w:p>
    <w:p w:rsidR="00BC6507" w:rsidRPr="009A4D91" w:rsidRDefault="00BC6507" w:rsidP="00656EA3">
      <w:pPr>
        <w:pStyle w:val="Item-Trainho"/>
        <w:rPr>
          <w:iCs/>
        </w:rPr>
      </w:pPr>
      <w:r w:rsidRPr="009A4D91">
        <w:rPr>
          <w:noProof/>
        </w:rPr>
        <w:t xml:space="preserve">Decreto Estadual SP </w:t>
      </w:r>
      <w:r w:rsidR="00810CA3">
        <w:rPr>
          <w:rFonts w:eastAsia="Batang"/>
          <w:lang w:eastAsia="en-US"/>
        </w:rPr>
        <w:t>n</w:t>
      </w:r>
      <w:r w:rsidR="00810CA3" w:rsidRPr="00F94909">
        <w:rPr>
          <w:rFonts w:eastAsia="Batang"/>
          <w:u w:val="single"/>
          <w:vertAlign w:val="superscript"/>
          <w:lang w:eastAsia="en-US"/>
        </w:rPr>
        <w:t>o</w:t>
      </w:r>
      <w:r w:rsidR="00810CA3" w:rsidRPr="009A4D91">
        <w:rPr>
          <w:noProof/>
        </w:rPr>
        <w:t xml:space="preserve"> </w:t>
      </w:r>
      <w:r w:rsidRPr="009A4D91">
        <w:rPr>
          <w:noProof/>
        </w:rPr>
        <w:t>60.133 de 07/02/2014, que d</w:t>
      </w:r>
      <w:r w:rsidRPr="009A4D91">
        <w:rPr>
          <w:iCs/>
        </w:rPr>
        <w:t>eclara as espécies da fauna silvestre ameaçadas de extinção, as quase ameaçadas e as deficientes de dados para avaliação no Estado de São Paulo e dá providências correlatas;</w:t>
      </w:r>
    </w:p>
    <w:p w:rsidR="00BC6507" w:rsidRPr="009A4D91" w:rsidRDefault="00BC6507" w:rsidP="00656EA3">
      <w:pPr>
        <w:pStyle w:val="Item-Trainho"/>
        <w:rPr>
          <w:noProof/>
        </w:rPr>
      </w:pPr>
      <w:r w:rsidRPr="009A4D91">
        <w:rPr>
          <w:iCs/>
        </w:rPr>
        <w:t xml:space="preserve">Portaria MMA </w:t>
      </w:r>
      <w:r w:rsidR="00810CA3">
        <w:rPr>
          <w:rFonts w:eastAsia="Batang"/>
          <w:lang w:eastAsia="en-US"/>
        </w:rPr>
        <w:t>n</w:t>
      </w:r>
      <w:r w:rsidR="00810CA3" w:rsidRPr="00F94909">
        <w:rPr>
          <w:rFonts w:eastAsia="Batang"/>
          <w:u w:val="single"/>
          <w:vertAlign w:val="superscript"/>
          <w:lang w:eastAsia="en-US"/>
        </w:rPr>
        <w:t>o</w:t>
      </w:r>
      <w:r w:rsidR="00810CA3" w:rsidRPr="009A4D91">
        <w:rPr>
          <w:iCs/>
        </w:rPr>
        <w:t xml:space="preserve"> </w:t>
      </w:r>
      <w:r w:rsidRPr="009A4D91">
        <w:rPr>
          <w:iCs/>
        </w:rPr>
        <w:t xml:space="preserve">445 de 17/12/2014, que traz a </w:t>
      </w:r>
      <w:r w:rsidRPr="009A4D91">
        <w:t>Lista Nacional Oficial de Espécies da Fauna Brasileira Ameaçadas de Extinção - Peixes e Invertebrados Aquáticos.</w:t>
      </w:r>
    </w:p>
    <w:p w:rsidR="00BC6507" w:rsidRPr="00FD2308" w:rsidRDefault="00BC6507" w:rsidP="00431A97">
      <w:pPr>
        <w:pStyle w:val="Ttulo3"/>
        <w:numPr>
          <w:ilvl w:val="3"/>
          <w:numId w:val="84"/>
        </w:numPr>
        <w:rPr>
          <w:rFonts w:ascii="Arial Negrito" w:hAnsi="Arial Negrito"/>
          <w:bCs/>
          <w:noProof/>
        </w:rPr>
      </w:pPr>
      <w:bookmarkStart w:id="1267" w:name="_Toc418758495"/>
      <w:bookmarkStart w:id="1268" w:name="_Toc418759097"/>
      <w:bookmarkStart w:id="1269" w:name="_Toc419813882"/>
      <w:r w:rsidRPr="00FD2308">
        <w:rPr>
          <w:rFonts w:ascii="Arial Negrito" w:hAnsi="Arial Negrito"/>
          <w:bCs/>
          <w:noProof/>
        </w:rPr>
        <w:t>Inter-</w:t>
      </w:r>
      <w:r w:rsidR="00FD2308">
        <w:rPr>
          <w:rFonts w:ascii="Arial Negrito" w:hAnsi="Arial Negrito"/>
          <w:bCs/>
          <w:noProof/>
        </w:rPr>
        <w:t>R</w:t>
      </w:r>
      <w:r w:rsidRPr="00FD2308">
        <w:rPr>
          <w:rFonts w:ascii="Arial Negrito" w:hAnsi="Arial Negrito"/>
          <w:bCs/>
          <w:noProof/>
        </w:rPr>
        <w:t xml:space="preserve">elação com outros </w:t>
      </w:r>
      <w:r w:rsidR="00FD2308">
        <w:rPr>
          <w:rFonts w:ascii="Arial Negrito" w:hAnsi="Arial Negrito"/>
          <w:bCs/>
          <w:noProof/>
        </w:rPr>
        <w:t>P</w:t>
      </w:r>
      <w:r w:rsidRPr="00FD2308">
        <w:rPr>
          <w:rFonts w:ascii="Arial Negrito" w:hAnsi="Arial Negrito"/>
          <w:bCs/>
          <w:noProof/>
        </w:rPr>
        <w:t xml:space="preserve">lanos e </w:t>
      </w:r>
      <w:r w:rsidR="00FD2308">
        <w:rPr>
          <w:rFonts w:ascii="Arial Negrito" w:hAnsi="Arial Negrito"/>
          <w:bCs/>
          <w:noProof/>
        </w:rPr>
        <w:t>P</w:t>
      </w:r>
      <w:r w:rsidRPr="00FD2308">
        <w:rPr>
          <w:rFonts w:ascii="Arial Negrito" w:hAnsi="Arial Negrito"/>
          <w:bCs/>
          <w:noProof/>
        </w:rPr>
        <w:t>rogramas</w:t>
      </w:r>
      <w:bookmarkEnd w:id="1267"/>
      <w:bookmarkEnd w:id="1268"/>
      <w:bookmarkEnd w:id="1269"/>
    </w:p>
    <w:p w:rsidR="00BC6507" w:rsidRDefault="00BC6507" w:rsidP="00BC6507">
      <w:pPr>
        <w:pStyle w:val="APM-Lista1tracinho"/>
        <w:tabs>
          <w:tab w:val="clear" w:pos="357"/>
        </w:tabs>
        <w:spacing w:before="120" w:after="120" w:line="240" w:lineRule="auto"/>
        <w:ind w:left="0" w:firstLine="0"/>
        <w:rPr>
          <w:rFonts w:ascii="Arial" w:hAnsi="Arial" w:cs="Arial"/>
        </w:rPr>
      </w:pPr>
      <w:r w:rsidRPr="009A4D91">
        <w:rPr>
          <w:rFonts w:ascii="Arial" w:hAnsi="Arial" w:cs="Arial"/>
        </w:rPr>
        <w:t xml:space="preserve">O Programa de Monitoramento da Ictiofauna deve se inter-relacionar com outros programas, uma vez que a execução destes </w:t>
      </w:r>
      <w:r>
        <w:rPr>
          <w:rFonts w:ascii="Arial" w:hAnsi="Arial" w:cs="Arial"/>
        </w:rPr>
        <w:t>promovem</w:t>
      </w:r>
      <w:r w:rsidRPr="009A4D91">
        <w:rPr>
          <w:rFonts w:ascii="Arial" w:hAnsi="Arial" w:cs="Arial"/>
        </w:rPr>
        <w:t xml:space="preserve"> </w:t>
      </w:r>
      <w:r>
        <w:rPr>
          <w:rFonts w:ascii="Arial" w:hAnsi="Arial" w:cs="Arial"/>
        </w:rPr>
        <w:t>ações diretas ou indireta</w:t>
      </w:r>
      <w:r w:rsidRPr="009A4D91">
        <w:rPr>
          <w:rFonts w:ascii="Arial" w:hAnsi="Arial" w:cs="Arial"/>
        </w:rPr>
        <w:t>s sobre o componente constituído pela ictiofauna e dos cursos d’água onde habitam: Plano de Controle Ambiental da Construção – PCA/C, Programa de Gerenciamento de Resíduos Sólidos, Programa de Gerenciamento de Efluentes, Programa de Recuperação das Áreas Degradadas, Programa de Acompanhamento da Supressão de Vegetação, Programa de Gestão de Recursos Hídricos, Programa de Controle e Monitoramento de Erosão, Assoreamento e Instabilidade de Taludes, Programa de Compensação Florestal, Programa de Compensação Ambiental.</w:t>
      </w:r>
    </w:p>
    <w:p w:rsidR="00BC6507" w:rsidRPr="00FD2308" w:rsidRDefault="00BC6507" w:rsidP="00431A97">
      <w:pPr>
        <w:pStyle w:val="Ttulo3"/>
        <w:numPr>
          <w:ilvl w:val="3"/>
          <w:numId w:val="84"/>
        </w:numPr>
        <w:rPr>
          <w:rFonts w:ascii="Arial Negrito" w:hAnsi="Arial Negrito"/>
          <w:bCs/>
          <w:noProof/>
        </w:rPr>
      </w:pPr>
      <w:bookmarkStart w:id="1270" w:name="_Toc418758496"/>
      <w:bookmarkStart w:id="1271" w:name="_Toc418759098"/>
      <w:bookmarkStart w:id="1272" w:name="_Toc419813883"/>
      <w:r w:rsidRPr="00FD2308">
        <w:rPr>
          <w:rFonts w:ascii="Arial Negrito" w:hAnsi="Arial Negrito"/>
          <w:bCs/>
          <w:noProof/>
        </w:rPr>
        <w:t xml:space="preserve">Etapas do </w:t>
      </w:r>
      <w:r w:rsidR="00FD2308">
        <w:rPr>
          <w:rFonts w:ascii="Arial Negrito" w:hAnsi="Arial Negrito"/>
          <w:bCs/>
          <w:noProof/>
        </w:rPr>
        <w:t>E</w:t>
      </w:r>
      <w:r w:rsidRPr="00FD2308">
        <w:rPr>
          <w:rFonts w:ascii="Arial Negrito" w:hAnsi="Arial Negrito"/>
          <w:bCs/>
          <w:noProof/>
        </w:rPr>
        <w:t>mpreendimento</w:t>
      </w:r>
      <w:bookmarkEnd w:id="1270"/>
      <w:bookmarkEnd w:id="1271"/>
      <w:bookmarkEnd w:id="1272"/>
    </w:p>
    <w:p w:rsidR="00BC6507" w:rsidRPr="009A4D91" w:rsidRDefault="00BC6507" w:rsidP="00BC6507">
      <w:pPr>
        <w:pStyle w:val="JHSF-Texto"/>
        <w:spacing w:before="120" w:after="120"/>
        <w:rPr>
          <w:rFonts w:ascii="Arial" w:hAnsi="Arial" w:cs="Arial"/>
        </w:rPr>
      </w:pPr>
      <w:r w:rsidRPr="009A4D91">
        <w:rPr>
          <w:rFonts w:ascii="Arial" w:hAnsi="Arial" w:cs="Arial"/>
        </w:rPr>
        <w:t>O programa deverá ser iniciado ainda na fase de implantação do empreendimento e deverá durar tempo suficiente para analisar a riqueza, estrutura e composição da ictiofauna durante as principais obras e intervenções na</w:t>
      </w:r>
      <w:r>
        <w:rPr>
          <w:rFonts w:ascii="Arial" w:hAnsi="Arial" w:cs="Arial"/>
        </w:rPr>
        <w:t>s</w:t>
      </w:r>
      <w:r w:rsidRPr="009A4D91">
        <w:rPr>
          <w:rFonts w:ascii="Arial" w:hAnsi="Arial" w:cs="Arial"/>
        </w:rPr>
        <w:t xml:space="preserve"> área</w:t>
      </w:r>
      <w:r>
        <w:rPr>
          <w:rFonts w:ascii="Arial" w:hAnsi="Arial" w:cs="Arial"/>
        </w:rPr>
        <w:t>s</w:t>
      </w:r>
      <w:r w:rsidRPr="009A4D91">
        <w:rPr>
          <w:rFonts w:ascii="Arial" w:hAnsi="Arial" w:cs="Arial"/>
        </w:rPr>
        <w:t xml:space="preserve"> </w:t>
      </w:r>
      <w:r>
        <w:rPr>
          <w:rFonts w:ascii="Arial" w:hAnsi="Arial" w:cs="Arial"/>
        </w:rPr>
        <w:t>dos dois reservatórios</w:t>
      </w:r>
      <w:r w:rsidRPr="009A4D91">
        <w:rPr>
          <w:rFonts w:ascii="Arial" w:hAnsi="Arial" w:cs="Arial"/>
        </w:rPr>
        <w:t xml:space="preserve">, incluindo </w:t>
      </w:r>
      <w:r>
        <w:rPr>
          <w:rFonts w:ascii="Arial" w:hAnsi="Arial" w:cs="Arial"/>
        </w:rPr>
        <w:t>a fase inicial de</w:t>
      </w:r>
      <w:r w:rsidRPr="009A4D91">
        <w:rPr>
          <w:rFonts w:ascii="Arial" w:hAnsi="Arial" w:cs="Arial"/>
        </w:rPr>
        <w:t xml:space="preserve"> operação d</w:t>
      </w:r>
      <w:r>
        <w:rPr>
          <w:rFonts w:ascii="Arial" w:hAnsi="Arial" w:cs="Arial"/>
        </w:rPr>
        <w:t>os barramentos</w:t>
      </w:r>
      <w:r w:rsidRPr="009A4D91">
        <w:rPr>
          <w:rFonts w:ascii="Arial" w:hAnsi="Arial" w:cs="Arial"/>
        </w:rPr>
        <w:t xml:space="preserve">. </w:t>
      </w:r>
      <w:r>
        <w:rPr>
          <w:rFonts w:ascii="Arial" w:hAnsi="Arial" w:cs="Arial"/>
        </w:rPr>
        <w:t>Estima-se um período mínimo para a duração do programa de cinco anos, sendo dois anos e meio durante a fase de implantação e dois anos e meio para a fase de operação.</w:t>
      </w:r>
    </w:p>
    <w:p w:rsidR="00BC6507" w:rsidRDefault="00BC6507" w:rsidP="00BC6507">
      <w:pPr>
        <w:pStyle w:val="JHSF-Texto"/>
        <w:spacing w:before="120" w:after="120"/>
        <w:rPr>
          <w:rFonts w:ascii="Arial" w:hAnsi="Arial" w:cs="Arial"/>
        </w:rPr>
      </w:pPr>
      <w:r w:rsidRPr="009A4D91">
        <w:rPr>
          <w:rFonts w:ascii="Arial" w:hAnsi="Arial" w:cs="Arial"/>
        </w:rPr>
        <w:t xml:space="preserve">A frequência mínima de levantamentos </w:t>
      </w:r>
      <w:r w:rsidRPr="00E03C62">
        <w:rPr>
          <w:rFonts w:ascii="Arial" w:hAnsi="Arial" w:cs="Arial"/>
        </w:rPr>
        <w:t>deverá ser</w:t>
      </w:r>
      <w:r w:rsidR="00E03C62" w:rsidRPr="00E03C62">
        <w:rPr>
          <w:rFonts w:ascii="Arial" w:hAnsi="Arial" w:cs="Arial"/>
        </w:rPr>
        <w:t xml:space="preserve"> semestral</w:t>
      </w:r>
      <w:r w:rsidRPr="00E03C62">
        <w:rPr>
          <w:rFonts w:ascii="Arial" w:hAnsi="Arial" w:cs="Arial"/>
        </w:rPr>
        <w:t>, contemplando</w:t>
      </w:r>
      <w:r w:rsidRPr="009A4D91">
        <w:rPr>
          <w:rFonts w:ascii="Arial" w:hAnsi="Arial" w:cs="Arial"/>
        </w:rPr>
        <w:t xml:space="preserve"> os períodos seco e chuvoso; neste último deverá contemplar o início da estação chuvosa onde a maior parte das espécies da ictiofauna tende a iniciar a fase reprodutiva (início da “piracema”).</w:t>
      </w:r>
    </w:p>
    <w:p w:rsidR="00464D26" w:rsidRPr="00FD2308" w:rsidRDefault="00464D26" w:rsidP="00431A97">
      <w:pPr>
        <w:pStyle w:val="Ttulo3"/>
        <w:numPr>
          <w:ilvl w:val="3"/>
          <w:numId w:val="84"/>
        </w:numPr>
        <w:rPr>
          <w:rFonts w:ascii="Arial Negrito" w:hAnsi="Arial Negrito"/>
          <w:bCs/>
          <w:noProof/>
        </w:rPr>
      </w:pPr>
      <w:bookmarkStart w:id="1273" w:name="_Toc418758497"/>
      <w:bookmarkStart w:id="1274" w:name="_Toc418759099"/>
      <w:bookmarkStart w:id="1275" w:name="_Toc419813884"/>
      <w:r w:rsidRPr="00FD2308">
        <w:rPr>
          <w:rFonts w:ascii="Arial Negrito" w:hAnsi="Arial Negrito"/>
          <w:bCs/>
          <w:noProof/>
        </w:rPr>
        <w:t xml:space="preserve">Cronograma de </w:t>
      </w:r>
      <w:r w:rsidR="00FD2308">
        <w:rPr>
          <w:rFonts w:ascii="Arial Negrito" w:hAnsi="Arial Negrito"/>
          <w:bCs/>
          <w:noProof/>
        </w:rPr>
        <w:t>E</w:t>
      </w:r>
      <w:r w:rsidRPr="00FD2308">
        <w:rPr>
          <w:rFonts w:ascii="Arial Negrito" w:hAnsi="Arial Negrito"/>
          <w:bCs/>
          <w:noProof/>
        </w:rPr>
        <w:t>xecução</w:t>
      </w:r>
      <w:bookmarkEnd w:id="1273"/>
      <w:bookmarkEnd w:id="1274"/>
      <w:bookmarkEnd w:id="1275"/>
    </w:p>
    <w:p w:rsidR="00464D26" w:rsidRPr="009D53CB" w:rsidRDefault="00464D26" w:rsidP="00464D26">
      <w:pPr>
        <w:spacing w:before="120" w:after="120" w:line="240" w:lineRule="auto"/>
        <w:rPr>
          <w:rFonts w:cs="Arial"/>
        </w:rPr>
      </w:pPr>
      <w:r w:rsidRPr="009D53CB">
        <w:rPr>
          <w:rFonts w:cs="Arial"/>
        </w:rPr>
        <w:t xml:space="preserve">As atividades do programa de </w:t>
      </w:r>
      <w:r>
        <w:rPr>
          <w:rFonts w:cs="Arial"/>
        </w:rPr>
        <w:t xml:space="preserve">Conservação da Ictiofauna, e dos Subprogramas de Monitoramento dos Mecanismos de Transposição de Peixes (MTPs) e </w:t>
      </w:r>
      <w:r w:rsidR="006F5411">
        <w:rPr>
          <w:rFonts w:eastAsia="Calibri" w:cs="Arial"/>
          <w:szCs w:val="22"/>
          <w:lang w:eastAsia="en-US"/>
        </w:rPr>
        <w:t>Subprograma para o</w:t>
      </w:r>
      <w:r>
        <w:rPr>
          <w:rFonts w:eastAsia="Calibri" w:cs="Arial"/>
          <w:szCs w:val="22"/>
          <w:lang w:eastAsia="en-US"/>
        </w:rPr>
        <w:t xml:space="preserve"> Resgate da Ictiofauna</w:t>
      </w:r>
      <w:r>
        <w:rPr>
          <w:rFonts w:cs="Arial"/>
        </w:rPr>
        <w:t xml:space="preserve"> </w:t>
      </w:r>
      <w:r w:rsidRPr="009D53CB">
        <w:rPr>
          <w:rFonts w:cs="Arial"/>
        </w:rPr>
        <w:t>foram programadas para serem desenvolvidas num período de cinco anos, tendo início na fase de implantação</w:t>
      </w:r>
      <w:r>
        <w:rPr>
          <w:rFonts w:cs="Arial"/>
        </w:rPr>
        <w:t xml:space="preserve"> (2,5 anos)</w:t>
      </w:r>
      <w:r w:rsidRPr="009D53CB">
        <w:rPr>
          <w:rFonts w:cs="Arial"/>
        </w:rPr>
        <w:t>, e finalizando na fase de operação</w:t>
      </w:r>
      <w:r>
        <w:rPr>
          <w:rFonts w:cs="Arial"/>
        </w:rPr>
        <w:t xml:space="preserve"> (2,5 anos)</w:t>
      </w:r>
      <w:r w:rsidRPr="009D53CB">
        <w:rPr>
          <w:rFonts w:cs="Arial"/>
        </w:rPr>
        <w:t xml:space="preserve">. As atividades </w:t>
      </w:r>
      <w:r>
        <w:rPr>
          <w:rFonts w:cs="Arial"/>
        </w:rPr>
        <w:t xml:space="preserve">de conservação da Ictiofauna, que envolve monitoramento, </w:t>
      </w:r>
      <w:r w:rsidRPr="00E03C62">
        <w:rPr>
          <w:rFonts w:cs="Arial"/>
        </w:rPr>
        <w:t xml:space="preserve">preveem </w:t>
      </w:r>
      <w:r w:rsidR="00E03C62" w:rsidRPr="00E03C62">
        <w:rPr>
          <w:rFonts w:cs="Arial"/>
        </w:rPr>
        <w:t>2</w:t>
      </w:r>
      <w:r w:rsidRPr="00E03C62">
        <w:rPr>
          <w:rFonts w:cs="Arial"/>
        </w:rPr>
        <w:t xml:space="preserve"> campanhas</w:t>
      </w:r>
      <w:r>
        <w:rPr>
          <w:rFonts w:cs="Arial"/>
        </w:rPr>
        <w:t xml:space="preserve"> anuais (incluindo ovos, larvas e formas jovens de peixes).</w:t>
      </w:r>
    </w:p>
    <w:p w:rsidR="00464D26" w:rsidRPr="00F22B21" w:rsidRDefault="00464D26" w:rsidP="00464D26">
      <w:pPr>
        <w:spacing w:before="120" w:after="120" w:line="240" w:lineRule="auto"/>
        <w:rPr>
          <w:rFonts w:cs="Arial"/>
          <w:b/>
          <w:noProof/>
        </w:rPr>
      </w:pPr>
      <w:r>
        <w:rPr>
          <w:rFonts w:cs="Arial"/>
          <w:noProof/>
        </w:rPr>
        <w:t xml:space="preserve">O </w:t>
      </w:r>
      <w:r w:rsidRPr="00DD7FDF">
        <w:rPr>
          <w:rFonts w:cs="Arial"/>
          <w:noProof/>
        </w:rPr>
        <w:t>S</w:t>
      </w:r>
      <w:r w:rsidRPr="00DD7FDF">
        <w:rPr>
          <w:rFonts w:cs="Arial"/>
        </w:rPr>
        <w:t>ub</w:t>
      </w:r>
      <w:r w:rsidR="006F5411">
        <w:rPr>
          <w:rFonts w:cs="Arial"/>
        </w:rPr>
        <w:t>programa de Resgate</w:t>
      </w:r>
      <w:r w:rsidRPr="00DD7FDF">
        <w:rPr>
          <w:rFonts w:cs="Arial"/>
        </w:rPr>
        <w:t xml:space="preserve"> da Ictiofauna nas áreas das ensecadeiras</w:t>
      </w:r>
      <w:r>
        <w:rPr>
          <w:rFonts w:cs="Arial"/>
        </w:rPr>
        <w:t>, será executado na fase inicial de construção das barragens, no momento da implantação das ensecadeiras para o desvio</w:t>
      </w:r>
      <w:r w:rsidR="006F5411">
        <w:rPr>
          <w:rFonts w:cs="Arial"/>
        </w:rPr>
        <w:t xml:space="preserve"> do rio. O resgate </w:t>
      </w:r>
      <w:r>
        <w:rPr>
          <w:rFonts w:cs="Arial"/>
        </w:rPr>
        <w:t xml:space="preserve">da ictiofauna confinada pelas ensecadeiras, deverá acompanhar o processo de esvaziamento de água evitando que os peixes, confinados nessa área, venham a sofrer pela falta de água. </w:t>
      </w:r>
    </w:p>
    <w:p w:rsidR="00464D26" w:rsidRDefault="00464D26" w:rsidP="00464D26">
      <w:pPr>
        <w:spacing w:before="120" w:after="120" w:line="240" w:lineRule="auto"/>
        <w:rPr>
          <w:rFonts w:cs="Arial"/>
          <w:noProof/>
        </w:rPr>
      </w:pPr>
      <w:r>
        <w:rPr>
          <w:rFonts w:cs="Arial"/>
        </w:rPr>
        <w:t xml:space="preserve">O subprograma de Monitoramento dos Mecanismos de Transposição de Peixes (MTP) deverá ter início concomitantemente com a operação da barragem, quando começará a operar o MTP nas barragens. </w:t>
      </w:r>
      <w:r w:rsidRPr="00E03C62">
        <w:rPr>
          <w:rFonts w:cs="Arial"/>
          <w:noProof/>
        </w:rPr>
        <w:t xml:space="preserve">O monitoramento deverá ser realizado </w:t>
      </w:r>
      <w:r w:rsidR="00E03C62" w:rsidRPr="00E03C62">
        <w:rPr>
          <w:rFonts w:cs="Arial"/>
          <w:noProof/>
        </w:rPr>
        <w:t>semestralmente</w:t>
      </w:r>
      <w:r>
        <w:rPr>
          <w:rFonts w:cs="Arial"/>
          <w:noProof/>
        </w:rPr>
        <w:t xml:space="preserve"> na mesma ocasião em que forem realizadas as campanhas de monitoramento da ictiofauna.</w:t>
      </w:r>
    </w:p>
    <w:p w:rsidR="00BC6507" w:rsidRPr="00FD2308" w:rsidRDefault="00BC6507" w:rsidP="00431A97">
      <w:pPr>
        <w:pStyle w:val="Ttulo3"/>
        <w:numPr>
          <w:ilvl w:val="3"/>
          <w:numId w:val="84"/>
        </w:numPr>
        <w:rPr>
          <w:rFonts w:ascii="Arial Negrito" w:hAnsi="Arial Negrito"/>
          <w:bCs/>
          <w:noProof/>
        </w:rPr>
      </w:pPr>
      <w:bookmarkStart w:id="1276" w:name="_Toc418758498"/>
      <w:bookmarkStart w:id="1277" w:name="_Toc418759100"/>
      <w:bookmarkStart w:id="1278" w:name="_Toc419813885"/>
      <w:r w:rsidRPr="00FD2308">
        <w:rPr>
          <w:rFonts w:ascii="Arial Negrito" w:hAnsi="Arial Negrito"/>
          <w:bCs/>
          <w:noProof/>
        </w:rPr>
        <w:t xml:space="preserve">Responsável pela </w:t>
      </w:r>
      <w:r w:rsidR="00FD2308">
        <w:rPr>
          <w:rFonts w:ascii="Arial Negrito" w:hAnsi="Arial Negrito"/>
          <w:bCs/>
          <w:noProof/>
        </w:rPr>
        <w:t>I</w:t>
      </w:r>
      <w:r w:rsidRPr="00FD2308">
        <w:rPr>
          <w:rFonts w:ascii="Arial Negrito" w:hAnsi="Arial Negrito"/>
          <w:bCs/>
          <w:noProof/>
        </w:rPr>
        <w:t xml:space="preserve">mplementação do </w:t>
      </w:r>
      <w:r w:rsidR="00FD2308">
        <w:rPr>
          <w:rFonts w:ascii="Arial Negrito" w:hAnsi="Arial Negrito"/>
          <w:bCs/>
          <w:noProof/>
        </w:rPr>
        <w:t>P</w:t>
      </w:r>
      <w:r w:rsidRPr="00FD2308">
        <w:rPr>
          <w:rFonts w:ascii="Arial Negrito" w:hAnsi="Arial Negrito"/>
          <w:bCs/>
          <w:noProof/>
        </w:rPr>
        <w:t>rograma</w:t>
      </w:r>
      <w:bookmarkEnd w:id="1276"/>
      <w:bookmarkEnd w:id="1277"/>
      <w:bookmarkEnd w:id="1278"/>
    </w:p>
    <w:p w:rsidR="007351D2" w:rsidRDefault="00BC6507" w:rsidP="00BC6507">
      <w:pPr>
        <w:pStyle w:val="APM-Lista1tracinho"/>
        <w:tabs>
          <w:tab w:val="clear" w:pos="357"/>
        </w:tabs>
        <w:spacing w:before="120" w:after="120" w:line="240" w:lineRule="auto"/>
        <w:ind w:left="0" w:firstLine="0"/>
        <w:rPr>
          <w:rFonts w:ascii="Arial" w:hAnsi="Arial" w:cs="Arial"/>
          <w:noProof/>
        </w:rPr>
      </w:pPr>
      <w:r w:rsidRPr="009A4D91">
        <w:rPr>
          <w:rFonts w:ascii="Arial" w:hAnsi="Arial" w:cs="Arial"/>
          <w:noProof/>
        </w:rPr>
        <w:t>A responsab</w:t>
      </w:r>
      <w:r>
        <w:rPr>
          <w:rFonts w:ascii="Arial" w:hAnsi="Arial" w:cs="Arial"/>
          <w:noProof/>
        </w:rPr>
        <w:t>ilidade pela</w:t>
      </w:r>
      <w:r w:rsidRPr="009A4D91">
        <w:rPr>
          <w:rFonts w:ascii="Arial" w:hAnsi="Arial" w:cs="Arial"/>
          <w:noProof/>
        </w:rPr>
        <w:t xml:space="preserve"> implantação do Programa de Monitoramento de </w:t>
      </w:r>
      <w:r>
        <w:rPr>
          <w:rFonts w:ascii="Arial" w:hAnsi="Arial" w:cs="Arial"/>
          <w:noProof/>
        </w:rPr>
        <w:t>Ictiofauna é</w:t>
      </w:r>
      <w:r w:rsidRPr="009A4D91">
        <w:rPr>
          <w:rFonts w:ascii="Arial" w:hAnsi="Arial" w:cs="Arial"/>
          <w:noProof/>
        </w:rPr>
        <w:t xml:space="preserve"> do empreendedor</w:t>
      </w:r>
      <w:r>
        <w:rPr>
          <w:rFonts w:ascii="Arial" w:hAnsi="Arial" w:cs="Arial"/>
          <w:noProof/>
        </w:rPr>
        <w:t>.</w:t>
      </w:r>
    </w:p>
    <w:p w:rsidR="00BC6507" w:rsidRPr="00FD2308" w:rsidRDefault="00BC6507" w:rsidP="00431A97">
      <w:pPr>
        <w:pStyle w:val="Ttulo3"/>
        <w:numPr>
          <w:ilvl w:val="3"/>
          <w:numId w:val="84"/>
        </w:numPr>
        <w:rPr>
          <w:rFonts w:ascii="Arial Negrito" w:hAnsi="Arial Negrito"/>
          <w:bCs/>
          <w:noProof/>
        </w:rPr>
      </w:pPr>
      <w:bookmarkStart w:id="1279" w:name="_Toc418758499"/>
      <w:bookmarkStart w:id="1280" w:name="_Toc418759101"/>
      <w:bookmarkStart w:id="1281" w:name="_Toc419813886"/>
      <w:r w:rsidRPr="00FD2308">
        <w:rPr>
          <w:rFonts w:ascii="Arial Negrito" w:hAnsi="Arial Negrito"/>
          <w:bCs/>
          <w:noProof/>
        </w:rPr>
        <w:t xml:space="preserve">Sistemas de </w:t>
      </w:r>
      <w:r w:rsidR="00FD2308">
        <w:rPr>
          <w:rFonts w:ascii="Arial Negrito" w:hAnsi="Arial Negrito"/>
          <w:bCs/>
          <w:noProof/>
        </w:rPr>
        <w:t>R</w:t>
      </w:r>
      <w:r w:rsidRPr="00FD2308">
        <w:rPr>
          <w:rFonts w:ascii="Arial Negrito" w:hAnsi="Arial Negrito"/>
          <w:bCs/>
          <w:noProof/>
        </w:rPr>
        <w:t>egistro</w:t>
      </w:r>
      <w:bookmarkEnd w:id="1279"/>
      <w:bookmarkEnd w:id="1280"/>
      <w:bookmarkEnd w:id="1281"/>
    </w:p>
    <w:p w:rsidR="00BC6507" w:rsidRDefault="00BC6507" w:rsidP="00DA6DEA">
      <w:pPr>
        <w:pStyle w:val="JHSF-Texto"/>
        <w:spacing w:before="120" w:after="120"/>
        <w:rPr>
          <w:rFonts w:ascii="Arial" w:hAnsi="Arial" w:cs="Arial"/>
        </w:rPr>
      </w:pPr>
      <w:r w:rsidRPr="009A4D91">
        <w:rPr>
          <w:rFonts w:ascii="Arial" w:hAnsi="Arial" w:cs="Arial"/>
        </w:rPr>
        <w:t xml:space="preserve">Serão apresentados relatórios </w:t>
      </w:r>
      <w:r>
        <w:rPr>
          <w:rFonts w:ascii="Arial" w:hAnsi="Arial" w:cs="Arial"/>
        </w:rPr>
        <w:t>anuais</w:t>
      </w:r>
      <w:r w:rsidRPr="009A4D91">
        <w:rPr>
          <w:rFonts w:ascii="Arial" w:hAnsi="Arial" w:cs="Arial"/>
        </w:rPr>
        <w:t xml:space="preserve"> ao órgão ambiental </w:t>
      </w:r>
      <w:r>
        <w:rPr>
          <w:rFonts w:ascii="Arial" w:hAnsi="Arial" w:cs="Arial"/>
        </w:rPr>
        <w:t>licenciador de ambos os</w:t>
      </w:r>
      <w:r w:rsidRPr="009A4D91">
        <w:rPr>
          <w:rFonts w:ascii="Arial" w:hAnsi="Arial" w:cs="Arial"/>
        </w:rPr>
        <w:t xml:space="preserve"> empreendimento</w:t>
      </w:r>
      <w:r>
        <w:rPr>
          <w:rFonts w:ascii="Arial" w:hAnsi="Arial" w:cs="Arial"/>
        </w:rPr>
        <w:t>s</w:t>
      </w:r>
      <w:r w:rsidRPr="009A4D91">
        <w:rPr>
          <w:rFonts w:ascii="Arial" w:hAnsi="Arial" w:cs="Arial"/>
        </w:rPr>
        <w:t xml:space="preserve"> (</w:t>
      </w:r>
      <w:r>
        <w:rPr>
          <w:rFonts w:ascii="Arial" w:hAnsi="Arial" w:cs="Arial"/>
        </w:rPr>
        <w:t>SMA/</w:t>
      </w:r>
      <w:r w:rsidRPr="009A4D91">
        <w:rPr>
          <w:rFonts w:ascii="Arial" w:hAnsi="Arial" w:cs="Arial"/>
        </w:rPr>
        <w:t>CETESB). Após cada campanha de monitoramento será produzido um relatório</w:t>
      </w:r>
      <w:r>
        <w:rPr>
          <w:rFonts w:ascii="Arial" w:hAnsi="Arial" w:cs="Arial"/>
        </w:rPr>
        <w:t xml:space="preserve"> técnico parcial</w:t>
      </w:r>
      <w:r w:rsidRPr="009A4D91">
        <w:rPr>
          <w:rFonts w:ascii="Arial" w:hAnsi="Arial" w:cs="Arial"/>
        </w:rPr>
        <w:t xml:space="preserve"> caracterizando a riqueza, composição e </w:t>
      </w:r>
      <w:r>
        <w:rPr>
          <w:rFonts w:ascii="Arial" w:hAnsi="Arial" w:cs="Arial"/>
        </w:rPr>
        <w:t>a estrutura da ictiofauna local</w:t>
      </w:r>
      <w:r w:rsidRPr="009A4D91">
        <w:rPr>
          <w:rFonts w:ascii="Arial" w:hAnsi="Arial" w:cs="Arial"/>
        </w:rPr>
        <w:t xml:space="preserve"> e da b</w:t>
      </w:r>
      <w:r>
        <w:rPr>
          <w:rFonts w:ascii="Arial" w:hAnsi="Arial" w:cs="Arial"/>
        </w:rPr>
        <w:t>iologia básicas destas espécies. Ao final de cada período de 12 meses de monitoramento os</w:t>
      </w:r>
      <w:r w:rsidRPr="009A4D91">
        <w:rPr>
          <w:rFonts w:ascii="Arial" w:hAnsi="Arial" w:cs="Arial"/>
        </w:rPr>
        <w:t xml:space="preserve"> dados obtidos </w:t>
      </w:r>
      <w:r>
        <w:rPr>
          <w:rFonts w:ascii="Arial" w:hAnsi="Arial" w:cs="Arial"/>
        </w:rPr>
        <w:t>serão comparados com</w:t>
      </w:r>
      <w:r w:rsidRPr="009A4D91">
        <w:rPr>
          <w:rFonts w:ascii="Arial" w:hAnsi="Arial" w:cs="Arial"/>
        </w:rPr>
        <w:t xml:space="preserve"> a série histórica sobre estas informações ao longo do período de </w:t>
      </w:r>
      <w:r>
        <w:rPr>
          <w:rFonts w:ascii="Arial" w:hAnsi="Arial" w:cs="Arial"/>
        </w:rPr>
        <w:t>estudo</w:t>
      </w:r>
      <w:r w:rsidRPr="009A4D91">
        <w:rPr>
          <w:rFonts w:ascii="Arial" w:hAnsi="Arial" w:cs="Arial"/>
        </w:rPr>
        <w:t xml:space="preserve"> da fauna ictíica durante a implantação e</w:t>
      </w:r>
      <w:r>
        <w:rPr>
          <w:rFonts w:ascii="Arial" w:hAnsi="Arial" w:cs="Arial"/>
        </w:rPr>
        <w:t xml:space="preserve"> início da</w:t>
      </w:r>
      <w:r w:rsidRPr="009A4D91">
        <w:rPr>
          <w:rFonts w:ascii="Arial" w:hAnsi="Arial" w:cs="Arial"/>
        </w:rPr>
        <w:t xml:space="preserve"> operação do empreendimento</w:t>
      </w:r>
      <w:r>
        <w:rPr>
          <w:rFonts w:ascii="Arial" w:hAnsi="Arial" w:cs="Arial"/>
        </w:rPr>
        <w:t>, estimadas para ocorrerem num prazo de 5 anos</w:t>
      </w:r>
      <w:r w:rsidRPr="009A4D91">
        <w:rPr>
          <w:rFonts w:ascii="Arial" w:hAnsi="Arial" w:cs="Arial"/>
        </w:rPr>
        <w:t>.</w:t>
      </w:r>
    </w:p>
    <w:p w:rsidR="00BC6507" w:rsidRDefault="00BC6507" w:rsidP="00DA6DEA">
      <w:pPr>
        <w:pStyle w:val="JHSF-Texto"/>
        <w:spacing w:before="120" w:after="120"/>
        <w:rPr>
          <w:rFonts w:ascii="Arial" w:hAnsi="Arial" w:cs="Arial"/>
        </w:rPr>
      </w:pPr>
      <w:r>
        <w:rPr>
          <w:rFonts w:ascii="Arial" w:hAnsi="Arial" w:cs="Arial"/>
        </w:rPr>
        <w:t>Também será avaliada a funcionalidade dos Mecanismos para Transposição de Peixes (MTPs) na área dos dois reservatórios (Pedreira e Duas Pontes) a cada campanha de monitoramento e os dados integrarão os relatórios de monitoramento da ictiofauna.</w:t>
      </w:r>
    </w:p>
    <w:p w:rsidR="00BC6507" w:rsidRPr="009A4D91" w:rsidRDefault="00BC6507" w:rsidP="00DA6DEA">
      <w:pPr>
        <w:pStyle w:val="JHSF-Texto"/>
        <w:spacing w:before="120" w:after="120"/>
        <w:rPr>
          <w:rFonts w:ascii="Arial" w:hAnsi="Arial" w:cs="Arial"/>
        </w:rPr>
      </w:pPr>
      <w:r>
        <w:rPr>
          <w:rFonts w:ascii="Arial" w:hAnsi="Arial" w:cs="Arial"/>
        </w:rPr>
        <w:t>Toda a atividade do Programa de Monitoramento da Ictiofuna será registrada através de fotos que comporão parte dos produtos a serem entregues ao empreendedor e o órgão licenciador.</w:t>
      </w:r>
    </w:p>
    <w:p w:rsidR="00BC6507" w:rsidRDefault="00BC6507" w:rsidP="00DA6DEA">
      <w:pPr>
        <w:pStyle w:val="JHSF-Texto"/>
        <w:spacing w:before="120" w:after="120"/>
        <w:rPr>
          <w:rFonts w:ascii="Arial" w:hAnsi="Arial" w:cs="Arial"/>
        </w:rPr>
      </w:pPr>
      <w:r>
        <w:rPr>
          <w:rFonts w:ascii="Arial" w:hAnsi="Arial" w:cs="Arial"/>
        </w:rPr>
        <w:t>Com a implementação do Programa de Monitoramento da I</w:t>
      </w:r>
      <w:r w:rsidRPr="009A4D91">
        <w:rPr>
          <w:rFonts w:ascii="Arial" w:hAnsi="Arial" w:cs="Arial"/>
        </w:rPr>
        <w:t>ctiofauna espera-se verificar a eficácia dos mecanismos de controle ambiental adotados pelo empreendimento e dos</w:t>
      </w:r>
      <w:r>
        <w:rPr>
          <w:rFonts w:ascii="Arial" w:hAnsi="Arial" w:cs="Arial"/>
        </w:rPr>
        <w:t xml:space="preserve"> planos e</w:t>
      </w:r>
      <w:r w:rsidRPr="009A4D91">
        <w:rPr>
          <w:rFonts w:ascii="Arial" w:hAnsi="Arial" w:cs="Arial"/>
        </w:rPr>
        <w:t xml:space="preserve"> programas ambientais previstos, e se sua execução está surtindo os resultados esperados sobre a fauna ictíica, através do acompanhamento da riqueza, estrutura e </w:t>
      </w:r>
      <w:r>
        <w:rPr>
          <w:rFonts w:ascii="Arial" w:hAnsi="Arial" w:cs="Arial"/>
        </w:rPr>
        <w:t>composição</w:t>
      </w:r>
      <w:r w:rsidRPr="009A4D91">
        <w:rPr>
          <w:rFonts w:ascii="Arial" w:hAnsi="Arial" w:cs="Arial"/>
        </w:rPr>
        <w:t xml:space="preserve"> da comunidade de peixes na AID/ADA do</w:t>
      </w:r>
      <w:r>
        <w:rPr>
          <w:rFonts w:ascii="Arial" w:hAnsi="Arial" w:cs="Arial"/>
        </w:rPr>
        <w:t>s</w:t>
      </w:r>
      <w:r w:rsidRPr="009A4D91">
        <w:rPr>
          <w:rFonts w:ascii="Arial" w:hAnsi="Arial" w:cs="Arial"/>
        </w:rPr>
        <w:t xml:space="preserve"> empreendimento</w:t>
      </w:r>
      <w:r>
        <w:rPr>
          <w:rFonts w:ascii="Arial" w:hAnsi="Arial" w:cs="Arial"/>
        </w:rPr>
        <w:t xml:space="preserve">s dos reservatórios de </w:t>
      </w:r>
      <w:r w:rsidR="00E03C62">
        <w:rPr>
          <w:rFonts w:ascii="Arial" w:hAnsi="Arial" w:cs="Arial"/>
        </w:rPr>
        <w:t>Pedreira e Duas Pontes.</w:t>
      </w:r>
    </w:p>
    <w:p w:rsidR="00BC6507" w:rsidRDefault="00BC6507" w:rsidP="00DA6DEA">
      <w:pPr>
        <w:pStyle w:val="APM-Lista1tracinho"/>
        <w:tabs>
          <w:tab w:val="clear" w:pos="357"/>
        </w:tabs>
        <w:spacing w:before="120" w:after="120" w:line="240" w:lineRule="auto"/>
        <w:ind w:left="0" w:firstLine="0"/>
        <w:rPr>
          <w:rFonts w:ascii="Arial" w:hAnsi="Arial" w:cs="Arial"/>
          <w:noProof/>
        </w:rPr>
      </w:pPr>
      <w:r>
        <w:rPr>
          <w:rFonts w:ascii="Arial" w:hAnsi="Arial" w:cs="Arial"/>
          <w:noProof/>
        </w:rPr>
        <w:t>Os estudos que serão executados conterão</w:t>
      </w:r>
      <w:r w:rsidRPr="009A4D91">
        <w:rPr>
          <w:rFonts w:ascii="Arial" w:hAnsi="Arial" w:cs="Arial"/>
          <w:noProof/>
        </w:rPr>
        <w:t xml:space="preserve"> análises dos dados</w:t>
      </w:r>
      <w:r>
        <w:rPr>
          <w:rFonts w:ascii="Arial" w:hAnsi="Arial" w:cs="Arial"/>
          <w:noProof/>
        </w:rPr>
        <w:t xml:space="preserve"> levantados</w:t>
      </w:r>
      <w:r w:rsidRPr="009A4D91">
        <w:rPr>
          <w:rFonts w:ascii="Arial" w:hAnsi="Arial" w:cs="Arial"/>
          <w:noProof/>
        </w:rPr>
        <w:t xml:space="preserve"> e elaboração dos r</w:t>
      </w:r>
      <w:r>
        <w:rPr>
          <w:rFonts w:ascii="Arial" w:hAnsi="Arial" w:cs="Arial"/>
          <w:noProof/>
        </w:rPr>
        <w:t>elatórios para a</w:t>
      </w:r>
      <w:r w:rsidRPr="009A4D91">
        <w:rPr>
          <w:rFonts w:ascii="Arial" w:hAnsi="Arial" w:cs="Arial"/>
          <w:noProof/>
        </w:rPr>
        <w:t xml:space="preserve"> caracterização da ictiofauna, acompanhamento </w:t>
      </w:r>
      <w:r>
        <w:rPr>
          <w:rFonts w:ascii="Arial" w:hAnsi="Arial" w:cs="Arial"/>
          <w:noProof/>
        </w:rPr>
        <w:t>da eficácia e funcionalidade dos MTPs, e acompanhamento dos</w:t>
      </w:r>
      <w:r w:rsidRPr="009A4D91">
        <w:rPr>
          <w:rFonts w:ascii="Arial" w:hAnsi="Arial" w:cs="Arial"/>
          <w:noProof/>
        </w:rPr>
        <w:t xml:space="preserve"> planos e programas</w:t>
      </w:r>
      <w:r>
        <w:rPr>
          <w:rFonts w:ascii="Arial" w:hAnsi="Arial" w:cs="Arial"/>
          <w:noProof/>
        </w:rPr>
        <w:t xml:space="preserve"> do empreendimento que</w:t>
      </w:r>
      <w:r w:rsidRPr="009A4D91">
        <w:rPr>
          <w:rFonts w:ascii="Arial" w:hAnsi="Arial" w:cs="Arial"/>
          <w:noProof/>
        </w:rPr>
        <w:t xml:space="preserve"> </w:t>
      </w:r>
      <w:r>
        <w:rPr>
          <w:rFonts w:ascii="Arial" w:hAnsi="Arial" w:cs="Arial"/>
          <w:noProof/>
        </w:rPr>
        <w:t>influenciam direta ou indiretamente a</w:t>
      </w:r>
      <w:r w:rsidRPr="009A4D91">
        <w:rPr>
          <w:rFonts w:ascii="Arial" w:hAnsi="Arial" w:cs="Arial"/>
          <w:noProof/>
        </w:rPr>
        <w:t xml:space="preserve"> ictiofauna</w:t>
      </w:r>
      <w:r>
        <w:rPr>
          <w:rFonts w:ascii="Arial" w:hAnsi="Arial" w:cs="Arial"/>
          <w:noProof/>
        </w:rPr>
        <w:t>, além da</w:t>
      </w:r>
      <w:r w:rsidRPr="009A4D91">
        <w:rPr>
          <w:rFonts w:ascii="Arial" w:hAnsi="Arial" w:cs="Arial"/>
          <w:noProof/>
        </w:rPr>
        <w:t xml:space="preserve"> proposição/adequação dos planos ou programas</w:t>
      </w:r>
      <w:r>
        <w:rPr>
          <w:rFonts w:ascii="Arial" w:hAnsi="Arial" w:cs="Arial"/>
          <w:noProof/>
        </w:rPr>
        <w:t xml:space="preserve"> implantados</w:t>
      </w:r>
      <w:r w:rsidRPr="009A4D91">
        <w:rPr>
          <w:rFonts w:ascii="Arial" w:hAnsi="Arial" w:cs="Arial"/>
          <w:noProof/>
        </w:rPr>
        <w:t xml:space="preserve"> </w:t>
      </w:r>
      <w:r>
        <w:rPr>
          <w:rFonts w:ascii="Arial" w:hAnsi="Arial" w:cs="Arial"/>
          <w:noProof/>
        </w:rPr>
        <w:t>assim como</w:t>
      </w:r>
      <w:r w:rsidRPr="009A4D91">
        <w:rPr>
          <w:rFonts w:ascii="Arial" w:hAnsi="Arial" w:cs="Arial"/>
          <w:noProof/>
        </w:rPr>
        <w:t xml:space="preserve"> das medidas </w:t>
      </w:r>
      <w:r>
        <w:rPr>
          <w:rFonts w:ascii="Arial" w:hAnsi="Arial" w:cs="Arial"/>
          <w:noProof/>
        </w:rPr>
        <w:t>compensatórias e/ou mitigadoras.</w:t>
      </w:r>
    </w:p>
    <w:p w:rsidR="00BC6507" w:rsidRDefault="00BC6507" w:rsidP="00480F87">
      <w:pPr>
        <w:spacing w:before="120" w:after="120" w:line="240" w:lineRule="auto"/>
        <w:rPr>
          <w:rFonts w:cs="Arial"/>
          <w:noProof/>
        </w:rPr>
      </w:pPr>
      <w:r>
        <w:rPr>
          <w:rFonts w:cs="Arial"/>
        </w:rPr>
        <w:t>Em todos os relatórios técnicos</w:t>
      </w:r>
      <w:r w:rsidRPr="009D5E37">
        <w:rPr>
          <w:rFonts w:cs="Arial"/>
        </w:rPr>
        <w:t xml:space="preserve"> eventuais alterações detectadas na comunidade ictíica deverão ser destacadas, com indicação de medidas preventivas e corretivas</w:t>
      </w:r>
      <w:r>
        <w:rPr>
          <w:rFonts w:cs="Arial"/>
        </w:rPr>
        <w:t xml:space="preserve"> em tempo hábil</w:t>
      </w:r>
      <w:r w:rsidRPr="009D5E37">
        <w:rPr>
          <w:rFonts w:cs="Arial"/>
        </w:rPr>
        <w:t>, visando à preservação do ambiente em estudo.</w:t>
      </w:r>
    </w:p>
    <w:p w:rsidR="00BC6507" w:rsidRPr="00FD2308" w:rsidRDefault="00FD2308" w:rsidP="00431A97">
      <w:pPr>
        <w:pStyle w:val="Ttulo3"/>
        <w:numPr>
          <w:ilvl w:val="3"/>
          <w:numId w:val="84"/>
        </w:numPr>
        <w:rPr>
          <w:rFonts w:ascii="Arial Negrito" w:hAnsi="Arial Negrito"/>
          <w:bCs/>
          <w:noProof/>
        </w:rPr>
      </w:pPr>
      <w:bookmarkStart w:id="1282" w:name="_Toc418758500"/>
      <w:bookmarkStart w:id="1283" w:name="_Toc418759102"/>
      <w:bookmarkStart w:id="1284" w:name="_Toc419813887"/>
      <w:r w:rsidRPr="00FD2308">
        <w:rPr>
          <w:rFonts w:ascii="Arial Negrito" w:hAnsi="Arial Negrito"/>
          <w:bCs/>
          <w:noProof/>
        </w:rPr>
        <w:t xml:space="preserve">Referências </w:t>
      </w:r>
      <w:r w:rsidR="00BC6507" w:rsidRPr="00FD2308">
        <w:rPr>
          <w:rFonts w:ascii="Arial Negrito" w:hAnsi="Arial Negrito"/>
          <w:bCs/>
          <w:noProof/>
        </w:rPr>
        <w:t>Bibliografi</w:t>
      </w:r>
      <w:r w:rsidRPr="00FD2308">
        <w:rPr>
          <w:rFonts w:ascii="Arial Negrito" w:hAnsi="Arial Negrito"/>
          <w:bCs/>
          <w:noProof/>
        </w:rPr>
        <w:t>cas</w:t>
      </w:r>
      <w:bookmarkEnd w:id="1282"/>
      <w:bookmarkEnd w:id="1283"/>
      <w:bookmarkEnd w:id="1284"/>
    </w:p>
    <w:p w:rsidR="00BC6507" w:rsidRPr="005468F5" w:rsidRDefault="00BC6507" w:rsidP="00656EA3">
      <w:pPr>
        <w:pStyle w:val="Item-Trainho"/>
      </w:pPr>
      <w:r w:rsidRPr="005468F5">
        <w:t>AGOSTINHO, A. A.</w:t>
      </w:r>
      <w:r>
        <w:t xml:space="preserve"> 1992.</w:t>
      </w:r>
      <w:r w:rsidRPr="005468F5">
        <w:t xml:space="preserve"> Manejo de recursos pesqueiros em reservatórios </w:t>
      </w:r>
      <w:r w:rsidRPr="005468F5">
        <w:rPr>
          <w:i/>
          <w:iCs/>
        </w:rPr>
        <w:t xml:space="preserve">In: </w:t>
      </w:r>
      <w:r w:rsidRPr="005468F5">
        <w:t xml:space="preserve">AGOSTINHO, A. A. &amp; BENEDITO-CECÍLIO, E. eds. </w:t>
      </w:r>
      <w:r w:rsidRPr="005468F5">
        <w:rPr>
          <w:b/>
          <w:bCs/>
        </w:rPr>
        <w:t>Situação atual e perspectivas da ictiologia no Brasil</w:t>
      </w:r>
      <w:r w:rsidRPr="005468F5">
        <w:t xml:space="preserve">. Documentos do IX Encontro Brasileiro de Ictiologia. Maringá, Editora da UEM. </w:t>
      </w:r>
      <w:r>
        <w:t>P:</w:t>
      </w:r>
      <w:r w:rsidRPr="005468F5">
        <w:t>107-120.</w:t>
      </w:r>
    </w:p>
    <w:p w:rsidR="00BC6507" w:rsidRPr="000E18B4" w:rsidRDefault="00BC6507" w:rsidP="00656EA3">
      <w:pPr>
        <w:pStyle w:val="Item-Trainho"/>
        <w:rPr>
          <w:szCs w:val="22"/>
        </w:rPr>
      </w:pPr>
      <w:r w:rsidRPr="000E18B4">
        <w:rPr>
          <w:szCs w:val="22"/>
        </w:rPr>
        <w:t xml:space="preserve">AGOSTINHO, A. A.; JÚLIO Jr., H. F.; GOMES, L. C.; BINI, L. M. &amp; AGOSTINHO, C. S. Capítulo II.4. Composição, abundância e distribuição espaço-temporal da ictiofauna. </w:t>
      </w:r>
      <w:r w:rsidRPr="000E18B4">
        <w:rPr>
          <w:i/>
          <w:szCs w:val="22"/>
        </w:rPr>
        <w:t>In</w:t>
      </w:r>
      <w:r w:rsidRPr="000E18B4">
        <w:rPr>
          <w:szCs w:val="22"/>
        </w:rPr>
        <w:t xml:space="preserve">: VAZZOLER, A. E. A. de M.; AGOSTINHO, A. A. &amp; HAHN, N. S. 1997. </w:t>
      </w:r>
      <w:r w:rsidRPr="000E18B4">
        <w:rPr>
          <w:b/>
          <w:szCs w:val="22"/>
        </w:rPr>
        <w:t>A Planície de Inundação do Rio Paraná: Aspectos físicos, biológicos e sócioeconômicos</w:t>
      </w:r>
      <w:r w:rsidRPr="000E18B4">
        <w:rPr>
          <w:szCs w:val="22"/>
        </w:rPr>
        <w:t>. Maringá, EDUEM: Nupélia. 460 p.: il.</w:t>
      </w:r>
    </w:p>
    <w:p w:rsidR="00BC6507" w:rsidRPr="00BC6507" w:rsidRDefault="00BC6507" w:rsidP="00656EA3">
      <w:pPr>
        <w:pStyle w:val="Item-Trainho"/>
        <w:rPr>
          <w:color w:val="000000"/>
          <w:szCs w:val="22"/>
          <w:lang w:val="en-US"/>
        </w:rPr>
      </w:pPr>
      <w:r w:rsidRPr="000E18B4">
        <w:rPr>
          <w:color w:val="000000"/>
          <w:szCs w:val="22"/>
        </w:rPr>
        <w:t>AGOSTINHO, A. A.; AGOSTINHO, C.</w:t>
      </w:r>
      <w:r>
        <w:rPr>
          <w:color w:val="000000"/>
          <w:szCs w:val="22"/>
        </w:rPr>
        <w:t xml:space="preserve"> S.;</w:t>
      </w:r>
      <w:r w:rsidRPr="000E18B4">
        <w:rPr>
          <w:color w:val="000000"/>
          <w:szCs w:val="22"/>
        </w:rPr>
        <w:t xml:space="preserve"> PELECICE. C. S.; MARQUES, E. E. 2012. </w:t>
      </w:r>
      <w:r w:rsidRPr="00BC6507">
        <w:rPr>
          <w:color w:val="000000"/>
          <w:szCs w:val="22"/>
          <w:lang w:val="en-US"/>
        </w:rPr>
        <w:t>Fish ladders: safe fish passage or hotspot for predation?</w:t>
      </w:r>
      <w:r w:rsidRPr="00BC6507">
        <w:rPr>
          <w:rStyle w:val="apple-converted-space"/>
          <w:rFonts w:cs="Arial"/>
          <w:b/>
          <w:bCs/>
          <w:color w:val="000000"/>
          <w:szCs w:val="22"/>
          <w:lang w:val="en-US"/>
        </w:rPr>
        <w:t> </w:t>
      </w:r>
      <w:r w:rsidRPr="00BC6507">
        <w:rPr>
          <w:b/>
          <w:bCs/>
          <w:color w:val="000000"/>
          <w:szCs w:val="22"/>
          <w:lang w:val="en-US"/>
        </w:rPr>
        <w:t>Neotropical Ichthyology</w:t>
      </w:r>
      <w:r w:rsidRPr="00BC6507">
        <w:rPr>
          <w:bCs/>
          <w:color w:val="000000"/>
          <w:szCs w:val="22"/>
          <w:lang w:val="en-US"/>
        </w:rPr>
        <w:t>, (</w:t>
      </w:r>
      <w:r w:rsidRPr="00BC6507">
        <w:rPr>
          <w:color w:val="000000"/>
          <w:szCs w:val="22"/>
          <w:lang w:val="en-US"/>
        </w:rPr>
        <w:t>10): 687-696. </w:t>
      </w:r>
    </w:p>
    <w:p w:rsidR="00BC6507" w:rsidRPr="000E18B4" w:rsidRDefault="00480F87" w:rsidP="00656EA3">
      <w:pPr>
        <w:pStyle w:val="Item-Trainho"/>
        <w:rPr>
          <w:szCs w:val="22"/>
        </w:rPr>
      </w:pPr>
      <w:r>
        <w:rPr>
          <w:color w:val="000000"/>
          <w:szCs w:val="22"/>
          <w:shd w:val="clear" w:color="auto" w:fill="FFFFFF"/>
        </w:rPr>
        <w:t xml:space="preserve">AGOSTINHO, A. A. </w:t>
      </w:r>
      <w:r w:rsidR="00BC6507">
        <w:rPr>
          <w:color w:val="000000"/>
          <w:szCs w:val="22"/>
          <w:shd w:val="clear" w:color="auto" w:fill="FFFFFF"/>
        </w:rPr>
        <w:t>e</w:t>
      </w:r>
      <w:r w:rsidR="00BC6507" w:rsidRPr="000E18B4">
        <w:rPr>
          <w:color w:val="000000"/>
          <w:szCs w:val="22"/>
          <w:shd w:val="clear" w:color="auto" w:fill="FFFFFF"/>
        </w:rPr>
        <w:t xml:space="preserve"> GOMES, L.</w:t>
      </w:r>
      <w:r w:rsidR="00BC6507">
        <w:rPr>
          <w:color w:val="000000"/>
          <w:szCs w:val="22"/>
          <w:shd w:val="clear" w:color="auto" w:fill="FFFFFF"/>
        </w:rPr>
        <w:t xml:space="preserve"> </w:t>
      </w:r>
      <w:r w:rsidR="00BC6507" w:rsidRPr="000E18B4">
        <w:rPr>
          <w:color w:val="000000"/>
          <w:szCs w:val="22"/>
          <w:shd w:val="clear" w:color="auto" w:fill="FFFFFF"/>
        </w:rPr>
        <w:t xml:space="preserve">C. 2005. O manejo da pesca em reservatórios da bacia do Alto rio Paraná: avaliação e perspectivas. </w:t>
      </w:r>
      <w:r w:rsidR="00BC6507" w:rsidRPr="000E18B4">
        <w:rPr>
          <w:i/>
          <w:color w:val="000000"/>
          <w:szCs w:val="22"/>
          <w:shd w:val="clear" w:color="auto" w:fill="FFFFFF"/>
        </w:rPr>
        <w:t>In</w:t>
      </w:r>
      <w:r w:rsidR="00BC6507" w:rsidRPr="000E18B4">
        <w:rPr>
          <w:color w:val="000000"/>
          <w:szCs w:val="22"/>
          <w:shd w:val="clear" w:color="auto" w:fill="FFFFFF"/>
        </w:rPr>
        <w:t xml:space="preserve"> </w:t>
      </w:r>
      <w:r w:rsidR="00BC6507" w:rsidRPr="000E18B4">
        <w:rPr>
          <w:b/>
          <w:color w:val="000000"/>
          <w:szCs w:val="22"/>
          <w:shd w:val="clear" w:color="auto" w:fill="FFFFFF"/>
        </w:rPr>
        <w:t>Ecologia de reservatórios. impactos potenciais, ações de manejo e sistemas em cascata</w:t>
      </w:r>
      <w:r w:rsidR="00BC6507" w:rsidRPr="000E18B4">
        <w:rPr>
          <w:color w:val="000000"/>
          <w:szCs w:val="22"/>
          <w:shd w:val="clear" w:color="auto" w:fill="FFFFFF"/>
        </w:rPr>
        <w:t xml:space="preserve"> (M.</w:t>
      </w:r>
      <w:r w:rsidR="00BC6507">
        <w:rPr>
          <w:color w:val="000000"/>
          <w:szCs w:val="22"/>
          <w:shd w:val="clear" w:color="auto" w:fill="FFFFFF"/>
        </w:rPr>
        <w:t xml:space="preserve"> </w:t>
      </w:r>
      <w:r w:rsidR="00BC6507" w:rsidRPr="000E18B4">
        <w:rPr>
          <w:color w:val="000000"/>
          <w:szCs w:val="22"/>
          <w:shd w:val="clear" w:color="auto" w:fill="FFFFFF"/>
        </w:rPr>
        <w:t>G. Nogueira, R. Henry &amp; A. Jorcin, orgs.). Rima Editora, São Carlos, p. 23-55. </w:t>
      </w:r>
    </w:p>
    <w:p w:rsidR="00BC6507" w:rsidRPr="000E18B4" w:rsidRDefault="00BC6507" w:rsidP="00656EA3">
      <w:pPr>
        <w:pStyle w:val="Item-Trainho"/>
      </w:pPr>
      <w:r w:rsidRPr="000E18B4">
        <w:t xml:space="preserve">BIZERRIL, C. R. S. F. &amp; Lima, N. R. W. 2000. Levantamento da ictiofauna da bacia do rio Ribeira, Brasil. </w:t>
      </w:r>
      <w:r w:rsidRPr="000E18B4">
        <w:rPr>
          <w:b/>
        </w:rPr>
        <w:t>Acta Biologica Leopoldensia</w:t>
      </w:r>
      <w:r w:rsidRPr="000E18B4">
        <w:t xml:space="preserve">. Vol. 22, n(1), janeiro/julho., p: 103-110. </w:t>
      </w:r>
    </w:p>
    <w:p w:rsidR="00656EA3" w:rsidRDefault="00BC6507" w:rsidP="00656EA3">
      <w:pPr>
        <w:pStyle w:val="Item-Trainho"/>
      </w:pPr>
      <w:r w:rsidRPr="000E18B4">
        <w:t>CASTRO, R. M. C.; CASSATTI, L.; SANTOS, H. F.; FERREIRA, K. M.; RIBEIRO, A. C.; BENINE, R. C.; DARDIS, G. Z. P.; MELO, A. L. A.; STOPIGLIA, R.; ABREU, T. X.; BOCKMANN, F. A.; CARVALHO, M.; GIBRAN, F. Z. &amp; LIMA, F. C. T. 2003. Estrutura e Composição da Ictiofauna de Riachos do Rio Paranapanema, Sudeste e Sul do Brasil.</w:t>
      </w:r>
      <w:r w:rsidRPr="009A4D91">
        <w:t xml:space="preserve"> </w:t>
      </w:r>
      <w:r w:rsidRPr="00656EA3">
        <w:rPr>
          <w:b/>
        </w:rPr>
        <w:t>Biota Neotropica</w:t>
      </w:r>
      <w:r w:rsidRPr="009A4D91">
        <w:t>, v.3 n(1)</w:t>
      </w:r>
    </w:p>
    <w:p w:rsidR="00BC6507" w:rsidRPr="009A4D91" w:rsidRDefault="00BC6507" w:rsidP="00656EA3">
      <w:pPr>
        <w:pStyle w:val="Item-Trainho"/>
        <w:numPr>
          <w:ilvl w:val="0"/>
          <w:numId w:val="0"/>
        </w:numPr>
        <w:ind w:left="426"/>
      </w:pPr>
      <w:r w:rsidRPr="009A4D91">
        <w:t>http://www.biotaneotropica.org.br/v3n1/pt/abstract?article+BN01703012003. &lt;Acesso em 02/08/2008&gt;</w:t>
      </w:r>
    </w:p>
    <w:p w:rsidR="00BC6507" w:rsidRPr="009A4D91" w:rsidRDefault="00BC6507" w:rsidP="00656EA3">
      <w:pPr>
        <w:pStyle w:val="Item-Trainho"/>
        <w:rPr>
          <w:lang w:val="pt-PT"/>
        </w:rPr>
      </w:pPr>
      <w:r w:rsidRPr="009A4D91">
        <w:rPr>
          <w:lang w:val="pt-PT"/>
        </w:rPr>
        <w:t xml:space="preserve">CASTRO, R. M. C.; CASSATTI, L.; SANTOS, E. F.; MELO, A. L. A.; MARTINS, L. S. F.; FERREIRA, K. M.; GIBRAN, F. Z.; BENINE, R. C.; CARVALHO, M.; RIBEIRO, A. C.; ABREU, T. N.; BOCKMANN, F. A.; PELIÇÃO, G. Z.; STOPIGLIA, R. &amp; LANGEANI, F. 2004. Estrutura e Composição da Ictiofauna de Riachos da Bacia do Rio Grande no Estado de São Paulo, Sudeste do Brasil. </w:t>
      </w:r>
      <w:r w:rsidRPr="009A4D91">
        <w:rPr>
          <w:b/>
          <w:iCs/>
          <w:lang w:val="pt-PT"/>
        </w:rPr>
        <w:t>Biota Neotropica</w:t>
      </w:r>
      <w:r w:rsidRPr="009A4D91">
        <w:rPr>
          <w:lang w:val="pt-PT"/>
        </w:rPr>
        <w:t>. 4(1): 1 – 39.</w:t>
      </w:r>
    </w:p>
    <w:p w:rsidR="00BC6507" w:rsidRPr="00DD0BA1" w:rsidRDefault="00BC6507" w:rsidP="00656EA3">
      <w:pPr>
        <w:pStyle w:val="Item-Trainho"/>
      </w:pPr>
      <w:r w:rsidRPr="00DD0BA1">
        <w:rPr>
          <w:lang w:val="pt-PT"/>
        </w:rPr>
        <w:t>GIAMAS, M. T. D.; CAMPOS, E. C.; CAMARA, J. J. C.; VERMULM Jr. H. &amp; BARBIERI, G. 2004.</w:t>
      </w:r>
      <w:r w:rsidRPr="00DD0BA1">
        <w:rPr>
          <w:b/>
          <w:bCs/>
        </w:rPr>
        <w:t xml:space="preserve"> </w:t>
      </w:r>
      <w:r w:rsidRPr="00DD0BA1">
        <w:rPr>
          <w:bCs/>
        </w:rPr>
        <w:t xml:space="preserve">A ictiofauna da represa de Ponte Nova, Salesópolis (São Paulo) – Bacia do Alto Tietê. </w:t>
      </w:r>
      <w:r w:rsidRPr="00DD0BA1">
        <w:rPr>
          <w:i/>
          <w:iCs/>
        </w:rPr>
        <w:t>Boletim do Instituto de Pesca</w:t>
      </w:r>
      <w:r w:rsidRPr="00DD0BA1">
        <w:t xml:space="preserve">, São Paulo, </w:t>
      </w:r>
      <w:r w:rsidRPr="00DD0BA1">
        <w:rPr>
          <w:iCs/>
        </w:rPr>
        <w:t>30</w:t>
      </w:r>
      <w:r w:rsidRPr="00DD0BA1">
        <w:t>(1): 25 – 34.</w:t>
      </w:r>
    </w:p>
    <w:p w:rsidR="00BC6507" w:rsidRPr="00DD0BA1" w:rsidRDefault="00BC6507" w:rsidP="00656EA3">
      <w:pPr>
        <w:pStyle w:val="Item-Trainho"/>
      </w:pPr>
      <w:r w:rsidRPr="00A206D2">
        <w:rPr>
          <w:lang w:val="en-US"/>
        </w:rPr>
        <w:t xml:space="preserve">KIPPER, D.; BALETZKI, A.; SANTIN, M. 2011. </w:t>
      </w:r>
      <w:r w:rsidRPr="00DD0BA1">
        <w:t xml:space="preserve">Composição taxonômica da assembleia de larvas de peixes no reservatório de Rosana, Rio Paranapanema, Brasil. </w:t>
      </w:r>
      <w:r w:rsidRPr="00DD0BA1">
        <w:rPr>
          <w:b/>
        </w:rPr>
        <w:t>Biota Neotropica</w:t>
      </w:r>
      <w:r w:rsidRPr="00DD0BA1">
        <w:t>, (11) 1, pp. 421 – 426.</w:t>
      </w:r>
    </w:p>
    <w:p w:rsidR="00BC6507" w:rsidRPr="00DD0BA1" w:rsidRDefault="00BC6507" w:rsidP="00656EA3">
      <w:pPr>
        <w:pStyle w:val="Item-Trainho"/>
      </w:pPr>
      <w:r w:rsidRPr="00DD0BA1">
        <w:t xml:space="preserve">LEITE, R. G.; SILVA, J. V. V.; C. E. 2006. Abundância e distribuição das larvas de peixes no Lago Catalão e no encontro das águas dos rios Solimões e Negro, Amazonas, Brasil. </w:t>
      </w:r>
      <w:r w:rsidRPr="00DD0BA1">
        <w:rPr>
          <w:b/>
        </w:rPr>
        <w:t>Acta Amazonica</w:t>
      </w:r>
      <w:r w:rsidRPr="00DD0BA1">
        <w:t>, 36 (4): 557 – 562.</w:t>
      </w:r>
    </w:p>
    <w:p w:rsidR="00BC6507" w:rsidRPr="00DD0BA1" w:rsidRDefault="00BC6507" w:rsidP="00656EA3">
      <w:pPr>
        <w:pStyle w:val="Item-Trainho"/>
        <w:rPr>
          <w:lang w:val="en-US"/>
        </w:rPr>
      </w:pPr>
      <w:r w:rsidRPr="00DD0BA1">
        <w:t xml:space="preserve">LEITE, R. G.; GALUCH, A. V.; SILVA, J. V. V.; et al. 2010. Relatório Técnico do Programa de Conservação da Ictiofauna do Rio Madeira. Cap. IV – Ictioplâncton. Laboratório de Ictiologia e Pesca UNIR\RIOMAR. </w:t>
      </w:r>
      <w:r w:rsidRPr="00DD0BA1">
        <w:rPr>
          <w:lang w:val="en-US"/>
        </w:rPr>
        <w:t xml:space="preserve">Pp. 211 – 243 - </w:t>
      </w:r>
      <w:hyperlink r:id="rId49" w:history="1">
        <w:r w:rsidRPr="00DD0BA1">
          <w:rPr>
            <w:rStyle w:val="Hyperlink"/>
            <w:rFonts w:cs="Arial"/>
            <w:lang w:val="en-US"/>
          </w:rPr>
          <w:t>http://licenciamento.ibama.gov.br/Hidreletricas/Santo%20Antonio%20(Rio%20Madeira)/Relatorios/POS%20LO/1%C2%BA%20relat%C3%B3rio%20semestral/FINAL/ANEXOS/SECAO%2016/Anexo%2015/Cap.%204%20Ictiopl%C3%A2ncton.pdf</w:t>
        </w:r>
      </w:hyperlink>
      <w:r w:rsidRPr="00DD0BA1">
        <w:rPr>
          <w:lang w:val="en-US"/>
        </w:rPr>
        <w:t xml:space="preserve"> </w:t>
      </w:r>
    </w:p>
    <w:p w:rsidR="00BC6507" w:rsidRPr="00DD0BA1" w:rsidRDefault="00BC6507" w:rsidP="00656EA3">
      <w:pPr>
        <w:pStyle w:val="Item-Trainho"/>
      </w:pPr>
      <w:r w:rsidRPr="00DD0BA1">
        <w:t xml:space="preserve">LEMES, E. M. &amp; V. GARUTTI. 2002. Ecologia da ictiofauna de um córrego de cabeceira da bacia do alto rio Paraná, Brasil. </w:t>
      </w:r>
      <w:r w:rsidRPr="00DD0BA1">
        <w:rPr>
          <w:b/>
          <w:bCs/>
        </w:rPr>
        <w:t>Iheringia, Série Zoologia, 92</w:t>
      </w:r>
      <w:r w:rsidRPr="00DD0BA1">
        <w:t xml:space="preserve"> (3): 69-78.</w:t>
      </w:r>
    </w:p>
    <w:p w:rsidR="00BC6507" w:rsidRPr="00DD0BA1" w:rsidRDefault="00BC6507" w:rsidP="00656EA3">
      <w:pPr>
        <w:pStyle w:val="Item-Trainho"/>
      </w:pPr>
      <w:r w:rsidRPr="00DD0BA1">
        <w:t xml:space="preserve">LIMA, R. S. 1997. </w:t>
      </w:r>
      <w:r w:rsidRPr="00DD0BA1">
        <w:rPr>
          <w:b/>
        </w:rPr>
        <w:t>Ictiofauna do alto curso do rio Paraíba do Sul</w:t>
      </w:r>
      <w:r w:rsidRPr="00DD0BA1">
        <w:t>. Dissertação de Mestrado (M-781). IBUSP: São Paulo. 222p.</w:t>
      </w:r>
    </w:p>
    <w:p w:rsidR="00BC6507" w:rsidRPr="00DD0BA1" w:rsidRDefault="00BC6507" w:rsidP="00656EA3">
      <w:pPr>
        <w:pStyle w:val="Item-Trainho"/>
      </w:pPr>
      <w:r w:rsidRPr="00DD0BA1">
        <w:t xml:space="preserve">NAKATANI, K.; AGOSTINHO, A. A.; BAUNGARTNER, G., BIALETZKI, A.; SANCHEZ, P.V., MAKRAKIS, M.C.; PAVANELLI, C. S. 2001. </w:t>
      </w:r>
      <w:r w:rsidRPr="00DD0BA1">
        <w:rPr>
          <w:b/>
        </w:rPr>
        <w:t>Ovos e larvas de peixes de água doce: desenvolvimento e manual de identificação</w:t>
      </w:r>
      <w:r w:rsidRPr="00DD0BA1">
        <w:t>. Maringá: EDUEM, 378 p.</w:t>
      </w:r>
    </w:p>
    <w:p w:rsidR="00BC6507" w:rsidRPr="00DD0BA1" w:rsidRDefault="00BC6507" w:rsidP="00656EA3">
      <w:pPr>
        <w:pStyle w:val="Item-Trainho"/>
      </w:pPr>
      <w:r w:rsidRPr="00DD0BA1">
        <w:t xml:space="preserve">OYAKAWA, O. T.; AKAMA, A.; MAUTARI, K. C.; NOLASCO, J. C. 2006. </w:t>
      </w:r>
      <w:r w:rsidRPr="00DD0BA1">
        <w:rPr>
          <w:b/>
        </w:rPr>
        <w:t>Peixes de Riachos da Mata Atlântica nas Unidades de Conservação do Vale do Rio Ribeira de Iguape no Estado de São Paulo</w:t>
      </w:r>
      <w:r w:rsidRPr="00DD0BA1">
        <w:rPr>
          <w:i/>
        </w:rPr>
        <w:t>.</w:t>
      </w:r>
      <w:r w:rsidRPr="00DD0BA1">
        <w:t xml:space="preserve"> São Paulo: Editora Neotrópica, 201p.:il.</w:t>
      </w:r>
    </w:p>
    <w:p w:rsidR="00BC6507" w:rsidRPr="00DD0BA1" w:rsidRDefault="00BC6507" w:rsidP="00656EA3">
      <w:pPr>
        <w:pStyle w:val="Item-Trainho"/>
      </w:pPr>
      <w:r w:rsidRPr="00DD0BA1">
        <w:t xml:space="preserve">OYAKAWA, O. T. &amp; MENEZES, N. A. 2011. </w:t>
      </w:r>
      <w:r w:rsidRPr="00DD0BA1">
        <w:rPr>
          <w:i/>
        </w:rPr>
        <w:t>Checklist</w:t>
      </w:r>
      <w:r w:rsidRPr="00DD0BA1">
        <w:t xml:space="preserve"> dos peixes de água doce do Estado de São Paulo, Brasil. </w:t>
      </w:r>
      <w:r w:rsidRPr="00DD0BA1">
        <w:rPr>
          <w:b/>
        </w:rPr>
        <w:t>Biota Neotropica</w:t>
      </w:r>
      <w:r w:rsidRPr="00DD0BA1">
        <w:t>, v(11), n 1A.</w:t>
      </w:r>
    </w:p>
    <w:p w:rsidR="00BC6507" w:rsidRPr="009A4D91" w:rsidRDefault="00BC6507" w:rsidP="00656EA3">
      <w:pPr>
        <w:pStyle w:val="Item-Trainho"/>
      </w:pPr>
      <w:r w:rsidRPr="009A4D91">
        <w:t xml:space="preserve">TEIXEIRA, T. P.; TERRA, B. F.; ESTILIANO, E. O.; GRACIA, D.; PINTO, B. C. T. &amp; ARAÚJO, F. G. 2004. Distribuição da ictiofauna em locais impactados no rio Paraíba do Sul. </w:t>
      </w:r>
      <w:r w:rsidRPr="009A4D91">
        <w:rPr>
          <w:b/>
        </w:rPr>
        <w:t>Rev. Univ. Rural, Sér. Ci. Vida</w:t>
      </w:r>
      <w:r w:rsidRPr="009A4D91">
        <w:t>.</w:t>
      </w:r>
      <w:r w:rsidRPr="009A4D91">
        <w:rPr>
          <w:b/>
        </w:rPr>
        <w:t xml:space="preserve"> Seropédica, RJ, EDUR</w:t>
      </w:r>
      <w:r w:rsidRPr="009A4D91">
        <w:t>, v. 24, n. 2, Jul-Dez., p: 167-174.</w:t>
      </w:r>
    </w:p>
    <w:p w:rsidR="00FB566B" w:rsidRDefault="00BC6507" w:rsidP="00656EA3">
      <w:pPr>
        <w:pStyle w:val="Item-Trainho"/>
      </w:pPr>
      <w:r w:rsidRPr="009A4D91">
        <w:t xml:space="preserve">TEIXEIRA, T. P.; PINTO, B. C. T.; TERRA, B. F.; ESTILIANO, E. O.; GRACIA, D. &amp; ARAÚJO, F. G. 2005. Diversidade das assembléias de peixes nas quatro unidades geográficas do rio Paraíba do Sul. </w:t>
      </w:r>
      <w:r w:rsidRPr="009A4D91">
        <w:rPr>
          <w:b/>
        </w:rPr>
        <w:t>Iheringia, Sér. Zool</w:t>
      </w:r>
      <w:r w:rsidRPr="009A4D91">
        <w:rPr>
          <w:i/>
        </w:rPr>
        <w:t>.</w:t>
      </w:r>
      <w:r w:rsidRPr="009A4D91">
        <w:t>,</w:t>
      </w:r>
      <w:r w:rsidR="00480F87">
        <w:t xml:space="preserve"> Porto Alegre, 95(4): 347-357. </w:t>
      </w:r>
    </w:p>
    <w:p w:rsidR="00623CE0" w:rsidRDefault="00623CE0" w:rsidP="00623CE0">
      <w:pPr>
        <w:pStyle w:val="Item-Trainho"/>
        <w:numPr>
          <w:ilvl w:val="0"/>
          <w:numId w:val="0"/>
        </w:numPr>
        <w:ind w:left="397" w:hanging="397"/>
      </w:pPr>
      <w:r>
        <w:br w:type="page"/>
      </w:r>
    </w:p>
    <w:p w:rsidR="003D2B40" w:rsidRPr="00FD2308" w:rsidRDefault="00946FA3" w:rsidP="00431A97">
      <w:pPr>
        <w:pStyle w:val="Ttulo3"/>
        <w:numPr>
          <w:ilvl w:val="2"/>
          <w:numId w:val="84"/>
        </w:numPr>
        <w:rPr>
          <w:rFonts w:ascii="Arial Negrito" w:hAnsi="Arial Negrito"/>
          <w:bCs/>
        </w:rPr>
      </w:pPr>
      <w:bookmarkStart w:id="1285" w:name="_Toc418758501"/>
      <w:bookmarkStart w:id="1286" w:name="_Toc418759103"/>
      <w:bookmarkStart w:id="1287" w:name="_Toc419813888"/>
      <w:r w:rsidRPr="00FD2308">
        <w:rPr>
          <w:rFonts w:ascii="Arial Negrito" w:hAnsi="Arial Negrito"/>
          <w:bCs/>
        </w:rPr>
        <w:t>Pro</w:t>
      </w:r>
      <w:r w:rsidR="003D2B40" w:rsidRPr="00FD2308">
        <w:rPr>
          <w:rFonts w:ascii="Arial Negrito" w:hAnsi="Arial Negrito"/>
          <w:bCs/>
        </w:rPr>
        <w:t>grama de Compensação Ambiental</w:t>
      </w:r>
      <w:bookmarkEnd w:id="1285"/>
      <w:bookmarkEnd w:id="1286"/>
      <w:bookmarkEnd w:id="1287"/>
    </w:p>
    <w:p w:rsidR="0033085E" w:rsidRPr="00FD2308" w:rsidRDefault="0033085E" w:rsidP="00431A97">
      <w:pPr>
        <w:pStyle w:val="Ttulo3"/>
        <w:numPr>
          <w:ilvl w:val="3"/>
          <w:numId w:val="84"/>
        </w:numPr>
        <w:rPr>
          <w:rFonts w:ascii="Arial Negrito" w:hAnsi="Arial Negrito"/>
          <w:bCs/>
        </w:rPr>
      </w:pPr>
      <w:bookmarkStart w:id="1288" w:name="_Toc370810522"/>
      <w:bookmarkStart w:id="1289" w:name="_Toc370923501"/>
      <w:bookmarkStart w:id="1290" w:name="_Toc370985627"/>
      <w:bookmarkStart w:id="1291" w:name="_Toc418758502"/>
      <w:bookmarkStart w:id="1292" w:name="_Toc418759104"/>
      <w:bookmarkStart w:id="1293" w:name="_Toc419813889"/>
      <w:r w:rsidRPr="00FD2308">
        <w:rPr>
          <w:rFonts w:ascii="Arial Negrito" w:hAnsi="Arial Negrito"/>
          <w:bCs/>
        </w:rPr>
        <w:t>Apresentação e Justificativa</w:t>
      </w:r>
      <w:bookmarkEnd w:id="1288"/>
      <w:bookmarkEnd w:id="1289"/>
      <w:bookmarkEnd w:id="1290"/>
      <w:bookmarkEnd w:id="1291"/>
      <w:bookmarkEnd w:id="1292"/>
      <w:bookmarkEnd w:id="1293"/>
    </w:p>
    <w:p w:rsidR="00FB566B" w:rsidRPr="00977CD5" w:rsidRDefault="0033085E" w:rsidP="0033085E">
      <w:pPr>
        <w:pStyle w:val="SPE-Texto"/>
        <w:spacing w:before="120" w:after="120" w:line="240" w:lineRule="auto"/>
        <w:rPr>
          <w:rFonts w:ascii="Arial" w:hAnsi="Arial" w:cs="Arial"/>
          <w:sz w:val="22"/>
          <w:szCs w:val="22"/>
        </w:rPr>
      </w:pPr>
      <w:r w:rsidRPr="00977CD5">
        <w:rPr>
          <w:rFonts w:ascii="Arial" w:hAnsi="Arial" w:cs="Arial"/>
          <w:sz w:val="22"/>
          <w:szCs w:val="22"/>
        </w:rPr>
        <w:t xml:space="preserve">O Programa de Compensação Ambiental visa apresentar para a CETESB, as informações necessárias para a determinação do Grau de Impacto Ambiental (GI) e do Valor de Compensação Ambiental (CA), bem como a sugestão de aplicação dos recursos, referente </w:t>
      </w:r>
      <w:r w:rsidR="00FB566B" w:rsidRPr="00977CD5">
        <w:rPr>
          <w:rFonts w:ascii="Arial" w:hAnsi="Arial" w:cs="Arial"/>
          <w:sz w:val="22"/>
          <w:szCs w:val="22"/>
        </w:rPr>
        <w:t>a implantação das Barragens Pedreira e Duas Ponte.</w:t>
      </w:r>
    </w:p>
    <w:p w:rsidR="0033085E" w:rsidRPr="00977CD5" w:rsidRDefault="0033085E" w:rsidP="0033085E">
      <w:pPr>
        <w:pStyle w:val="SPE-Texto"/>
        <w:spacing w:before="120" w:after="120" w:line="240" w:lineRule="auto"/>
        <w:rPr>
          <w:rFonts w:ascii="Arial" w:hAnsi="Arial" w:cs="Arial"/>
          <w:sz w:val="22"/>
          <w:szCs w:val="22"/>
        </w:rPr>
      </w:pPr>
      <w:r w:rsidRPr="00977CD5">
        <w:rPr>
          <w:rFonts w:ascii="Arial" w:hAnsi="Arial" w:cs="Arial"/>
          <w:sz w:val="22"/>
          <w:szCs w:val="22"/>
        </w:rPr>
        <w:t>O Programa de Compensação Ambiental destina-se a atender ao disposto na Lei Federal nº 9</w:t>
      </w:r>
      <w:r w:rsidR="006664B2" w:rsidRPr="00977CD5">
        <w:rPr>
          <w:rFonts w:ascii="Arial" w:hAnsi="Arial" w:cs="Arial"/>
          <w:sz w:val="22"/>
          <w:szCs w:val="22"/>
        </w:rPr>
        <w:t>.</w:t>
      </w:r>
      <w:r w:rsidRPr="00977CD5">
        <w:rPr>
          <w:rFonts w:ascii="Arial" w:hAnsi="Arial" w:cs="Arial"/>
          <w:sz w:val="22"/>
          <w:szCs w:val="22"/>
        </w:rPr>
        <w:t>985, de 18 de julho de 2000, que instituiu o Sistema Nacional de Unidades de Conservação da Natureza (SNUC); regulamentada pelo Decreto Federal nº 4340, de 22 de agosto de 2002; e alterada e complementada pelo Decreto Federal n° 6848, de 14 de maio de 2009.</w:t>
      </w:r>
    </w:p>
    <w:p w:rsidR="0033085E" w:rsidRPr="00977CD5" w:rsidRDefault="0033085E" w:rsidP="0033085E">
      <w:pPr>
        <w:pStyle w:val="SPE-Texto"/>
        <w:spacing w:before="120" w:after="120" w:line="240" w:lineRule="auto"/>
        <w:rPr>
          <w:rFonts w:ascii="Arial" w:hAnsi="Arial" w:cs="Arial"/>
          <w:sz w:val="22"/>
          <w:szCs w:val="22"/>
        </w:rPr>
      </w:pPr>
      <w:r w:rsidRPr="00977CD5">
        <w:rPr>
          <w:rFonts w:ascii="Arial" w:hAnsi="Arial" w:cs="Arial"/>
          <w:sz w:val="22"/>
          <w:szCs w:val="22"/>
        </w:rPr>
        <w:t>Conforme determina o Artigo 36 da Lei Federal nº 9</w:t>
      </w:r>
      <w:r w:rsidR="006664B2" w:rsidRPr="00977CD5">
        <w:rPr>
          <w:rFonts w:ascii="Arial" w:hAnsi="Arial" w:cs="Arial"/>
          <w:sz w:val="22"/>
          <w:szCs w:val="22"/>
        </w:rPr>
        <w:t>.</w:t>
      </w:r>
      <w:r w:rsidRPr="00977CD5">
        <w:rPr>
          <w:rFonts w:ascii="Arial" w:hAnsi="Arial" w:cs="Arial"/>
          <w:sz w:val="22"/>
          <w:szCs w:val="22"/>
        </w:rPr>
        <w:t>985/2000, nos processos de licenciamento ambiental fundamentados em estudos de impacto ambiental, os empreendedores são obrigados a apoiar a criação e/ou manutenção de unidades de conservação do Grupo de Proteção Integral, ou seja, Estação Ecológica, Reserva Biológica, Parque Nacional (Estadual ou Natural Municipal), Monumento Natural ou Refúgio de Vida Silvestre conforme texto abaixo:</w:t>
      </w:r>
    </w:p>
    <w:p w:rsidR="0033085E" w:rsidRPr="00977CD5" w:rsidRDefault="0033085E" w:rsidP="0033085E">
      <w:pPr>
        <w:pStyle w:val="SPE-Texto"/>
        <w:spacing w:before="120" w:after="120" w:line="240" w:lineRule="auto"/>
        <w:ind w:left="709" w:right="424"/>
        <w:rPr>
          <w:rFonts w:ascii="Arial" w:hAnsi="Arial" w:cs="Arial"/>
          <w:sz w:val="22"/>
          <w:szCs w:val="22"/>
        </w:rPr>
      </w:pPr>
      <w:r w:rsidRPr="00977CD5">
        <w:rPr>
          <w:rFonts w:ascii="Arial" w:hAnsi="Arial" w:cs="Arial"/>
          <w:sz w:val="22"/>
          <w:szCs w:val="22"/>
        </w:rPr>
        <w:t>Artigo 36: Nos casos de licenciamento ambiental de empreendimentos de significativo impacto ambiental, assim considerados pelo órgão ambiental competente, com fundamento em estudo de impacto ambiental e</w:t>
      </w:r>
      <w:r w:rsidR="006664B2" w:rsidRPr="00977CD5">
        <w:rPr>
          <w:rFonts w:ascii="Arial" w:hAnsi="Arial" w:cs="Arial"/>
          <w:sz w:val="22"/>
          <w:szCs w:val="22"/>
        </w:rPr>
        <w:t xml:space="preserve"> respectivo relatório – EIA/RIMA</w:t>
      </w:r>
      <w:r w:rsidRPr="00977CD5">
        <w:rPr>
          <w:rFonts w:ascii="Arial" w:hAnsi="Arial" w:cs="Arial"/>
          <w:sz w:val="22"/>
          <w:szCs w:val="22"/>
        </w:rPr>
        <w:t>, o empreendedor é obrigado a apoiar a implantação e manutenção de unidade de conservação do Grupo de Proteção Integral, de acordo com o disposto neste artigo e no regulamento desta Lei.</w:t>
      </w:r>
    </w:p>
    <w:p w:rsidR="0033085E" w:rsidRPr="00977CD5" w:rsidRDefault="0033085E" w:rsidP="0033085E">
      <w:pPr>
        <w:pStyle w:val="SPE-Texto"/>
        <w:spacing w:before="120" w:after="120" w:line="240" w:lineRule="auto"/>
        <w:ind w:left="709" w:right="424"/>
        <w:rPr>
          <w:rFonts w:ascii="Arial" w:hAnsi="Arial" w:cs="Arial"/>
          <w:sz w:val="22"/>
          <w:szCs w:val="22"/>
        </w:rPr>
      </w:pPr>
      <w:r w:rsidRPr="00977CD5">
        <w:rPr>
          <w:rFonts w:ascii="Arial" w:hAnsi="Arial" w:cs="Arial"/>
          <w:sz w:val="22"/>
          <w:szCs w:val="22"/>
        </w:rPr>
        <w:t>§2º Ao órgão ambiental licenciador compete definir as unidades de conservação a serem beneficiadas, considerando as pr</w:t>
      </w:r>
      <w:r w:rsidR="006664B2" w:rsidRPr="00977CD5">
        <w:rPr>
          <w:rFonts w:ascii="Arial" w:hAnsi="Arial" w:cs="Arial"/>
          <w:sz w:val="22"/>
          <w:szCs w:val="22"/>
        </w:rPr>
        <w:t>opostas apresentadas no EIA/RIMA</w:t>
      </w:r>
      <w:r w:rsidRPr="00977CD5">
        <w:rPr>
          <w:rFonts w:ascii="Arial" w:hAnsi="Arial" w:cs="Arial"/>
          <w:sz w:val="22"/>
          <w:szCs w:val="22"/>
        </w:rPr>
        <w:t xml:space="preserve"> e ouvido o empreendedor, podendo inclusive ser contemplada a criação de novas unidades de conservação.</w:t>
      </w:r>
    </w:p>
    <w:p w:rsidR="0033085E" w:rsidRPr="0053177A" w:rsidRDefault="0033085E" w:rsidP="0033085E">
      <w:pPr>
        <w:pStyle w:val="SPE-Texto"/>
        <w:spacing w:before="120" w:after="120" w:line="240" w:lineRule="auto"/>
        <w:ind w:left="709" w:right="424"/>
        <w:rPr>
          <w:rFonts w:ascii="Arial" w:hAnsi="Arial" w:cs="Arial"/>
          <w:sz w:val="22"/>
          <w:szCs w:val="22"/>
        </w:rPr>
      </w:pPr>
      <w:r w:rsidRPr="0053177A">
        <w:rPr>
          <w:rFonts w:ascii="Arial" w:hAnsi="Arial" w:cs="Arial"/>
          <w:sz w:val="22"/>
          <w:szCs w:val="22"/>
        </w:rPr>
        <w:t>§3º Quando o empreendimento afetar unidade de conservação específica ou sua zona de amortecimento, o licenciamento a que se refere o caput deste artigo só poderá ser concedido mediante autorização do órgão responsável por sua administração, e a unidade afetada, mesmo que não pertencente ao Grupo de Proteção Integral, deverá ser uma das beneficiárias da compensação definida neste artigo.</w:t>
      </w:r>
    </w:p>
    <w:p w:rsidR="0033085E" w:rsidRPr="0053177A" w:rsidRDefault="006664B2" w:rsidP="0033085E">
      <w:pPr>
        <w:pStyle w:val="SPE-Texto"/>
        <w:spacing w:before="120" w:after="120" w:line="240" w:lineRule="auto"/>
        <w:rPr>
          <w:rFonts w:ascii="Arial" w:hAnsi="Arial" w:cs="Arial"/>
          <w:sz w:val="22"/>
          <w:szCs w:val="22"/>
        </w:rPr>
      </w:pPr>
      <w:r w:rsidRPr="0053177A">
        <w:rPr>
          <w:rFonts w:ascii="Arial" w:hAnsi="Arial" w:cs="Arial"/>
          <w:sz w:val="22"/>
          <w:szCs w:val="22"/>
        </w:rPr>
        <w:t xml:space="preserve">Portanto, </w:t>
      </w:r>
      <w:r w:rsidR="0033085E" w:rsidRPr="0053177A">
        <w:rPr>
          <w:rFonts w:ascii="Arial" w:hAnsi="Arial" w:cs="Arial"/>
          <w:sz w:val="22"/>
          <w:szCs w:val="22"/>
        </w:rPr>
        <w:t>os recursos de compensação ambiental deve</w:t>
      </w:r>
      <w:r w:rsidRPr="0053177A">
        <w:rPr>
          <w:rFonts w:ascii="Arial" w:hAnsi="Arial" w:cs="Arial"/>
          <w:sz w:val="22"/>
          <w:szCs w:val="22"/>
        </w:rPr>
        <w:t>m</w:t>
      </w:r>
      <w:r w:rsidR="0033085E" w:rsidRPr="0053177A">
        <w:rPr>
          <w:rFonts w:ascii="Arial" w:hAnsi="Arial" w:cs="Arial"/>
          <w:sz w:val="22"/>
          <w:szCs w:val="22"/>
        </w:rPr>
        <w:t xml:space="preserve"> se</w:t>
      </w:r>
      <w:r w:rsidRPr="0053177A">
        <w:rPr>
          <w:rFonts w:ascii="Arial" w:hAnsi="Arial" w:cs="Arial"/>
          <w:sz w:val="22"/>
          <w:szCs w:val="22"/>
        </w:rPr>
        <w:t>r aplicados</w:t>
      </w:r>
      <w:r w:rsidR="0033085E" w:rsidRPr="0053177A">
        <w:rPr>
          <w:rFonts w:ascii="Arial" w:hAnsi="Arial" w:cs="Arial"/>
          <w:sz w:val="22"/>
          <w:szCs w:val="22"/>
        </w:rPr>
        <w:t xml:space="preserve"> em Unidade de Conservação de Proteção Integral, situada na área de influência do empreendimento objeto de licenciamento ambiental.</w:t>
      </w:r>
    </w:p>
    <w:p w:rsidR="0033085E" w:rsidRPr="0053177A" w:rsidRDefault="0033085E" w:rsidP="0033085E">
      <w:pPr>
        <w:pStyle w:val="SPE-Texto"/>
        <w:spacing w:before="120" w:after="120" w:line="240" w:lineRule="auto"/>
        <w:rPr>
          <w:rFonts w:ascii="Arial" w:hAnsi="Arial" w:cs="Arial"/>
          <w:sz w:val="22"/>
          <w:szCs w:val="22"/>
        </w:rPr>
      </w:pPr>
      <w:r w:rsidRPr="0053177A">
        <w:rPr>
          <w:rFonts w:ascii="Arial" w:hAnsi="Arial" w:cs="Arial"/>
          <w:sz w:val="22"/>
          <w:szCs w:val="22"/>
        </w:rPr>
        <w:t>O órgão ambiental é o responsável por determinar o montante de recursos a ser destinado pelos empreendedores como compensação ambiental, no caso do presente licenciamento ambiental, pela Câmara de Compensação Ambiental da Secretaria de Meio Ambiente do Estado de São Paulo. Este valor deverá ser entre 0% e 0,5 % do valor total dos investimentos para a implantação do empreendimento, de acordo com o Decreto Federal nº 6.848/2009 (que altera o Decreto Federal nº 4.340/2002).</w:t>
      </w:r>
    </w:p>
    <w:p w:rsidR="0033085E" w:rsidRPr="00A206D2" w:rsidRDefault="0033085E" w:rsidP="0033085E">
      <w:pPr>
        <w:pStyle w:val="SPE-Texto"/>
        <w:spacing w:before="120" w:after="120" w:line="240" w:lineRule="auto"/>
        <w:rPr>
          <w:rFonts w:ascii="Arial" w:hAnsi="Arial" w:cs="Arial"/>
          <w:sz w:val="22"/>
          <w:szCs w:val="22"/>
        </w:rPr>
      </w:pPr>
      <w:r w:rsidRPr="00A206D2">
        <w:rPr>
          <w:rFonts w:ascii="Arial" w:hAnsi="Arial" w:cs="Arial"/>
          <w:sz w:val="22"/>
          <w:szCs w:val="22"/>
        </w:rPr>
        <w:t>Neste Programa são avaliadas as Unidades de Conservação existentes na</w:t>
      </w:r>
      <w:r w:rsidR="007351D2" w:rsidRPr="00A206D2">
        <w:rPr>
          <w:rFonts w:ascii="Arial" w:hAnsi="Arial" w:cs="Arial"/>
          <w:sz w:val="22"/>
          <w:szCs w:val="22"/>
        </w:rPr>
        <w:t>s</w:t>
      </w:r>
      <w:r w:rsidRPr="00A206D2">
        <w:rPr>
          <w:rFonts w:ascii="Arial" w:hAnsi="Arial" w:cs="Arial"/>
          <w:sz w:val="22"/>
          <w:szCs w:val="22"/>
        </w:rPr>
        <w:t xml:space="preserve"> áreas de influência e apresentada uma proposta de cálculo do valor de compensação ambiental, tendo como base os critérios estabelecidos no Decreto Federal nº 6.848/2009.</w:t>
      </w:r>
    </w:p>
    <w:p w:rsidR="0033085E" w:rsidRPr="0053177A" w:rsidRDefault="0033085E" w:rsidP="0033085E">
      <w:pPr>
        <w:pStyle w:val="SPE-Texto"/>
        <w:spacing w:before="120" w:after="120" w:line="240" w:lineRule="auto"/>
        <w:rPr>
          <w:rFonts w:ascii="Arial" w:hAnsi="Arial" w:cs="Arial"/>
          <w:sz w:val="22"/>
          <w:szCs w:val="22"/>
        </w:rPr>
      </w:pPr>
      <w:r w:rsidRPr="0053177A">
        <w:rPr>
          <w:rFonts w:ascii="Arial" w:hAnsi="Arial" w:cs="Arial"/>
          <w:sz w:val="22"/>
          <w:szCs w:val="22"/>
        </w:rPr>
        <w:t>Para a definição dos investimentos a serem realizados a título de compensação ambiental, foram adotadas as seguintes premissas:</w:t>
      </w:r>
    </w:p>
    <w:p w:rsidR="0033085E" w:rsidRPr="00A206D2" w:rsidRDefault="0033085E" w:rsidP="0033085E">
      <w:pPr>
        <w:pStyle w:val="Bolinha"/>
        <w:rPr>
          <w:rFonts w:ascii="Arial" w:hAnsi="Arial"/>
          <w:sz w:val="22"/>
        </w:rPr>
      </w:pPr>
      <w:r w:rsidRPr="00A206D2">
        <w:rPr>
          <w:rFonts w:ascii="Arial" w:hAnsi="Arial"/>
          <w:sz w:val="22"/>
        </w:rPr>
        <w:t>Alocar recursos em Unidade de Conservação- UC já constituída ou em processo de implantação;</w:t>
      </w:r>
    </w:p>
    <w:p w:rsidR="0033085E" w:rsidRPr="00A206D2" w:rsidRDefault="0033085E" w:rsidP="0033085E">
      <w:pPr>
        <w:pStyle w:val="Bolinha"/>
        <w:rPr>
          <w:rFonts w:ascii="Arial" w:hAnsi="Arial"/>
          <w:sz w:val="22"/>
        </w:rPr>
      </w:pPr>
      <w:r w:rsidRPr="00A206D2">
        <w:rPr>
          <w:rFonts w:ascii="Arial" w:hAnsi="Arial"/>
          <w:sz w:val="22"/>
        </w:rPr>
        <w:t>Privilegiar a alocação em UC que poderá sofrer os efeitos relacionados diretamente com a implantação e operação do</w:t>
      </w:r>
      <w:r w:rsidR="00194CBB" w:rsidRPr="00A206D2">
        <w:rPr>
          <w:rFonts w:ascii="Arial" w:hAnsi="Arial"/>
          <w:sz w:val="22"/>
        </w:rPr>
        <w:t>s</w:t>
      </w:r>
      <w:r w:rsidRPr="00A206D2">
        <w:rPr>
          <w:rFonts w:ascii="Arial" w:hAnsi="Arial"/>
          <w:sz w:val="22"/>
        </w:rPr>
        <w:t xml:space="preserve"> empreendimento</w:t>
      </w:r>
      <w:r w:rsidR="00194CBB" w:rsidRPr="00A206D2">
        <w:rPr>
          <w:rFonts w:ascii="Arial" w:hAnsi="Arial"/>
          <w:sz w:val="22"/>
        </w:rPr>
        <w:t>s</w:t>
      </w:r>
      <w:r w:rsidRPr="00A206D2">
        <w:rPr>
          <w:rFonts w:ascii="Arial" w:hAnsi="Arial"/>
          <w:sz w:val="22"/>
        </w:rPr>
        <w:t>;</w:t>
      </w:r>
    </w:p>
    <w:p w:rsidR="0033085E" w:rsidRDefault="0033085E" w:rsidP="0033085E">
      <w:pPr>
        <w:pStyle w:val="Bolinha"/>
        <w:rPr>
          <w:rFonts w:ascii="Arial" w:hAnsi="Arial"/>
          <w:sz w:val="22"/>
        </w:rPr>
      </w:pPr>
      <w:r w:rsidRPr="00A206D2">
        <w:rPr>
          <w:rFonts w:ascii="Arial" w:hAnsi="Arial"/>
          <w:sz w:val="22"/>
        </w:rPr>
        <w:t>Verificar ações em andamento que possam ser apoiadas com a alocação de recursos do empreendimento em questão, visando obter a maior sinergia possível com relação aos benefícios esperados no âmbito de uma compensação ambiental dessa natureza.</w:t>
      </w:r>
    </w:p>
    <w:p w:rsidR="0033085E" w:rsidRPr="00FD2308" w:rsidRDefault="0033085E" w:rsidP="00431A97">
      <w:pPr>
        <w:pStyle w:val="Ttulo3"/>
        <w:numPr>
          <w:ilvl w:val="3"/>
          <w:numId w:val="84"/>
        </w:numPr>
        <w:rPr>
          <w:rFonts w:ascii="Arial Negrito" w:hAnsi="Arial Negrito"/>
          <w:bCs/>
        </w:rPr>
      </w:pPr>
      <w:bookmarkStart w:id="1294" w:name="_Toc370810523"/>
      <w:bookmarkStart w:id="1295" w:name="_Toc370923502"/>
      <w:bookmarkStart w:id="1296" w:name="_Toc370985628"/>
      <w:bookmarkStart w:id="1297" w:name="_Toc418758503"/>
      <w:bookmarkStart w:id="1298" w:name="_Toc418759105"/>
      <w:bookmarkStart w:id="1299" w:name="_Toc419813890"/>
      <w:r w:rsidRPr="00FD2308">
        <w:rPr>
          <w:rFonts w:ascii="Arial Negrito" w:hAnsi="Arial Negrito"/>
          <w:bCs/>
        </w:rPr>
        <w:t>Objetivos</w:t>
      </w:r>
      <w:bookmarkEnd w:id="1294"/>
      <w:bookmarkEnd w:id="1295"/>
      <w:bookmarkEnd w:id="1296"/>
      <w:bookmarkEnd w:id="1297"/>
      <w:bookmarkEnd w:id="1298"/>
      <w:bookmarkEnd w:id="1299"/>
    </w:p>
    <w:p w:rsidR="0033085E" w:rsidRPr="0053177A" w:rsidRDefault="0033085E" w:rsidP="0033085E">
      <w:pPr>
        <w:pStyle w:val="SPE-Texto"/>
        <w:spacing w:before="120" w:after="120" w:line="240" w:lineRule="auto"/>
        <w:rPr>
          <w:rFonts w:ascii="Arial" w:hAnsi="Arial" w:cs="Arial"/>
          <w:sz w:val="22"/>
          <w:szCs w:val="22"/>
        </w:rPr>
      </w:pPr>
      <w:r w:rsidRPr="0053177A">
        <w:rPr>
          <w:rFonts w:ascii="Arial" w:hAnsi="Arial" w:cs="Arial"/>
          <w:sz w:val="22"/>
          <w:szCs w:val="22"/>
        </w:rPr>
        <w:t xml:space="preserve">O objetivo principal do Programa de Compensação Ambiental é o de compensar os impactos ambientais negativos e não mitigáveis </w:t>
      </w:r>
      <w:r w:rsidR="00194CBB" w:rsidRPr="0053177A">
        <w:rPr>
          <w:rFonts w:ascii="Arial" w:hAnsi="Arial" w:cs="Arial"/>
          <w:sz w:val="22"/>
          <w:szCs w:val="22"/>
        </w:rPr>
        <w:t>d</w:t>
      </w:r>
      <w:r w:rsidRPr="0053177A">
        <w:rPr>
          <w:rFonts w:ascii="Arial" w:hAnsi="Arial" w:cs="Arial"/>
          <w:sz w:val="22"/>
          <w:szCs w:val="22"/>
        </w:rPr>
        <w:t>os recursos ambientais, decorrentes da implantação e operação do</w:t>
      </w:r>
      <w:r w:rsidR="00BA2AFC" w:rsidRPr="0053177A">
        <w:rPr>
          <w:rFonts w:ascii="Arial" w:hAnsi="Arial" w:cs="Arial"/>
          <w:sz w:val="22"/>
          <w:szCs w:val="22"/>
        </w:rPr>
        <w:t>s</w:t>
      </w:r>
      <w:r w:rsidRPr="0053177A">
        <w:rPr>
          <w:rFonts w:ascii="Arial" w:hAnsi="Arial" w:cs="Arial"/>
          <w:sz w:val="22"/>
          <w:szCs w:val="22"/>
        </w:rPr>
        <w:t xml:space="preserve"> empreendimento</w:t>
      </w:r>
      <w:r w:rsidR="00BA2AFC" w:rsidRPr="0053177A">
        <w:rPr>
          <w:rFonts w:ascii="Arial" w:hAnsi="Arial" w:cs="Arial"/>
          <w:sz w:val="22"/>
          <w:szCs w:val="22"/>
        </w:rPr>
        <w:t>s</w:t>
      </w:r>
      <w:r w:rsidRPr="0053177A">
        <w:rPr>
          <w:rFonts w:ascii="Arial" w:hAnsi="Arial" w:cs="Arial"/>
          <w:sz w:val="22"/>
          <w:szCs w:val="22"/>
        </w:rPr>
        <w:t xml:space="preserve"> visando:</w:t>
      </w:r>
    </w:p>
    <w:p w:rsidR="0033085E" w:rsidRPr="0053177A" w:rsidRDefault="0033085E" w:rsidP="0033085E">
      <w:pPr>
        <w:pStyle w:val="Bolinha"/>
        <w:rPr>
          <w:rFonts w:ascii="Arial" w:hAnsi="Arial"/>
          <w:sz w:val="22"/>
        </w:rPr>
      </w:pPr>
      <w:r w:rsidRPr="0053177A">
        <w:rPr>
          <w:rFonts w:ascii="Arial" w:hAnsi="Arial"/>
          <w:sz w:val="22"/>
        </w:rPr>
        <w:t xml:space="preserve">Atender à legislação ambiental, em especial a Lei Federal n° 9.985/2000 e suas regulamentações, apresentando propostas de aplicação dos recursos para unidades de conservação já estabelecidas; </w:t>
      </w:r>
    </w:p>
    <w:p w:rsidR="0033085E" w:rsidRPr="0053177A" w:rsidRDefault="0033085E" w:rsidP="0033085E">
      <w:pPr>
        <w:pStyle w:val="Bolinha"/>
        <w:rPr>
          <w:rFonts w:ascii="Arial" w:hAnsi="Arial"/>
          <w:sz w:val="22"/>
        </w:rPr>
      </w:pPr>
      <w:r w:rsidRPr="0053177A">
        <w:rPr>
          <w:rFonts w:ascii="Arial" w:hAnsi="Arial"/>
          <w:sz w:val="22"/>
        </w:rPr>
        <w:t>Contribuir para preservação de amostras significativas, representativas dos ambientes naturais potencialmente afetados e para a manutenção da biodiversidade, em escalas local e regional, por meio do repasse dos recursos oriundos da compensação ambiental a ser d</w:t>
      </w:r>
      <w:r w:rsidR="00317B8E" w:rsidRPr="0053177A">
        <w:rPr>
          <w:rFonts w:ascii="Arial" w:hAnsi="Arial"/>
          <w:sz w:val="22"/>
        </w:rPr>
        <w:t>efinida para o empreendimento.</w:t>
      </w:r>
    </w:p>
    <w:p w:rsidR="0033085E" w:rsidRPr="00FD2308" w:rsidRDefault="0033085E" w:rsidP="00431A97">
      <w:pPr>
        <w:pStyle w:val="Ttulo3"/>
        <w:numPr>
          <w:ilvl w:val="3"/>
          <w:numId w:val="84"/>
        </w:numPr>
        <w:rPr>
          <w:rFonts w:ascii="Arial Negrito" w:hAnsi="Arial Negrito"/>
          <w:bCs/>
        </w:rPr>
      </w:pPr>
      <w:bookmarkStart w:id="1300" w:name="_Toc370810524"/>
      <w:bookmarkStart w:id="1301" w:name="_Toc370923503"/>
      <w:bookmarkStart w:id="1302" w:name="_Toc370985629"/>
      <w:bookmarkStart w:id="1303" w:name="_Toc418758504"/>
      <w:bookmarkStart w:id="1304" w:name="_Toc418759106"/>
      <w:bookmarkStart w:id="1305" w:name="_Toc419813891"/>
      <w:r w:rsidRPr="00FD2308">
        <w:rPr>
          <w:rFonts w:ascii="Arial Negrito" w:hAnsi="Arial Negrito"/>
          <w:bCs/>
        </w:rPr>
        <w:t>Metas</w:t>
      </w:r>
      <w:bookmarkEnd w:id="1300"/>
      <w:bookmarkEnd w:id="1301"/>
      <w:bookmarkEnd w:id="1302"/>
      <w:bookmarkEnd w:id="1303"/>
      <w:bookmarkEnd w:id="1304"/>
      <w:bookmarkEnd w:id="1305"/>
    </w:p>
    <w:p w:rsidR="0033085E" w:rsidRPr="0053177A" w:rsidRDefault="0033085E" w:rsidP="0033085E">
      <w:pPr>
        <w:pStyle w:val="SPE-Texto"/>
        <w:tabs>
          <w:tab w:val="left" w:pos="567"/>
        </w:tabs>
        <w:spacing w:before="120" w:after="120" w:line="240" w:lineRule="auto"/>
        <w:rPr>
          <w:rFonts w:ascii="Arial" w:hAnsi="Arial" w:cs="Arial"/>
          <w:sz w:val="22"/>
          <w:szCs w:val="22"/>
        </w:rPr>
      </w:pPr>
      <w:r w:rsidRPr="0053177A">
        <w:rPr>
          <w:rFonts w:ascii="Arial" w:hAnsi="Arial" w:cs="Arial"/>
          <w:sz w:val="22"/>
          <w:szCs w:val="22"/>
        </w:rPr>
        <w:t>A meta do Programa de Compensação Ambiental é destinar os recursos a serem definidos pelo órgão ambiental seguindo as diretrizes estabelecidas pela Câmara de Compensação Ambiental.</w:t>
      </w:r>
    </w:p>
    <w:p w:rsidR="0033085E" w:rsidRPr="00FD2308" w:rsidRDefault="0033085E" w:rsidP="00431A97">
      <w:pPr>
        <w:pStyle w:val="Ttulo3"/>
        <w:numPr>
          <w:ilvl w:val="3"/>
          <w:numId w:val="84"/>
        </w:numPr>
        <w:rPr>
          <w:rFonts w:ascii="Arial Negrito" w:hAnsi="Arial Negrito"/>
          <w:bCs/>
        </w:rPr>
      </w:pPr>
      <w:bookmarkStart w:id="1306" w:name="_Toc370810525"/>
      <w:bookmarkStart w:id="1307" w:name="_Toc370923504"/>
      <w:bookmarkStart w:id="1308" w:name="_Toc370985630"/>
      <w:bookmarkStart w:id="1309" w:name="_Toc418758505"/>
      <w:bookmarkStart w:id="1310" w:name="_Toc418759107"/>
      <w:bookmarkStart w:id="1311" w:name="_Toc419813892"/>
      <w:r w:rsidRPr="00FD2308">
        <w:rPr>
          <w:rFonts w:ascii="Arial Negrito" w:hAnsi="Arial Negrito"/>
          <w:bCs/>
        </w:rPr>
        <w:t>Público Alvo</w:t>
      </w:r>
      <w:bookmarkEnd w:id="1306"/>
      <w:bookmarkEnd w:id="1307"/>
      <w:bookmarkEnd w:id="1308"/>
      <w:bookmarkEnd w:id="1309"/>
      <w:bookmarkEnd w:id="1310"/>
      <w:bookmarkEnd w:id="1311"/>
    </w:p>
    <w:p w:rsidR="0033085E" w:rsidRPr="0053177A" w:rsidRDefault="0033085E" w:rsidP="0033085E">
      <w:pPr>
        <w:pStyle w:val="SPE-Texto"/>
        <w:tabs>
          <w:tab w:val="left" w:pos="567"/>
        </w:tabs>
        <w:spacing w:before="120" w:after="120" w:line="240" w:lineRule="auto"/>
        <w:rPr>
          <w:rFonts w:ascii="Arial" w:hAnsi="Arial" w:cs="Arial"/>
          <w:sz w:val="22"/>
          <w:szCs w:val="22"/>
        </w:rPr>
      </w:pPr>
      <w:r w:rsidRPr="0053177A">
        <w:rPr>
          <w:rFonts w:ascii="Arial" w:hAnsi="Arial" w:cs="Arial"/>
          <w:sz w:val="22"/>
          <w:szCs w:val="22"/>
        </w:rPr>
        <w:t xml:space="preserve">O público alvo do Programa de Compensação Ambiental reúne o </w:t>
      </w:r>
      <w:r w:rsidR="00194CBB" w:rsidRPr="0053177A">
        <w:rPr>
          <w:rFonts w:ascii="Arial" w:hAnsi="Arial" w:cs="Arial"/>
          <w:sz w:val="22"/>
          <w:szCs w:val="22"/>
        </w:rPr>
        <w:t>Empreendedor</w:t>
      </w:r>
      <w:r w:rsidRPr="0053177A">
        <w:rPr>
          <w:rFonts w:ascii="Arial" w:hAnsi="Arial" w:cs="Arial"/>
          <w:sz w:val="22"/>
          <w:szCs w:val="22"/>
        </w:rPr>
        <w:t xml:space="preserve"> d</w:t>
      </w:r>
      <w:r w:rsidR="00BA2AFC" w:rsidRPr="0053177A">
        <w:rPr>
          <w:rFonts w:ascii="Arial" w:hAnsi="Arial" w:cs="Arial"/>
          <w:sz w:val="22"/>
          <w:szCs w:val="22"/>
        </w:rPr>
        <w:t>as</w:t>
      </w:r>
      <w:r w:rsidRPr="0053177A">
        <w:rPr>
          <w:rFonts w:ascii="Arial" w:hAnsi="Arial" w:cs="Arial"/>
          <w:sz w:val="22"/>
          <w:szCs w:val="22"/>
        </w:rPr>
        <w:t xml:space="preserve"> </w:t>
      </w:r>
      <w:r w:rsidR="00BA2AFC" w:rsidRPr="0053177A">
        <w:rPr>
          <w:rFonts w:ascii="Arial" w:hAnsi="Arial" w:cs="Arial"/>
          <w:sz w:val="22"/>
          <w:szCs w:val="22"/>
        </w:rPr>
        <w:t xml:space="preserve">Barragens Pedreira e Duas Pontes; </w:t>
      </w:r>
      <w:r w:rsidRPr="0053177A">
        <w:rPr>
          <w:rFonts w:ascii="Arial" w:hAnsi="Arial" w:cs="Arial"/>
          <w:sz w:val="22"/>
          <w:szCs w:val="22"/>
        </w:rPr>
        <w:t>a CETESB; a Câmara de Compensação Ambiental; e a Fundação Florestal.</w:t>
      </w:r>
    </w:p>
    <w:p w:rsidR="0033085E" w:rsidRPr="00FD2308" w:rsidRDefault="0033085E" w:rsidP="00431A97">
      <w:pPr>
        <w:pStyle w:val="Ttulo3"/>
        <w:numPr>
          <w:ilvl w:val="3"/>
          <w:numId w:val="84"/>
        </w:numPr>
        <w:rPr>
          <w:rFonts w:ascii="Arial Negrito" w:hAnsi="Arial Negrito"/>
          <w:bCs/>
        </w:rPr>
      </w:pPr>
      <w:bookmarkStart w:id="1312" w:name="_Toc370810526"/>
      <w:bookmarkStart w:id="1313" w:name="_Toc370923505"/>
      <w:bookmarkStart w:id="1314" w:name="_Toc370985631"/>
      <w:bookmarkStart w:id="1315" w:name="_Toc418758506"/>
      <w:bookmarkStart w:id="1316" w:name="_Toc418759108"/>
      <w:bookmarkStart w:id="1317" w:name="_Toc419813893"/>
      <w:r w:rsidRPr="00FD2308">
        <w:rPr>
          <w:rFonts w:ascii="Arial Negrito" w:hAnsi="Arial Negrito"/>
          <w:bCs/>
        </w:rPr>
        <w:t>Procedimentos</w:t>
      </w:r>
      <w:bookmarkEnd w:id="1312"/>
      <w:bookmarkEnd w:id="1313"/>
      <w:bookmarkEnd w:id="1314"/>
      <w:bookmarkEnd w:id="1315"/>
      <w:bookmarkEnd w:id="1316"/>
      <w:bookmarkEnd w:id="1317"/>
    </w:p>
    <w:p w:rsidR="0033085E" w:rsidRPr="0053177A" w:rsidRDefault="0033085E" w:rsidP="00431A97">
      <w:pPr>
        <w:pStyle w:val="SPE-Texto"/>
        <w:numPr>
          <w:ilvl w:val="0"/>
          <w:numId w:val="58"/>
        </w:numPr>
        <w:spacing w:before="120" w:after="120" w:line="240" w:lineRule="auto"/>
        <w:ind w:left="567" w:hanging="567"/>
        <w:rPr>
          <w:rFonts w:ascii="Arial" w:hAnsi="Arial" w:cs="Arial"/>
          <w:b/>
          <w:sz w:val="22"/>
          <w:szCs w:val="22"/>
        </w:rPr>
      </w:pPr>
      <w:bookmarkStart w:id="1318" w:name="_Toc370923506"/>
      <w:bookmarkStart w:id="1319" w:name="_Toc370985632"/>
      <w:r w:rsidRPr="0053177A">
        <w:rPr>
          <w:rFonts w:ascii="Arial" w:hAnsi="Arial" w:cs="Arial"/>
          <w:b/>
          <w:sz w:val="22"/>
          <w:szCs w:val="22"/>
        </w:rPr>
        <w:t>Caracterização das Principais Unidades de Conservação</w:t>
      </w:r>
      <w:bookmarkEnd w:id="1318"/>
      <w:bookmarkEnd w:id="1319"/>
    </w:p>
    <w:p w:rsidR="0033085E" w:rsidRPr="00C21230" w:rsidRDefault="0033085E" w:rsidP="0033085E">
      <w:pPr>
        <w:pStyle w:val="SPE-Texto"/>
        <w:spacing w:before="120" w:after="120" w:line="240" w:lineRule="auto"/>
        <w:rPr>
          <w:rFonts w:ascii="Arial" w:hAnsi="Arial" w:cs="Arial"/>
          <w:sz w:val="22"/>
          <w:szCs w:val="22"/>
        </w:rPr>
      </w:pPr>
      <w:r w:rsidRPr="00C21230">
        <w:rPr>
          <w:rFonts w:ascii="Arial" w:hAnsi="Arial" w:cs="Arial"/>
          <w:sz w:val="22"/>
          <w:szCs w:val="22"/>
        </w:rPr>
        <w:t>A identificação das Unidades de Conservação foi pautada pela classificação estabelecida na Lei Federal nº 9.985/2000 que estabelece duas categorias para essas Unidades, a saber:</w:t>
      </w:r>
    </w:p>
    <w:p w:rsidR="0033085E" w:rsidRPr="008859B9" w:rsidRDefault="0033085E" w:rsidP="0033085E">
      <w:pPr>
        <w:pStyle w:val="Bolinha"/>
        <w:rPr>
          <w:rFonts w:ascii="Arial" w:hAnsi="Arial"/>
          <w:sz w:val="22"/>
        </w:rPr>
      </w:pPr>
      <w:r w:rsidRPr="008859B9">
        <w:rPr>
          <w:rFonts w:ascii="Arial" w:hAnsi="Arial"/>
          <w:sz w:val="22"/>
        </w:rPr>
        <w:t>Proteção Integral: têm como objetivo a preservação das condições naturais com severas restrições de uso e ocupação. Nesta categoria estão as Estações Ecológicas, Reservas Biológicas, Parques Nacionais e Estaduais, Monumentos Naturais e Refúgios da Vida Silvestre.</w:t>
      </w:r>
    </w:p>
    <w:p w:rsidR="0033085E" w:rsidRPr="008859B9" w:rsidRDefault="0033085E" w:rsidP="0033085E">
      <w:pPr>
        <w:pStyle w:val="Bolinha"/>
        <w:rPr>
          <w:rFonts w:ascii="Arial" w:hAnsi="Arial"/>
          <w:sz w:val="22"/>
        </w:rPr>
      </w:pPr>
      <w:r w:rsidRPr="008859B9">
        <w:rPr>
          <w:rFonts w:ascii="Arial" w:hAnsi="Arial"/>
          <w:sz w:val="22"/>
        </w:rPr>
        <w:t>Unidades de Conservação de Uso Sustentável: têm como objetivo a compatibilização da conservação ambiental com usos e ocupações desses espaços que possam se dar de maneira sustentável. Compreendem as seguintes Unidades: Área de Proteção Ambiental - APA, Área de Relevante Interesse Ecológico, Floresta Nacional, Reserva Extrativista, Reserva de Fauna, Reserva de Desenvolvimento Sustentável e ainda Reserva Particular do Patrimônio Natural.</w:t>
      </w:r>
    </w:p>
    <w:p w:rsidR="00F94909" w:rsidRPr="00623CE0" w:rsidRDefault="0033085E" w:rsidP="0033085E">
      <w:pPr>
        <w:pStyle w:val="SPE-Texto"/>
        <w:spacing w:before="120" w:after="120" w:line="240" w:lineRule="auto"/>
        <w:rPr>
          <w:rFonts w:ascii="Arial" w:hAnsi="Arial" w:cs="Arial"/>
          <w:sz w:val="22"/>
          <w:szCs w:val="22"/>
        </w:rPr>
      </w:pPr>
      <w:r w:rsidRPr="00C21230">
        <w:rPr>
          <w:rFonts w:ascii="Arial" w:hAnsi="Arial" w:cs="Arial"/>
          <w:sz w:val="22"/>
          <w:szCs w:val="22"/>
        </w:rPr>
        <w:t xml:space="preserve">Para efeito de proposição da compensação ambiental, foram destacadas as Unidades de </w:t>
      </w:r>
      <w:r w:rsidRPr="00BF77BB">
        <w:rPr>
          <w:rFonts w:ascii="Arial" w:hAnsi="Arial" w:cs="Arial"/>
          <w:sz w:val="22"/>
          <w:szCs w:val="22"/>
        </w:rPr>
        <w:t xml:space="preserve">Conservação de Proteção Integral e de Uso Sustentável que ocorrem nas áreas de influência </w:t>
      </w:r>
      <w:r w:rsidRPr="00623CE0">
        <w:rPr>
          <w:rFonts w:ascii="Arial" w:hAnsi="Arial" w:cs="Arial"/>
          <w:sz w:val="22"/>
          <w:szCs w:val="22"/>
        </w:rPr>
        <w:t xml:space="preserve">do empreendimento, conforme pode ser observado no Quadro </w:t>
      </w:r>
      <w:r w:rsidR="00CD3877" w:rsidRPr="00623CE0">
        <w:rPr>
          <w:rFonts w:ascii="Arial" w:hAnsi="Arial" w:cs="Arial"/>
          <w:sz w:val="22"/>
          <w:szCs w:val="22"/>
        </w:rPr>
        <w:t>3.4.</w:t>
      </w:r>
      <w:r w:rsidR="00810CA3" w:rsidRPr="00623CE0">
        <w:rPr>
          <w:rFonts w:ascii="Arial" w:hAnsi="Arial" w:cs="Arial"/>
          <w:sz w:val="22"/>
          <w:szCs w:val="22"/>
        </w:rPr>
        <w:t>7</w:t>
      </w:r>
      <w:r w:rsidR="00492964" w:rsidRPr="00623CE0">
        <w:rPr>
          <w:rFonts w:ascii="Arial" w:hAnsi="Arial" w:cs="Arial"/>
          <w:sz w:val="22"/>
          <w:szCs w:val="22"/>
        </w:rPr>
        <w:t>.</w:t>
      </w:r>
    </w:p>
    <w:p w:rsidR="000A6584" w:rsidRDefault="000A6584">
      <w:pPr>
        <w:spacing w:line="240" w:lineRule="auto"/>
        <w:jc w:val="left"/>
        <w:rPr>
          <w:rFonts w:cs="Arial"/>
          <w:b/>
          <w:szCs w:val="22"/>
        </w:rPr>
      </w:pPr>
    </w:p>
    <w:p w:rsidR="0033085E" w:rsidRPr="00623CE0" w:rsidRDefault="00810CA3" w:rsidP="00D523D1">
      <w:pPr>
        <w:pStyle w:val="Legenda"/>
        <w:jc w:val="center"/>
        <w:rPr>
          <w:b w:val="0"/>
          <w:i w:val="0"/>
        </w:rPr>
      </w:pPr>
      <w:bookmarkStart w:id="1320" w:name="_Toc370987527"/>
      <w:r w:rsidRPr="00623CE0">
        <w:rPr>
          <w:i w:val="0"/>
        </w:rPr>
        <w:t>Quadro 3.4.</w:t>
      </w:r>
      <w:r w:rsidR="00B80A05" w:rsidRPr="00623CE0">
        <w:rPr>
          <w:i w:val="0"/>
        </w:rPr>
        <w:fldChar w:fldCharType="begin"/>
      </w:r>
      <w:r w:rsidR="00E155C0" w:rsidRPr="00623CE0">
        <w:rPr>
          <w:i w:val="0"/>
        </w:rPr>
        <w:instrText xml:space="preserve"> SEQ Quadro_3.4. \* ARABIC </w:instrText>
      </w:r>
      <w:r w:rsidR="00B80A05" w:rsidRPr="00623CE0">
        <w:rPr>
          <w:i w:val="0"/>
        </w:rPr>
        <w:fldChar w:fldCharType="separate"/>
      </w:r>
      <w:r w:rsidR="00316060">
        <w:rPr>
          <w:i w:val="0"/>
          <w:noProof/>
        </w:rPr>
        <w:t>14</w:t>
      </w:r>
      <w:r w:rsidR="00B80A05" w:rsidRPr="00623CE0">
        <w:rPr>
          <w:i w:val="0"/>
          <w:noProof/>
        </w:rPr>
        <w:fldChar w:fldCharType="end"/>
      </w:r>
      <w:r w:rsidRPr="00623CE0">
        <w:rPr>
          <w:i w:val="0"/>
        </w:rPr>
        <w:t xml:space="preserve">. - </w:t>
      </w:r>
      <w:r w:rsidR="0033085E" w:rsidRPr="00623CE0">
        <w:rPr>
          <w:b w:val="0"/>
          <w:i w:val="0"/>
        </w:rPr>
        <w:t xml:space="preserve"> Relação de Unidades de Conservação (UCs) nas áreas de influência.</w:t>
      </w:r>
      <w:bookmarkEnd w:id="1320"/>
    </w:p>
    <w:tbl>
      <w:tblPr>
        <w:tblW w:w="4777" w:type="pct"/>
        <w:tblInd w:w="212" w:type="dxa"/>
        <w:tblCellMar>
          <w:left w:w="70" w:type="dxa"/>
          <w:right w:w="70" w:type="dxa"/>
        </w:tblCellMar>
        <w:tblLook w:val="04A0" w:firstRow="1" w:lastRow="0" w:firstColumn="1" w:lastColumn="0" w:noHBand="0" w:noVBand="1"/>
      </w:tblPr>
      <w:tblGrid>
        <w:gridCol w:w="3260"/>
        <w:gridCol w:w="1381"/>
        <w:gridCol w:w="1738"/>
        <w:gridCol w:w="2693"/>
      </w:tblGrid>
      <w:tr w:rsidR="00D523D1" w:rsidRPr="00262361" w:rsidTr="0053177A">
        <w:trPr>
          <w:trHeight w:val="498"/>
        </w:trPr>
        <w:tc>
          <w:tcPr>
            <w:tcW w:w="1797"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D523D1" w:rsidRPr="00A206D2" w:rsidRDefault="00D523D1" w:rsidP="00057C86">
            <w:pPr>
              <w:spacing w:line="240" w:lineRule="auto"/>
              <w:jc w:val="center"/>
              <w:rPr>
                <w:rFonts w:cs="Arial"/>
                <w:b/>
                <w:bCs/>
                <w:color w:val="000000"/>
                <w:szCs w:val="22"/>
              </w:rPr>
            </w:pPr>
            <w:r w:rsidRPr="00A206D2">
              <w:rPr>
                <w:rFonts w:cs="Arial"/>
                <w:b/>
                <w:bCs/>
                <w:color w:val="000000"/>
                <w:szCs w:val="22"/>
              </w:rPr>
              <w:t>Denominação</w:t>
            </w:r>
          </w:p>
        </w:tc>
        <w:tc>
          <w:tcPr>
            <w:tcW w:w="761" w:type="pct"/>
            <w:tcBorders>
              <w:top w:val="single" w:sz="4" w:space="0" w:color="auto"/>
              <w:left w:val="nil"/>
              <w:bottom w:val="single" w:sz="4" w:space="0" w:color="auto"/>
              <w:right w:val="single" w:sz="4" w:space="0" w:color="auto"/>
            </w:tcBorders>
            <w:shd w:val="clear" w:color="auto" w:fill="D9D9D9"/>
            <w:vAlign w:val="center"/>
            <w:hideMark/>
          </w:tcPr>
          <w:p w:rsidR="00D523D1" w:rsidRPr="00A206D2" w:rsidRDefault="00D523D1" w:rsidP="00057C86">
            <w:pPr>
              <w:spacing w:line="240" w:lineRule="auto"/>
              <w:jc w:val="center"/>
              <w:rPr>
                <w:rFonts w:cs="Arial"/>
                <w:b/>
                <w:bCs/>
                <w:color w:val="000000"/>
                <w:szCs w:val="22"/>
              </w:rPr>
            </w:pPr>
            <w:r w:rsidRPr="00A206D2">
              <w:rPr>
                <w:rFonts w:cs="Arial"/>
                <w:b/>
                <w:bCs/>
                <w:color w:val="000000"/>
                <w:szCs w:val="22"/>
              </w:rPr>
              <w:t>Categoria</w:t>
            </w:r>
          </w:p>
        </w:tc>
        <w:tc>
          <w:tcPr>
            <w:tcW w:w="958" w:type="pct"/>
            <w:tcBorders>
              <w:top w:val="single" w:sz="4" w:space="0" w:color="auto"/>
              <w:left w:val="nil"/>
              <w:bottom w:val="single" w:sz="4" w:space="0" w:color="auto"/>
              <w:right w:val="single" w:sz="4" w:space="0" w:color="auto"/>
            </w:tcBorders>
            <w:shd w:val="clear" w:color="auto" w:fill="D9D9D9"/>
            <w:vAlign w:val="center"/>
            <w:hideMark/>
          </w:tcPr>
          <w:p w:rsidR="00D523D1" w:rsidRPr="00A206D2" w:rsidRDefault="00D523D1" w:rsidP="00057C86">
            <w:pPr>
              <w:spacing w:line="240" w:lineRule="auto"/>
              <w:jc w:val="center"/>
              <w:rPr>
                <w:rFonts w:cs="Arial"/>
                <w:b/>
                <w:bCs/>
                <w:color w:val="000000"/>
                <w:szCs w:val="22"/>
              </w:rPr>
            </w:pPr>
            <w:r w:rsidRPr="00A206D2">
              <w:rPr>
                <w:rFonts w:cs="Arial"/>
                <w:b/>
                <w:bCs/>
                <w:color w:val="000000"/>
                <w:szCs w:val="22"/>
              </w:rPr>
              <w:t>Esfera de Administração</w:t>
            </w:r>
          </w:p>
        </w:tc>
        <w:tc>
          <w:tcPr>
            <w:tcW w:w="1484" w:type="pct"/>
            <w:tcBorders>
              <w:top w:val="single" w:sz="4" w:space="0" w:color="auto"/>
              <w:left w:val="nil"/>
              <w:bottom w:val="single" w:sz="4" w:space="0" w:color="auto"/>
              <w:right w:val="single" w:sz="4" w:space="0" w:color="auto"/>
            </w:tcBorders>
            <w:shd w:val="clear" w:color="auto" w:fill="D9D9D9"/>
            <w:vAlign w:val="center"/>
            <w:hideMark/>
          </w:tcPr>
          <w:p w:rsidR="00D523D1" w:rsidRPr="00A206D2" w:rsidRDefault="00D523D1" w:rsidP="00057C86">
            <w:pPr>
              <w:spacing w:line="240" w:lineRule="auto"/>
              <w:jc w:val="center"/>
              <w:rPr>
                <w:rFonts w:cs="Arial"/>
                <w:b/>
                <w:bCs/>
                <w:color w:val="000000"/>
                <w:szCs w:val="22"/>
              </w:rPr>
            </w:pPr>
            <w:r w:rsidRPr="00A206D2">
              <w:rPr>
                <w:rFonts w:cs="Arial"/>
                <w:b/>
                <w:bCs/>
                <w:color w:val="000000"/>
                <w:szCs w:val="22"/>
              </w:rPr>
              <w:t xml:space="preserve">Observação </w:t>
            </w:r>
          </w:p>
        </w:tc>
      </w:tr>
      <w:tr w:rsidR="00D523D1" w:rsidRPr="00262361" w:rsidTr="00A206D2">
        <w:trPr>
          <w:trHeight w:val="690"/>
        </w:trPr>
        <w:tc>
          <w:tcPr>
            <w:tcW w:w="1797" w:type="pct"/>
            <w:tcBorders>
              <w:top w:val="nil"/>
              <w:left w:val="single" w:sz="4" w:space="0" w:color="auto"/>
              <w:bottom w:val="single" w:sz="4" w:space="0" w:color="auto"/>
              <w:right w:val="single" w:sz="4" w:space="0" w:color="auto"/>
            </w:tcBorders>
            <w:shd w:val="clear" w:color="auto" w:fill="auto"/>
            <w:vAlign w:val="center"/>
            <w:hideMark/>
          </w:tcPr>
          <w:p w:rsidR="00D523D1" w:rsidRPr="0053177A" w:rsidRDefault="00D523D1" w:rsidP="00A206D2">
            <w:pPr>
              <w:spacing w:line="240" w:lineRule="auto"/>
              <w:jc w:val="left"/>
              <w:rPr>
                <w:rFonts w:cs="Arial"/>
                <w:bCs/>
                <w:sz w:val="20"/>
              </w:rPr>
            </w:pPr>
            <w:r w:rsidRPr="0053177A">
              <w:rPr>
                <w:rFonts w:cs="Arial"/>
                <w:bCs/>
                <w:sz w:val="20"/>
              </w:rPr>
              <w:t>Área de Proteção Ambiental (APA) de Campinas</w:t>
            </w:r>
          </w:p>
        </w:tc>
        <w:tc>
          <w:tcPr>
            <w:tcW w:w="761" w:type="pct"/>
            <w:tcBorders>
              <w:top w:val="nil"/>
              <w:left w:val="nil"/>
              <w:bottom w:val="single" w:sz="4" w:space="0" w:color="auto"/>
              <w:right w:val="single" w:sz="4" w:space="0" w:color="auto"/>
            </w:tcBorders>
            <w:shd w:val="clear" w:color="auto" w:fill="auto"/>
            <w:vAlign w:val="center"/>
            <w:hideMark/>
          </w:tcPr>
          <w:p w:rsidR="00D523D1" w:rsidRPr="0053177A" w:rsidRDefault="00D523D1" w:rsidP="00A206D2">
            <w:pPr>
              <w:spacing w:line="240" w:lineRule="auto"/>
              <w:jc w:val="center"/>
              <w:rPr>
                <w:rFonts w:cs="Arial"/>
                <w:sz w:val="20"/>
              </w:rPr>
            </w:pPr>
            <w:r w:rsidRPr="0053177A">
              <w:rPr>
                <w:rFonts w:cs="Arial"/>
                <w:sz w:val="20"/>
              </w:rPr>
              <w:t>Uso Sustentável</w:t>
            </w:r>
          </w:p>
        </w:tc>
        <w:tc>
          <w:tcPr>
            <w:tcW w:w="958" w:type="pct"/>
            <w:tcBorders>
              <w:top w:val="nil"/>
              <w:left w:val="nil"/>
              <w:bottom w:val="single" w:sz="4" w:space="0" w:color="auto"/>
              <w:right w:val="single" w:sz="4" w:space="0" w:color="auto"/>
            </w:tcBorders>
            <w:shd w:val="clear" w:color="auto" w:fill="auto"/>
            <w:vAlign w:val="center"/>
            <w:hideMark/>
          </w:tcPr>
          <w:p w:rsidR="00D523D1" w:rsidRPr="0053177A" w:rsidRDefault="00D523D1" w:rsidP="00A206D2">
            <w:pPr>
              <w:spacing w:line="240" w:lineRule="auto"/>
              <w:jc w:val="center"/>
              <w:rPr>
                <w:rFonts w:cs="Arial"/>
                <w:sz w:val="20"/>
              </w:rPr>
            </w:pPr>
            <w:r w:rsidRPr="0053177A">
              <w:rPr>
                <w:rFonts w:cs="Arial"/>
                <w:sz w:val="20"/>
              </w:rPr>
              <w:t>Municipal</w:t>
            </w:r>
          </w:p>
        </w:tc>
        <w:tc>
          <w:tcPr>
            <w:tcW w:w="1484"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Atingida pelo reservatório da Barragem Pedreira</w:t>
            </w:r>
          </w:p>
        </w:tc>
      </w:tr>
      <w:tr w:rsidR="00D523D1" w:rsidRPr="00262361" w:rsidTr="00A206D2">
        <w:trPr>
          <w:trHeight w:val="690"/>
        </w:trPr>
        <w:tc>
          <w:tcPr>
            <w:tcW w:w="1797" w:type="pct"/>
            <w:tcBorders>
              <w:top w:val="nil"/>
              <w:left w:val="single" w:sz="4" w:space="0" w:color="auto"/>
              <w:bottom w:val="single" w:sz="4" w:space="0" w:color="auto"/>
              <w:right w:val="single" w:sz="4" w:space="0" w:color="auto"/>
            </w:tcBorders>
            <w:shd w:val="clear" w:color="auto" w:fill="auto"/>
            <w:vAlign w:val="center"/>
          </w:tcPr>
          <w:p w:rsidR="00D523D1" w:rsidRPr="0053177A" w:rsidRDefault="00D523D1" w:rsidP="00A206D2">
            <w:pPr>
              <w:spacing w:line="240" w:lineRule="auto"/>
              <w:jc w:val="left"/>
              <w:rPr>
                <w:rFonts w:cs="Arial"/>
                <w:bCs/>
                <w:sz w:val="20"/>
              </w:rPr>
            </w:pPr>
            <w:r w:rsidRPr="0053177A">
              <w:rPr>
                <w:rFonts w:cs="Arial"/>
                <w:bCs/>
                <w:sz w:val="20"/>
              </w:rPr>
              <w:t>Área de Proteção Ambiental (APA) Piracicaba / Juqueri-Mirim (Área II)</w:t>
            </w:r>
          </w:p>
        </w:tc>
        <w:tc>
          <w:tcPr>
            <w:tcW w:w="761"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Uso Sustentável</w:t>
            </w:r>
          </w:p>
        </w:tc>
        <w:tc>
          <w:tcPr>
            <w:tcW w:w="958"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Estadual-SP</w:t>
            </w:r>
          </w:p>
        </w:tc>
        <w:tc>
          <w:tcPr>
            <w:tcW w:w="1484"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Atingida pelos reservatórios das Barragens Pedreira e Duas Pontes</w:t>
            </w:r>
          </w:p>
        </w:tc>
      </w:tr>
      <w:tr w:rsidR="00D523D1" w:rsidRPr="00262361" w:rsidTr="00A206D2">
        <w:trPr>
          <w:trHeight w:val="690"/>
        </w:trPr>
        <w:tc>
          <w:tcPr>
            <w:tcW w:w="1797" w:type="pct"/>
            <w:tcBorders>
              <w:top w:val="nil"/>
              <w:left w:val="single" w:sz="4" w:space="0" w:color="auto"/>
              <w:bottom w:val="single" w:sz="4" w:space="0" w:color="auto"/>
              <w:right w:val="single" w:sz="4" w:space="0" w:color="auto"/>
            </w:tcBorders>
            <w:shd w:val="clear" w:color="auto" w:fill="auto"/>
            <w:vAlign w:val="center"/>
          </w:tcPr>
          <w:p w:rsidR="00D523D1" w:rsidRPr="0053177A" w:rsidRDefault="00D523D1" w:rsidP="00A206D2">
            <w:pPr>
              <w:spacing w:line="240" w:lineRule="auto"/>
              <w:jc w:val="left"/>
              <w:rPr>
                <w:rFonts w:cs="Arial"/>
                <w:bCs/>
                <w:sz w:val="20"/>
              </w:rPr>
            </w:pPr>
            <w:r w:rsidRPr="0053177A">
              <w:rPr>
                <w:rFonts w:cs="Arial"/>
                <w:bCs/>
                <w:sz w:val="20"/>
              </w:rPr>
              <w:t>Área de Relevante Interesse Ecológico (ARIE) Matão de Cosmópolis</w:t>
            </w:r>
          </w:p>
        </w:tc>
        <w:tc>
          <w:tcPr>
            <w:tcW w:w="761"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Uso Sustentável</w:t>
            </w:r>
          </w:p>
        </w:tc>
        <w:tc>
          <w:tcPr>
            <w:tcW w:w="958"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Federal</w:t>
            </w:r>
          </w:p>
        </w:tc>
        <w:tc>
          <w:tcPr>
            <w:tcW w:w="1484"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Localizada na AII</w:t>
            </w:r>
          </w:p>
        </w:tc>
      </w:tr>
      <w:tr w:rsidR="00D523D1" w:rsidRPr="00262361" w:rsidTr="00A206D2">
        <w:trPr>
          <w:trHeight w:val="690"/>
        </w:trPr>
        <w:tc>
          <w:tcPr>
            <w:tcW w:w="1797" w:type="pct"/>
            <w:tcBorders>
              <w:top w:val="nil"/>
              <w:left w:val="single" w:sz="4" w:space="0" w:color="auto"/>
              <w:bottom w:val="single" w:sz="4" w:space="0" w:color="auto"/>
              <w:right w:val="single" w:sz="4" w:space="0" w:color="auto"/>
            </w:tcBorders>
            <w:shd w:val="clear" w:color="auto" w:fill="auto"/>
            <w:vAlign w:val="center"/>
            <w:hideMark/>
          </w:tcPr>
          <w:p w:rsidR="00D523D1" w:rsidRPr="0053177A" w:rsidRDefault="00D523D1" w:rsidP="00A206D2">
            <w:pPr>
              <w:spacing w:line="240" w:lineRule="auto"/>
              <w:jc w:val="left"/>
              <w:rPr>
                <w:rFonts w:cs="Arial"/>
                <w:bCs/>
                <w:sz w:val="20"/>
              </w:rPr>
            </w:pPr>
            <w:r w:rsidRPr="0053177A">
              <w:rPr>
                <w:rFonts w:cs="Arial"/>
                <w:bCs/>
                <w:sz w:val="20"/>
              </w:rPr>
              <w:t>Área de Proteção Ambiental (APA) Sistema Cantareira</w:t>
            </w:r>
          </w:p>
        </w:tc>
        <w:tc>
          <w:tcPr>
            <w:tcW w:w="761" w:type="pct"/>
            <w:tcBorders>
              <w:top w:val="nil"/>
              <w:left w:val="nil"/>
              <w:bottom w:val="single" w:sz="4" w:space="0" w:color="auto"/>
              <w:right w:val="single" w:sz="4" w:space="0" w:color="auto"/>
            </w:tcBorders>
            <w:shd w:val="clear" w:color="auto" w:fill="auto"/>
            <w:vAlign w:val="center"/>
            <w:hideMark/>
          </w:tcPr>
          <w:p w:rsidR="00D523D1" w:rsidRPr="0053177A" w:rsidRDefault="00D523D1" w:rsidP="00A206D2">
            <w:pPr>
              <w:spacing w:line="240" w:lineRule="auto"/>
              <w:jc w:val="center"/>
              <w:rPr>
                <w:rFonts w:cs="Arial"/>
                <w:sz w:val="20"/>
              </w:rPr>
            </w:pPr>
            <w:r w:rsidRPr="0053177A">
              <w:rPr>
                <w:rFonts w:cs="Arial"/>
                <w:sz w:val="20"/>
              </w:rPr>
              <w:t>Uso Sustentável</w:t>
            </w:r>
          </w:p>
        </w:tc>
        <w:tc>
          <w:tcPr>
            <w:tcW w:w="958" w:type="pct"/>
            <w:tcBorders>
              <w:top w:val="nil"/>
              <w:left w:val="nil"/>
              <w:bottom w:val="single" w:sz="4" w:space="0" w:color="auto"/>
              <w:right w:val="single" w:sz="4" w:space="0" w:color="auto"/>
            </w:tcBorders>
            <w:shd w:val="clear" w:color="auto" w:fill="auto"/>
            <w:vAlign w:val="center"/>
            <w:hideMark/>
          </w:tcPr>
          <w:p w:rsidR="00D523D1" w:rsidRPr="0053177A" w:rsidRDefault="00D523D1" w:rsidP="00A206D2">
            <w:pPr>
              <w:spacing w:line="240" w:lineRule="auto"/>
              <w:jc w:val="center"/>
              <w:rPr>
                <w:rFonts w:cs="Arial"/>
                <w:sz w:val="20"/>
              </w:rPr>
            </w:pPr>
            <w:r w:rsidRPr="0053177A">
              <w:rPr>
                <w:rFonts w:cs="Arial"/>
                <w:sz w:val="20"/>
              </w:rPr>
              <w:t>Estadual-SP</w:t>
            </w:r>
          </w:p>
        </w:tc>
        <w:tc>
          <w:tcPr>
            <w:tcW w:w="1484"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Localizada na AII</w:t>
            </w:r>
          </w:p>
        </w:tc>
      </w:tr>
      <w:tr w:rsidR="00D523D1" w:rsidRPr="00262361" w:rsidTr="00A206D2">
        <w:trPr>
          <w:trHeight w:val="690"/>
        </w:trPr>
        <w:tc>
          <w:tcPr>
            <w:tcW w:w="1797" w:type="pct"/>
            <w:tcBorders>
              <w:top w:val="nil"/>
              <w:left w:val="single" w:sz="4" w:space="0" w:color="auto"/>
              <w:bottom w:val="single" w:sz="4" w:space="0" w:color="auto"/>
              <w:right w:val="single" w:sz="4" w:space="0" w:color="auto"/>
            </w:tcBorders>
            <w:shd w:val="clear" w:color="auto" w:fill="auto"/>
            <w:vAlign w:val="center"/>
          </w:tcPr>
          <w:p w:rsidR="00D523D1" w:rsidRPr="0053177A" w:rsidRDefault="00D523D1" w:rsidP="00A206D2">
            <w:pPr>
              <w:spacing w:line="240" w:lineRule="auto"/>
              <w:jc w:val="left"/>
              <w:rPr>
                <w:rFonts w:cs="Arial"/>
                <w:bCs/>
                <w:sz w:val="20"/>
              </w:rPr>
            </w:pPr>
            <w:r w:rsidRPr="0053177A">
              <w:rPr>
                <w:rFonts w:cs="Arial"/>
                <w:bCs/>
                <w:sz w:val="20"/>
              </w:rPr>
              <w:t>Área de Proteção Ambiental (APA) Fernão Dias</w:t>
            </w:r>
          </w:p>
        </w:tc>
        <w:tc>
          <w:tcPr>
            <w:tcW w:w="761"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Uso Sustentável</w:t>
            </w:r>
          </w:p>
        </w:tc>
        <w:tc>
          <w:tcPr>
            <w:tcW w:w="958"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Estadual-MG</w:t>
            </w:r>
          </w:p>
        </w:tc>
        <w:tc>
          <w:tcPr>
            <w:tcW w:w="1484"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Localizada na AII</w:t>
            </w:r>
          </w:p>
        </w:tc>
      </w:tr>
      <w:tr w:rsidR="00D523D1" w:rsidRPr="00262361" w:rsidTr="00A206D2">
        <w:trPr>
          <w:trHeight w:val="690"/>
        </w:trPr>
        <w:tc>
          <w:tcPr>
            <w:tcW w:w="1797" w:type="pct"/>
            <w:tcBorders>
              <w:top w:val="nil"/>
              <w:left w:val="single" w:sz="4" w:space="0" w:color="auto"/>
              <w:bottom w:val="single" w:sz="4" w:space="0" w:color="auto"/>
              <w:right w:val="single" w:sz="4" w:space="0" w:color="auto"/>
            </w:tcBorders>
            <w:shd w:val="clear" w:color="auto" w:fill="auto"/>
            <w:vAlign w:val="center"/>
          </w:tcPr>
          <w:p w:rsidR="00D523D1" w:rsidRPr="0053177A" w:rsidRDefault="00D523D1" w:rsidP="00A206D2">
            <w:pPr>
              <w:spacing w:line="240" w:lineRule="auto"/>
              <w:jc w:val="left"/>
              <w:rPr>
                <w:rFonts w:cs="Arial"/>
                <w:bCs/>
                <w:sz w:val="20"/>
              </w:rPr>
            </w:pPr>
            <w:r w:rsidRPr="0053177A">
              <w:rPr>
                <w:rFonts w:cs="Arial"/>
                <w:bCs/>
                <w:sz w:val="20"/>
              </w:rPr>
              <w:t>RPPN Estância Jatobá</w:t>
            </w:r>
          </w:p>
        </w:tc>
        <w:tc>
          <w:tcPr>
            <w:tcW w:w="761"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Uso Sustentável</w:t>
            </w:r>
          </w:p>
        </w:tc>
        <w:tc>
          <w:tcPr>
            <w:tcW w:w="958"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Federal</w:t>
            </w:r>
          </w:p>
        </w:tc>
        <w:tc>
          <w:tcPr>
            <w:tcW w:w="1484"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Localizada na AII</w:t>
            </w:r>
          </w:p>
        </w:tc>
      </w:tr>
      <w:tr w:rsidR="00D523D1" w:rsidRPr="00262361" w:rsidTr="00A206D2">
        <w:trPr>
          <w:trHeight w:val="690"/>
        </w:trPr>
        <w:tc>
          <w:tcPr>
            <w:tcW w:w="1797" w:type="pct"/>
            <w:tcBorders>
              <w:top w:val="nil"/>
              <w:left w:val="single" w:sz="4" w:space="0" w:color="auto"/>
              <w:bottom w:val="single" w:sz="4" w:space="0" w:color="auto"/>
              <w:right w:val="single" w:sz="4" w:space="0" w:color="auto"/>
            </w:tcBorders>
            <w:shd w:val="clear" w:color="auto" w:fill="auto"/>
            <w:vAlign w:val="center"/>
          </w:tcPr>
          <w:p w:rsidR="00D523D1" w:rsidRPr="0053177A" w:rsidRDefault="00D523D1" w:rsidP="00A206D2">
            <w:pPr>
              <w:spacing w:line="240" w:lineRule="auto"/>
              <w:jc w:val="left"/>
              <w:rPr>
                <w:rFonts w:cs="Arial"/>
                <w:bCs/>
                <w:sz w:val="20"/>
              </w:rPr>
            </w:pPr>
            <w:r w:rsidRPr="0053177A">
              <w:rPr>
                <w:rFonts w:cs="Arial"/>
                <w:bCs/>
                <w:sz w:val="20"/>
              </w:rPr>
              <w:t>RPPN Duas Cachoeiras</w:t>
            </w:r>
          </w:p>
        </w:tc>
        <w:tc>
          <w:tcPr>
            <w:tcW w:w="761"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Uso Sustentável</w:t>
            </w:r>
          </w:p>
        </w:tc>
        <w:tc>
          <w:tcPr>
            <w:tcW w:w="958"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Estadual-SP</w:t>
            </w:r>
          </w:p>
        </w:tc>
        <w:tc>
          <w:tcPr>
            <w:tcW w:w="1484"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Localizada na AII</w:t>
            </w:r>
          </w:p>
        </w:tc>
      </w:tr>
      <w:tr w:rsidR="00D523D1" w:rsidRPr="00262361" w:rsidTr="00A206D2">
        <w:trPr>
          <w:trHeight w:val="690"/>
        </w:trPr>
        <w:tc>
          <w:tcPr>
            <w:tcW w:w="1797" w:type="pct"/>
            <w:tcBorders>
              <w:top w:val="nil"/>
              <w:left w:val="single" w:sz="4" w:space="0" w:color="auto"/>
              <w:bottom w:val="single" w:sz="4" w:space="0" w:color="auto"/>
              <w:right w:val="single" w:sz="4" w:space="0" w:color="auto"/>
            </w:tcBorders>
            <w:shd w:val="clear" w:color="auto" w:fill="auto"/>
            <w:vAlign w:val="center"/>
          </w:tcPr>
          <w:p w:rsidR="00D523D1" w:rsidRPr="0053177A" w:rsidRDefault="00D523D1" w:rsidP="00A206D2">
            <w:pPr>
              <w:spacing w:line="240" w:lineRule="auto"/>
              <w:jc w:val="left"/>
              <w:rPr>
                <w:rFonts w:cs="Arial"/>
                <w:bCs/>
                <w:sz w:val="20"/>
              </w:rPr>
            </w:pPr>
            <w:r w:rsidRPr="0053177A">
              <w:rPr>
                <w:rFonts w:cs="Arial"/>
                <w:bCs/>
                <w:sz w:val="20"/>
              </w:rPr>
              <w:t>RPPN Fazenda Boa Esperança</w:t>
            </w:r>
          </w:p>
        </w:tc>
        <w:tc>
          <w:tcPr>
            <w:tcW w:w="761"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Uso Sustentável</w:t>
            </w:r>
          </w:p>
        </w:tc>
        <w:tc>
          <w:tcPr>
            <w:tcW w:w="958"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Estadual-SP</w:t>
            </w:r>
          </w:p>
        </w:tc>
        <w:tc>
          <w:tcPr>
            <w:tcW w:w="1484"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Localizada na AII</w:t>
            </w:r>
          </w:p>
        </w:tc>
      </w:tr>
      <w:tr w:rsidR="00D523D1" w:rsidRPr="00262361" w:rsidTr="00A206D2">
        <w:trPr>
          <w:trHeight w:val="690"/>
        </w:trPr>
        <w:tc>
          <w:tcPr>
            <w:tcW w:w="1797" w:type="pct"/>
            <w:tcBorders>
              <w:top w:val="nil"/>
              <w:left w:val="single" w:sz="4" w:space="0" w:color="auto"/>
              <w:bottom w:val="single" w:sz="4" w:space="0" w:color="auto"/>
              <w:right w:val="single" w:sz="4" w:space="0" w:color="auto"/>
            </w:tcBorders>
            <w:shd w:val="clear" w:color="auto" w:fill="auto"/>
            <w:vAlign w:val="center"/>
          </w:tcPr>
          <w:p w:rsidR="00D523D1" w:rsidRPr="0053177A" w:rsidRDefault="00D523D1" w:rsidP="00A206D2">
            <w:pPr>
              <w:spacing w:line="240" w:lineRule="auto"/>
              <w:jc w:val="left"/>
              <w:rPr>
                <w:rFonts w:cs="Arial"/>
                <w:bCs/>
                <w:sz w:val="20"/>
              </w:rPr>
            </w:pPr>
            <w:r w:rsidRPr="0053177A">
              <w:rPr>
                <w:rFonts w:cs="Arial"/>
                <w:bCs/>
                <w:sz w:val="20"/>
              </w:rPr>
              <w:t>RPPN Fazenda Serrinha</w:t>
            </w:r>
          </w:p>
        </w:tc>
        <w:tc>
          <w:tcPr>
            <w:tcW w:w="761"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Uso Sustentável</w:t>
            </w:r>
          </w:p>
        </w:tc>
        <w:tc>
          <w:tcPr>
            <w:tcW w:w="958"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Federal</w:t>
            </w:r>
          </w:p>
        </w:tc>
        <w:tc>
          <w:tcPr>
            <w:tcW w:w="1484" w:type="pct"/>
            <w:tcBorders>
              <w:top w:val="nil"/>
              <w:left w:val="nil"/>
              <w:bottom w:val="single" w:sz="4" w:space="0" w:color="auto"/>
              <w:right w:val="single" w:sz="4" w:space="0" w:color="auto"/>
            </w:tcBorders>
            <w:shd w:val="clear" w:color="auto" w:fill="auto"/>
            <w:vAlign w:val="center"/>
          </w:tcPr>
          <w:p w:rsidR="00D523D1" w:rsidRPr="0053177A" w:rsidRDefault="00D523D1" w:rsidP="00A206D2">
            <w:pPr>
              <w:spacing w:line="240" w:lineRule="auto"/>
              <w:jc w:val="center"/>
              <w:rPr>
                <w:rFonts w:cs="Arial"/>
                <w:sz w:val="20"/>
              </w:rPr>
            </w:pPr>
            <w:r w:rsidRPr="0053177A">
              <w:rPr>
                <w:rFonts w:cs="Arial"/>
                <w:sz w:val="20"/>
              </w:rPr>
              <w:t>Localizada na AII</w:t>
            </w:r>
          </w:p>
        </w:tc>
      </w:tr>
    </w:tbl>
    <w:p w:rsidR="0033085E" w:rsidRDefault="0033085E" w:rsidP="0033085E">
      <w:pPr>
        <w:pStyle w:val="SPE-Texto"/>
        <w:spacing w:before="120" w:after="120" w:line="240" w:lineRule="auto"/>
        <w:rPr>
          <w:rFonts w:ascii="Arial" w:hAnsi="Arial" w:cs="Arial"/>
          <w:sz w:val="22"/>
          <w:szCs w:val="22"/>
        </w:rPr>
      </w:pPr>
    </w:p>
    <w:p w:rsidR="0033085E" w:rsidRPr="00C21230" w:rsidRDefault="0033085E" w:rsidP="0033085E">
      <w:pPr>
        <w:pStyle w:val="SPE-Texto"/>
        <w:spacing w:before="120" w:after="120" w:line="240" w:lineRule="auto"/>
        <w:rPr>
          <w:rFonts w:ascii="Arial" w:hAnsi="Arial" w:cs="Arial"/>
          <w:sz w:val="22"/>
          <w:szCs w:val="22"/>
        </w:rPr>
      </w:pPr>
      <w:r w:rsidRPr="00C21230">
        <w:rPr>
          <w:rFonts w:ascii="Arial" w:hAnsi="Arial" w:cs="Arial"/>
          <w:sz w:val="22"/>
          <w:szCs w:val="22"/>
        </w:rPr>
        <w:t xml:space="preserve">Consta do caput do artigo 36 da Lei Federal </w:t>
      </w:r>
      <w:r w:rsidR="00810CA3">
        <w:rPr>
          <w:rFonts w:eastAsia="Batang"/>
          <w:lang w:eastAsia="en-US"/>
        </w:rPr>
        <w:t>n</w:t>
      </w:r>
      <w:r w:rsidR="00810CA3" w:rsidRPr="00F94909">
        <w:rPr>
          <w:rFonts w:eastAsia="Batang"/>
          <w:u w:val="single"/>
          <w:vertAlign w:val="superscript"/>
          <w:lang w:eastAsia="en-US"/>
        </w:rPr>
        <w:t>o</w:t>
      </w:r>
      <w:r w:rsidR="00810CA3" w:rsidRPr="00C21230">
        <w:rPr>
          <w:rFonts w:ascii="Arial" w:hAnsi="Arial" w:cs="Arial"/>
          <w:sz w:val="22"/>
          <w:szCs w:val="22"/>
        </w:rPr>
        <w:t xml:space="preserve"> </w:t>
      </w:r>
      <w:r w:rsidRPr="00C21230">
        <w:rPr>
          <w:rFonts w:ascii="Arial" w:hAnsi="Arial" w:cs="Arial"/>
          <w:sz w:val="22"/>
          <w:szCs w:val="22"/>
        </w:rPr>
        <w:t xml:space="preserve">9.985/2000 que “... o empreendedor é obrigado a apoiar a implantação e manutenção de unidade de conservação do </w:t>
      </w:r>
      <w:r w:rsidRPr="00C21230">
        <w:rPr>
          <w:rFonts w:ascii="Arial" w:hAnsi="Arial" w:cs="Arial"/>
          <w:sz w:val="22"/>
          <w:szCs w:val="22"/>
          <w:u w:val="single"/>
        </w:rPr>
        <w:t>Grupo de Proteção Integral</w:t>
      </w:r>
      <w:r w:rsidRPr="00C21230">
        <w:rPr>
          <w:rFonts w:ascii="Arial" w:hAnsi="Arial" w:cs="Arial"/>
          <w:sz w:val="22"/>
          <w:szCs w:val="22"/>
        </w:rPr>
        <w:t>, de acordo com o disposto neste artigo e no regulamento desta Lei.” (grifos nossos).</w:t>
      </w:r>
    </w:p>
    <w:p w:rsidR="0033085E" w:rsidRPr="0053177A" w:rsidRDefault="0033085E" w:rsidP="0033085E">
      <w:pPr>
        <w:pStyle w:val="SPE-Texto"/>
        <w:spacing w:before="120" w:after="120" w:line="240" w:lineRule="auto"/>
        <w:rPr>
          <w:rFonts w:ascii="Arial" w:hAnsi="Arial" w:cs="Arial"/>
          <w:sz w:val="22"/>
          <w:szCs w:val="22"/>
        </w:rPr>
      </w:pPr>
      <w:r w:rsidRPr="0053177A">
        <w:rPr>
          <w:rFonts w:ascii="Arial" w:hAnsi="Arial" w:cs="Arial"/>
          <w:sz w:val="22"/>
          <w:szCs w:val="22"/>
        </w:rPr>
        <w:t xml:space="preserve">Considerando essa diretriz, </w:t>
      </w:r>
      <w:r w:rsidR="007A178B" w:rsidRPr="0053177A">
        <w:rPr>
          <w:rFonts w:ascii="Arial" w:hAnsi="Arial" w:cs="Arial"/>
          <w:sz w:val="22"/>
          <w:szCs w:val="22"/>
        </w:rPr>
        <w:t>e visto não existirem Unidades de Conservação de Proteção Integral nas sub-bacias dos rios Jaguari e Camanducaia,</w:t>
      </w:r>
      <w:r w:rsidR="00AF1F0C" w:rsidRPr="0053177A">
        <w:rPr>
          <w:rFonts w:ascii="Arial" w:hAnsi="Arial" w:cs="Arial"/>
          <w:sz w:val="22"/>
          <w:szCs w:val="22"/>
        </w:rPr>
        <w:t xml:space="preserve"> </w:t>
      </w:r>
      <w:r w:rsidRPr="0053177A">
        <w:rPr>
          <w:rFonts w:ascii="Arial" w:hAnsi="Arial" w:cs="Arial"/>
          <w:sz w:val="22"/>
          <w:szCs w:val="22"/>
        </w:rPr>
        <w:t xml:space="preserve">em que pese a </w:t>
      </w:r>
      <w:r w:rsidR="007A178B" w:rsidRPr="0053177A">
        <w:rPr>
          <w:rFonts w:ascii="Arial" w:hAnsi="Arial" w:cs="Arial"/>
          <w:sz w:val="22"/>
          <w:szCs w:val="22"/>
        </w:rPr>
        <w:t>presença de</w:t>
      </w:r>
      <w:r w:rsidRPr="0053177A">
        <w:rPr>
          <w:rFonts w:ascii="Arial" w:hAnsi="Arial" w:cs="Arial"/>
          <w:sz w:val="22"/>
          <w:szCs w:val="22"/>
        </w:rPr>
        <w:t xml:space="preserve"> Unidades de Conservação</w:t>
      </w:r>
      <w:r w:rsidR="007A178B" w:rsidRPr="0053177A">
        <w:rPr>
          <w:rFonts w:ascii="Arial" w:hAnsi="Arial" w:cs="Arial"/>
          <w:sz w:val="22"/>
          <w:szCs w:val="22"/>
        </w:rPr>
        <w:t xml:space="preserve"> de Uso Sustentável</w:t>
      </w:r>
      <w:r w:rsidRPr="0053177A">
        <w:rPr>
          <w:rFonts w:ascii="Arial" w:hAnsi="Arial" w:cs="Arial"/>
          <w:sz w:val="22"/>
          <w:szCs w:val="22"/>
        </w:rPr>
        <w:t xml:space="preserve">, </w:t>
      </w:r>
      <w:r w:rsidR="00AF1F0C" w:rsidRPr="0053177A">
        <w:rPr>
          <w:rFonts w:ascii="Arial" w:hAnsi="Arial" w:cs="Arial"/>
          <w:sz w:val="22"/>
          <w:szCs w:val="22"/>
        </w:rPr>
        <w:t xml:space="preserve">deverá </w:t>
      </w:r>
      <w:r w:rsidR="007A178B" w:rsidRPr="0053177A">
        <w:rPr>
          <w:rFonts w:ascii="Arial" w:hAnsi="Arial" w:cs="Arial"/>
          <w:sz w:val="22"/>
          <w:szCs w:val="22"/>
        </w:rPr>
        <w:t xml:space="preserve">ser </w:t>
      </w:r>
      <w:r w:rsidRPr="0053177A">
        <w:rPr>
          <w:rFonts w:ascii="Arial" w:hAnsi="Arial" w:cs="Arial"/>
          <w:sz w:val="22"/>
          <w:szCs w:val="22"/>
        </w:rPr>
        <w:t>pré-selecionad</w:t>
      </w:r>
      <w:r w:rsidR="007A178B" w:rsidRPr="0053177A">
        <w:rPr>
          <w:rFonts w:ascii="Arial" w:hAnsi="Arial" w:cs="Arial"/>
          <w:sz w:val="22"/>
          <w:szCs w:val="22"/>
        </w:rPr>
        <w:t>a</w:t>
      </w:r>
      <w:r w:rsidRPr="0053177A">
        <w:rPr>
          <w:rFonts w:ascii="Arial" w:hAnsi="Arial" w:cs="Arial"/>
          <w:sz w:val="22"/>
          <w:szCs w:val="22"/>
        </w:rPr>
        <w:t xml:space="preserve"> </w:t>
      </w:r>
      <w:r w:rsidR="00232C9C" w:rsidRPr="0053177A">
        <w:rPr>
          <w:rFonts w:ascii="Arial" w:hAnsi="Arial" w:cs="Arial"/>
          <w:sz w:val="22"/>
          <w:szCs w:val="22"/>
        </w:rPr>
        <w:t>em decisão conjunta com as esferas competentes</w:t>
      </w:r>
      <w:r w:rsidR="004D2D4F" w:rsidRPr="0053177A">
        <w:rPr>
          <w:rFonts w:ascii="Arial" w:hAnsi="Arial" w:cs="Arial"/>
          <w:sz w:val="22"/>
          <w:szCs w:val="22"/>
        </w:rPr>
        <w:t>,</w:t>
      </w:r>
      <w:r w:rsidR="00232C9C" w:rsidRPr="0053177A">
        <w:rPr>
          <w:rFonts w:ascii="Arial" w:hAnsi="Arial" w:cs="Arial"/>
          <w:sz w:val="22"/>
          <w:szCs w:val="22"/>
        </w:rPr>
        <w:t xml:space="preserve"> </w:t>
      </w:r>
      <w:r w:rsidR="004D2D4F" w:rsidRPr="0053177A">
        <w:rPr>
          <w:rFonts w:ascii="Arial" w:hAnsi="Arial" w:cs="Arial"/>
          <w:sz w:val="22"/>
          <w:szCs w:val="22"/>
        </w:rPr>
        <w:t>com</w:t>
      </w:r>
      <w:r w:rsidR="00232C9C" w:rsidRPr="0053177A">
        <w:rPr>
          <w:rFonts w:ascii="Arial" w:hAnsi="Arial" w:cs="Arial"/>
          <w:sz w:val="22"/>
          <w:szCs w:val="22"/>
        </w:rPr>
        <w:t xml:space="preserve"> participação das entidades públicas interessadas</w:t>
      </w:r>
      <w:r w:rsidR="004D2D4F" w:rsidRPr="0053177A">
        <w:rPr>
          <w:rFonts w:ascii="Arial" w:hAnsi="Arial" w:cs="Arial"/>
          <w:sz w:val="22"/>
          <w:szCs w:val="22"/>
        </w:rPr>
        <w:t>,</w:t>
      </w:r>
      <w:r w:rsidR="00232C9C" w:rsidRPr="0053177A">
        <w:rPr>
          <w:rFonts w:ascii="Arial" w:hAnsi="Arial" w:cs="Arial"/>
          <w:sz w:val="22"/>
          <w:szCs w:val="22"/>
        </w:rPr>
        <w:t xml:space="preserve"> área a ser destinada a criação de Unidade de Conservação de Proteção Integral, preferencialmente nas sub-bacias citadas.</w:t>
      </w:r>
    </w:p>
    <w:p w:rsidR="0033085E" w:rsidRPr="0053177A" w:rsidRDefault="0033085E" w:rsidP="0033085E">
      <w:pPr>
        <w:pStyle w:val="SPE-Texto"/>
        <w:spacing w:before="120" w:after="120" w:line="240" w:lineRule="auto"/>
        <w:rPr>
          <w:rFonts w:ascii="Arial" w:hAnsi="Arial" w:cs="Arial"/>
          <w:sz w:val="22"/>
          <w:szCs w:val="22"/>
        </w:rPr>
      </w:pPr>
      <w:r w:rsidRPr="0053177A">
        <w:rPr>
          <w:rFonts w:ascii="Arial" w:hAnsi="Arial" w:cs="Arial"/>
          <w:sz w:val="22"/>
          <w:szCs w:val="22"/>
        </w:rPr>
        <w:t xml:space="preserve">A escolha </w:t>
      </w:r>
      <w:r w:rsidR="00232C9C" w:rsidRPr="0053177A">
        <w:rPr>
          <w:rFonts w:ascii="Arial" w:hAnsi="Arial" w:cs="Arial"/>
          <w:sz w:val="22"/>
          <w:szCs w:val="22"/>
        </w:rPr>
        <w:t xml:space="preserve">deverá dar preferência </w:t>
      </w:r>
      <w:r w:rsidR="0003785F" w:rsidRPr="0053177A">
        <w:rPr>
          <w:rFonts w:ascii="Arial" w:hAnsi="Arial" w:cs="Arial"/>
          <w:sz w:val="22"/>
          <w:szCs w:val="22"/>
        </w:rPr>
        <w:t>à legislação específica e às diretrizes contidas nos planos e programas e zoneamentos municipais, estaduais e federais</w:t>
      </w:r>
      <w:r w:rsidRPr="0053177A">
        <w:rPr>
          <w:rFonts w:ascii="Arial" w:hAnsi="Arial" w:cs="Arial"/>
          <w:sz w:val="22"/>
          <w:szCs w:val="22"/>
        </w:rPr>
        <w:t xml:space="preserve">, </w:t>
      </w:r>
      <w:r w:rsidR="0003785F" w:rsidRPr="0053177A">
        <w:rPr>
          <w:rFonts w:ascii="Arial" w:hAnsi="Arial" w:cs="Arial"/>
          <w:sz w:val="22"/>
          <w:szCs w:val="22"/>
        </w:rPr>
        <w:t>que incidem sobre a biodiversidade regional, incluindo áreas classificadas como corredores ecológicos, áreas prioritárias para conservação da biodiversidade, áreas prioritárias para conectividade floresta</w:t>
      </w:r>
      <w:r w:rsidR="004D2D4F" w:rsidRPr="0053177A">
        <w:rPr>
          <w:rFonts w:ascii="Arial" w:hAnsi="Arial" w:cs="Arial"/>
          <w:sz w:val="22"/>
          <w:szCs w:val="22"/>
        </w:rPr>
        <w:t>l</w:t>
      </w:r>
      <w:r w:rsidR="0003785F" w:rsidRPr="0053177A">
        <w:rPr>
          <w:rFonts w:ascii="Arial" w:hAnsi="Arial" w:cs="Arial"/>
          <w:sz w:val="22"/>
          <w:szCs w:val="22"/>
        </w:rPr>
        <w:t xml:space="preserve">, e </w:t>
      </w:r>
      <w:r w:rsidRPr="0053177A">
        <w:rPr>
          <w:rFonts w:ascii="Arial" w:hAnsi="Arial" w:cs="Arial"/>
          <w:sz w:val="22"/>
          <w:szCs w:val="22"/>
        </w:rPr>
        <w:t>principalmente, pela</w:t>
      </w:r>
      <w:r w:rsidR="0003785F" w:rsidRPr="0053177A">
        <w:rPr>
          <w:rFonts w:ascii="Arial" w:hAnsi="Arial" w:cs="Arial"/>
          <w:sz w:val="22"/>
          <w:szCs w:val="22"/>
        </w:rPr>
        <w:t>s características, justificativas e objetivos dos empreendimentos</w:t>
      </w:r>
      <w:r w:rsidR="004D2D4F" w:rsidRPr="0053177A">
        <w:rPr>
          <w:rFonts w:ascii="Arial" w:hAnsi="Arial" w:cs="Arial"/>
          <w:sz w:val="22"/>
          <w:szCs w:val="22"/>
        </w:rPr>
        <w:t xml:space="preserve"> em questão</w:t>
      </w:r>
      <w:r w:rsidRPr="0053177A">
        <w:rPr>
          <w:rFonts w:ascii="Arial" w:hAnsi="Arial" w:cs="Arial"/>
          <w:sz w:val="22"/>
          <w:szCs w:val="22"/>
        </w:rPr>
        <w:t xml:space="preserve">, </w:t>
      </w:r>
      <w:r w:rsidR="0003785F" w:rsidRPr="0053177A">
        <w:rPr>
          <w:rFonts w:ascii="Arial" w:hAnsi="Arial" w:cs="Arial"/>
          <w:sz w:val="22"/>
          <w:szCs w:val="22"/>
        </w:rPr>
        <w:t xml:space="preserve">a proteção e recuperação </w:t>
      </w:r>
      <w:r w:rsidR="00750413" w:rsidRPr="0053177A">
        <w:rPr>
          <w:rFonts w:ascii="Arial" w:hAnsi="Arial" w:cs="Arial"/>
          <w:sz w:val="22"/>
          <w:szCs w:val="22"/>
        </w:rPr>
        <w:t xml:space="preserve">de suas nascentes e formadores e </w:t>
      </w:r>
      <w:r w:rsidR="0003785F" w:rsidRPr="0053177A">
        <w:rPr>
          <w:rFonts w:ascii="Arial" w:hAnsi="Arial" w:cs="Arial"/>
          <w:sz w:val="22"/>
          <w:szCs w:val="22"/>
        </w:rPr>
        <w:t>do entorno dos mananciais para abastecimento público</w:t>
      </w:r>
      <w:r w:rsidR="00750413" w:rsidRPr="0053177A">
        <w:rPr>
          <w:rFonts w:ascii="Arial" w:hAnsi="Arial" w:cs="Arial"/>
          <w:sz w:val="22"/>
          <w:szCs w:val="22"/>
        </w:rPr>
        <w:t>.</w:t>
      </w:r>
      <w:r w:rsidR="0003785F" w:rsidRPr="0053177A">
        <w:rPr>
          <w:rFonts w:ascii="Arial" w:hAnsi="Arial" w:cs="Arial"/>
          <w:sz w:val="22"/>
          <w:szCs w:val="22"/>
        </w:rPr>
        <w:t xml:space="preserve"> </w:t>
      </w:r>
    </w:p>
    <w:p w:rsidR="00B22209" w:rsidRPr="0053177A" w:rsidRDefault="002E049A" w:rsidP="00B22209">
      <w:pPr>
        <w:pStyle w:val="SPE-Texto"/>
        <w:spacing w:before="120" w:after="120" w:line="240" w:lineRule="auto"/>
        <w:rPr>
          <w:rFonts w:ascii="Arial" w:hAnsi="Arial" w:cs="Arial"/>
          <w:sz w:val="22"/>
          <w:szCs w:val="22"/>
        </w:rPr>
      </w:pPr>
      <w:r w:rsidRPr="0053177A">
        <w:rPr>
          <w:rFonts w:ascii="Arial" w:hAnsi="Arial" w:cs="Arial"/>
          <w:sz w:val="22"/>
          <w:szCs w:val="22"/>
        </w:rPr>
        <w:t xml:space="preserve">Entretanto, o fato de duas unidades de conservação de uso sustentável sofrerem interferência direta dos reservatórios das Barragens Pedreira e Duas Pontes, é relevante considerar a </w:t>
      </w:r>
      <w:r w:rsidR="00AA776E" w:rsidRPr="0053177A">
        <w:rPr>
          <w:rFonts w:ascii="Arial" w:hAnsi="Arial" w:cs="Arial"/>
          <w:sz w:val="22"/>
          <w:szCs w:val="22"/>
        </w:rPr>
        <w:t xml:space="preserve">possibilidade da aplicação dos recursos da compensação ambiental nas APAs diretamente afetadas, </w:t>
      </w:r>
      <w:r w:rsidR="00B22209" w:rsidRPr="0053177A">
        <w:rPr>
          <w:rFonts w:ascii="Arial" w:hAnsi="Arial" w:cs="Arial"/>
          <w:sz w:val="22"/>
          <w:szCs w:val="22"/>
        </w:rPr>
        <w:t>cujos</w:t>
      </w:r>
      <w:r w:rsidR="00AA776E" w:rsidRPr="0053177A">
        <w:rPr>
          <w:rFonts w:ascii="Arial" w:hAnsi="Arial" w:cs="Arial"/>
          <w:sz w:val="22"/>
          <w:szCs w:val="22"/>
        </w:rPr>
        <w:t xml:space="preserve"> objetivos previstos </w:t>
      </w:r>
      <w:r w:rsidR="00B22209" w:rsidRPr="0053177A">
        <w:rPr>
          <w:rFonts w:ascii="Arial" w:hAnsi="Arial" w:cs="Arial"/>
          <w:sz w:val="22"/>
          <w:szCs w:val="22"/>
        </w:rPr>
        <w:t xml:space="preserve">estão associados à proteção dos mananciais hídricos. </w:t>
      </w:r>
    </w:p>
    <w:p w:rsidR="00B22209" w:rsidRPr="0053177A" w:rsidRDefault="00B22209" w:rsidP="00C8524B">
      <w:pPr>
        <w:spacing w:before="120" w:after="120" w:line="240" w:lineRule="auto"/>
        <w:rPr>
          <w:rStyle w:val="normalChar"/>
        </w:rPr>
      </w:pPr>
      <w:r w:rsidRPr="0053177A">
        <w:rPr>
          <w:rStyle w:val="normalChar"/>
        </w:rPr>
        <w:t>No caso da APA Campinas os objetivos da unidade envolve</w:t>
      </w:r>
      <w:r w:rsidR="00F820D6" w:rsidRPr="0053177A">
        <w:rPr>
          <w:rStyle w:val="normalChar"/>
        </w:rPr>
        <w:t xml:space="preserve"> </w:t>
      </w:r>
      <w:r w:rsidR="00AF1F0C" w:rsidRPr="0053177A">
        <w:rPr>
          <w:rStyle w:val="normalChar"/>
        </w:rPr>
        <w:t xml:space="preserve">a proteção </w:t>
      </w:r>
      <w:r w:rsidRPr="0053177A">
        <w:rPr>
          <w:rStyle w:val="normalChar"/>
        </w:rPr>
        <w:t xml:space="preserve">dos </w:t>
      </w:r>
      <w:r w:rsidR="00AA776E" w:rsidRPr="0053177A">
        <w:rPr>
          <w:rStyle w:val="normalChar"/>
        </w:rPr>
        <w:t>mananciais hídricos utilizados ou com possibilidade de utilização para abastecimento público, especialmente as bacias de contribu</w:t>
      </w:r>
      <w:r w:rsidR="00AF1F0C" w:rsidRPr="0053177A">
        <w:rPr>
          <w:rStyle w:val="normalChar"/>
        </w:rPr>
        <w:t>ição dos r</w:t>
      </w:r>
      <w:r w:rsidRPr="0053177A">
        <w:rPr>
          <w:rStyle w:val="normalChar"/>
        </w:rPr>
        <w:t>ios Atibaia e Jaguari.</w:t>
      </w:r>
      <w:r w:rsidR="00C8524B" w:rsidRPr="0053177A">
        <w:rPr>
          <w:rStyle w:val="normalChar"/>
        </w:rPr>
        <w:t xml:space="preserve"> </w:t>
      </w:r>
      <w:r w:rsidRPr="0053177A">
        <w:rPr>
          <w:lang w:eastAsia="en-US"/>
        </w:rPr>
        <w:t xml:space="preserve">A APA Piracicaba/Juqueri-Mirim (Área II), por sua vez, integra um conjunto de unidades de conservação de uso sustentável, criadas com objetivo </w:t>
      </w:r>
      <w:r w:rsidRPr="0053177A">
        <w:t xml:space="preserve">principal de proteger os recursos hídricos </w:t>
      </w:r>
      <w:r w:rsidRPr="0053177A">
        <w:rPr>
          <w:lang w:eastAsia="en-US"/>
        </w:rPr>
        <w:t>dos mananciais que abastecem o Sistema Cantareira.</w:t>
      </w:r>
    </w:p>
    <w:p w:rsidR="0033085E" w:rsidRPr="0053177A" w:rsidRDefault="0033085E" w:rsidP="00431A97">
      <w:pPr>
        <w:pStyle w:val="SPE-Texto"/>
        <w:numPr>
          <w:ilvl w:val="0"/>
          <w:numId w:val="58"/>
        </w:numPr>
        <w:spacing w:before="240" w:after="240" w:line="240" w:lineRule="auto"/>
        <w:ind w:left="567" w:hanging="567"/>
        <w:rPr>
          <w:rFonts w:ascii="Arial" w:hAnsi="Arial" w:cs="Arial"/>
          <w:b/>
          <w:sz w:val="22"/>
          <w:szCs w:val="22"/>
        </w:rPr>
      </w:pPr>
      <w:bookmarkStart w:id="1321" w:name="_Toc370923507"/>
      <w:bookmarkStart w:id="1322" w:name="_Toc370985633"/>
      <w:r w:rsidRPr="0053177A">
        <w:rPr>
          <w:rFonts w:ascii="Arial" w:hAnsi="Arial" w:cs="Arial"/>
          <w:b/>
          <w:sz w:val="22"/>
          <w:szCs w:val="22"/>
        </w:rPr>
        <w:t>Valor da Compensação Ambiental</w:t>
      </w:r>
      <w:bookmarkEnd w:id="1321"/>
      <w:bookmarkEnd w:id="1322"/>
    </w:p>
    <w:p w:rsidR="0033085E" w:rsidRPr="00C21230" w:rsidRDefault="0033085E" w:rsidP="0033085E">
      <w:pPr>
        <w:pStyle w:val="SPE-Texto"/>
        <w:spacing w:before="120" w:after="120" w:line="240" w:lineRule="auto"/>
        <w:rPr>
          <w:rFonts w:ascii="Arial" w:hAnsi="Arial" w:cs="Arial"/>
          <w:sz w:val="22"/>
          <w:szCs w:val="22"/>
        </w:rPr>
      </w:pPr>
      <w:r w:rsidRPr="00C21230">
        <w:rPr>
          <w:rFonts w:ascii="Arial" w:hAnsi="Arial" w:cs="Arial"/>
          <w:sz w:val="22"/>
          <w:szCs w:val="22"/>
        </w:rPr>
        <w:t xml:space="preserve">Com a publicação Decreto Federal </w:t>
      </w:r>
      <w:r w:rsidR="00810CA3">
        <w:rPr>
          <w:rFonts w:eastAsia="Batang"/>
          <w:lang w:eastAsia="en-US"/>
        </w:rPr>
        <w:t>n</w:t>
      </w:r>
      <w:r w:rsidR="00810CA3" w:rsidRPr="00F94909">
        <w:rPr>
          <w:rFonts w:eastAsia="Batang"/>
          <w:u w:val="single"/>
          <w:vertAlign w:val="superscript"/>
          <w:lang w:eastAsia="en-US"/>
        </w:rPr>
        <w:t>o</w:t>
      </w:r>
      <w:r w:rsidR="00810CA3" w:rsidRPr="00C21230">
        <w:rPr>
          <w:rFonts w:ascii="Arial" w:hAnsi="Arial" w:cs="Arial"/>
          <w:sz w:val="22"/>
          <w:szCs w:val="22"/>
        </w:rPr>
        <w:t xml:space="preserve"> </w:t>
      </w:r>
      <w:r w:rsidRPr="00C21230">
        <w:rPr>
          <w:rFonts w:ascii="Arial" w:hAnsi="Arial" w:cs="Arial"/>
          <w:sz w:val="22"/>
          <w:szCs w:val="22"/>
        </w:rPr>
        <w:t xml:space="preserve">6.848, de 14 de maio de 2009, ficou estabelecido o método para o cálculo do valor a ser destinado à compensação ambiental no âmbito do processo de licenciamento ambiental, conforme determinado pelo artigo 36 da Lei Federal </w:t>
      </w:r>
      <w:r w:rsidR="00810CA3">
        <w:rPr>
          <w:rFonts w:eastAsia="Batang"/>
          <w:lang w:eastAsia="en-US"/>
        </w:rPr>
        <w:t>n</w:t>
      </w:r>
      <w:r w:rsidR="00810CA3" w:rsidRPr="00F94909">
        <w:rPr>
          <w:rFonts w:eastAsia="Batang"/>
          <w:u w:val="single"/>
          <w:vertAlign w:val="superscript"/>
          <w:lang w:eastAsia="en-US"/>
        </w:rPr>
        <w:t>o</w:t>
      </w:r>
      <w:r w:rsidR="00810CA3" w:rsidRPr="00C21230">
        <w:rPr>
          <w:rFonts w:ascii="Arial" w:hAnsi="Arial" w:cs="Arial"/>
          <w:sz w:val="22"/>
          <w:szCs w:val="22"/>
        </w:rPr>
        <w:t xml:space="preserve"> </w:t>
      </w:r>
      <w:r w:rsidRPr="00C21230">
        <w:rPr>
          <w:rFonts w:ascii="Arial" w:hAnsi="Arial" w:cs="Arial"/>
          <w:sz w:val="22"/>
          <w:szCs w:val="22"/>
        </w:rPr>
        <w:t>9985/2000.</w:t>
      </w:r>
    </w:p>
    <w:p w:rsidR="0033085E" w:rsidRPr="00C21230" w:rsidRDefault="001240C8" w:rsidP="0033085E">
      <w:pPr>
        <w:pStyle w:val="SPE-Texto"/>
        <w:spacing w:before="120" w:after="120" w:line="240" w:lineRule="auto"/>
        <w:rPr>
          <w:rFonts w:ascii="Arial" w:hAnsi="Arial" w:cs="Arial"/>
          <w:sz w:val="22"/>
          <w:szCs w:val="22"/>
        </w:rPr>
      </w:pPr>
      <w:r w:rsidRPr="00E61F56">
        <w:rPr>
          <w:rFonts w:ascii="Arial" w:hAnsi="Arial" w:cs="Arial"/>
          <w:sz w:val="22"/>
          <w:szCs w:val="22"/>
        </w:rPr>
        <w:t>O</w:t>
      </w:r>
      <w:r w:rsidR="0033085E" w:rsidRPr="00E61F56">
        <w:rPr>
          <w:rFonts w:ascii="Arial" w:hAnsi="Arial" w:cs="Arial"/>
          <w:sz w:val="22"/>
          <w:szCs w:val="22"/>
        </w:rPr>
        <w:t xml:space="preserve"> artigo 31-A</w:t>
      </w:r>
      <w:r w:rsidRPr="00E61F56">
        <w:rPr>
          <w:rFonts w:ascii="Arial" w:hAnsi="Arial" w:cs="Arial"/>
          <w:sz w:val="22"/>
          <w:szCs w:val="22"/>
        </w:rPr>
        <w:t xml:space="preserve"> do</w:t>
      </w:r>
      <w:r w:rsidR="0033085E" w:rsidRPr="00E61F56">
        <w:rPr>
          <w:rFonts w:ascii="Arial" w:hAnsi="Arial" w:cs="Arial"/>
          <w:sz w:val="22"/>
          <w:szCs w:val="22"/>
        </w:rPr>
        <w:t xml:space="preserve"> Decreto Federal </w:t>
      </w:r>
      <w:r w:rsidR="00810CA3">
        <w:rPr>
          <w:rFonts w:eastAsia="Batang"/>
          <w:lang w:eastAsia="en-US"/>
        </w:rPr>
        <w:t>n</w:t>
      </w:r>
      <w:r w:rsidR="00810CA3" w:rsidRPr="00F94909">
        <w:rPr>
          <w:rFonts w:eastAsia="Batang"/>
          <w:u w:val="single"/>
          <w:vertAlign w:val="superscript"/>
          <w:lang w:eastAsia="en-US"/>
        </w:rPr>
        <w:t>o</w:t>
      </w:r>
      <w:r w:rsidR="00810CA3" w:rsidRPr="00E61F56">
        <w:rPr>
          <w:rFonts w:ascii="Arial" w:hAnsi="Arial" w:cs="Arial"/>
          <w:sz w:val="22"/>
          <w:szCs w:val="22"/>
        </w:rPr>
        <w:t xml:space="preserve"> </w:t>
      </w:r>
      <w:r w:rsidR="0033085E" w:rsidRPr="00E61F56">
        <w:rPr>
          <w:rFonts w:ascii="Arial" w:hAnsi="Arial" w:cs="Arial"/>
          <w:sz w:val="22"/>
          <w:szCs w:val="22"/>
        </w:rPr>
        <w:t xml:space="preserve">4.340/02, acrescido pelo Decreto Federal </w:t>
      </w:r>
      <w:r w:rsidR="00810CA3">
        <w:rPr>
          <w:rFonts w:eastAsia="Batang"/>
          <w:lang w:eastAsia="en-US"/>
        </w:rPr>
        <w:t>n</w:t>
      </w:r>
      <w:r w:rsidR="00810CA3" w:rsidRPr="00F94909">
        <w:rPr>
          <w:rFonts w:eastAsia="Batang"/>
          <w:u w:val="single"/>
          <w:vertAlign w:val="superscript"/>
          <w:lang w:eastAsia="en-US"/>
        </w:rPr>
        <w:t>o</w:t>
      </w:r>
      <w:r w:rsidR="00810CA3" w:rsidRPr="00E61F56">
        <w:rPr>
          <w:rFonts w:ascii="Arial" w:hAnsi="Arial" w:cs="Arial"/>
          <w:sz w:val="22"/>
          <w:szCs w:val="22"/>
        </w:rPr>
        <w:t xml:space="preserve"> </w:t>
      </w:r>
      <w:r w:rsidR="0033085E" w:rsidRPr="00E61F56">
        <w:rPr>
          <w:rFonts w:ascii="Arial" w:hAnsi="Arial" w:cs="Arial"/>
          <w:sz w:val="22"/>
          <w:szCs w:val="22"/>
        </w:rPr>
        <w:t>6.848/09,</w:t>
      </w:r>
      <w:r w:rsidR="0033085E" w:rsidRPr="00C21230">
        <w:rPr>
          <w:rFonts w:ascii="Arial" w:hAnsi="Arial" w:cs="Arial"/>
          <w:sz w:val="22"/>
          <w:szCs w:val="22"/>
        </w:rPr>
        <w:t xml:space="preserve"> defin</w:t>
      </w:r>
      <w:r>
        <w:rPr>
          <w:rFonts w:ascii="Arial" w:hAnsi="Arial" w:cs="Arial"/>
          <w:sz w:val="22"/>
          <w:szCs w:val="22"/>
        </w:rPr>
        <w:t>em</w:t>
      </w:r>
      <w:r w:rsidR="0033085E" w:rsidRPr="00C21230">
        <w:rPr>
          <w:rFonts w:ascii="Arial" w:hAnsi="Arial" w:cs="Arial"/>
          <w:sz w:val="22"/>
          <w:szCs w:val="22"/>
        </w:rPr>
        <w:t xml:space="preserve"> que o Valor da Compensação Ambiental (CA) deve ser calculado pelo produto do Grau de Impacto (GI) com o Valor de Referência (VR), de acordo com a fórmula: CA = VR x GI.</w:t>
      </w:r>
    </w:p>
    <w:p w:rsidR="00A206D2" w:rsidRDefault="0033085E" w:rsidP="00A206D2">
      <w:pPr>
        <w:pStyle w:val="SPE-Texto"/>
        <w:spacing w:before="120" w:after="120" w:line="240" w:lineRule="auto"/>
        <w:rPr>
          <w:rFonts w:ascii="Arial" w:hAnsi="Arial" w:cs="Arial"/>
          <w:sz w:val="22"/>
          <w:szCs w:val="22"/>
        </w:rPr>
      </w:pPr>
      <w:r w:rsidRPr="00A206D2">
        <w:rPr>
          <w:rFonts w:ascii="Arial" w:hAnsi="Arial" w:cs="Arial"/>
          <w:sz w:val="22"/>
          <w:szCs w:val="22"/>
        </w:rPr>
        <w:t xml:space="preserve">O Valor de Referência é entendido como “o somatório dos investimentos necessários para a implantação do empreendimento, não excluídos os investimentos referentes aos planos, projetos e programas exigidos no processo de licenciamento ambiental para a mitigação de impactos causados pelo empreendimento, bem como os encargos e custos incidentes sobre o financiamento do empreendimento, inclusive os relativos às garantias, e os custos com apólices e prêmios de seguros pessoais e reais”. </w:t>
      </w:r>
    </w:p>
    <w:p w:rsidR="000A6584" w:rsidRPr="00A206D2" w:rsidRDefault="000A6584" w:rsidP="000A6584">
      <w:pPr>
        <w:pStyle w:val="SPE-Texto"/>
        <w:spacing w:before="120" w:after="120" w:line="240" w:lineRule="auto"/>
        <w:rPr>
          <w:rFonts w:ascii="Arial" w:hAnsi="Arial" w:cs="Arial"/>
          <w:sz w:val="22"/>
          <w:szCs w:val="22"/>
        </w:rPr>
      </w:pPr>
      <w:r w:rsidRPr="00A206D2">
        <w:rPr>
          <w:rFonts w:ascii="Arial" w:hAnsi="Arial" w:cs="Arial"/>
          <w:sz w:val="22"/>
          <w:szCs w:val="22"/>
        </w:rPr>
        <w:t xml:space="preserve">O Grau de Impacto nos ecossistemas, conforme Decreto Federal nº 6.848/09, fica restrito entre os valores de 0 a 0,5% e deve ser calculado pelo órgão licenciador baseado na metodologia apresentada no Anexo do Decreto Federal </w:t>
      </w:r>
      <w:r w:rsidR="00810CA3">
        <w:rPr>
          <w:rFonts w:eastAsia="Batang"/>
          <w:lang w:eastAsia="en-US"/>
        </w:rPr>
        <w:t>n</w:t>
      </w:r>
      <w:r w:rsidR="00810CA3" w:rsidRPr="00F94909">
        <w:rPr>
          <w:rFonts w:eastAsia="Batang"/>
          <w:u w:val="single"/>
          <w:vertAlign w:val="superscript"/>
          <w:lang w:eastAsia="en-US"/>
        </w:rPr>
        <w:t>o</w:t>
      </w:r>
      <w:r w:rsidR="00810CA3" w:rsidRPr="00A206D2">
        <w:rPr>
          <w:rFonts w:ascii="Arial" w:hAnsi="Arial" w:cs="Arial"/>
          <w:sz w:val="22"/>
          <w:szCs w:val="22"/>
        </w:rPr>
        <w:t xml:space="preserve"> </w:t>
      </w:r>
      <w:r w:rsidRPr="00A206D2">
        <w:rPr>
          <w:rFonts w:ascii="Arial" w:hAnsi="Arial" w:cs="Arial"/>
          <w:sz w:val="22"/>
          <w:szCs w:val="22"/>
        </w:rPr>
        <w:t xml:space="preserve">6.848/09. </w:t>
      </w:r>
    </w:p>
    <w:p w:rsidR="007A08CD" w:rsidRPr="000A6584" w:rsidRDefault="00A206D2" w:rsidP="00A206D2">
      <w:pPr>
        <w:pStyle w:val="SPE-Texto"/>
        <w:spacing w:before="120" w:after="120" w:line="240" w:lineRule="auto"/>
        <w:rPr>
          <w:rFonts w:ascii="Arial" w:hAnsi="Arial" w:cs="Arial"/>
          <w:bCs/>
          <w:sz w:val="22"/>
          <w:szCs w:val="22"/>
        </w:rPr>
      </w:pPr>
      <w:r w:rsidRPr="000A6584">
        <w:rPr>
          <w:rFonts w:ascii="Arial" w:hAnsi="Arial" w:cs="Arial"/>
          <w:sz w:val="22"/>
          <w:szCs w:val="22"/>
        </w:rPr>
        <w:t>Para a</w:t>
      </w:r>
      <w:r w:rsidR="00516516" w:rsidRPr="000A6584">
        <w:rPr>
          <w:rFonts w:ascii="Arial" w:hAnsi="Arial" w:cs="Arial"/>
          <w:sz w:val="22"/>
          <w:szCs w:val="22"/>
        </w:rPr>
        <w:t xml:space="preserve"> Barrage</w:t>
      </w:r>
      <w:r w:rsidR="00C46936" w:rsidRPr="000A6584">
        <w:rPr>
          <w:rFonts w:ascii="Arial" w:hAnsi="Arial" w:cs="Arial"/>
          <w:sz w:val="22"/>
          <w:szCs w:val="22"/>
        </w:rPr>
        <w:t>m</w:t>
      </w:r>
      <w:r w:rsidR="00516516" w:rsidRPr="000A6584">
        <w:rPr>
          <w:rFonts w:ascii="Arial" w:hAnsi="Arial" w:cs="Arial"/>
          <w:sz w:val="22"/>
          <w:szCs w:val="22"/>
        </w:rPr>
        <w:t xml:space="preserve"> Pedreira </w:t>
      </w:r>
      <w:r w:rsidR="0033085E" w:rsidRPr="000A6584">
        <w:rPr>
          <w:rFonts w:ascii="Arial" w:hAnsi="Arial" w:cs="Arial"/>
          <w:sz w:val="22"/>
          <w:szCs w:val="22"/>
        </w:rPr>
        <w:t xml:space="preserve">o valor de referência </w:t>
      </w:r>
      <w:r w:rsidR="000A6584" w:rsidRPr="000A6584">
        <w:rPr>
          <w:rFonts w:ascii="Arial" w:hAnsi="Arial" w:cs="Arial"/>
          <w:sz w:val="22"/>
          <w:szCs w:val="22"/>
        </w:rPr>
        <w:t>para à</w:t>
      </w:r>
      <w:r w:rsidRPr="000A6584">
        <w:rPr>
          <w:rFonts w:ascii="Arial" w:hAnsi="Arial" w:cs="Arial"/>
          <w:sz w:val="22"/>
          <w:szCs w:val="22"/>
        </w:rPr>
        <w:t xml:space="preserve"> implantação</w:t>
      </w:r>
      <w:r w:rsidR="0033085E" w:rsidRPr="000A6584">
        <w:rPr>
          <w:rFonts w:ascii="Arial" w:hAnsi="Arial" w:cs="Arial"/>
          <w:sz w:val="22"/>
          <w:szCs w:val="22"/>
        </w:rPr>
        <w:t xml:space="preserve"> </w:t>
      </w:r>
      <w:r w:rsidR="007A08CD" w:rsidRPr="000A6584">
        <w:rPr>
          <w:rFonts w:ascii="Arial" w:hAnsi="Arial" w:cs="Arial"/>
          <w:sz w:val="22"/>
          <w:szCs w:val="22"/>
        </w:rPr>
        <w:t xml:space="preserve">das obras </w:t>
      </w:r>
      <w:r w:rsidR="000A6584">
        <w:rPr>
          <w:rFonts w:ascii="Arial" w:hAnsi="Arial" w:cs="Arial"/>
          <w:sz w:val="22"/>
          <w:szCs w:val="22"/>
        </w:rPr>
        <w:t xml:space="preserve">e execução dos Programas Ambientais propostos nos Estudos Ambientais (EIA/RIMA) </w:t>
      </w:r>
      <w:r w:rsidR="000A6584" w:rsidRPr="000A6584">
        <w:rPr>
          <w:rFonts w:ascii="Arial" w:hAnsi="Arial" w:cs="Arial"/>
          <w:sz w:val="22"/>
          <w:szCs w:val="22"/>
        </w:rPr>
        <w:t>foi</w:t>
      </w:r>
      <w:r w:rsidRPr="000A6584">
        <w:rPr>
          <w:rFonts w:ascii="Arial" w:hAnsi="Arial" w:cs="Arial"/>
          <w:sz w:val="22"/>
          <w:szCs w:val="22"/>
        </w:rPr>
        <w:t xml:space="preserve"> estimado em </w:t>
      </w:r>
      <w:r w:rsidR="0033085E" w:rsidRPr="000A6584">
        <w:rPr>
          <w:rFonts w:ascii="Arial" w:hAnsi="Arial" w:cs="Arial"/>
          <w:b/>
          <w:sz w:val="22"/>
          <w:szCs w:val="22"/>
        </w:rPr>
        <w:t>R$</w:t>
      </w:r>
      <w:r w:rsidR="000A6584">
        <w:rPr>
          <w:rFonts w:ascii="Arial" w:hAnsi="Arial" w:cs="Arial"/>
          <w:b/>
          <w:bCs/>
          <w:sz w:val="22"/>
          <w:szCs w:val="22"/>
        </w:rPr>
        <w:t>500.485.199</w:t>
      </w:r>
      <w:r w:rsidR="00C46936" w:rsidRPr="000A6584">
        <w:rPr>
          <w:rFonts w:ascii="Arial" w:hAnsi="Arial" w:cs="Arial"/>
          <w:b/>
          <w:bCs/>
          <w:sz w:val="22"/>
          <w:szCs w:val="22"/>
        </w:rPr>
        <w:t xml:space="preserve"> </w:t>
      </w:r>
      <w:r w:rsidR="00C46936" w:rsidRPr="000A6584">
        <w:rPr>
          <w:rFonts w:ascii="Arial" w:hAnsi="Arial" w:cs="Arial"/>
          <w:bCs/>
          <w:sz w:val="22"/>
          <w:szCs w:val="22"/>
        </w:rPr>
        <w:t>e</w:t>
      </w:r>
      <w:r w:rsidR="00C46936" w:rsidRPr="000A6584">
        <w:rPr>
          <w:rFonts w:ascii="Arial" w:hAnsi="Arial" w:cs="Arial"/>
          <w:b/>
          <w:bCs/>
          <w:sz w:val="22"/>
          <w:szCs w:val="22"/>
        </w:rPr>
        <w:t xml:space="preserve"> </w:t>
      </w:r>
      <w:r w:rsidR="00C46936" w:rsidRPr="000A6584">
        <w:rPr>
          <w:rFonts w:ascii="Arial" w:hAnsi="Arial" w:cs="Arial"/>
          <w:bCs/>
          <w:sz w:val="22"/>
          <w:szCs w:val="22"/>
        </w:rPr>
        <w:t>no caso d</w:t>
      </w:r>
      <w:r w:rsidR="00C46936" w:rsidRPr="000A6584">
        <w:rPr>
          <w:rFonts w:ascii="Arial" w:hAnsi="Arial" w:cs="Arial"/>
          <w:sz w:val="22"/>
          <w:szCs w:val="22"/>
        </w:rPr>
        <w:t xml:space="preserve">a Barragem Duas Pontes </w:t>
      </w:r>
      <w:r w:rsidR="000A6584" w:rsidRPr="000A6584">
        <w:rPr>
          <w:rFonts w:ascii="Arial" w:hAnsi="Arial" w:cs="Arial"/>
          <w:sz w:val="22"/>
          <w:szCs w:val="22"/>
        </w:rPr>
        <w:t xml:space="preserve">em </w:t>
      </w:r>
      <w:r w:rsidR="00C46936" w:rsidRPr="000A6584">
        <w:rPr>
          <w:rFonts w:ascii="Arial" w:hAnsi="Arial" w:cs="Arial"/>
          <w:b/>
          <w:sz w:val="22"/>
          <w:szCs w:val="22"/>
        </w:rPr>
        <w:t>R$</w:t>
      </w:r>
      <w:r w:rsidR="00C46936" w:rsidRPr="000A6584">
        <w:rPr>
          <w:rFonts w:ascii="Arial" w:hAnsi="Arial" w:cs="Arial"/>
          <w:sz w:val="22"/>
          <w:szCs w:val="22"/>
        </w:rPr>
        <w:t xml:space="preserve"> </w:t>
      </w:r>
      <w:r w:rsidR="000A6584">
        <w:rPr>
          <w:rFonts w:ascii="Arial" w:hAnsi="Arial" w:cs="Arial"/>
          <w:b/>
          <w:bCs/>
          <w:sz w:val="22"/>
          <w:szCs w:val="22"/>
        </w:rPr>
        <w:t>511.323.802</w:t>
      </w:r>
      <w:r w:rsidR="004D2D4F" w:rsidRPr="000A6584">
        <w:rPr>
          <w:rFonts w:ascii="Arial" w:hAnsi="Arial" w:cs="Arial"/>
          <w:b/>
          <w:bCs/>
          <w:sz w:val="22"/>
          <w:szCs w:val="22"/>
        </w:rPr>
        <w:t xml:space="preserve"> </w:t>
      </w:r>
      <w:r w:rsidR="00C46936" w:rsidRPr="000A6584">
        <w:rPr>
          <w:rFonts w:ascii="Arial" w:hAnsi="Arial" w:cs="Arial"/>
          <w:bCs/>
          <w:sz w:val="22"/>
          <w:szCs w:val="22"/>
        </w:rPr>
        <w:t>(</w:t>
      </w:r>
      <w:r w:rsidR="007A08CD" w:rsidRPr="000A6584">
        <w:rPr>
          <w:rFonts w:ascii="Arial" w:hAnsi="Arial" w:cs="Arial"/>
          <w:bCs/>
          <w:sz w:val="22"/>
          <w:szCs w:val="22"/>
        </w:rPr>
        <w:t xml:space="preserve">ambos com </w:t>
      </w:r>
      <w:r w:rsidR="00C46936" w:rsidRPr="000A6584">
        <w:rPr>
          <w:rFonts w:ascii="Arial" w:hAnsi="Arial" w:cs="Arial"/>
          <w:bCs/>
          <w:sz w:val="22"/>
          <w:szCs w:val="22"/>
        </w:rPr>
        <w:t>base</w:t>
      </w:r>
      <w:r w:rsidR="000A6584">
        <w:rPr>
          <w:rFonts w:ascii="Arial" w:hAnsi="Arial" w:cs="Arial"/>
          <w:bCs/>
          <w:sz w:val="22"/>
          <w:szCs w:val="22"/>
        </w:rPr>
        <w:t xml:space="preserve"> março de 2015.</w:t>
      </w:r>
      <w:r w:rsidR="00C46936" w:rsidRPr="000A6584">
        <w:rPr>
          <w:rFonts w:ascii="Arial" w:hAnsi="Arial" w:cs="Arial"/>
          <w:bCs/>
          <w:sz w:val="22"/>
          <w:szCs w:val="22"/>
        </w:rPr>
        <w:t xml:space="preserve"> </w:t>
      </w:r>
    </w:p>
    <w:p w:rsidR="00A206D2" w:rsidRPr="00A206D2" w:rsidRDefault="00F72F42" w:rsidP="00A206D2">
      <w:pPr>
        <w:pStyle w:val="SPE-Texto"/>
        <w:spacing w:before="120" w:after="120" w:line="240" w:lineRule="auto"/>
        <w:rPr>
          <w:rFonts w:ascii="Arial" w:hAnsi="Arial" w:cs="Arial"/>
          <w:b/>
          <w:bCs/>
          <w:sz w:val="22"/>
          <w:szCs w:val="22"/>
        </w:rPr>
      </w:pPr>
      <w:r w:rsidRPr="00F72F42">
        <w:rPr>
          <w:rFonts w:ascii="Arial" w:hAnsi="Arial" w:cs="Arial"/>
          <w:bCs/>
          <w:sz w:val="22"/>
          <w:szCs w:val="22"/>
        </w:rPr>
        <w:t>Para a estimativa do valor da Compensação Ambiental se considerou</w:t>
      </w:r>
      <w:r w:rsidR="007A08CD" w:rsidRPr="00F72F42">
        <w:rPr>
          <w:rFonts w:ascii="Arial" w:hAnsi="Arial" w:cs="Arial"/>
          <w:bCs/>
          <w:sz w:val="22"/>
          <w:szCs w:val="22"/>
        </w:rPr>
        <w:t xml:space="preserve"> o valor máximo de 0,5%</w:t>
      </w:r>
      <w:r w:rsidR="009941AC" w:rsidRPr="00F72F42">
        <w:rPr>
          <w:rFonts w:ascii="Arial" w:hAnsi="Arial" w:cs="Arial"/>
          <w:bCs/>
          <w:sz w:val="22"/>
          <w:szCs w:val="22"/>
        </w:rPr>
        <w:t xml:space="preserve">, </w:t>
      </w:r>
      <w:r w:rsidRPr="00F72F42">
        <w:rPr>
          <w:rFonts w:ascii="Arial" w:hAnsi="Arial" w:cs="Arial"/>
          <w:bCs/>
          <w:sz w:val="22"/>
          <w:szCs w:val="22"/>
        </w:rPr>
        <w:t xml:space="preserve">o qual já se encontra incorporado no custo total, correspondendo a </w:t>
      </w:r>
      <w:r w:rsidR="007A08CD" w:rsidRPr="00F72F42">
        <w:rPr>
          <w:rFonts w:ascii="Arial" w:hAnsi="Arial" w:cs="Arial"/>
          <w:bCs/>
          <w:sz w:val="22"/>
          <w:szCs w:val="22"/>
        </w:rPr>
        <w:t>cerca de R$</w:t>
      </w:r>
      <w:r w:rsidRPr="00F72F42">
        <w:rPr>
          <w:rFonts w:ascii="Arial" w:hAnsi="Arial" w:cs="Arial"/>
          <w:bCs/>
          <w:sz w:val="22"/>
          <w:szCs w:val="22"/>
        </w:rPr>
        <w:t>2.502.426 e R$2.556.619</w:t>
      </w:r>
      <w:r w:rsidR="007A08CD" w:rsidRPr="00F72F42">
        <w:rPr>
          <w:rFonts w:ascii="Arial" w:hAnsi="Arial" w:cs="Arial"/>
          <w:bCs/>
          <w:sz w:val="22"/>
          <w:szCs w:val="22"/>
        </w:rPr>
        <w:t xml:space="preserve"> respectivamente.</w:t>
      </w:r>
      <w:r w:rsidR="007A08CD">
        <w:rPr>
          <w:rFonts w:ascii="Arial" w:hAnsi="Arial" w:cs="Arial"/>
          <w:bCs/>
          <w:sz w:val="22"/>
          <w:szCs w:val="22"/>
        </w:rPr>
        <w:t xml:space="preserve"> </w:t>
      </w:r>
    </w:p>
    <w:p w:rsidR="0033085E" w:rsidRPr="00FD2308" w:rsidRDefault="0033085E" w:rsidP="00431A97">
      <w:pPr>
        <w:pStyle w:val="Ttulo3"/>
        <w:numPr>
          <w:ilvl w:val="3"/>
          <w:numId w:val="84"/>
        </w:numPr>
        <w:rPr>
          <w:rFonts w:ascii="Arial Negrito" w:hAnsi="Arial Negrito"/>
          <w:bCs/>
        </w:rPr>
      </w:pPr>
      <w:bookmarkStart w:id="1323" w:name="_Toc370923509"/>
      <w:bookmarkStart w:id="1324" w:name="_Toc370985635"/>
      <w:bookmarkStart w:id="1325" w:name="_Toc418758507"/>
      <w:bookmarkStart w:id="1326" w:name="_Toc418759109"/>
      <w:bookmarkStart w:id="1327" w:name="_Toc419813894"/>
      <w:r w:rsidRPr="00FD2308">
        <w:rPr>
          <w:rFonts w:ascii="Arial Negrito" w:hAnsi="Arial Negrito"/>
          <w:bCs/>
        </w:rPr>
        <w:t>Critérios Adotados na Elaboração das Propostas de Alocação de Recursos de Compensação Ambiental</w:t>
      </w:r>
      <w:bookmarkEnd w:id="1323"/>
      <w:bookmarkEnd w:id="1324"/>
      <w:bookmarkEnd w:id="1325"/>
      <w:bookmarkEnd w:id="1326"/>
      <w:bookmarkEnd w:id="1327"/>
    </w:p>
    <w:p w:rsidR="0033085E" w:rsidRPr="00C21230" w:rsidRDefault="0033085E" w:rsidP="0033085E">
      <w:pPr>
        <w:pStyle w:val="SPE-Texto"/>
        <w:spacing w:before="120" w:after="120" w:line="240" w:lineRule="auto"/>
        <w:rPr>
          <w:rFonts w:ascii="Arial" w:hAnsi="Arial" w:cs="Arial"/>
          <w:sz w:val="22"/>
          <w:szCs w:val="22"/>
        </w:rPr>
      </w:pPr>
      <w:r w:rsidRPr="00C21230">
        <w:rPr>
          <w:rFonts w:ascii="Arial" w:hAnsi="Arial" w:cs="Arial"/>
          <w:sz w:val="22"/>
          <w:szCs w:val="22"/>
        </w:rPr>
        <w:t xml:space="preserve">A decisão sobre a Unidade de Conservação a ser atendida pelo presente Programa e as prioridades de alocação dos recursos </w:t>
      </w:r>
      <w:r>
        <w:rPr>
          <w:rFonts w:ascii="Arial" w:hAnsi="Arial" w:cs="Arial"/>
          <w:sz w:val="22"/>
          <w:szCs w:val="22"/>
        </w:rPr>
        <w:t>devem ser</w:t>
      </w:r>
      <w:r w:rsidRPr="00C21230">
        <w:rPr>
          <w:rFonts w:ascii="Arial" w:hAnsi="Arial" w:cs="Arial"/>
          <w:sz w:val="22"/>
          <w:szCs w:val="22"/>
        </w:rPr>
        <w:t xml:space="preserve"> pautadas </w:t>
      </w:r>
      <w:r>
        <w:rPr>
          <w:rFonts w:ascii="Arial" w:hAnsi="Arial" w:cs="Arial"/>
          <w:sz w:val="22"/>
          <w:szCs w:val="22"/>
        </w:rPr>
        <w:t>pelo</w:t>
      </w:r>
      <w:r w:rsidRPr="00C21230">
        <w:rPr>
          <w:rFonts w:ascii="Arial" w:hAnsi="Arial" w:cs="Arial"/>
          <w:sz w:val="22"/>
          <w:szCs w:val="22"/>
        </w:rPr>
        <w:t xml:space="preserve">s critérios definidos pelo Artigo 33 do Decreto Federal </w:t>
      </w:r>
      <w:r w:rsidR="00810CA3">
        <w:rPr>
          <w:rFonts w:eastAsia="Batang"/>
          <w:lang w:eastAsia="en-US"/>
        </w:rPr>
        <w:t>n</w:t>
      </w:r>
      <w:r w:rsidR="00810CA3" w:rsidRPr="00F94909">
        <w:rPr>
          <w:rFonts w:eastAsia="Batang"/>
          <w:u w:val="single"/>
          <w:vertAlign w:val="superscript"/>
          <w:lang w:eastAsia="en-US"/>
        </w:rPr>
        <w:t>o</w:t>
      </w:r>
      <w:r w:rsidR="00810CA3" w:rsidRPr="00C21230">
        <w:rPr>
          <w:rFonts w:ascii="Arial" w:hAnsi="Arial" w:cs="Arial"/>
          <w:sz w:val="22"/>
          <w:szCs w:val="22"/>
        </w:rPr>
        <w:t xml:space="preserve"> </w:t>
      </w:r>
      <w:r w:rsidRPr="00C21230">
        <w:rPr>
          <w:rFonts w:ascii="Arial" w:hAnsi="Arial" w:cs="Arial"/>
          <w:sz w:val="22"/>
          <w:szCs w:val="22"/>
        </w:rPr>
        <w:t xml:space="preserve">4.340/2002 que regulamenta a Lei Federal </w:t>
      </w:r>
      <w:r w:rsidR="00810CA3">
        <w:rPr>
          <w:rFonts w:eastAsia="Batang"/>
          <w:lang w:eastAsia="en-US"/>
        </w:rPr>
        <w:t>n</w:t>
      </w:r>
      <w:r w:rsidR="00810CA3" w:rsidRPr="00F94909">
        <w:rPr>
          <w:rFonts w:eastAsia="Batang"/>
          <w:u w:val="single"/>
          <w:vertAlign w:val="superscript"/>
          <w:lang w:eastAsia="en-US"/>
        </w:rPr>
        <w:t>o</w:t>
      </w:r>
      <w:r w:rsidR="00810CA3" w:rsidRPr="00C21230">
        <w:rPr>
          <w:rFonts w:ascii="Arial" w:hAnsi="Arial" w:cs="Arial"/>
          <w:sz w:val="22"/>
          <w:szCs w:val="22"/>
        </w:rPr>
        <w:t xml:space="preserve"> </w:t>
      </w:r>
      <w:r w:rsidRPr="00C21230">
        <w:rPr>
          <w:rFonts w:ascii="Arial" w:hAnsi="Arial" w:cs="Arial"/>
          <w:sz w:val="22"/>
          <w:szCs w:val="22"/>
        </w:rPr>
        <w:t>9.985/2000 a seguir transcrito:</w:t>
      </w:r>
    </w:p>
    <w:p w:rsidR="0033085E" w:rsidRPr="00C21230" w:rsidRDefault="0033085E" w:rsidP="00E61F56">
      <w:pPr>
        <w:pStyle w:val="SPE-Texto"/>
        <w:spacing w:before="120" w:after="120" w:line="240" w:lineRule="auto"/>
        <w:rPr>
          <w:rFonts w:ascii="Arial" w:hAnsi="Arial" w:cs="Arial"/>
          <w:sz w:val="22"/>
          <w:szCs w:val="22"/>
        </w:rPr>
      </w:pPr>
      <w:r w:rsidRPr="00C21230">
        <w:rPr>
          <w:rFonts w:ascii="Arial" w:hAnsi="Arial" w:cs="Arial"/>
          <w:sz w:val="22"/>
          <w:szCs w:val="22"/>
        </w:rPr>
        <w:t>Art. 33: A aplicação dos recursos da compensação ambiental de que trata o Art</w:t>
      </w:r>
      <w:r w:rsidR="00E61F56">
        <w:rPr>
          <w:rFonts w:ascii="Arial" w:hAnsi="Arial" w:cs="Arial"/>
          <w:sz w:val="22"/>
          <w:szCs w:val="22"/>
        </w:rPr>
        <w:t>.</w:t>
      </w:r>
      <w:r w:rsidRPr="00C21230">
        <w:rPr>
          <w:rFonts w:ascii="Arial" w:hAnsi="Arial" w:cs="Arial"/>
          <w:sz w:val="22"/>
          <w:szCs w:val="22"/>
        </w:rPr>
        <w:t xml:space="preserve"> 36 da Lei </w:t>
      </w:r>
      <w:r w:rsidR="00810CA3">
        <w:rPr>
          <w:rFonts w:eastAsia="Batang"/>
          <w:lang w:eastAsia="en-US"/>
        </w:rPr>
        <w:t>n</w:t>
      </w:r>
      <w:r w:rsidR="00810CA3" w:rsidRPr="00F94909">
        <w:rPr>
          <w:rFonts w:eastAsia="Batang"/>
          <w:u w:val="single"/>
          <w:vertAlign w:val="superscript"/>
          <w:lang w:eastAsia="en-US"/>
        </w:rPr>
        <w:t>o</w:t>
      </w:r>
      <w:r w:rsidR="00810CA3" w:rsidRPr="00C21230">
        <w:rPr>
          <w:rFonts w:ascii="Arial" w:hAnsi="Arial" w:cs="Arial"/>
          <w:sz w:val="22"/>
          <w:szCs w:val="22"/>
        </w:rPr>
        <w:t xml:space="preserve"> </w:t>
      </w:r>
      <w:r w:rsidRPr="00C21230">
        <w:rPr>
          <w:rFonts w:ascii="Arial" w:hAnsi="Arial" w:cs="Arial"/>
          <w:sz w:val="22"/>
          <w:szCs w:val="22"/>
        </w:rPr>
        <w:t>9.985, de 2000, nas unidades de conservação, existentes ou a serem criadas, deve obedecer à seguinte ordem de prioridade:</w:t>
      </w:r>
    </w:p>
    <w:p w:rsidR="0033085E" w:rsidRPr="00C21230" w:rsidRDefault="0033085E" w:rsidP="00492964">
      <w:pPr>
        <w:pStyle w:val="SPE-Texto"/>
        <w:tabs>
          <w:tab w:val="left" w:pos="567"/>
        </w:tabs>
        <w:spacing w:before="120" w:after="120" w:line="240" w:lineRule="auto"/>
        <w:ind w:right="283"/>
        <w:rPr>
          <w:rFonts w:ascii="Arial" w:hAnsi="Arial" w:cs="Arial"/>
          <w:sz w:val="22"/>
          <w:szCs w:val="22"/>
        </w:rPr>
      </w:pPr>
      <w:r w:rsidRPr="00C21230">
        <w:rPr>
          <w:rFonts w:ascii="Arial" w:hAnsi="Arial" w:cs="Arial"/>
          <w:sz w:val="22"/>
          <w:szCs w:val="22"/>
        </w:rPr>
        <w:t xml:space="preserve">I </w:t>
      </w:r>
      <w:r w:rsidR="00492964">
        <w:rPr>
          <w:rFonts w:ascii="Arial" w:hAnsi="Arial" w:cs="Arial"/>
          <w:sz w:val="22"/>
          <w:szCs w:val="22"/>
        </w:rPr>
        <w:t>-</w:t>
      </w:r>
      <w:r w:rsidR="00492964">
        <w:rPr>
          <w:rFonts w:ascii="Arial" w:hAnsi="Arial" w:cs="Arial"/>
          <w:sz w:val="22"/>
          <w:szCs w:val="22"/>
        </w:rPr>
        <w:tab/>
      </w:r>
      <w:r w:rsidRPr="00C21230">
        <w:rPr>
          <w:rFonts w:ascii="Arial" w:hAnsi="Arial" w:cs="Arial"/>
          <w:sz w:val="22"/>
          <w:szCs w:val="22"/>
        </w:rPr>
        <w:t>Regularização fundiária e demarcação das terras;</w:t>
      </w:r>
    </w:p>
    <w:p w:rsidR="0033085E" w:rsidRPr="00C21230" w:rsidRDefault="0033085E" w:rsidP="00492964">
      <w:pPr>
        <w:pStyle w:val="SPE-Texto"/>
        <w:tabs>
          <w:tab w:val="left" w:pos="567"/>
        </w:tabs>
        <w:spacing w:before="120" w:after="120" w:line="240" w:lineRule="auto"/>
        <w:ind w:right="283"/>
        <w:rPr>
          <w:rFonts w:ascii="Arial" w:hAnsi="Arial" w:cs="Arial"/>
          <w:sz w:val="22"/>
          <w:szCs w:val="22"/>
        </w:rPr>
      </w:pPr>
      <w:r w:rsidRPr="00C21230">
        <w:rPr>
          <w:rFonts w:ascii="Arial" w:hAnsi="Arial" w:cs="Arial"/>
          <w:sz w:val="22"/>
          <w:szCs w:val="22"/>
        </w:rPr>
        <w:t xml:space="preserve">II </w:t>
      </w:r>
      <w:r w:rsidR="00492964">
        <w:rPr>
          <w:rFonts w:ascii="Arial" w:hAnsi="Arial" w:cs="Arial"/>
          <w:sz w:val="22"/>
          <w:szCs w:val="22"/>
        </w:rPr>
        <w:t>-</w:t>
      </w:r>
      <w:r w:rsidR="00492964">
        <w:rPr>
          <w:rFonts w:ascii="Arial" w:hAnsi="Arial" w:cs="Arial"/>
          <w:sz w:val="22"/>
          <w:szCs w:val="22"/>
        </w:rPr>
        <w:tab/>
      </w:r>
      <w:r w:rsidRPr="00C21230">
        <w:rPr>
          <w:rFonts w:ascii="Arial" w:hAnsi="Arial" w:cs="Arial"/>
          <w:sz w:val="22"/>
          <w:szCs w:val="22"/>
        </w:rPr>
        <w:t>Elaboração, revisão ou implantação de plano de manejo;</w:t>
      </w:r>
    </w:p>
    <w:p w:rsidR="0033085E" w:rsidRPr="00C21230" w:rsidRDefault="0033085E" w:rsidP="00492964">
      <w:pPr>
        <w:pStyle w:val="SPE-Texto"/>
        <w:tabs>
          <w:tab w:val="left" w:pos="567"/>
        </w:tabs>
        <w:spacing w:before="120" w:after="120" w:line="240" w:lineRule="auto"/>
        <w:ind w:left="567" w:right="283" w:hanging="567"/>
        <w:rPr>
          <w:rFonts w:ascii="Arial" w:hAnsi="Arial" w:cs="Arial"/>
          <w:sz w:val="22"/>
          <w:szCs w:val="22"/>
        </w:rPr>
      </w:pPr>
      <w:r w:rsidRPr="00C21230">
        <w:rPr>
          <w:rFonts w:ascii="Arial" w:hAnsi="Arial" w:cs="Arial"/>
          <w:sz w:val="22"/>
          <w:szCs w:val="22"/>
        </w:rPr>
        <w:t xml:space="preserve">III </w:t>
      </w:r>
      <w:r w:rsidR="00492964">
        <w:rPr>
          <w:rFonts w:ascii="Arial" w:hAnsi="Arial" w:cs="Arial"/>
          <w:sz w:val="22"/>
          <w:szCs w:val="22"/>
        </w:rPr>
        <w:t>-</w:t>
      </w:r>
      <w:r w:rsidR="00492964">
        <w:rPr>
          <w:rFonts w:ascii="Arial" w:hAnsi="Arial" w:cs="Arial"/>
          <w:sz w:val="22"/>
          <w:szCs w:val="22"/>
        </w:rPr>
        <w:tab/>
      </w:r>
      <w:r w:rsidRPr="00C21230">
        <w:rPr>
          <w:rFonts w:ascii="Arial" w:hAnsi="Arial" w:cs="Arial"/>
          <w:sz w:val="22"/>
          <w:szCs w:val="22"/>
        </w:rPr>
        <w:t>Aquisição de bens e serviços necessários à implantação, gestão, monitoramento e proteção da unidade, compreendendo sua área de amortecimento;</w:t>
      </w:r>
    </w:p>
    <w:p w:rsidR="0033085E" w:rsidRPr="00C21230" w:rsidRDefault="0033085E" w:rsidP="00492964">
      <w:pPr>
        <w:pStyle w:val="SPE-Texto"/>
        <w:tabs>
          <w:tab w:val="left" w:pos="567"/>
        </w:tabs>
        <w:spacing w:before="120" w:after="120" w:line="240" w:lineRule="auto"/>
        <w:ind w:right="283"/>
        <w:rPr>
          <w:rFonts w:ascii="Arial" w:hAnsi="Arial" w:cs="Arial"/>
          <w:sz w:val="22"/>
          <w:szCs w:val="22"/>
        </w:rPr>
      </w:pPr>
      <w:r w:rsidRPr="00C21230">
        <w:rPr>
          <w:rFonts w:ascii="Arial" w:hAnsi="Arial" w:cs="Arial"/>
          <w:sz w:val="22"/>
          <w:szCs w:val="22"/>
        </w:rPr>
        <w:t xml:space="preserve">IV </w:t>
      </w:r>
      <w:r w:rsidR="00492964">
        <w:rPr>
          <w:rFonts w:ascii="Arial" w:hAnsi="Arial" w:cs="Arial"/>
          <w:sz w:val="22"/>
          <w:szCs w:val="22"/>
        </w:rPr>
        <w:t>-</w:t>
      </w:r>
      <w:r w:rsidR="00492964">
        <w:rPr>
          <w:rFonts w:ascii="Arial" w:hAnsi="Arial" w:cs="Arial"/>
          <w:sz w:val="22"/>
          <w:szCs w:val="22"/>
        </w:rPr>
        <w:tab/>
      </w:r>
      <w:r w:rsidRPr="00C21230">
        <w:rPr>
          <w:rFonts w:ascii="Arial" w:hAnsi="Arial" w:cs="Arial"/>
          <w:sz w:val="22"/>
          <w:szCs w:val="22"/>
        </w:rPr>
        <w:t>Desenvolvimento de estudos necessários à criação de nova unidade de conservação;</w:t>
      </w:r>
    </w:p>
    <w:p w:rsidR="0033085E" w:rsidRPr="00C21230" w:rsidRDefault="0033085E" w:rsidP="00492964">
      <w:pPr>
        <w:pStyle w:val="SPE-Texto"/>
        <w:tabs>
          <w:tab w:val="left" w:pos="567"/>
        </w:tabs>
        <w:spacing w:before="120" w:after="120" w:line="240" w:lineRule="auto"/>
        <w:ind w:left="567" w:right="283" w:hanging="567"/>
        <w:rPr>
          <w:rFonts w:ascii="Arial" w:hAnsi="Arial" w:cs="Arial"/>
          <w:sz w:val="22"/>
          <w:szCs w:val="22"/>
        </w:rPr>
      </w:pPr>
      <w:r w:rsidRPr="00C21230">
        <w:rPr>
          <w:rFonts w:ascii="Arial" w:hAnsi="Arial" w:cs="Arial"/>
          <w:sz w:val="22"/>
          <w:szCs w:val="22"/>
        </w:rPr>
        <w:t xml:space="preserve">V </w:t>
      </w:r>
      <w:r w:rsidR="00492964">
        <w:rPr>
          <w:rFonts w:ascii="Arial" w:hAnsi="Arial" w:cs="Arial"/>
          <w:sz w:val="22"/>
          <w:szCs w:val="22"/>
        </w:rPr>
        <w:t>-</w:t>
      </w:r>
      <w:r w:rsidR="00492964">
        <w:rPr>
          <w:rFonts w:ascii="Arial" w:hAnsi="Arial" w:cs="Arial"/>
          <w:sz w:val="22"/>
          <w:szCs w:val="22"/>
        </w:rPr>
        <w:tab/>
      </w:r>
      <w:r w:rsidRPr="00C21230">
        <w:rPr>
          <w:rFonts w:ascii="Arial" w:hAnsi="Arial" w:cs="Arial"/>
          <w:sz w:val="22"/>
          <w:szCs w:val="22"/>
        </w:rPr>
        <w:t>Desenvolvimento de pesquisas necessárias para o manejo da unidade de conservação e zona de amortecimento.</w:t>
      </w:r>
    </w:p>
    <w:p w:rsidR="0033085E" w:rsidRPr="00FD2308" w:rsidRDefault="0033085E" w:rsidP="00431A97">
      <w:pPr>
        <w:pStyle w:val="Ttulo3"/>
        <w:numPr>
          <w:ilvl w:val="3"/>
          <w:numId w:val="84"/>
        </w:numPr>
        <w:rPr>
          <w:rFonts w:ascii="Arial Negrito" w:hAnsi="Arial Negrito"/>
          <w:bCs/>
        </w:rPr>
      </w:pPr>
      <w:bookmarkStart w:id="1328" w:name="_Toc370810527"/>
      <w:bookmarkStart w:id="1329" w:name="_Toc370923510"/>
      <w:bookmarkStart w:id="1330" w:name="_Toc370985636"/>
      <w:bookmarkStart w:id="1331" w:name="_Toc418758508"/>
      <w:bookmarkStart w:id="1332" w:name="_Toc418759110"/>
      <w:bookmarkStart w:id="1333" w:name="_Toc419813895"/>
      <w:r w:rsidRPr="00FD2308">
        <w:rPr>
          <w:rFonts w:ascii="Arial Negrito" w:hAnsi="Arial Negrito"/>
          <w:bCs/>
        </w:rPr>
        <w:t>Indicadores Ambientais</w:t>
      </w:r>
      <w:bookmarkEnd w:id="1328"/>
      <w:bookmarkEnd w:id="1329"/>
      <w:bookmarkEnd w:id="1330"/>
      <w:bookmarkEnd w:id="1331"/>
      <w:bookmarkEnd w:id="1332"/>
      <w:bookmarkEnd w:id="1333"/>
    </w:p>
    <w:p w:rsidR="0033085E" w:rsidRPr="0053177A" w:rsidRDefault="0033085E" w:rsidP="0033085E">
      <w:pPr>
        <w:pStyle w:val="SPE-Texto"/>
        <w:spacing w:before="120" w:after="120"/>
        <w:rPr>
          <w:rFonts w:ascii="Arial" w:hAnsi="Arial" w:cs="Arial"/>
          <w:sz w:val="22"/>
          <w:szCs w:val="22"/>
        </w:rPr>
      </w:pPr>
      <w:r w:rsidRPr="0053177A">
        <w:rPr>
          <w:rFonts w:ascii="Arial" w:hAnsi="Arial" w:cs="Arial"/>
          <w:sz w:val="22"/>
          <w:szCs w:val="22"/>
        </w:rPr>
        <w:t xml:space="preserve">Não </w:t>
      </w:r>
      <w:r w:rsidR="00522022" w:rsidRPr="0053177A">
        <w:rPr>
          <w:rFonts w:ascii="Arial" w:hAnsi="Arial" w:cs="Arial"/>
          <w:sz w:val="22"/>
          <w:szCs w:val="22"/>
        </w:rPr>
        <w:t>s</w:t>
      </w:r>
      <w:r w:rsidRPr="0053177A">
        <w:rPr>
          <w:rFonts w:ascii="Arial" w:hAnsi="Arial" w:cs="Arial"/>
          <w:sz w:val="22"/>
          <w:szCs w:val="22"/>
        </w:rPr>
        <w:t>e aplicam indicadores ambientais para esse programa ambiental.</w:t>
      </w:r>
    </w:p>
    <w:p w:rsidR="0033085E" w:rsidRPr="00FD2308" w:rsidRDefault="0033085E" w:rsidP="00431A97">
      <w:pPr>
        <w:pStyle w:val="Ttulo3"/>
        <w:numPr>
          <w:ilvl w:val="3"/>
          <w:numId w:val="84"/>
        </w:numPr>
        <w:rPr>
          <w:rFonts w:ascii="Arial Negrito" w:hAnsi="Arial Negrito"/>
          <w:bCs/>
        </w:rPr>
      </w:pPr>
      <w:bookmarkStart w:id="1334" w:name="_Toc370810528"/>
      <w:bookmarkStart w:id="1335" w:name="_Toc370923511"/>
      <w:bookmarkStart w:id="1336" w:name="_Toc370985637"/>
      <w:bookmarkStart w:id="1337" w:name="_Toc418758509"/>
      <w:bookmarkStart w:id="1338" w:name="_Toc418759111"/>
      <w:bookmarkStart w:id="1339" w:name="_Toc419813896"/>
      <w:r w:rsidRPr="00FD2308">
        <w:rPr>
          <w:rFonts w:ascii="Arial Negrito" w:hAnsi="Arial Negrito"/>
          <w:bCs/>
        </w:rPr>
        <w:t>Recursos Materiais e Humanos</w:t>
      </w:r>
      <w:bookmarkEnd w:id="1334"/>
      <w:bookmarkEnd w:id="1335"/>
      <w:bookmarkEnd w:id="1336"/>
      <w:bookmarkEnd w:id="1337"/>
      <w:bookmarkEnd w:id="1338"/>
      <w:bookmarkEnd w:id="1339"/>
    </w:p>
    <w:p w:rsidR="0033085E" w:rsidRPr="00C21230" w:rsidRDefault="0033085E" w:rsidP="0033085E">
      <w:pPr>
        <w:pStyle w:val="SPE-Texto"/>
        <w:spacing w:before="120" w:after="120"/>
        <w:rPr>
          <w:rFonts w:ascii="Arial" w:hAnsi="Arial" w:cs="Arial"/>
          <w:sz w:val="22"/>
          <w:szCs w:val="22"/>
        </w:rPr>
      </w:pPr>
      <w:r w:rsidRPr="00C21230">
        <w:rPr>
          <w:rFonts w:ascii="Arial" w:hAnsi="Arial" w:cs="Arial"/>
          <w:sz w:val="22"/>
          <w:szCs w:val="22"/>
        </w:rPr>
        <w:t>O Empreendedor deverá contratar os serviços de profissionais técnicos especializados para o estabelecimento do Termo de Compromisso de Compensação Ambiental.</w:t>
      </w:r>
      <w:r>
        <w:rPr>
          <w:rFonts w:ascii="Arial" w:hAnsi="Arial" w:cs="Arial"/>
          <w:sz w:val="22"/>
          <w:szCs w:val="22"/>
        </w:rPr>
        <w:t xml:space="preserve"> </w:t>
      </w:r>
      <w:r w:rsidRPr="00C21230">
        <w:rPr>
          <w:rFonts w:ascii="Arial" w:hAnsi="Arial" w:cs="Arial"/>
          <w:sz w:val="22"/>
          <w:szCs w:val="22"/>
        </w:rPr>
        <w:t xml:space="preserve">Os recursos materiais necessários para </w:t>
      </w:r>
      <w:r>
        <w:rPr>
          <w:rFonts w:ascii="Arial" w:hAnsi="Arial" w:cs="Arial"/>
          <w:sz w:val="22"/>
          <w:szCs w:val="22"/>
        </w:rPr>
        <w:t xml:space="preserve">o detalhamento deste programa , na fase de obtenção da Licença de Instalação, assim como para </w:t>
      </w:r>
      <w:r w:rsidRPr="00C21230">
        <w:rPr>
          <w:rFonts w:ascii="Arial" w:hAnsi="Arial" w:cs="Arial"/>
          <w:sz w:val="22"/>
          <w:szCs w:val="22"/>
        </w:rPr>
        <w:t>a execução desse programa ambiental serão disponibilizados pelo Empreendedor.</w:t>
      </w:r>
    </w:p>
    <w:p w:rsidR="0033085E" w:rsidRPr="00FD2308" w:rsidRDefault="0033085E" w:rsidP="00431A97">
      <w:pPr>
        <w:pStyle w:val="Ttulo3"/>
        <w:numPr>
          <w:ilvl w:val="3"/>
          <w:numId w:val="84"/>
        </w:numPr>
        <w:rPr>
          <w:rFonts w:ascii="Arial Negrito" w:hAnsi="Arial Negrito"/>
          <w:bCs/>
        </w:rPr>
      </w:pPr>
      <w:bookmarkStart w:id="1340" w:name="_Toc370810529"/>
      <w:bookmarkStart w:id="1341" w:name="_Toc370923512"/>
      <w:bookmarkStart w:id="1342" w:name="_Toc370985638"/>
      <w:bookmarkStart w:id="1343" w:name="_Toc418758510"/>
      <w:bookmarkStart w:id="1344" w:name="_Toc418759112"/>
      <w:bookmarkStart w:id="1345" w:name="_Toc419813897"/>
      <w:r w:rsidRPr="00FD2308">
        <w:rPr>
          <w:rFonts w:ascii="Arial Negrito" w:hAnsi="Arial Negrito"/>
          <w:bCs/>
        </w:rPr>
        <w:t>Atendimento a Requisitos Legais e/ou Outros Requisitos</w:t>
      </w:r>
      <w:bookmarkEnd w:id="1340"/>
      <w:bookmarkEnd w:id="1341"/>
      <w:bookmarkEnd w:id="1342"/>
      <w:bookmarkEnd w:id="1343"/>
      <w:bookmarkEnd w:id="1344"/>
      <w:bookmarkEnd w:id="1345"/>
    </w:p>
    <w:p w:rsidR="0033085E" w:rsidRPr="008859B9" w:rsidRDefault="0033085E" w:rsidP="0033085E">
      <w:pPr>
        <w:pStyle w:val="Bolinha"/>
        <w:rPr>
          <w:rFonts w:ascii="Arial" w:hAnsi="Arial"/>
          <w:sz w:val="22"/>
        </w:rPr>
      </w:pPr>
      <w:r w:rsidRPr="008859B9">
        <w:rPr>
          <w:rFonts w:ascii="Arial" w:hAnsi="Arial"/>
          <w:sz w:val="22"/>
        </w:rPr>
        <w:t xml:space="preserve">Lei Federal </w:t>
      </w:r>
      <w:r w:rsidRPr="008109D3">
        <w:rPr>
          <w:rFonts w:ascii="Arial" w:hAnsi="Arial" w:cs="Arial"/>
          <w:sz w:val="22"/>
          <w:szCs w:val="22"/>
        </w:rPr>
        <w:t>n</w:t>
      </w:r>
      <w:r w:rsidRPr="008859B9">
        <w:rPr>
          <w:rFonts w:ascii="Arial" w:hAnsi="Arial" w:cs="Arial"/>
          <w:sz w:val="22"/>
          <w:szCs w:val="22"/>
          <w:u w:val="single"/>
          <w:vertAlign w:val="superscript"/>
        </w:rPr>
        <w:t>o</w:t>
      </w:r>
      <w:r w:rsidRPr="008859B9">
        <w:rPr>
          <w:rFonts w:ascii="Arial" w:hAnsi="Arial"/>
          <w:sz w:val="22"/>
        </w:rPr>
        <w:t xml:space="preserve"> 9.985/2000 – Sistema Nacional de Unidades de Conservação;</w:t>
      </w:r>
    </w:p>
    <w:p w:rsidR="0033085E" w:rsidRPr="008859B9" w:rsidRDefault="0033085E" w:rsidP="0033085E">
      <w:pPr>
        <w:pStyle w:val="Bolinha"/>
        <w:rPr>
          <w:rFonts w:ascii="Arial" w:hAnsi="Arial"/>
          <w:sz w:val="22"/>
        </w:rPr>
      </w:pPr>
      <w:r w:rsidRPr="008859B9">
        <w:rPr>
          <w:rFonts w:ascii="Arial" w:hAnsi="Arial"/>
          <w:sz w:val="22"/>
        </w:rPr>
        <w:t xml:space="preserve">Decreto Federal </w:t>
      </w:r>
      <w:r w:rsidRPr="008109D3">
        <w:rPr>
          <w:rFonts w:ascii="Arial" w:hAnsi="Arial" w:cs="Arial"/>
          <w:sz w:val="22"/>
          <w:szCs w:val="22"/>
        </w:rPr>
        <w:t>n</w:t>
      </w:r>
      <w:r w:rsidRPr="008859B9">
        <w:rPr>
          <w:rFonts w:ascii="Arial" w:hAnsi="Arial" w:cs="Arial"/>
          <w:sz w:val="22"/>
          <w:szCs w:val="22"/>
          <w:u w:val="single"/>
          <w:vertAlign w:val="superscript"/>
        </w:rPr>
        <w:t>o</w:t>
      </w:r>
      <w:r w:rsidRPr="008859B9">
        <w:rPr>
          <w:rFonts w:ascii="Arial" w:hAnsi="Arial"/>
          <w:sz w:val="22"/>
        </w:rPr>
        <w:t xml:space="preserve"> 4.340/2002 – Regulamentação do SNUC;</w:t>
      </w:r>
    </w:p>
    <w:p w:rsidR="0033085E" w:rsidRPr="008859B9" w:rsidRDefault="0033085E" w:rsidP="0033085E">
      <w:pPr>
        <w:pStyle w:val="Bolinha"/>
        <w:rPr>
          <w:rFonts w:ascii="Arial" w:hAnsi="Arial"/>
          <w:sz w:val="22"/>
        </w:rPr>
      </w:pPr>
      <w:r w:rsidRPr="008859B9">
        <w:rPr>
          <w:rFonts w:ascii="Arial" w:hAnsi="Arial"/>
          <w:sz w:val="22"/>
        </w:rPr>
        <w:t xml:space="preserve">Decreto Federal </w:t>
      </w:r>
      <w:r w:rsidRPr="008109D3">
        <w:rPr>
          <w:rFonts w:ascii="Arial" w:hAnsi="Arial" w:cs="Arial"/>
          <w:sz w:val="22"/>
          <w:szCs w:val="22"/>
        </w:rPr>
        <w:t>n</w:t>
      </w:r>
      <w:r w:rsidRPr="008859B9">
        <w:rPr>
          <w:rFonts w:ascii="Arial" w:hAnsi="Arial" w:cs="Arial"/>
          <w:sz w:val="22"/>
          <w:szCs w:val="22"/>
          <w:u w:val="single"/>
          <w:vertAlign w:val="superscript"/>
        </w:rPr>
        <w:t>o</w:t>
      </w:r>
      <w:r w:rsidRPr="008859B9">
        <w:rPr>
          <w:rFonts w:ascii="Arial" w:hAnsi="Arial"/>
          <w:sz w:val="22"/>
        </w:rPr>
        <w:t xml:space="preserve"> 6.848/2009 – Altera e acrescenta dispositivos ao Decreto </w:t>
      </w:r>
      <w:r w:rsidRPr="008109D3">
        <w:rPr>
          <w:rFonts w:ascii="Arial" w:hAnsi="Arial" w:cs="Arial"/>
          <w:sz w:val="22"/>
          <w:szCs w:val="22"/>
        </w:rPr>
        <w:t>n</w:t>
      </w:r>
      <w:r w:rsidRPr="008859B9">
        <w:rPr>
          <w:rFonts w:ascii="Arial" w:hAnsi="Arial" w:cs="Arial"/>
          <w:sz w:val="22"/>
          <w:szCs w:val="22"/>
          <w:u w:val="single"/>
          <w:vertAlign w:val="superscript"/>
        </w:rPr>
        <w:t>o</w:t>
      </w:r>
      <w:r w:rsidRPr="008859B9">
        <w:rPr>
          <w:rFonts w:ascii="Arial" w:hAnsi="Arial"/>
          <w:sz w:val="22"/>
        </w:rPr>
        <w:t xml:space="preserve"> 4.340/2002, para regulamentar a compensação ambiental;</w:t>
      </w:r>
    </w:p>
    <w:p w:rsidR="0033085E" w:rsidRPr="00C21230" w:rsidRDefault="0033085E" w:rsidP="0033085E">
      <w:pPr>
        <w:pStyle w:val="Bolinha"/>
      </w:pPr>
      <w:r w:rsidRPr="008859B9">
        <w:rPr>
          <w:rFonts w:ascii="Arial" w:hAnsi="Arial"/>
          <w:sz w:val="22"/>
        </w:rPr>
        <w:t>Resolução SMA 24/2012 – Dispõe sobre a Câmara de Compensação Ambiental, no âmbito da Secretaria do Meio Ambiente</w:t>
      </w:r>
      <w:r w:rsidRPr="00C21230">
        <w:t>.</w:t>
      </w:r>
    </w:p>
    <w:p w:rsidR="0033085E" w:rsidRPr="00FD2308" w:rsidRDefault="0033085E" w:rsidP="00431A97">
      <w:pPr>
        <w:pStyle w:val="Ttulo3"/>
        <w:numPr>
          <w:ilvl w:val="3"/>
          <w:numId w:val="84"/>
        </w:numPr>
        <w:rPr>
          <w:rFonts w:ascii="Arial Negrito" w:hAnsi="Arial Negrito"/>
          <w:bCs/>
        </w:rPr>
      </w:pPr>
      <w:bookmarkStart w:id="1346" w:name="_Toc370810530"/>
      <w:bookmarkStart w:id="1347" w:name="_Toc370923513"/>
      <w:bookmarkStart w:id="1348" w:name="_Toc370985639"/>
      <w:bookmarkStart w:id="1349" w:name="_Toc418758511"/>
      <w:bookmarkStart w:id="1350" w:name="_Toc418759113"/>
      <w:bookmarkStart w:id="1351" w:name="_Toc419813898"/>
      <w:r w:rsidRPr="00FD2308">
        <w:rPr>
          <w:rFonts w:ascii="Arial Negrito" w:hAnsi="Arial Negrito"/>
          <w:bCs/>
        </w:rPr>
        <w:t>Inter-relação com outros Planos e Programas</w:t>
      </w:r>
      <w:bookmarkEnd w:id="1346"/>
      <w:bookmarkEnd w:id="1347"/>
      <w:bookmarkEnd w:id="1348"/>
      <w:bookmarkEnd w:id="1349"/>
      <w:bookmarkEnd w:id="1350"/>
      <w:bookmarkEnd w:id="1351"/>
    </w:p>
    <w:p w:rsidR="0033085E" w:rsidRPr="00E61F56" w:rsidRDefault="0033085E" w:rsidP="0033085E">
      <w:pPr>
        <w:pStyle w:val="SPE-Texto"/>
        <w:spacing w:before="120" w:after="120"/>
        <w:rPr>
          <w:rFonts w:ascii="Arial" w:hAnsi="Arial" w:cs="Arial"/>
          <w:sz w:val="22"/>
          <w:szCs w:val="22"/>
        </w:rPr>
      </w:pPr>
      <w:r w:rsidRPr="00E61F56">
        <w:rPr>
          <w:rFonts w:ascii="Arial" w:hAnsi="Arial" w:cs="Arial"/>
          <w:sz w:val="22"/>
          <w:szCs w:val="22"/>
        </w:rPr>
        <w:t>Esse Programa possui relação com o Programa de Gestão Ambiental das Obras, que estabelece as condições operacionais para o acompanhamento e cumprimento dos demais Planos e Programas Ambientais, associados às fases de implantação e operação do empreendimento.</w:t>
      </w:r>
    </w:p>
    <w:p w:rsidR="0033085E" w:rsidRPr="00FD2308" w:rsidRDefault="0033085E" w:rsidP="00431A97">
      <w:pPr>
        <w:pStyle w:val="Ttulo3"/>
        <w:numPr>
          <w:ilvl w:val="3"/>
          <w:numId w:val="84"/>
        </w:numPr>
        <w:rPr>
          <w:rFonts w:ascii="Arial Negrito" w:hAnsi="Arial Negrito"/>
          <w:bCs/>
        </w:rPr>
      </w:pPr>
      <w:bookmarkStart w:id="1352" w:name="_Toc370810531"/>
      <w:bookmarkStart w:id="1353" w:name="_Toc370923514"/>
      <w:bookmarkStart w:id="1354" w:name="_Toc370985640"/>
      <w:bookmarkStart w:id="1355" w:name="_Toc418758512"/>
      <w:bookmarkStart w:id="1356" w:name="_Toc418759114"/>
      <w:bookmarkStart w:id="1357" w:name="_Toc419813899"/>
      <w:r w:rsidRPr="00FD2308">
        <w:rPr>
          <w:rFonts w:ascii="Arial Negrito" w:hAnsi="Arial Negrito"/>
          <w:bCs/>
        </w:rPr>
        <w:t>Etapa do Empreendimento</w:t>
      </w:r>
      <w:bookmarkEnd w:id="1352"/>
      <w:bookmarkEnd w:id="1353"/>
      <w:bookmarkEnd w:id="1354"/>
      <w:bookmarkEnd w:id="1355"/>
      <w:bookmarkEnd w:id="1356"/>
      <w:bookmarkEnd w:id="1357"/>
    </w:p>
    <w:p w:rsidR="0033085E" w:rsidRDefault="0033085E" w:rsidP="0033085E">
      <w:pPr>
        <w:pStyle w:val="SPE-Texto"/>
        <w:tabs>
          <w:tab w:val="left" w:pos="567"/>
        </w:tabs>
        <w:spacing w:before="120" w:after="120" w:line="240" w:lineRule="auto"/>
        <w:rPr>
          <w:rFonts w:ascii="Arial" w:hAnsi="Arial" w:cs="Arial"/>
          <w:sz w:val="22"/>
          <w:szCs w:val="22"/>
        </w:rPr>
      </w:pPr>
      <w:r w:rsidRPr="00E61F56">
        <w:rPr>
          <w:rFonts w:ascii="Arial" w:hAnsi="Arial" w:cs="Arial"/>
          <w:sz w:val="22"/>
          <w:szCs w:val="22"/>
        </w:rPr>
        <w:t>As atividades relacionadas ao Programa de Compensação Ambiental deverão ser realizadas desde a Fase de Planejamento até a Fase de Implantação do empreendimento.</w:t>
      </w:r>
    </w:p>
    <w:p w:rsidR="0033085E" w:rsidRPr="00FD2308" w:rsidRDefault="0033085E" w:rsidP="00431A97">
      <w:pPr>
        <w:pStyle w:val="Ttulo3"/>
        <w:numPr>
          <w:ilvl w:val="3"/>
          <w:numId w:val="84"/>
        </w:numPr>
        <w:rPr>
          <w:rFonts w:ascii="Arial Negrito" w:hAnsi="Arial Negrito"/>
          <w:bCs/>
        </w:rPr>
      </w:pPr>
      <w:bookmarkStart w:id="1358" w:name="_Toc370810532"/>
      <w:bookmarkStart w:id="1359" w:name="_Toc370923515"/>
      <w:bookmarkStart w:id="1360" w:name="_Toc370985641"/>
      <w:bookmarkStart w:id="1361" w:name="_Toc418758513"/>
      <w:bookmarkStart w:id="1362" w:name="_Toc418759115"/>
      <w:bookmarkStart w:id="1363" w:name="_Toc419813900"/>
      <w:r w:rsidRPr="00FD2308">
        <w:rPr>
          <w:rFonts w:ascii="Arial Negrito" w:hAnsi="Arial Negrito"/>
          <w:bCs/>
        </w:rPr>
        <w:t>Cronograma de Execução</w:t>
      </w:r>
      <w:bookmarkEnd w:id="1358"/>
      <w:bookmarkEnd w:id="1359"/>
      <w:bookmarkEnd w:id="1360"/>
      <w:bookmarkEnd w:id="1361"/>
      <w:bookmarkEnd w:id="1362"/>
      <w:bookmarkEnd w:id="1363"/>
    </w:p>
    <w:p w:rsidR="0033085E" w:rsidRDefault="0033085E" w:rsidP="0033085E">
      <w:pPr>
        <w:pStyle w:val="SPE-Texto"/>
        <w:spacing w:before="120" w:after="120"/>
        <w:rPr>
          <w:rFonts w:ascii="Arial" w:hAnsi="Arial" w:cs="Arial"/>
          <w:sz w:val="22"/>
          <w:szCs w:val="22"/>
        </w:rPr>
      </w:pPr>
      <w:r w:rsidRPr="00E61F56">
        <w:rPr>
          <w:rFonts w:ascii="Arial" w:hAnsi="Arial" w:cs="Arial"/>
          <w:sz w:val="22"/>
          <w:szCs w:val="22"/>
        </w:rPr>
        <w:t>As ações serão executadas de acordo com a deliberação da Câmara de Compensação Ambiental.</w:t>
      </w:r>
    </w:p>
    <w:p w:rsidR="0033085E" w:rsidRPr="00FD2308" w:rsidRDefault="0033085E" w:rsidP="00431A97">
      <w:pPr>
        <w:pStyle w:val="Ttulo3"/>
        <w:numPr>
          <w:ilvl w:val="3"/>
          <w:numId w:val="84"/>
        </w:numPr>
        <w:rPr>
          <w:rFonts w:ascii="Arial Negrito" w:hAnsi="Arial Negrito"/>
          <w:bCs/>
        </w:rPr>
      </w:pPr>
      <w:bookmarkStart w:id="1364" w:name="_Toc370810533"/>
      <w:bookmarkStart w:id="1365" w:name="_Toc370923516"/>
      <w:bookmarkStart w:id="1366" w:name="_Toc370985642"/>
      <w:bookmarkStart w:id="1367" w:name="_Toc418758514"/>
      <w:bookmarkStart w:id="1368" w:name="_Toc418759116"/>
      <w:bookmarkStart w:id="1369" w:name="_Toc419813901"/>
      <w:r w:rsidRPr="00FD2308">
        <w:rPr>
          <w:rFonts w:ascii="Arial Negrito" w:hAnsi="Arial Negrito"/>
          <w:bCs/>
        </w:rPr>
        <w:t>Responsável pela Implementação</w:t>
      </w:r>
      <w:bookmarkEnd w:id="1364"/>
      <w:bookmarkEnd w:id="1365"/>
      <w:bookmarkEnd w:id="1366"/>
      <w:bookmarkEnd w:id="1367"/>
      <w:bookmarkEnd w:id="1368"/>
      <w:bookmarkEnd w:id="1369"/>
    </w:p>
    <w:p w:rsidR="0033085E" w:rsidRPr="00E61F56" w:rsidRDefault="0033085E" w:rsidP="0033085E">
      <w:pPr>
        <w:pStyle w:val="SPE-Texto"/>
        <w:spacing w:before="120" w:after="120"/>
        <w:rPr>
          <w:rFonts w:ascii="Arial" w:hAnsi="Arial" w:cs="Arial"/>
          <w:sz w:val="22"/>
          <w:szCs w:val="22"/>
        </w:rPr>
      </w:pPr>
      <w:r w:rsidRPr="00E61F56">
        <w:rPr>
          <w:rFonts w:ascii="Arial" w:hAnsi="Arial" w:cs="Arial"/>
          <w:sz w:val="22"/>
          <w:szCs w:val="22"/>
        </w:rPr>
        <w:t>A responsabilidade de disponibilização dos recursos financeiros provenientes da compensação ambiental do empreendimento é do Empreendedor.</w:t>
      </w:r>
    </w:p>
    <w:p w:rsidR="0033085E" w:rsidRPr="00FD2308" w:rsidRDefault="0033085E" w:rsidP="00431A97">
      <w:pPr>
        <w:pStyle w:val="Ttulo3"/>
        <w:numPr>
          <w:ilvl w:val="3"/>
          <w:numId w:val="84"/>
        </w:numPr>
        <w:rPr>
          <w:rFonts w:ascii="Arial Negrito" w:hAnsi="Arial Negrito"/>
          <w:bCs/>
        </w:rPr>
      </w:pPr>
      <w:bookmarkStart w:id="1370" w:name="_Toc370810534"/>
      <w:bookmarkStart w:id="1371" w:name="_Toc370923517"/>
      <w:bookmarkStart w:id="1372" w:name="_Toc370985643"/>
      <w:bookmarkStart w:id="1373" w:name="_Toc418758515"/>
      <w:bookmarkStart w:id="1374" w:name="_Toc418759117"/>
      <w:bookmarkStart w:id="1375" w:name="_Toc419813902"/>
      <w:r w:rsidRPr="00FD2308">
        <w:rPr>
          <w:rFonts w:ascii="Arial Negrito" w:hAnsi="Arial Negrito"/>
          <w:bCs/>
        </w:rPr>
        <w:t>Sistema de Registros</w:t>
      </w:r>
      <w:bookmarkEnd w:id="1370"/>
      <w:bookmarkEnd w:id="1371"/>
      <w:bookmarkEnd w:id="1372"/>
      <w:bookmarkEnd w:id="1373"/>
      <w:bookmarkEnd w:id="1374"/>
      <w:bookmarkEnd w:id="1375"/>
    </w:p>
    <w:p w:rsidR="0033085E" w:rsidRPr="00E61F56" w:rsidRDefault="0033085E" w:rsidP="0033085E">
      <w:pPr>
        <w:pStyle w:val="Mineral-Texto"/>
        <w:rPr>
          <w:rFonts w:cs="Arial"/>
        </w:rPr>
      </w:pPr>
      <w:r w:rsidRPr="00E61F56">
        <w:rPr>
          <w:rFonts w:cs="Arial"/>
        </w:rPr>
        <w:t>Os registros desse programa ambiental dar-se-á pelas atas de reunião, pareceres técnicos e pela emissão do Termo de Compromisso de Compensação Ambiental.</w:t>
      </w:r>
    </w:p>
    <w:p w:rsidR="007C22CC" w:rsidRPr="00FD2308" w:rsidRDefault="00946FA3" w:rsidP="00431A97">
      <w:pPr>
        <w:pStyle w:val="Ttulo3"/>
        <w:numPr>
          <w:ilvl w:val="1"/>
          <w:numId w:val="84"/>
        </w:numPr>
        <w:rPr>
          <w:rFonts w:ascii="Arial Negrito" w:hAnsi="Arial Negrito"/>
          <w:bCs/>
        </w:rPr>
      </w:pPr>
      <w:bookmarkStart w:id="1376" w:name="_Toc418758516"/>
      <w:bookmarkStart w:id="1377" w:name="_Toc418759118"/>
      <w:bookmarkStart w:id="1378" w:name="_Toc419813903"/>
      <w:r w:rsidRPr="00FD2308">
        <w:rPr>
          <w:rFonts w:ascii="Arial Negrito" w:hAnsi="Arial Negrito"/>
          <w:bCs/>
        </w:rPr>
        <w:t>Programas do Meio</w:t>
      </w:r>
      <w:r w:rsidR="00C96894" w:rsidRPr="00FD2308">
        <w:rPr>
          <w:rFonts w:ascii="Arial Negrito" w:hAnsi="Arial Negrito"/>
          <w:bCs/>
        </w:rPr>
        <w:t xml:space="preserve"> Socioeconômico</w:t>
      </w:r>
      <w:bookmarkEnd w:id="1376"/>
      <w:bookmarkEnd w:id="1377"/>
      <w:bookmarkEnd w:id="1378"/>
    </w:p>
    <w:p w:rsidR="007C22CC" w:rsidRPr="00FD2308" w:rsidRDefault="00946FA3" w:rsidP="000B769F">
      <w:pPr>
        <w:pStyle w:val="Ttulo3"/>
        <w:numPr>
          <w:ilvl w:val="2"/>
          <w:numId w:val="84"/>
        </w:numPr>
        <w:rPr>
          <w:rFonts w:ascii="Arial Negrito" w:hAnsi="Arial Negrito"/>
          <w:bCs/>
        </w:rPr>
      </w:pPr>
      <w:bookmarkStart w:id="1379" w:name="_Toc418758517"/>
      <w:bookmarkStart w:id="1380" w:name="_Toc418759119"/>
      <w:bookmarkStart w:id="1381" w:name="_Toc419813904"/>
      <w:r w:rsidRPr="00FD2308">
        <w:rPr>
          <w:rFonts w:ascii="Arial Negrito" w:hAnsi="Arial Negrito"/>
          <w:bCs/>
        </w:rPr>
        <w:t>Programa de Comunicação e Interação Social</w:t>
      </w:r>
      <w:bookmarkEnd w:id="1379"/>
      <w:bookmarkEnd w:id="1380"/>
      <w:bookmarkEnd w:id="1381"/>
    </w:p>
    <w:p w:rsidR="00A100B4" w:rsidRPr="00FD2308" w:rsidRDefault="00A100B4" w:rsidP="00431A97">
      <w:pPr>
        <w:pStyle w:val="Ttulo3"/>
        <w:numPr>
          <w:ilvl w:val="3"/>
          <w:numId w:val="84"/>
        </w:numPr>
        <w:rPr>
          <w:rFonts w:ascii="Arial Negrito" w:hAnsi="Arial Negrito"/>
          <w:bCs/>
        </w:rPr>
      </w:pPr>
      <w:bookmarkStart w:id="1382" w:name="_Toc418758518"/>
      <w:bookmarkStart w:id="1383" w:name="_Toc418759120"/>
      <w:bookmarkStart w:id="1384" w:name="_Toc419813905"/>
      <w:r w:rsidRPr="00FD2308">
        <w:rPr>
          <w:rFonts w:ascii="Arial Negrito" w:hAnsi="Arial Negrito"/>
          <w:bCs/>
        </w:rPr>
        <w:t>Apresentação e Justificativas</w:t>
      </w:r>
      <w:bookmarkEnd w:id="1382"/>
      <w:bookmarkEnd w:id="1383"/>
      <w:bookmarkEnd w:id="1384"/>
    </w:p>
    <w:p w:rsidR="00A100B4" w:rsidRPr="00364BCB" w:rsidRDefault="00A100B4" w:rsidP="00591228">
      <w:pPr>
        <w:spacing w:before="120" w:after="120" w:line="240" w:lineRule="auto"/>
        <w:rPr>
          <w:rFonts w:cs="Arial"/>
        </w:rPr>
      </w:pPr>
      <w:r w:rsidRPr="001E2B92">
        <w:rPr>
          <w:rFonts w:cs="Arial"/>
        </w:rPr>
        <w:t>O Programa de Comunicação Social (PCS), no âmbito do licenciamento ambiental das Barragens Pedreira e Duas Pontes, apresenta como um dos seus princípios o estabelecimento de um canal de comunicação entre o empreendimento e a sociedade local, visando garantir o esclarecimento sobre o andamento da implantação das Barragens e as ações realizadas pelo empreendedor para mitigar e monitorar os impactos identificados.</w:t>
      </w:r>
    </w:p>
    <w:p w:rsidR="00A100B4" w:rsidRPr="00364BCB" w:rsidRDefault="00A100B4" w:rsidP="00591228">
      <w:pPr>
        <w:spacing w:before="120" w:after="120" w:line="240" w:lineRule="auto"/>
        <w:rPr>
          <w:rFonts w:cs="Arial"/>
        </w:rPr>
      </w:pPr>
      <w:r w:rsidRPr="00E06EF2">
        <w:rPr>
          <w:rFonts w:cs="Arial"/>
        </w:rPr>
        <w:t>Convém assinalar que, no decorrer dos anos de estudos e planejamento</w:t>
      </w:r>
      <w:r>
        <w:rPr>
          <w:rFonts w:cs="Arial"/>
        </w:rPr>
        <w:t xml:space="preserve"> desses empreendimentos</w:t>
      </w:r>
      <w:r w:rsidRPr="00E06EF2">
        <w:rPr>
          <w:rFonts w:cs="Arial"/>
        </w:rPr>
        <w:t>, parte da</w:t>
      </w:r>
      <w:r w:rsidRPr="00364BCB">
        <w:rPr>
          <w:rFonts w:cs="Arial"/>
        </w:rPr>
        <w:t xml:space="preserve"> sociedade civil organizada dos municípios da bacia PCJ mobilizou-se por diversas ocasiões, para defender alguns dos interesses gerados pela possibilidade de realização de investimentos em torno dos recursos hídricos na região — seja por necessidade de preservação contra a poluição dos rios, seja pela construção das barragens em foco para fins diversos e de outras, ou ainda pela não construção delas, e até pela discussão dos direitos dos municípios sobre os benefícios dos aventados investimentos, entre outras causas não menos importantes.</w:t>
      </w:r>
    </w:p>
    <w:p w:rsidR="00A100B4" w:rsidRPr="00364BCB" w:rsidRDefault="00A100B4" w:rsidP="00591228">
      <w:pPr>
        <w:spacing w:before="120" w:after="120" w:line="240" w:lineRule="auto"/>
        <w:rPr>
          <w:rFonts w:cs="Arial"/>
        </w:rPr>
      </w:pPr>
      <w:r w:rsidRPr="00364BCB">
        <w:rPr>
          <w:rFonts w:cs="Arial"/>
        </w:rPr>
        <w:t>Também por isso, este Programa de Comunicação Social</w:t>
      </w:r>
      <w:r>
        <w:rPr>
          <w:rFonts w:cs="Arial"/>
        </w:rPr>
        <w:t xml:space="preserve"> (PCS)</w:t>
      </w:r>
      <w:r w:rsidRPr="00364BCB">
        <w:rPr>
          <w:rFonts w:cs="Arial"/>
        </w:rPr>
        <w:t xml:space="preserve">, suas finalidades e as ações aqui preconizadas aparecem, no conjunto do EIA - RIMA, em posição de destaque e urgência, dado que a população já está no centro das discussões sobre os empreendimentos. Através dele, o </w:t>
      </w:r>
      <w:r>
        <w:rPr>
          <w:rFonts w:cs="Arial"/>
        </w:rPr>
        <w:t>empreendedor poderá</w:t>
      </w:r>
      <w:r w:rsidRPr="00364BCB">
        <w:rPr>
          <w:rFonts w:cs="Arial"/>
        </w:rPr>
        <w:t xml:space="preserve"> orientar-se nas interfaces com o poder público regional-local, instituições representativas e organizações comunitárias locais e demais organizações da região com interesse no tema e atuação na área de influência direta dos empreendimentos, além de relacionar-se de modo positivo e eficiente com a população afetada diretamente.</w:t>
      </w:r>
    </w:p>
    <w:p w:rsidR="00A100B4" w:rsidRPr="00FD2308" w:rsidRDefault="00A100B4" w:rsidP="00431A97">
      <w:pPr>
        <w:pStyle w:val="Ttulo3"/>
        <w:numPr>
          <w:ilvl w:val="3"/>
          <w:numId w:val="84"/>
        </w:numPr>
        <w:rPr>
          <w:rFonts w:ascii="Arial Negrito" w:hAnsi="Arial Negrito"/>
          <w:bCs/>
        </w:rPr>
      </w:pPr>
      <w:bookmarkStart w:id="1385" w:name="_Toc418758519"/>
      <w:bookmarkStart w:id="1386" w:name="_Toc418759121"/>
      <w:bookmarkStart w:id="1387" w:name="_Toc419813906"/>
      <w:r w:rsidRPr="00FD2308">
        <w:rPr>
          <w:rFonts w:ascii="Arial Negrito" w:hAnsi="Arial Negrito"/>
          <w:bCs/>
        </w:rPr>
        <w:t>Objetivos</w:t>
      </w:r>
      <w:bookmarkEnd w:id="1385"/>
      <w:bookmarkEnd w:id="1386"/>
      <w:bookmarkEnd w:id="1387"/>
    </w:p>
    <w:p w:rsidR="00A100B4" w:rsidRPr="00591228" w:rsidRDefault="00A100B4" w:rsidP="00591228">
      <w:pPr>
        <w:spacing w:before="120" w:after="120" w:line="240" w:lineRule="auto"/>
        <w:rPr>
          <w:rFonts w:cs="Arial"/>
        </w:rPr>
      </w:pPr>
      <w:r w:rsidRPr="00591228">
        <w:rPr>
          <w:rFonts w:cs="Arial"/>
        </w:rPr>
        <w:t>A implantação do PCS no âmbito do EIA-RIMA das barragens Pedreira e Duas Pontes contará com uma multiplicidade de ações junto a atores distintos, de forma a garantir processos de informação, consulta, auscultação, atendimento de demandas e articulação de soluções, de e para diferentes segmentos da população das áreas de influência direta (AID) e diretamente afetada (ADA), instituições públicas e privadas, organizações diversas, mídias, entre outros.</w:t>
      </w:r>
    </w:p>
    <w:p w:rsidR="00A100B4" w:rsidRPr="00591228" w:rsidRDefault="00A100B4" w:rsidP="00591228">
      <w:pPr>
        <w:spacing w:before="120" w:after="120" w:line="240" w:lineRule="auto"/>
        <w:rPr>
          <w:rFonts w:cs="Arial"/>
        </w:rPr>
      </w:pPr>
      <w:r w:rsidRPr="00591228">
        <w:rPr>
          <w:rFonts w:cs="Arial"/>
        </w:rPr>
        <w:t>Dois objetivos principais devem orientar as atividades da comunicação social.</w:t>
      </w:r>
    </w:p>
    <w:p w:rsidR="00A100B4" w:rsidRPr="00F7710C" w:rsidRDefault="00A100B4" w:rsidP="00431A97">
      <w:pPr>
        <w:pStyle w:val="PargrafodaLista"/>
        <w:numPr>
          <w:ilvl w:val="0"/>
          <w:numId w:val="57"/>
        </w:numPr>
        <w:spacing w:before="120" w:after="120" w:line="240" w:lineRule="auto"/>
        <w:ind w:left="567" w:hanging="567"/>
        <w:jc w:val="both"/>
        <w:rPr>
          <w:rFonts w:ascii="Arial" w:hAnsi="Arial" w:cs="Arial"/>
          <w:b/>
          <w:i/>
        </w:rPr>
      </w:pPr>
      <w:r w:rsidRPr="00F7710C">
        <w:rPr>
          <w:rFonts w:ascii="Arial" w:hAnsi="Arial" w:cs="Arial"/>
          <w:b/>
          <w:i/>
        </w:rPr>
        <w:t>Divulgação do Empreendimento</w:t>
      </w:r>
    </w:p>
    <w:p w:rsidR="00A100B4" w:rsidRPr="00591228" w:rsidRDefault="00A100B4" w:rsidP="00B27E92">
      <w:pPr>
        <w:pStyle w:val="Item-Trainho"/>
        <w:tabs>
          <w:tab w:val="clear" w:pos="397"/>
          <w:tab w:val="num" w:pos="851"/>
        </w:tabs>
        <w:ind w:left="851" w:hanging="284"/>
        <w:rPr>
          <w:b/>
        </w:rPr>
      </w:pPr>
      <w:r w:rsidRPr="00591228">
        <w:t>Informar a sociedade sobre as características dos empreendimentos, sua importância e consequências, — nos níveis regional, local e além —, seus benefícios, os custos envolvidos e suas fontes, interação com outros projetos, etapas de sua implantação, o desenvolvimento dos programas socioambientais e as mudanças advindas da implantação das obras e após.</w:t>
      </w:r>
    </w:p>
    <w:p w:rsidR="00A100B4" w:rsidRPr="00591228" w:rsidRDefault="00A100B4" w:rsidP="00B27E92">
      <w:pPr>
        <w:pStyle w:val="Item-Trainho"/>
        <w:tabs>
          <w:tab w:val="clear" w:pos="397"/>
          <w:tab w:val="num" w:pos="851"/>
        </w:tabs>
        <w:ind w:left="851" w:hanging="284"/>
        <w:rPr>
          <w:b/>
        </w:rPr>
      </w:pPr>
      <w:r w:rsidRPr="00591228">
        <w:t>Auxiliar na formulação e divulgação dos demais programas socioambientais, integrando e compatibilizando as ações que envolvam interação social e comunicação com o público.</w:t>
      </w:r>
    </w:p>
    <w:p w:rsidR="00A100B4" w:rsidRPr="00F7710C" w:rsidRDefault="00A100B4" w:rsidP="00431A97">
      <w:pPr>
        <w:pStyle w:val="PargrafodaLista"/>
        <w:numPr>
          <w:ilvl w:val="0"/>
          <w:numId w:val="57"/>
        </w:numPr>
        <w:spacing w:before="120" w:after="120" w:line="240" w:lineRule="auto"/>
        <w:ind w:left="567" w:hanging="567"/>
        <w:jc w:val="both"/>
        <w:rPr>
          <w:rFonts w:ascii="Arial" w:hAnsi="Arial" w:cs="Arial"/>
          <w:b/>
          <w:i/>
        </w:rPr>
      </w:pPr>
      <w:r w:rsidRPr="00F7710C">
        <w:rPr>
          <w:rFonts w:ascii="Arial" w:hAnsi="Arial" w:cs="Arial"/>
          <w:b/>
          <w:i/>
        </w:rPr>
        <w:t xml:space="preserve">Responsabilidade Social </w:t>
      </w:r>
    </w:p>
    <w:p w:rsidR="00A100B4" w:rsidRPr="00591228" w:rsidRDefault="00A100B4" w:rsidP="00B27E92">
      <w:pPr>
        <w:pStyle w:val="Item-Trainho"/>
        <w:tabs>
          <w:tab w:val="clear" w:pos="397"/>
          <w:tab w:val="num" w:pos="851"/>
        </w:tabs>
        <w:ind w:left="851" w:hanging="284"/>
        <w:rPr>
          <w:b/>
        </w:rPr>
      </w:pPr>
      <w:r w:rsidRPr="00591228">
        <w:t>Intermediar as relações entre o empreendedor e a sociedade regional e local, fornecendo informações e criando canais de comunicação com os setores envolvidos, especialmente lideranças comunitárias.</w:t>
      </w:r>
    </w:p>
    <w:p w:rsidR="00591228" w:rsidRPr="00591228" w:rsidRDefault="00A100B4" w:rsidP="00B27E92">
      <w:pPr>
        <w:pStyle w:val="Item-Trainho"/>
        <w:tabs>
          <w:tab w:val="clear" w:pos="397"/>
          <w:tab w:val="num" w:pos="851"/>
        </w:tabs>
        <w:ind w:left="851" w:hanging="284"/>
        <w:rPr>
          <w:b/>
        </w:rPr>
      </w:pPr>
      <w:r w:rsidRPr="00591228">
        <w:t>Captar opiniões, percepções e questionamentos favoráveis e desfavoráveis sobre os empreendimentos, que possam emergir de formadores de opinião, instituições, organizações diversas e da população afetada diretamente, seja nas diferentes mídias, seja nas reuniões promovidas com os envolvidos, ou outro meio, promovendo discussões sobre esses pareceres, encaminhando-os a setores responsáveis por soluções, respostas e sugestões de ajustes nos Projetos, que levem à sua melhoria e à da imagem do empreendedor, e também contribuir no processo resolutivo.</w:t>
      </w:r>
    </w:p>
    <w:p w:rsidR="00A100B4" w:rsidRPr="00591228" w:rsidRDefault="00A100B4" w:rsidP="00B27E92">
      <w:pPr>
        <w:pStyle w:val="Item-Trainho"/>
        <w:tabs>
          <w:tab w:val="clear" w:pos="397"/>
          <w:tab w:val="num" w:pos="851"/>
        </w:tabs>
        <w:ind w:left="851" w:hanging="284"/>
        <w:rPr>
          <w:b/>
        </w:rPr>
      </w:pPr>
      <w:r w:rsidRPr="00591228">
        <w:t>Informar a população e segmentos públicos da AID e ADAs dos empreendimentos quanto aos impactos provenientes das diferentes ações e programas de mitigação e compensação correspondentes.</w:t>
      </w:r>
    </w:p>
    <w:p w:rsidR="00A100B4" w:rsidRPr="00591228" w:rsidRDefault="00A100B4" w:rsidP="00B27E92">
      <w:pPr>
        <w:pStyle w:val="Item-Trainho"/>
        <w:tabs>
          <w:tab w:val="clear" w:pos="397"/>
          <w:tab w:val="num" w:pos="851"/>
        </w:tabs>
        <w:ind w:left="851" w:hanging="284"/>
        <w:rPr>
          <w:b/>
        </w:rPr>
      </w:pPr>
      <w:r w:rsidRPr="00591228">
        <w:t xml:space="preserve">Contribuir para a criação de um relacionamento positivo e contínuo entre o empreendedor e a população afetada por meio da criação e difusão de mecanismos de Ouvidoria, serviço de 0800, postos de atendimento local, reuniões, consultas públicas, visitas, como forma de recepção e respostas aos questionamentos, preocupações e demandas. O próprio endereço eletrônico do DAEE deve ser difundido para respostas de caráter técnico, principalmente. </w:t>
      </w:r>
    </w:p>
    <w:p w:rsidR="00A100B4" w:rsidRPr="00591228" w:rsidRDefault="00A100B4" w:rsidP="00B27E92">
      <w:pPr>
        <w:pStyle w:val="Item-Trainho"/>
        <w:tabs>
          <w:tab w:val="clear" w:pos="397"/>
          <w:tab w:val="num" w:pos="851"/>
        </w:tabs>
        <w:ind w:left="851" w:hanging="284"/>
        <w:rPr>
          <w:b/>
        </w:rPr>
      </w:pPr>
      <w:r w:rsidRPr="00591228">
        <w:t>Registrar sistematicamente os pareceres da sociedade e as respostas e soluções dadas ao longo do processo de planejamento e implantação, captados por diferentes canais abertos por este PCS e outros programas socioambientais, de modo a acompanhar as transformações nos empreendimentos e seus projetos, a ocorrerem como resultado dessa troca.</w:t>
      </w:r>
    </w:p>
    <w:p w:rsidR="00A100B4" w:rsidRPr="00591228" w:rsidRDefault="00A100B4" w:rsidP="00591228">
      <w:pPr>
        <w:spacing w:before="120" w:after="120" w:line="240" w:lineRule="auto"/>
        <w:rPr>
          <w:rFonts w:cs="Arial"/>
        </w:rPr>
      </w:pPr>
      <w:r w:rsidRPr="00591228">
        <w:rPr>
          <w:rFonts w:cs="Arial"/>
        </w:rPr>
        <w:t>Por exemplo, durante a fase de implantação (obras), eventuais fatores como desvios de tráfego, interdição de trechos de estradas, utilização de áreas hoje utilizadas para produção agropecuária, aumento da circulação de veículos pesados, utilização de máquinas e equipamentos e outras situações decorrentes das obras, poderão prejudicar, em maior ou menor grau, o acesso de moradores a suas residências e da circulação da população em geral, significando transtornos no seu cotidiano.</w:t>
      </w:r>
    </w:p>
    <w:p w:rsidR="00A100B4" w:rsidRPr="00591228" w:rsidRDefault="00A100B4" w:rsidP="00591228">
      <w:pPr>
        <w:spacing w:before="120" w:after="120" w:line="240" w:lineRule="auto"/>
        <w:rPr>
          <w:rFonts w:cs="Arial"/>
        </w:rPr>
      </w:pPr>
      <w:r w:rsidRPr="00591228">
        <w:rPr>
          <w:rFonts w:cs="Arial"/>
        </w:rPr>
        <w:t xml:space="preserve">No extremo, imóveis serão desapropriados e famílias terão de ser relocadas, alterando histórias de vida, relações de vizinhança e de dependência parental, modos de ganhar a vida e renda das famílias, entre outros aspectos decorrentes desses impactos. </w:t>
      </w:r>
    </w:p>
    <w:p w:rsidR="00A100B4" w:rsidRDefault="00A100B4" w:rsidP="00591228">
      <w:pPr>
        <w:spacing w:before="120" w:after="120" w:line="240" w:lineRule="auto"/>
        <w:rPr>
          <w:rFonts w:cs="Arial"/>
        </w:rPr>
      </w:pPr>
      <w:r w:rsidRPr="00591228">
        <w:rPr>
          <w:rFonts w:cs="Arial"/>
        </w:rPr>
        <w:t>Esses e outros fatores de consequência, assim como aspectos a beneficiar famílias e áreas afetadas são temas a serem trabalhados na relação entre empreendedor, poder público regional e local e famílias afetadas direta ou indiretamente.</w:t>
      </w:r>
    </w:p>
    <w:p w:rsidR="00A100B4" w:rsidRPr="00FD2308" w:rsidRDefault="00A100B4" w:rsidP="00431A97">
      <w:pPr>
        <w:pStyle w:val="Ttulo3"/>
        <w:numPr>
          <w:ilvl w:val="3"/>
          <w:numId w:val="84"/>
        </w:numPr>
        <w:rPr>
          <w:rFonts w:ascii="Arial Negrito" w:hAnsi="Arial Negrito"/>
          <w:bCs/>
        </w:rPr>
      </w:pPr>
      <w:bookmarkStart w:id="1388" w:name="_Toc418758520"/>
      <w:bookmarkStart w:id="1389" w:name="_Toc418759122"/>
      <w:bookmarkStart w:id="1390" w:name="_Toc419813907"/>
      <w:r w:rsidRPr="00FD2308">
        <w:rPr>
          <w:rFonts w:ascii="Arial Negrito" w:hAnsi="Arial Negrito"/>
          <w:bCs/>
        </w:rPr>
        <w:t>Metas</w:t>
      </w:r>
      <w:bookmarkEnd w:id="1388"/>
      <w:bookmarkEnd w:id="1389"/>
      <w:bookmarkEnd w:id="1390"/>
    </w:p>
    <w:p w:rsidR="00A100B4" w:rsidRPr="00591228" w:rsidRDefault="00A100B4" w:rsidP="00591228">
      <w:pPr>
        <w:spacing w:before="120" w:after="120" w:line="240" w:lineRule="auto"/>
        <w:rPr>
          <w:rFonts w:cs="Arial"/>
        </w:rPr>
      </w:pPr>
      <w:r w:rsidRPr="00591228">
        <w:rPr>
          <w:rFonts w:cs="Arial"/>
        </w:rPr>
        <w:t>Contribuir para o êxito da implantação e operação das Barragens Pedreira e Duas Pontes, assim como contribuir para a negociação e os acertos necessários à desapropriação, indenização, relocação e apoio às famílias atingidas.</w:t>
      </w:r>
    </w:p>
    <w:p w:rsidR="00A100B4" w:rsidRPr="00FD2308" w:rsidRDefault="00A100B4" w:rsidP="00431A97">
      <w:pPr>
        <w:pStyle w:val="Ttulo3"/>
        <w:numPr>
          <w:ilvl w:val="3"/>
          <w:numId w:val="84"/>
        </w:numPr>
        <w:rPr>
          <w:rFonts w:ascii="Arial Negrito" w:hAnsi="Arial Negrito"/>
          <w:bCs/>
        </w:rPr>
      </w:pPr>
      <w:bookmarkStart w:id="1391" w:name="_Toc418758521"/>
      <w:bookmarkStart w:id="1392" w:name="_Toc418759123"/>
      <w:bookmarkStart w:id="1393" w:name="_Toc419813908"/>
      <w:r w:rsidRPr="00FD2308">
        <w:rPr>
          <w:rFonts w:ascii="Arial Negrito" w:hAnsi="Arial Negrito"/>
          <w:bCs/>
        </w:rPr>
        <w:t>Público Alvo</w:t>
      </w:r>
      <w:bookmarkEnd w:id="1391"/>
      <w:bookmarkEnd w:id="1392"/>
      <w:bookmarkEnd w:id="1393"/>
    </w:p>
    <w:p w:rsidR="00A100B4" w:rsidRPr="00591228" w:rsidRDefault="00A100B4" w:rsidP="00591228">
      <w:pPr>
        <w:spacing w:before="120" w:after="120" w:line="240" w:lineRule="auto"/>
        <w:rPr>
          <w:rFonts w:cs="Arial"/>
        </w:rPr>
      </w:pPr>
      <w:r w:rsidRPr="00591228">
        <w:rPr>
          <w:rFonts w:cs="Arial"/>
        </w:rPr>
        <w:t>As atividades deste Plano de Comunicação Social (PCS) deverão ser realizadas com base no Princípio da Inclusividade, que se refere ao reflexo, em todos os estágios dos processos de identificação e gestão da comunicação, de diálogo e engajamento dos diferentes públicos de interesse, ao longo do processo de licenciamento e implantação dos Projetos, em torno das necessidades e propostas de todos os públicos-alvo envolvidos.</w:t>
      </w:r>
    </w:p>
    <w:p w:rsidR="00A100B4" w:rsidRPr="00591228" w:rsidRDefault="00A100B4" w:rsidP="00591228">
      <w:pPr>
        <w:spacing w:before="120" w:after="120" w:line="240" w:lineRule="auto"/>
        <w:rPr>
          <w:rFonts w:cs="Arial"/>
        </w:rPr>
      </w:pPr>
      <w:r w:rsidRPr="00591228">
        <w:rPr>
          <w:rFonts w:cs="Arial"/>
        </w:rPr>
        <w:t xml:space="preserve">Como público-alvo do PCS, aponta-se, na Fase de Planejamento, os agentes sociais indicados abaixo. </w:t>
      </w:r>
    </w:p>
    <w:p w:rsidR="00A100B4" w:rsidRDefault="00A100B4" w:rsidP="00A100B4">
      <w:pPr>
        <w:spacing w:line="260" w:lineRule="atLeast"/>
      </w:pPr>
      <w:r>
        <w:t>No item seguinte, resume-se as ações do PCS na fase de planejamento.</w:t>
      </w:r>
    </w:p>
    <w:p w:rsidR="00591228" w:rsidRDefault="00591228" w:rsidP="00A100B4">
      <w:pPr>
        <w:spacing w:line="260" w:lineRule="atLeast"/>
        <w:rPr>
          <w:b/>
        </w:rPr>
      </w:pPr>
    </w:p>
    <w:p w:rsidR="00A100B4" w:rsidRPr="00591228" w:rsidRDefault="00A100B4" w:rsidP="00F7710C">
      <w:pPr>
        <w:spacing w:before="120" w:after="120" w:line="240" w:lineRule="auto"/>
        <w:ind w:firstLine="360"/>
        <w:rPr>
          <w:rFonts w:cs="Arial"/>
          <w:szCs w:val="22"/>
        </w:rPr>
      </w:pPr>
      <w:r w:rsidRPr="00591228">
        <w:rPr>
          <w:rFonts w:cs="Arial"/>
          <w:szCs w:val="22"/>
        </w:rPr>
        <w:t>Na AID:</w:t>
      </w:r>
    </w:p>
    <w:p w:rsidR="00A100B4" w:rsidRPr="00591228" w:rsidRDefault="00A100B4" w:rsidP="00B27E92">
      <w:pPr>
        <w:pStyle w:val="Item-Bolinha"/>
      </w:pPr>
      <w:r w:rsidRPr="00591228">
        <w:t>Grupo 1 - Representantes do poder público regional e local: principalmente prefeitos, secretários afins com os desdobramentos dos projetos, lideranças políticas representativas e com ação com identificação com os efeitos dos empreendimentos. Esse grupo 1, receberá informações sobre o Projeto, poderá discutir seus questionamentos e propostas para sua otimização; também deverá ser mobilizado para compatibilizar propostas de atuação conjunta com o empreendedor para esclarecer e melhorar a relação entre as partes;</w:t>
      </w:r>
    </w:p>
    <w:p w:rsidR="00A100B4" w:rsidRPr="00591228" w:rsidRDefault="00A100B4" w:rsidP="00B27E92">
      <w:pPr>
        <w:pStyle w:val="Item-Bolinha"/>
      </w:pPr>
      <w:r w:rsidRPr="00591228">
        <w:t>Grupo 2 - Representantes das sociedades locais: entidades e instituições organizadas, ONGs ambientais e entidades comunitárias, Ministérios Públicos, setores da mídia regional e local, todos com representatividade junto aos afetados direta ou indiretamente (AIDs e ADAs) pelos Projetos. Esse grupo 2, receberá igualmente todas as informações relevantes para o êxito do andamento dos Projetos e terá todos os eventuais outros questionamentos devidamente esclarecidos, discutidos, e, se possível, negociados; além disso, perceber e entender eventuais conflitos, resistências ou mesmo oposições desse grupo à execução dos Projetos é fundamental para as discussões, coletivas ou não, sempre documentadas, com o Empreendedor.</w:t>
      </w:r>
    </w:p>
    <w:p w:rsidR="00A100B4" w:rsidRPr="00591228" w:rsidRDefault="00A100B4" w:rsidP="00F7710C">
      <w:pPr>
        <w:spacing w:before="120" w:after="120" w:line="240" w:lineRule="auto"/>
        <w:ind w:firstLine="360"/>
        <w:rPr>
          <w:rFonts w:cs="Arial"/>
          <w:szCs w:val="22"/>
        </w:rPr>
      </w:pPr>
      <w:r w:rsidRPr="00591228">
        <w:rPr>
          <w:rFonts w:cs="Arial"/>
          <w:szCs w:val="22"/>
        </w:rPr>
        <w:t xml:space="preserve">Na ADA: </w:t>
      </w:r>
    </w:p>
    <w:p w:rsidR="00A100B4" w:rsidRPr="00591228" w:rsidRDefault="00A100B4" w:rsidP="00B27E92">
      <w:pPr>
        <w:pStyle w:val="Item-Bolinha"/>
      </w:pPr>
      <w:r w:rsidRPr="00591228">
        <w:t>Grupo 3 - Famílias residentes e agentes econômicos de qualquer espécie, em atividade nas áreas afetadas diretamente pelos Projetos, cujos meios de vida sofram alterações determinantes em decorrência da execução e instalação das Barragens, como desapropriação, relocação ou outros desdobramentos. Esse grupo 3, no âmbito deste PCS, receberá todas as informações necessárias e participará de reuniões coletivas de esclarecimento e discussão sobre os encaminhamentos futuros a cada ocorrência gerada pelos empreendimentos, de modo a estar apta no momento de negociação com o Empreendedor e o órgão de Estado encarregado de encaminhar esse processo.</w:t>
      </w:r>
    </w:p>
    <w:p w:rsidR="00F7710C" w:rsidRDefault="00F7710C" w:rsidP="00A100B4">
      <w:pPr>
        <w:spacing w:line="260" w:lineRule="atLeast"/>
      </w:pPr>
    </w:p>
    <w:p w:rsidR="00A100B4" w:rsidRDefault="00A100B4" w:rsidP="00A100B4">
      <w:pPr>
        <w:spacing w:line="260" w:lineRule="atLeast"/>
      </w:pPr>
      <w:r>
        <w:t xml:space="preserve">Na </w:t>
      </w:r>
      <w:r w:rsidRPr="002D3337">
        <w:rPr>
          <w:i/>
        </w:rPr>
        <w:t>Fase de Implantação</w:t>
      </w:r>
      <w:r>
        <w:t>, os públicos-alvo terão as seguintes inserções no PCS:</w:t>
      </w:r>
    </w:p>
    <w:p w:rsidR="00A100B4" w:rsidRPr="00591228" w:rsidRDefault="00A100B4" w:rsidP="00F7710C">
      <w:pPr>
        <w:spacing w:before="120" w:after="120" w:line="240" w:lineRule="auto"/>
        <w:ind w:firstLine="360"/>
        <w:rPr>
          <w:rFonts w:cs="Arial"/>
          <w:szCs w:val="22"/>
        </w:rPr>
      </w:pPr>
      <w:r w:rsidRPr="00591228">
        <w:rPr>
          <w:rFonts w:cs="Arial"/>
          <w:szCs w:val="22"/>
        </w:rPr>
        <w:t>Na AID:</w:t>
      </w:r>
    </w:p>
    <w:p w:rsidR="00A100B4" w:rsidRPr="00591228" w:rsidRDefault="00A100B4" w:rsidP="00B27E92">
      <w:pPr>
        <w:pStyle w:val="Item-Bolinha"/>
      </w:pPr>
      <w:r w:rsidRPr="00591228">
        <w:t>Grupo 1 - Representantes do poder público regional e local: deverão ser permanentemente informados sobre o empreendimento e poderão ser chamados a participarem como parceiros nas ações deste PCS, de modo a auxiliar na difusão das informações locais demandadas, por exemplo.</w:t>
      </w:r>
    </w:p>
    <w:p w:rsidR="00A100B4" w:rsidRPr="00591228" w:rsidRDefault="00A100B4" w:rsidP="00B27E92">
      <w:pPr>
        <w:pStyle w:val="Item-Bolinha"/>
      </w:pPr>
      <w:r w:rsidRPr="00591228">
        <w:t>Grupo 2 - Representantes das sociedades locais: receberão permanentemente as informações relevantes para o êxito do andamento dos Projetos e, igualmente, poderão ser chamados a participarem como parceiros nas ações deste PCS, de modo a auxiliar na difusão das informações locais demandadas, por exemplo.</w:t>
      </w:r>
    </w:p>
    <w:p w:rsidR="00A100B4" w:rsidRPr="00591228" w:rsidRDefault="00A100B4" w:rsidP="00B27E92">
      <w:pPr>
        <w:pStyle w:val="Item-Bolinha"/>
      </w:pPr>
      <w:r w:rsidRPr="00591228">
        <w:t>Grupo 3 - Equipes técnicas dos Projetos de engenharia e dos estudos ambientais: será importante manterem-se constantemente preparados para prestar informações de forma clara, fidedigna e rápida, e a participar em eventos públicos, se necessário.</w:t>
      </w:r>
    </w:p>
    <w:p w:rsidR="00A100B4" w:rsidRPr="00591228" w:rsidRDefault="00A100B4" w:rsidP="00F7710C">
      <w:pPr>
        <w:spacing w:before="120" w:after="120" w:line="240" w:lineRule="auto"/>
        <w:ind w:firstLine="360"/>
        <w:rPr>
          <w:rFonts w:cs="Arial"/>
          <w:szCs w:val="22"/>
        </w:rPr>
      </w:pPr>
      <w:r w:rsidRPr="00591228">
        <w:rPr>
          <w:rFonts w:cs="Arial"/>
          <w:szCs w:val="22"/>
        </w:rPr>
        <w:t xml:space="preserve">Na ADA: </w:t>
      </w:r>
    </w:p>
    <w:p w:rsidR="00A100B4" w:rsidRPr="00591228" w:rsidRDefault="00A100B4" w:rsidP="00B27E92">
      <w:pPr>
        <w:pStyle w:val="Item-Bolinha"/>
      </w:pPr>
      <w:r w:rsidRPr="00591228">
        <w:t>Grupo 4 - Famílias residentes e agentes econômicos de qualquer espécie, em atividade nas áreas afetadas diretamente pelos Projetos: no âmbito deste PCS, o grupo receberá todas as informações necessárias e participará de reuniões coletivas de esclarecimento e discussão sobre os encaminhamentos futuros a cada ocorrência gerada pelos empreendimentos, de modo a estar apta no momento de negociação com o Empreendedor e o órgão de Estado encarregado de encaminhar esse processo.</w:t>
      </w:r>
    </w:p>
    <w:p w:rsidR="00A100B4" w:rsidRPr="00B651E4" w:rsidRDefault="00A100B4" w:rsidP="00A100B4">
      <w:pPr>
        <w:spacing w:line="260" w:lineRule="atLeast"/>
        <w:rPr>
          <w:rFonts w:cs="Arial"/>
          <w:b/>
          <w:szCs w:val="22"/>
        </w:rPr>
      </w:pPr>
      <w:r w:rsidRPr="00B651E4">
        <w:rPr>
          <w:rFonts w:cs="Arial"/>
          <w:szCs w:val="22"/>
        </w:rPr>
        <w:t xml:space="preserve">Na </w:t>
      </w:r>
      <w:r w:rsidRPr="00B651E4">
        <w:rPr>
          <w:rFonts w:cs="Arial"/>
          <w:i/>
          <w:szCs w:val="22"/>
        </w:rPr>
        <w:t>Fase de Operação</w:t>
      </w:r>
      <w:r w:rsidRPr="00B651E4">
        <w:rPr>
          <w:rFonts w:cs="Arial"/>
          <w:szCs w:val="22"/>
        </w:rPr>
        <w:t>, os públicos-alvo terão as seguintes inserções no PCS:</w:t>
      </w:r>
    </w:p>
    <w:p w:rsidR="00A100B4" w:rsidRPr="00B651E4" w:rsidRDefault="00A100B4" w:rsidP="00F7710C">
      <w:pPr>
        <w:spacing w:before="120" w:after="120" w:line="240" w:lineRule="auto"/>
        <w:ind w:firstLine="360"/>
        <w:rPr>
          <w:rFonts w:cs="Arial"/>
          <w:szCs w:val="22"/>
        </w:rPr>
      </w:pPr>
      <w:r w:rsidRPr="00B651E4">
        <w:rPr>
          <w:rFonts w:cs="Arial"/>
          <w:szCs w:val="22"/>
        </w:rPr>
        <w:t>Na AID:</w:t>
      </w:r>
    </w:p>
    <w:p w:rsidR="00A100B4" w:rsidRPr="00B651E4" w:rsidRDefault="00A100B4" w:rsidP="00B27E92">
      <w:pPr>
        <w:pStyle w:val="Item-Bolinha"/>
      </w:pPr>
      <w:r w:rsidRPr="00B651E4">
        <w:t>Todos os públicos-alvo deverão ser orientados de modo a se ajustarem aos condicionantes gerados pela presença das Barragens na região, com toda sua estrutura e seu regime de funcionamento. Inclusive sobre o que rezam as leis a respeito dos usos das Áreas de Preservação Permanente (APPs) na borda das Barragens.</w:t>
      </w:r>
    </w:p>
    <w:p w:rsidR="00A100B4" w:rsidRPr="00B651E4" w:rsidRDefault="00A100B4" w:rsidP="00F7710C">
      <w:pPr>
        <w:spacing w:before="120" w:after="120" w:line="240" w:lineRule="auto"/>
        <w:ind w:firstLine="360"/>
        <w:rPr>
          <w:rFonts w:cs="Arial"/>
          <w:szCs w:val="22"/>
        </w:rPr>
      </w:pPr>
      <w:r w:rsidRPr="00B651E4">
        <w:rPr>
          <w:rFonts w:cs="Arial"/>
          <w:szCs w:val="22"/>
        </w:rPr>
        <w:t xml:space="preserve">Na ADA: </w:t>
      </w:r>
    </w:p>
    <w:p w:rsidR="00A100B4" w:rsidRPr="003B2F9A" w:rsidRDefault="00A100B4" w:rsidP="00B27E92">
      <w:pPr>
        <w:pStyle w:val="Item-Bolinha"/>
      </w:pPr>
      <w:r w:rsidRPr="003B2F9A">
        <w:t>As famílias residentes remanescentes e aquelas que passarão a viver e produzir próximas às Barragens, ou às APPs, deverão ser assistidas tecnicamente sobre eventuais mudanças no modo de produção ou outros aspectos decorrentes da conclusão dos Projetos, até pelo menos 6 meses após o início da operação, gratuitamente e com frequência satisfatória.</w:t>
      </w:r>
    </w:p>
    <w:p w:rsidR="00A100B4" w:rsidRPr="00FD2308" w:rsidRDefault="00A100B4" w:rsidP="00431A97">
      <w:pPr>
        <w:pStyle w:val="Ttulo3"/>
        <w:numPr>
          <w:ilvl w:val="3"/>
          <w:numId w:val="84"/>
        </w:numPr>
        <w:rPr>
          <w:rFonts w:ascii="Arial Negrito" w:hAnsi="Arial Negrito"/>
          <w:bCs/>
        </w:rPr>
      </w:pPr>
      <w:bookmarkStart w:id="1394" w:name="_Toc418758522"/>
      <w:bookmarkStart w:id="1395" w:name="_Toc418759124"/>
      <w:bookmarkStart w:id="1396" w:name="_Toc419813909"/>
      <w:r w:rsidRPr="00FD2308">
        <w:rPr>
          <w:rFonts w:ascii="Arial Negrito" w:hAnsi="Arial Negrito"/>
          <w:bCs/>
        </w:rPr>
        <w:t>Métodos e Descrição do Programa</w:t>
      </w:r>
      <w:bookmarkEnd w:id="1394"/>
      <w:bookmarkEnd w:id="1395"/>
      <w:bookmarkEnd w:id="1396"/>
    </w:p>
    <w:p w:rsidR="00A100B4" w:rsidRDefault="00A100B4" w:rsidP="003B2F9A">
      <w:pPr>
        <w:spacing w:before="120" w:after="120" w:line="240" w:lineRule="auto"/>
      </w:pPr>
      <w:r>
        <w:t>Criação de uma Matriz Institucional com o</w:t>
      </w:r>
      <w:r w:rsidRPr="00375A95">
        <w:t xml:space="preserve">s principais atores sociais que apresentam relação com o projeto (grupos de interesse) </w:t>
      </w:r>
      <w:r>
        <w:t>para compor</w:t>
      </w:r>
      <w:r w:rsidRPr="00375A95">
        <w:t xml:space="preserve"> um banco de dados, que deve ser atualizado permanentemente, visando </w:t>
      </w:r>
      <w:r>
        <w:t>facilitar as interlocuções do e</w:t>
      </w:r>
      <w:r w:rsidRPr="00375A95">
        <w:t>mpreendedor. Nes</w:t>
      </w:r>
      <w:r>
        <w:t>s</w:t>
      </w:r>
      <w:r w:rsidRPr="00375A95">
        <w:t>e sentido, as ferramentas de relacionamento e posicionamento deverão ser, também, constantemente revistas.</w:t>
      </w:r>
    </w:p>
    <w:p w:rsidR="00A100B4" w:rsidRDefault="00A100B4" w:rsidP="003B2F9A">
      <w:pPr>
        <w:spacing w:before="120" w:after="120" w:line="240" w:lineRule="auto"/>
      </w:pPr>
      <w:r w:rsidRPr="00375A95">
        <w:t xml:space="preserve">Em relação às demandas de comunicação externa na fase de desenvolvimento e implantação do projeto, serão utilizadas ações e ferramentas de comunicação como: </w:t>
      </w:r>
      <w:r>
        <w:t>criação do Posto de Informação; boletins i</w:t>
      </w:r>
      <w:r w:rsidRPr="00375A95">
        <w:t>nformativo</w:t>
      </w:r>
      <w:r>
        <w:t>s</w:t>
      </w:r>
      <w:r w:rsidRPr="00375A95">
        <w:t xml:space="preserve">; </w:t>
      </w:r>
      <w:r>
        <w:t>p</w:t>
      </w:r>
      <w:r w:rsidRPr="00375A95">
        <w:t>reparação de palestra</w:t>
      </w:r>
      <w:r>
        <w:t>s esclarecedoras a partir da demanda captada pelo Programa de Comunicação Social (PCS) em cada fase e para cada público</w:t>
      </w:r>
      <w:r w:rsidRPr="00375A95">
        <w:t xml:space="preserve">. </w:t>
      </w:r>
    </w:p>
    <w:p w:rsidR="00A100B4" w:rsidRPr="00375A95" w:rsidRDefault="00A100B4" w:rsidP="003B2F9A">
      <w:pPr>
        <w:spacing w:before="120" w:after="120" w:line="240" w:lineRule="auto"/>
      </w:pPr>
      <w:r w:rsidRPr="00375A95">
        <w:t>Serão realizadas reuniões à medida que surgirem demandas com os diversos segmentos da população local: poder público, formadores de opinião, comunidades religiosas e associações, população residente no entorno da área operacional</w:t>
      </w:r>
      <w:r>
        <w:t xml:space="preserve">, população diretamente afetada </w:t>
      </w:r>
      <w:r w:rsidRPr="00375A95">
        <w:t>e outros identificados na Matriz de Institucional.</w:t>
      </w:r>
    </w:p>
    <w:p w:rsidR="00A100B4" w:rsidRDefault="00A100B4" w:rsidP="003B2F9A">
      <w:pPr>
        <w:spacing w:before="120" w:after="120" w:line="240" w:lineRule="auto"/>
      </w:pPr>
      <w:r w:rsidRPr="00375A95">
        <w:t xml:space="preserve">A atuação </w:t>
      </w:r>
      <w:r>
        <w:t>do empreendedor</w:t>
      </w:r>
      <w:r w:rsidRPr="00375A95">
        <w:t xml:space="preserve"> será pautada pela ética nos relacionamentos e gestão, pelo compromisso com a segurança do trabalho, além do respeito ao meio ambiente e cultura locais. </w:t>
      </w:r>
      <w:r>
        <w:t xml:space="preserve"> </w:t>
      </w:r>
    </w:p>
    <w:p w:rsidR="00A100B4" w:rsidRPr="003B2F9A" w:rsidRDefault="00A100B4" w:rsidP="003B2F9A">
      <w:pPr>
        <w:spacing w:before="120" w:after="120" w:line="240" w:lineRule="auto"/>
        <w:rPr>
          <w:rFonts w:cs="Arial"/>
          <w:szCs w:val="22"/>
        </w:rPr>
      </w:pPr>
      <w:r w:rsidRPr="003B2F9A">
        <w:rPr>
          <w:rFonts w:cs="Arial"/>
          <w:szCs w:val="22"/>
        </w:rPr>
        <w:t xml:space="preserve">Na fase atual de planejamento foram realizadas as seguintes atividades ligadas a este Programa: </w:t>
      </w:r>
    </w:p>
    <w:p w:rsidR="00A100B4" w:rsidRPr="003B2F9A" w:rsidRDefault="00A100B4" w:rsidP="00B27E92">
      <w:pPr>
        <w:pStyle w:val="Item-Bolinha"/>
      </w:pPr>
      <w:r w:rsidRPr="003B2F9A">
        <w:t xml:space="preserve">Foram realizadas, até o momento, pelo menos 2 reuniões: em São Paulo (18/09/2014) e em Campinas (13/10/2014), audiências públicas voltadas principalmente a empreiteiras eventualmente interessadas em participar da concorrência para a construção das barragens. Nessas audiências, diferentes segmentos da sociedade civil dos municípios da ADA (Amparo, Pedreira e Campinas), inclusive algumas das famílias a serem afetadas pela implantação do empreendimento, além do procurador do MPE, responsável por analisar o processo das duas barragens, estiveram presentes e colocaram suas dúvidas e opiniões. </w:t>
      </w:r>
    </w:p>
    <w:p w:rsidR="00A100B4" w:rsidRPr="00CA7C6A" w:rsidRDefault="00A100B4" w:rsidP="00B27E92">
      <w:pPr>
        <w:spacing w:before="120" w:after="120" w:line="240" w:lineRule="auto"/>
        <w:ind w:left="426"/>
        <w:rPr>
          <w:b/>
        </w:rPr>
      </w:pPr>
      <w:r w:rsidRPr="00CA7C6A">
        <w:t xml:space="preserve">Essas audiências foram gravadas e estão disponíveis no YOUTUBE, nos seguintes endereços: </w:t>
      </w:r>
    </w:p>
    <w:p w:rsidR="00A100B4" w:rsidRPr="003B2F9A" w:rsidRDefault="00A100B4" w:rsidP="00431A97">
      <w:pPr>
        <w:pStyle w:val="PargrafodaLista"/>
        <w:numPr>
          <w:ilvl w:val="0"/>
          <w:numId w:val="55"/>
        </w:numPr>
        <w:spacing w:before="120" w:after="120" w:line="240" w:lineRule="auto"/>
        <w:ind w:left="851" w:hanging="425"/>
        <w:jc w:val="both"/>
        <w:rPr>
          <w:rFonts w:ascii="Arial" w:hAnsi="Arial" w:cs="Arial"/>
          <w:b/>
          <w:i/>
          <w:color w:val="333333"/>
        </w:rPr>
      </w:pPr>
      <w:r w:rsidRPr="003B2F9A">
        <w:rPr>
          <w:rFonts w:ascii="Arial" w:hAnsi="Arial" w:cs="Arial"/>
          <w:bCs/>
          <w:i/>
          <w:color w:val="333333"/>
        </w:rPr>
        <w:t xml:space="preserve">www.youtube.com/watch?v=Sk1ig_Ktdz0 - Publicado em 5 de out de 2014 - </w:t>
      </w:r>
      <w:r w:rsidRPr="003B2F9A">
        <w:rPr>
          <w:rFonts w:ascii="Arial" w:hAnsi="Arial" w:cs="Arial"/>
          <w:i/>
          <w:color w:val="333333"/>
        </w:rPr>
        <w:t>Audiência Pública para apresentar o Sistema Produtor Regional do PCJ, em 18/9/14.  [São 23 tomos].</w:t>
      </w:r>
    </w:p>
    <w:p w:rsidR="00A100B4" w:rsidRPr="003B2F9A" w:rsidRDefault="00A100B4" w:rsidP="00431A97">
      <w:pPr>
        <w:pStyle w:val="PargrafodaLista"/>
        <w:numPr>
          <w:ilvl w:val="0"/>
          <w:numId w:val="55"/>
        </w:numPr>
        <w:spacing w:before="120" w:after="120" w:line="240" w:lineRule="auto"/>
        <w:ind w:left="851" w:hanging="425"/>
        <w:jc w:val="both"/>
        <w:rPr>
          <w:rFonts w:ascii="Arial" w:hAnsi="Arial" w:cs="Arial"/>
          <w:b/>
          <w:i/>
          <w:color w:val="333333"/>
        </w:rPr>
      </w:pPr>
      <w:r w:rsidRPr="003B2F9A">
        <w:rPr>
          <w:rFonts w:ascii="Arial" w:hAnsi="Arial" w:cs="Arial"/>
          <w:i/>
          <w:color w:val="333333"/>
        </w:rPr>
        <w:t xml:space="preserve">www.youtube.com/watch?v=TU5ReCHx734 - </w:t>
      </w:r>
      <w:r w:rsidRPr="003B2F9A">
        <w:rPr>
          <w:rFonts w:ascii="Arial" w:hAnsi="Arial" w:cs="Arial"/>
          <w:bCs/>
          <w:i/>
          <w:color w:val="333333"/>
        </w:rPr>
        <w:t xml:space="preserve">Publicado em 14 de out de 2014 - </w:t>
      </w:r>
      <w:r w:rsidRPr="003B2F9A">
        <w:rPr>
          <w:rFonts w:ascii="Arial" w:hAnsi="Arial" w:cs="Arial"/>
          <w:i/>
          <w:color w:val="333333"/>
        </w:rPr>
        <w:t xml:space="preserve">Audiência Pública das barragens Pedreira e Duas Pontes - Apresentação do Sistema Produtor Regional do PCJ - Data 13/10/14. </w:t>
      </w:r>
    </w:p>
    <w:p w:rsidR="00A100B4" w:rsidRPr="003B2F9A" w:rsidRDefault="00A100B4" w:rsidP="00B27E92">
      <w:pPr>
        <w:pStyle w:val="Item-Bolinha"/>
      </w:pPr>
      <w:r w:rsidRPr="003B2F9A">
        <w:t>A sede do município de Amparo recebeu, dia 25/11/2014, no auditório da Rádio Cultura Municipal de Amparo, e por sua vez o município de Pedreira promoveu em 15/11/2014, no auditório da Câmara dos Vereadores, dois seminários para apresentar o projeto do Sistema Produtor Regional do PCJ, bem como prestar esclarecimentos, colher sugestões e contribuições para melhoria do projeto das Barragens Duas Pontes no rio Camanducaia, município de Amparo, e Pedreira no rio Jaguari, nos municípios de Pedreira e Campinas.</w:t>
      </w:r>
    </w:p>
    <w:p w:rsidR="00A100B4" w:rsidRPr="003B2F9A" w:rsidRDefault="00A100B4" w:rsidP="00B27E92">
      <w:pPr>
        <w:spacing w:before="120" w:after="120" w:line="240" w:lineRule="auto"/>
        <w:ind w:left="426"/>
      </w:pPr>
      <w:r w:rsidRPr="003B2F9A">
        <w:t xml:space="preserve">A exposição elaborada e apresentada pelo DAEE e Consórcio Hidrostudio/ Themag acha-se no seguinte endereço: </w:t>
      </w:r>
    </w:p>
    <w:p w:rsidR="00A100B4" w:rsidRPr="00B27E92" w:rsidRDefault="00A100B4" w:rsidP="00431A97">
      <w:pPr>
        <w:pStyle w:val="PargrafodaLista"/>
        <w:numPr>
          <w:ilvl w:val="0"/>
          <w:numId w:val="56"/>
        </w:numPr>
        <w:spacing w:before="120" w:after="0" w:line="240" w:lineRule="auto"/>
        <w:ind w:left="851" w:hanging="425"/>
        <w:jc w:val="both"/>
        <w:rPr>
          <w:rFonts w:ascii="Arial" w:hAnsi="Arial" w:cs="Arial"/>
          <w:i/>
        </w:rPr>
      </w:pPr>
      <w:r w:rsidRPr="00B27E92">
        <w:rPr>
          <w:rFonts w:ascii="Arial" w:hAnsi="Arial" w:cs="Arial"/>
          <w:i/>
          <w:color w:val="484848"/>
          <w:shd w:val="clear" w:color="auto" w:fill="FFFFFF"/>
        </w:rPr>
        <w:t>Filme: </w:t>
      </w:r>
      <w:hyperlink r:id="rId50" w:history="1">
        <w:r w:rsidRPr="00B27E92">
          <w:rPr>
            <w:rStyle w:val="Hyperlink"/>
            <w:rFonts w:ascii="Arial" w:eastAsia="Times New Roman" w:hAnsi="Arial" w:cs="Arial"/>
            <w:i/>
            <w:color w:val="393E37"/>
            <w:shd w:val="clear" w:color="auto" w:fill="FFFFFF"/>
          </w:rPr>
          <w:t>Barragens Pedreira e Duas Pontes</w:t>
        </w:r>
      </w:hyperlink>
    </w:p>
    <w:p w:rsidR="00A100B4" w:rsidRPr="00B27E92" w:rsidRDefault="00A100B4" w:rsidP="00B27E92">
      <w:pPr>
        <w:ind w:left="851"/>
        <w:rPr>
          <w:rFonts w:cs="Arial"/>
          <w:i/>
          <w:color w:val="333333"/>
        </w:rPr>
      </w:pPr>
      <w:r w:rsidRPr="00B27E92">
        <w:rPr>
          <w:rFonts w:cs="Arial"/>
          <w:i/>
        </w:rPr>
        <w:t xml:space="preserve">ou </w:t>
      </w:r>
      <w:r w:rsidRPr="00B27E92">
        <w:rPr>
          <w:rFonts w:cs="Arial"/>
          <w:i/>
          <w:color w:val="333333"/>
        </w:rPr>
        <w:t>www.youtube.com/watch?v=w33K_pKIixU&amp;feature=youtu.be</w:t>
      </w:r>
    </w:p>
    <w:p w:rsidR="00A100B4" w:rsidRPr="00B27E92" w:rsidRDefault="00A100B4" w:rsidP="00431A97">
      <w:pPr>
        <w:pStyle w:val="PargrafodaLista"/>
        <w:numPr>
          <w:ilvl w:val="0"/>
          <w:numId w:val="56"/>
        </w:numPr>
        <w:spacing w:before="120" w:after="120" w:line="240" w:lineRule="auto"/>
        <w:ind w:left="851" w:hanging="425"/>
        <w:jc w:val="both"/>
        <w:rPr>
          <w:rFonts w:ascii="Arial" w:hAnsi="Arial" w:cs="Arial"/>
          <w:i/>
          <w:color w:val="333333"/>
        </w:rPr>
      </w:pPr>
      <w:r w:rsidRPr="00B27E92">
        <w:rPr>
          <w:rFonts w:ascii="Arial" w:hAnsi="Arial" w:cs="Arial"/>
          <w:i/>
          <w:color w:val="333333"/>
        </w:rPr>
        <w:t xml:space="preserve">Apresentação: drive.google.com/file/d/0B8iXiItOrl5adkVCQ2l5a3pvUWc/view?pli=1 </w:t>
      </w:r>
    </w:p>
    <w:p w:rsidR="00A100B4" w:rsidRPr="00B27E92" w:rsidRDefault="00A100B4" w:rsidP="00B27E92">
      <w:pPr>
        <w:pStyle w:val="PargrafodaLista"/>
        <w:ind w:left="851" w:hanging="425"/>
        <w:rPr>
          <w:rFonts w:ascii="Arial" w:hAnsi="Arial" w:cs="Arial"/>
          <w:i/>
          <w:color w:val="333333"/>
          <w:sz w:val="16"/>
          <w:szCs w:val="16"/>
        </w:rPr>
      </w:pPr>
    </w:p>
    <w:p w:rsidR="00A100B4" w:rsidRPr="00B27E92" w:rsidRDefault="00A100B4" w:rsidP="00431A97">
      <w:pPr>
        <w:pStyle w:val="PargrafodaLista"/>
        <w:numPr>
          <w:ilvl w:val="0"/>
          <w:numId w:val="56"/>
        </w:numPr>
        <w:spacing w:before="120" w:after="0" w:line="240" w:lineRule="auto"/>
        <w:ind w:left="851" w:hanging="425"/>
        <w:jc w:val="both"/>
        <w:rPr>
          <w:rFonts w:ascii="Arial" w:hAnsi="Arial" w:cs="Arial"/>
          <w:i/>
          <w:color w:val="333333"/>
        </w:rPr>
      </w:pPr>
      <w:r w:rsidRPr="00B27E92">
        <w:rPr>
          <w:rFonts w:ascii="Arial" w:hAnsi="Arial" w:cs="Arial"/>
          <w:i/>
          <w:color w:val="333333"/>
        </w:rPr>
        <w:t xml:space="preserve">Seminário município de AMPARO, em novembro de 2014. </w:t>
      </w:r>
    </w:p>
    <w:p w:rsidR="00A100B4" w:rsidRPr="00B27E92" w:rsidRDefault="00A100B4" w:rsidP="00B27E92">
      <w:pPr>
        <w:ind w:left="851"/>
        <w:rPr>
          <w:rFonts w:cs="Arial"/>
          <w:i/>
          <w:color w:val="333333"/>
          <w:lang w:val="en-US"/>
        </w:rPr>
      </w:pPr>
      <w:r w:rsidRPr="00B27E92">
        <w:rPr>
          <w:rFonts w:cs="Arial"/>
          <w:i/>
          <w:color w:val="333333"/>
          <w:lang w:val="en-US"/>
        </w:rPr>
        <w:t>drive.google.com/file/d/0B8iXiItOrl5aRTNwZjdJUE9PQnc/edit?pli=1</w:t>
      </w:r>
    </w:p>
    <w:p w:rsidR="00A100B4" w:rsidRPr="003B2F9A" w:rsidRDefault="00A100B4" w:rsidP="003B2F9A">
      <w:pPr>
        <w:spacing w:before="120" w:after="120" w:line="240" w:lineRule="auto"/>
        <w:rPr>
          <w:rFonts w:cs="Arial"/>
          <w:szCs w:val="22"/>
        </w:rPr>
      </w:pPr>
      <w:r w:rsidRPr="003B2F9A">
        <w:rPr>
          <w:rFonts w:cs="Arial"/>
          <w:szCs w:val="22"/>
        </w:rPr>
        <w:t xml:space="preserve">Ainda em dezembro deu-se início à criação de uma Matriz Institucional, com a identificação dos principais atores e grupos sociais na AID, mais especificamente Amparo e Pedreira inicialmente, visando à sua identificação, seu grau de organização e sua capacidade de participação, assim como identificar os impactos percebidos até então, na fase de planejamento, relacionados às expectativas e apreensões da população quanto à implantação dos empreendimentos. </w:t>
      </w:r>
    </w:p>
    <w:p w:rsidR="00A100B4" w:rsidRPr="003B2F9A" w:rsidRDefault="00A100B4" w:rsidP="003B2F9A">
      <w:pPr>
        <w:spacing w:before="120" w:after="120" w:line="240" w:lineRule="auto"/>
        <w:rPr>
          <w:rFonts w:cs="Arial"/>
          <w:szCs w:val="22"/>
        </w:rPr>
      </w:pPr>
      <w:r w:rsidRPr="003B2F9A">
        <w:rPr>
          <w:rFonts w:cs="Arial"/>
          <w:szCs w:val="22"/>
        </w:rPr>
        <w:t xml:space="preserve">Com base nesse primeiro esboço de Matriz Institucional foi elaborado e posto em prática o 1º Levantamento de Expectativas e Pareceres da População da AID e ADAs, no qual foram realizadas diversas entrevistas, por meio de um roteiro (em anexo), a buscar o conhecimento do que pensam acerca da construção das barragens e o que esperam como medidas mitigadoras para atenuar os impactos que sobrevirão esses atores e grupos sociais. </w:t>
      </w:r>
    </w:p>
    <w:p w:rsidR="00A100B4" w:rsidRDefault="00A100B4" w:rsidP="003B2F9A">
      <w:pPr>
        <w:spacing w:before="120" w:after="120" w:line="240" w:lineRule="auto"/>
        <w:rPr>
          <w:rFonts w:cs="Arial"/>
          <w:szCs w:val="22"/>
        </w:rPr>
      </w:pPr>
      <w:r w:rsidRPr="003B2F9A">
        <w:rPr>
          <w:rFonts w:cs="Arial"/>
          <w:szCs w:val="22"/>
        </w:rPr>
        <w:t>Nesse processo foram abordados: prefeitos, secretários municipais com atuação afim, vereadores, representantes de órgãos públicos municipais, pessoas dadas como referência em sua cidade, ambientalistas e algumas famílias serem atingidas. Foram entrevistadas nove pessoas em Amparo e 13 em Pedreira e as principais preocupações estão a seguir apontadas.</w:t>
      </w:r>
    </w:p>
    <w:p w:rsidR="006F4A2D" w:rsidRPr="003B2F9A" w:rsidRDefault="006F4A2D" w:rsidP="006F4A2D">
      <w:pPr>
        <w:spacing w:line="240" w:lineRule="auto"/>
        <w:rPr>
          <w:rFonts w:cs="Arial"/>
          <w:szCs w:val="22"/>
        </w:rPr>
      </w:pPr>
    </w:p>
    <w:p w:rsidR="00A100B4" w:rsidRPr="00FD2308" w:rsidRDefault="00A100B4" w:rsidP="00A100B4">
      <w:pPr>
        <w:rPr>
          <w:b/>
        </w:rPr>
      </w:pPr>
      <w:r w:rsidRPr="00FD2308">
        <w:rPr>
          <w:b/>
        </w:rPr>
        <w:t>Temas na Barragem Duas Pontes</w:t>
      </w:r>
    </w:p>
    <w:p w:rsidR="00810CA3" w:rsidRDefault="00A100B4" w:rsidP="00431A97">
      <w:pPr>
        <w:pStyle w:val="Item-Trainho"/>
        <w:numPr>
          <w:ilvl w:val="0"/>
          <w:numId w:val="81"/>
        </w:numPr>
        <w:rPr>
          <w:rStyle w:val="CorpodeTexto0"/>
        </w:rPr>
      </w:pPr>
      <w:r w:rsidRPr="00810CA3">
        <w:rPr>
          <w:rStyle w:val="CorpodeTexto0"/>
        </w:rPr>
        <w:t>Nesse município a preocupação maior envolve o impacto da desapropriação, indenização, relocação, garantia de justeza dos valores e insegurança das famílias da ADA, porque a maioria vive na área há décadas (gerações), vive do trabalho nas propriedades e não visualizam projeto de vida em outro lugar.</w:t>
      </w:r>
    </w:p>
    <w:p w:rsidR="00A100B4" w:rsidRPr="00810CA3" w:rsidRDefault="00A100B4" w:rsidP="00431A97">
      <w:pPr>
        <w:pStyle w:val="Item-Trainho"/>
        <w:numPr>
          <w:ilvl w:val="0"/>
          <w:numId w:val="81"/>
        </w:numPr>
        <w:rPr>
          <w:rStyle w:val="CorpodeTexto0"/>
        </w:rPr>
      </w:pPr>
      <w:r w:rsidRPr="00810CA3">
        <w:rPr>
          <w:rStyle w:val="CorpodeTexto0"/>
        </w:rPr>
        <w:t>As famílias da ADA que serão atingidas apenas pela área reservada para APP requisitam poder negociar a permanência no local, mantendo seus sítios.</w:t>
      </w:r>
    </w:p>
    <w:p w:rsidR="00A100B4" w:rsidRPr="00810CA3" w:rsidRDefault="00A100B4" w:rsidP="00431A97">
      <w:pPr>
        <w:pStyle w:val="Item-Trainho"/>
        <w:numPr>
          <w:ilvl w:val="0"/>
          <w:numId w:val="81"/>
        </w:numPr>
        <w:rPr>
          <w:rStyle w:val="CorpodeTexto0"/>
        </w:rPr>
      </w:pPr>
      <w:r w:rsidRPr="00810CA3">
        <w:rPr>
          <w:rStyle w:val="CorpodeTexto0"/>
        </w:rPr>
        <w:t>Solicitam que todos os técnicos que precisem ter acesso às suas áreas tenham carta de apresentação e crachá e estejam aptos a dar informações fidedignas acerca do trabalho a ser executado.</w:t>
      </w:r>
    </w:p>
    <w:p w:rsidR="00A100B4" w:rsidRPr="00810CA3" w:rsidRDefault="00A100B4" w:rsidP="00431A97">
      <w:pPr>
        <w:pStyle w:val="Item-Trainho"/>
        <w:numPr>
          <w:ilvl w:val="0"/>
          <w:numId w:val="81"/>
        </w:numPr>
        <w:rPr>
          <w:rStyle w:val="CorpodeTexto0"/>
        </w:rPr>
      </w:pPr>
      <w:r w:rsidRPr="00810CA3">
        <w:rPr>
          <w:rStyle w:val="CorpodeTexto0"/>
        </w:rPr>
        <w:t>Pedem a demarcação da área de inundação e da APP o quanto antes, de modo a poderem se planejar.</w:t>
      </w:r>
    </w:p>
    <w:p w:rsidR="00A100B4" w:rsidRPr="00FD2308" w:rsidRDefault="00A100B4" w:rsidP="00A100B4">
      <w:pPr>
        <w:rPr>
          <w:b/>
        </w:rPr>
      </w:pPr>
      <w:r w:rsidRPr="00FD2308">
        <w:rPr>
          <w:b/>
        </w:rPr>
        <w:t xml:space="preserve">Temas na Barragem Pedreira </w:t>
      </w:r>
    </w:p>
    <w:p w:rsidR="00A100B4" w:rsidRPr="00810CA3" w:rsidRDefault="00A100B4" w:rsidP="00431A97">
      <w:pPr>
        <w:pStyle w:val="Item-Trainho"/>
        <w:numPr>
          <w:ilvl w:val="0"/>
          <w:numId w:val="82"/>
        </w:numPr>
        <w:rPr>
          <w:rStyle w:val="CorpodeTexto0"/>
        </w:rPr>
      </w:pPr>
      <w:r w:rsidRPr="00810CA3">
        <w:rPr>
          <w:rStyle w:val="CorpodeTexto0"/>
        </w:rPr>
        <w:t>Preocupam-se pelo fato de a Barragem estar planejada para a montante da sede municipal, devido ao suposto risco que traz à população (em caso de rompimento). Todavia, em geral, não são contra a barragem em si.</w:t>
      </w:r>
    </w:p>
    <w:p w:rsidR="00A100B4" w:rsidRPr="00810CA3" w:rsidRDefault="00A100B4" w:rsidP="00431A97">
      <w:pPr>
        <w:pStyle w:val="Item-Trainho"/>
        <w:numPr>
          <w:ilvl w:val="0"/>
          <w:numId w:val="82"/>
        </w:numPr>
        <w:rPr>
          <w:rStyle w:val="CorpodeTexto0"/>
        </w:rPr>
      </w:pPr>
      <w:r w:rsidRPr="00810CA3">
        <w:rPr>
          <w:rStyle w:val="CorpodeTexto0"/>
        </w:rPr>
        <w:t xml:space="preserve">Outras preocupações: perda de grande número de nascentes e mananciais existentes a exigir recuperação; perda da pouca vegetação/flora restante no município; perda de bens histórico-patrimonais, como a PCH Macaco Branco e a Fazenda Roseira; perda de animais em extinção ainda encontrados na região; </w:t>
      </w:r>
    </w:p>
    <w:p w:rsidR="00A100B4" w:rsidRPr="00810CA3" w:rsidRDefault="00A100B4" w:rsidP="00431A97">
      <w:pPr>
        <w:pStyle w:val="Item-Trainho"/>
        <w:numPr>
          <w:ilvl w:val="0"/>
          <w:numId w:val="82"/>
        </w:numPr>
        <w:rPr>
          <w:rStyle w:val="CorpodeTexto0"/>
        </w:rPr>
      </w:pPr>
      <w:r w:rsidRPr="00810CA3">
        <w:rPr>
          <w:rStyle w:val="CorpodeTexto0"/>
        </w:rPr>
        <w:t>Preocupação com o uso e a ocupação da Área de Preservação Permanente (APP), pois almejam a preservação ambiental dessas áreas e rejeitam o uso para projeto de condomínios ou infraestrutura para turismo "de luxo".</w:t>
      </w:r>
    </w:p>
    <w:p w:rsidR="00A100B4" w:rsidRPr="00810CA3" w:rsidRDefault="00A100B4" w:rsidP="00431A97">
      <w:pPr>
        <w:pStyle w:val="Item-Trainho"/>
        <w:numPr>
          <w:ilvl w:val="0"/>
          <w:numId w:val="82"/>
        </w:numPr>
        <w:rPr>
          <w:rStyle w:val="CorpodeTexto0"/>
        </w:rPr>
      </w:pPr>
      <w:r w:rsidRPr="00810CA3">
        <w:rPr>
          <w:rStyle w:val="CorpodeTexto0"/>
        </w:rPr>
        <w:t xml:space="preserve">Há muita preocupação quanto às desapropriações, relocações, preços justos e à incerteza em que se encontram, solicitam informações mais precisas com urgência. Assinala-se que, na Barragem de Pedreira, a maioria das famílias residentes preocupa-se principalmente com a justeza das indenizações. </w:t>
      </w:r>
    </w:p>
    <w:p w:rsidR="00A100B4" w:rsidRPr="00810CA3" w:rsidRDefault="00A100B4" w:rsidP="00431A97">
      <w:pPr>
        <w:pStyle w:val="Item-Trainho"/>
        <w:numPr>
          <w:ilvl w:val="0"/>
          <w:numId w:val="82"/>
        </w:numPr>
        <w:rPr>
          <w:rStyle w:val="CorpodeTexto0"/>
        </w:rPr>
      </w:pPr>
      <w:r w:rsidRPr="00810CA3">
        <w:rPr>
          <w:rStyle w:val="CorpodeTexto0"/>
        </w:rPr>
        <w:t>Solicitam que todos os técnicos que precisem ter acesso às suas áreas tenham carta de apresentação e crachá e estejam aptos a dar informações fidedignas acerca do trabalho a ser executado.</w:t>
      </w:r>
    </w:p>
    <w:p w:rsidR="00A100B4" w:rsidRPr="00810CA3" w:rsidRDefault="00A100B4" w:rsidP="00431A97">
      <w:pPr>
        <w:pStyle w:val="Item-Trainho"/>
        <w:numPr>
          <w:ilvl w:val="0"/>
          <w:numId w:val="82"/>
        </w:numPr>
        <w:rPr>
          <w:rStyle w:val="CorpodeTexto0"/>
        </w:rPr>
      </w:pPr>
      <w:r w:rsidRPr="00810CA3">
        <w:rPr>
          <w:rStyle w:val="CorpodeTexto0"/>
        </w:rPr>
        <w:t>Preocupação com a construção de escadas para peixe por temerem que a adoção apenas de elevadores possa alterar a capacidade reprodutiva dos peixes.</w:t>
      </w:r>
    </w:p>
    <w:p w:rsidR="00A100B4" w:rsidRPr="00810CA3" w:rsidRDefault="00A100B4" w:rsidP="00431A97">
      <w:pPr>
        <w:pStyle w:val="Item-Trainho"/>
        <w:numPr>
          <w:ilvl w:val="0"/>
          <w:numId w:val="82"/>
        </w:numPr>
        <w:rPr>
          <w:rStyle w:val="CorpodeTexto0"/>
        </w:rPr>
      </w:pPr>
      <w:r w:rsidRPr="00810CA3">
        <w:rPr>
          <w:rStyle w:val="CorpodeTexto0"/>
        </w:rPr>
        <w:t>Consideram que, se as barragens fossem construídas com concreto e não aterro compactado, haveria maior segurança ao município.</w:t>
      </w:r>
    </w:p>
    <w:p w:rsidR="00A100B4" w:rsidRPr="00810CA3" w:rsidRDefault="00A100B4" w:rsidP="00431A97">
      <w:pPr>
        <w:pStyle w:val="Item-Trainho"/>
        <w:numPr>
          <w:ilvl w:val="0"/>
          <w:numId w:val="82"/>
        </w:numPr>
        <w:rPr>
          <w:rStyle w:val="CorpodeTexto0"/>
        </w:rPr>
      </w:pPr>
      <w:r w:rsidRPr="00810CA3">
        <w:rPr>
          <w:rStyle w:val="CorpodeTexto0"/>
        </w:rPr>
        <w:t xml:space="preserve">Esperam comportamento transparente por parte do empreendedor, informação, agilidade na divulgação e sua presença constante em reuniões locais. </w:t>
      </w:r>
    </w:p>
    <w:p w:rsidR="00A100B4" w:rsidRPr="003B2F9A" w:rsidRDefault="00A100B4" w:rsidP="003B2F9A">
      <w:pPr>
        <w:spacing w:before="120" w:after="120" w:line="240" w:lineRule="auto"/>
        <w:rPr>
          <w:rFonts w:cs="Arial"/>
          <w:szCs w:val="22"/>
        </w:rPr>
      </w:pPr>
      <w:r w:rsidRPr="003B2F9A">
        <w:rPr>
          <w:rFonts w:cs="Arial"/>
          <w:szCs w:val="22"/>
        </w:rPr>
        <w:t>O Programa de Comunicação Social, assim como a Pesquisa de Caracterização da População Afetada (ver em item do diagnóstico ambiental) possibilitaram o conhecimento da população envolvida nos projetos, dando para o poder público instrumentos para manter um relacionamento fundamentado, de modo a reduzir as perdas e as dificuldades inexoravelmente trazidas por um evento tal qual a construção de barragens ou outro grande projeto.</w:t>
      </w:r>
    </w:p>
    <w:p w:rsidR="00A100B4" w:rsidRPr="00FD2308" w:rsidRDefault="00A100B4" w:rsidP="00431A97">
      <w:pPr>
        <w:pStyle w:val="Ttulo3"/>
        <w:numPr>
          <w:ilvl w:val="3"/>
          <w:numId w:val="84"/>
        </w:numPr>
        <w:rPr>
          <w:rFonts w:ascii="Arial Negrito" w:hAnsi="Arial Negrito"/>
          <w:bCs/>
        </w:rPr>
      </w:pPr>
      <w:bookmarkStart w:id="1397" w:name="_Toc418758523"/>
      <w:bookmarkStart w:id="1398" w:name="_Toc418759125"/>
      <w:bookmarkStart w:id="1399" w:name="_Toc419813910"/>
      <w:r w:rsidRPr="00FD2308">
        <w:rPr>
          <w:rFonts w:ascii="Arial Negrito" w:hAnsi="Arial Negrito"/>
          <w:bCs/>
        </w:rPr>
        <w:t>Indicadores Ambientais</w:t>
      </w:r>
      <w:bookmarkEnd w:id="1397"/>
      <w:bookmarkEnd w:id="1398"/>
      <w:bookmarkEnd w:id="1399"/>
    </w:p>
    <w:p w:rsidR="00A100B4" w:rsidRPr="003B2F9A" w:rsidRDefault="00A100B4" w:rsidP="003B2F9A">
      <w:pPr>
        <w:spacing w:before="120" w:after="120" w:line="240" w:lineRule="auto"/>
        <w:rPr>
          <w:rFonts w:cs="Arial"/>
          <w:szCs w:val="22"/>
        </w:rPr>
      </w:pPr>
      <w:r w:rsidRPr="003B2F9A">
        <w:rPr>
          <w:rFonts w:cs="Arial"/>
          <w:szCs w:val="22"/>
        </w:rPr>
        <w:t>O processo de comunicação deve se basear na verdade, transparência e na confiança entre as partes, e, por se tratar de um mecanismo dinâmico, esses três pilares devem ser respeitados para a sustentabilidade das ações. </w:t>
      </w:r>
    </w:p>
    <w:p w:rsidR="00A100B4" w:rsidRPr="003B2F9A" w:rsidRDefault="00A100B4" w:rsidP="003B2F9A">
      <w:pPr>
        <w:spacing w:before="120" w:after="120" w:line="240" w:lineRule="auto"/>
        <w:rPr>
          <w:rFonts w:cs="Arial"/>
          <w:szCs w:val="22"/>
        </w:rPr>
      </w:pPr>
      <w:r w:rsidRPr="003B2F9A">
        <w:rPr>
          <w:rFonts w:cs="Arial"/>
          <w:szCs w:val="22"/>
        </w:rPr>
        <w:t>Serão indicadores desse PCS a detecção do grau de satisfação com as informações dadas aos afetados pelas Barragens diretamente e às negociações realizadas, por meio de utilização de instrumento de avaliação (questionário), a ser aplicado antes da mudança de cada família.</w:t>
      </w:r>
    </w:p>
    <w:p w:rsidR="00A100B4" w:rsidRPr="00FD2308" w:rsidRDefault="00FD2308" w:rsidP="00FD2308">
      <w:pPr>
        <w:pStyle w:val="Ttulo3"/>
        <w:rPr>
          <w:rFonts w:ascii="Arial Negrito" w:hAnsi="Arial Negrito"/>
          <w:bCs/>
        </w:rPr>
      </w:pPr>
      <w:bookmarkStart w:id="1400" w:name="_Toc418758524"/>
      <w:bookmarkStart w:id="1401" w:name="_Toc418759126"/>
      <w:bookmarkStart w:id="1402" w:name="_Toc419813911"/>
      <w:r>
        <w:rPr>
          <w:rFonts w:ascii="Arial Negrito" w:hAnsi="Arial Negrito"/>
          <w:bCs/>
        </w:rPr>
        <w:t xml:space="preserve">3.5.1.7. </w:t>
      </w:r>
      <w:r w:rsidR="00A100B4" w:rsidRPr="00FD2308">
        <w:rPr>
          <w:rFonts w:ascii="Arial Negrito" w:hAnsi="Arial Negrito"/>
          <w:bCs/>
        </w:rPr>
        <w:t>Recursos Materiais e Humanos</w:t>
      </w:r>
      <w:bookmarkEnd w:id="1400"/>
      <w:bookmarkEnd w:id="1401"/>
      <w:bookmarkEnd w:id="1402"/>
    </w:p>
    <w:p w:rsidR="00A100B4" w:rsidRPr="003B2F9A" w:rsidRDefault="00A100B4" w:rsidP="003B2F9A">
      <w:pPr>
        <w:spacing w:before="120" w:after="120" w:line="240" w:lineRule="auto"/>
        <w:rPr>
          <w:rFonts w:cs="Arial"/>
          <w:szCs w:val="22"/>
        </w:rPr>
      </w:pPr>
      <w:r w:rsidRPr="003B2F9A">
        <w:rPr>
          <w:rFonts w:cs="Arial"/>
          <w:szCs w:val="22"/>
        </w:rPr>
        <w:t>O Empreendedor deverá contratar os serviços de profissionais especializados em comunicação social para proferir aulas e palestras temáticas, e a articulação e organização do Programa de Educação Ambiental (PEA) deverão ser executadas pela equipe do Plano Básico Ambiental - PBA responsável pelo PEA.</w:t>
      </w:r>
    </w:p>
    <w:p w:rsidR="00A100B4" w:rsidRPr="00FD2308" w:rsidRDefault="00FD2308" w:rsidP="00FD2308">
      <w:pPr>
        <w:pStyle w:val="Ttulo3"/>
        <w:rPr>
          <w:rFonts w:ascii="Arial Negrito" w:hAnsi="Arial Negrito"/>
          <w:bCs/>
        </w:rPr>
      </w:pPr>
      <w:bookmarkStart w:id="1403" w:name="_Toc418758525"/>
      <w:bookmarkStart w:id="1404" w:name="_Toc418759127"/>
      <w:bookmarkStart w:id="1405" w:name="_Toc419813912"/>
      <w:r>
        <w:rPr>
          <w:rFonts w:ascii="Arial Negrito" w:hAnsi="Arial Negrito"/>
          <w:bCs/>
        </w:rPr>
        <w:t xml:space="preserve">3.5.1.8. </w:t>
      </w:r>
      <w:r w:rsidR="00A100B4" w:rsidRPr="00FD2308">
        <w:rPr>
          <w:rFonts w:ascii="Arial Negrito" w:hAnsi="Arial Negrito"/>
          <w:bCs/>
        </w:rPr>
        <w:t>Atendimento a Requisitos Legais e/ou Outros Requisitos</w:t>
      </w:r>
      <w:bookmarkEnd w:id="1403"/>
      <w:bookmarkEnd w:id="1404"/>
      <w:bookmarkEnd w:id="1405"/>
    </w:p>
    <w:p w:rsidR="00A100B4" w:rsidRPr="003B2F9A" w:rsidRDefault="00A100B4" w:rsidP="003B2F9A">
      <w:pPr>
        <w:spacing w:before="120" w:after="120" w:line="240" w:lineRule="auto"/>
        <w:rPr>
          <w:rFonts w:cs="Arial"/>
          <w:szCs w:val="22"/>
        </w:rPr>
      </w:pPr>
      <w:r w:rsidRPr="003B2F9A">
        <w:rPr>
          <w:rFonts w:cs="Arial"/>
          <w:szCs w:val="22"/>
        </w:rPr>
        <w:t xml:space="preserve">O programa atende ao disposto no Termo de Referência para a elaboração do EIA/RIMA das Barragens Pedreira e Duas Pontes, apresentado no Parecer Técnico </w:t>
      </w:r>
      <w:r w:rsidR="00D94BB1">
        <w:rPr>
          <w:rFonts w:cs="Arial"/>
          <w:szCs w:val="22"/>
        </w:rPr>
        <w:t>n</w:t>
      </w:r>
      <w:r w:rsidR="00D94BB1" w:rsidRPr="00D94BB1">
        <w:rPr>
          <w:rFonts w:cs="Arial"/>
          <w:szCs w:val="22"/>
          <w:u w:val="single"/>
          <w:vertAlign w:val="superscript"/>
        </w:rPr>
        <w:t>o</w:t>
      </w:r>
      <w:r w:rsidRPr="003B2F9A">
        <w:rPr>
          <w:rFonts w:cs="Arial"/>
          <w:szCs w:val="22"/>
        </w:rPr>
        <w:t xml:space="preserve"> 410/13/IE de 28/08/2013, Processo 189/13.</w:t>
      </w:r>
    </w:p>
    <w:p w:rsidR="00A100B4" w:rsidRPr="00FD2308" w:rsidRDefault="00FD2308" w:rsidP="00FD2308">
      <w:pPr>
        <w:pStyle w:val="Ttulo3"/>
        <w:rPr>
          <w:rFonts w:ascii="Arial Negrito" w:hAnsi="Arial Negrito"/>
          <w:bCs/>
        </w:rPr>
      </w:pPr>
      <w:bookmarkStart w:id="1406" w:name="_Toc418758526"/>
      <w:bookmarkStart w:id="1407" w:name="_Toc418759128"/>
      <w:bookmarkStart w:id="1408" w:name="_Toc419813913"/>
      <w:r>
        <w:rPr>
          <w:rFonts w:ascii="Arial Negrito" w:hAnsi="Arial Negrito"/>
          <w:bCs/>
        </w:rPr>
        <w:t xml:space="preserve">3.5.1.9. </w:t>
      </w:r>
      <w:r w:rsidR="00A100B4" w:rsidRPr="00FD2308">
        <w:rPr>
          <w:rFonts w:ascii="Arial Negrito" w:hAnsi="Arial Negrito"/>
          <w:bCs/>
        </w:rPr>
        <w:t>Inter-relação com outros Planos e Programas</w:t>
      </w:r>
      <w:bookmarkEnd w:id="1406"/>
      <w:bookmarkEnd w:id="1407"/>
      <w:bookmarkEnd w:id="1408"/>
    </w:p>
    <w:p w:rsidR="00A100B4" w:rsidRPr="003B2F9A" w:rsidRDefault="00A100B4" w:rsidP="003B2F9A">
      <w:pPr>
        <w:spacing w:before="120" w:after="120" w:line="240" w:lineRule="auto"/>
        <w:rPr>
          <w:rFonts w:cs="Arial"/>
          <w:szCs w:val="22"/>
        </w:rPr>
      </w:pPr>
      <w:r w:rsidRPr="003B2F9A">
        <w:rPr>
          <w:rFonts w:cs="Arial"/>
          <w:szCs w:val="22"/>
        </w:rPr>
        <w:t xml:space="preserve">O Programa de Comunicação Social deverá interagir com todos os programas que tenham informações para divulgação entre seu público-alvo, como o Programa de Educação Ambiental; o Programa de Desapropriação, Indenização, Relocação e Apoio às Famílias Atingidas: </w:t>
      </w:r>
    </w:p>
    <w:p w:rsidR="00A100B4" w:rsidRPr="00FD2308" w:rsidRDefault="00FD2308" w:rsidP="00FD2308">
      <w:pPr>
        <w:pStyle w:val="Ttulo3"/>
        <w:rPr>
          <w:rFonts w:ascii="Arial Negrito" w:hAnsi="Arial Negrito"/>
          <w:bCs/>
        </w:rPr>
      </w:pPr>
      <w:bookmarkStart w:id="1409" w:name="_Toc418758527"/>
      <w:bookmarkStart w:id="1410" w:name="_Toc418759129"/>
      <w:bookmarkStart w:id="1411" w:name="_Toc419813914"/>
      <w:r>
        <w:rPr>
          <w:rFonts w:ascii="Arial Negrito" w:hAnsi="Arial Negrito"/>
          <w:bCs/>
        </w:rPr>
        <w:t xml:space="preserve">3.5.1.10. </w:t>
      </w:r>
      <w:r w:rsidR="00A100B4" w:rsidRPr="00FD2308">
        <w:rPr>
          <w:rFonts w:ascii="Arial Negrito" w:hAnsi="Arial Negrito"/>
          <w:bCs/>
        </w:rPr>
        <w:t>Etapa dos Empreendimentos</w:t>
      </w:r>
      <w:bookmarkEnd w:id="1409"/>
      <w:bookmarkEnd w:id="1410"/>
      <w:bookmarkEnd w:id="1411"/>
    </w:p>
    <w:p w:rsidR="00A100B4" w:rsidRPr="003B2F9A" w:rsidRDefault="00A100B4" w:rsidP="003B2F9A">
      <w:pPr>
        <w:spacing w:before="120" w:after="120" w:line="240" w:lineRule="auto"/>
        <w:rPr>
          <w:rFonts w:cs="Arial"/>
          <w:szCs w:val="22"/>
        </w:rPr>
      </w:pPr>
      <w:r w:rsidRPr="003B2F9A">
        <w:rPr>
          <w:rFonts w:cs="Arial"/>
          <w:szCs w:val="22"/>
        </w:rPr>
        <w:t>O Programa de Comunicação Social deverá perpassar todas as etapas do licenciamento ambiental: planejamento, implantação operação e desmobilização.</w:t>
      </w:r>
    </w:p>
    <w:p w:rsidR="00A100B4" w:rsidRPr="00FD2308" w:rsidRDefault="00FD2308" w:rsidP="00FD2308">
      <w:pPr>
        <w:pStyle w:val="Ttulo3"/>
        <w:rPr>
          <w:rFonts w:ascii="Arial Negrito" w:hAnsi="Arial Negrito"/>
          <w:bCs/>
        </w:rPr>
      </w:pPr>
      <w:bookmarkStart w:id="1412" w:name="_Toc418758528"/>
      <w:bookmarkStart w:id="1413" w:name="_Toc418759130"/>
      <w:bookmarkStart w:id="1414" w:name="_Toc419813915"/>
      <w:r>
        <w:rPr>
          <w:rFonts w:ascii="Arial Negrito" w:hAnsi="Arial Negrito"/>
          <w:bCs/>
        </w:rPr>
        <w:t xml:space="preserve">3.5.1.11. </w:t>
      </w:r>
      <w:r w:rsidR="00A100B4" w:rsidRPr="00FD2308">
        <w:rPr>
          <w:rFonts w:ascii="Arial Negrito" w:hAnsi="Arial Negrito"/>
          <w:bCs/>
        </w:rPr>
        <w:t>Cronograma de Execução</w:t>
      </w:r>
      <w:bookmarkEnd w:id="1412"/>
      <w:bookmarkEnd w:id="1413"/>
      <w:bookmarkEnd w:id="1414"/>
      <w:r w:rsidR="00A100B4" w:rsidRPr="00FD2308">
        <w:rPr>
          <w:rFonts w:ascii="Arial Negrito" w:hAnsi="Arial Negrito"/>
          <w:bCs/>
        </w:rPr>
        <w:t xml:space="preserve"> </w:t>
      </w:r>
    </w:p>
    <w:p w:rsidR="00A100B4" w:rsidRPr="003B2F9A" w:rsidRDefault="00A100B4" w:rsidP="003B2F9A">
      <w:pPr>
        <w:spacing w:before="120" w:after="120" w:line="240" w:lineRule="auto"/>
        <w:rPr>
          <w:rFonts w:cs="Arial"/>
          <w:szCs w:val="22"/>
        </w:rPr>
      </w:pPr>
      <w:r w:rsidRPr="003B2F9A">
        <w:rPr>
          <w:rFonts w:cs="Arial"/>
          <w:szCs w:val="22"/>
        </w:rPr>
        <w:t>O Programa de Comunicação Social deverá acompanhar as fases de implantação, de operação e de desmobilização, com ações efetivas e objetivas.</w:t>
      </w:r>
    </w:p>
    <w:p w:rsidR="00A100B4" w:rsidRPr="00FD2308" w:rsidRDefault="00FD2308" w:rsidP="00FD2308">
      <w:pPr>
        <w:pStyle w:val="Ttulo3"/>
        <w:rPr>
          <w:rFonts w:ascii="Arial Negrito" w:hAnsi="Arial Negrito"/>
          <w:bCs/>
        </w:rPr>
      </w:pPr>
      <w:bookmarkStart w:id="1415" w:name="_Toc418758529"/>
      <w:bookmarkStart w:id="1416" w:name="_Toc418759131"/>
      <w:bookmarkStart w:id="1417" w:name="_Toc419813916"/>
      <w:r>
        <w:rPr>
          <w:rFonts w:ascii="Arial Negrito" w:hAnsi="Arial Negrito"/>
          <w:bCs/>
        </w:rPr>
        <w:t xml:space="preserve">3.5.1.12. </w:t>
      </w:r>
      <w:r w:rsidR="00A100B4" w:rsidRPr="00FD2308">
        <w:rPr>
          <w:rFonts w:ascii="Arial Negrito" w:hAnsi="Arial Negrito"/>
          <w:bCs/>
        </w:rPr>
        <w:t>Responsável pela Implementação do Programa</w:t>
      </w:r>
      <w:bookmarkEnd w:id="1415"/>
      <w:bookmarkEnd w:id="1416"/>
      <w:bookmarkEnd w:id="1417"/>
    </w:p>
    <w:p w:rsidR="00A100B4" w:rsidRPr="003B2F9A" w:rsidRDefault="00A100B4" w:rsidP="003B2F9A">
      <w:pPr>
        <w:spacing w:before="120" w:after="120" w:line="240" w:lineRule="auto"/>
        <w:rPr>
          <w:rFonts w:cs="Arial"/>
          <w:szCs w:val="22"/>
        </w:rPr>
      </w:pPr>
      <w:r w:rsidRPr="003B2F9A">
        <w:rPr>
          <w:rFonts w:cs="Arial"/>
          <w:szCs w:val="22"/>
        </w:rPr>
        <w:t>A implementação do Programa de Comunicação Social deverá estar a cargo de equipe específica dentro da equipe consultora responsável pela elaboração do EIA - RIMA e pela implantação dos planos e programas solicitados e inserida no sistema de gerenciamento que o empreendedor estabelecer para tratar da implantação dos empreendimentos.</w:t>
      </w:r>
    </w:p>
    <w:p w:rsidR="00A100B4" w:rsidRPr="00FD2308" w:rsidRDefault="00FD2308" w:rsidP="00FD2308">
      <w:pPr>
        <w:pStyle w:val="Ttulo3"/>
        <w:rPr>
          <w:rFonts w:ascii="Arial Negrito" w:hAnsi="Arial Negrito"/>
          <w:bCs/>
        </w:rPr>
      </w:pPr>
      <w:bookmarkStart w:id="1418" w:name="_Toc418758530"/>
      <w:bookmarkStart w:id="1419" w:name="_Toc418759132"/>
      <w:bookmarkStart w:id="1420" w:name="_Toc419813917"/>
      <w:r>
        <w:rPr>
          <w:rFonts w:ascii="Arial Negrito" w:hAnsi="Arial Negrito"/>
          <w:bCs/>
        </w:rPr>
        <w:t xml:space="preserve">3.5.1.13. </w:t>
      </w:r>
      <w:r w:rsidR="00A100B4" w:rsidRPr="00FD2308">
        <w:rPr>
          <w:rFonts w:ascii="Arial Negrito" w:hAnsi="Arial Negrito"/>
          <w:bCs/>
        </w:rPr>
        <w:t>Sistemas de Registros</w:t>
      </w:r>
      <w:bookmarkEnd w:id="1418"/>
      <w:bookmarkEnd w:id="1419"/>
      <w:bookmarkEnd w:id="1420"/>
    </w:p>
    <w:p w:rsidR="00A100B4" w:rsidRPr="003B2F9A" w:rsidRDefault="00A100B4" w:rsidP="003B2F9A">
      <w:pPr>
        <w:spacing w:before="120" w:after="120" w:line="240" w:lineRule="auto"/>
        <w:rPr>
          <w:rFonts w:cs="Arial"/>
          <w:szCs w:val="22"/>
        </w:rPr>
      </w:pPr>
      <w:r w:rsidRPr="003B2F9A">
        <w:rPr>
          <w:rFonts w:cs="Arial"/>
          <w:szCs w:val="22"/>
        </w:rPr>
        <w:t>O passo-a-passo do PCS deverá gerar, a cada ação, uma notificação na agenda do programa, abrangendo seus objetivos e seus resultados, o que deverá ser sistematizado em relatório a ser encaminhado à CETESB semestralmente.</w:t>
      </w:r>
    </w:p>
    <w:p w:rsidR="00A100B4" w:rsidRPr="00FD2308" w:rsidRDefault="00FD2308" w:rsidP="00FD2308">
      <w:pPr>
        <w:pStyle w:val="Ttulo3"/>
        <w:rPr>
          <w:rFonts w:ascii="Arial Negrito" w:hAnsi="Arial Negrito"/>
          <w:bCs/>
        </w:rPr>
      </w:pPr>
      <w:bookmarkStart w:id="1421" w:name="_Toc418758531"/>
      <w:bookmarkStart w:id="1422" w:name="_Toc418759133"/>
      <w:bookmarkStart w:id="1423" w:name="_Toc419813918"/>
      <w:r>
        <w:rPr>
          <w:rFonts w:ascii="Arial Negrito" w:hAnsi="Arial Negrito"/>
          <w:bCs/>
        </w:rPr>
        <w:t xml:space="preserve">3.5.1.14. </w:t>
      </w:r>
      <w:r w:rsidR="00A100B4" w:rsidRPr="00FD2308">
        <w:rPr>
          <w:rFonts w:ascii="Arial Negrito" w:hAnsi="Arial Negrito"/>
          <w:bCs/>
        </w:rPr>
        <w:t>Referências Bibliográficas</w:t>
      </w:r>
      <w:bookmarkEnd w:id="1421"/>
      <w:bookmarkEnd w:id="1422"/>
      <w:bookmarkEnd w:id="1423"/>
    </w:p>
    <w:p w:rsidR="00A100B4" w:rsidRPr="00CD135F" w:rsidRDefault="00A100B4" w:rsidP="00FD2308">
      <w:pPr>
        <w:pStyle w:val="Item-Trainho"/>
      </w:pPr>
      <w:r w:rsidRPr="009A574B">
        <w:t xml:space="preserve">TIAGO Fº, Geraldo Lucio; GALHARDO, Camila Rocha. Uso da comunicação social como instrumento para o licenciamento ambiental de PCH. </w:t>
      </w:r>
      <w:r w:rsidRPr="00CD135F">
        <w:t xml:space="preserve">In: </w:t>
      </w:r>
      <w:r w:rsidRPr="003D59C1">
        <w:t>Scielo Proceedings</w:t>
      </w:r>
      <w:r w:rsidRPr="00CD135F">
        <w:t>; An. 6. Enc. Energ. Meio Rural. 2006.</w:t>
      </w:r>
    </w:p>
    <w:p w:rsidR="007C22CC" w:rsidRPr="00FD2308" w:rsidRDefault="00825AAD" w:rsidP="00825AAD">
      <w:pPr>
        <w:pStyle w:val="Ttulo3"/>
        <w:rPr>
          <w:rFonts w:ascii="Arial Negrito" w:hAnsi="Arial Negrito"/>
          <w:bCs/>
        </w:rPr>
      </w:pPr>
      <w:bookmarkStart w:id="1424" w:name="_Toc419813919"/>
      <w:r>
        <w:rPr>
          <w:rFonts w:ascii="Arial Negrito" w:hAnsi="Arial Negrito"/>
          <w:bCs/>
        </w:rPr>
        <w:t xml:space="preserve">3.5.2. </w:t>
      </w:r>
      <w:bookmarkStart w:id="1425" w:name="_Toc418758532"/>
      <w:bookmarkStart w:id="1426" w:name="_Toc418759134"/>
      <w:r w:rsidR="00946FA3" w:rsidRPr="00FD2308">
        <w:rPr>
          <w:rFonts w:ascii="Arial Negrito" w:hAnsi="Arial Negrito"/>
          <w:bCs/>
        </w:rPr>
        <w:t>Programa de Educação Ambiental</w:t>
      </w:r>
      <w:bookmarkEnd w:id="1424"/>
      <w:bookmarkEnd w:id="1425"/>
      <w:bookmarkEnd w:id="1426"/>
    </w:p>
    <w:p w:rsidR="00F7710C" w:rsidRPr="00FD2308" w:rsidRDefault="00F7710C" w:rsidP="00431A97">
      <w:pPr>
        <w:pStyle w:val="Ttulo3"/>
        <w:numPr>
          <w:ilvl w:val="3"/>
          <w:numId w:val="71"/>
        </w:numPr>
        <w:rPr>
          <w:rFonts w:ascii="Arial Negrito" w:hAnsi="Arial Negrito"/>
          <w:bCs/>
        </w:rPr>
      </w:pPr>
      <w:bookmarkStart w:id="1427" w:name="_Toc418758533"/>
      <w:bookmarkStart w:id="1428" w:name="_Toc418759135"/>
      <w:bookmarkStart w:id="1429" w:name="_Toc419813920"/>
      <w:r w:rsidRPr="00FD2308">
        <w:rPr>
          <w:rFonts w:ascii="Arial Negrito" w:hAnsi="Arial Negrito"/>
          <w:bCs/>
        </w:rPr>
        <w:t>Apresentação e Justificativas</w:t>
      </w:r>
      <w:bookmarkEnd w:id="1427"/>
      <w:bookmarkEnd w:id="1428"/>
      <w:bookmarkEnd w:id="1429"/>
    </w:p>
    <w:p w:rsidR="00F7710C" w:rsidRPr="00F7710C" w:rsidRDefault="00F7710C" w:rsidP="00F7710C">
      <w:pPr>
        <w:spacing w:before="120" w:after="120" w:line="240" w:lineRule="auto"/>
        <w:rPr>
          <w:rFonts w:cs="Arial"/>
          <w:szCs w:val="22"/>
        </w:rPr>
      </w:pPr>
      <w:r w:rsidRPr="00F7710C">
        <w:rPr>
          <w:rFonts w:cs="Arial"/>
          <w:szCs w:val="22"/>
        </w:rPr>
        <w:t>O Programa de Educação Ambiental (PEA) justifica-se nas Áreas Diretamente Afetadas (ADAs) e na Área de Influência Direta (AID) das Barragens Pedreira e Duas Pontes para desenvolver ações educativas, formuladas por meio de um processo participativo, visando capacitar/habilitar setores sociais, com ênfase nos afetados diretamente pelos empreendimentos, minimizando os impactos ambientais e sociais, buscando uma atuação efetiva na melhoria da qualidade ambiental e de vida na região.</w:t>
      </w:r>
    </w:p>
    <w:p w:rsidR="00F7710C" w:rsidRPr="00F7710C" w:rsidRDefault="00F7710C" w:rsidP="00F7710C">
      <w:pPr>
        <w:spacing w:before="120" w:after="120" w:line="240" w:lineRule="auto"/>
        <w:rPr>
          <w:rFonts w:cs="Arial"/>
          <w:szCs w:val="22"/>
        </w:rPr>
      </w:pPr>
      <w:r w:rsidRPr="00F7710C">
        <w:rPr>
          <w:rFonts w:cs="Arial"/>
          <w:szCs w:val="22"/>
        </w:rPr>
        <w:t xml:space="preserve">Para a sociedade civil da Área de Influência Direta (AID) e para os moradores das áreas afetadas diretamente (ADA) das Barragens Pedreira e Duas Pontes, a questão ambiental é bastante presente e mobiliza organizações não governamentais, o poder público local, representados por ambos os Prefeitos dos municípios de Amparo e de Pedreira, assim como membros das respectivas Câmaras de Vereadores, entre outros setores interessados. Quanto à população afetada, a questão ambiental em torno dos rios que abrigarão as barragens — rio Camanducaia, Barragem Duas Pontes e rio Jaguari, Barragem Pedreira —, é tema levado a sério, cuja abordagem trata da sua conservação e do seu uso comum, como meio de ligação entre as comunidades e a natureza. </w:t>
      </w:r>
    </w:p>
    <w:p w:rsidR="00F7710C" w:rsidRPr="00F7710C" w:rsidRDefault="00F7710C" w:rsidP="00F7710C">
      <w:pPr>
        <w:spacing w:before="120" w:after="120" w:line="240" w:lineRule="auto"/>
        <w:rPr>
          <w:rFonts w:cs="Arial"/>
          <w:szCs w:val="22"/>
        </w:rPr>
      </w:pPr>
      <w:r w:rsidRPr="00F7710C">
        <w:rPr>
          <w:rFonts w:cs="Arial"/>
          <w:szCs w:val="22"/>
        </w:rPr>
        <w:t xml:space="preserve">As ações do Programa de Educação Ambiental, então, buscarão ampliar e aprofundar a consciência crítica ali latente sobre a questão ambiental, tanto no que se refere a práticas tradicionais dos moradores da área afetada, quanto aos hábitos trazidos pelos trabalhadores das obras. </w:t>
      </w:r>
    </w:p>
    <w:p w:rsidR="00F7710C" w:rsidRPr="00FD2308" w:rsidRDefault="00F7710C" w:rsidP="00431A97">
      <w:pPr>
        <w:pStyle w:val="Ttulo3"/>
        <w:numPr>
          <w:ilvl w:val="3"/>
          <w:numId w:val="71"/>
        </w:numPr>
        <w:rPr>
          <w:rFonts w:ascii="Arial Negrito" w:hAnsi="Arial Negrito"/>
          <w:bCs/>
        </w:rPr>
      </w:pPr>
      <w:bookmarkStart w:id="1430" w:name="_Toc418758534"/>
      <w:bookmarkStart w:id="1431" w:name="_Toc418759136"/>
      <w:bookmarkStart w:id="1432" w:name="_Toc419813921"/>
      <w:r w:rsidRPr="00FD2308">
        <w:rPr>
          <w:rFonts w:ascii="Arial Negrito" w:hAnsi="Arial Negrito"/>
          <w:bCs/>
        </w:rPr>
        <w:t>Objetivos</w:t>
      </w:r>
      <w:bookmarkEnd w:id="1430"/>
      <w:bookmarkEnd w:id="1431"/>
      <w:bookmarkEnd w:id="1432"/>
    </w:p>
    <w:p w:rsidR="00F7710C" w:rsidRPr="00F7710C" w:rsidRDefault="00F7710C" w:rsidP="00F7710C">
      <w:pPr>
        <w:spacing w:before="120" w:after="120" w:line="240" w:lineRule="auto"/>
        <w:rPr>
          <w:rFonts w:cs="Arial"/>
          <w:szCs w:val="22"/>
        </w:rPr>
      </w:pPr>
      <w:r w:rsidRPr="00F7710C">
        <w:rPr>
          <w:rFonts w:cs="Arial"/>
          <w:szCs w:val="22"/>
        </w:rPr>
        <w:t>O Programa de Educação Ambiental (PEA) busca promover a reflexão e a discussão coletiva sobre as causas e consequências dos problemas ambientais identificados pela comunidade local, sinalizando alternativas ambientalmente recomendadas frente aos problemas apontados. Portanto, assume como objetivos:</w:t>
      </w:r>
    </w:p>
    <w:p w:rsidR="00F7710C" w:rsidRPr="00F7710C" w:rsidRDefault="00F7710C" w:rsidP="00B27E92">
      <w:pPr>
        <w:pStyle w:val="Item-Bolinha"/>
      </w:pPr>
      <w:r w:rsidRPr="00F7710C">
        <w:t>Divulgar os aspectos ambientais associados ao empreendimento.</w:t>
      </w:r>
    </w:p>
    <w:p w:rsidR="00F7710C" w:rsidRPr="00F7710C" w:rsidRDefault="00F7710C" w:rsidP="00B27E92">
      <w:pPr>
        <w:pStyle w:val="Item-Bolinha"/>
      </w:pPr>
      <w:r w:rsidRPr="00F7710C">
        <w:t>Informar, ampliar e aprofundar o espírito crítico do público-alvo a respeito da sua relação com o meio ambiente, buscando a compreensão da interdependência entre os seus diversos componentes e da possibilidade de uso sustentável dos recursos naturais.</w:t>
      </w:r>
    </w:p>
    <w:p w:rsidR="00F7710C" w:rsidRPr="00FD2308" w:rsidRDefault="00F7710C" w:rsidP="00431A97">
      <w:pPr>
        <w:pStyle w:val="Ttulo3"/>
        <w:numPr>
          <w:ilvl w:val="3"/>
          <w:numId w:val="71"/>
        </w:numPr>
        <w:rPr>
          <w:rFonts w:ascii="Arial Negrito" w:hAnsi="Arial Negrito"/>
          <w:bCs/>
        </w:rPr>
      </w:pPr>
      <w:bookmarkStart w:id="1433" w:name="_Toc418758535"/>
      <w:bookmarkStart w:id="1434" w:name="_Toc418759137"/>
      <w:bookmarkStart w:id="1435" w:name="_Toc419813922"/>
      <w:r w:rsidRPr="00FD2308">
        <w:rPr>
          <w:rFonts w:ascii="Arial Negrito" w:hAnsi="Arial Negrito"/>
          <w:bCs/>
        </w:rPr>
        <w:t>Metas</w:t>
      </w:r>
      <w:bookmarkEnd w:id="1433"/>
      <w:bookmarkEnd w:id="1434"/>
      <w:bookmarkEnd w:id="1435"/>
    </w:p>
    <w:p w:rsidR="00F7710C" w:rsidRPr="006F4A2D" w:rsidRDefault="00F7710C" w:rsidP="00F7710C">
      <w:pPr>
        <w:pStyle w:val="Corpodetexto"/>
        <w:rPr>
          <w:bCs/>
          <w:strike/>
        </w:rPr>
      </w:pPr>
      <w:r w:rsidRPr="006F4A2D">
        <w:t>O Programa de Educação Ambiental tem como meta criar consciência na população da Área de Influência Direta, e da população em geral, da importância da preservação dos recursos naturais, como também estimular a adoção de práticas conservacionistas e outras que promovam a proteção dos recursos hídricos nas bacias de contribuição direta aos reservatórios.</w:t>
      </w:r>
    </w:p>
    <w:p w:rsidR="00F7710C" w:rsidRPr="00FD2308" w:rsidRDefault="00F7710C" w:rsidP="00431A97">
      <w:pPr>
        <w:pStyle w:val="Ttulo3"/>
        <w:numPr>
          <w:ilvl w:val="3"/>
          <w:numId w:val="71"/>
        </w:numPr>
        <w:rPr>
          <w:rFonts w:ascii="Arial Negrito" w:hAnsi="Arial Negrito"/>
          <w:bCs/>
        </w:rPr>
      </w:pPr>
      <w:bookmarkStart w:id="1436" w:name="_Toc418758536"/>
      <w:bookmarkStart w:id="1437" w:name="_Toc418759138"/>
      <w:bookmarkStart w:id="1438" w:name="_Toc419813923"/>
      <w:r w:rsidRPr="00FD2308">
        <w:rPr>
          <w:rFonts w:ascii="Arial Negrito" w:hAnsi="Arial Negrito"/>
          <w:bCs/>
        </w:rPr>
        <w:t>Público Alvo</w:t>
      </w:r>
      <w:bookmarkEnd w:id="1436"/>
      <w:bookmarkEnd w:id="1437"/>
      <w:bookmarkEnd w:id="1438"/>
    </w:p>
    <w:p w:rsidR="00F7710C" w:rsidRDefault="00F7710C" w:rsidP="00F7710C">
      <w:pPr>
        <w:spacing w:before="120" w:after="120" w:line="240" w:lineRule="auto"/>
        <w:rPr>
          <w:rFonts w:cs="Arial"/>
          <w:szCs w:val="22"/>
        </w:rPr>
      </w:pPr>
      <w:r w:rsidRPr="00F7710C">
        <w:rPr>
          <w:rFonts w:cs="Arial"/>
          <w:szCs w:val="22"/>
        </w:rPr>
        <w:t>Esse programa abrange a população inserida na AID, as comunidades a serem desapropriadas, bem como os trabalhadores das obras do empreendimento.</w:t>
      </w:r>
    </w:p>
    <w:p w:rsidR="00F7710C" w:rsidRPr="00FD2308" w:rsidRDefault="00F7710C" w:rsidP="00431A97">
      <w:pPr>
        <w:pStyle w:val="Ttulo3"/>
        <w:numPr>
          <w:ilvl w:val="3"/>
          <w:numId w:val="71"/>
        </w:numPr>
        <w:rPr>
          <w:rFonts w:ascii="Arial Negrito" w:hAnsi="Arial Negrito"/>
          <w:bCs/>
        </w:rPr>
      </w:pPr>
      <w:bookmarkStart w:id="1439" w:name="_Toc418758537"/>
      <w:bookmarkStart w:id="1440" w:name="_Toc418759139"/>
      <w:bookmarkStart w:id="1441" w:name="_Toc419813924"/>
      <w:r w:rsidRPr="00FD2308">
        <w:rPr>
          <w:rFonts w:ascii="Arial Negrito" w:hAnsi="Arial Negrito"/>
          <w:bCs/>
        </w:rPr>
        <w:t>Métodos e Descrição do Programa</w:t>
      </w:r>
      <w:bookmarkEnd w:id="1439"/>
      <w:bookmarkEnd w:id="1440"/>
      <w:bookmarkEnd w:id="1441"/>
    </w:p>
    <w:p w:rsidR="00F7710C" w:rsidRPr="00F7710C" w:rsidRDefault="00F7710C" w:rsidP="00F7710C">
      <w:pPr>
        <w:spacing w:before="120" w:after="120" w:line="240" w:lineRule="auto"/>
        <w:rPr>
          <w:rFonts w:cs="Arial"/>
          <w:szCs w:val="22"/>
        </w:rPr>
      </w:pPr>
      <w:r w:rsidRPr="00F7710C">
        <w:rPr>
          <w:rFonts w:cs="Arial"/>
          <w:szCs w:val="22"/>
        </w:rPr>
        <w:t>O Programa de Educação Ambiental, para ser efetivo, deve promover, simultaneamente, o desenvolvimento de conhecimento, de atitudes e de habilidades necessárias à preservação e à melhoria da qualidade ambiental, e esse processo será ainda mais efetivo se as atividades estiverem adaptadas às situações da vida real das localidades.</w:t>
      </w:r>
    </w:p>
    <w:p w:rsidR="00F7710C" w:rsidRPr="00F7710C" w:rsidRDefault="00F7710C" w:rsidP="00F7710C">
      <w:pPr>
        <w:spacing w:before="120" w:after="120" w:line="240" w:lineRule="auto"/>
        <w:rPr>
          <w:rFonts w:cs="Arial"/>
          <w:szCs w:val="22"/>
        </w:rPr>
      </w:pPr>
      <w:r w:rsidRPr="00F7710C">
        <w:rPr>
          <w:rFonts w:cs="Arial"/>
          <w:szCs w:val="22"/>
        </w:rPr>
        <w:t>Na implementação do PEA são previstas as ações descritas a seguir.</w:t>
      </w:r>
    </w:p>
    <w:p w:rsidR="00F7710C" w:rsidRPr="006F4A2D" w:rsidRDefault="00F7710C" w:rsidP="006F4A2D">
      <w:pPr>
        <w:spacing w:before="120" w:after="120" w:line="240" w:lineRule="auto"/>
        <w:rPr>
          <w:rFonts w:cs="Arial"/>
          <w:b/>
        </w:rPr>
      </w:pPr>
      <w:r w:rsidRPr="006F4A2D">
        <w:rPr>
          <w:rFonts w:cs="Arial"/>
          <w:b/>
        </w:rPr>
        <w:t>Ações voltadas aos grupos de interesse da AID e às famílias afetadas por desapropriação das ADAs:</w:t>
      </w:r>
    </w:p>
    <w:p w:rsidR="00F7710C" w:rsidRPr="00F7710C" w:rsidRDefault="00F7710C" w:rsidP="00B27E92">
      <w:pPr>
        <w:pStyle w:val="Item-Bolinha"/>
      </w:pPr>
      <w:r w:rsidRPr="00E53F5C">
        <w:t>Estruturação de um coletivo formado pelo público-alvo e elaboração coletiva de uma pauta de temas a serem tratados pelo PEA;</w:t>
      </w:r>
    </w:p>
    <w:p w:rsidR="00F7710C" w:rsidRPr="00E53F5C" w:rsidRDefault="00F7710C" w:rsidP="00B27E92">
      <w:pPr>
        <w:pStyle w:val="Item-Bolinha"/>
      </w:pPr>
    </w:p>
    <w:p w:rsidR="00F7710C" w:rsidRPr="00F7710C" w:rsidRDefault="00F7710C" w:rsidP="00B27E92">
      <w:pPr>
        <w:pStyle w:val="Item-Bolinha"/>
      </w:pPr>
      <w:r w:rsidRPr="00F7710C">
        <w:t>Estabelecimento de uma rotina de ação junto a esse coletivo para análise e discussão do conteúdo dos temas, com o apoio de profissionais competentes, através de aulas e palestras;</w:t>
      </w:r>
    </w:p>
    <w:p w:rsidR="00F7710C" w:rsidRPr="00F7710C" w:rsidRDefault="00F7710C" w:rsidP="00B27E92">
      <w:pPr>
        <w:pStyle w:val="Item-Bolinha"/>
      </w:pPr>
      <w:r w:rsidRPr="00F7710C">
        <w:t>As atividades de reflexão de grandes temas deverão ser acompanhadas do desenvolvimento de atividades que visem a encorajar a proteção e a melhoria do meio ambiente, como, por exemplo, a proteção de nascentes, reflorestamento com espécies nativas, práticas de proteção ao solo contra erosão, entre outras.</w:t>
      </w:r>
    </w:p>
    <w:p w:rsidR="00F7710C" w:rsidRPr="00F7710C" w:rsidRDefault="00F7710C" w:rsidP="00F7710C">
      <w:pPr>
        <w:spacing w:before="120" w:after="120" w:line="240" w:lineRule="auto"/>
        <w:rPr>
          <w:rFonts w:cs="Arial"/>
          <w:strike/>
          <w:szCs w:val="22"/>
        </w:rPr>
      </w:pPr>
      <w:r w:rsidRPr="00F7710C">
        <w:rPr>
          <w:rFonts w:cs="Arial"/>
          <w:szCs w:val="22"/>
        </w:rPr>
        <w:t xml:space="preserve">Observe-se que os temas citados são hipóteses com afinidade com a problemática ambiental envolvendo os rios da região e os reservatórios futuros. </w:t>
      </w:r>
    </w:p>
    <w:p w:rsidR="00F7710C" w:rsidRPr="00587B30" w:rsidRDefault="00F7710C" w:rsidP="00F7710C">
      <w:pPr>
        <w:pStyle w:val="Estilo4"/>
        <w:ind w:left="0"/>
        <w:rPr>
          <w:sz w:val="22"/>
          <w:szCs w:val="22"/>
        </w:rPr>
      </w:pPr>
      <w:r w:rsidRPr="00587B30">
        <w:rPr>
          <w:sz w:val="22"/>
          <w:szCs w:val="22"/>
        </w:rPr>
        <w:t>E</w:t>
      </w:r>
      <w:r>
        <w:rPr>
          <w:sz w:val="22"/>
          <w:szCs w:val="22"/>
        </w:rPr>
        <w:t xml:space="preserve">ssas ações precisarão de </w:t>
      </w:r>
      <w:r w:rsidRPr="00587B30">
        <w:rPr>
          <w:sz w:val="22"/>
          <w:szCs w:val="22"/>
        </w:rPr>
        <w:t>informações contemplando os aspectos abaixo:</w:t>
      </w:r>
    </w:p>
    <w:p w:rsidR="00F7710C" w:rsidRPr="00837600" w:rsidRDefault="00F7710C" w:rsidP="00B27E92">
      <w:pPr>
        <w:pStyle w:val="Item-Bolinha"/>
      </w:pPr>
      <w:r w:rsidRPr="00837600">
        <w:t>Conhecimento básico das características do empreendimento, cronograma de implantação, estudos já desenvolvidos, impactos previstos, ações de controle e mitigação;</w:t>
      </w:r>
    </w:p>
    <w:p w:rsidR="00F7710C" w:rsidRPr="00837600" w:rsidRDefault="00F7710C" w:rsidP="00B27E92">
      <w:pPr>
        <w:pStyle w:val="Item-Bolinha"/>
      </w:pPr>
      <w:r w:rsidRPr="00837600">
        <w:t xml:space="preserve">Noções sobre segurança; </w:t>
      </w:r>
    </w:p>
    <w:p w:rsidR="00F7710C" w:rsidRPr="00837600" w:rsidRDefault="00F7710C" w:rsidP="00B27E92">
      <w:pPr>
        <w:pStyle w:val="Item-Bolinha"/>
      </w:pPr>
      <w:r w:rsidRPr="00837600">
        <w:t>Conhecimento das propostas básicas dos demais programas integrantes do Projeto Básico Ambiental (PBA);</w:t>
      </w:r>
    </w:p>
    <w:p w:rsidR="00F7710C" w:rsidRPr="006F4A2D" w:rsidRDefault="00F7710C" w:rsidP="00B27E92">
      <w:pPr>
        <w:pStyle w:val="Item-Bolinha"/>
      </w:pPr>
      <w:r w:rsidRPr="00837600">
        <w:t>Noções gerais sobre os problemas resultantes de atividades predatórias desenvolvidas sem nenhum controle, como caça, pesca, desmatamentos, queimadas, etc..</w:t>
      </w:r>
    </w:p>
    <w:p w:rsidR="00F7710C" w:rsidRPr="006F4A2D" w:rsidRDefault="00F7710C" w:rsidP="006F4A2D">
      <w:pPr>
        <w:rPr>
          <w:rFonts w:cs="Arial"/>
          <w:b/>
        </w:rPr>
      </w:pPr>
      <w:r w:rsidRPr="006F4A2D">
        <w:rPr>
          <w:rFonts w:cs="Arial"/>
          <w:b/>
        </w:rPr>
        <w:t>Ações voltadas aos trabalhadores:</w:t>
      </w:r>
    </w:p>
    <w:p w:rsidR="00F7710C" w:rsidRPr="00BB0983" w:rsidRDefault="00F7710C" w:rsidP="00B27E92">
      <w:pPr>
        <w:pStyle w:val="Item-Bolinha"/>
      </w:pPr>
      <w:r w:rsidRPr="00BB0983">
        <w:t>Estabelecimento de estratégias de ação para desenvolvimento do programa em conjunto com os representantes das empresas construtoras.</w:t>
      </w:r>
    </w:p>
    <w:p w:rsidR="00F7710C" w:rsidRPr="00BB0983" w:rsidRDefault="00F7710C" w:rsidP="00B27E92">
      <w:pPr>
        <w:pStyle w:val="Item-Bolinha"/>
      </w:pPr>
      <w:r w:rsidRPr="00BB0983">
        <w:t>Elaboração de material educativo.</w:t>
      </w:r>
    </w:p>
    <w:p w:rsidR="00F7710C" w:rsidRPr="00BB0983" w:rsidRDefault="00F7710C" w:rsidP="00B27E92">
      <w:pPr>
        <w:pStyle w:val="Item-Bolinha"/>
      </w:pPr>
      <w:r w:rsidRPr="00BB0983">
        <w:t>Realização de palestras periódicas, conforme fluxo de entrada de novos trabalhadores, contemplando temas como saúde e meio ambiente, cuidados com armazenamento e destinação de resíduos, preservação de fauna e flora local, entre outros.</w:t>
      </w:r>
    </w:p>
    <w:p w:rsidR="00F7710C" w:rsidRPr="00FD2308" w:rsidRDefault="00F7710C" w:rsidP="00431A97">
      <w:pPr>
        <w:pStyle w:val="Ttulo3"/>
        <w:numPr>
          <w:ilvl w:val="3"/>
          <w:numId w:val="71"/>
        </w:numPr>
        <w:rPr>
          <w:rFonts w:ascii="Arial Negrito" w:hAnsi="Arial Negrito"/>
          <w:bCs/>
        </w:rPr>
      </w:pPr>
      <w:bookmarkStart w:id="1442" w:name="_Toc418758538"/>
      <w:bookmarkStart w:id="1443" w:name="_Toc418759140"/>
      <w:bookmarkStart w:id="1444" w:name="_Toc419813925"/>
      <w:r w:rsidRPr="00FD2308">
        <w:rPr>
          <w:rFonts w:ascii="Arial Negrito" w:hAnsi="Arial Negrito"/>
          <w:bCs/>
        </w:rPr>
        <w:t>Indicadores Ambientais</w:t>
      </w:r>
      <w:bookmarkEnd w:id="1442"/>
      <w:bookmarkEnd w:id="1443"/>
      <w:bookmarkEnd w:id="1444"/>
    </w:p>
    <w:p w:rsidR="00F7710C" w:rsidRDefault="00F7710C" w:rsidP="00837600">
      <w:pPr>
        <w:tabs>
          <w:tab w:val="left" w:pos="1134"/>
        </w:tabs>
        <w:spacing w:before="120" w:after="120" w:line="240" w:lineRule="auto"/>
        <w:rPr>
          <w:bCs/>
        </w:rPr>
      </w:pPr>
      <w:r w:rsidRPr="006F4A2D">
        <w:rPr>
          <w:bCs/>
        </w:rPr>
        <w:t>Como indicadores ambientais será utilizada a evolução da população atingida pelo programa, e as ações educativas desenvolvidas.</w:t>
      </w:r>
    </w:p>
    <w:p w:rsidR="00F7710C" w:rsidRPr="00FD2308" w:rsidRDefault="00F7710C" w:rsidP="00431A97">
      <w:pPr>
        <w:pStyle w:val="Ttulo3"/>
        <w:numPr>
          <w:ilvl w:val="3"/>
          <w:numId w:val="71"/>
        </w:numPr>
        <w:rPr>
          <w:rFonts w:ascii="Arial Negrito" w:hAnsi="Arial Negrito"/>
          <w:bCs/>
        </w:rPr>
      </w:pPr>
      <w:bookmarkStart w:id="1445" w:name="_Toc418758539"/>
      <w:bookmarkStart w:id="1446" w:name="_Toc418759141"/>
      <w:bookmarkStart w:id="1447" w:name="_Toc419813926"/>
      <w:r w:rsidRPr="00FD2308">
        <w:rPr>
          <w:rFonts w:ascii="Arial Negrito" w:hAnsi="Arial Negrito"/>
          <w:bCs/>
        </w:rPr>
        <w:t>Recursos Materiais e Humanos</w:t>
      </w:r>
      <w:bookmarkEnd w:id="1445"/>
      <w:bookmarkEnd w:id="1446"/>
      <w:bookmarkEnd w:id="1447"/>
    </w:p>
    <w:p w:rsidR="00F7710C" w:rsidRDefault="00F7710C" w:rsidP="00837600">
      <w:pPr>
        <w:tabs>
          <w:tab w:val="left" w:pos="1134"/>
        </w:tabs>
        <w:spacing w:before="120" w:after="120" w:line="240" w:lineRule="auto"/>
        <w:rPr>
          <w:rFonts w:cs="Arial"/>
        </w:rPr>
      </w:pPr>
      <w:r w:rsidRPr="00F36F44">
        <w:rPr>
          <w:rFonts w:cs="Arial"/>
        </w:rPr>
        <w:t xml:space="preserve">O </w:t>
      </w:r>
      <w:r>
        <w:rPr>
          <w:rFonts w:cs="Arial"/>
        </w:rPr>
        <w:t>E</w:t>
      </w:r>
      <w:r w:rsidRPr="00F36F44">
        <w:rPr>
          <w:rFonts w:cs="Arial"/>
        </w:rPr>
        <w:t xml:space="preserve">mpreendedor deverá contratar os serviços </w:t>
      </w:r>
      <w:r>
        <w:rPr>
          <w:rFonts w:cs="Arial"/>
        </w:rPr>
        <w:t>de profissionais especializados em educação ambiental para proferir aulas e palestras temáticas, e a articulação e organização do PEA deverão ser executadas pela equipe do Plano Básico Ambiental - PBA responsável pelo PEA.</w:t>
      </w:r>
    </w:p>
    <w:p w:rsidR="00F7710C" w:rsidRPr="00FD2308" w:rsidRDefault="00F7710C" w:rsidP="00431A97">
      <w:pPr>
        <w:pStyle w:val="Ttulo3"/>
        <w:numPr>
          <w:ilvl w:val="3"/>
          <w:numId w:val="71"/>
        </w:numPr>
        <w:rPr>
          <w:rFonts w:ascii="Arial Negrito" w:hAnsi="Arial Negrito"/>
          <w:bCs/>
        </w:rPr>
      </w:pPr>
      <w:bookmarkStart w:id="1448" w:name="_Toc418758540"/>
      <w:bookmarkStart w:id="1449" w:name="_Toc418759142"/>
      <w:bookmarkStart w:id="1450" w:name="_Toc419813927"/>
      <w:r w:rsidRPr="00FD2308">
        <w:rPr>
          <w:rFonts w:ascii="Arial Negrito" w:hAnsi="Arial Negrito"/>
          <w:bCs/>
        </w:rPr>
        <w:t>Atendimento a Requisitos Legais e/ou Outros Requisitos</w:t>
      </w:r>
      <w:bookmarkEnd w:id="1448"/>
      <w:bookmarkEnd w:id="1449"/>
      <w:bookmarkEnd w:id="1450"/>
    </w:p>
    <w:p w:rsidR="00F7710C" w:rsidRPr="00837600" w:rsidRDefault="00F7710C" w:rsidP="00837600">
      <w:pPr>
        <w:tabs>
          <w:tab w:val="left" w:pos="1134"/>
        </w:tabs>
        <w:spacing w:before="120" w:after="120" w:line="240" w:lineRule="auto"/>
        <w:rPr>
          <w:rFonts w:cs="Arial"/>
        </w:rPr>
      </w:pPr>
      <w:r w:rsidRPr="00837600">
        <w:rPr>
          <w:rFonts w:cs="Arial"/>
        </w:rPr>
        <w:t>A execução do Programa de Educação Ambiental atende aos seguintes requisitos Legais:</w:t>
      </w:r>
    </w:p>
    <w:p w:rsidR="00E6237F" w:rsidRDefault="00D84387" w:rsidP="00E6237F">
      <w:pPr>
        <w:tabs>
          <w:tab w:val="left" w:pos="1134"/>
        </w:tabs>
        <w:spacing w:before="120" w:after="120" w:line="240" w:lineRule="auto"/>
        <w:rPr>
          <w:rFonts w:cs="Arial"/>
        </w:rPr>
      </w:pPr>
      <w:hyperlink r:id="rId51" w:history="1">
        <w:r w:rsidR="00F7710C" w:rsidRPr="00837600">
          <w:rPr>
            <w:b/>
            <w:bCs/>
          </w:rPr>
          <w:t xml:space="preserve">Lei </w:t>
        </w:r>
        <w:r w:rsidR="00FD2308">
          <w:rPr>
            <w:b/>
            <w:bCs/>
          </w:rPr>
          <w:t>n</w:t>
        </w:r>
        <w:r w:rsidR="00FD2308" w:rsidRPr="00FD2308">
          <w:rPr>
            <w:b/>
            <w:bCs/>
            <w:u w:val="single"/>
            <w:vertAlign w:val="superscript"/>
          </w:rPr>
          <w:t>o</w:t>
        </w:r>
        <w:r w:rsidR="00F7710C" w:rsidRPr="00837600">
          <w:rPr>
            <w:b/>
            <w:bCs/>
          </w:rPr>
          <w:t xml:space="preserve"> 9.795 /1999, que </w:t>
        </w:r>
      </w:hyperlink>
      <w:r w:rsidR="00F7710C" w:rsidRPr="00837600">
        <w:rPr>
          <w:rFonts w:cs="Arial"/>
        </w:rPr>
        <w:t xml:space="preserve">dispõe sobre a educação ambiental, institui a Política Nacional de Educação Ambiental e dá outras providências, como: </w:t>
      </w:r>
      <w:bookmarkStart w:id="1451" w:name="art1"/>
      <w:bookmarkEnd w:id="1451"/>
    </w:p>
    <w:p w:rsidR="00F7710C" w:rsidRPr="00E6237F" w:rsidRDefault="00F7710C" w:rsidP="00B27E92">
      <w:pPr>
        <w:tabs>
          <w:tab w:val="left" w:pos="0"/>
        </w:tabs>
        <w:spacing w:before="120" w:after="120" w:line="240" w:lineRule="auto"/>
        <w:rPr>
          <w:rFonts w:cs="Arial"/>
        </w:rPr>
      </w:pPr>
      <w:r w:rsidRPr="00E6237F">
        <w:rPr>
          <w:szCs w:val="22"/>
        </w:rPr>
        <w:t>Art. 1</w:t>
      </w:r>
      <w:r w:rsidRPr="00E6237F">
        <w:rPr>
          <w:szCs w:val="22"/>
          <w:u w:val="single"/>
          <w:vertAlign w:val="superscript"/>
        </w:rPr>
        <w:t>o</w:t>
      </w:r>
      <w:r w:rsidR="00E6237F">
        <w:rPr>
          <w:rStyle w:val="apple-converted-space"/>
          <w:rFonts w:cs="Arial"/>
          <w:color w:val="000000"/>
          <w:szCs w:val="22"/>
        </w:rPr>
        <w:t xml:space="preserve"> </w:t>
      </w:r>
      <w:r w:rsidRPr="00E6237F">
        <w:rPr>
          <w:szCs w:val="22"/>
        </w:rPr>
        <w:t>Entendem-se por educação ambiental os processos por meio dos quais o indivíduo e a coletividade constroem valores sociais, conhecimentos, habilidades, atitudes e competências voltadas para a conservação do meio ambiente, bem de uso comum do povo, essencial à sadia qualidade de vida e sua sustentabilidade.</w:t>
      </w:r>
    </w:p>
    <w:p w:rsidR="00F7710C" w:rsidRPr="00837600" w:rsidRDefault="00F7710C" w:rsidP="00837600">
      <w:pPr>
        <w:tabs>
          <w:tab w:val="left" w:pos="1134"/>
        </w:tabs>
        <w:spacing w:before="120" w:after="120" w:line="240" w:lineRule="auto"/>
        <w:rPr>
          <w:rFonts w:cs="Arial"/>
        </w:rPr>
      </w:pPr>
      <w:r w:rsidRPr="00837600">
        <w:rPr>
          <w:rFonts w:cs="Arial"/>
        </w:rPr>
        <w:t>São princípios básicos da educação ambiental:</w:t>
      </w:r>
    </w:p>
    <w:p w:rsidR="00F7710C" w:rsidRPr="00E6237F" w:rsidRDefault="00F7710C" w:rsidP="00B27E92">
      <w:pPr>
        <w:tabs>
          <w:tab w:val="left" w:pos="567"/>
        </w:tabs>
        <w:spacing w:before="120" w:after="120" w:line="240" w:lineRule="auto"/>
        <w:rPr>
          <w:szCs w:val="22"/>
        </w:rPr>
      </w:pPr>
      <w:r w:rsidRPr="00E6237F">
        <w:rPr>
          <w:szCs w:val="22"/>
        </w:rPr>
        <w:t xml:space="preserve">I - </w:t>
      </w:r>
      <w:r w:rsidR="00B27E92">
        <w:rPr>
          <w:szCs w:val="22"/>
        </w:rPr>
        <w:tab/>
      </w:r>
      <w:r w:rsidRPr="00E6237F">
        <w:rPr>
          <w:szCs w:val="22"/>
        </w:rPr>
        <w:t>o enfoque humanista, holístico, democrático e participativo;</w:t>
      </w:r>
    </w:p>
    <w:p w:rsidR="00F7710C" w:rsidRPr="00E6237F" w:rsidRDefault="00F7710C" w:rsidP="00B27E92">
      <w:pPr>
        <w:tabs>
          <w:tab w:val="left" w:pos="567"/>
        </w:tabs>
        <w:spacing w:before="120" w:after="120" w:line="240" w:lineRule="auto"/>
        <w:ind w:left="567" w:hanging="567"/>
        <w:rPr>
          <w:szCs w:val="22"/>
        </w:rPr>
      </w:pPr>
      <w:r w:rsidRPr="00E6237F">
        <w:rPr>
          <w:rFonts w:cs="Arial"/>
          <w:szCs w:val="22"/>
        </w:rPr>
        <w:t>II -</w:t>
      </w:r>
      <w:r w:rsidR="00B27E92">
        <w:rPr>
          <w:rFonts w:cs="Arial"/>
          <w:szCs w:val="22"/>
        </w:rPr>
        <w:tab/>
      </w:r>
      <w:r w:rsidRPr="00E6237F">
        <w:rPr>
          <w:rFonts w:cs="Arial"/>
          <w:szCs w:val="22"/>
        </w:rPr>
        <w:t>a concepção do meio ambiente em sua totalidade, considerando a interdependência entre o meio natural, o socioeconômico e o cultural, sob o enfoque da sustentabilidade.</w:t>
      </w:r>
    </w:p>
    <w:p w:rsidR="00F7710C" w:rsidRPr="00FD2308" w:rsidRDefault="00F7710C" w:rsidP="00431A97">
      <w:pPr>
        <w:pStyle w:val="Ttulo3"/>
        <w:numPr>
          <w:ilvl w:val="3"/>
          <w:numId w:val="71"/>
        </w:numPr>
        <w:rPr>
          <w:rFonts w:ascii="Arial Negrito" w:hAnsi="Arial Negrito"/>
          <w:bCs/>
        </w:rPr>
      </w:pPr>
      <w:bookmarkStart w:id="1452" w:name="_Toc418758541"/>
      <w:bookmarkStart w:id="1453" w:name="_Toc418759143"/>
      <w:bookmarkStart w:id="1454" w:name="_Toc419813928"/>
      <w:r w:rsidRPr="00FD2308">
        <w:rPr>
          <w:rFonts w:ascii="Arial Negrito" w:hAnsi="Arial Negrito"/>
          <w:bCs/>
        </w:rPr>
        <w:t>Inter-relação com outros Planos e Programas</w:t>
      </w:r>
      <w:bookmarkEnd w:id="1452"/>
      <w:bookmarkEnd w:id="1453"/>
      <w:bookmarkEnd w:id="1454"/>
    </w:p>
    <w:p w:rsidR="00F7710C" w:rsidRPr="00517377" w:rsidRDefault="00F7710C" w:rsidP="00837600">
      <w:pPr>
        <w:tabs>
          <w:tab w:val="left" w:pos="1134"/>
        </w:tabs>
        <w:spacing w:before="120" w:after="120" w:line="240" w:lineRule="auto"/>
        <w:rPr>
          <w:bCs/>
        </w:rPr>
      </w:pPr>
      <w:r>
        <w:rPr>
          <w:rFonts w:cs="Arial"/>
        </w:rPr>
        <w:t xml:space="preserve">O Programa de Educação Ambiental tem interfaces com os programas de </w:t>
      </w:r>
      <w:r w:rsidRPr="00997CBE">
        <w:rPr>
          <w:rFonts w:cs="Arial"/>
        </w:rPr>
        <w:t>Comunicação e Interação Social; Desapropriação</w:t>
      </w:r>
      <w:r>
        <w:rPr>
          <w:rFonts w:cs="Arial"/>
        </w:rPr>
        <w:t>, Indenização e Relocação da População.</w:t>
      </w:r>
    </w:p>
    <w:p w:rsidR="00F7710C" w:rsidRPr="00BF3063" w:rsidRDefault="00F7710C" w:rsidP="00431A97">
      <w:pPr>
        <w:pStyle w:val="Ttulo3"/>
        <w:numPr>
          <w:ilvl w:val="3"/>
          <w:numId w:val="71"/>
        </w:numPr>
        <w:rPr>
          <w:rFonts w:ascii="Arial Negrito" w:hAnsi="Arial Negrito"/>
          <w:bCs/>
        </w:rPr>
      </w:pPr>
      <w:bookmarkStart w:id="1455" w:name="_Toc418758542"/>
      <w:bookmarkStart w:id="1456" w:name="_Toc418759144"/>
      <w:bookmarkStart w:id="1457" w:name="_Toc419813929"/>
      <w:r w:rsidRPr="00BF3063">
        <w:rPr>
          <w:rFonts w:ascii="Arial Negrito" w:hAnsi="Arial Negrito"/>
          <w:bCs/>
        </w:rPr>
        <w:t>Etapa dos Empreendimentos</w:t>
      </w:r>
      <w:bookmarkEnd w:id="1455"/>
      <w:bookmarkEnd w:id="1456"/>
      <w:bookmarkEnd w:id="1457"/>
    </w:p>
    <w:p w:rsidR="00F7710C" w:rsidRPr="00837600" w:rsidRDefault="00F7710C" w:rsidP="00837600">
      <w:pPr>
        <w:tabs>
          <w:tab w:val="left" w:pos="1134"/>
        </w:tabs>
        <w:spacing w:before="120" w:after="120" w:line="240" w:lineRule="auto"/>
        <w:rPr>
          <w:rFonts w:cs="Arial"/>
        </w:rPr>
      </w:pPr>
      <w:r w:rsidRPr="00837600">
        <w:rPr>
          <w:rFonts w:cs="Arial"/>
        </w:rPr>
        <w:t>O Programa de Educação Ambiental (PEA) é componente do PBA, portanto será executado desde o início da etapa de implantação dos empreendimentos.</w:t>
      </w:r>
    </w:p>
    <w:p w:rsidR="00F7710C" w:rsidRPr="00BF3063" w:rsidRDefault="00F7710C" w:rsidP="00431A97">
      <w:pPr>
        <w:pStyle w:val="Ttulo3"/>
        <w:numPr>
          <w:ilvl w:val="3"/>
          <w:numId w:val="71"/>
        </w:numPr>
        <w:rPr>
          <w:rFonts w:ascii="Arial Negrito" w:hAnsi="Arial Negrito"/>
          <w:bCs/>
        </w:rPr>
      </w:pPr>
      <w:bookmarkStart w:id="1458" w:name="_Toc418758543"/>
      <w:bookmarkStart w:id="1459" w:name="_Toc418759145"/>
      <w:bookmarkStart w:id="1460" w:name="_Toc419813930"/>
      <w:r w:rsidRPr="00BF3063">
        <w:rPr>
          <w:rFonts w:ascii="Arial Negrito" w:hAnsi="Arial Negrito"/>
          <w:bCs/>
        </w:rPr>
        <w:t>Cronograma de Execução</w:t>
      </w:r>
      <w:bookmarkEnd w:id="1458"/>
      <w:bookmarkEnd w:id="1459"/>
      <w:bookmarkEnd w:id="1460"/>
      <w:r w:rsidRPr="00BF3063">
        <w:rPr>
          <w:rFonts w:ascii="Arial Negrito" w:hAnsi="Arial Negrito"/>
          <w:bCs/>
        </w:rPr>
        <w:t xml:space="preserve"> </w:t>
      </w:r>
    </w:p>
    <w:p w:rsidR="00F7710C" w:rsidRDefault="00F7710C" w:rsidP="00F7710C">
      <w:pPr>
        <w:autoSpaceDE w:val="0"/>
        <w:autoSpaceDN w:val="0"/>
        <w:adjustRightInd w:val="0"/>
        <w:rPr>
          <w:rFonts w:cs="Arial"/>
        </w:rPr>
      </w:pPr>
      <w:r>
        <w:rPr>
          <w:rFonts w:cs="Arial"/>
        </w:rPr>
        <w:t xml:space="preserve">As ações previstas no PEA deverão ser desenvolvidas de acordo com a seguinte sequência: </w:t>
      </w:r>
    </w:p>
    <w:p w:rsidR="00F7710C" w:rsidRPr="00837600" w:rsidRDefault="00F7710C" w:rsidP="00B27E92">
      <w:pPr>
        <w:pStyle w:val="Item-Bolinha"/>
      </w:pPr>
      <w:r w:rsidRPr="00837600">
        <w:t>Articulação interinstitucional e entre o público-alvo — logo no início da etapa de implantação;</w:t>
      </w:r>
    </w:p>
    <w:p w:rsidR="00F7710C" w:rsidRPr="00837600" w:rsidRDefault="00F7710C" w:rsidP="00B27E92">
      <w:pPr>
        <w:pStyle w:val="Item-Bolinha"/>
      </w:pPr>
      <w:r w:rsidRPr="00837600">
        <w:t>Formação do coletivo e definição da pauta temática a ser refletida e debatida - no decorrer da execução do PBA;</w:t>
      </w:r>
    </w:p>
    <w:p w:rsidR="00F7710C" w:rsidRPr="00837600" w:rsidRDefault="00F7710C" w:rsidP="00B27E92">
      <w:pPr>
        <w:pStyle w:val="Item-Bolinha"/>
      </w:pPr>
      <w:r w:rsidRPr="006F4A2D">
        <w:t>Definição de</w:t>
      </w:r>
      <w:r w:rsidRPr="006F4A2D">
        <w:rPr>
          <w:bCs/>
        </w:rPr>
        <w:t xml:space="preserve"> formas de proteção e preservação dos rios Camanducaia e outros rios menores na ADA</w:t>
      </w:r>
      <w:r w:rsidRPr="00837600">
        <w:rPr>
          <w:bCs/>
        </w:rPr>
        <w:t xml:space="preserve"> da Barragem Duas Pontes e do rio Jaguari na Barragem Pedreira.</w:t>
      </w:r>
    </w:p>
    <w:p w:rsidR="00F7710C" w:rsidRPr="00BF3063" w:rsidRDefault="00F7710C" w:rsidP="00431A97">
      <w:pPr>
        <w:pStyle w:val="Ttulo3"/>
        <w:numPr>
          <w:ilvl w:val="3"/>
          <w:numId w:val="71"/>
        </w:numPr>
        <w:rPr>
          <w:rFonts w:ascii="Arial Negrito" w:hAnsi="Arial Negrito"/>
          <w:bCs/>
        </w:rPr>
      </w:pPr>
      <w:bookmarkStart w:id="1461" w:name="_Toc418758544"/>
      <w:bookmarkStart w:id="1462" w:name="_Toc418759146"/>
      <w:bookmarkStart w:id="1463" w:name="_Toc419813931"/>
      <w:r w:rsidRPr="00BF3063">
        <w:rPr>
          <w:rFonts w:ascii="Arial Negrito" w:hAnsi="Arial Negrito"/>
          <w:bCs/>
        </w:rPr>
        <w:t>Responsável pela Implementação do Programa</w:t>
      </w:r>
      <w:bookmarkEnd w:id="1461"/>
      <w:bookmarkEnd w:id="1462"/>
      <w:bookmarkEnd w:id="1463"/>
    </w:p>
    <w:p w:rsidR="007F41B3" w:rsidRPr="00837600" w:rsidRDefault="00F7710C" w:rsidP="00837600">
      <w:pPr>
        <w:tabs>
          <w:tab w:val="left" w:pos="1134"/>
        </w:tabs>
        <w:spacing w:before="120" w:after="120" w:line="240" w:lineRule="auto"/>
        <w:rPr>
          <w:rFonts w:cs="Arial"/>
        </w:rPr>
      </w:pPr>
      <w:r w:rsidRPr="00837600">
        <w:rPr>
          <w:rFonts w:cs="Arial"/>
        </w:rPr>
        <w:t>O PEA deverá ser implementado pelo empreendedor responsável pela construção das Barragens Pedreira e Duas Pontes, inclusive com a contratação de especialista em Educação Ambiental.</w:t>
      </w:r>
    </w:p>
    <w:p w:rsidR="00F7710C" w:rsidRPr="00BF3063" w:rsidRDefault="00F7710C" w:rsidP="00431A97">
      <w:pPr>
        <w:pStyle w:val="Ttulo3"/>
        <w:numPr>
          <w:ilvl w:val="3"/>
          <w:numId w:val="71"/>
        </w:numPr>
        <w:rPr>
          <w:rFonts w:ascii="Arial Negrito" w:hAnsi="Arial Negrito"/>
          <w:bCs/>
        </w:rPr>
      </w:pPr>
      <w:bookmarkStart w:id="1464" w:name="_Toc418758545"/>
      <w:bookmarkStart w:id="1465" w:name="_Toc418759147"/>
      <w:bookmarkStart w:id="1466" w:name="_Toc419813932"/>
      <w:r w:rsidRPr="00BF3063">
        <w:rPr>
          <w:rFonts w:ascii="Arial Negrito" w:hAnsi="Arial Negrito"/>
          <w:bCs/>
        </w:rPr>
        <w:t>Sistemas de Registros</w:t>
      </w:r>
      <w:bookmarkEnd w:id="1464"/>
      <w:bookmarkEnd w:id="1465"/>
      <w:bookmarkEnd w:id="1466"/>
    </w:p>
    <w:p w:rsidR="00F7710C" w:rsidRPr="00837600" w:rsidRDefault="00F7710C" w:rsidP="00837600">
      <w:pPr>
        <w:tabs>
          <w:tab w:val="left" w:pos="1134"/>
        </w:tabs>
        <w:spacing w:before="120" w:after="120" w:line="240" w:lineRule="auto"/>
        <w:rPr>
          <w:rFonts w:cs="Arial"/>
        </w:rPr>
      </w:pPr>
      <w:r w:rsidRPr="00837600">
        <w:rPr>
          <w:rFonts w:cs="Arial"/>
        </w:rPr>
        <w:t>As ações do PEA serão registradas por meio da (i) sistematização dos questionários voltados a eleger os temas para aprofundamento e os grupos a se fazerem representar no coletivo; (ii) atas de reunião (com o coletivo formado pelo público-alvo); (iii) sistematização do avanço do processo de discussão a cada trimestre voltada para informação e avaliação da CETESB.</w:t>
      </w:r>
    </w:p>
    <w:p w:rsidR="00F7710C" w:rsidRPr="00BF3063" w:rsidRDefault="00F7710C" w:rsidP="00431A97">
      <w:pPr>
        <w:pStyle w:val="Ttulo3"/>
        <w:numPr>
          <w:ilvl w:val="3"/>
          <w:numId w:val="71"/>
        </w:numPr>
        <w:rPr>
          <w:rFonts w:ascii="Arial Negrito" w:hAnsi="Arial Negrito"/>
          <w:bCs/>
        </w:rPr>
      </w:pPr>
      <w:bookmarkStart w:id="1467" w:name="_Toc418758546"/>
      <w:bookmarkStart w:id="1468" w:name="_Toc418759148"/>
      <w:bookmarkStart w:id="1469" w:name="_Toc419813933"/>
      <w:r w:rsidRPr="00BF3063">
        <w:rPr>
          <w:rFonts w:ascii="Arial Negrito" w:hAnsi="Arial Negrito"/>
          <w:bCs/>
        </w:rPr>
        <w:t>Referências Bibliográficas</w:t>
      </w:r>
      <w:bookmarkEnd w:id="1467"/>
      <w:bookmarkEnd w:id="1468"/>
      <w:bookmarkEnd w:id="1469"/>
    </w:p>
    <w:p w:rsidR="00F7710C" w:rsidRDefault="00F7710C" w:rsidP="00BF3063">
      <w:pPr>
        <w:pStyle w:val="Item-Trainho"/>
      </w:pPr>
      <w:r w:rsidRPr="00216198">
        <w:t>Ministério do Meio Ambiente. Programa Nacional de Educação Ambiental</w:t>
      </w:r>
      <w:r>
        <w:t>.</w:t>
      </w:r>
    </w:p>
    <w:p w:rsidR="00F7710C" w:rsidRDefault="00F7710C" w:rsidP="00BF3063">
      <w:pPr>
        <w:pStyle w:val="Item-Trainho"/>
      </w:pPr>
      <w:r>
        <w:t xml:space="preserve">Secretaria de Meio Ambiente Estado de São Paulo. </w:t>
      </w:r>
      <w:r w:rsidRPr="00837600">
        <w:t xml:space="preserve">Lei nº 12.780/2007. Institui a </w:t>
      </w:r>
      <w:r>
        <w:t>Política Estadual de Educação Ambiental.</w:t>
      </w:r>
    </w:p>
    <w:p w:rsidR="00F7710C" w:rsidRDefault="00A8759C" w:rsidP="00BF3063">
      <w:pPr>
        <w:pStyle w:val="Item-Trainho"/>
      </w:pPr>
      <w:r>
        <w:t>SORRENTINO et al</w:t>
      </w:r>
      <w:r w:rsidR="00F7710C" w:rsidRPr="00837600">
        <w:t>, Educação ambiental como política pública. In: Educação e Pes</w:t>
      </w:r>
      <w:r>
        <w:t xml:space="preserve">quisa, São Paulo, v. 31, n. 2, </w:t>
      </w:r>
      <w:r w:rsidR="00F7710C" w:rsidRPr="00837600">
        <w:t xml:space="preserve">maio/ago. 2005. </w:t>
      </w:r>
    </w:p>
    <w:p w:rsidR="00946FA3" w:rsidRPr="00BF3063" w:rsidRDefault="00837600" w:rsidP="00431A97">
      <w:pPr>
        <w:pStyle w:val="Ttulo3"/>
        <w:numPr>
          <w:ilvl w:val="2"/>
          <w:numId w:val="71"/>
        </w:numPr>
        <w:rPr>
          <w:rFonts w:ascii="Arial Negrito" w:hAnsi="Arial Negrito"/>
          <w:bCs/>
        </w:rPr>
      </w:pPr>
      <w:bookmarkStart w:id="1470" w:name="_Toc418758547"/>
      <w:bookmarkStart w:id="1471" w:name="_Toc418759149"/>
      <w:bookmarkStart w:id="1472" w:name="_Toc419813934"/>
      <w:r w:rsidRPr="00BF3063">
        <w:rPr>
          <w:rFonts w:ascii="Arial Negrito" w:hAnsi="Arial Negrito"/>
          <w:bCs/>
        </w:rPr>
        <w:t xml:space="preserve">Programa de </w:t>
      </w:r>
      <w:r w:rsidR="00946FA3" w:rsidRPr="00BF3063">
        <w:rPr>
          <w:rFonts w:ascii="Arial Negrito" w:hAnsi="Arial Negrito"/>
          <w:bCs/>
        </w:rPr>
        <w:t>Desapropriação</w:t>
      </w:r>
      <w:r w:rsidRPr="00BF3063">
        <w:rPr>
          <w:rFonts w:ascii="Arial Negrito" w:hAnsi="Arial Negrito"/>
          <w:bCs/>
        </w:rPr>
        <w:t>, Indenização e Relocação da População</w:t>
      </w:r>
      <w:bookmarkEnd w:id="1470"/>
      <w:bookmarkEnd w:id="1471"/>
      <w:bookmarkEnd w:id="1472"/>
      <w:r w:rsidRPr="00BF3063">
        <w:rPr>
          <w:rFonts w:ascii="Arial Negrito" w:hAnsi="Arial Negrito"/>
          <w:bCs/>
        </w:rPr>
        <w:t xml:space="preserve"> </w:t>
      </w:r>
    </w:p>
    <w:p w:rsidR="00837600" w:rsidRPr="00BF3063" w:rsidRDefault="00837600" w:rsidP="00431A97">
      <w:pPr>
        <w:pStyle w:val="Ttulo3"/>
        <w:numPr>
          <w:ilvl w:val="3"/>
          <w:numId w:val="71"/>
        </w:numPr>
        <w:rPr>
          <w:rFonts w:ascii="Arial Negrito" w:hAnsi="Arial Negrito"/>
          <w:bCs/>
        </w:rPr>
      </w:pPr>
      <w:bookmarkStart w:id="1473" w:name="_Toc418758548"/>
      <w:bookmarkStart w:id="1474" w:name="_Toc418759150"/>
      <w:bookmarkStart w:id="1475" w:name="_Toc419813935"/>
      <w:r w:rsidRPr="00BF3063">
        <w:rPr>
          <w:rFonts w:ascii="Arial Negrito" w:hAnsi="Arial Negrito"/>
          <w:bCs/>
        </w:rPr>
        <w:t>Apresentação e Justificativas</w:t>
      </w:r>
      <w:bookmarkEnd w:id="1473"/>
      <w:bookmarkEnd w:id="1474"/>
      <w:bookmarkEnd w:id="1475"/>
    </w:p>
    <w:p w:rsidR="00837600" w:rsidRPr="00D71945" w:rsidRDefault="00436A91" w:rsidP="00436A91">
      <w:pPr>
        <w:spacing w:before="120" w:after="120" w:line="240" w:lineRule="auto"/>
      </w:pPr>
      <w:r w:rsidRPr="00D71945">
        <w:t xml:space="preserve">O Programa </w:t>
      </w:r>
      <w:r w:rsidR="00837600" w:rsidRPr="00D71945">
        <w:t xml:space="preserve">tem como finalidade promover a </w:t>
      </w:r>
      <w:r w:rsidRPr="00D71945">
        <w:t>aquisição</w:t>
      </w:r>
      <w:r w:rsidR="00837600" w:rsidRPr="00D71945">
        <w:t xml:space="preserve"> das áreas necessárias para a construção das Barragens Duas Pontes e Pedreira, áreas essas inseridas na Área Diretamente Afetada (ADA). </w:t>
      </w:r>
    </w:p>
    <w:p w:rsidR="00837600" w:rsidRPr="00D71945" w:rsidRDefault="00837600" w:rsidP="00436A91">
      <w:pPr>
        <w:spacing w:before="120" w:after="120" w:line="240" w:lineRule="auto"/>
      </w:pPr>
      <w:r w:rsidRPr="00D71945">
        <w:t xml:space="preserve">A expropriação indenizatória contemplará as ações de </w:t>
      </w:r>
      <w:r w:rsidR="00436A91" w:rsidRPr="00D71945">
        <w:t xml:space="preserve">negociação, </w:t>
      </w:r>
      <w:r w:rsidRPr="00D71945">
        <w:t>desap</w:t>
      </w:r>
      <w:r w:rsidR="00436A91" w:rsidRPr="00D71945">
        <w:t>ropriação por utilidade pública</w:t>
      </w:r>
      <w:r w:rsidRPr="00D71945">
        <w:t xml:space="preserve"> e indenização, relativamente a moradias, benfeitorias e atividades produtivas, de responsabilidade do </w:t>
      </w:r>
      <w:r w:rsidR="00BD0987">
        <w:t xml:space="preserve">empreendedor, </w:t>
      </w:r>
      <w:r w:rsidR="00BD0987" w:rsidRPr="00BD0987">
        <w:t xml:space="preserve">no caso o Departamento de Águas e Energia </w:t>
      </w:r>
      <w:r w:rsidR="00BD0987">
        <w:t>Elétrica  - DAEE, da</w:t>
      </w:r>
      <w:r w:rsidR="00BD0987" w:rsidRPr="00BD0987">
        <w:t xml:space="preserve"> Secretaria de Saneamento e Recursos Hídricos do Estado de São Paulo.</w:t>
      </w:r>
    </w:p>
    <w:p w:rsidR="00837600" w:rsidRDefault="00837600" w:rsidP="00436A91">
      <w:pPr>
        <w:spacing w:before="120" w:after="120" w:line="240" w:lineRule="auto"/>
      </w:pPr>
      <w:r w:rsidRPr="00D71945">
        <w:t>Este programa é de responsabilidade do empreendedor, ao qual cabem as ações relativas ao projeto de desapropriação, cadastramento da população diretamente afetada e outras que possam subsidiar o processo de negociação e desapropriação, em consonância com as ações de Apoio à População Atingida, visando minimizar as interferências sobre os modos de vida da população diretamente afetada.</w:t>
      </w:r>
    </w:p>
    <w:p w:rsidR="00837600" w:rsidRPr="00BF3063" w:rsidRDefault="00837600" w:rsidP="00431A97">
      <w:pPr>
        <w:pStyle w:val="Ttulo3"/>
        <w:numPr>
          <w:ilvl w:val="3"/>
          <w:numId w:val="71"/>
        </w:numPr>
        <w:rPr>
          <w:rFonts w:ascii="Arial Negrito" w:hAnsi="Arial Negrito"/>
          <w:bCs/>
        </w:rPr>
      </w:pPr>
      <w:bookmarkStart w:id="1476" w:name="_Toc418758549"/>
      <w:bookmarkStart w:id="1477" w:name="_Toc418759151"/>
      <w:bookmarkStart w:id="1478" w:name="_Toc419813936"/>
      <w:r w:rsidRPr="00BF3063">
        <w:rPr>
          <w:rFonts w:ascii="Arial Negrito" w:hAnsi="Arial Negrito"/>
          <w:bCs/>
        </w:rPr>
        <w:t>Objetivos</w:t>
      </w:r>
      <w:bookmarkEnd w:id="1476"/>
      <w:bookmarkEnd w:id="1477"/>
      <w:bookmarkEnd w:id="1478"/>
    </w:p>
    <w:p w:rsidR="00837600" w:rsidRPr="00436A91" w:rsidRDefault="00837600" w:rsidP="00B27E92">
      <w:pPr>
        <w:pStyle w:val="Item-Bolinha"/>
      </w:pPr>
      <w:r w:rsidRPr="00436A91">
        <w:t>Cadastrar a população a ser diretamente afetada, as propriedades, benfeitorias e atividades produtivas, bem como potenciais outorgas de recursos hídricos ou outra, para subsidiar as negociações e a valoração adequadas.</w:t>
      </w:r>
    </w:p>
    <w:p w:rsidR="00837600" w:rsidRPr="00436A91" w:rsidRDefault="00837600" w:rsidP="00B27E92">
      <w:pPr>
        <w:pStyle w:val="Item-Bolinha"/>
      </w:pPr>
      <w:r w:rsidRPr="00436A91">
        <w:t xml:space="preserve">Minimizar o impacto da negociação por meio do reconhecimento detalhado das comunidades afetadas, seu perfil socioeconômico e cultural, condições de vida, trabalho, expectativas e apreensões em relação ao empreendimento. </w:t>
      </w:r>
    </w:p>
    <w:p w:rsidR="00837600" w:rsidRPr="00436A91" w:rsidRDefault="00837600" w:rsidP="00B27E92">
      <w:pPr>
        <w:pStyle w:val="Item-Bolinha"/>
      </w:pPr>
      <w:r w:rsidRPr="00436A91">
        <w:t>Valorar de acordo com parâmetros de mercado as propriedades e benfeitorias, atividades produtivas e de serviços para minimizar eventuais conflitos e impactos advindos da interrupção destas atividades.</w:t>
      </w:r>
    </w:p>
    <w:p w:rsidR="00837600" w:rsidRPr="00436A91" w:rsidRDefault="00837600" w:rsidP="00B27E92">
      <w:pPr>
        <w:pStyle w:val="Item-Bolinha"/>
      </w:pPr>
      <w:r w:rsidRPr="00436A91">
        <w:t>Realizar a negociação e aquisição de propriedades necessárias para a construção das barragens de forma adequada, isto é, capaz de garantir o justo pagamento pelas propriedades adquiridas, a indenização de benfeitorias e de atividades produtivas interrompidas, e a resolução de situações que envolvam populações moradoras não proprietárias.</w:t>
      </w:r>
    </w:p>
    <w:p w:rsidR="00837600" w:rsidRPr="00436A91" w:rsidRDefault="00837600" w:rsidP="00B27E92">
      <w:pPr>
        <w:pStyle w:val="Item-Bolinha"/>
      </w:pPr>
      <w:r w:rsidRPr="00436A91">
        <w:t>Ações de apoio na mudança e recomposição das condições de vida da população atingida pela implantação das barragens.</w:t>
      </w:r>
    </w:p>
    <w:p w:rsidR="00837600" w:rsidRPr="00BA54DE" w:rsidRDefault="00837600" w:rsidP="00B27E92">
      <w:pPr>
        <w:pStyle w:val="Item-Bolinha"/>
      </w:pPr>
      <w:r w:rsidRPr="00436A91">
        <w:t xml:space="preserve">Realizar o monitoramento do processo de mudança das famílias proprietárias e não proprietárias residentes nas áreas afetadas </w:t>
      </w:r>
      <w:r w:rsidR="009A6CCA">
        <w:t>pelas</w:t>
      </w:r>
      <w:r w:rsidRPr="00436A91">
        <w:t xml:space="preserve"> barragens.</w:t>
      </w:r>
    </w:p>
    <w:p w:rsidR="00837600" w:rsidRPr="00BF3063" w:rsidRDefault="00837600" w:rsidP="00431A97">
      <w:pPr>
        <w:pStyle w:val="Ttulo3"/>
        <w:numPr>
          <w:ilvl w:val="3"/>
          <w:numId w:val="71"/>
        </w:numPr>
        <w:rPr>
          <w:rFonts w:ascii="Arial Negrito" w:hAnsi="Arial Negrito"/>
          <w:bCs/>
        </w:rPr>
      </w:pPr>
      <w:bookmarkStart w:id="1479" w:name="_Toc418758550"/>
      <w:bookmarkStart w:id="1480" w:name="_Toc418759152"/>
      <w:bookmarkStart w:id="1481" w:name="_Toc419813937"/>
      <w:r w:rsidRPr="00BF3063">
        <w:rPr>
          <w:rFonts w:ascii="Arial Negrito" w:hAnsi="Arial Negrito"/>
          <w:bCs/>
        </w:rPr>
        <w:t>Metas</w:t>
      </w:r>
      <w:bookmarkEnd w:id="1479"/>
      <w:bookmarkEnd w:id="1480"/>
      <w:bookmarkEnd w:id="1481"/>
    </w:p>
    <w:p w:rsidR="00837600" w:rsidRPr="00522DF0" w:rsidRDefault="00837600" w:rsidP="00436A91">
      <w:pPr>
        <w:spacing w:before="120" w:after="120" w:line="240" w:lineRule="auto"/>
      </w:pPr>
      <w:r w:rsidRPr="00522DF0">
        <w:t>Este programa abrange as propriedades inseridas na ADA</w:t>
      </w:r>
      <w:r>
        <w:t>, assim como as famílias ali residentes, e sua meta é intermediar o processo indenizatório, as negociações afins e as relocações, garantindo clareza e objetividade, buscando oferecer informação, tranquilidade e segurança aos afetados.</w:t>
      </w:r>
    </w:p>
    <w:p w:rsidR="00837600" w:rsidRPr="00BF3063" w:rsidRDefault="00837600" w:rsidP="00431A97">
      <w:pPr>
        <w:pStyle w:val="Ttulo3"/>
        <w:numPr>
          <w:ilvl w:val="3"/>
          <w:numId w:val="71"/>
        </w:numPr>
        <w:rPr>
          <w:rFonts w:ascii="Arial Negrito" w:hAnsi="Arial Negrito"/>
          <w:bCs/>
        </w:rPr>
      </w:pPr>
      <w:bookmarkStart w:id="1482" w:name="_Toc418758551"/>
      <w:bookmarkStart w:id="1483" w:name="_Toc418759153"/>
      <w:bookmarkStart w:id="1484" w:name="_Toc419813938"/>
      <w:r w:rsidRPr="00BF3063">
        <w:rPr>
          <w:rFonts w:ascii="Arial Negrito" w:hAnsi="Arial Negrito"/>
          <w:bCs/>
        </w:rPr>
        <w:t>Público Alvo</w:t>
      </w:r>
      <w:bookmarkEnd w:id="1482"/>
      <w:bookmarkEnd w:id="1483"/>
      <w:bookmarkEnd w:id="1484"/>
    </w:p>
    <w:p w:rsidR="00B3706C" w:rsidRPr="00436A91" w:rsidRDefault="00837600" w:rsidP="00436A91">
      <w:pPr>
        <w:spacing w:before="120" w:after="120" w:line="240" w:lineRule="auto"/>
      </w:pPr>
      <w:r w:rsidRPr="00436A91">
        <w:t xml:space="preserve">O </w:t>
      </w:r>
      <w:r>
        <w:t>Programa</w:t>
      </w:r>
      <w:r w:rsidRPr="00436A91">
        <w:t xml:space="preserve"> tem como público-alvo os proprietários das áreas inseridas na ADA e </w:t>
      </w:r>
      <w:r>
        <w:t>as famílias ali residentes, proprietárias e não proprietárias.</w:t>
      </w:r>
    </w:p>
    <w:p w:rsidR="00837600" w:rsidRPr="00BF3063" w:rsidRDefault="00837600" w:rsidP="00431A97">
      <w:pPr>
        <w:pStyle w:val="Ttulo3"/>
        <w:numPr>
          <w:ilvl w:val="3"/>
          <w:numId w:val="71"/>
        </w:numPr>
        <w:rPr>
          <w:rFonts w:ascii="Arial Negrito" w:hAnsi="Arial Negrito"/>
          <w:bCs/>
        </w:rPr>
      </w:pPr>
      <w:bookmarkStart w:id="1485" w:name="_Toc418758552"/>
      <w:bookmarkStart w:id="1486" w:name="_Toc418759154"/>
      <w:bookmarkStart w:id="1487" w:name="_Toc419813939"/>
      <w:r w:rsidRPr="00BF3063">
        <w:rPr>
          <w:rFonts w:ascii="Arial Negrito" w:hAnsi="Arial Negrito"/>
          <w:bCs/>
        </w:rPr>
        <w:t>Métodos e Descrição do Programa</w:t>
      </w:r>
      <w:bookmarkEnd w:id="1485"/>
      <w:bookmarkEnd w:id="1486"/>
      <w:bookmarkEnd w:id="1487"/>
    </w:p>
    <w:p w:rsidR="00837600" w:rsidRPr="00551B16" w:rsidRDefault="00837600" w:rsidP="00436A91">
      <w:pPr>
        <w:spacing w:before="120" w:after="120" w:line="240" w:lineRule="auto"/>
      </w:pPr>
      <w:r w:rsidRPr="00551B16">
        <w:t>São ações que cabem ao empreendedor:</w:t>
      </w:r>
    </w:p>
    <w:p w:rsidR="00837600" w:rsidRPr="00436A91" w:rsidRDefault="00837600" w:rsidP="00B27E92">
      <w:pPr>
        <w:pStyle w:val="Item-Bolinha"/>
      </w:pPr>
      <w:r w:rsidRPr="00436A91">
        <w:t>Consolidação do Plano de Desapropriação, o qual compreende a definição do polígono de desapropriação e as diretrizes para as ações de desapropriação, aquisição de propriedades e indenização de proprietários, contendo: análise e conferência das fichas cadastrais; sistematização das informações relativas à documentação dos proprietários e das propriedades, incluindo documentação para lavratura e registro das escrituras.</w:t>
      </w:r>
    </w:p>
    <w:p w:rsidR="00837600" w:rsidRPr="00436A91" w:rsidRDefault="00837600" w:rsidP="00B27E92">
      <w:pPr>
        <w:pStyle w:val="Item-Bolinha"/>
      </w:pPr>
      <w:r w:rsidRPr="00436A91">
        <w:t xml:space="preserve">Cadastramento físico-territorial e legal dos imóveis rurais: compreende o levantamento planialtimétrico das propriedades e das edificações a serem afetadas total ou parcialmente, com mapeamento de todas as áreas previstas para indenização e desapropriação decorrentes das intervenções realizadas para implantação dos empreendimentos e sua respectiva Área de Preservação Permanente, como exige a lei. Está incluso nesse processo a pesquisa cartorial visando ao levantamento das matrículas legais e delimitação dos perímetros das propriedades afetadas a partir de checagem de escrituras. Serão ainda identificados imóveis cujas documentações encontram-se irregulares, como nos casos de compra sem registro, espólios não atualizados, entre outros. </w:t>
      </w:r>
    </w:p>
    <w:p w:rsidR="00837600" w:rsidRPr="00436A91" w:rsidRDefault="00837600" w:rsidP="00B27E92">
      <w:pPr>
        <w:pStyle w:val="Item-Bolinha"/>
      </w:pPr>
      <w:r w:rsidRPr="00436A91">
        <w:t xml:space="preserve">Caracterização e avaliação das atividades produtivas, visando à indenização quanto à produção renunciada ou lucro cessante. </w:t>
      </w:r>
    </w:p>
    <w:p w:rsidR="00837600" w:rsidRPr="00436A91" w:rsidRDefault="00837600" w:rsidP="00B27E92">
      <w:pPr>
        <w:pStyle w:val="Item-Bolinha"/>
      </w:pPr>
      <w:r w:rsidRPr="00436A91">
        <w:t xml:space="preserve">Avaliação das terras e benfeitorias: a avaliação dos imóveis atingidos terá por base pesquisa mercadológica, consulta a órgãos públicos (Cartórios, Tabelionatos e Prefeituras) e análise das características particulares de cada uma dessas propriedades. Essa avaliação será elaborada à luz da NBR 14.653 – Norma Brasileira para avaliação de bens (imóveis urbanos, rurais, recursos naturais e ambientais, bens industriais) e por profissionais capacitados. O valor deverá resultar de um cruzamento desses critérios, balizado por uma análise técnica dos dados referentes aos valores de mercado praticados na região e do levantamento físico da propriedade (benfeitorias e caracterização da produção).  </w:t>
      </w:r>
    </w:p>
    <w:p w:rsidR="00837600" w:rsidRPr="00436A91" w:rsidRDefault="00837600" w:rsidP="00B27E92">
      <w:pPr>
        <w:pStyle w:val="Item-Bolinha"/>
      </w:pPr>
      <w:r w:rsidRPr="00436A91">
        <w:t>Cadastramento socioeconômico da população diretamente afetada, contemplando informações como: composição familiar, renda, condições de vida. Nesse processo, será identificada a população socioeconomicamente mais vulnerável, considerada hipossuficiente</w:t>
      </w:r>
      <w:r w:rsidRPr="00436A91">
        <w:rPr>
          <w:rStyle w:val="Refdenotaderodap"/>
          <w:rFonts w:cs="Arial"/>
        </w:rPr>
        <w:footnoteReference w:id="5"/>
      </w:r>
      <w:r w:rsidRPr="00436A91">
        <w:t xml:space="preserve">, demandando ações de indenização e/ou reassentamento a serem detalhadas no Plano Básico Ambiental. Nesse sentido, cabe ressaltar que, nos casos em que o cadastramento socioeconômico caracterizar a hipossuficiência dos proprietários, ocupantes ou inquilinos, estes terão tratamento individualizado, sendo reassentados pelo empreendedor e inseridos nos programas sociais implementados, onde serão estudadas formas de evitar ao mínimo o impacto gerado pelos empreendimentos. Benfeitorias como açudes ou poços artesianos poderão ser indenizados ou reconstruídos, de acordo com a opção do proprietário. </w:t>
      </w:r>
    </w:p>
    <w:p w:rsidR="00837600" w:rsidRPr="00436A91" w:rsidRDefault="00837600" w:rsidP="00B27E92">
      <w:pPr>
        <w:pStyle w:val="Item-Bolinha"/>
      </w:pPr>
      <w:r w:rsidRPr="00436A91">
        <w:t>Negociação, desapropriação e indenização: deverá considerar os interesses de cada um dos proprietários, desde que as propriedades e edificações estejam de acordo com o valor do mercado imobiliário. A desapropriação será realizada preferencialmente por processo amigável ou, em último caso, por meio de processo judicial, com a realização de audiências com proprietários e representantes do Poder Judiciário e posterior imissão de posse pelo juízo e efetivação do pagamento e imissão de posse definitiva.</w:t>
      </w:r>
    </w:p>
    <w:p w:rsidR="00837600" w:rsidRDefault="00837600" w:rsidP="00B27E92">
      <w:pPr>
        <w:pStyle w:val="Item-Bolinha"/>
      </w:pPr>
      <w:r w:rsidRPr="00551B16">
        <w:t xml:space="preserve">Ressalte-se que a negociação poderá também compreender os remanescentes de propriedades. A compra de toda propriedade poderá ser negociada, caso caracterizada a inviabilidade de </w:t>
      </w:r>
      <w:r>
        <w:t xml:space="preserve">seu </w:t>
      </w:r>
      <w:r w:rsidRPr="00551B16">
        <w:t xml:space="preserve">aproveitamento econômico. </w:t>
      </w:r>
    </w:p>
    <w:p w:rsidR="00837600" w:rsidRPr="00436A91" w:rsidRDefault="00837600" w:rsidP="00B27E92">
      <w:pPr>
        <w:pStyle w:val="Item-Bolinha"/>
      </w:pPr>
      <w:r w:rsidRPr="00436A91">
        <w:t>O Programa de Desapropriação, Indenização</w:t>
      </w:r>
      <w:r w:rsidR="00436A91">
        <w:t xml:space="preserve"> e</w:t>
      </w:r>
      <w:r w:rsidRPr="00436A91">
        <w:t xml:space="preserve"> Relocação</w:t>
      </w:r>
      <w:r w:rsidR="00436A91">
        <w:t xml:space="preserve"> da População</w:t>
      </w:r>
      <w:r w:rsidRPr="00436A91">
        <w:t xml:space="preserve"> deverá instalar ponto de apoio jurídico e social para assessorar a população em todo o processo de negociação, de aquisição dos imóveis, de regularização documental, do próprio processo de indenização e de aquisição de outro imóvel e da mudança. </w:t>
      </w:r>
    </w:p>
    <w:p w:rsidR="00837600" w:rsidRPr="00BF3063" w:rsidRDefault="00837600" w:rsidP="00431A97">
      <w:pPr>
        <w:pStyle w:val="Ttulo3"/>
        <w:numPr>
          <w:ilvl w:val="3"/>
          <w:numId w:val="71"/>
        </w:numPr>
        <w:rPr>
          <w:rFonts w:ascii="Arial Negrito" w:hAnsi="Arial Negrito"/>
          <w:bCs/>
        </w:rPr>
      </w:pPr>
      <w:bookmarkStart w:id="1488" w:name="_Toc418758553"/>
      <w:bookmarkStart w:id="1489" w:name="_Toc418759155"/>
      <w:bookmarkStart w:id="1490" w:name="_Toc419813940"/>
      <w:r w:rsidRPr="00BF3063">
        <w:rPr>
          <w:rFonts w:ascii="Arial Negrito" w:hAnsi="Arial Negrito"/>
          <w:bCs/>
        </w:rPr>
        <w:t>Indicadores Ambientais</w:t>
      </w:r>
      <w:bookmarkEnd w:id="1488"/>
      <w:bookmarkEnd w:id="1489"/>
      <w:bookmarkEnd w:id="1490"/>
    </w:p>
    <w:p w:rsidR="00837600" w:rsidRDefault="00837600" w:rsidP="00436A91">
      <w:pPr>
        <w:spacing w:before="120" w:after="120" w:line="240" w:lineRule="auto"/>
        <w:rPr>
          <w:bCs/>
        </w:rPr>
      </w:pPr>
      <w:r>
        <w:t xml:space="preserve">Como indicadores o </w:t>
      </w:r>
      <w:r w:rsidRPr="00967C79">
        <w:t>PDIR</w:t>
      </w:r>
      <w:r>
        <w:t xml:space="preserve"> terá uma pesquisa de satisfação com o processo de desapropriação, indenização e relocação, além das negociações havidas, ao fim de cada processo com cada família atingida, cujo pressuposto é a garantia de </w:t>
      </w:r>
      <w:r w:rsidRPr="00E038E8">
        <w:t>uma indenização apropriada</w:t>
      </w:r>
      <w:r>
        <w:t xml:space="preserve"> </w:t>
      </w:r>
      <w:r>
        <w:rPr>
          <w:bCs/>
        </w:rPr>
        <w:t xml:space="preserve">aos </w:t>
      </w:r>
      <w:r w:rsidRPr="00E038E8">
        <w:t>proprietários e não proprietários, n</w:t>
      </w:r>
      <w:r w:rsidRPr="00E038E8">
        <w:rPr>
          <w:bCs/>
        </w:rPr>
        <w:t>um processo de negociação</w:t>
      </w:r>
      <w:r w:rsidRPr="00E038E8">
        <w:rPr>
          <w:b/>
          <w:bCs/>
        </w:rPr>
        <w:t xml:space="preserve"> </w:t>
      </w:r>
      <w:r w:rsidRPr="00E038E8">
        <w:rPr>
          <w:bCs/>
        </w:rPr>
        <w:t>justo e transparente, conciliando os diversos interesses das partes envolvidas</w:t>
      </w:r>
      <w:r>
        <w:rPr>
          <w:bCs/>
        </w:rPr>
        <w:t xml:space="preserve">. </w:t>
      </w:r>
    </w:p>
    <w:p w:rsidR="00837600" w:rsidRPr="00BF3063" w:rsidRDefault="00837600" w:rsidP="00431A97">
      <w:pPr>
        <w:pStyle w:val="Ttulo3"/>
        <w:numPr>
          <w:ilvl w:val="3"/>
          <w:numId w:val="71"/>
        </w:numPr>
        <w:rPr>
          <w:rFonts w:ascii="Arial Negrito" w:hAnsi="Arial Negrito"/>
          <w:bCs/>
        </w:rPr>
      </w:pPr>
      <w:bookmarkStart w:id="1491" w:name="_Toc418758554"/>
      <w:bookmarkStart w:id="1492" w:name="_Toc418759156"/>
      <w:bookmarkStart w:id="1493" w:name="_Toc419813941"/>
      <w:r w:rsidRPr="00BF3063">
        <w:rPr>
          <w:rFonts w:ascii="Arial Negrito" w:hAnsi="Arial Negrito"/>
          <w:bCs/>
        </w:rPr>
        <w:t>Recursos Materiais e Humanos</w:t>
      </w:r>
      <w:bookmarkEnd w:id="1491"/>
      <w:bookmarkEnd w:id="1492"/>
      <w:bookmarkEnd w:id="1493"/>
    </w:p>
    <w:p w:rsidR="00837600" w:rsidRPr="00436A91" w:rsidRDefault="00837600" w:rsidP="00436A91">
      <w:pPr>
        <w:spacing w:before="120" w:after="120" w:line="240" w:lineRule="auto"/>
      </w:pPr>
      <w:r w:rsidRPr="00E038E8">
        <w:t xml:space="preserve">O </w:t>
      </w:r>
      <w:r>
        <w:t>e</w:t>
      </w:r>
      <w:r w:rsidRPr="00E038E8">
        <w:t xml:space="preserve">mpreendedor deverá contratar os serviços de profissionais especializados em </w:t>
      </w:r>
      <w:r>
        <w:t>pesquisa socioeconômica,em c</w:t>
      </w:r>
      <w:r w:rsidRPr="00551B16">
        <w:t>adastramento físico-territori</w:t>
      </w:r>
      <w:r>
        <w:t>al e legal de</w:t>
      </w:r>
      <w:r w:rsidRPr="00551B16">
        <w:t xml:space="preserve"> imóveis rurais</w:t>
      </w:r>
      <w:r w:rsidRPr="00E038E8">
        <w:t xml:space="preserve">, e </w:t>
      </w:r>
      <w:r>
        <w:t>de advogados que prestem apoio jurídico aos afetados. A</w:t>
      </w:r>
      <w:r w:rsidRPr="00E038E8">
        <w:t xml:space="preserve"> articulação e organização do </w:t>
      </w:r>
      <w:r>
        <w:t>PDIR</w:t>
      </w:r>
      <w:r w:rsidRPr="00E038E8">
        <w:t xml:space="preserve"> deverão ser executadas pela equipe do Plano Básico </w:t>
      </w:r>
      <w:r>
        <w:t>Ambiental - PBA responsável pela execução dos</w:t>
      </w:r>
      <w:r w:rsidRPr="00E038E8">
        <w:t xml:space="preserve"> </w:t>
      </w:r>
      <w:r>
        <w:t>programas ambientais</w:t>
      </w:r>
      <w:r w:rsidRPr="00E038E8">
        <w:t>.</w:t>
      </w:r>
    </w:p>
    <w:p w:rsidR="00837600" w:rsidRPr="00BF3063" w:rsidRDefault="00837600" w:rsidP="00431A97">
      <w:pPr>
        <w:pStyle w:val="Ttulo3"/>
        <w:numPr>
          <w:ilvl w:val="3"/>
          <w:numId w:val="71"/>
        </w:numPr>
        <w:rPr>
          <w:rFonts w:ascii="Arial Negrito" w:hAnsi="Arial Negrito"/>
          <w:bCs/>
        </w:rPr>
      </w:pPr>
      <w:bookmarkStart w:id="1494" w:name="_Toc418758555"/>
      <w:bookmarkStart w:id="1495" w:name="_Toc418759157"/>
      <w:bookmarkStart w:id="1496" w:name="_Toc419813942"/>
      <w:r w:rsidRPr="00BF3063">
        <w:rPr>
          <w:rFonts w:ascii="Arial Negrito" w:hAnsi="Arial Negrito"/>
          <w:bCs/>
        </w:rPr>
        <w:t>Atendimento a Requisitos Legais e Outros Requisitos</w:t>
      </w:r>
      <w:bookmarkEnd w:id="1494"/>
      <w:bookmarkEnd w:id="1495"/>
      <w:bookmarkEnd w:id="1496"/>
    </w:p>
    <w:p w:rsidR="00837600" w:rsidRPr="00436A91" w:rsidRDefault="00837600" w:rsidP="00436A91">
      <w:pPr>
        <w:spacing w:before="120" w:after="120" w:line="240" w:lineRule="auto"/>
      </w:pPr>
      <w:r w:rsidRPr="00436A91">
        <w:t>O programa atende ao disposto no Termo de Referência para a elaboração do EIA/RIMA das Barragens Pedreira e Duas Pontes, apresentado no Parecer Técnico nº 410/13/IE de 28/08/2013, Processo 189/13.</w:t>
      </w:r>
    </w:p>
    <w:p w:rsidR="00837600" w:rsidRPr="00BF3063" w:rsidRDefault="00837600" w:rsidP="00431A97">
      <w:pPr>
        <w:pStyle w:val="Ttulo3"/>
        <w:numPr>
          <w:ilvl w:val="3"/>
          <w:numId w:val="71"/>
        </w:numPr>
        <w:rPr>
          <w:rFonts w:ascii="Arial Negrito" w:hAnsi="Arial Negrito"/>
          <w:bCs/>
        </w:rPr>
      </w:pPr>
      <w:bookmarkStart w:id="1497" w:name="_Toc418758556"/>
      <w:bookmarkStart w:id="1498" w:name="_Toc418759158"/>
      <w:bookmarkStart w:id="1499" w:name="_Toc419813943"/>
      <w:r w:rsidRPr="00BF3063">
        <w:rPr>
          <w:rFonts w:ascii="Arial Negrito" w:hAnsi="Arial Negrito"/>
          <w:bCs/>
        </w:rPr>
        <w:t>Inter-relação com outros Planos e Programas</w:t>
      </w:r>
      <w:bookmarkEnd w:id="1497"/>
      <w:bookmarkEnd w:id="1498"/>
      <w:bookmarkEnd w:id="1499"/>
    </w:p>
    <w:p w:rsidR="00837600" w:rsidRPr="00436A91" w:rsidRDefault="00837600" w:rsidP="00436A91">
      <w:pPr>
        <w:spacing w:before="120" w:after="120" w:line="240" w:lineRule="auto"/>
      </w:pPr>
      <w:r w:rsidRPr="00436A91">
        <w:t xml:space="preserve">O PDIR tem interfaces com os programas de Comunicação e Interação Social e </w:t>
      </w:r>
      <w:r w:rsidRPr="00DD2541">
        <w:t>Programa de Gestão Ambiental da Obra</w:t>
      </w:r>
      <w:r w:rsidRPr="00436A91">
        <w:t>, entre outros.</w:t>
      </w:r>
    </w:p>
    <w:p w:rsidR="00837600" w:rsidRPr="00BF3063" w:rsidRDefault="00837600" w:rsidP="00431A97">
      <w:pPr>
        <w:pStyle w:val="Ttulo3"/>
        <w:numPr>
          <w:ilvl w:val="3"/>
          <w:numId w:val="71"/>
        </w:numPr>
        <w:rPr>
          <w:rFonts w:ascii="Arial Negrito" w:hAnsi="Arial Negrito"/>
          <w:bCs/>
        </w:rPr>
      </w:pPr>
      <w:bookmarkStart w:id="1500" w:name="_Toc418758557"/>
      <w:bookmarkStart w:id="1501" w:name="_Toc418759159"/>
      <w:bookmarkStart w:id="1502" w:name="_Toc419813944"/>
      <w:r w:rsidRPr="00BF3063">
        <w:rPr>
          <w:rFonts w:ascii="Arial Negrito" w:hAnsi="Arial Negrito"/>
          <w:bCs/>
        </w:rPr>
        <w:t>Etapa dos Empreendimentos</w:t>
      </w:r>
      <w:bookmarkEnd w:id="1500"/>
      <w:bookmarkEnd w:id="1501"/>
      <w:bookmarkEnd w:id="1502"/>
    </w:p>
    <w:p w:rsidR="00837600" w:rsidRPr="00436A91" w:rsidRDefault="00837600" w:rsidP="00436A91">
      <w:pPr>
        <w:spacing w:before="120" w:after="120" w:line="240" w:lineRule="auto"/>
      </w:pPr>
      <w:r w:rsidRPr="00436A91">
        <w:t>O PDIR teve início na fase de planejamento, seguirá pela etapa de implantação, seguindo com o monitoramento do processo de relocação, até quando necessário for para o cumprimento de sua meta.</w:t>
      </w:r>
    </w:p>
    <w:p w:rsidR="00837600" w:rsidRPr="00BF3063" w:rsidRDefault="00837600" w:rsidP="00431A97">
      <w:pPr>
        <w:pStyle w:val="Ttulo3"/>
        <w:numPr>
          <w:ilvl w:val="3"/>
          <w:numId w:val="71"/>
        </w:numPr>
        <w:rPr>
          <w:rFonts w:ascii="Arial Negrito" w:hAnsi="Arial Negrito"/>
          <w:bCs/>
        </w:rPr>
      </w:pPr>
      <w:bookmarkStart w:id="1503" w:name="_Toc418758558"/>
      <w:bookmarkStart w:id="1504" w:name="_Toc418759160"/>
      <w:bookmarkStart w:id="1505" w:name="_Toc419813945"/>
      <w:r w:rsidRPr="00BF3063">
        <w:rPr>
          <w:rFonts w:ascii="Arial Negrito" w:hAnsi="Arial Negrito"/>
          <w:bCs/>
        </w:rPr>
        <w:t>Cronograma de Execução</w:t>
      </w:r>
      <w:bookmarkEnd w:id="1503"/>
      <w:bookmarkEnd w:id="1504"/>
      <w:bookmarkEnd w:id="1505"/>
      <w:r w:rsidRPr="00BF3063">
        <w:rPr>
          <w:rFonts w:ascii="Arial Negrito" w:hAnsi="Arial Negrito"/>
          <w:bCs/>
        </w:rPr>
        <w:t xml:space="preserve"> </w:t>
      </w:r>
    </w:p>
    <w:p w:rsidR="00837600" w:rsidRPr="00220D03" w:rsidRDefault="00837600" w:rsidP="00436A91">
      <w:pPr>
        <w:spacing w:before="120" w:after="120" w:line="240" w:lineRule="auto"/>
      </w:pPr>
      <w:r>
        <w:t>O Programa de Desapropriação, Indenização e Relocação deverá acompanhar as fases de implantação e de operação, com ações efetivas e objetivas, visando garantir um processo justo de aquisição das áreas das ADAs e o monitoramento dos resultados das negociações e das novas condições das famílias relocadas.</w:t>
      </w:r>
    </w:p>
    <w:p w:rsidR="00837600" w:rsidRPr="00BF3063" w:rsidRDefault="00837600" w:rsidP="00431A97">
      <w:pPr>
        <w:pStyle w:val="Ttulo3"/>
        <w:numPr>
          <w:ilvl w:val="3"/>
          <w:numId w:val="71"/>
        </w:numPr>
        <w:rPr>
          <w:rFonts w:ascii="Arial Negrito" w:hAnsi="Arial Negrito"/>
          <w:bCs/>
        </w:rPr>
      </w:pPr>
      <w:bookmarkStart w:id="1506" w:name="_Toc418758559"/>
      <w:bookmarkStart w:id="1507" w:name="_Toc418759161"/>
      <w:bookmarkStart w:id="1508" w:name="_Toc419813946"/>
      <w:r w:rsidRPr="00BF3063">
        <w:rPr>
          <w:rFonts w:ascii="Arial Negrito" w:hAnsi="Arial Negrito"/>
          <w:bCs/>
        </w:rPr>
        <w:t>Responsável pela Implementação do Programa</w:t>
      </w:r>
      <w:bookmarkEnd w:id="1506"/>
      <w:bookmarkEnd w:id="1507"/>
      <w:bookmarkEnd w:id="1508"/>
    </w:p>
    <w:p w:rsidR="00837600" w:rsidRPr="00436A91" w:rsidRDefault="00837600" w:rsidP="00436A91">
      <w:pPr>
        <w:spacing w:before="120" w:after="120" w:line="240" w:lineRule="auto"/>
      </w:pPr>
      <w:r w:rsidRPr="008259D5">
        <w:t xml:space="preserve">A implementação do </w:t>
      </w:r>
      <w:r>
        <w:t xml:space="preserve">PDIR </w:t>
      </w:r>
      <w:r w:rsidRPr="008259D5">
        <w:t xml:space="preserve">deverá estar a cargo de equipe </w:t>
      </w:r>
      <w:r>
        <w:t xml:space="preserve">multidisciplinar </w:t>
      </w:r>
      <w:r w:rsidRPr="008259D5">
        <w:t xml:space="preserve">específica dentro da equipe consultora responsável pela elaboração </w:t>
      </w:r>
      <w:r>
        <w:t xml:space="preserve">e execução </w:t>
      </w:r>
      <w:r w:rsidRPr="008259D5">
        <w:t xml:space="preserve">do </w:t>
      </w:r>
      <w:r>
        <w:t>PBA</w:t>
      </w:r>
      <w:r w:rsidRPr="008259D5">
        <w:t xml:space="preserve"> e pela implantação dos planos e programas solicitados</w:t>
      </w:r>
      <w:r>
        <w:t>,</w:t>
      </w:r>
      <w:r w:rsidRPr="008259D5">
        <w:t xml:space="preserve"> inserida no sistema de gerenciamento que o empreendedor estabelecer para tratar da implantação dos empreendimentos.</w:t>
      </w:r>
    </w:p>
    <w:p w:rsidR="00837600" w:rsidRPr="00BF3063" w:rsidRDefault="00837600" w:rsidP="00431A97">
      <w:pPr>
        <w:pStyle w:val="Ttulo3"/>
        <w:numPr>
          <w:ilvl w:val="3"/>
          <w:numId w:val="71"/>
        </w:numPr>
        <w:rPr>
          <w:rFonts w:ascii="Arial Negrito" w:hAnsi="Arial Negrito"/>
          <w:bCs/>
        </w:rPr>
      </w:pPr>
      <w:bookmarkStart w:id="1509" w:name="_Toc418758560"/>
      <w:bookmarkStart w:id="1510" w:name="_Toc418759162"/>
      <w:bookmarkStart w:id="1511" w:name="_Toc419813947"/>
      <w:r w:rsidRPr="00BF3063">
        <w:rPr>
          <w:rFonts w:ascii="Arial Negrito" w:hAnsi="Arial Negrito"/>
          <w:bCs/>
        </w:rPr>
        <w:t>Sistemas de Registros</w:t>
      </w:r>
      <w:bookmarkEnd w:id="1509"/>
      <w:bookmarkEnd w:id="1510"/>
      <w:bookmarkEnd w:id="1511"/>
    </w:p>
    <w:p w:rsidR="00837600" w:rsidRPr="00A7622B" w:rsidRDefault="00837600" w:rsidP="00A7622B">
      <w:pPr>
        <w:spacing w:before="120" w:after="120" w:line="240" w:lineRule="auto"/>
      </w:pPr>
      <w:r w:rsidRPr="00A7622B">
        <w:t>Deverá ser criada uma forma de registro a acompanhar cada resultado de negociação, indenização e relocação, avaliando seu processo e a satisfação da família afetada.</w:t>
      </w:r>
    </w:p>
    <w:p w:rsidR="00837600" w:rsidRPr="00BF3063" w:rsidRDefault="00837600" w:rsidP="00431A97">
      <w:pPr>
        <w:pStyle w:val="Ttulo3"/>
        <w:numPr>
          <w:ilvl w:val="3"/>
          <w:numId w:val="71"/>
        </w:numPr>
        <w:rPr>
          <w:rFonts w:ascii="Arial Negrito" w:hAnsi="Arial Negrito"/>
          <w:bCs/>
        </w:rPr>
      </w:pPr>
      <w:bookmarkStart w:id="1512" w:name="_Toc418758561"/>
      <w:bookmarkStart w:id="1513" w:name="_Toc418759163"/>
      <w:bookmarkStart w:id="1514" w:name="_Toc419813948"/>
      <w:r w:rsidRPr="00BF3063">
        <w:rPr>
          <w:rFonts w:ascii="Arial Negrito" w:hAnsi="Arial Negrito"/>
          <w:bCs/>
        </w:rPr>
        <w:t>Referências Bibliográficas</w:t>
      </w:r>
      <w:bookmarkEnd w:id="1512"/>
      <w:bookmarkEnd w:id="1513"/>
      <w:bookmarkEnd w:id="1514"/>
    </w:p>
    <w:p w:rsidR="00837600" w:rsidRPr="00157455" w:rsidRDefault="00837600" w:rsidP="00BF3063">
      <w:pPr>
        <w:pStyle w:val="Item-Trainho"/>
      </w:pPr>
      <w:r w:rsidRPr="00157455">
        <w:t>Agência Nacional de Águas - ANA. Coordenação de outorga</w:t>
      </w:r>
      <w:r>
        <w:t xml:space="preserve">. </w:t>
      </w:r>
      <w:bookmarkStart w:id="1515" w:name="outorgasana"/>
      <w:r w:rsidRPr="00A7622B">
        <w:t>Outorgas emitidas pela ANA</w:t>
      </w:r>
      <w:bookmarkEnd w:id="1515"/>
      <w:r w:rsidRPr="00157455">
        <w:t xml:space="preserve"> - 2001 a 2015.</w:t>
      </w:r>
    </w:p>
    <w:p w:rsidR="00837600" w:rsidRDefault="00837600" w:rsidP="00BF3063">
      <w:pPr>
        <w:pStyle w:val="Item-Trainho"/>
      </w:pPr>
      <w:r w:rsidRPr="00A7622B">
        <w:t>Departamento de Águas e Energia Elétrica - DAEE. Outorga e fiscalização</w:t>
      </w:r>
      <w:r>
        <w:t>, s/dt.</w:t>
      </w:r>
    </w:p>
    <w:p w:rsidR="00946FA3" w:rsidRDefault="00837600" w:rsidP="00BF3063">
      <w:pPr>
        <w:pStyle w:val="Item-Trainho"/>
        <w:rPr>
          <w:rFonts w:cs="Arial"/>
          <w:b/>
          <w:szCs w:val="22"/>
        </w:rPr>
      </w:pPr>
      <w:r>
        <w:t xml:space="preserve">Universidade Federal do Rio Grande do Sul - UFGS. </w:t>
      </w:r>
      <w:r w:rsidRPr="00A7622B">
        <w:t>Programa de apoio à família</w:t>
      </w:r>
      <w:r>
        <w:t>, s/dt.</w:t>
      </w:r>
    </w:p>
    <w:p w:rsidR="00C038AE" w:rsidRPr="00BF3063" w:rsidRDefault="00946FA3" w:rsidP="00431A97">
      <w:pPr>
        <w:pStyle w:val="Ttulo3"/>
        <w:numPr>
          <w:ilvl w:val="2"/>
          <w:numId w:val="71"/>
        </w:numPr>
        <w:rPr>
          <w:rFonts w:ascii="Arial Negrito" w:hAnsi="Arial Negrito"/>
          <w:bCs/>
        </w:rPr>
      </w:pPr>
      <w:bookmarkStart w:id="1516" w:name="_Toc418758562"/>
      <w:bookmarkStart w:id="1517" w:name="_Toc418759164"/>
      <w:bookmarkStart w:id="1518" w:name="_Toc419813949"/>
      <w:r w:rsidRPr="00BF3063">
        <w:rPr>
          <w:rFonts w:ascii="Arial Negrito" w:hAnsi="Arial Negrito"/>
          <w:bCs/>
        </w:rPr>
        <w:t>Programa de Mobilização e Desmobilização da Mão de Obra</w:t>
      </w:r>
      <w:bookmarkEnd w:id="1516"/>
      <w:bookmarkEnd w:id="1517"/>
      <w:bookmarkEnd w:id="1518"/>
    </w:p>
    <w:p w:rsidR="001114D1" w:rsidRPr="00BF3063" w:rsidRDefault="001114D1" w:rsidP="00431A97">
      <w:pPr>
        <w:pStyle w:val="Ttulo3"/>
        <w:numPr>
          <w:ilvl w:val="3"/>
          <w:numId w:val="71"/>
        </w:numPr>
        <w:rPr>
          <w:rFonts w:ascii="Arial Negrito" w:hAnsi="Arial Negrito"/>
          <w:bCs/>
        </w:rPr>
      </w:pPr>
      <w:bookmarkStart w:id="1519" w:name="_Toc418758563"/>
      <w:bookmarkStart w:id="1520" w:name="_Toc418759165"/>
      <w:bookmarkStart w:id="1521" w:name="_Toc419813950"/>
      <w:r w:rsidRPr="00BF3063">
        <w:rPr>
          <w:rFonts w:ascii="Arial Negrito" w:hAnsi="Arial Negrito"/>
          <w:bCs/>
        </w:rPr>
        <w:t>Apresentação e Justificativas</w:t>
      </w:r>
      <w:bookmarkEnd w:id="1519"/>
      <w:bookmarkEnd w:id="1520"/>
      <w:bookmarkEnd w:id="1521"/>
    </w:p>
    <w:p w:rsidR="001114D1" w:rsidRDefault="001114D1" w:rsidP="001114D1">
      <w:pPr>
        <w:tabs>
          <w:tab w:val="left" w:pos="1134"/>
        </w:tabs>
        <w:spacing w:before="120" w:after="120" w:line="240" w:lineRule="auto"/>
      </w:pPr>
      <w:r>
        <w:t>A construção das barragens Pedreira e Duas Pontes proporcionará o aquecimento temporário do mercado de trabalho local/regional, em consequência da demanda por mão de obra, principalmente durante a etapa de implantação desses empreendimentos. Embora a economia da AID dos empreendimentos seja razoavelmente dinâmica, especialmente o município de Campinas, uma das maiores economias do Estado de São Paulo, certamente as economias e o mercado de trabalho dos municípios de Amparo e Pedreira, e mais além, regionalmente, sentirão alterações com o movimento causado pelas obras.</w:t>
      </w:r>
    </w:p>
    <w:p w:rsidR="001114D1" w:rsidRDefault="001114D1" w:rsidP="001114D1">
      <w:pPr>
        <w:tabs>
          <w:tab w:val="left" w:pos="1134"/>
        </w:tabs>
        <w:spacing w:before="120" w:after="120" w:line="240" w:lineRule="auto"/>
        <w:rPr>
          <w:rFonts w:cs="Arial"/>
        </w:rPr>
      </w:pPr>
      <w:r>
        <w:t xml:space="preserve">Para a implantação da Barragem Duas Pontes, o </w:t>
      </w:r>
      <w:r w:rsidRPr="00C55941">
        <w:rPr>
          <w:rFonts w:cs="Arial"/>
        </w:rPr>
        <w:t xml:space="preserve">histograma de mão de obra prevê uma demanda de trabalhadores para o pico da obra, </w:t>
      </w:r>
      <w:r>
        <w:rPr>
          <w:rFonts w:cs="Arial"/>
        </w:rPr>
        <w:t xml:space="preserve">— </w:t>
      </w:r>
      <w:r w:rsidRPr="00C55941">
        <w:rPr>
          <w:rFonts w:cs="Arial"/>
        </w:rPr>
        <w:t>estimado em 3 meses (do 9º ao 11º mês)</w:t>
      </w:r>
      <w:r w:rsidR="006F4A2D">
        <w:rPr>
          <w:rFonts w:cs="Arial"/>
        </w:rPr>
        <w:t>,</w:t>
      </w:r>
      <w:r w:rsidRPr="00C55941">
        <w:rPr>
          <w:rFonts w:cs="Arial"/>
        </w:rPr>
        <w:t xml:space="preserve"> </w:t>
      </w:r>
      <w:r>
        <w:rPr>
          <w:rFonts w:cs="Arial"/>
        </w:rPr>
        <w:t>de no máximo</w:t>
      </w:r>
      <w:r w:rsidRPr="00C55941">
        <w:rPr>
          <w:rFonts w:cs="Arial"/>
        </w:rPr>
        <w:t xml:space="preserve"> 917 pessoas</w:t>
      </w:r>
      <w:r>
        <w:rPr>
          <w:rFonts w:cs="Arial"/>
        </w:rPr>
        <w:t xml:space="preserve"> e, para </w:t>
      </w:r>
      <w:r>
        <w:t xml:space="preserve">a implantação da Barragem Pedreira, um contingente de </w:t>
      </w:r>
      <w:r w:rsidRPr="00880FF7">
        <w:rPr>
          <w:rFonts w:cs="Arial"/>
        </w:rPr>
        <w:t>920 pessoas</w:t>
      </w:r>
      <w:r>
        <w:rPr>
          <w:rFonts w:cs="Arial"/>
        </w:rPr>
        <w:t>, entre o 12º e 14º mes.</w:t>
      </w:r>
    </w:p>
    <w:p w:rsidR="001114D1" w:rsidRDefault="001114D1" w:rsidP="001114D1">
      <w:pPr>
        <w:tabs>
          <w:tab w:val="left" w:pos="1134"/>
        </w:tabs>
        <w:spacing w:before="120" w:after="120" w:line="240" w:lineRule="auto"/>
      </w:pPr>
      <w:r>
        <w:t>De acordo com esses dados, os empregos diretos a serem gerados pelos empreendimentos necessitam, para algumas funções, de especialização específica, demandando, portanto, a disponibilidade de mão de obra com perfil adequado para responder a essa oferta. Essa demanda deverá ser parcialmente atendida com mão de obra local e regional, mas para que isso se efetive torna-se necessária a implantação de mecanismos de oportunidades para a profissionalização e habilitação de trabalhadores da região de acordo com as necessidades do empreendimento.</w:t>
      </w:r>
    </w:p>
    <w:p w:rsidR="001114D1" w:rsidRDefault="001114D1" w:rsidP="001114D1">
      <w:pPr>
        <w:tabs>
          <w:tab w:val="left" w:pos="1134"/>
        </w:tabs>
        <w:spacing w:before="120" w:after="120" w:line="240" w:lineRule="auto"/>
      </w:pPr>
      <w:r>
        <w:t>Abaixo demonstra-se o esquema de distribuição de mão de obra para cada uma das Barragens</w:t>
      </w:r>
      <w:r w:rsidRPr="009814F1">
        <w:t xml:space="preserve">, </w:t>
      </w:r>
      <w:r w:rsidRPr="0022417F">
        <w:t>tendo como fonte o diagnóstico do EIA das Barragens</w:t>
      </w:r>
      <w:r w:rsidRPr="009814F1">
        <w:t>:</w:t>
      </w:r>
    </w:p>
    <w:p w:rsidR="001114D1" w:rsidRPr="00C0011E" w:rsidRDefault="001114D1" w:rsidP="001114D1">
      <w:pPr>
        <w:tabs>
          <w:tab w:val="left" w:pos="1134"/>
        </w:tabs>
        <w:rPr>
          <w:sz w:val="16"/>
          <w:szCs w:val="16"/>
        </w:rPr>
      </w:pPr>
    </w:p>
    <w:p w:rsidR="001114D1" w:rsidRPr="00810CA3" w:rsidRDefault="00810CA3" w:rsidP="00810CA3">
      <w:pPr>
        <w:pStyle w:val="Legenda"/>
        <w:jc w:val="center"/>
        <w:rPr>
          <w:rFonts w:cs="Arial"/>
          <w:b w:val="0"/>
          <w:i w:val="0"/>
          <w:szCs w:val="22"/>
        </w:rPr>
      </w:pPr>
      <w:r w:rsidRPr="00810CA3">
        <w:rPr>
          <w:i w:val="0"/>
        </w:rPr>
        <w:t>Quadro 3.5.</w:t>
      </w:r>
      <w:r w:rsidR="00B80A05" w:rsidRPr="00810CA3">
        <w:rPr>
          <w:i w:val="0"/>
        </w:rPr>
        <w:fldChar w:fldCharType="begin"/>
      </w:r>
      <w:r w:rsidRPr="00810CA3">
        <w:rPr>
          <w:i w:val="0"/>
        </w:rPr>
        <w:instrText xml:space="preserve"> SEQ Quadro_3.5. \* ARABIC </w:instrText>
      </w:r>
      <w:r w:rsidR="00B80A05" w:rsidRPr="00810CA3">
        <w:rPr>
          <w:i w:val="0"/>
        </w:rPr>
        <w:fldChar w:fldCharType="separate"/>
      </w:r>
      <w:r w:rsidR="00316060">
        <w:rPr>
          <w:i w:val="0"/>
          <w:noProof/>
        </w:rPr>
        <w:t>5</w:t>
      </w:r>
      <w:r w:rsidR="00B80A05" w:rsidRPr="00810CA3">
        <w:rPr>
          <w:i w:val="0"/>
        </w:rPr>
        <w:fldChar w:fldCharType="end"/>
      </w:r>
      <w:r w:rsidRPr="00810CA3">
        <w:rPr>
          <w:i w:val="0"/>
        </w:rPr>
        <w:t>.</w:t>
      </w:r>
      <w:r w:rsidRPr="00810CA3">
        <w:rPr>
          <w:b w:val="0"/>
          <w:i w:val="0"/>
        </w:rPr>
        <w:t xml:space="preserve"> - </w:t>
      </w:r>
      <w:r w:rsidR="001114D1" w:rsidRPr="00810CA3">
        <w:rPr>
          <w:rFonts w:cs="Arial"/>
          <w:b w:val="0"/>
          <w:i w:val="0"/>
          <w:szCs w:val="22"/>
        </w:rPr>
        <w:t>Barragem Duas Pontes - Distribuição dos Trabalhadores Contratados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4"/>
        <w:gridCol w:w="1134"/>
        <w:gridCol w:w="1418"/>
      </w:tblGrid>
      <w:tr w:rsidR="001114D1" w:rsidTr="00B27E92">
        <w:trPr>
          <w:jc w:val="center"/>
        </w:trPr>
        <w:tc>
          <w:tcPr>
            <w:tcW w:w="1984" w:type="dxa"/>
            <w:shd w:val="clear" w:color="auto" w:fill="D9D9D9" w:themeFill="background1" w:themeFillShade="D9"/>
            <w:vAlign w:val="center"/>
          </w:tcPr>
          <w:p w:rsidR="001114D1" w:rsidRPr="001B5A45" w:rsidRDefault="001114D1" w:rsidP="001B5A45">
            <w:pPr>
              <w:spacing w:before="60" w:after="20" w:line="240" w:lineRule="auto"/>
              <w:jc w:val="center"/>
              <w:rPr>
                <w:rFonts w:cs="Arial"/>
              </w:rPr>
            </w:pPr>
            <w:r w:rsidRPr="001B5A45">
              <w:rPr>
                <w:rFonts w:cs="Arial"/>
              </w:rPr>
              <w:t>Trabalhadores contratados</w:t>
            </w:r>
          </w:p>
        </w:tc>
        <w:tc>
          <w:tcPr>
            <w:tcW w:w="1134" w:type="dxa"/>
            <w:shd w:val="clear" w:color="auto" w:fill="D9D9D9" w:themeFill="background1" w:themeFillShade="D9"/>
            <w:vAlign w:val="center"/>
          </w:tcPr>
          <w:p w:rsidR="001114D1" w:rsidRPr="001B5A45" w:rsidRDefault="001114D1" w:rsidP="001B5A45">
            <w:pPr>
              <w:spacing w:before="60" w:after="20" w:line="240" w:lineRule="auto"/>
              <w:jc w:val="center"/>
              <w:rPr>
                <w:rFonts w:cs="Arial"/>
              </w:rPr>
            </w:pPr>
            <w:r w:rsidRPr="001B5A45">
              <w:rPr>
                <w:rFonts w:cs="Arial"/>
              </w:rPr>
              <w:t>Meses</w:t>
            </w:r>
          </w:p>
        </w:tc>
        <w:tc>
          <w:tcPr>
            <w:tcW w:w="1418" w:type="dxa"/>
            <w:shd w:val="clear" w:color="auto" w:fill="D9D9D9" w:themeFill="background1" w:themeFillShade="D9"/>
            <w:vAlign w:val="center"/>
          </w:tcPr>
          <w:p w:rsidR="001114D1" w:rsidRPr="001B5A45" w:rsidRDefault="001114D1" w:rsidP="001B5A45">
            <w:pPr>
              <w:spacing w:before="60" w:after="20" w:line="240" w:lineRule="auto"/>
              <w:jc w:val="center"/>
              <w:rPr>
                <w:rFonts w:cs="Arial"/>
              </w:rPr>
            </w:pPr>
            <w:r w:rsidRPr="001B5A45">
              <w:rPr>
                <w:rFonts w:cs="Arial"/>
              </w:rPr>
              <w:t>Percentual (%)</w:t>
            </w:r>
          </w:p>
        </w:tc>
      </w:tr>
      <w:tr w:rsidR="001114D1" w:rsidTr="001B5A45">
        <w:trPr>
          <w:jc w:val="center"/>
        </w:trPr>
        <w:tc>
          <w:tcPr>
            <w:tcW w:w="1984" w:type="dxa"/>
            <w:shd w:val="clear" w:color="auto" w:fill="auto"/>
          </w:tcPr>
          <w:p w:rsidR="001114D1" w:rsidRPr="001B5A45" w:rsidRDefault="001114D1" w:rsidP="001B5A45">
            <w:pPr>
              <w:spacing w:before="60" w:after="20" w:line="240" w:lineRule="auto"/>
              <w:rPr>
                <w:rFonts w:cs="Arial"/>
              </w:rPr>
            </w:pPr>
            <w:r w:rsidRPr="001B5A45">
              <w:rPr>
                <w:rFonts w:cs="Arial"/>
              </w:rPr>
              <w:t>Até 200</w:t>
            </w:r>
          </w:p>
        </w:tc>
        <w:tc>
          <w:tcPr>
            <w:tcW w:w="1134" w:type="dxa"/>
            <w:shd w:val="clear" w:color="auto" w:fill="auto"/>
          </w:tcPr>
          <w:p w:rsidR="001114D1" w:rsidRPr="001B5A45" w:rsidRDefault="001114D1" w:rsidP="001B5A45">
            <w:pPr>
              <w:spacing w:before="60" w:after="20" w:line="240" w:lineRule="auto"/>
              <w:jc w:val="center"/>
              <w:rPr>
                <w:rFonts w:cs="Arial"/>
              </w:rPr>
            </w:pPr>
            <w:r w:rsidRPr="001B5A45">
              <w:rPr>
                <w:rFonts w:cs="Arial"/>
              </w:rPr>
              <w:t>7</w:t>
            </w:r>
          </w:p>
        </w:tc>
        <w:tc>
          <w:tcPr>
            <w:tcW w:w="1418" w:type="dxa"/>
            <w:shd w:val="clear" w:color="auto" w:fill="auto"/>
          </w:tcPr>
          <w:p w:rsidR="001114D1" w:rsidRPr="001B5A45" w:rsidRDefault="001114D1" w:rsidP="001B5A45">
            <w:pPr>
              <w:spacing w:before="60" w:after="20" w:line="240" w:lineRule="auto"/>
              <w:jc w:val="center"/>
              <w:rPr>
                <w:rFonts w:cs="Arial"/>
              </w:rPr>
            </w:pPr>
            <w:r w:rsidRPr="001B5A45">
              <w:rPr>
                <w:rFonts w:cs="Arial"/>
              </w:rPr>
              <w:t>23,4</w:t>
            </w:r>
          </w:p>
        </w:tc>
      </w:tr>
      <w:tr w:rsidR="001114D1" w:rsidTr="001B5A45">
        <w:trPr>
          <w:jc w:val="center"/>
        </w:trPr>
        <w:tc>
          <w:tcPr>
            <w:tcW w:w="1984" w:type="dxa"/>
            <w:shd w:val="clear" w:color="auto" w:fill="auto"/>
          </w:tcPr>
          <w:p w:rsidR="001114D1" w:rsidRPr="001B5A45" w:rsidRDefault="001114D1" w:rsidP="001B5A45">
            <w:pPr>
              <w:spacing w:before="60" w:after="20" w:line="240" w:lineRule="auto"/>
              <w:rPr>
                <w:rFonts w:cs="Arial"/>
              </w:rPr>
            </w:pPr>
            <w:r w:rsidRPr="001B5A45">
              <w:rPr>
                <w:rFonts w:cs="Arial"/>
              </w:rPr>
              <w:t>201 a 300</w:t>
            </w:r>
          </w:p>
        </w:tc>
        <w:tc>
          <w:tcPr>
            <w:tcW w:w="1134" w:type="dxa"/>
            <w:shd w:val="clear" w:color="auto" w:fill="auto"/>
          </w:tcPr>
          <w:p w:rsidR="001114D1" w:rsidRPr="001B5A45" w:rsidRDefault="001114D1" w:rsidP="001B5A45">
            <w:pPr>
              <w:spacing w:before="60" w:after="20" w:line="240" w:lineRule="auto"/>
              <w:jc w:val="center"/>
              <w:rPr>
                <w:rFonts w:cs="Arial"/>
              </w:rPr>
            </w:pPr>
            <w:r w:rsidRPr="001B5A45">
              <w:rPr>
                <w:rFonts w:cs="Arial"/>
              </w:rPr>
              <w:t>9</w:t>
            </w:r>
          </w:p>
        </w:tc>
        <w:tc>
          <w:tcPr>
            <w:tcW w:w="1418" w:type="dxa"/>
            <w:shd w:val="clear" w:color="auto" w:fill="auto"/>
          </w:tcPr>
          <w:p w:rsidR="001114D1" w:rsidRPr="001B5A45" w:rsidRDefault="001114D1" w:rsidP="001B5A45">
            <w:pPr>
              <w:spacing w:before="60" w:after="20" w:line="240" w:lineRule="auto"/>
              <w:jc w:val="center"/>
              <w:rPr>
                <w:rFonts w:cs="Arial"/>
              </w:rPr>
            </w:pPr>
            <w:r w:rsidRPr="001B5A45">
              <w:rPr>
                <w:rFonts w:cs="Arial"/>
              </w:rPr>
              <w:t>30,0</w:t>
            </w:r>
          </w:p>
        </w:tc>
      </w:tr>
      <w:tr w:rsidR="001114D1" w:rsidTr="001B5A45">
        <w:trPr>
          <w:jc w:val="center"/>
        </w:trPr>
        <w:tc>
          <w:tcPr>
            <w:tcW w:w="1984" w:type="dxa"/>
            <w:shd w:val="clear" w:color="auto" w:fill="auto"/>
          </w:tcPr>
          <w:p w:rsidR="001114D1" w:rsidRPr="001B5A45" w:rsidRDefault="001114D1" w:rsidP="001B5A45">
            <w:pPr>
              <w:spacing w:before="60" w:after="20" w:line="240" w:lineRule="auto"/>
              <w:rPr>
                <w:rFonts w:cs="Arial"/>
              </w:rPr>
            </w:pPr>
            <w:r w:rsidRPr="001B5A45">
              <w:rPr>
                <w:rFonts w:cs="Arial"/>
              </w:rPr>
              <w:t>301 a 400</w:t>
            </w:r>
          </w:p>
        </w:tc>
        <w:tc>
          <w:tcPr>
            <w:tcW w:w="1134" w:type="dxa"/>
            <w:shd w:val="clear" w:color="auto" w:fill="auto"/>
          </w:tcPr>
          <w:p w:rsidR="001114D1" w:rsidRPr="001B5A45" w:rsidRDefault="001114D1" w:rsidP="001B5A45">
            <w:pPr>
              <w:spacing w:before="60" w:after="20" w:line="240" w:lineRule="auto"/>
              <w:jc w:val="center"/>
              <w:rPr>
                <w:rFonts w:cs="Arial"/>
              </w:rPr>
            </w:pPr>
            <w:r w:rsidRPr="001B5A45">
              <w:rPr>
                <w:rFonts w:cs="Arial"/>
              </w:rPr>
              <w:t>4</w:t>
            </w:r>
          </w:p>
        </w:tc>
        <w:tc>
          <w:tcPr>
            <w:tcW w:w="1418" w:type="dxa"/>
            <w:shd w:val="clear" w:color="auto" w:fill="auto"/>
          </w:tcPr>
          <w:p w:rsidR="001114D1" w:rsidRPr="001B5A45" w:rsidRDefault="001114D1" w:rsidP="001B5A45">
            <w:pPr>
              <w:spacing w:before="60" w:after="20" w:line="240" w:lineRule="auto"/>
              <w:jc w:val="center"/>
              <w:rPr>
                <w:rFonts w:cs="Arial"/>
              </w:rPr>
            </w:pPr>
            <w:r w:rsidRPr="001B5A45">
              <w:rPr>
                <w:rFonts w:cs="Arial"/>
              </w:rPr>
              <w:t>13,3</w:t>
            </w:r>
          </w:p>
        </w:tc>
      </w:tr>
      <w:tr w:rsidR="001114D1" w:rsidTr="001B5A45">
        <w:trPr>
          <w:jc w:val="center"/>
        </w:trPr>
        <w:tc>
          <w:tcPr>
            <w:tcW w:w="1984" w:type="dxa"/>
            <w:shd w:val="clear" w:color="auto" w:fill="F2F2F2"/>
          </w:tcPr>
          <w:p w:rsidR="001114D1" w:rsidRPr="001B5A45" w:rsidRDefault="001114D1" w:rsidP="001B5A45">
            <w:pPr>
              <w:spacing w:before="60" w:after="20" w:line="240" w:lineRule="auto"/>
              <w:rPr>
                <w:rFonts w:cs="Arial"/>
              </w:rPr>
            </w:pPr>
            <w:r w:rsidRPr="001B5A45">
              <w:rPr>
                <w:rFonts w:cs="Arial"/>
              </w:rPr>
              <w:t>401 a 600</w:t>
            </w:r>
          </w:p>
        </w:tc>
        <w:tc>
          <w:tcPr>
            <w:tcW w:w="1134" w:type="dxa"/>
            <w:shd w:val="clear" w:color="auto" w:fill="F2F2F2"/>
          </w:tcPr>
          <w:p w:rsidR="001114D1" w:rsidRPr="001B5A45" w:rsidRDefault="001114D1" w:rsidP="001B5A45">
            <w:pPr>
              <w:spacing w:before="60" w:after="20" w:line="240" w:lineRule="auto"/>
              <w:jc w:val="center"/>
              <w:rPr>
                <w:rFonts w:cs="Arial"/>
              </w:rPr>
            </w:pPr>
            <w:r w:rsidRPr="001B5A45">
              <w:rPr>
                <w:rFonts w:cs="Arial"/>
              </w:rPr>
              <w:t>4</w:t>
            </w:r>
          </w:p>
        </w:tc>
        <w:tc>
          <w:tcPr>
            <w:tcW w:w="1418" w:type="dxa"/>
            <w:shd w:val="clear" w:color="auto" w:fill="F2F2F2"/>
          </w:tcPr>
          <w:p w:rsidR="001114D1" w:rsidRPr="001B5A45" w:rsidRDefault="001114D1" w:rsidP="001B5A45">
            <w:pPr>
              <w:spacing w:before="60" w:after="20" w:line="240" w:lineRule="auto"/>
              <w:jc w:val="center"/>
              <w:rPr>
                <w:rFonts w:cs="Arial"/>
              </w:rPr>
            </w:pPr>
            <w:r w:rsidRPr="001B5A45">
              <w:rPr>
                <w:rFonts w:cs="Arial"/>
              </w:rPr>
              <w:t>13,3</w:t>
            </w:r>
          </w:p>
        </w:tc>
      </w:tr>
      <w:tr w:rsidR="001114D1" w:rsidTr="001B5A45">
        <w:trPr>
          <w:jc w:val="center"/>
        </w:trPr>
        <w:tc>
          <w:tcPr>
            <w:tcW w:w="1984" w:type="dxa"/>
            <w:shd w:val="clear" w:color="auto" w:fill="auto"/>
          </w:tcPr>
          <w:p w:rsidR="001114D1" w:rsidRPr="001B5A45" w:rsidRDefault="001114D1" w:rsidP="001B5A45">
            <w:pPr>
              <w:spacing w:before="60" w:after="20" w:line="240" w:lineRule="auto"/>
              <w:rPr>
                <w:rFonts w:cs="Arial"/>
              </w:rPr>
            </w:pPr>
            <w:r w:rsidRPr="001B5A45">
              <w:rPr>
                <w:rFonts w:cs="Arial"/>
              </w:rPr>
              <w:t>601 a 920</w:t>
            </w:r>
          </w:p>
        </w:tc>
        <w:tc>
          <w:tcPr>
            <w:tcW w:w="1134" w:type="dxa"/>
            <w:shd w:val="clear" w:color="auto" w:fill="auto"/>
          </w:tcPr>
          <w:p w:rsidR="001114D1" w:rsidRPr="001B5A45" w:rsidRDefault="001114D1" w:rsidP="001B5A45">
            <w:pPr>
              <w:spacing w:before="60" w:after="20" w:line="240" w:lineRule="auto"/>
              <w:jc w:val="center"/>
              <w:rPr>
                <w:rFonts w:cs="Arial"/>
              </w:rPr>
            </w:pPr>
            <w:r w:rsidRPr="001B5A45">
              <w:rPr>
                <w:rFonts w:cs="Arial"/>
              </w:rPr>
              <w:t>6</w:t>
            </w:r>
          </w:p>
        </w:tc>
        <w:tc>
          <w:tcPr>
            <w:tcW w:w="1418" w:type="dxa"/>
            <w:shd w:val="clear" w:color="auto" w:fill="auto"/>
          </w:tcPr>
          <w:p w:rsidR="001114D1" w:rsidRPr="001B5A45" w:rsidRDefault="001114D1" w:rsidP="001B5A45">
            <w:pPr>
              <w:spacing w:before="60" w:after="20" w:line="240" w:lineRule="auto"/>
              <w:jc w:val="center"/>
              <w:rPr>
                <w:rFonts w:cs="Arial"/>
              </w:rPr>
            </w:pPr>
            <w:r w:rsidRPr="001B5A45">
              <w:rPr>
                <w:rFonts w:cs="Arial"/>
              </w:rPr>
              <w:t>20,0</w:t>
            </w:r>
          </w:p>
        </w:tc>
      </w:tr>
      <w:tr w:rsidR="001114D1" w:rsidTr="001B5A45">
        <w:trPr>
          <w:jc w:val="center"/>
        </w:trPr>
        <w:tc>
          <w:tcPr>
            <w:tcW w:w="1984" w:type="dxa"/>
            <w:shd w:val="clear" w:color="auto" w:fill="auto"/>
          </w:tcPr>
          <w:p w:rsidR="001114D1" w:rsidRPr="001B5A45" w:rsidRDefault="001114D1" w:rsidP="001B5A45">
            <w:pPr>
              <w:spacing w:before="60" w:after="20" w:line="240" w:lineRule="auto"/>
              <w:rPr>
                <w:rFonts w:cs="Arial"/>
              </w:rPr>
            </w:pPr>
            <w:r w:rsidRPr="001B5A45">
              <w:rPr>
                <w:rFonts w:cs="Arial"/>
              </w:rPr>
              <w:t xml:space="preserve">Total </w:t>
            </w:r>
          </w:p>
        </w:tc>
        <w:tc>
          <w:tcPr>
            <w:tcW w:w="1134" w:type="dxa"/>
            <w:shd w:val="clear" w:color="auto" w:fill="auto"/>
          </w:tcPr>
          <w:p w:rsidR="001114D1" w:rsidRPr="001B5A45" w:rsidRDefault="001114D1" w:rsidP="001B5A45">
            <w:pPr>
              <w:spacing w:before="60" w:after="20" w:line="240" w:lineRule="auto"/>
              <w:jc w:val="center"/>
              <w:rPr>
                <w:rFonts w:cs="Arial"/>
              </w:rPr>
            </w:pPr>
            <w:r w:rsidRPr="001B5A45">
              <w:rPr>
                <w:rFonts w:cs="Arial"/>
              </w:rPr>
              <w:t>30</w:t>
            </w:r>
          </w:p>
        </w:tc>
        <w:tc>
          <w:tcPr>
            <w:tcW w:w="1418" w:type="dxa"/>
            <w:shd w:val="clear" w:color="auto" w:fill="auto"/>
          </w:tcPr>
          <w:p w:rsidR="001114D1" w:rsidRPr="001B5A45" w:rsidRDefault="001114D1" w:rsidP="001B5A45">
            <w:pPr>
              <w:spacing w:before="60" w:after="20" w:line="240" w:lineRule="auto"/>
              <w:jc w:val="center"/>
              <w:rPr>
                <w:rFonts w:cs="Arial"/>
              </w:rPr>
            </w:pPr>
            <w:r w:rsidRPr="001B5A45">
              <w:rPr>
                <w:rFonts w:cs="Arial"/>
              </w:rPr>
              <w:t>100,0</w:t>
            </w:r>
          </w:p>
        </w:tc>
      </w:tr>
    </w:tbl>
    <w:p w:rsidR="00BF3063" w:rsidRPr="00C0011E" w:rsidRDefault="00BF3063" w:rsidP="001114D1">
      <w:pPr>
        <w:tabs>
          <w:tab w:val="left" w:pos="1134"/>
        </w:tabs>
        <w:rPr>
          <w:sz w:val="16"/>
          <w:szCs w:val="16"/>
        </w:rPr>
      </w:pPr>
    </w:p>
    <w:p w:rsidR="001114D1" w:rsidRPr="00810CA3" w:rsidRDefault="00810CA3" w:rsidP="00810CA3">
      <w:pPr>
        <w:pStyle w:val="Legenda"/>
        <w:jc w:val="center"/>
        <w:rPr>
          <w:rFonts w:cs="Arial"/>
          <w:b w:val="0"/>
          <w:i w:val="0"/>
          <w:szCs w:val="22"/>
        </w:rPr>
      </w:pPr>
      <w:r w:rsidRPr="00810CA3">
        <w:rPr>
          <w:i w:val="0"/>
        </w:rPr>
        <w:t>Quadro 3.5.</w:t>
      </w:r>
      <w:r w:rsidR="00B80A05" w:rsidRPr="00810CA3">
        <w:rPr>
          <w:i w:val="0"/>
        </w:rPr>
        <w:fldChar w:fldCharType="begin"/>
      </w:r>
      <w:r w:rsidRPr="00810CA3">
        <w:rPr>
          <w:i w:val="0"/>
        </w:rPr>
        <w:instrText xml:space="preserve"> SEQ Quadro_3.5. \* ARABIC </w:instrText>
      </w:r>
      <w:r w:rsidR="00B80A05" w:rsidRPr="00810CA3">
        <w:rPr>
          <w:i w:val="0"/>
        </w:rPr>
        <w:fldChar w:fldCharType="separate"/>
      </w:r>
      <w:r w:rsidR="00316060">
        <w:rPr>
          <w:i w:val="0"/>
          <w:noProof/>
        </w:rPr>
        <w:t>6</w:t>
      </w:r>
      <w:r w:rsidR="00B80A05" w:rsidRPr="00810CA3">
        <w:rPr>
          <w:i w:val="0"/>
        </w:rPr>
        <w:fldChar w:fldCharType="end"/>
      </w:r>
      <w:r w:rsidRPr="00810CA3">
        <w:rPr>
          <w:i w:val="0"/>
        </w:rPr>
        <w:t>.</w:t>
      </w:r>
      <w:r w:rsidRPr="00810CA3">
        <w:rPr>
          <w:b w:val="0"/>
          <w:i w:val="0"/>
        </w:rPr>
        <w:t xml:space="preserve"> - </w:t>
      </w:r>
      <w:r w:rsidR="001114D1" w:rsidRPr="00810CA3">
        <w:rPr>
          <w:rFonts w:cs="Arial"/>
          <w:b w:val="0"/>
          <w:i w:val="0"/>
          <w:szCs w:val="22"/>
        </w:rPr>
        <w:t>Barragem Pedreira - Distribuição dos Trabalhadores Contratados</w:t>
      </w:r>
    </w:p>
    <w:tbl>
      <w:tblPr>
        <w:tblW w:w="0" w:type="auto"/>
        <w:jc w:val="center"/>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4"/>
        <w:gridCol w:w="1134"/>
        <w:gridCol w:w="1418"/>
      </w:tblGrid>
      <w:tr w:rsidR="001114D1" w:rsidTr="00B27E92">
        <w:trPr>
          <w:jc w:val="center"/>
        </w:trPr>
        <w:tc>
          <w:tcPr>
            <w:tcW w:w="1984" w:type="dxa"/>
            <w:shd w:val="clear" w:color="auto" w:fill="D9D9D9" w:themeFill="background1" w:themeFillShade="D9"/>
            <w:vAlign w:val="center"/>
          </w:tcPr>
          <w:p w:rsidR="001114D1" w:rsidRPr="001B5A45" w:rsidRDefault="001114D1" w:rsidP="001B5A45">
            <w:pPr>
              <w:spacing w:before="60" w:after="20" w:line="240" w:lineRule="auto"/>
              <w:jc w:val="center"/>
              <w:rPr>
                <w:rFonts w:cs="Arial"/>
              </w:rPr>
            </w:pPr>
            <w:r w:rsidRPr="001B5A45">
              <w:rPr>
                <w:rFonts w:cs="Arial"/>
              </w:rPr>
              <w:t>Trabalhadores contratados</w:t>
            </w:r>
          </w:p>
        </w:tc>
        <w:tc>
          <w:tcPr>
            <w:tcW w:w="1134" w:type="dxa"/>
            <w:shd w:val="clear" w:color="auto" w:fill="D9D9D9" w:themeFill="background1" w:themeFillShade="D9"/>
            <w:vAlign w:val="center"/>
          </w:tcPr>
          <w:p w:rsidR="001114D1" w:rsidRPr="001B5A45" w:rsidRDefault="001114D1" w:rsidP="001B5A45">
            <w:pPr>
              <w:spacing w:before="60" w:after="20" w:line="240" w:lineRule="auto"/>
              <w:jc w:val="center"/>
              <w:rPr>
                <w:rFonts w:cs="Arial"/>
              </w:rPr>
            </w:pPr>
            <w:r w:rsidRPr="001B5A45">
              <w:rPr>
                <w:rFonts w:cs="Arial"/>
              </w:rPr>
              <w:t>Meses</w:t>
            </w:r>
          </w:p>
        </w:tc>
        <w:tc>
          <w:tcPr>
            <w:tcW w:w="1418" w:type="dxa"/>
            <w:shd w:val="clear" w:color="auto" w:fill="D9D9D9" w:themeFill="background1" w:themeFillShade="D9"/>
            <w:vAlign w:val="center"/>
          </w:tcPr>
          <w:p w:rsidR="001114D1" w:rsidRPr="001B5A45" w:rsidRDefault="001114D1" w:rsidP="001B5A45">
            <w:pPr>
              <w:spacing w:before="60" w:after="20" w:line="240" w:lineRule="auto"/>
              <w:jc w:val="center"/>
              <w:rPr>
                <w:rFonts w:cs="Arial"/>
              </w:rPr>
            </w:pPr>
            <w:r w:rsidRPr="001B5A45">
              <w:rPr>
                <w:rFonts w:cs="Arial"/>
              </w:rPr>
              <w:t>Percentual (%)</w:t>
            </w:r>
          </w:p>
        </w:tc>
      </w:tr>
      <w:tr w:rsidR="001114D1" w:rsidTr="001B5A45">
        <w:trPr>
          <w:jc w:val="center"/>
        </w:trPr>
        <w:tc>
          <w:tcPr>
            <w:tcW w:w="1984" w:type="dxa"/>
            <w:shd w:val="clear" w:color="auto" w:fill="auto"/>
          </w:tcPr>
          <w:p w:rsidR="001114D1" w:rsidRPr="001B5A45" w:rsidRDefault="001114D1" w:rsidP="001B5A45">
            <w:pPr>
              <w:spacing w:before="60" w:after="20" w:line="240" w:lineRule="auto"/>
              <w:jc w:val="center"/>
              <w:rPr>
                <w:rFonts w:cs="Arial"/>
              </w:rPr>
            </w:pPr>
            <w:r w:rsidRPr="001B5A45">
              <w:rPr>
                <w:rFonts w:cs="Arial"/>
              </w:rPr>
              <w:t>Até 200</w:t>
            </w:r>
          </w:p>
        </w:tc>
        <w:tc>
          <w:tcPr>
            <w:tcW w:w="1134" w:type="dxa"/>
            <w:shd w:val="clear" w:color="auto" w:fill="auto"/>
          </w:tcPr>
          <w:p w:rsidR="001114D1" w:rsidRPr="001B5A45" w:rsidRDefault="001114D1" w:rsidP="001B5A45">
            <w:pPr>
              <w:spacing w:before="60" w:after="20" w:line="240" w:lineRule="auto"/>
              <w:jc w:val="center"/>
              <w:rPr>
                <w:rFonts w:cs="Arial"/>
              </w:rPr>
            </w:pPr>
            <w:r w:rsidRPr="001B5A45">
              <w:rPr>
                <w:rFonts w:cs="Arial"/>
              </w:rPr>
              <w:t>5</w:t>
            </w:r>
          </w:p>
        </w:tc>
        <w:tc>
          <w:tcPr>
            <w:tcW w:w="1418" w:type="dxa"/>
            <w:shd w:val="clear" w:color="auto" w:fill="auto"/>
          </w:tcPr>
          <w:p w:rsidR="001114D1" w:rsidRPr="001B5A45" w:rsidRDefault="001114D1" w:rsidP="001B5A45">
            <w:pPr>
              <w:spacing w:before="60" w:after="20" w:line="240" w:lineRule="auto"/>
              <w:jc w:val="center"/>
              <w:rPr>
                <w:rFonts w:cs="Arial"/>
              </w:rPr>
            </w:pPr>
            <w:r w:rsidRPr="001B5A45">
              <w:rPr>
                <w:rFonts w:cs="Arial"/>
              </w:rPr>
              <w:t>16,7</w:t>
            </w:r>
          </w:p>
        </w:tc>
      </w:tr>
      <w:tr w:rsidR="001114D1" w:rsidTr="001B5A45">
        <w:trPr>
          <w:jc w:val="center"/>
        </w:trPr>
        <w:tc>
          <w:tcPr>
            <w:tcW w:w="1984" w:type="dxa"/>
            <w:shd w:val="clear" w:color="auto" w:fill="auto"/>
          </w:tcPr>
          <w:p w:rsidR="001114D1" w:rsidRPr="001B5A45" w:rsidRDefault="001114D1" w:rsidP="001B5A45">
            <w:pPr>
              <w:spacing w:before="60" w:after="20" w:line="240" w:lineRule="auto"/>
              <w:jc w:val="center"/>
              <w:rPr>
                <w:rFonts w:cs="Arial"/>
              </w:rPr>
            </w:pPr>
            <w:r w:rsidRPr="001B5A45">
              <w:rPr>
                <w:rFonts w:cs="Arial"/>
              </w:rPr>
              <w:t>201 a 300</w:t>
            </w:r>
          </w:p>
        </w:tc>
        <w:tc>
          <w:tcPr>
            <w:tcW w:w="1134" w:type="dxa"/>
            <w:shd w:val="clear" w:color="auto" w:fill="auto"/>
          </w:tcPr>
          <w:p w:rsidR="001114D1" w:rsidRPr="001B5A45" w:rsidRDefault="001114D1" w:rsidP="001B5A45">
            <w:pPr>
              <w:spacing w:before="60" w:after="20" w:line="240" w:lineRule="auto"/>
              <w:jc w:val="center"/>
              <w:rPr>
                <w:rFonts w:cs="Arial"/>
              </w:rPr>
            </w:pPr>
            <w:r w:rsidRPr="001B5A45">
              <w:rPr>
                <w:rFonts w:cs="Arial"/>
              </w:rPr>
              <w:t>6</w:t>
            </w:r>
          </w:p>
        </w:tc>
        <w:tc>
          <w:tcPr>
            <w:tcW w:w="1418" w:type="dxa"/>
            <w:shd w:val="clear" w:color="auto" w:fill="auto"/>
          </w:tcPr>
          <w:p w:rsidR="001114D1" w:rsidRPr="001B5A45" w:rsidRDefault="001114D1" w:rsidP="001B5A45">
            <w:pPr>
              <w:spacing w:before="60" w:after="20" w:line="240" w:lineRule="auto"/>
              <w:jc w:val="center"/>
              <w:rPr>
                <w:rFonts w:cs="Arial"/>
              </w:rPr>
            </w:pPr>
            <w:r w:rsidRPr="001B5A45">
              <w:rPr>
                <w:rFonts w:cs="Arial"/>
              </w:rPr>
              <w:t>20,0</w:t>
            </w:r>
          </w:p>
        </w:tc>
      </w:tr>
      <w:tr w:rsidR="001114D1" w:rsidTr="001B5A45">
        <w:trPr>
          <w:jc w:val="center"/>
        </w:trPr>
        <w:tc>
          <w:tcPr>
            <w:tcW w:w="1984" w:type="dxa"/>
            <w:shd w:val="clear" w:color="auto" w:fill="auto"/>
          </w:tcPr>
          <w:p w:rsidR="001114D1" w:rsidRPr="001B5A45" w:rsidRDefault="001114D1" w:rsidP="001B5A45">
            <w:pPr>
              <w:spacing w:before="60" w:after="20" w:line="240" w:lineRule="auto"/>
              <w:jc w:val="center"/>
              <w:rPr>
                <w:rFonts w:cs="Arial"/>
              </w:rPr>
            </w:pPr>
            <w:r w:rsidRPr="001B5A45">
              <w:rPr>
                <w:rFonts w:cs="Arial"/>
              </w:rPr>
              <w:t>301 a 400</w:t>
            </w:r>
          </w:p>
        </w:tc>
        <w:tc>
          <w:tcPr>
            <w:tcW w:w="1134" w:type="dxa"/>
            <w:shd w:val="clear" w:color="auto" w:fill="auto"/>
          </w:tcPr>
          <w:p w:rsidR="001114D1" w:rsidRPr="001B5A45" w:rsidRDefault="001114D1" w:rsidP="001B5A45">
            <w:pPr>
              <w:spacing w:before="60" w:after="20" w:line="240" w:lineRule="auto"/>
              <w:jc w:val="center"/>
              <w:rPr>
                <w:rFonts w:cs="Arial"/>
              </w:rPr>
            </w:pPr>
            <w:r w:rsidRPr="001B5A45">
              <w:rPr>
                <w:rFonts w:cs="Arial"/>
              </w:rPr>
              <w:t>9</w:t>
            </w:r>
          </w:p>
        </w:tc>
        <w:tc>
          <w:tcPr>
            <w:tcW w:w="1418" w:type="dxa"/>
            <w:shd w:val="clear" w:color="auto" w:fill="auto"/>
          </w:tcPr>
          <w:p w:rsidR="001114D1" w:rsidRPr="001B5A45" w:rsidRDefault="001114D1" w:rsidP="001B5A45">
            <w:pPr>
              <w:spacing w:before="60" w:after="20" w:line="240" w:lineRule="auto"/>
              <w:jc w:val="center"/>
              <w:rPr>
                <w:rFonts w:cs="Arial"/>
              </w:rPr>
            </w:pPr>
            <w:r w:rsidRPr="001B5A45">
              <w:rPr>
                <w:rFonts w:cs="Arial"/>
              </w:rPr>
              <w:t>30,0</w:t>
            </w:r>
          </w:p>
        </w:tc>
      </w:tr>
      <w:tr w:rsidR="001114D1" w:rsidTr="001B5A45">
        <w:trPr>
          <w:jc w:val="center"/>
        </w:trPr>
        <w:tc>
          <w:tcPr>
            <w:tcW w:w="1984" w:type="dxa"/>
            <w:shd w:val="clear" w:color="auto" w:fill="F2F2F2"/>
          </w:tcPr>
          <w:p w:rsidR="001114D1" w:rsidRPr="001B5A45" w:rsidRDefault="001114D1" w:rsidP="001B5A45">
            <w:pPr>
              <w:spacing w:before="60" w:after="20" w:line="240" w:lineRule="auto"/>
              <w:jc w:val="center"/>
              <w:rPr>
                <w:rFonts w:cs="Arial"/>
              </w:rPr>
            </w:pPr>
            <w:r w:rsidRPr="001B5A45">
              <w:rPr>
                <w:rFonts w:cs="Arial"/>
              </w:rPr>
              <w:t>401 a 600</w:t>
            </w:r>
          </w:p>
        </w:tc>
        <w:tc>
          <w:tcPr>
            <w:tcW w:w="1134" w:type="dxa"/>
            <w:shd w:val="clear" w:color="auto" w:fill="F2F2F2"/>
          </w:tcPr>
          <w:p w:rsidR="001114D1" w:rsidRPr="001B5A45" w:rsidRDefault="001114D1" w:rsidP="001B5A45">
            <w:pPr>
              <w:spacing w:before="60" w:after="20" w:line="240" w:lineRule="auto"/>
              <w:jc w:val="center"/>
              <w:rPr>
                <w:rFonts w:cs="Arial"/>
              </w:rPr>
            </w:pPr>
            <w:r w:rsidRPr="001B5A45">
              <w:rPr>
                <w:rFonts w:cs="Arial"/>
              </w:rPr>
              <w:t>6</w:t>
            </w:r>
          </w:p>
        </w:tc>
        <w:tc>
          <w:tcPr>
            <w:tcW w:w="1418" w:type="dxa"/>
            <w:shd w:val="clear" w:color="auto" w:fill="F2F2F2"/>
          </w:tcPr>
          <w:p w:rsidR="001114D1" w:rsidRPr="001B5A45" w:rsidRDefault="001114D1" w:rsidP="001B5A45">
            <w:pPr>
              <w:spacing w:before="60" w:after="20" w:line="240" w:lineRule="auto"/>
              <w:jc w:val="center"/>
              <w:rPr>
                <w:rFonts w:cs="Arial"/>
              </w:rPr>
            </w:pPr>
            <w:r w:rsidRPr="001B5A45">
              <w:rPr>
                <w:rFonts w:cs="Arial"/>
              </w:rPr>
              <w:t>20,0</w:t>
            </w:r>
          </w:p>
        </w:tc>
      </w:tr>
      <w:tr w:rsidR="001114D1" w:rsidTr="001B5A45">
        <w:trPr>
          <w:jc w:val="center"/>
        </w:trPr>
        <w:tc>
          <w:tcPr>
            <w:tcW w:w="1984" w:type="dxa"/>
            <w:shd w:val="clear" w:color="auto" w:fill="auto"/>
          </w:tcPr>
          <w:p w:rsidR="001114D1" w:rsidRPr="001B5A45" w:rsidRDefault="001114D1" w:rsidP="001B5A45">
            <w:pPr>
              <w:spacing w:before="60" w:after="20" w:line="240" w:lineRule="auto"/>
              <w:jc w:val="center"/>
              <w:rPr>
                <w:rFonts w:cs="Arial"/>
              </w:rPr>
            </w:pPr>
            <w:r w:rsidRPr="001B5A45">
              <w:rPr>
                <w:rFonts w:cs="Arial"/>
              </w:rPr>
              <w:t>601 a 920</w:t>
            </w:r>
          </w:p>
        </w:tc>
        <w:tc>
          <w:tcPr>
            <w:tcW w:w="1134" w:type="dxa"/>
            <w:shd w:val="clear" w:color="auto" w:fill="auto"/>
          </w:tcPr>
          <w:p w:rsidR="001114D1" w:rsidRPr="001B5A45" w:rsidRDefault="001114D1" w:rsidP="001B5A45">
            <w:pPr>
              <w:spacing w:before="60" w:after="20" w:line="240" w:lineRule="auto"/>
              <w:jc w:val="center"/>
              <w:rPr>
                <w:rFonts w:cs="Arial"/>
              </w:rPr>
            </w:pPr>
            <w:r w:rsidRPr="001B5A45">
              <w:rPr>
                <w:rFonts w:cs="Arial"/>
              </w:rPr>
              <w:t>4</w:t>
            </w:r>
          </w:p>
        </w:tc>
        <w:tc>
          <w:tcPr>
            <w:tcW w:w="1418" w:type="dxa"/>
            <w:shd w:val="clear" w:color="auto" w:fill="auto"/>
          </w:tcPr>
          <w:p w:rsidR="001114D1" w:rsidRPr="001B5A45" w:rsidRDefault="001114D1" w:rsidP="001B5A45">
            <w:pPr>
              <w:spacing w:before="60" w:after="20" w:line="240" w:lineRule="auto"/>
              <w:jc w:val="center"/>
              <w:rPr>
                <w:rFonts w:cs="Arial"/>
              </w:rPr>
            </w:pPr>
            <w:r w:rsidRPr="001B5A45">
              <w:rPr>
                <w:rFonts w:cs="Arial"/>
              </w:rPr>
              <w:t xml:space="preserve">13,3 </w:t>
            </w:r>
          </w:p>
        </w:tc>
      </w:tr>
      <w:tr w:rsidR="001114D1" w:rsidTr="001B5A45">
        <w:trPr>
          <w:jc w:val="center"/>
        </w:trPr>
        <w:tc>
          <w:tcPr>
            <w:tcW w:w="1984" w:type="dxa"/>
            <w:shd w:val="clear" w:color="auto" w:fill="auto"/>
          </w:tcPr>
          <w:p w:rsidR="001114D1" w:rsidRPr="001B5A45" w:rsidRDefault="001114D1" w:rsidP="001B5A45">
            <w:pPr>
              <w:spacing w:before="60" w:after="20" w:line="240" w:lineRule="auto"/>
              <w:jc w:val="center"/>
              <w:rPr>
                <w:rFonts w:cs="Arial"/>
              </w:rPr>
            </w:pPr>
            <w:r w:rsidRPr="001B5A45">
              <w:rPr>
                <w:rFonts w:cs="Arial"/>
              </w:rPr>
              <w:t xml:space="preserve">Total </w:t>
            </w:r>
          </w:p>
        </w:tc>
        <w:tc>
          <w:tcPr>
            <w:tcW w:w="1134" w:type="dxa"/>
            <w:shd w:val="clear" w:color="auto" w:fill="auto"/>
          </w:tcPr>
          <w:p w:rsidR="001114D1" w:rsidRPr="001B5A45" w:rsidRDefault="001114D1" w:rsidP="001B5A45">
            <w:pPr>
              <w:spacing w:before="60" w:after="20" w:line="240" w:lineRule="auto"/>
              <w:jc w:val="center"/>
              <w:rPr>
                <w:rFonts w:cs="Arial"/>
              </w:rPr>
            </w:pPr>
            <w:r w:rsidRPr="001B5A45">
              <w:rPr>
                <w:rFonts w:cs="Arial"/>
              </w:rPr>
              <w:t>30</w:t>
            </w:r>
          </w:p>
        </w:tc>
        <w:tc>
          <w:tcPr>
            <w:tcW w:w="1418" w:type="dxa"/>
            <w:shd w:val="clear" w:color="auto" w:fill="auto"/>
          </w:tcPr>
          <w:p w:rsidR="001114D1" w:rsidRPr="001B5A45" w:rsidRDefault="001114D1" w:rsidP="001B5A45">
            <w:pPr>
              <w:spacing w:before="60" w:after="20" w:line="240" w:lineRule="auto"/>
              <w:jc w:val="center"/>
              <w:rPr>
                <w:rFonts w:cs="Arial"/>
              </w:rPr>
            </w:pPr>
            <w:r w:rsidRPr="001B5A45">
              <w:rPr>
                <w:rFonts w:cs="Arial"/>
              </w:rPr>
              <w:t>100,0</w:t>
            </w:r>
          </w:p>
        </w:tc>
      </w:tr>
    </w:tbl>
    <w:p w:rsidR="001114D1" w:rsidRPr="00BF3063" w:rsidRDefault="001114D1" w:rsidP="00431A97">
      <w:pPr>
        <w:pStyle w:val="Ttulo3"/>
        <w:numPr>
          <w:ilvl w:val="3"/>
          <w:numId w:val="71"/>
        </w:numPr>
        <w:rPr>
          <w:rFonts w:ascii="Arial Negrito" w:hAnsi="Arial Negrito"/>
          <w:bCs/>
        </w:rPr>
      </w:pPr>
      <w:bookmarkStart w:id="1522" w:name="_Toc418758564"/>
      <w:bookmarkStart w:id="1523" w:name="_Toc418759166"/>
      <w:bookmarkStart w:id="1524" w:name="_Toc419813951"/>
      <w:r w:rsidRPr="00BF3063">
        <w:rPr>
          <w:rFonts w:ascii="Arial Negrito" w:hAnsi="Arial Negrito"/>
          <w:bCs/>
        </w:rPr>
        <w:t>Objetivos</w:t>
      </w:r>
      <w:bookmarkEnd w:id="1522"/>
      <w:bookmarkEnd w:id="1523"/>
      <w:bookmarkEnd w:id="1524"/>
    </w:p>
    <w:p w:rsidR="001114D1" w:rsidRDefault="001114D1" w:rsidP="001114D1">
      <w:pPr>
        <w:tabs>
          <w:tab w:val="left" w:pos="1134"/>
        </w:tabs>
      </w:pPr>
      <w:r>
        <w:t xml:space="preserve">O </w:t>
      </w:r>
      <w:r w:rsidRPr="00F13399">
        <w:t xml:space="preserve">Programa de Mobilização e Desmobilização de Mão de Obra possui os seguintes objetivos: </w:t>
      </w:r>
    </w:p>
    <w:p w:rsidR="001114D1" w:rsidRPr="001114D1" w:rsidRDefault="001114D1" w:rsidP="00F94909">
      <w:pPr>
        <w:pStyle w:val="Item-Bolinha"/>
      </w:pPr>
      <w:r w:rsidRPr="001114D1">
        <w:t>Estabelecer estratégias a garantir a absorção da mão de obra local e regional, por meio de uma política de contratação.</w:t>
      </w:r>
    </w:p>
    <w:p w:rsidR="001114D1" w:rsidRPr="001114D1" w:rsidRDefault="001114D1" w:rsidP="00F94909">
      <w:pPr>
        <w:pStyle w:val="Item-Bolinha"/>
        <w:rPr>
          <w:bCs/>
        </w:rPr>
      </w:pPr>
      <w:r w:rsidRPr="001114D1">
        <w:t>Estabelecer mecanismos de mobilização e habilitação da mão de obra local/regional, de modo a maximizar seu aproveitamento nas obras de implantação das Barragens. Espera-se, com isso, gerar trabalho e renda para a população local e regional e minimizar as possíveis interferências negativas oriundas da atração de população externa à região;</w:t>
      </w:r>
    </w:p>
    <w:p w:rsidR="001114D1" w:rsidRPr="001114D1" w:rsidRDefault="001114D1" w:rsidP="00F94909">
      <w:pPr>
        <w:pStyle w:val="Item-Bolinha"/>
        <w:rPr>
          <w:bCs/>
        </w:rPr>
      </w:pPr>
      <w:r w:rsidRPr="001114D1">
        <w:t>Estabelecer mecanismos, juntamente com as Prefeituras e com a(s) entidade(s) representativa(s) dos trabalhadores, para minimizar os efeitos decorrentes da liberação de trabalhadores, após o término das obras.</w:t>
      </w:r>
    </w:p>
    <w:p w:rsidR="001114D1" w:rsidRPr="00BF3063" w:rsidRDefault="00BF3063" w:rsidP="00BF3063">
      <w:pPr>
        <w:pStyle w:val="Ttulo3"/>
        <w:rPr>
          <w:rFonts w:ascii="Arial Negrito" w:hAnsi="Arial Negrito"/>
          <w:bCs/>
        </w:rPr>
      </w:pPr>
      <w:bookmarkStart w:id="1525" w:name="_Toc418758565"/>
      <w:bookmarkStart w:id="1526" w:name="_Toc418759167"/>
      <w:bookmarkStart w:id="1527" w:name="_Toc419813952"/>
      <w:r w:rsidRPr="00BF3063">
        <w:rPr>
          <w:rFonts w:ascii="Arial Negrito" w:hAnsi="Arial Negrito"/>
          <w:bCs/>
        </w:rPr>
        <w:t xml:space="preserve">3.5.4.3. </w:t>
      </w:r>
      <w:r w:rsidR="001114D1" w:rsidRPr="00BF3063">
        <w:rPr>
          <w:rFonts w:ascii="Arial Negrito" w:hAnsi="Arial Negrito"/>
          <w:bCs/>
        </w:rPr>
        <w:t>Metas</w:t>
      </w:r>
      <w:bookmarkEnd w:id="1525"/>
      <w:bookmarkEnd w:id="1526"/>
      <w:bookmarkEnd w:id="1527"/>
    </w:p>
    <w:p w:rsidR="001114D1" w:rsidRDefault="001114D1" w:rsidP="001114D1">
      <w:pPr>
        <w:tabs>
          <w:tab w:val="left" w:pos="1134"/>
        </w:tabs>
        <w:spacing w:before="120" w:after="120" w:line="240" w:lineRule="auto"/>
        <w:rPr>
          <w:bCs/>
        </w:rPr>
      </w:pPr>
      <w:r>
        <w:rPr>
          <w:bCs/>
        </w:rPr>
        <w:t xml:space="preserve">O </w:t>
      </w:r>
      <w:r w:rsidRPr="00F13399">
        <w:t>Programa de Mobilização e Desmobilização de Mão de Obra</w:t>
      </w:r>
      <w:r>
        <w:rPr>
          <w:bCs/>
        </w:rPr>
        <w:t xml:space="preserve"> tem como meta viabilizar, através da informação ampla e sintonizada com o cronograma das obras, a divulgação de oferta de cursos profissionalizantes, visando à contratação do maior número de trabalhadores provenientes da AID das Barragens. Na desmobilização, informar sobre os setores a demandar mão de obra na região.</w:t>
      </w:r>
    </w:p>
    <w:p w:rsidR="001114D1" w:rsidRPr="00BF3063" w:rsidRDefault="00BF3063" w:rsidP="00BF3063">
      <w:pPr>
        <w:pStyle w:val="Ttulo3"/>
        <w:rPr>
          <w:rFonts w:ascii="Arial Negrito" w:hAnsi="Arial Negrito"/>
          <w:bCs/>
        </w:rPr>
      </w:pPr>
      <w:bookmarkStart w:id="1528" w:name="_Toc418758566"/>
      <w:bookmarkStart w:id="1529" w:name="_Toc418759168"/>
      <w:bookmarkStart w:id="1530" w:name="_Toc419813953"/>
      <w:r>
        <w:rPr>
          <w:rFonts w:ascii="Arial Negrito" w:hAnsi="Arial Negrito"/>
          <w:bCs/>
        </w:rPr>
        <w:t xml:space="preserve">3.5.4.4. </w:t>
      </w:r>
      <w:r w:rsidR="001114D1" w:rsidRPr="00BF3063">
        <w:rPr>
          <w:rFonts w:ascii="Arial Negrito" w:hAnsi="Arial Negrito"/>
          <w:bCs/>
        </w:rPr>
        <w:t>Público Alvo</w:t>
      </w:r>
      <w:bookmarkEnd w:id="1528"/>
      <w:bookmarkEnd w:id="1529"/>
      <w:bookmarkEnd w:id="1530"/>
    </w:p>
    <w:p w:rsidR="001114D1" w:rsidRPr="00574BB1" w:rsidRDefault="001114D1" w:rsidP="001114D1">
      <w:pPr>
        <w:tabs>
          <w:tab w:val="left" w:pos="1134"/>
        </w:tabs>
        <w:spacing w:before="120" w:after="120" w:line="240" w:lineRule="auto"/>
        <w:rPr>
          <w:bCs/>
        </w:rPr>
      </w:pPr>
      <w:r w:rsidRPr="001114D1">
        <w:rPr>
          <w:bCs/>
        </w:rPr>
        <w:t>O público-alvo deste programa envolve os trabalhadores dos municípios da área de influência com perfil demandado pelas empresas construtoras, assim como os trabalhadores contratados durante a implantação dos empreendimentos.</w:t>
      </w:r>
    </w:p>
    <w:p w:rsidR="001114D1" w:rsidRPr="00BF3063" w:rsidRDefault="00BF3063" w:rsidP="00BF3063">
      <w:pPr>
        <w:pStyle w:val="Ttulo3"/>
        <w:rPr>
          <w:rFonts w:ascii="Arial Negrito" w:hAnsi="Arial Negrito"/>
          <w:bCs/>
        </w:rPr>
      </w:pPr>
      <w:bookmarkStart w:id="1531" w:name="_Toc418758567"/>
      <w:bookmarkStart w:id="1532" w:name="_Toc418759169"/>
      <w:bookmarkStart w:id="1533" w:name="_Toc419813954"/>
      <w:r>
        <w:rPr>
          <w:rFonts w:ascii="Arial Negrito" w:hAnsi="Arial Negrito"/>
          <w:bCs/>
        </w:rPr>
        <w:t xml:space="preserve">3.5.4.5. </w:t>
      </w:r>
      <w:r w:rsidR="001114D1" w:rsidRPr="00BF3063">
        <w:rPr>
          <w:rFonts w:ascii="Arial Negrito" w:hAnsi="Arial Negrito"/>
          <w:bCs/>
        </w:rPr>
        <w:t>Métodos e Descrição do Programa</w:t>
      </w:r>
      <w:bookmarkEnd w:id="1531"/>
      <w:bookmarkEnd w:id="1532"/>
      <w:bookmarkEnd w:id="1533"/>
    </w:p>
    <w:p w:rsidR="001114D1" w:rsidRPr="001114D1" w:rsidRDefault="001114D1" w:rsidP="001114D1">
      <w:pPr>
        <w:tabs>
          <w:tab w:val="left" w:pos="1134"/>
        </w:tabs>
        <w:spacing w:before="120" w:after="120" w:line="240" w:lineRule="auto"/>
        <w:rPr>
          <w:bCs/>
        </w:rPr>
      </w:pPr>
      <w:r w:rsidRPr="001114D1">
        <w:rPr>
          <w:bCs/>
        </w:rPr>
        <w:t>O Programa de Mobilização e</w:t>
      </w:r>
      <w:r w:rsidR="000C25AC">
        <w:rPr>
          <w:bCs/>
        </w:rPr>
        <w:t xml:space="preserve"> Desmobilização de Mão de Obra </w:t>
      </w:r>
      <w:r w:rsidRPr="001114D1">
        <w:rPr>
          <w:bCs/>
        </w:rPr>
        <w:t>pode ser descrito sinteticamente através das seguintes ações:</w:t>
      </w:r>
    </w:p>
    <w:p w:rsidR="001114D1" w:rsidRPr="001114D1" w:rsidRDefault="001114D1" w:rsidP="00F94909">
      <w:pPr>
        <w:pStyle w:val="Item-Bolinha"/>
      </w:pPr>
      <w:r w:rsidRPr="001114D1">
        <w:t xml:space="preserve">Orientação do Empreendedor às empresas construtoras contratadas para a preferência à contratação de trabalhadores locais/regionais, de modo a gerar empregos nessa região e cumprir com exigências do órgão ambiental; </w:t>
      </w:r>
    </w:p>
    <w:p w:rsidR="001114D1" w:rsidRPr="001114D1" w:rsidRDefault="001114D1" w:rsidP="00F94909">
      <w:pPr>
        <w:pStyle w:val="Item-Bolinha"/>
      </w:pPr>
      <w:r w:rsidRPr="001114D1">
        <w:t>Tratativas e eventual elaboração</w:t>
      </w:r>
      <w:r w:rsidR="000C25AC">
        <w:t xml:space="preserve"> </w:t>
      </w:r>
      <w:r w:rsidRPr="001114D1">
        <w:t>de termos de cooperação com as prefeituras da AID dos empreendimentos, com vistas a estruturar o acolhimento e o direcionamento dos trabalhadores a serem contratados, e a articular formas de habilitação e treinamento junto a escolas profissionalizantes da região;</w:t>
      </w:r>
    </w:p>
    <w:p w:rsidR="001114D1" w:rsidRPr="001114D1" w:rsidRDefault="001114D1" w:rsidP="00F94909">
      <w:pPr>
        <w:pStyle w:val="Item-Bolinha"/>
      </w:pPr>
      <w:r w:rsidRPr="001114D1">
        <w:t>Implantação de posto de atendimento para o cadastramento de trabalhadores</w:t>
      </w:r>
      <w:r w:rsidRPr="001114D1" w:rsidDel="001B261E">
        <w:t xml:space="preserve"> </w:t>
      </w:r>
      <w:r w:rsidRPr="001114D1">
        <w:t xml:space="preserve"> nos municípios de Amparo e Pedreira.;</w:t>
      </w:r>
    </w:p>
    <w:p w:rsidR="001114D1" w:rsidRPr="001114D1" w:rsidRDefault="001114D1" w:rsidP="00F94909">
      <w:pPr>
        <w:pStyle w:val="Item-Bolinha"/>
      </w:pPr>
      <w:r w:rsidRPr="001114D1">
        <w:t>Aos programas de treinamento e habilitação para o trabalho aplicados às necessidades das construtoras serão adicionados os temas: características locais; atitudes para o melhor convívio com os moradores das proximidades; questões de higiene nos canteiros, alojamentos e na convivência na região;  segurança do trabalho; aspectos sanitários e ambientais básicos;</w:t>
      </w:r>
    </w:p>
    <w:p w:rsidR="001114D1" w:rsidRPr="001114D1" w:rsidRDefault="001114D1" w:rsidP="00F94909">
      <w:pPr>
        <w:pStyle w:val="Item-Bolinha"/>
      </w:pPr>
      <w:r w:rsidRPr="001114D1">
        <w:t>Providenciar a realização de exames admissionais de saúde, de acordo com a orientação do empreendedor e as normas vigentes;</w:t>
      </w:r>
    </w:p>
    <w:p w:rsidR="001114D1" w:rsidRPr="001114D1" w:rsidRDefault="001114D1" w:rsidP="00F94909">
      <w:pPr>
        <w:pStyle w:val="Item-Bolinha"/>
      </w:pPr>
      <w:r w:rsidRPr="001114D1">
        <w:t>Durante toda a fase de construção das Barragens e previamente à fase de desmobilização, o empreendedor e as contratantes deverão, vis-à-vis o histograma de alocação da mão de obra, programar as dispensas e a desmobilização e viabilizar ações de orientação acerca das possibilidades de vagas de trabalho existentes na região.</w:t>
      </w:r>
    </w:p>
    <w:p w:rsidR="001114D1" w:rsidRPr="00BF3063" w:rsidRDefault="00BF3063" w:rsidP="00BF3063">
      <w:pPr>
        <w:pStyle w:val="Ttulo3"/>
        <w:rPr>
          <w:rFonts w:ascii="Arial Negrito" w:hAnsi="Arial Negrito"/>
          <w:bCs/>
        </w:rPr>
      </w:pPr>
      <w:bookmarkStart w:id="1534" w:name="_Toc418758568"/>
      <w:bookmarkStart w:id="1535" w:name="_Toc418759170"/>
      <w:bookmarkStart w:id="1536" w:name="_Toc419813955"/>
      <w:r>
        <w:rPr>
          <w:rFonts w:ascii="Arial Negrito" w:hAnsi="Arial Negrito"/>
          <w:bCs/>
        </w:rPr>
        <w:t xml:space="preserve">3.5.4.6. </w:t>
      </w:r>
      <w:r w:rsidR="001114D1" w:rsidRPr="00BF3063">
        <w:rPr>
          <w:rFonts w:ascii="Arial Negrito" w:hAnsi="Arial Negrito"/>
          <w:bCs/>
        </w:rPr>
        <w:t>Indicadores Ambientais</w:t>
      </w:r>
      <w:bookmarkEnd w:id="1534"/>
      <w:bookmarkEnd w:id="1535"/>
      <w:bookmarkEnd w:id="1536"/>
    </w:p>
    <w:p w:rsidR="001114D1" w:rsidRPr="00574BB1" w:rsidRDefault="001114D1" w:rsidP="001114D1">
      <w:pPr>
        <w:tabs>
          <w:tab w:val="left" w:pos="1134"/>
        </w:tabs>
        <w:spacing w:before="120" w:after="120" w:line="240" w:lineRule="auto"/>
        <w:rPr>
          <w:bCs/>
        </w:rPr>
      </w:pPr>
      <w:r>
        <w:rPr>
          <w:bCs/>
        </w:rPr>
        <w:t>Serão utilizados como indicadores ambientais a avaliação do número de empregados contratados na AID dos empreendimentos e a capacidade de orientação para relocação nas fases de desmobilização.</w:t>
      </w:r>
    </w:p>
    <w:p w:rsidR="001114D1" w:rsidRPr="00BF3063" w:rsidRDefault="00BF3063" w:rsidP="00BF3063">
      <w:pPr>
        <w:pStyle w:val="Ttulo3"/>
        <w:rPr>
          <w:rFonts w:ascii="Arial Negrito" w:hAnsi="Arial Negrito"/>
          <w:bCs/>
        </w:rPr>
      </w:pPr>
      <w:bookmarkStart w:id="1537" w:name="_Toc418758569"/>
      <w:bookmarkStart w:id="1538" w:name="_Toc418759171"/>
      <w:bookmarkStart w:id="1539" w:name="_Toc419813956"/>
      <w:r>
        <w:rPr>
          <w:rFonts w:ascii="Arial Negrito" w:hAnsi="Arial Negrito"/>
          <w:bCs/>
        </w:rPr>
        <w:t xml:space="preserve">3.5.4.7. </w:t>
      </w:r>
      <w:r w:rsidR="001114D1" w:rsidRPr="00BF3063">
        <w:rPr>
          <w:rFonts w:ascii="Arial Negrito" w:hAnsi="Arial Negrito"/>
          <w:bCs/>
        </w:rPr>
        <w:t>Recursos Materiais e Humanos</w:t>
      </w:r>
      <w:bookmarkEnd w:id="1537"/>
      <w:bookmarkEnd w:id="1538"/>
      <w:bookmarkEnd w:id="1539"/>
    </w:p>
    <w:p w:rsidR="001114D1" w:rsidRDefault="001114D1" w:rsidP="001114D1">
      <w:pPr>
        <w:tabs>
          <w:tab w:val="left" w:pos="1134"/>
        </w:tabs>
        <w:spacing w:before="120" w:after="120" w:line="240" w:lineRule="auto"/>
        <w:rPr>
          <w:bCs/>
        </w:rPr>
      </w:pPr>
      <w:r w:rsidRPr="001114D1">
        <w:rPr>
          <w:bCs/>
        </w:rPr>
        <w:t>O empreendedor deverá contratar os serviços de profissionais especializados em coordenar e acompanhar as ações preconizadas pelo Programa e alocar recursos para a execução do programa.</w:t>
      </w:r>
    </w:p>
    <w:p w:rsidR="001114D1" w:rsidRPr="00BF3063" w:rsidRDefault="00BF3063" w:rsidP="00BF3063">
      <w:pPr>
        <w:pStyle w:val="Ttulo3"/>
        <w:rPr>
          <w:rFonts w:ascii="Arial Negrito" w:hAnsi="Arial Negrito"/>
          <w:bCs/>
        </w:rPr>
      </w:pPr>
      <w:bookmarkStart w:id="1540" w:name="_Toc418758570"/>
      <w:bookmarkStart w:id="1541" w:name="_Toc418759172"/>
      <w:bookmarkStart w:id="1542" w:name="_Toc419813957"/>
      <w:r>
        <w:rPr>
          <w:rFonts w:ascii="Arial Negrito" w:hAnsi="Arial Negrito"/>
          <w:bCs/>
        </w:rPr>
        <w:t xml:space="preserve">3.5.4.8. </w:t>
      </w:r>
      <w:r w:rsidR="001114D1" w:rsidRPr="00BF3063">
        <w:rPr>
          <w:rFonts w:ascii="Arial Negrito" w:hAnsi="Arial Negrito"/>
          <w:bCs/>
        </w:rPr>
        <w:t>Atendimento a Requisitos Legais e Outros Requisitos</w:t>
      </w:r>
      <w:bookmarkEnd w:id="1540"/>
      <w:bookmarkEnd w:id="1541"/>
      <w:bookmarkEnd w:id="1542"/>
    </w:p>
    <w:p w:rsidR="00B3706C" w:rsidRDefault="001114D1" w:rsidP="001114D1">
      <w:pPr>
        <w:tabs>
          <w:tab w:val="left" w:pos="1134"/>
        </w:tabs>
        <w:spacing w:before="120" w:after="120" w:line="240" w:lineRule="auto"/>
        <w:rPr>
          <w:bCs/>
        </w:rPr>
      </w:pPr>
      <w:r w:rsidRPr="001114D1">
        <w:rPr>
          <w:bCs/>
        </w:rPr>
        <w:t>O programa atende ao disposto no Termo de Referência para a elaboração do EIA/RIMA das Barragens Pedreira e Duas Pontes, apresentado no Parecer Técnico nº 410/13/IE de 28/08/2013, Processo 189/13.</w:t>
      </w:r>
    </w:p>
    <w:p w:rsidR="001114D1" w:rsidRPr="00BF3063" w:rsidRDefault="00BF3063" w:rsidP="00BF3063">
      <w:pPr>
        <w:pStyle w:val="Ttulo3"/>
        <w:rPr>
          <w:rFonts w:ascii="Arial Negrito" w:hAnsi="Arial Negrito"/>
          <w:bCs/>
        </w:rPr>
      </w:pPr>
      <w:bookmarkStart w:id="1543" w:name="_Toc418758571"/>
      <w:bookmarkStart w:id="1544" w:name="_Toc418759173"/>
      <w:bookmarkStart w:id="1545" w:name="_Toc419813958"/>
      <w:r>
        <w:rPr>
          <w:rFonts w:ascii="Arial Negrito" w:hAnsi="Arial Negrito"/>
          <w:bCs/>
        </w:rPr>
        <w:t xml:space="preserve">3.5.4.9. </w:t>
      </w:r>
      <w:r w:rsidR="001114D1" w:rsidRPr="00BF3063">
        <w:rPr>
          <w:rFonts w:ascii="Arial Negrito" w:hAnsi="Arial Negrito"/>
          <w:bCs/>
        </w:rPr>
        <w:t>Inter-relação com outros Planos e Programas</w:t>
      </w:r>
      <w:bookmarkEnd w:id="1543"/>
      <w:bookmarkEnd w:id="1544"/>
      <w:bookmarkEnd w:id="1545"/>
    </w:p>
    <w:p w:rsidR="001114D1" w:rsidRPr="001114D1" w:rsidRDefault="001114D1" w:rsidP="001114D1">
      <w:pPr>
        <w:tabs>
          <w:tab w:val="left" w:pos="1134"/>
        </w:tabs>
        <w:spacing w:before="120" w:after="120" w:line="240" w:lineRule="auto"/>
        <w:rPr>
          <w:bCs/>
        </w:rPr>
      </w:pPr>
      <w:r w:rsidRPr="001114D1">
        <w:rPr>
          <w:bCs/>
        </w:rPr>
        <w:t>O programa de Mobilização e Desmobilização de Mão de Obra tem inter-relação com os programas de: Gestão Ambiental, Comunicação e Interação Social; e Educação Ambiental.</w:t>
      </w:r>
    </w:p>
    <w:p w:rsidR="001114D1" w:rsidRPr="00BF3063" w:rsidRDefault="00BF3063" w:rsidP="00BF3063">
      <w:pPr>
        <w:pStyle w:val="Ttulo3"/>
        <w:rPr>
          <w:rFonts w:ascii="Arial Negrito" w:hAnsi="Arial Negrito"/>
          <w:bCs/>
        </w:rPr>
      </w:pPr>
      <w:bookmarkStart w:id="1546" w:name="_Toc418758572"/>
      <w:bookmarkStart w:id="1547" w:name="_Toc418759174"/>
      <w:bookmarkStart w:id="1548" w:name="_Toc419813959"/>
      <w:r>
        <w:rPr>
          <w:rFonts w:ascii="Arial Negrito" w:hAnsi="Arial Negrito"/>
          <w:bCs/>
        </w:rPr>
        <w:t xml:space="preserve">3.5.4.10. </w:t>
      </w:r>
      <w:r w:rsidR="001114D1" w:rsidRPr="00BF3063">
        <w:rPr>
          <w:rFonts w:ascii="Arial Negrito" w:hAnsi="Arial Negrito"/>
          <w:bCs/>
        </w:rPr>
        <w:t>Etapa dos Empreendimentos</w:t>
      </w:r>
      <w:bookmarkEnd w:id="1546"/>
      <w:bookmarkEnd w:id="1547"/>
      <w:bookmarkEnd w:id="1548"/>
    </w:p>
    <w:p w:rsidR="001114D1" w:rsidRDefault="001114D1" w:rsidP="001114D1">
      <w:pPr>
        <w:tabs>
          <w:tab w:val="left" w:pos="1134"/>
        </w:tabs>
        <w:spacing w:before="120" w:after="120" w:line="240" w:lineRule="auto"/>
        <w:rPr>
          <w:bCs/>
        </w:rPr>
      </w:pPr>
      <w:r>
        <w:rPr>
          <w:bCs/>
        </w:rPr>
        <w:t xml:space="preserve">O </w:t>
      </w:r>
      <w:r w:rsidRPr="001114D1">
        <w:rPr>
          <w:bCs/>
        </w:rPr>
        <w:t>Programa de Mobilização e Desmobilização de Mão de Obra</w:t>
      </w:r>
      <w:r>
        <w:rPr>
          <w:bCs/>
        </w:rPr>
        <w:t xml:space="preserve"> deverá ser implementado no início da etapa de implantação e perpassará todo o período de obras até o momento de desmobilização da mão de obra. </w:t>
      </w:r>
    </w:p>
    <w:p w:rsidR="001114D1" w:rsidRPr="00BF3063" w:rsidRDefault="00BF3063" w:rsidP="00BF3063">
      <w:pPr>
        <w:pStyle w:val="Ttulo3"/>
        <w:rPr>
          <w:rFonts w:ascii="Arial Negrito" w:hAnsi="Arial Negrito"/>
          <w:bCs/>
        </w:rPr>
      </w:pPr>
      <w:bookmarkStart w:id="1549" w:name="_Toc418758573"/>
      <w:bookmarkStart w:id="1550" w:name="_Toc418759175"/>
      <w:bookmarkStart w:id="1551" w:name="_Toc419813960"/>
      <w:r>
        <w:rPr>
          <w:rFonts w:ascii="Arial Negrito" w:hAnsi="Arial Negrito"/>
          <w:bCs/>
        </w:rPr>
        <w:t xml:space="preserve">3.5.4.11. </w:t>
      </w:r>
      <w:r w:rsidR="001114D1" w:rsidRPr="00BF3063">
        <w:rPr>
          <w:rFonts w:ascii="Arial Negrito" w:hAnsi="Arial Negrito"/>
          <w:bCs/>
        </w:rPr>
        <w:t>Cronograma de Execução</w:t>
      </w:r>
      <w:bookmarkEnd w:id="1549"/>
      <w:bookmarkEnd w:id="1550"/>
      <w:bookmarkEnd w:id="1551"/>
      <w:r w:rsidR="001114D1" w:rsidRPr="00BF3063">
        <w:rPr>
          <w:rFonts w:ascii="Arial Negrito" w:hAnsi="Arial Negrito"/>
          <w:bCs/>
        </w:rPr>
        <w:t xml:space="preserve"> </w:t>
      </w:r>
    </w:p>
    <w:p w:rsidR="001114D1" w:rsidRDefault="001114D1" w:rsidP="001114D1">
      <w:pPr>
        <w:tabs>
          <w:tab w:val="left" w:pos="1134"/>
        </w:tabs>
        <w:spacing w:before="120" w:after="120" w:line="240" w:lineRule="auto"/>
        <w:rPr>
          <w:bCs/>
        </w:rPr>
      </w:pPr>
      <w:r>
        <w:rPr>
          <w:bCs/>
        </w:rPr>
        <w:t>Pode-se prever o seguinte cronograma das ações:</w:t>
      </w:r>
    </w:p>
    <w:p w:rsidR="001114D1" w:rsidRPr="001114D1" w:rsidRDefault="001114D1" w:rsidP="00F94909">
      <w:pPr>
        <w:pStyle w:val="Item-Bolinha"/>
      </w:pPr>
      <w:r w:rsidRPr="001114D1">
        <w:t>Articulação com empresas construtoras e prefeituras da AID: antes do início das obras;</w:t>
      </w:r>
    </w:p>
    <w:p w:rsidR="001114D1" w:rsidRPr="001114D1" w:rsidRDefault="001114D1" w:rsidP="00F94909">
      <w:pPr>
        <w:pStyle w:val="Item-Bolinha"/>
      </w:pPr>
      <w:r w:rsidRPr="001114D1">
        <w:t>Difusão de informações sobre o perfil das vagas de trabalho requeridas para o início das obras e cadastramento dos candidatos: 60 dias após celebração do contrato para as obras;</w:t>
      </w:r>
    </w:p>
    <w:p w:rsidR="001114D1" w:rsidRPr="001114D1" w:rsidRDefault="001114D1" w:rsidP="00F94909">
      <w:pPr>
        <w:pStyle w:val="Item-Bolinha"/>
      </w:pPr>
      <w:r w:rsidRPr="001114D1">
        <w:t>Seleção: 30 dias;</w:t>
      </w:r>
    </w:p>
    <w:p w:rsidR="001114D1" w:rsidRPr="001114D1" w:rsidRDefault="001114D1" w:rsidP="00F94909">
      <w:pPr>
        <w:pStyle w:val="Item-Bolinha"/>
      </w:pPr>
      <w:r w:rsidRPr="001114D1">
        <w:t xml:space="preserve">Treinamento: 30 dias </w:t>
      </w:r>
    </w:p>
    <w:p w:rsidR="001114D1" w:rsidRPr="001114D1" w:rsidRDefault="001114D1" w:rsidP="00F94909">
      <w:pPr>
        <w:pStyle w:val="Item-Bolinha"/>
      </w:pPr>
      <w:r w:rsidRPr="001114D1">
        <w:t>Contratação: de acordo com as necessidades da construção.</w:t>
      </w:r>
    </w:p>
    <w:p w:rsidR="001114D1" w:rsidRPr="00BF3063" w:rsidRDefault="00BF3063" w:rsidP="00BF3063">
      <w:pPr>
        <w:pStyle w:val="Ttulo3"/>
        <w:rPr>
          <w:rFonts w:ascii="Arial Negrito" w:hAnsi="Arial Negrito"/>
          <w:bCs/>
        </w:rPr>
      </w:pPr>
      <w:bookmarkStart w:id="1552" w:name="_Toc418758574"/>
      <w:bookmarkStart w:id="1553" w:name="_Toc418759176"/>
      <w:bookmarkStart w:id="1554" w:name="_Toc419813961"/>
      <w:r>
        <w:rPr>
          <w:rFonts w:ascii="Arial Negrito" w:hAnsi="Arial Negrito"/>
          <w:bCs/>
        </w:rPr>
        <w:t xml:space="preserve">3.5.4.12. </w:t>
      </w:r>
      <w:r w:rsidR="001114D1" w:rsidRPr="00BF3063">
        <w:rPr>
          <w:rFonts w:ascii="Arial Negrito" w:hAnsi="Arial Negrito"/>
          <w:bCs/>
        </w:rPr>
        <w:t>Responsável pela Implementação do Programa</w:t>
      </w:r>
      <w:bookmarkEnd w:id="1552"/>
      <w:bookmarkEnd w:id="1553"/>
      <w:bookmarkEnd w:id="1554"/>
    </w:p>
    <w:p w:rsidR="001114D1" w:rsidRPr="00C0011E" w:rsidRDefault="001114D1" w:rsidP="001114D1">
      <w:pPr>
        <w:tabs>
          <w:tab w:val="left" w:pos="1134"/>
        </w:tabs>
        <w:spacing w:before="120" w:after="120" w:line="240" w:lineRule="auto"/>
        <w:rPr>
          <w:bCs/>
        </w:rPr>
      </w:pPr>
      <w:r w:rsidRPr="001114D1">
        <w:rPr>
          <w:bCs/>
        </w:rPr>
        <w:t xml:space="preserve">A execução do Programa de Mobilização e Desmobilização da Mão de Obra estará por conta das empresas construtoras, sob fiscalização do empreendedor, o qual designará </w:t>
      </w:r>
      <w:r w:rsidR="00C0011E">
        <w:rPr>
          <w:bCs/>
        </w:rPr>
        <w:t>pessoal</w:t>
      </w:r>
      <w:r w:rsidRPr="001114D1">
        <w:rPr>
          <w:bCs/>
        </w:rPr>
        <w:t xml:space="preserve"> </w:t>
      </w:r>
      <w:r w:rsidRPr="00C0011E">
        <w:rPr>
          <w:bCs/>
        </w:rPr>
        <w:t xml:space="preserve">técnico de sua equipe para </w:t>
      </w:r>
      <w:r w:rsidR="00C0011E">
        <w:rPr>
          <w:bCs/>
        </w:rPr>
        <w:t>acompanhamento</w:t>
      </w:r>
      <w:r w:rsidRPr="00C0011E">
        <w:rPr>
          <w:bCs/>
        </w:rPr>
        <w:t xml:space="preserve"> dos trabalhos</w:t>
      </w:r>
      <w:r w:rsidR="00C0011E">
        <w:rPr>
          <w:bCs/>
        </w:rPr>
        <w:t xml:space="preserve"> e das</w:t>
      </w:r>
      <w:r w:rsidRPr="00C0011E">
        <w:rPr>
          <w:bCs/>
        </w:rPr>
        <w:t xml:space="preserve"> ações a serem estabelecidas para a operacionalização do treinamento de mão de obra, discussão das alternativas de desmobilização da mão de obra e avaliação de resultados.</w:t>
      </w:r>
    </w:p>
    <w:p w:rsidR="001114D1" w:rsidRPr="00BF3063" w:rsidRDefault="00BF3063" w:rsidP="00BF3063">
      <w:pPr>
        <w:pStyle w:val="Ttulo3"/>
        <w:rPr>
          <w:rFonts w:ascii="Arial Negrito" w:hAnsi="Arial Negrito"/>
          <w:bCs/>
        </w:rPr>
      </w:pPr>
      <w:bookmarkStart w:id="1555" w:name="_Toc418758575"/>
      <w:bookmarkStart w:id="1556" w:name="_Toc418759177"/>
      <w:bookmarkStart w:id="1557" w:name="_Toc419813962"/>
      <w:r>
        <w:rPr>
          <w:rFonts w:ascii="Arial Negrito" w:hAnsi="Arial Negrito"/>
          <w:bCs/>
        </w:rPr>
        <w:t xml:space="preserve">3.5.4.13. </w:t>
      </w:r>
      <w:r w:rsidR="001114D1" w:rsidRPr="00BF3063">
        <w:rPr>
          <w:rFonts w:ascii="Arial Negrito" w:hAnsi="Arial Negrito"/>
          <w:bCs/>
        </w:rPr>
        <w:t>Sistemas de Registros</w:t>
      </w:r>
      <w:bookmarkEnd w:id="1555"/>
      <w:bookmarkEnd w:id="1556"/>
      <w:bookmarkEnd w:id="1557"/>
    </w:p>
    <w:p w:rsidR="001114D1" w:rsidRDefault="001114D1" w:rsidP="001114D1">
      <w:pPr>
        <w:tabs>
          <w:tab w:val="left" w:pos="1134"/>
        </w:tabs>
        <w:spacing w:before="120" w:after="120" w:line="240" w:lineRule="auto"/>
        <w:rPr>
          <w:bCs/>
        </w:rPr>
      </w:pPr>
      <w:r>
        <w:rPr>
          <w:bCs/>
        </w:rPr>
        <w:t xml:space="preserve">As ações realizadas no âmbito do Programa deverão ser registradas em relatórios de consolidação quadrimestrais, </w:t>
      </w:r>
      <w:r w:rsidRPr="001114D1">
        <w:rPr>
          <w:bCs/>
        </w:rPr>
        <w:t>vis-à-vis</w:t>
      </w:r>
      <w:r>
        <w:rPr>
          <w:bCs/>
        </w:rPr>
        <w:t xml:space="preserve"> o cronograma das obras, contendo a relação de trabalhadores cadastrados no(s) posto(s) de atendimento social e sua origem; contratados e funções; cursos administrados; demissões efetuadas e destino do trabalhador. </w:t>
      </w:r>
    </w:p>
    <w:p w:rsidR="001114D1" w:rsidRPr="00BF3063" w:rsidRDefault="00BF3063" w:rsidP="00BF3063">
      <w:pPr>
        <w:pStyle w:val="Ttulo3"/>
        <w:rPr>
          <w:rFonts w:ascii="Arial Negrito" w:hAnsi="Arial Negrito"/>
          <w:bCs/>
        </w:rPr>
      </w:pPr>
      <w:bookmarkStart w:id="1558" w:name="_Toc418758576"/>
      <w:bookmarkStart w:id="1559" w:name="_Toc418759178"/>
      <w:bookmarkStart w:id="1560" w:name="_Toc419813963"/>
      <w:r>
        <w:rPr>
          <w:rFonts w:ascii="Arial Negrito" w:hAnsi="Arial Negrito"/>
          <w:bCs/>
        </w:rPr>
        <w:t xml:space="preserve">3.5.4.14. </w:t>
      </w:r>
      <w:r w:rsidR="001114D1" w:rsidRPr="00BF3063">
        <w:rPr>
          <w:rFonts w:ascii="Arial Negrito" w:hAnsi="Arial Negrito"/>
          <w:bCs/>
        </w:rPr>
        <w:t>Referências Bibliográficas</w:t>
      </w:r>
      <w:bookmarkEnd w:id="1558"/>
      <w:bookmarkEnd w:id="1559"/>
      <w:bookmarkEnd w:id="1560"/>
    </w:p>
    <w:p w:rsidR="001114D1" w:rsidRPr="001114D1" w:rsidRDefault="001114D1" w:rsidP="00BF3063">
      <w:pPr>
        <w:pStyle w:val="Item-Trainho"/>
      </w:pPr>
      <w:r w:rsidRPr="001114D1">
        <w:t>Termo de Referência DAIA/CETESB - Parecer Técnico nº 410/13/IE – 2013, Processo 189/13.</w:t>
      </w:r>
    </w:p>
    <w:p w:rsidR="000F694F" w:rsidRPr="00BF3063" w:rsidRDefault="000F694F" w:rsidP="00431A97">
      <w:pPr>
        <w:pStyle w:val="Ttulo3"/>
        <w:numPr>
          <w:ilvl w:val="2"/>
          <w:numId w:val="71"/>
        </w:numPr>
        <w:rPr>
          <w:rFonts w:ascii="Arial Negrito" w:hAnsi="Arial Negrito"/>
          <w:bCs/>
        </w:rPr>
      </w:pPr>
      <w:bookmarkStart w:id="1561" w:name="_Toc418758577"/>
      <w:bookmarkStart w:id="1562" w:name="_Toc418759179"/>
      <w:bookmarkStart w:id="1563" w:name="_Toc419813964"/>
      <w:r w:rsidRPr="00BF3063">
        <w:rPr>
          <w:rFonts w:ascii="Arial Negrito" w:hAnsi="Arial Negrito"/>
          <w:bCs/>
        </w:rPr>
        <w:t xml:space="preserve">Programa de </w:t>
      </w:r>
      <w:r w:rsidR="00A7622B" w:rsidRPr="00BF3063">
        <w:rPr>
          <w:rFonts w:ascii="Arial Negrito" w:hAnsi="Arial Negrito"/>
          <w:bCs/>
        </w:rPr>
        <w:t>Controle de Saúde Pública</w:t>
      </w:r>
      <w:bookmarkEnd w:id="1561"/>
      <w:bookmarkEnd w:id="1562"/>
      <w:bookmarkEnd w:id="1563"/>
      <w:r w:rsidR="00A7622B" w:rsidRPr="00BF3063">
        <w:rPr>
          <w:rFonts w:ascii="Arial Negrito" w:hAnsi="Arial Negrito"/>
          <w:bCs/>
        </w:rPr>
        <w:t xml:space="preserve"> </w:t>
      </w:r>
    </w:p>
    <w:p w:rsidR="00A7622B" w:rsidRPr="00BF3063" w:rsidRDefault="00A7622B" w:rsidP="00431A97">
      <w:pPr>
        <w:pStyle w:val="Ttulo3"/>
        <w:numPr>
          <w:ilvl w:val="3"/>
          <w:numId w:val="71"/>
        </w:numPr>
        <w:rPr>
          <w:rFonts w:ascii="Arial Negrito" w:hAnsi="Arial Negrito"/>
          <w:bCs/>
        </w:rPr>
      </w:pPr>
      <w:bookmarkStart w:id="1564" w:name="_Toc418758578"/>
      <w:bookmarkStart w:id="1565" w:name="_Toc418759180"/>
      <w:bookmarkStart w:id="1566" w:name="_Toc419813965"/>
      <w:r w:rsidRPr="00BF3063">
        <w:rPr>
          <w:rFonts w:ascii="Arial Negrito" w:hAnsi="Arial Negrito"/>
          <w:bCs/>
        </w:rPr>
        <w:t>Apresentação e Justificativas</w:t>
      </w:r>
      <w:bookmarkEnd w:id="1564"/>
      <w:bookmarkEnd w:id="1565"/>
      <w:bookmarkEnd w:id="1566"/>
    </w:p>
    <w:p w:rsidR="00A7622B" w:rsidRPr="0027392C" w:rsidRDefault="00A7622B" w:rsidP="00A7622B">
      <w:pPr>
        <w:spacing w:before="120" w:after="120" w:line="240" w:lineRule="auto"/>
      </w:pPr>
      <w:r w:rsidRPr="0027392C">
        <w:t xml:space="preserve">O Programa de Controle de Saúde Pública </w:t>
      </w:r>
      <w:r>
        <w:t>justifica-se pela necessidade de</w:t>
      </w:r>
      <w:r w:rsidRPr="0027392C">
        <w:t xml:space="preserve"> evitar a introdução e proliferação de endemias na região onde serão inseridos os empreendimentos e acompanhar a demanda de atendimento público e privado na área de saúde em função das obras. Ele será voltado para a população direta ou indiretamente envolvida na implantação do</w:t>
      </w:r>
      <w:r>
        <w:t>s</w:t>
      </w:r>
      <w:r w:rsidRPr="0027392C">
        <w:t xml:space="preserve"> empreendimento</w:t>
      </w:r>
      <w:r>
        <w:t>s</w:t>
      </w:r>
      <w:r w:rsidRPr="0027392C">
        <w:t xml:space="preserve">. Serão determinadas </w:t>
      </w:r>
      <w:r>
        <w:t xml:space="preserve">algumas </w:t>
      </w:r>
      <w:r w:rsidRPr="0027392C">
        <w:t xml:space="preserve">diretrizes, procedimentos e rotinas a serem seguidas pelas empresas participantes da construção </w:t>
      </w:r>
      <w:r>
        <w:t>das barragens</w:t>
      </w:r>
      <w:r w:rsidRPr="0027392C">
        <w:t xml:space="preserve">, bem como </w:t>
      </w:r>
      <w:r>
        <w:t>serão</w:t>
      </w:r>
      <w:r w:rsidRPr="0027392C">
        <w:t xml:space="preserve"> divulga</w:t>
      </w:r>
      <w:r>
        <w:t xml:space="preserve">das </w:t>
      </w:r>
      <w:r w:rsidRPr="0027392C">
        <w:t xml:space="preserve">ações e orientação de hábitos e práticas voltadas à saúde da população direta ou indiretamente influenciada pela instalação e operação das Barragens Pedreira </w:t>
      </w:r>
      <w:r>
        <w:t xml:space="preserve">e </w:t>
      </w:r>
      <w:r w:rsidRPr="0027392C">
        <w:t>Duas Pontes</w:t>
      </w:r>
      <w:r>
        <w:t>.</w:t>
      </w:r>
    </w:p>
    <w:p w:rsidR="00A7622B" w:rsidRPr="00BF3063" w:rsidRDefault="00A7622B" w:rsidP="00431A97">
      <w:pPr>
        <w:pStyle w:val="Ttulo3"/>
        <w:numPr>
          <w:ilvl w:val="3"/>
          <w:numId w:val="71"/>
        </w:numPr>
        <w:rPr>
          <w:rFonts w:ascii="Arial Negrito" w:hAnsi="Arial Negrito"/>
          <w:bCs/>
        </w:rPr>
      </w:pPr>
      <w:bookmarkStart w:id="1567" w:name="_Toc418758579"/>
      <w:bookmarkStart w:id="1568" w:name="_Toc418759181"/>
      <w:bookmarkStart w:id="1569" w:name="_Toc419813966"/>
      <w:r w:rsidRPr="00BF3063">
        <w:rPr>
          <w:rFonts w:ascii="Arial Negrito" w:hAnsi="Arial Negrito"/>
          <w:bCs/>
        </w:rPr>
        <w:t>Objetivos</w:t>
      </w:r>
      <w:bookmarkEnd w:id="1567"/>
      <w:bookmarkEnd w:id="1568"/>
      <w:bookmarkEnd w:id="1569"/>
    </w:p>
    <w:p w:rsidR="00A7622B" w:rsidRPr="00A7622B" w:rsidRDefault="00A7622B" w:rsidP="00F94909">
      <w:pPr>
        <w:pStyle w:val="Item-Bolinha"/>
      </w:pPr>
      <w:r w:rsidRPr="00A7622B">
        <w:t>Avaliar a dinâmica do processo saúde-doença nas áreas dos empreendimentos.</w:t>
      </w:r>
    </w:p>
    <w:p w:rsidR="00A7622B" w:rsidRPr="00A7622B" w:rsidRDefault="00A7622B" w:rsidP="00F94909">
      <w:pPr>
        <w:pStyle w:val="Item-Bolinha"/>
      </w:pPr>
      <w:r w:rsidRPr="00A7622B">
        <w:t>Contribuir com a manutenção da saúde e segurança dos trabalhadores das obras.</w:t>
      </w:r>
    </w:p>
    <w:p w:rsidR="00A7622B" w:rsidRPr="00A7622B" w:rsidRDefault="00A7622B" w:rsidP="00F94909">
      <w:pPr>
        <w:pStyle w:val="Item-Bolinha"/>
      </w:pPr>
      <w:r w:rsidRPr="00A7622B">
        <w:t>Desenvolver estratégias de prevenção e controle das doenças prevalentes entre os trabalhadores, com ênfase nas doenças sexualmente transmissíveis, alcoolismo, tabagismo e drogas.</w:t>
      </w:r>
    </w:p>
    <w:p w:rsidR="00A7622B" w:rsidRPr="002C206D" w:rsidRDefault="00A7622B" w:rsidP="00F94909">
      <w:pPr>
        <w:pStyle w:val="Item-Bolinha"/>
      </w:pPr>
      <w:r w:rsidRPr="00A7622B">
        <w:t>Desenvolver estratégias para o monitoramento e controle de endemias passíveis de serem introduzidas ou disseminadas na área de influência direta do empreendimento.</w:t>
      </w:r>
    </w:p>
    <w:p w:rsidR="00A7622B" w:rsidRPr="00BF3063" w:rsidRDefault="00A7622B" w:rsidP="00431A97">
      <w:pPr>
        <w:pStyle w:val="Ttulo3"/>
        <w:numPr>
          <w:ilvl w:val="3"/>
          <w:numId w:val="71"/>
        </w:numPr>
        <w:rPr>
          <w:rFonts w:ascii="Arial Negrito" w:hAnsi="Arial Negrito"/>
          <w:bCs/>
        </w:rPr>
      </w:pPr>
      <w:bookmarkStart w:id="1570" w:name="_Toc418758580"/>
      <w:bookmarkStart w:id="1571" w:name="_Toc418759182"/>
      <w:bookmarkStart w:id="1572" w:name="_Toc419813967"/>
      <w:r w:rsidRPr="00BF3063">
        <w:rPr>
          <w:rFonts w:ascii="Arial Negrito" w:hAnsi="Arial Negrito"/>
          <w:bCs/>
        </w:rPr>
        <w:t>Metas</w:t>
      </w:r>
      <w:bookmarkEnd w:id="1570"/>
      <w:bookmarkEnd w:id="1571"/>
      <w:bookmarkEnd w:id="1572"/>
    </w:p>
    <w:p w:rsidR="00A7622B" w:rsidRDefault="00A7622B" w:rsidP="00A7622B">
      <w:pPr>
        <w:spacing w:before="120" w:after="120" w:line="240" w:lineRule="auto"/>
      </w:pPr>
      <w:r w:rsidRPr="0027392C">
        <w:t xml:space="preserve">Busca-se evitar a introdução ou proliferação de endemias </w:t>
      </w:r>
      <w:r>
        <w:t>na AID, onde serão implantadas</w:t>
      </w:r>
      <w:r w:rsidRPr="0027392C">
        <w:t xml:space="preserve"> </w:t>
      </w:r>
      <w:r>
        <w:t>as barragens</w:t>
      </w:r>
      <w:r w:rsidRPr="0027392C">
        <w:t xml:space="preserve"> e acompanhar a demanda de atendimento público e privado na área de saúde em função das obras.</w:t>
      </w:r>
      <w:r>
        <w:t xml:space="preserve"> </w:t>
      </w:r>
    </w:p>
    <w:p w:rsidR="00A7622B" w:rsidRPr="00BF3063" w:rsidRDefault="00A7622B" w:rsidP="00431A97">
      <w:pPr>
        <w:pStyle w:val="Ttulo3"/>
        <w:numPr>
          <w:ilvl w:val="3"/>
          <w:numId w:val="71"/>
        </w:numPr>
        <w:rPr>
          <w:rFonts w:ascii="Arial Negrito" w:hAnsi="Arial Negrito"/>
          <w:bCs/>
        </w:rPr>
      </w:pPr>
      <w:bookmarkStart w:id="1573" w:name="_Toc418758581"/>
      <w:bookmarkStart w:id="1574" w:name="_Toc418759183"/>
      <w:bookmarkStart w:id="1575" w:name="_Toc419813968"/>
      <w:r w:rsidRPr="00BF3063">
        <w:rPr>
          <w:rFonts w:ascii="Arial Negrito" w:hAnsi="Arial Negrito"/>
          <w:bCs/>
        </w:rPr>
        <w:t>Público-Alvo</w:t>
      </w:r>
      <w:bookmarkEnd w:id="1573"/>
      <w:bookmarkEnd w:id="1574"/>
      <w:bookmarkEnd w:id="1575"/>
    </w:p>
    <w:p w:rsidR="00A7622B" w:rsidRPr="00144245" w:rsidRDefault="00A7622B" w:rsidP="00A7622B">
      <w:pPr>
        <w:spacing w:before="120" w:after="120" w:line="240" w:lineRule="auto"/>
      </w:pPr>
      <w:r w:rsidRPr="00144245">
        <w:t>As ações desse programa abrangem a</w:t>
      </w:r>
      <w:r>
        <w:t>s</w:t>
      </w:r>
      <w:r w:rsidRPr="00144245">
        <w:t xml:space="preserve"> área</w:t>
      </w:r>
      <w:r>
        <w:t>s</w:t>
      </w:r>
      <w:r w:rsidRPr="00144245">
        <w:t xml:space="preserve"> </w:t>
      </w:r>
      <w:r>
        <w:t>diretamente afetadas (ADA</w:t>
      </w:r>
      <w:r w:rsidR="00BF3063">
        <w:t>’</w:t>
      </w:r>
      <w:r>
        <w:t xml:space="preserve">s) e a área </w:t>
      </w:r>
      <w:r w:rsidRPr="00144245">
        <w:t xml:space="preserve">de influência direta </w:t>
      </w:r>
      <w:r>
        <w:t>(AID</w:t>
      </w:r>
      <w:r w:rsidR="00BF3063">
        <w:t>’</w:t>
      </w:r>
      <w:r>
        <w:t xml:space="preserve">s) </w:t>
      </w:r>
      <w:r w:rsidRPr="00144245">
        <w:t>do</w:t>
      </w:r>
      <w:r>
        <w:t>s</w:t>
      </w:r>
      <w:r w:rsidRPr="00144245">
        <w:t xml:space="preserve"> empreendimento</w:t>
      </w:r>
      <w:r>
        <w:t>s.</w:t>
      </w:r>
    </w:p>
    <w:p w:rsidR="00A7622B" w:rsidRPr="00BF3063" w:rsidRDefault="00A7622B" w:rsidP="00431A97">
      <w:pPr>
        <w:pStyle w:val="Ttulo3"/>
        <w:numPr>
          <w:ilvl w:val="3"/>
          <w:numId w:val="71"/>
        </w:numPr>
        <w:rPr>
          <w:rFonts w:ascii="Arial Negrito" w:hAnsi="Arial Negrito"/>
          <w:bCs/>
        </w:rPr>
      </w:pPr>
      <w:bookmarkStart w:id="1576" w:name="_Toc418758582"/>
      <w:bookmarkStart w:id="1577" w:name="_Toc418759184"/>
      <w:bookmarkStart w:id="1578" w:name="_Toc419813969"/>
      <w:r w:rsidRPr="00BF3063">
        <w:rPr>
          <w:rFonts w:ascii="Arial Negrito" w:hAnsi="Arial Negrito"/>
          <w:bCs/>
        </w:rPr>
        <w:t>Métodos e Descrição do Programa</w:t>
      </w:r>
      <w:bookmarkEnd w:id="1576"/>
      <w:bookmarkEnd w:id="1577"/>
      <w:bookmarkEnd w:id="1578"/>
    </w:p>
    <w:p w:rsidR="00A7622B" w:rsidRPr="00A7622B" w:rsidRDefault="00A7622B" w:rsidP="00A7622B">
      <w:pPr>
        <w:spacing w:before="120" w:after="120" w:line="240" w:lineRule="auto"/>
      </w:pPr>
      <w:r w:rsidRPr="00A7622B">
        <w:t xml:space="preserve">O </w:t>
      </w:r>
      <w:r>
        <w:t>Programa de Controle de Saúde Pública (PCSP) deverá ser encaminhado seguindo as ações/etapas a seguir:</w:t>
      </w:r>
    </w:p>
    <w:p w:rsidR="00A7622B" w:rsidRPr="00A7622B" w:rsidRDefault="00A7622B" w:rsidP="00F94909">
      <w:pPr>
        <w:pStyle w:val="Item-Bolinha"/>
      </w:pPr>
      <w:r w:rsidRPr="00A7622B">
        <w:t xml:space="preserve">Levantamento da incidência de focos de insetos vetores de doenças em áreas marginais às barragens e, particularmente, junto aos canteiros de obras visando à realização de ações de combate a vetores. </w:t>
      </w:r>
    </w:p>
    <w:p w:rsidR="00A7622B" w:rsidRPr="00A7622B" w:rsidRDefault="00A7622B" w:rsidP="00F94909">
      <w:pPr>
        <w:pStyle w:val="Item-Bolinha"/>
      </w:pPr>
      <w:r w:rsidRPr="00A7622B">
        <w:t>Realização de ações de prevenção contra doenças sexualmente transmissíveis – DST/ AIDS —, no entorno dos empreendimentos, principalmente junto aos trabalhadores das obras.</w:t>
      </w:r>
    </w:p>
    <w:p w:rsidR="00A7622B" w:rsidRPr="00A7622B" w:rsidRDefault="00A7622B" w:rsidP="00F94909">
      <w:pPr>
        <w:pStyle w:val="Item-Bolinha"/>
      </w:pPr>
      <w:r w:rsidRPr="00A7622B">
        <w:t>Promoção de campanhas de vacinação dos trabalhadores das obras e das populações do entorno das barragens, em conjunto com as secretarias de saúde dos municípios afetados.</w:t>
      </w:r>
    </w:p>
    <w:p w:rsidR="00A7622B" w:rsidRPr="00A7622B" w:rsidRDefault="00A7622B" w:rsidP="00F94909">
      <w:pPr>
        <w:pStyle w:val="Item-Bolinha"/>
      </w:pPr>
      <w:r w:rsidRPr="00A7622B">
        <w:t>Realização de atendimento médico-sanitário para os trabalhadores das obras.</w:t>
      </w:r>
    </w:p>
    <w:p w:rsidR="00A7622B" w:rsidRPr="00A7622B" w:rsidRDefault="00A7622B" w:rsidP="00F94909">
      <w:pPr>
        <w:pStyle w:val="Item-Bolinha"/>
      </w:pPr>
      <w:r w:rsidRPr="00A7622B">
        <w:t>Apoio às estratégias de promoção da saúde e de educação das instituições de saúde da região, por meio da participação em campanhas e do desenvolvimento de materiais educativos.</w:t>
      </w:r>
    </w:p>
    <w:p w:rsidR="00A7622B" w:rsidRPr="00A7622B" w:rsidRDefault="00A7622B" w:rsidP="00F94909">
      <w:pPr>
        <w:pStyle w:val="Item-Bolinha"/>
      </w:pPr>
      <w:r w:rsidRPr="00A7622B">
        <w:t>Exigência para que a(s) construtora(s) realize(m) exames periódicos para acompanhamento de eventuais doenças infectocontagiosas detectadas e promova o necessário tratamento.</w:t>
      </w:r>
    </w:p>
    <w:p w:rsidR="00A7622B" w:rsidRPr="00A7622B" w:rsidRDefault="00A7622B" w:rsidP="00F94909">
      <w:pPr>
        <w:pStyle w:val="Item-Bolinha"/>
      </w:pPr>
      <w:r w:rsidRPr="00A7622B">
        <w:t>Realização do monitoramento, conjuntamente com os serviços de saúde do trabalhador das empresas construtoras contratadas e das instituições de saúde da região, de casos de patologias endêmicas e infectocontagiosas entre os trabalhadores e nas populações no entorno das obras. Caso seja identificado aumento de demanda por serviços e internações hospitalares, em função desses trabalhadores, caberá ao empreendedor estabelecer tratativas com as respectivas Prefeituras da AID para definição de formas de realização de reforços nesses serviços.</w:t>
      </w:r>
    </w:p>
    <w:p w:rsidR="00A7622B" w:rsidRPr="00BF3063" w:rsidRDefault="00A7622B" w:rsidP="00431A97">
      <w:pPr>
        <w:pStyle w:val="Ttulo3"/>
        <w:numPr>
          <w:ilvl w:val="3"/>
          <w:numId w:val="71"/>
        </w:numPr>
        <w:rPr>
          <w:rFonts w:ascii="Arial Negrito" w:hAnsi="Arial Negrito"/>
          <w:bCs/>
        </w:rPr>
      </w:pPr>
      <w:bookmarkStart w:id="1579" w:name="_Toc418758583"/>
      <w:bookmarkStart w:id="1580" w:name="_Toc418759185"/>
      <w:bookmarkStart w:id="1581" w:name="_Toc419813970"/>
      <w:r w:rsidRPr="00BF3063">
        <w:rPr>
          <w:rFonts w:ascii="Arial Negrito" w:hAnsi="Arial Negrito"/>
          <w:bCs/>
        </w:rPr>
        <w:t>Indicadores Ambientais</w:t>
      </w:r>
      <w:bookmarkEnd w:id="1579"/>
      <w:bookmarkEnd w:id="1580"/>
      <w:bookmarkEnd w:id="1581"/>
    </w:p>
    <w:p w:rsidR="00A7622B" w:rsidRDefault="00A7622B" w:rsidP="00A7622B">
      <w:pPr>
        <w:tabs>
          <w:tab w:val="left" w:pos="1134"/>
        </w:tabs>
        <w:spacing w:before="120" w:after="120" w:line="240" w:lineRule="auto"/>
        <w:rPr>
          <w:rFonts w:cs="Arial"/>
        </w:rPr>
      </w:pPr>
      <w:r w:rsidRPr="000076CD">
        <w:rPr>
          <w:bCs/>
        </w:rPr>
        <w:t xml:space="preserve">Como indicadores serão considerados os relatórios periódicos sobre a ocorrência eventual de aumento de </w:t>
      </w:r>
      <w:r w:rsidRPr="000076CD">
        <w:rPr>
          <w:rFonts w:cs="Arial"/>
        </w:rPr>
        <w:t>casos de patologias endêmicas e infectocontagiosas entre os trabalhadores e nas populações no entorno das obras e as respectivas ações realizadas, em conjunto com as Prefeituras da AID, para controle dos casos e prevenção de novas ocorrências.</w:t>
      </w:r>
    </w:p>
    <w:p w:rsidR="00A7622B" w:rsidRPr="00BF3063" w:rsidRDefault="00A7622B" w:rsidP="00431A97">
      <w:pPr>
        <w:pStyle w:val="Ttulo3"/>
        <w:numPr>
          <w:ilvl w:val="3"/>
          <w:numId w:val="71"/>
        </w:numPr>
        <w:rPr>
          <w:rFonts w:ascii="Arial Negrito" w:hAnsi="Arial Negrito"/>
          <w:bCs/>
        </w:rPr>
      </w:pPr>
      <w:bookmarkStart w:id="1582" w:name="_Toc418758584"/>
      <w:bookmarkStart w:id="1583" w:name="_Toc418759186"/>
      <w:bookmarkStart w:id="1584" w:name="_Toc419813971"/>
      <w:r w:rsidRPr="00BF3063">
        <w:rPr>
          <w:rFonts w:ascii="Arial Negrito" w:hAnsi="Arial Negrito"/>
          <w:bCs/>
        </w:rPr>
        <w:t>Recursos Materiais e Humanos</w:t>
      </w:r>
      <w:bookmarkEnd w:id="1582"/>
      <w:bookmarkEnd w:id="1583"/>
      <w:bookmarkEnd w:id="1584"/>
    </w:p>
    <w:p w:rsidR="00A7622B" w:rsidRPr="00144245" w:rsidRDefault="00A7622B" w:rsidP="00A7622B">
      <w:pPr>
        <w:tabs>
          <w:tab w:val="left" w:pos="1134"/>
        </w:tabs>
        <w:spacing w:before="120" w:after="120" w:line="240" w:lineRule="auto"/>
        <w:rPr>
          <w:bCs/>
        </w:rPr>
      </w:pPr>
      <w:r w:rsidRPr="00A7622B">
        <w:rPr>
          <w:bCs/>
        </w:rPr>
        <w:t>O empreendedor deverá contratar os serviços de profissionais especializados em saúde pública e especificamente em saúde voltada para trabalhadores de grandes obras, para proferir aulas e palestras temáticas, e a articulação e organização do PCSP deverão ser executadas pela equipe do Plano Básico Ambiental - PBA responsável pelo PCSP.</w:t>
      </w:r>
    </w:p>
    <w:p w:rsidR="00A7622B" w:rsidRPr="00BF3063" w:rsidRDefault="00A7622B" w:rsidP="00431A97">
      <w:pPr>
        <w:pStyle w:val="Ttulo3"/>
        <w:numPr>
          <w:ilvl w:val="3"/>
          <w:numId w:val="71"/>
        </w:numPr>
        <w:rPr>
          <w:rFonts w:ascii="Arial Negrito" w:hAnsi="Arial Negrito"/>
          <w:bCs/>
        </w:rPr>
      </w:pPr>
      <w:bookmarkStart w:id="1585" w:name="_Toc418758585"/>
      <w:bookmarkStart w:id="1586" w:name="_Toc418759187"/>
      <w:bookmarkStart w:id="1587" w:name="_Toc419813972"/>
      <w:r w:rsidRPr="00BF3063">
        <w:rPr>
          <w:rFonts w:ascii="Arial Negrito" w:hAnsi="Arial Negrito"/>
          <w:bCs/>
        </w:rPr>
        <w:t>Atendimento a Requisitos Legais e/ou Outros Requisitos</w:t>
      </w:r>
      <w:bookmarkEnd w:id="1585"/>
      <w:bookmarkEnd w:id="1586"/>
      <w:bookmarkEnd w:id="1587"/>
    </w:p>
    <w:p w:rsidR="00A7622B" w:rsidRPr="00A7622B" w:rsidRDefault="00A7622B" w:rsidP="00A7622B">
      <w:pPr>
        <w:tabs>
          <w:tab w:val="left" w:pos="1134"/>
        </w:tabs>
        <w:spacing w:before="120" w:after="120" w:line="240" w:lineRule="auto"/>
        <w:rPr>
          <w:bCs/>
        </w:rPr>
      </w:pPr>
      <w:r w:rsidRPr="00A7622B">
        <w:rPr>
          <w:bCs/>
        </w:rPr>
        <w:t>O Programa atende ao disposto no Termo de Referência para a elaboração do EIA/RIMA das Barragens Pedreira e Duas Pontes, apresentado no Parecer Técnico nº 410/13/IE de 28/08/2013, Processo 189/13.</w:t>
      </w:r>
    </w:p>
    <w:p w:rsidR="00A7622B" w:rsidRPr="00FC4658" w:rsidRDefault="00A7622B" w:rsidP="00431A97">
      <w:pPr>
        <w:pStyle w:val="Ttulo3"/>
        <w:numPr>
          <w:ilvl w:val="3"/>
          <w:numId w:val="71"/>
        </w:numPr>
        <w:rPr>
          <w:rFonts w:ascii="Arial Negrito" w:hAnsi="Arial Negrito"/>
          <w:bCs/>
        </w:rPr>
      </w:pPr>
      <w:bookmarkStart w:id="1588" w:name="_Toc418758586"/>
      <w:bookmarkStart w:id="1589" w:name="_Toc418759188"/>
      <w:bookmarkStart w:id="1590" w:name="_Toc419813973"/>
      <w:r w:rsidRPr="00FC4658">
        <w:rPr>
          <w:rFonts w:ascii="Arial Negrito" w:hAnsi="Arial Negrito"/>
          <w:bCs/>
        </w:rPr>
        <w:t>Inter-relação com outros Planos e Programas</w:t>
      </w:r>
      <w:bookmarkEnd w:id="1588"/>
      <w:bookmarkEnd w:id="1589"/>
      <w:bookmarkEnd w:id="1590"/>
    </w:p>
    <w:p w:rsidR="00A7622B" w:rsidRPr="00574BB1" w:rsidRDefault="00A7622B" w:rsidP="00A7622B">
      <w:pPr>
        <w:tabs>
          <w:tab w:val="left" w:pos="1134"/>
        </w:tabs>
        <w:spacing w:before="120" w:after="120" w:line="240" w:lineRule="auto"/>
        <w:rPr>
          <w:bCs/>
        </w:rPr>
      </w:pPr>
      <w:r>
        <w:rPr>
          <w:bCs/>
        </w:rPr>
        <w:t xml:space="preserve">O Programa de Controle da Saúde estará em interface com os seguintes programas: Programa de Comunicação e Interação Social; Programa de Educação Ambiental; Programa de Controle de Vetores de Doenças de Interesse Médico-Sanitário e Programa de Gestão Ambiental. </w:t>
      </w:r>
    </w:p>
    <w:p w:rsidR="00A7622B" w:rsidRPr="00FC4658" w:rsidRDefault="00FC4658" w:rsidP="00FC4658">
      <w:pPr>
        <w:pStyle w:val="Ttulo3"/>
        <w:rPr>
          <w:rFonts w:ascii="Arial Negrito" w:hAnsi="Arial Negrito"/>
          <w:bCs/>
        </w:rPr>
      </w:pPr>
      <w:bookmarkStart w:id="1591" w:name="_Toc418758587"/>
      <w:bookmarkStart w:id="1592" w:name="_Toc418759189"/>
      <w:bookmarkStart w:id="1593" w:name="_Toc419813974"/>
      <w:r>
        <w:rPr>
          <w:rFonts w:ascii="Arial Negrito" w:hAnsi="Arial Negrito"/>
          <w:bCs/>
        </w:rPr>
        <w:t xml:space="preserve">3.5.5.10. </w:t>
      </w:r>
      <w:r w:rsidR="00A7622B" w:rsidRPr="00FC4658">
        <w:rPr>
          <w:rFonts w:ascii="Arial Negrito" w:hAnsi="Arial Negrito"/>
          <w:bCs/>
        </w:rPr>
        <w:t>Etapa dos Empreendimentos</w:t>
      </w:r>
      <w:bookmarkEnd w:id="1591"/>
      <w:bookmarkEnd w:id="1592"/>
      <w:bookmarkEnd w:id="1593"/>
    </w:p>
    <w:p w:rsidR="00A7622B" w:rsidRPr="00A7622B" w:rsidRDefault="00A7622B" w:rsidP="00A7622B">
      <w:pPr>
        <w:tabs>
          <w:tab w:val="left" w:pos="1134"/>
        </w:tabs>
        <w:spacing w:before="120" w:after="120" w:line="240" w:lineRule="auto"/>
        <w:rPr>
          <w:bCs/>
        </w:rPr>
      </w:pPr>
      <w:r w:rsidRPr="00A7622B">
        <w:rPr>
          <w:bCs/>
        </w:rPr>
        <w:t>A duração das ações previstas nesse programa corresponderá a toda a etapa de instalação das barragens.</w:t>
      </w:r>
    </w:p>
    <w:p w:rsidR="00A7622B" w:rsidRPr="00FC4658" w:rsidRDefault="00FC4658" w:rsidP="00FC4658">
      <w:pPr>
        <w:pStyle w:val="Ttulo3"/>
        <w:rPr>
          <w:rFonts w:ascii="Arial Negrito" w:hAnsi="Arial Negrito"/>
          <w:bCs/>
        </w:rPr>
      </w:pPr>
      <w:bookmarkStart w:id="1594" w:name="_Toc418758588"/>
      <w:bookmarkStart w:id="1595" w:name="_Toc418759190"/>
      <w:bookmarkStart w:id="1596" w:name="_Toc419813975"/>
      <w:r>
        <w:rPr>
          <w:rFonts w:ascii="Arial Negrito" w:hAnsi="Arial Negrito"/>
          <w:bCs/>
        </w:rPr>
        <w:t xml:space="preserve">3.5.5.11. </w:t>
      </w:r>
      <w:r w:rsidR="00A7622B" w:rsidRPr="00FC4658">
        <w:rPr>
          <w:rFonts w:ascii="Arial Negrito" w:hAnsi="Arial Negrito"/>
          <w:bCs/>
        </w:rPr>
        <w:t>Cronograma de Execução</w:t>
      </w:r>
      <w:bookmarkEnd w:id="1594"/>
      <w:bookmarkEnd w:id="1595"/>
      <w:bookmarkEnd w:id="1596"/>
      <w:r w:rsidR="00A7622B" w:rsidRPr="00FC4658">
        <w:rPr>
          <w:rFonts w:ascii="Arial Negrito" w:hAnsi="Arial Negrito"/>
          <w:bCs/>
        </w:rPr>
        <w:t xml:space="preserve"> </w:t>
      </w:r>
    </w:p>
    <w:p w:rsidR="00A7622B" w:rsidRPr="00A7622B" w:rsidRDefault="00A7622B" w:rsidP="00A7622B">
      <w:pPr>
        <w:tabs>
          <w:tab w:val="left" w:pos="1134"/>
        </w:tabs>
        <w:spacing w:before="120" w:after="120" w:line="240" w:lineRule="auto"/>
        <w:rPr>
          <w:b/>
          <w:bCs/>
        </w:rPr>
      </w:pPr>
      <w:r w:rsidRPr="00A7622B">
        <w:rPr>
          <w:b/>
          <w:bCs/>
        </w:rPr>
        <w:t xml:space="preserve">Ações Previstas </w:t>
      </w:r>
    </w:p>
    <w:p w:rsidR="00A7622B" w:rsidRPr="001A0D28" w:rsidRDefault="00A7622B" w:rsidP="00F94909">
      <w:pPr>
        <w:pStyle w:val="Item-Bolinha"/>
      </w:pPr>
      <w:r w:rsidRPr="001A0D28">
        <w:t>Realizar o monitoramento, conjuntamente com os serviços de saúde do trabalhador das empreiteiras e das instituições de saúde da região, de casos de patologias entre os trabalhadores e nas populações no entorno das obras</w:t>
      </w:r>
      <w:r w:rsidR="001A0D28">
        <w:t>.</w:t>
      </w:r>
    </w:p>
    <w:p w:rsidR="00A7622B" w:rsidRPr="001A0D28" w:rsidRDefault="00A7622B" w:rsidP="00F94909">
      <w:pPr>
        <w:pStyle w:val="Item-Bolinha"/>
      </w:pPr>
      <w:r w:rsidRPr="001A0D28">
        <w:t>Monitorar a incidência de focos e criadouros de insetos vetores e animais reservatórios de doenças em áreas marginais às obras e, particularmente, junto aos canteiros de obras.</w:t>
      </w:r>
    </w:p>
    <w:p w:rsidR="00A7622B" w:rsidRPr="001A0D28" w:rsidRDefault="00A7622B" w:rsidP="00F94909">
      <w:pPr>
        <w:pStyle w:val="Item-Bolinha"/>
      </w:pPr>
      <w:r w:rsidRPr="001A0D28">
        <w:t>Promover campanhas de vacinação dos trabalhadores das obras e das populações do entorno, em conjunto com as secretarias de saúde dos municípios da AID.</w:t>
      </w:r>
    </w:p>
    <w:p w:rsidR="00A7622B" w:rsidRPr="001A0D28" w:rsidRDefault="00A7622B" w:rsidP="00F94909">
      <w:pPr>
        <w:pStyle w:val="Item-Bolinha"/>
      </w:pPr>
      <w:r w:rsidRPr="001A0D28">
        <w:t>Apoiar as estratégias de promoção da saúde e de educação das instituições de saúde da região, através da participação de campanhas e do desenvolvimento de instrumentos e materiais educativos.</w:t>
      </w:r>
    </w:p>
    <w:p w:rsidR="00A7622B" w:rsidRPr="000C25AC" w:rsidRDefault="00A7622B" w:rsidP="00F94909">
      <w:pPr>
        <w:pStyle w:val="Item-Bolinha"/>
      </w:pPr>
      <w:r w:rsidRPr="001A0D28">
        <w:t>A duração das ações previstas neste programa ocorrerão em toda a etapa de construção das Barragens, até a desmobilização dos canteiros de obras.</w:t>
      </w:r>
    </w:p>
    <w:p w:rsidR="00A7622B" w:rsidRPr="00FC4658" w:rsidRDefault="00FC4658" w:rsidP="00FC4658">
      <w:pPr>
        <w:pStyle w:val="Ttulo3"/>
        <w:rPr>
          <w:rFonts w:ascii="Arial Negrito" w:hAnsi="Arial Negrito"/>
          <w:bCs/>
        </w:rPr>
      </w:pPr>
      <w:bookmarkStart w:id="1597" w:name="_Toc418758589"/>
      <w:bookmarkStart w:id="1598" w:name="_Toc418759191"/>
      <w:bookmarkStart w:id="1599" w:name="_Toc419813976"/>
      <w:r>
        <w:rPr>
          <w:rFonts w:ascii="Arial Negrito" w:hAnsi="Arial Negrito"/>
          <w:bCs/>
        </w:rPr>
        <w:t xml:space="preserve">3.5.5.12. </w:t>
      </w:r>
      <w:r w:rsidR="00A7622B" w:rsidRPr="00FC4658">
        <w:rPr>
          <w:rFonts w:ascii="Arial Negrito" w:hAnsi="Arial Negrito"/>
          <w:bCs/>
        </w:rPr>
        <w:t>Responsável pela Implementação do Programa</w:t>
      </w:r>
      <w:bookmarkEnd w:id="1597"/>
      <w:bookmarkEnd w:id="1598"/>
      <w:bookmarkEnd w:id="1599"/>
    </w:p>
    <w:p w:rsidR="00A7622B" w:rsidRDefault="00A7622B" w:rsidP="001A0D28">
      <w:pPr>
        <w:tabs>
          <w:tab w:val="left" w:pos="1134"/>
        </w:tabs>
        <w:spacing w:before="120" w:after="120" w:line="240" w:lineRule="auto"/>
        <w:rPr>
          <w:bCs/>
        </w:rPr>
      </w:pPr>
      <w:r w:rsidRPr="001A0D28">
        <w:rPr>
          <w:bCs/>
        </w:rPr>
        <w:t>A implementação do Programa de Controle da Saúde Pública deverá estar a cargo de equipe específica dentro da equipe consultora responsável pela elaboração do PBA e pela implantação dos planos e programas solicitados e inserida no sistema de gerenciamento que o empreendedor estabelecer para tratar da implantação dos empreendimentos.</w:t>
      </w:r>
    </w:p>
    <w:p w:rsidR="00A7622B" w:rsidRPr="00FC4658" w:rsidRDefault="00FC4658" w:rsidP="00FC4658">
      <w:pPr>
        <w:pStyle w:val="Ttulo3"/>
        <w:rPr>
          <w:rFonts w:ascii="Arial Negrito" w:hAnsi="Arial Negrito"/>
          <w:bCs/>
        </w:rPr>
      </w:pPr>
      <w:bookmarkStart w:id="1600" w:name="_Toc418758590"/>
      <w:bookmarkStart w:id="1601" w:name="_Toc418759192"/>
      <w:bookmarkStart w:id="1602" w:name="_Toc419813977"/>
      <w:r>
        <w:rPr>
          <w:rFonts w:ascii="Arial Negrito" w:hAnsi="Arial Negrito"/>
          <w:bCs/>
        </w:rPr>
        <w:t xml:space="preserve">3.5.5.13. </w:t>
      </w:r>
      <w:r w:rsidR="00A7622B" w:rsidRPr="00FC4658">
        <w:rPr>
          <w:rFonts w:ascii="Arial Negrito" w:hAnsi="Arial Negrito"/>
          <w:bCs/>
        </w:rPr>
        <w:t>Sistemas de Registros</w:t>
      </w:r>
      <w:bookmarkEnd w:id="1600"/>
      <w:bookmarkEnd w:id="1601"/>
      <w:bookmarkEnd w:id="1602"/>
    </w:p>
    <w:p w:rsidR="00A7622B" w:rsidRDefault="00A7622B" w:rsidP="001A0D28">
      <w:pPr>
        <w:tabs>
          <w:tab w:val="left" w:pos="1134"/>
        </w:tabs>
        <w:spacing w:before="120" w:after="120" w:line="240" w:lineRule="auto"/>
        <w:rPr>
          <w:bCs/>
        </w:rPr>
      </w:pPr>
      <w:r>
        <w:rPr>
          <w:bCs/>
        </w:rPr>
        <w:t xml:space="preserve">Serão registrados bimestralmente os casos de </w:t>
      </w:r>
      <w:r w:rsidRPr="001A0D28">
        <w:rPr>
          <w:bCs/>
        </w:rPr>
        <w:t>casos de patologias endêmicas e infectocontagiosas entre os trabalhadores e nas populações no entorno das obras e as tratativas com as Prefeituras da AID para controle e prevenção das ocorrências.</w:t>
      </w:r>
    </w:p>
    <w:p w:rsidR="00A7622B" w:rsidRPr="00FC4658" w:rsidRDefault="00FC4658" w:rsidP="00FC4658">
      <w:pPr>
        <w:pStyle w:val="Ttulo3"/>
        <w:rPr>
          <w:rFonts w:ascii="Arial Negrito" w:hAnsi="Arial Negrito"/>
          <w:bCs/>
        </w:rPr>
      </w:pPr>
      <w:bookmarkStart w:id="1603" w:name="_Toc418758591"/>
      <w:bookmarkStart w:id="1604" w:name="_Toc418759193"/>
      <w:bookmarkStart w:id="1605" w:name="_Toc419813978"/>
      <w:r>
        <w:rPr>
          <w:rFonts w:ascii="Arial Negrito" w:hAnsi="Arial Negrito"/>
          <w:bCs/>
        </w:rPr>
        <w:t xml:space="preserve">3.5.5.14. </w:t>
      </w:r>
      <w:r w:rsidR="00A7622B" w:rsidRPr="00FC4658">
        <w:rPr>
          <w:rFonts w:ascii="Arial Negrito" w:hAnsi="Arial Negrito"/>
          <w:bCs/>
        </w:rPr>
        <w:t>Referências Bibliográficas</w:t>
      </w:r>
      <w:bookmarkEnd w:id="1603"/>
      <w:bookmarkEnd w:id="1604"/>
      <w:bookmarkEnd w:id="1605"/>
    </w:p>
    <w:p w:rsidR="00A7622B" w:rsidRPr="001A0D28" w:rsidRDefault="00A7622B" w:rsidP="00FC4658">
      <w:pPr>
        <w:pStyle w:val="Item-Trainho"/>
      </w:pPr>
      <w:r w:rsidRPr="001A0D28">
        <w:t>Ministério do Meio Ambiente, Ministério da Saúde e Ministério das Cidades. Compromisso pela qualidade do ar e saúde ambiental. Brasília 2009</w:t>
      </w:r>
    </w:p>
    <w:p w:rsidR="00C038AE" w:rsidRDefault="00A7622B" w:rsidP="00FC4658">
      <w:pPr>
        <w:pStyle w:val="Item-Trainho"/>
      </w:pPr>
      <w:r w:rsidRPr="001A0D28">
        <w:t>Ministério do Meio Ambiente. Programa Nacional de Capacitação de Gestores Ambientais. Caderno de licenciamento ambiental. Brasília 2009</w:t>
      </w:r>
      <w:r w:rsidR="001A0D28">
        <w:t>.</w:t>
      </w:r>
    </w:p>
    <w:p w:rsidR="00946FA3" w:rsidRPr="00FC4658" w:rsidRDefault="00946FA3" w:rsidP="00431A97">
      <w:pPr>
        <w:pStyle w:val="Ttulo3"/>
        <w:numPr>
          <w:ilvl w:val="2"/>
          <w:numId w:val="71"/>
        </w:numPr>
        <w:rPr>
          <w:rFonts w:ascii="Arial Negrito" w:hAnsi="Arial Negrito"/>
          <w:bCs/>
        </w:rPr>
      </w:pPr>
      <w:bookmarkStart w:id="1606" w:name="_Toc418758592"/>
      <w:bookmarkStart w:id="1607" w:name="_Toc418759194"/>
      <w:bookmarkStart w:id="1608" w:name="_Toc419813979"/>
      <w:r w:rsidRPr="00FC4658">
        <w:rPr>
          <w:rFonts w:ascii="Arial Negrito" w:hAnsi="Arial Negrito"/>
          <w:bCs/>
        </w:rPr>
        <w:t xml:space="preserve">Programa de Recomposição </w:t>
      </w:r>
      <w:r w:rsidR="00061111" w:rsidRPr="00FC4658">
        <w:rPr>
          <w:rFonts w:ascii="Arial Negrito" w:hAnsi="Arial Negrito"/>
          <w:bCs/>
        </w:rPr>
        <w:t>da Infraestrutura</w:t>
      </w:r>
      <w:bookmarkEnd w:id="1606"/>
      <w:bookmarkEnd w:id="1607"/>
      <w:bookmarkEnd w:id="1608"/>
    </w:p>
    <w:p w:rsidR="00061111" w:rsidRPr="00FC4658" w:rsidRDefault="00061111" w:rsidP="00431A97">
      <w:pPr>
        <w:pStyle w:val="Ttulo3"/>
        <w:numPr>
          <w:ilvl w:val="3"/>
          <w:numId w:val="71"/>
        </w:numPr>
        <w:rPr>
          <w:rFonts w:ascii="Arial Negrito" w:hAnsi="Arial Negrito"/>
          <w:bCs/>
        </w:rPr>
      </w:pPr>
      <w:bookmarkStart w:id="1609" w:name="_Toc418758593"/>
      <w:bookmarkStart w:id="1610" w:name="_Toc418759195"/>
      <w:bookmarkStart w:id="1611" w:name="_Toc419813980"/>
      <w:r w:rsidRPr="00FC4658">
        <w:rPr>
          <w:rFonts w:ascii="Arial Negrito" w:hAnsi="Arial Negrito"/>
          <w:bCs/>
        </w:rPr>
        <w:t>Apresentação e Justificativa</w:t>
      </w:r>
      <w:bookmarkEnd w:id="1609"/>
      <w:bookmarkEnd w:id="1610"/>
      <w:bookmarkEnd w:id="1611"/>
    </w:p>
    <w:p w:rsidR="00061111" w:rsidRDefault="00061111" w:rsidP="000878A8">
      <w:pPr>
        <w:autoSpaceDE w:val="0"/>
        <w:autoSpaceDN w:val="0"/>
        <w:adjustRightInd w:val="0"/>
        <w:spacing w:before="120" w:after="120" w:line="240" w:lineRule="auto"/>
        <w:rPr>
          <w:rFonts w:cs="Arial"/>
          <w:szCs w:val="22"/>
        </w:rPr>
      </w:pPr>
      <w:r w:rsidRPr="002207FE">
        <w:rPr>
          <w:rFonts w:cs="Arial"/>
          <w:szCs w:val="22"/>
        </w:rPr>
        <w:t>As Barragens Pedreira e Duas Pontes, ao formar os respectivos reservatórios deverão interferir com parte da infraestrutura existente, basicamente no sistema viário em área rural e em linhas de energia elétrica, sendo uma Linha de Transmissão de 345 kV e em linhas de distribuição de energia rural</w:t>
      </w:r>
      <w:r w:rsidR="00835898">
        <w:rPr>
          <w:rFonts w:cs="Arial"/>
          <w:szCs w:val="22"/>
        </w:rPr>
        <w:t xml:space="preserve"> e telefonia</w:t>
      </w:r>
      <w:r w:rsidRPr="002207FE">
        <w:rPr>
          <w:rFonts w:cs="Arial"/>
          <w:szCs w:val="22"/>
        </w:rPr>
        <w:t>.</w:t>
      </w:r>
    </w:p>
    <w:p w:rsidR="005D6FEB" w:rsidRPr="002207FE" w:rsidRDefault="005D6FEB" w:rsidP="000878A8">
      <w:pPr>
        <w:autoSpaceDE w:val="0"/>
        <w:autoSpaceDN w:val="0"/>
        <w:adjustRightInd w:val="0"/>
        <w:spacing w:before="120" w:after="120" w:line="240" w:lineRule="auto"/>
        <w:rPr>
          <w:rFonts w:cs="Arial"/>
          <w:szCs w:val="22"/>
        </w:rPr>
      </w:pPr>
      <w:r>
        <w:rPr>
          <w:rFonts w:cs="Arial"/>
          <w:szCs w:val="22"/>
        </w:rPr>
        <w:t xml:space="preserve">Também deverão ser afetadas duas Pequenas Centrais Hidrelétricas, </w:t>
      </w:r>
      <w:r>
        <w:rPr>
          <w:rFonts w:cs="Arial"/>
        </w:rPr>
        <w:t>a</w:t>
      </w:r>
      <w:r w:rsidRPr="00564097">
        <w:rPr>
          <w:rFonts w:cs="Arial"/>
        </w:rPr>
        <w:t>s PCH</w:t>
      </w:r>
      <w:r w:rsidR="003E4CBD">
        <w:rPr>
          <w:rFonts w:cs="Arial"/>
        </w:rPr>
        <w:t>’</w:t>
      </w:r>
      <w:r w:rsidRPr="00564097">
        <w:rPr>
          <w:rFonts w:cs="Arial"/>
        </w:rPr>
        <w:t>s Macaco Branco (2,36 MW) e Feixos (1,15 MW), localizadas nas áreas das barragens Pedreira e Duas Pontes, respectivamente</w:t>
      </w:r>
      <w:r>
        <w:rPr>
          <w:rFonts w:cs="Arial"/>
        </w:rPr>
        <w:t>. Em relação específica a esses empreendimentos, o</w:t>
      </w:r>
      <w:r w:rsidRPr="00564097">
        <w:rPr>
          <w:rFonts w:cs="Arial"/>
        </w:rPr>
        <w:t xml:space="preserve"> DAEE se encontra em negociações com as concessionárias responsáveis </w:t>
      </w:r>
      <w:r>
        <w:rPr>
          <w:rFonts w:cs="Arial"/>
        </w:rPr>
        <w:t xml:space="preserve">pela sua operação </w:t>
      </w:r>
      <w:r w:rsidRPr="00564097">
        <w:rPr>
          <w:rFonts w:cs="Arial"/>
        </w:rPr>
        <w:t>para definir as formas de compensação</w:t>
      </w:r>
      <w:r w:rsidR="00B55701">
        <w:rPr>
          <w:rFonts w:cs="Arial"/>
        </w:rPr>
        <w:t>, pelo que as indenizações não foram incluídas neste orçamento.</w:t>
      </w:r>
      <w:r w:rsidRPr="00564097">
        <w:rPr>
          <w:rFonts w:cs="Arial"/>
        </w:rPr>
        <w:t xml:space="preserve"> No Programa de Limpeza e Desinfecção da área do reservatório são contemplados os orçamentos para a desmontagem e </w:t>
      </w:r>
      <w:r w:rsidR="00B55701">
        <w:rPr>
          <w:rFonts w:cs="Arial"/>
        </w:rPr>
        <w:t>retirada dos equipamentos</w:t>
      </w:r>
      <w:r w:rsidRPr="00564097">
        <w:rPr>
          <w:rFonts w:cs="Arial"/>
        </w:rPr>
        <w:t xml:space="preserve"> das PCH</w:t>
      </w:r>
      <w:r w:rsidR="003E4CBD">
        <w:rPr>
          <w:rFonts w:cs="Arial"/>
        </w:rPr>
        <w:t>’</w:t>
      </w:r>
      <w:r w:rsidRPr="00564097">
        <w:rPr>
          <w:rFonts w:cs="Arial"/>
        </w:rPr>
        <w:t>s</w:t>
      </w:r>
      <w:r w:rsidR="00B55701">
        <w:rPr>
          <w:rFonts w:cs="Arial"/>
        </w:rPr>
        <w:t>.</w:t>
      </w:r>
    </w:p>
    <w:p w:rsidR="00061111" w:rsidRPr="002207FE" w:rsidRDefault="00061111" w:rsidP="000878A8">
      <w:pPr>
        <w:autoSpaceDE w:val="0"/>
        <w:autoSpaceDN w:val="0"/>
        <w:adjustRightInd w:val="0"/>
        <w:spacing w:before="120" w:after="120" w:line="240" w:lineRule="auto"/>
        <w:rPr>
          <w:rFonts w:cs="Arial"/>
          <w:szCs w:val="22"/>
        </w:rPr>
      </w:pPr>
      <w:r w:rsidRPr="002207FE">
        <w:rPr>
          <w:rFonts w:cs="Arial"/>
          <w:szCs w:val="22"/>
        </w:rPr>
        <w:t xml:space="preserve">No sistema viário as interferências concentram-se em estradas vicinais, com leito de terra. Na Barragem Pedreira, o reservatório deve afetar a estrada municipal (PED-030) proveniente da cidade de Pedreira (Estrada da Ingatuba), cujo traçado, localizado na margem direita do rio Jaguari, permite o acesso às propriedades rurais da área, como também alcançar o setor do município denominado Núcleo Represa, que abrange os loteamentos Basílio e Jardim Náutico, já nas margens da PCH Jaguari. </w:t>
      </w:r>
    </w:p>
    <w:p w:rsidR="00061111" w:rsidRPr="00061111" w:rsidRDefault="00061111" w:rsidP="000878A8">
      <w:pPr>
        <w:autoSpaceDE w:val="0"/>
        <w:autoSpaceDN w:val="0"/>
        <w:adjustRightInd w:val="0"/>
        <w:spacing w:before="120" w:after="120" w:line="240" w:lineRule="auto"/>
        <w:rPr>
          <w:rFonts w:cs="Arial"/>
          <w:szCs w:val="22"/>
        </w:rPr>
      </w:pPr>
      <w:r w:rsidRPr="002207FE">
        <w:rPr>
          <w:rFonts w:cs="Arial"/>
          <w:szCs w:val="22"/>
        </w:rPr>
        <w:t xml:space="preserve">Por outro lado, ainda no trecho a ser ocupado pela formação do reservatório da Barragem Pedreira, a estrada permite atravessar o rio Jaguari, onde se acessam as propriedades da margem esquerda. A partir da travessia, cerca de 2,0 km </w:t>
      </w:r>
      <w:r w:rsidR="00B81B1A" w:rsidRPr="002207FE">
        <w:rPr>
          <w:rFonts w:cs="Arial"/>
          <w:szCs w:val="22"/>
        </w:rPr>
        <w:t>à</w:t>
      </w:r>
      <w:r w:rsidRPr="002207FE">
        <w:rPr>
          <w:rFonts w:cs="Arial"/>
          <w:szCs w:val="22"/>
        </w:rPr>
        <w:t xml:space="preserve"> frente, se interliga com a estrada CAM-010, que permite o acesso para Campinas.</w:t>
      </w:r>
      <w:r w:rsidRPr="00061111">
        <w:rPr>
          <w:rFonts w:cs="Arial"/>
          <w:szCs w:val="22"/>
        </w:rPr>
        <w:t xml:space="preserve">  </w:t>
      </w:r>
    </w:p>
    <w:p w:rsidR="003C2D4F" w:rsidRPr="002732BE" w:rsidRDefault="00061111" w:rsidP="000878A8">
      <w:pPr>
        <w:autoSpaceDE w:val="0"/>
        <w:autoSpaceDN w:val="0"/>
        <w:adjustRightInd w:val="0"/>
        <w:spacing w:before="120" w:after="120" w:line="240" w:lineRule="auto"/>
        <w:rPr>
          <w:rFonts w:cs="Arial"/>
          <w:szCs w:val="22"/>
        </w:rPr>
      </w:pPr>
      <w:r w:rsidRPr="00061111">
        <w:rPr>
          <w:rFonts w:cs="Arial"/>
          <w:szCs w:val="22"/>
        </w:rPr>
        <w:t xml:space="preserve">A formação do reservatório da Barragem Pedreira devera provocar a perda de parte dessas estradas e caminhos numa </w:t>
      </w:r>
      <w:r w:rsidRPr="002732BE">
        <w:rPr>
          <w:rFonts w:cs="Arial"/>
          <w:szCs w:val="22"/>
        </w:rPr>
        <w:t>extensão de</w:t>
      </w:r>
      <w:r w:rsidR="003E4CBD">
        <w:rPr>
          <w:rFonts w:cs="Arial"/>
          <w:szCs w:val="22"/>
        </w:rPr>
        <w:t xml:space="preserve"> </w:t>
      </w:r>
      <w:r w:rsidR="006836E5">
        <w:rPr>
          <w:rFonts w:cs="Arial"/>
          <w:szCs w:val="22"/>
        </w:rPr>
        <w:t>17,2</w:t>
      </w:r>
      <w:r w:rsidRPr="002732BE">
        <w:rPr>
          <w:rFonts w:cs="Arial"/>
          <w:szCs w:val="22"/>
        </w:rPr>
        <w:t xml:space="preserve"> km (Desenho </w:t>
      </w:r>
      <w:r w:rsidR="003E4CBD">
        <w:rPr>
          <w:rFonts w:eastAsia="Batang"/>
          <w:lang w:eastAsia="en-US"/>
        </w:rPr>
        <w:t>n</w:t>
      </w:r>
      <w:r w:rsidR="003E4CBD">
        <w:rPr>
          <w:rFonts w:eastAsia="Batang"/>
          <w:u w:val="single"/>
          <w:vertAlign w:val="superscript"/>
          <w:lang w:eastAsia="en-US"/>
        </w:rPr>
        <w:t>o</w:t>
      </w:r>
      <w:r w:rsidR="003E4CBD" w:rsidRPr="003E4CBD">
        <w:rPr>
          <w:rFonts w:eastAsia="Batang"/>
          <w:vertAlign w:val="superscript"/>
          <w:lang w:eastAsia="en-US"/>
        </w:rPr>
        <w:t xml:space="preserve"> </w:t>
      </w:r>
      <w:r w:rsidRPr="002732BE">
        <w:rPr>
          <w:rFonts w:cs="Arial"/>
          <w:szCs w:val="22"/>
        </w:rPr>
        <w:t>7188-45-GL-810-DE-00159</w:t>
      </w:r>
      <w:r w:rsidR="00AB7576">
        <w:rPr>
          <w:rFonts w:cs="Arial"/>
          <w:szCs w:val="22"/>
        </w:rPr>
        <w:t>, apresentado no final deste documento</w:t>
      </w:r>
      <w:r w:rsidRPr="002732BE">
        <w:rPr>
          <w:rFonts w:cs="Arial"/>
          <w:szCs w:val="22"/>
        </w:rPr>
        <w:t>) em anexo.</w:t>
      </w:r>
      <w:r w:rsidR="003C2D4F" w:rsidRPr="002732BE">
        <w:rPr>
          <w:rFonts w:cs="Arial"/>
          <w:szCs w:val="22"/>
        </w:rPr>
        <w:t xml:space="preserve"> Visando manter todos os movimentos existentes e garantir acesso a todas as propriedades da região, será necessária a construção de </w:t>
      </w:r>
      <w:r w:rsidR="006836E5">
        <w:rPr>
          <w:rFonts w:cs="Arial"/>
          <w:szCs w:val="22"/>
        </w:rPr>
        <w:t>13,9</w:t>
      </w:r>
      <w:r w:rsidR="002732BE" w:rsidRPr="002732BE">
        <w:rPr>
          <w:rFonts w:cs="Arial"/>
          <w:szCs w:val="22"/>
        </w:rPr>
        <w:t xml:space="preserve"> </w:t>
      </w:r>
      <w:r w:rsidR="003C2D4F" w:rsidRPr="002732BE">
        <w:rPr>
          <w:rFonts w:cs="Arial"/>
          <w:szCs w:val="22"/>
        </w:rPr>
        <w:t>km de novas estradas de terra.</w:t>
      </w:r>
    </w:p>
    <w:p w:rsidR="00061111" w:rsidRDefault="00061111" w:rsidP="000878A8">
      <w:pPr>
        <w:autoSpaceDE w:val="0"/>
        <w:autoSpaceDN w:val="0"/>
        <w:adjustRightInd w:val="0"/>
        <w:spacing w:before="120" w:after="120" w:line="240" w:lineRule="auto"/>
        <w:rPr>
          <w:rFonts w:cs="Arial"/>
          <w:szCs w:val="22"/>
        </w:rPr>
      </w:pPr>
      <w:r w:rsidRPr="002732BE">
        <w:rPr>
          <w:rFonts w:cs="Arial"/>
          <w:szCs w:val="22"/>
        </w:rPr>
        <w:t xml:space="preserve">Em relação à Barragem Duas Pontes, o acesso principal ao local do barramento é pela rodovia estadual SP-107, conhecida também como Rodovia Prefeito Aziz Lian, que liga o Distrito de Arcadas (Município de Amparo) com a cidade de Santo Antônio de Posse. Vindo de Arcadas, se atravessa a ponte sobre o rio Camanducaia, e cerca de 200 m à frente, se entra a direita na estrada de terra que conduz ao bairro Pantaleão. Após percorrer 1,7 km se chega ao local do eixo. No momento da formação do reservatório deverão ser inundados 46,8 km de estradas de terras e caminhos (Desenho </w:t>
      </w:r>
      <w:r w:rsidR="003E4CBD">
        <w:rPr>
          <w:rFonts w:eastAsia="Batang"/>
          <w:lang w:eastAsia="en-US"/>
        </w:rPr>
        <w:t>n</w:t>
      </w:r>
      <w:r w:rsidR="003E4CBD">
        <w:rPr>
          <w:rFonts w:eastAsia="Batang"/>
          <w:u w:val="single"/>
          <w:vertAlign w:val="superscript"/>
          <w:lang w:eastAsia="en-US"/>
        </w:rPr>
        <w:t>o</w:t>
      </w:r>
      <w:r w:rsidRPr="002732BE">
        <w:rPr>
          <w:rFonts w:cs="Arial"/>
          <w:szCs w:val="22"/>
        </w:rPr>
        <w:t xml:space="preserve"> 7188-45-GL-810-DE-00160). Parte desses caminhos é de uso interno de propriedades rurais, as quais serão também inundadas, nesses casos não se faz </w:t>
      </w:r>
      <w:r w:rsidR="00367690" w:rsidRPr="002732BE">
        <w:rPr>
          <w:rFonts w:cs="Arial"/>
          <w:szCs w:val="22"/>
        </w:rPr>
        <w:t>necessári</w:t>
      </w:r>
      <w:r w:rsidR="00367690">
        <w:rPr>
          <w:rFonts w:cs="Arial"/>
          <w:szCs w:val="22"/>
        </w:rPr>
        <w:t>o</w:t>
      </w:r>
      <w:r w:rsidR="00367690" w:rsidRPr="002732BE">
        <w:rPr>
          <w:rFonts w:cs="Arial"/>
          <w:szCs w:val="22"/>
        </w:rPr>
        <w:t xml:space="preserve"> </w:t>
      </w:r>
      <w:r w:rsidR="0065280A" w:rsidRPr="002732BE">
        <w:rPr>
          <w:rFonts w:cs="Arial"/>
          <w:szCs w:val="22"/>
        </w:rPr>
        <w:t>à</w:t>
      </w:r>
      <w:r w:rsidRPr="002732BE">
        <w:rPr>
          <w:rFonts w:cs="Arial"/>
          <w:szCs w:val="22"/>
        </w:rPr>
        <w:t xml:space="preserve"> recomposição das estradas. O mesmo não ocorre com estradas vicinais de uso coletivo dos estabelecimentos rurais da localidade, sendo necessário manter ativos os seus acessos.</w:t>
      </w:r>
      <w:r w:rsidR="003C2D4F" w:rsidRPr="002732BE">
        <w:rPr>
          <w:szCs w:val="22"/>
        </w:rPr>
        <w:t xml:space="preserve"> </w:t>
      </w:r>
      <w:r w:rsidR="003C2D4F" w:rsidRPr="002732BE">
        <w:rPr>
          <w:rFonts w:cs="Arial"/>
          <w:szCs w:val="22"/>
        </w:rPr>
        <w:t xml:space="preserve">Visando manter todos os movimentos existentes e garantir acesso a todas as propriedades da região, será necessária a </w:t>
      </w:r>
      <w:r w:rsidR="003C2D4F" w:rsidRPr="000B1985">
        <w:rPr>
          <w:rFonts w:cs="Arial"/>
          <w:szCs w:val="22"/>
        </w:rPr>
        <w:t xml:space="preserve">construção de </w:t>
      </w:r>
      <w:r w:rsidR="000B1985" w:rsidRPr="000B1985">
        <w:rPr>
          <w:rFonts w:cs="Arial"/>
          <w:szCs w:val="22"/>
        </w:rPr>
        <w:t>1,9</w:t>
      </w:r>
      <w:r w:rsidR="002207FE" w:rsidRPr="000B1985">
        <w:rPr>
          <w:rFonts w:cs="Arial"/>
          <w:szCs w:val="22"/>
        </w:rPr>
        <w:t xml:space="preserve"> </w:t>
      </w:r>
      <w:r w:rsidR="003C2D4F" w:rsidRPr="000B1985">
        <w:rPr>
          <w:rFonts w:cs="Arial"/>
          <w:szCs w:val="22"/>
        </w:rPr>
        <w:t>km de</w:t>
      </w:r>
      <w:r w:rsidR="003C2D4F" w:rsidRPr="002732BE">
        <w:rPr>
          <w:rFonts w:cs="Arial"/>
          <w:szCs w:val="22"/>
        </w:rPr>
        <w:t xml:space="preserve"> novas estradas</w:t>
      </w:r>
      <w:r w:rsidR="003C2D4F">
        <w:rPr>
          <w:rFonts w:cs="Arial"/>
          <w:szCs w:val="22"/>
        </w:rPr>
        <w:t xml:space="preserve"> de terra.</w:t>
      </w:r>
    </w:p>
    <w:p w:rsidR="003C2D4F" w:rsidRDefault="00061111" w:rsidP="000878A8">
      <w:pPr>
        <w:autoSpaceDE w:val="0"/>
        <w:autoSpaceDN w:val="0"/>
        <w:adjustRightInd w:val="0"/>
        <w:spacing w:before="120" w:after="120" w:line="240" w:lineRule="auto"/>
        <w:rPr>
          <w:rFonts w:cs="Arial"/>
          <w:szCs w:val="22"/>
        </w:rPr>
      </w:pPr>
      <w:r w:rsidRPr="00061111">
        <w:rPr>
          <w:rFonts w:cs="Arial"/>
          <w:szCs w:val="22"/>
        </w:rPr>
        <w:t xml:space="preserve">Em relação à rede de distribuição de energia a ser afetada, ela é formada por linhas de baixa/média tensão, compostas por postes de concreto ou de madeira, a maior parte delas localizadas junto as estradas vicinais. Pelos levantamentos realizados, devem ser afetadas </w:t>
      </w:r>
      <w:r w:rsidRPr="002207FE">
        <w:rPr>
          <w:rFonts w:cs="Arial"/>
          <w:szCs w:val="22"/>
        </w:rPr>
        <w:t>12,1 km de linhas de distribuição pela Barragem Pedreira e 14,1 km pela Barragem Duas</w:t>
      </w:r>
      <w:r w:rsidRPr="00061111">
        <w:rPr>
          <w:rFonts w:cs="Arial"/>
          <w:szCs w:val="22"/>
        </w:rPr>
        <w:t xml:space="preserve"> Pontes. </w:t>
      </w:r>
    </w:p>
    <w:p w:rsidR="003C2D4F" w:rsidRPr="003C2D4F" w:rsidRDefault="003C2D4F" w:rsidP="003C2D4F">
      <w:pPr>
        <w:autoSpaceDE w:val="0"/>
        <w:autoSpaceDN w:val="0"/>
        <w:adjustRightInd w:val="0"/>
        <w:spacing w:before="120" w:after="120" w:line="240" w:lineRule="auto"/>
        <w:rPr>
          <w:rFonts w:cs="Arial"/>
          <w:szCs w:val="22"/>
        </w:rPr>
      </w:pPr>
      <w:r>
        <w:rPr>
          <w:rFonts w:cs="Arial"/>
          <w:szCs w:val="22"/>
        </w:rPr>
        <w:t xml:space="preserve">Para </w:t>
      </w:r>
      <w:r w:rsidRPr="003C2D4F">
        <w:rPr>
          <w:rFonts w:cs="Arial"/>
          <w:szCs w:val="22"/>
        </w:rPr>
        <w:t>garantir o abastecimento energético da região, será necessária a construção de 7,3km de novas redes de baixa/média tensão</w:t>
      </w:r>
      <w:r>
        <w:rPr>
          <w:rFonts w:cs="Arial"/>
          <w:szCs w:val="22"/>
        </w:rPr>
        <w:t xml:space="preserve"> no caso da Barragem Pedreira (Desenho 7188-45-GL-810-DE-00161</w:t>
      </w:r>
      <w:r w:rsidR="00AB7576">
        <w:rPr>
          <w:rFonts w:cs="Arial"/>
          <w:szCs w:val="22"/>
        </w:rPr>
        <w:t>, apresentado no final deste documento</w:t>
      </w:r>
      <w:r>
        <w:rPr>
          <w:rFonts w:cs="Arial"/>
          <w:szCs w:val="22"/>
        </w:rPr>
        <w:t>), e de 4,1km no caso da Barragem Duas Pontes (Desenho 7188-45-GL-810-DE-00162</w:t>
      </w:r>
      <w:r w:rsidR="00AB7576">
        <w:rPr>
          <w:rFonts w:cs="Arial"/>
          <w:szCs w:val="22"/>
        </w:rPr>
        <w:t>, apresentado no final deste documento</w:t>
      </w:r>
      <w:r>
        <w:rPr>
          <w:rFonts w:cs="Arial"/>
          <w:szCs w:val="22"/>
        </w:rPr>
        <w:t>).</w:t>
      </w:r>
    </w:p>
    <w:p w:rsidR="00061111" w:rsidRPr="00061111" w:rsidRDefault="00061111" w:rsidP="000878A8">
      <w:pPr>
        <w:autoSpaceDE w:val="0"/>
        <w:autoSpaceDN w:val="0"/>
        <w:adjustRightInd w:val="0"/>
        <w:spacing w:before="120" w:after="120" w:line="240" w:lineRule="auto"/>
        <w:rPr>
          <w:rFonts w:cs="Arial"/>
          <w:szCs w:val="22"/>
        </w:rPr>
      </w:pPr>
      <w:r w:rsidRPr="00061111">
        <w:rPr>
          <w:rFonts w:cs="Arial"/>
          <w:szCs w:val="22"/>
        </w:rPr>
        <w:t>No reservatório da Barragem Duas Pontes encontram-se também duas Linhas de Transmissão (LT) de alta tensão, a LT SE Campinas (SP) - SE Poços de Caldas (MG), de 345 kV, pertence a FURNAS Centrais Elétricas S.A., e a LT SE Mogi Mirim II – SE Bragança Paulista, de 138 kV, da CTEEP – Companhia de Transmissão de Energia Elétrica Paulista. Destas linhas somente a LT SE Campinas – SE Poços de Caldas deve ser afetada, devendo ser relocado um trecho de 2,7 km (Desenho nº 7188-45-GL-810-DE-00162</w:t>
      </w:r>
      <w:r w:rsidR="00AB7576">
        <w:rPr>
          <w:rFonts w:cs="Arial"/>
          <w:szCs w:val="22"/>
        </w:rPr>
        <w:t>, apresentado no final deste documento</w:t>
      </w:r>
      <w:r w:rsidRPr="00061111">
        <w:rPr>
          <w:rFonts w:cs="Arial"/>
          <w:szCs w:val="22"/>
        </w:rPr>
        <w:t>).</w:t>
      </w:r>
    </w:p>
    <w:p w:rsidR="00061111" w:rsidRPr="00FC4658" w:rsidRDefault="00061111" w:rsidP="00431A97">
      <w:pPr>
        <w:pStyle w:val="Ttulo3"/>
        <w:numPr>
          <w:ilvl w:val="3"/>
          <w:numId w:val="71"/>
        </w:numPr>
        <w:rPr>
          <w:rFonts w:ascii="Arial Negrito" w:hAnsi="Arial Negrito"/>
          <w:bCs/>
        </w:rPr>
      </w:pPr>
      <w:bookmarkStart w:id="1612" w:name="_Toc418758594"/>
      <w:bookmarkStart w:id="1613" w:name="_Toc418759196"/>
      <w:bookmarkStart w:id="1614" w:name="_Toc419813981"/>
      <w:r w:rsidRPr="00FC4658">
        <w:rPr>
          <w:rFonts w:ascii="Arial Negrito" w:hAnsi="Arial Negrito"/>
          <w:bCs/>
        </w:rPr>
        <w:t>Objetivos</w:t>
      </w:r>
      <w:bookmarkEnd w:id="1612"/>
      <w:bookmarkEnd w:id="1613"/>
      <w:bookmarkEnd w:id="1614"/>
    </w:p>
    <w:p w:rsidR="00061111" w:rsidRPr="00061111" w:rsidRDefault="00061111" w:rsidP="00061111">
      <w:pPr>
        <w:autoSpaceDE w:val="0"/>
        <w:autoSpaceDN w:val="0"/>
        <w:adjustRightInd w:val="0"/>
        <w:spacing w:before="120" w:after="120" w:line="240" w:lineRule="auto"/>
        <w:rPr>
          <w:rFonts w:cs="Arial"/>
          <w:szCs w:val="22"/>
        </w:rPr>
      </w:pPr>
      <w:r w:rsidRPr="00061111">
        <w:rPr>
          <w:rFonts w:cs="Arial"/>
          <w:szCs w:val="22"/>
        </w:rPr>
        <w:t>Este programa tem como objetivo rec</w:t>
      </w:r>
      <w:r w:rsidR="00835898">
        <w:rPr>
          <w:rFonts w:cs="Arial"/>
          <w:szCs w:val="22"/>
        </w:rPr>
        <w:t xml:space="preserve">ompor a infraestrutura viária, </w:t>
      </w:r>
      <w:r w:rsidRPr="00061111">
        <w:rPr>
          <w:rFonts w:cs="Arial"/>
          <w:szCs w:val="22"/>
        </w:rPr>
        <w:t>de energia elétrica</w:t>
      </w:r>
      <w:r w:rsidR="00835898">
        <w:rPr>
          <w:rFonts w:cs="Arial"/>
          <w:szCs w:val="22"/>
        </w:rPr>
        <w:t xml:space="preserve"> e telefonia</w:t>
      </w:r>
      <w:r w:rsidRPr="00061111">
        <w:rPr>
          <w:rFonts w:cs="Arial"/>
          <w:szCs w:val="22"/>
        </w:rPr>
        <w:t xml:space="preserve"> a ser afetada pela formação dos reservatórios das Barragens Pedreira e Duas Pontes e recomposição dos acessos aos estabelecimentos rurais.</w:t>
      </w:r>
    </w:p>
    <w:p w:rsidR="00061111" w:rsidRPr="00FC4658" w:rsidRDefault="00061111" w:rsidP="00431A97">
      <w:pPr>
        <w:pStyle w:val="Ttulo3"/>
        <w:numPr>
          <w:ilvl w:val="3"/>
          <w:numId w:val="71"/>
        </w:numPr>
        <w:rPr>
          <w:rFonts w:ascii="Arial Negrito" w:hAnsi="Arial Negrito"/>
          <w:bCs/>
        </w:rPr>
      </w:pPr>
      <w:bookmarkStart w:id="1615" w:name="_Toc418758595"/>
      <w:bookmarkStart w:id="1616" w:name="_Toc418759197"/>
      <w:bookmarkStart w:id="1617" w:name="_Toc419813982"/>
      <w:r w:rsidRPr="00FC4658">
        <w:rPr>
          <w:rFonts w:ascii="Arial Negrito" w:hAnsi="Arial Negrito"/>
          <w:bCs/>
        </w:rPr>
        <w:t>Metas</w:t>
      </w:r>
      <w:bookmarkEnd w:id="1615"/>
      <w:bookmarkEnd w:id="1616"/>
      <w:bookmarkEnd w:id="1617"/>
    </w:p>
    <w:p w:rsidR="00061111" w:rsidRPr="00061111" w:rsidRDefault="00061111" w:rsidP="00061111">
      <w:pPr>
        <w:autoSpaceDE w:val="0"/>
        <w:autoSpaceDN w:val="0"/>
        <w:adjustRightInd w:val="0"/>
        <w:spacing w:before="120" w:after="120" w:line="240" w:lineRule="auto"/>
        <w:rPr>
          <w:rFonts w:cs="Arial"/>
          <w:szCs w:val="22"/>
        </w:rPr>
      </w:pPr>
      <w:r w:rsidRPr="00061111">
        <w:rPr>
          <w:rFonts w:cs="Arial"/>
          <w:szCs w:val="22"/>
        </w:rPr>
        <w:t xml:space="preserve">A meta do programa é recompor a infraestrutura viária e de transmissão e distribuição de energia elétrica antes do enchimento dos reservatórios das Barragens Pedreira e Duas Pontes. </w:t>
      </w:r>
    </w:p>
    <w:p w:rsidR="00061111" w:rsidRPr="00FC4658" w:rsidRDefault="00061111" w:rsidP="00431A97">
      <w:pPr>
        <w:pStyle w:val="Ttulo3"/>
        <w:numPr>
          <w:ilvl w:val="3"/>
          <w:numId w:val="71"/>
        </w:numPr>
        <w:rPr>
          <w:rFonts w:ascii="Arial Negrito" w:hAnsi="Arial Negrito"/>
          <w:bCs/>
        </w:rPr>
      </w:pPr>
      <w:bookmarkStart w:id="1618" w:name="_Toc418758596"/>
      <w:bookmarkStart w:id="1619" w:name="_Toc418759198"/>
      <w:bookmarkStart w:id="1620" w:name="_Toc419813983"/>
      <w:r w:rsidRPr="00FC4658">
        <w:rPr>
          <w:rFonts w:ascii="Arial Negrito" w:hAnsi="Arial Negrito"/>
          <w:bCs/>
        </w:rPr>
        <w:t>Público-alvo</w:t>
      </w:r>
      <w:bookmarkEnd w:id="1618"/>
      <w:bookmarkEnd w:id="1619"/>
      <w:bookmarkEnd w:id="1620"/>
    </w:p>
    <w:p w:rsidR="00061111" w:rsidRPr="00061111" w:rsidRDefault="00061111" w:rsidP="00061111">
      <w:pPr>
        <w:autoSpaceDE w:val="0"/>
        <w:autoSpaceDN w:val="0"/>
        <w:adjustRightInd w:val="0"/>
        <w:spacing w:before="120" w:after="120" w:line="240" w:lineRule="auto"/>
        <w:rPr>
          <w:rFonts w:cs="Arial"/>
          <w:szCs w:val="22"/>
        </w:rPr>
      </w:pPr>
      <w:r w:rsidRPr="00061111">
        <w:rPr>
          <w:rFonts w:cs="Arial"/>
          <w:szCs w:val="22"/>
        </w:rPr>
        <w:t>O publico alvo do programa são:</w:t>
      </w:r>
    </w:p>
    <w:p w:rsidR="00061111" w:rsidRPr="00061111" w:rsidRDefault="00061111" w:rsidP="00F94909">
      <w:pPr>
        <w:pStyle w:val="Item-Bolinha"/>
      </w:pPr>
      <w:r w:rsidRPr="00061111">
        <w:t>O empreendedor responsável pela implantação das Barragens Pedreira e Duas Pontes;</w:t>
      </w:r>
    </w:p>
    <w:p w:rsidR="00061111" w:rsidRPr="00061111" w:rsidRDefault="00061111" w:rsidP="00F94909">
      <w:pPr>
        <w:pStyle w:val="Item-Bolinha"/>
      </w:pPr>
      <w:r w:rsidRPr="00061111">
        <w:t xml:space="preserve">As prefeituras em que se localizam as barragens, como proprietários/responsáveis pelas estradas afetadas; </w:t>
      </w:r>
    </w:p>
    <w:p w:rsidR="00061111" w:rsidRPr="00061111" w:rsidRDefault="00061111" w:rsidP="00F94909">
      <w:pPr>
        <w:pStyle w:val="Item-Bolinha"/>
      </w:pPr>
      <w:r w:rsidRPr="00061111">
        <w:t>As empresas FURNAS, CTEEP, e as distribuidoras de energia rural, proprietárias das Linhas de Transmissão e distribuição de energia a serem afetadas.</w:t>
      </w:r>
    </w:p>
    <w:p w:rsidR="00061111" w:rsidRDefault="00061111" w:rsidP="00F94909">
      <w:pPr>
        <w:pStyle w:val="Item-Bolinha"/>
      </w:pPr>
      <w:r w:rsidRPr="00061111">
        <w:t xml:space="preserve">Os moradores residentes no entorno dos futuros reservatórios e usuários das estradas e da energia elétrica transmitida pelas linhas afetadas. </w:t>
      </w:r>
    </w:p>
    <w:p w:rsidR="00061111" w:rsidRPr="00FC4658" w:rsidRDefault="000878A8" w:rsidP="00431A97">
      <w:pPr>
        <w:pStyle w:val="Ttulo3"/>
        <w:numPr>
          <w:ilvl w:val="3"/>
          <w:numId w:val="71"/>
        </w:numPr>
        <w:rPr>
          <w:rFonts w:ascii="Arial Negrito" w:hAnsi="Arial Negrito"/>
          <w:bCs/>
        </w:rPr>
      </w:pPr>
      <w:bookmarkStart w:id="1621" w:name="_Toc418758597"/>
      <w:bookmarkStart w:id="1622" w:name="_Toc418759199"/>
      <w:bookmarkStart w:id="1623" w:name="_Toc419813984"/>
      <w:r w:rsidRPr="00FC4658">
        <w:rPr>
          <w:rFonts w:ascii="Arial Negrito" w:hAnsi="Arial Negrito"/>
          <w:bCs/>
        </w:rPr>
        <w:t>Métodos e Descrição do Programa</w:t>
      </w:r>
      <w:bookmarkEnd w:id="1621"/>
      <w:bookmarkEnd w:id="1622"/>
      <w:bookmarkEnd w:id="1623"/>
    </w:p>
    <w:p w:rsidR="003C4051" w:rsidRPr="003C4051" w:rsidRDefault="003C4051" w:rsidP="003C4051">
      <w:pPr>
        <w:autoSpaceDE w:val="0"/>
        <w:autoSpaceDN w:val="0"/>
        <w:adjustRightInd w:val="0"/>
        <w:spacing w:before="120" w:after="120" w:line="240" w:lineRule="auto"/>
        <w:ind w:left="284"/>
        <w:rPr>
          <w:rFonts w:cs="Arial"/>
          <w:szCs w:val="22"/>
        </w:rPr>
      </w:pPr>
      <w:r w:rsidRPr="003C4051">
        <w:rPr>
          <w:rFonts w:cs="Arial"/>
          <w:szCs w:val="22"/>
        </w:rPr>
        <w:t>Na implementação do programa são previstas as ações descritas a seguir.</w:t>
      </w:r>
    </w:p>
    <w:p w:rsidR="003C4051" w:rsidRPr="003C4051" w:rsidRDefault="003C4051" w:rsidP="00F94909">
      <w:pPr>
        <w:pStyle w:val="Item-Bolinha"/>
      </w:pPr>
      <w:r w:rsidRPr="003C4051">
        <w:rPr>
          <w:b/>
        </w:rPr>
        <w:t>Articulação Institucional:</w:t>
      </w:r>
      <w:r w:rsidRPr="003C4051">
        <w:t xml:space="preserve"> Para a recomposição da infraestrutura afetada o Empreendedor deverá se articular com as Instituições responsáveis pela infraestrutura viária e elétrica, analisando em conjunto as medidas a serem adotadas para a sua recomposição.</w:t>
      </w:r>
    </w:p>
    <w:p w:rsidR="003C4051" w:rsidRPr="003C4051" w:rsidRDefault="003C4051" w:rsidP="00F94909">
      <w:pPr>
        <w:pStyle w:val="Item-Bolinha"/>
      </w:pPr>
      <w:r w:rsidRPr="003C4051">
        <w:rPr>
          <w:b/>
        </w:rPr>
        <w:t>Elaboração de Projetos:</w:t>
      </w:r>
      <w:r w:rsidRPr="003C4051">
        <w:t xml:space="preserve"> Após acordadas as soluções com as instituições responsáveis, deverão ser elaborados os projetos executivos das estradas vicinais e obras de arte necessárias para recompor a circulação de veículos nas vias principais do entorno do reservatório. </w:t>
      </w:r>
    </w:p>
    <w:p w:rsidR="003C4051" w:rsidRPr="003C4051" w:rsidRDefault="003C4051" w:rsidP="003C4051">
      <w:pPr>
        <w:autoSpaceDE w:val="0"/>
        <w:autoSpaceDN w:val="0"/>
        <w:adjustRightInd w:val="0"/>
        <w:spacing w:before="120" w:line="240" w:lineRule="auto"/>
        <w:ind w:left="284"/>
        <w:rPr>
          <w:rFonts w:cs="Arial"/>
          <w:szCs w:val="22"/>
        </w:rPr>
      </w:pPr>
      <w:r w:rsidRPr="003C4051">
        <w:rPr>
          <w:rFonts w:cs="Arial"/>
          <w:szCs w:val="22"/>
        </w:rPr>
        <w:t>Do mesmo modo, deverão ser elaborados os projetos da nova linha de transmissão de alto voltagem e as de distribuição que foram afetadas para manter o fornecimento e distribuição de energia elétrica.</w:t>
      </w:r>
    </w:p>
    <w:p w:rsidR="003C4051" w:rsidRPr="003C4051" w:rsidRDefault="003C4051" w:rsidP="003C4051">
      <w:pPr>
        <w:autoSpaceDE w:val="0"/>
        <w:autoSpaceDN w:val="0"/>
        <w:adjustRightInd w:val="0"/>
        <w:spacing w:before="120" w:line="240" w:lineRule="auto"/>
        <w:ind w:left="284"/>
        <w:rPr>
          <w:rFonts w:cs="Arial"/>
          <w:szCs w:val="22"/>
        </w:rPr>
      </w:pPr>
      <w:r w:rsidRPr="003C4051">
        <w:rPr>
          <w:rFonts w:cs="Arial"/>
          <w:szCs w:val="22"/>
        </w:rPr>
        <w:t xml:space="preserve">Na implantação das estradas vicinais, nos casos em que o novo traçado o exija, deverá ser adquirida a faixa de terreno necessária para a sua construção. No caso das linhas de transmissão e distribuição deverão ser estabelecidos acordos com os proprietários dos terrenos onde as linhas serão instaladas para estabelecer faixas de servidão. </w:t>
      </w:r>
    </w:p>
    <w:p w:rsidR="003C4051" w:rsidRPr="003C4051" w:rsidRDefault="003C4051" w:rsidP="00F94909">
      <w:pPr>
        <w:pStyle w:val="Item-Bolinha"/>
      </w:pPr>
      <w:r w:rsidRPr="003C4051">
        <w:rPr>
          <w:b/>
        </w:rPr>
        <w:t>Implantação das Estradas:</w:t>
      </w:r>
      <w:r w:rsidRPr="003C4051">
        <w:t xml:space="preserve"> Os projetos deverão ser aprovados pelos órgãos competentes, para sua implantação. As novas estradas deverão estar concluídas no mínimo 6 meses antes do enchimento do reservatório.</w:t>
      </w:r>
    </w:p>
    <w:p w:rsidR="003C4051" w:rsidRPr="003C4051" w:rsidRDefault="003C4051" w:rsidP="00F94909">
      <w:pPr>
        <w:pStyle w:val="Item-Bolinha"/>
      </w:pPr>
      <w:r w:rsidRPr="003C4051">
        <w:rPr>
          <w:b/>
        </w:rPr>
        <w:t>Relocação de Linhas de Transmissão e Distribuição de Energia Elétrica:</w:t>
      </w:r>
      <w:r w:rsidRPr="003C4051">
        <w:t xml:space="preserve"> A implantação da linha de transmissão e as de distribuição de energia elétrica poderá ser realizada pelo Empreendedor ou pela empresa responsável pelo serviço, com o respectivo repasse dos custos, dependendo do acordado entre as partes. A recomposição das linhas deverá ser feita de modo a não interromper o serviço aos consumidores.</w:t>
      </w:r>
    </w:p>
    <w:p w:rsidR="003C4051" w:rsidRPr="003C4051" w:rsidRDefault="003C4051" w:rsidP="00F94909">
      <w:pPr>
        <w:pStyle w:val="Item-Bolinha"/>
      </w:pPr>
      <w:r w:rsidRPr="003C4051">
        <w:rPr>
          <w:b/>
        </w:rPr>
        <w:t>Recomposição dos acessos aos estabelecimentos rurais:</w:t>
      </w:r>
      <w:r w:rsidRPr="003C4051">
        <w:t xml:space="preserve"> Concluída a implantação das estradas vicinais deverão ser refeitos os acessos aos estabelecimentos rurais, caso necessário.</w:t>
      </w:r>
    </w:p>
    <w:p w:rsidR="000878A8" w:rsidRDefault="003C4051" w:rsidP="00F94909">
      <w:pPr>
        <w:pStyle w:val="Item-Bolinha"/>
      </w:pPr>
      <w:r w:rsidRPr="003C4051">
        <w:rPr>
          <w:b/>
        </w:rPr>
        <w:t>Repasse da Infraestrutura Recomposta para os Órgãos Competentes:</w:t>
      </w:r>
      <w:r w:rsidRPr="003C4051">
        <w:t xml:space="preserve"> Uma vez concluídas as obras, a nova infraestrutura deverá ser repassada para os órgãos competentes, responsáveis pela sua operação.</w:t>
      </w:r>
    </w:p>
    <w:p w:rsidR="00061111" w:rsidRPr="00FC4658" w:rsidRDefault="00061111" w:rsidP="00431A97">
      <w:pPr>
        <w:pStyle w:val="Ttulo3"/>
        <w:numPr>
          <w:ilvl w:val="3"/>
          <w:numId w:val="71"/>
        </w:numPr>
        <w:rPr>
          <w:rFonts w:ascii="Arial Negrito" w:hAnsi="Arial Negrito"/>
          <w:bCs/>
        </w:rPr>
      </w:pPr>
      <w:bookmarkStart w:id="1624" w:name="_Toc418758598"/>
      <w:bookmarkStart w:id="1625" w:name="_Toc418759200"/>
      <w:bookmarkStart w:id="1626" w:name="_Toc419813985"/>
      <w:r w:rsidRPr="00FC4658">
        <w:rPr>
          <w:rFonts w:ascii="Arial Negrito" w:hAnsi="Arial Negrito"/>
          <w:bCs/>
        </w:rPr>
        <w:t>Indicadores Ambientais</w:t>
      </w:r>
      <w:bookmarkEnd w:id="1624"/>
      <w:bookmarkEnd w:id="1625"/>
      <w:bookmarkEnd w:id="1626"/>
    </w:p>
    <w:p w:rsidR="00061111" w:rsidRPr="00061111" w:rsidRDefault="00061111" w:rsidP="000878A8">
      <w:pPr>
        <w:autoSpaceDE w:val="0"/>
        <w:autoSpaceDN w:val="0"/>
        <w:adjustRightInd w:val="0"/>
        <w:spacing w:before="120" w:after="120" w:line="240" w:lineRule="auto"/>
        <w:rPr>
          <w:rFonts w:cs="Arial"/>
          <w:szCs w:val="22"/>
        </w:rPr>
      </w:pPr>
      <w:r w:rsidRPr="00061111">
        <w:rPr>
          <w:rFonts w:cs="Arial"/>
          <w:szCs w:val="22"/>
        </w:rPr>
        <w:t xml:space="preserve">Como indicador deve ser utilizada a recomposição da infraestrutura afetada dentro do prazo estabelecido (antes do enchimento dos reservatórios), de modo a que os moradores do entorno dos reservatórios, e usuários em geral, não venham a ver interrompidos os acessos a suas propriedades, e/ou impedida a circulação para outros locais de seu interesse. </w:t>
      </w:r>
    </w:p>
    <w:p w:rsidR="00C019B6" w:rsidRDefault="00061111" w:rsidP="000878A8">
      <w:pPr>
        <w:autoSpaceDE w:val="0"/>
        <w:autoSpaceDN w:val="0"/>
        <w:adjustRightInd w:val="0"/>
        <w:spacing w:before="120" w:after="120" w:line="240" w:lineRule="auto"/>
        <w:rPr>
          <w:rFonts w:cs="Arial"/>
          <w:szCs w:val="22"/>
        </w:rPr>
      </w:pPr>
      <w:r w:rsidRPr="00061111">
        <w:rPr>
          <w:rFonts w:cs="Arial"/>
          <w:szCs w:val="22"/>
        </w:rPr>
        <w:t>Na recomposição da infraestrutura de transmissão e distribuição de energia elétrica a o indicador é a não interrupção do fornecimento de energia aos usuários.</w:t>
      </w:r>
    </w:p>
    <w:p w:rsidR="00061111" w:rsidRPr="00FC4658" w:rsidRDefault="00061111" w:rsidP="00431A97">
      <w:pPr>
        <w:pStyle w:val="Ttulo3"/>
        <w:numPr>
          <w:ilvl w:val="3"/>
          <w:numId w:val="71"/>
        </w:numPr>
        <w:rPr>
          <w:rFonts w:ascii="Arial Negrito" w:hAnsi="Arial Negrito"/>
          <w:bCs/>
        </w:rPr>
      </w:pPr>
      <w:bookmarkStart w:id="1627" w:name="_Toc418758599"/>
      <w:bookmarkStart w:id="1628" w:name="_Toc418759201"/>
      <w:bookmarkStart w:id="1629" w:name="_Toc419813986"/>
      <w:r w:rsidRPr="00FC4658">
        <w:rPr>
          <w:rFonts w:ascii="Arial Negrito" w:hAnsi="Arial Negrito"/>
          <w:bCs/>
        </w:rPr>
        <w:t>Recursos Materiais e Humanos</w:t>
      </w:r>
      <w:bookmarkEnd w:id="1627"/>
      <w:bookmarkEnd w:id="1628"/>
      <w:bookmarkEnd w:id="1629"/>
    </w:p>
    <w:p w:rsidR="000878A8" w:rsidRPr="00061111" w:rsidRDefault="00061111" w:rsidP="00061111">
      <w:pPr>
        <w:autoSpaceDE w:val="0"/>
        <w:autoSpaceDN w:val="0"/>
        <w:adjustRightInd w:val="0"/>
        <w:spacing w:before="120" w:after="120" w:line="240" w:lineRule="auto"/>
        <w:rPr>
          <w:rFonts w:cs="Arial"/>
          <w:szCs w:val="22"/>
        </w:rPr>
      </w:pPr>
      <w:r w:rsidRPr="00061111">
        <w:rPr>
          <w:rFonts w:cs="Arial"/>
          <w:szCs w:val="22"/>
        </w:rPr>
        <w:t xml:space="preserve">O empreendedor deverá contratar os serviços de técnicos especializados em projetos de estradas e de Linhas de Transmissão de alta tensão e de rede de distribuição de média/baixa tensão, de modo a elaborar os projetos de estradas e linhas de transmissão que substituirão as hoje existentes. </w:t>
      </w:r>
    </w:p>
    <w:p w:rsidR="00061111" w:rsidRPr="00FC4658" w:rsidRDefault="00061111" w:rsidP="00431A97">
      <w:pPr>
        <w:pStyle w:val="Ttulo3"/>
        <w:numPr>
          <w:ilvl w:val="3"/>
          <w:numId w:val="71"/>
        </w:numPr>
        <w:rPr>
          <w:rFonts w:ascii="Arial Negrito" w:hAnsi="Arial Negrito"/>
          <w:bCs/>
        </w:rPr>
      </w:pPr>
      <w:bookmarkStart w:id="1630" w:name="_Toc418758600"/>
      <w:bookmarkStart w:id="1631" w:name="_Toc418759202"/>
      <w:bookmarkStart w:id="1632" w:name="_Toc419813987"/>
      <w:r w:rsidRPr="00FC4658">
        <w:rPr>
          <w:rFonts w:ascii="Arial Negrito" w:hAnsi="Arial Negrito"/>
          <w:bCs/>
        </w:rPr>
        <w:t>Atendimento a Requisitos Legais e/ou Outros Requisitos</w:t>
      </w:r>
      <w:bookmarkEnd w:id="1630"/>
      <w:bookmarkEnd w:id="1631"/>
      <w:bookmarkEnd w:id="1632"/>
    </w:p>
    <w:p w:rsidR="00061111" w:rsidRPr="00061111" w:rsidRDefault="00061111" w:rsidP="00061111">
      <w:pPr>
        <w:autoSpaceDE w:val="0"/>
        <w:autoSpaceDN w:val="0"/>
        <w:adjustRightInd w:val="0"/>
        <w:spacing w:before="120" w:after="120" w:line="240" w:lineRule="auto"/>
        <w:rPr>
          <w:rFonts w:cs="Arial"/>
          <w:szCs w:val="22"/>
        </w:rPr>
      </w:pPr>
      <w:r w:rsidRPr="00061111">
        <w:rPr>
          <w:rFonts w:cs="Arial"/>
          <w:szCs w:val="22"/>
        </w:rPr>
        <w:t>O programa atende ao disposto no Termo de Referência para a elaboração do EIA/RIMA das Barragens Pedreira e Duas Pontes, apresentado no Parecer Técnico nº 410/13/IE de 28/08/2013, Processo 189/13.</w:t>
      </w:r>
    </w:p>
    <w:p w:rsidR="00061111" w:rsidRPr="00FC4658" w:rsidRDefault="00061111" w:rsidP="00431A97">
      <w:pPr>
        <w:pStyle w:val="Ttulo3"/>
        <w:numPr>
          <w:ilvl w:val="3"/>
          <w:numId w:val="71"/>
        </w:numPr>
        <w:rPr>
          <w:rFonts w:ascii="Arial Negrito" w:hAnsi="Arial Negrito"/>
          <w:bCs/>
        </w:rPr>
      </w:pPr>
      <w:bookmarkStart w:id="1633" w:name="_Toc418758601"/>
      <w:bookmarkStart w:id="1634" w:name="_Toc418759203"/>
      <w:bookmarkStart w:id="1635" w:name="_Toc419813988"/>
      <w:r w:rsidRPr="00FC4658">
        <w:rPr>
          <w:rFonts w:ascii="Arial Negrito" w:hAnsi="Arial Negrito"/>
          <w:bCs/>
        </w:rPr>
        <w:t>Inter-relação com Outros Planos e Programas</w:t>
      </w:r>
      <w:bookmarkEnd w:id="1633"/>
      <w:bookmarkEnd w:id="1634"/>
      <w:bookmarkEnd w:id="1635"/>
    </w:p>
    <w:p w:rsidR="00061111" w:rsidRPr="00061111" w:rsidRDefault="00061111" w:rsidP="00061111">
      <w:pPr>
        <w:autoSpaceDE w:val="0"/>
        <w:autoSpaceDN w:val="0"/>
        <w:adjustRightInd w:val="0"/>
        <w:spacing w:before="120" w:after="120" w:line="240" w:lineRule="auto"/>
        <w:rPr>
          <w:rFonts w:cs="Arial"/>
          <w:szCs w:val="22"/>
        </w:rPr>
      </w:pPr>
      <w:r w:rsidRPr="00061111">
        <w:rPr>
          <w:rFonts w:cs="Arial"/>
          <w:szCs w:val="22"/>
        </w:rPr>
        <w:t xml:space="preserve">O programa de Recomposição da Infraestrutura tem inter-relação com os programas de: Comunicação e Interação Social; </w:t>
      </w:r>
      <w:r w:rsidR="00D225D5">
        <w:rPr>
          <w:rFonts w:cs="Arial"/>
          <w:szCs w:val="22"/>
        </w:rPr>
        <w:t xml:space="preserve">Negociação e </w:t>
      </w:r>
      <w:r w:rsidRPr="00061111">
        <w:rPr>
          <w:rFonts w:cs="Arial"/>
          <w:szCs w:val="22"/>
        </w:rPr>
        <w:t>Desapropriação; Prospecção e Resgate Arqueológico; e Educação Ambiental.</w:t>
      </w:r>
    </w:p>
    <w:p w:rsidR="00061111" w:rsidRPr="00FC4658" w:rsidRDefault="00061111" w:rsidP="00431A97">
      <w:pPr>
        <w:pStyle w:val="Ttulo3"/>
        <w:numPr>
          <w:ilvl w:val="3"/>
          <w:numId w:val="71"/>
        </w:numPr>
        <w:rPr>
          <w:rFonts w:ascii="Arial Negrito" w:hAnsi="Arial Negrito"/>
          <w:bCs/>
        </w:rPr>
      </w:pPr>
      <w:bookmarkStart w:id="1636" w:name="_Toc418758602"/>
      <w:bookmarkStart w:id="1637" w:name="_Toc418759204"/>
      <w:bookmarkStart w:id="1638" w:name="_Toc419813989"/>
      <w:r w:rsidRPr="00FC4658">
        <w:rPr>
          <w:rFonts w:ascii="Arial Negrito" w:hAnsi="Arial Negrito"/>
          <w:bCs/>
        </w:rPr>
        <w:t>Etapa dos Empreendimentos</w:t>
      </w:r>
      <w:bookmarkEnd w:id="1636"/>
      <w:bookmarkEnd w:id="1637"/>
      <w:bookmarkEnd w:id="1638"/>
    </w:p>
    <w:p w:rsidR="000878A8" w:rsidRDefault="001A1CD8" w:rsidP="001A1CD8">
      <w:pPr>
        <w:autoSpaceDE w:val="0"/>
        <w:autoSpaceDN w:val="0"/>
        <w:adjustRightInd w:val="0"/>
        <w:spacing w:before="120" w:after="120" w:line="240" w:lineRule="auto"/>
        <w:rPr>
          <w:rFonts w:cs="Arial"/>
          <w:szCs w:val="22"/>
        </w:rPr>
      </w:pPr>
      <w:r w:rsidRPr="001A1CD8">
        <w:rPr>
          <w:rFonts w:cs="Arial"/>
          <w:szCs w:val="22"/>
        </w:rPr>
        <w:t xml:space="preserve">A implantação do programa de Recomposição da Infraestrutura deverá ser desenvolvida na fase de </w:t>
      </w:r>
      <w:r>
        <w:rPr>
          <w:rFonts w:cs="Arial"/>
          <w:szCs w:val="22"/>
        </w:rPr>
        <w:t>implantação das obras,</w:t>
      </w:r>
      <w:r w:rsidRPr="001A1CD8">
        <w:rPr>
          <w:rFonts w:cs="Arial"/>
          <w:szCs w:val="22"/>
        </w:rPr>
        <w:t xml:space="preserve"> devendo estar concluída, no mínimo 6 meses antes do início do enchimento dos reservatórios das Barragens Pedreira e Duas Pontes.</w:t>
      </w:r>
    </w:p>
    <w:p w:rsidR="00061111" w:rsidRPr="00FC4658" w:rsidRDefault="00061111" w:rsidP="00431A97">
      <w:pPr>
        <w:pStyle w:val="Ttulo3"/>
        <w:numPr>
          <w:ilvl w:val="3"/>
          <w:numId w:val="71"/>
        </w:numPr>
        <w:rPr>
          <w:rFonts w:ascii="Arial Negrito" w:hAnsi="Arial Negrito"/>
          <w:bCs/>
        </w:rPr>
      </w:pPr>
      <w:bookmarkStart w:id="1639" w:name="_Toc418758603"/>
      <w:bookmarkStart w:id="1640" w:name="_Toc418759205"/>
      <w:bookmarkStart w:id="1641" w:name="_Toc419813990"/>
      <w:r w:rsidRPr="00FC4658">
        <w:rPr>
          <w:rFonts w:ascii="Arial Negrito" w:hAnsi="Arial Negrito"/>
          <w:bCs/>
        </w:rPr>
        <w:t>Cronograma de Execução</w:t>
      </w:r>
      <w:bookmarkEnd w:id="1639"/>
      <w:bookmarkEnd w:id="1640"/>
      <w:bookmarkEnd w:id="1641"/>
    </w:p>
    <w:p w:rsidR="001A1CD8" w:rsidRDefault="001A1CD8" w:rsidP="001A1CD8">
      <w:pPr>
        <w:autoSpaceDE w:val="0"/>
        <w:autoSpaceDN w:val="0"/>
        <w:adjustRightInd w:val="0"/>
        <w:spacing w:before="120" w:after="120" w:line="240" w:lineRule="auto"/>
        <w:rPr>
          <w:rFonts w:cs="Arial"/>
          <w:szCs w:val="22"/>
        </w:rPr>
      </w:pPr>
      <w:r>
        <w:rPr>
          <w:rFonts w:cs="Arial"/>
          <w:szCs w:val="22"/>
        </w:rPr>
        <w:t xml:space="preserve">As ações previstas no programa deverão ser desenvolvidas de acordo com a seguinte sequência: </w:t>
      </w:r>
    </w:p>
    <w:p w:rsidR="00FA546F" w:rsidRDefault="001A1CD8" w:rsidP="00F94909">
      <w:pPr>
        <w:pStyle w:val="Item-Trainho"/>
      </w:pPr>
      <w:r>
        <w:t xml:space="preserve">Articulação Institucional: Logo </w:t>
      </w:r>
      <w:r w:rsidR="00FA546F">
        <w:t>no início das obras;</w:t>
      </w:r>
    </w:p>
    <w:p w:rsidR="00FA546F" w:rsidRDefault="00FA546F" w:rsidP="00F94909">
      <w:pPr>
        <w:pStyle w:val="Item-Trainho"/>
      </w:pPr>
      <w:r>
        <w:t>Elaboração dos Projetos;</w:t>
      </w:r>
    </w:p>
    <w:p w:rsidR="001A1CD8" w:rsidRDefault="00FA546F" w:rsidP="00F94909">
      <w:pPr>
        <w:pStyle w:val="Item-Trainho"/>
      </w:pPr>
      <w:r>
        <w:t>Implantação das estradas; linhas de transmissão e distribuição de energia elétrica;</w:t>
      </w:r>
    </w:p>
    <w:p w:rsidR="001A1CD8" w:rsidRDefault="00FA546F" w:rsidP="00F94909">
      <w:pPr>
        <w:pStyle w:val="Item-Trainho"/>
      </w:pPr>
      <w:r>
        <w:t xml:space="preserve">Recomposição dos acessos aos estabelecimentos rurais; </w:t>
      </w:r>
    </w:p>
    <w:p w:rsidR="00FA546F" w:rsidRDefault="00FA546F" w:rsidP="00F94909">
      <w:pPr>
        <w:pStyle w:val="Item-Trainho"/>
      </w:pPr>
      <w:r>
        <w:t>Repasse da infraestrutura recomposta para os órgãos responsáveis e empresas proprietárias.</w:t>
      </w:r>
    </w:p>
    <w:p w:rsidR="00061111" w:rsidRPr="00FC4658" w:rsidRDefault="00061111" w:rsidP="00431A97">
      <w:pPr>
        <w:pStyle w:val="Ttulo3"/>
        <w:numPr>
          <w:ilvl w:val="3"/>
          <w:numId w:val="71"/>
        </w:numPr>
        <w:rPr>
          <w:rFonts w:ascii="Arial Negrito" w:hAnsi="Arial Negrito"/>
          <w:bCs/>
        </w:rPr>
      </w:pPr>
      <w:bookmarkStart w:id="1642" w:name="_Toc418758604"/>
      <w:bookmarkStart w:id="1643" w:name="_Toc418759206"/>
      <w:bookmarkStart w:id="1644" w:name="_Toc419813991"/>
      <w:r w:rsidRPr="00FC4658">
        <w:rPr>
          <w:rFonts w:ascii="Arial Negrito" w:hAnsi="Arial Negrito"/>
          <w:bCs/>
        </w:rPr>
        <w:t>Responsável pela Implementação do Programa</w:t>
      </w:r>
      <w:bookmarkEnd w:id="1642"/>
      <w:bookmarkEnd w:id="1643"/>
      <w:bookmarkEnd w:id="1644"/>
    </w:p>
    <w:p w:rsidR="00061111" w:rsidRDefault="00061111" w:rsidP="00061111">
      <w:pPr>
        <w:autoSpaceDE w:val="0"/>
        <w:autoSpaceDN w:val="0"/>
        <w:adjustRightInd w:val="0"/>
        <w:spacing w:before="120" w:after="120" w:line="240" w:lineRule="auto"/>
        <w:rPr>
          <w:rFonts w:cs="Arial"/>
          <w:szCs w:val="22"/>
        </w:rPr>
      </w:pPr>
      <w:r w:rsidRPr="00061111">
        <w:rPr>
          <w:rFonts w:cs="Arial"/>
          <w:szCs w:val="22"/>
        </w:rPr>
        <w:t xml:space="preserve">O Empreendedor é responsável pela implementação do Programa, porém as ações devem ser planejadas e executadas com o conhecimento e aprovação dos órgãos municipais, e as empresas proprietárias responsáveis pela infraestrutura viária e elétrica. </w:t>
      </w:r>
    </w:p>
    <w:p w:rsidR="00061111" w:rsidRPr="00FC4658" w:rsidRDefault="00061111" w:rsidP="00431A97">
      <w:pPr>
        <w:pStyle w:val="Ttulo3"/>
        <w:numPr>
          <w:ilvl w:val="3"/>
          <w:numId w:val="71"/>
        </w:numPr>
        <w:rPr>
          <w:rFonts w:ascii="Arial Negrito" w:hAnsi="Arial Negrito"/>
          <w:bCs/>
        </w:rPr>
      </w:pPr>
      <w:bookmarkStart w:id="1645" w:name="_Toc418758605"/>
      <w:bookmarkStart w:id="1646" w:name="_Toc418759207"/>
      <w:bookmarkStart w:id="1647" w:name="_Toc419813992"/>
      <w:r w:rsidRPr="00FC4658">
        <w:rPr>
          <w:rFonts w:ascii="Arial Negrito" w:hAnsi="Arial Negrito"/>
          <w:bCs/>
        </w:rPr>
        <w:t>Sistemas de Registros</w:t>
      </w:r>
      <w:bookmarkEnd w:id="1645"/>
      <w:bookmarkEnd w:id="1646"/>
      <w:bookmarkEnd w:id="1647"/>
    </w:p>
    <w:p w:rsidR="00061111" w:rsidRDefault="00061111" w:rsidP="00F843E4">
      <w:pPr>
        <w:autoSpaceDE w:val="0"/>
        <w:autoSpaceDN w:val="0"/>
        <w:adjustRightInd w:val="0"/>
        <w:spacing w:before="120" w:after="240" w:line="240" w:lineRule="auto"/>
        <w:rPr>
          <w:rFonts w:cs="Arial"/>
          <w:szCs w:val="22"/>
        </w:rPr>
      </w:pPr>
      <w:r w:rsidRPr="00061111">
        <w:rPr>
          <w:rFonts w:cs="Arial"/>
          <w:szCs w:val="22"/>
        </w:rPr>
        <w:t>As ações realizadas no Programa de Recomposição da Infraestrutura (Estradas e LT de distribuição de Energia) deverão ser registradas em relatórios mensais de andamento indicando as atividades desenvolvidas e o atendimento do cronograma da atividade.</w:t>
      </w:r>
    </w:p>
    <w:p w:rsidR="00A83C5A" w:rsidRPr="00FC4658" w:rsidRDefault="00A83C5A" w:rsidP="00431A97">
      <w:pPr>
        <w:pStyle w:val="Ttulo3"/>
        <w:numPr>
          <w:ilvl w:val="2"/>
          <w:numId w:val="71"/>
        </w:numPr>
        <w:rPr>
          <w:rFonts w:ascii="Arial Negrito" w:hAnsi="Arial Negrito"/>
          <w:bCs/>
        </w:rPr>
      </w:pPr>
      <w:bookmarkStart w:id="1648" w:name="_Toc418758606"/>
      <w:bookmarkStart w:id="1649" w:name="_Toc418759208"/>
      <w:bookmarkStart w:id="1650" w:name="_Toc419813993"/>
      <w:r w:rsidRPr="00FC4658">
        <w:rPr>
          <w:rFonts w:ascii="Arial Negrito" w:hAnsi="Arial Negrito"/>
          <w:bCs/>
        </w:rPr>
        <w:t>Pro</w:t>
      </w:r>
      <w:r w:rsidR="00F843E4" w:rsidRPr="00FC4658">
        <w:rPr>
          <w:rFonts w:ascii="Arial Negrito" w:hAnsi="Arial Negrito"/>
          <w:bCs/>
        </w:rPr>
        <w:t>grama de Limpeza da Área de Inundação</w:t>
      </w:r>
      <w:bookmarkEnd w:id="1648"/>
      <w:bookmarkEnd w:id="1649"/>
      <w:bookmarkEnd w:id="1650"/>
    </w:p>
    <w:p w:rsidR="00F843E4" w:rsidRPr="00FC4658" w:rsidRDefault="00F843E4" w:rsidP="00431A97">
      <w:pPr>
        <w:pStyle w:val="Ttulo3"/>
        <w:numPr>
          <w:ilvl w:val="3"/>
          <w:numId w:val="71"/>
        </w:numPr>
        <w:rPr>
          <w:rFonts w:ascii="Arial Negrito" w:hAnsi="Arial Negrito"/>
          <w:bCs/>
        </w:rPr>
      </w:pPr>
      <w:bookmarkStart w:id="1651" w:name="_Toc418758607"/>
      <w:bookmarkStart w:id="1652" w:name="_Toc418759209"/>
      <w:bookmarkStart w:id="1653" w:name="_Toc419813994"/>
      <w:r w:rsidRPr="00FC4658">
        <w:rPr>
          <w:rFonts w:ascii="Arial Negrito" w:hAnsi="Arial Negrito"/>
          <w:bCs/>
        </w:rPr>
        <w:t>Apresentação e Justificativa</w:t>
      </w:r>
      <w:bookmarkEnd w:id="1651"/>
      <w:bookmarkEnd w:id="1652"/>
      <w:bookmarkEnd w:id="1653"/>
    </w:p>
    <w:p w:rsidR="00F843E4" w:rsidRDefault="00F843E4" w:rsidP="00F843E4">
      <w:pPr>
        <w:widowControl w:val="0"/>
        <w:autoSpaceDE w:val="0"/>
        <w:autoSpaceDN w:val="0"/>
        <w:adjustRightInd w:val="0"/>
        <w:spacing w:before="120" w:after="120" w:line="240" w:lineRule="auto"/>
        <w:rPr>
          <w:rFonts w:cs="Arial"/>
        </w:rPr>
      </w:pPr>
      <w:r>
        <w:rPr>
          <w:rFonts w:cs="Arial"/>
        </w:rPr>
        <w:t xml:space="preserve">A formação do reservatório se constitui num momento crítico em relação à degradação da qualidade da água, principalmente pela biodegradação da biomassa a ser inundada, mas também pela possibilidade de contaminação da água por outras fontes de contaminação decorrentes da ocupação antropica e atividades agropecuárias desenvolvidas na área inundada, tais como a presença de fossas domésticas (negras e sépticas), depósitos de lixo, áreas de currais, estábulos, aviários, pocilgas, e outras fontes de contaminação, as quais deverão ser demolidas, retiradas, e as áreas ocupadas desinfetadas e neutralizadas para evitar a contaminação da água do reservatório. </w:t>
      </w:r>
    </w:p>
    <w:p w:rsidR="00F843E4" w:rsidRDefault="00F843E4" w:rsidP="00F843E4">
      <w:pPr>
        <w:spacing w:before="120" w:after="120" w:line="240" w:lineRule="auto"/>
        <w:rPr>
          <w:rFonts w:cs="Arial"/>
        </w:rPr>
      </w:pPr>
      <w:r>
        <w:rPr>
          <w:rFonts w:cs="Arial"/>
        </w:rPr>
        <w:t>Ainda que não ligados a problemas de contaminação, mas as construções e instalações existentes na área a ser inundada, e que possam vir a interferir com a paisagem e a segurança nos possíveis usos dos futuros reservatórios, deverão ser desmontadas e retiradas da área.</w:t>
      </w:r>
    </w:p>
    <w:p w:rsidR="00F843E4" w:rsidRPr="00FC4658" w:rsidRDefault="00F843E4" w:rsidP="00431A97">
      <w:pPr>
        <w:pStyle w:val="Ttulo3"/>
        <w:numPr>
          <w:ilvl w:val="3"/>
          <w:numId w:val="71"/>
        </w:numPr>
        <w:rPr>
          <w:rFonts w:ascii="Arial Negrito" w:hAnsi="Arial Negrito"/>
          <w:bCs/>
        </w:rPr>
      </w:pPr>
      <w:bookmarkStart w:id="1654" w:name="_Toc418758608"/>
      <w:bookmarkStart w:id="1655" w:name="_Toc418759210"/>
      <w:bookmarkStart w:id="1656" w:name="_Toc419813995"/>
      <w:r w:rsidRPr="00FC4658">
        <w:rPr>
          <w:rFonts w:ascii="Arial Negrito" w:hAnsi="Arial Negrito"/>
          <w:bCs/>
        </w:rPr>
        <w:t>Objetivos</w:t>
      </w:r>
      <w:bookmarkEnd w:id="1654"/>
      <w:bookmarkEnd w:id="1655"/>
      <w:bookmarkEnd w:id="1656"/>
    </w:p>
    <w:p w:rsidR="00F843E4" w:rsidRPr="00CB4563" w:rsidRDefault="00F843E4" w:rsidP="00F843E4">
      <w:pPr>
        <w:widowControl w:val="0"/>
        <w:autoSpaceDE w:val="0"/>
        <w:autoSpaceDN w:val="0"/>
        <w:adjustRightInd w:val="0"/>
        <w:spacing w:before="120" w:after="120" w:line="240" w:lineRule="auto"/>
        <w:rPr>
          <w:rFonts w:cs="Arial"/>
        </w:rPr>
      </w:pPr>
      <w:r>
        <w:rPr>
          <w:rFonts w:cs="Arial"/>
        </w:rPr>
        <w:t>Os objetivos específicos deste subprograma são:</w:t>
      </w:r>
    </w:p>
    <w:p w:rsidR="00F843E4" w:rsidRDefault="00F843E4" w:rsidP="00F94909">
      <w:pPr>
        <w:pStyle w:val="Item-Trainho"/>
      </w:pPr>
      <w:r>
        <w:t>Redução da possibilidade de contaminação da água dos futuros reservatórios, eliminando as fontes pontuais de poluição da água, decorrentes da ocupação humana e das atividades econômicas desenvolvidas na área, principalmente da criação de animais.</w:t>
      </w:r>
    </w:p>
    <w:p w:rsidR="00F843E4" w:rsidRDefault="00F843E4" w:rsidP="00F94909">
      <w:pPr>
        <w:pStyle w:val="Item-Trainho"/>
      </w:pPr>
      <w:r>
        <w:t xml:space="preserve">Retirada de </w:t>
      </w:r>
      <w:r w:rsidR="005302A3">
        <w:t>instalações existentes n</w:t>
      </w:r>
      <w:r>
        <w:t>as áreas a serem ocupadas pelos futuros reservatórios e que ficarã</w:t>
      </w:r>
      <w:r w:rsidR="005302A3">
        <w:t>o total ou parcialmente submersa</w:t>
      </w:r>
      <w:r>
        <w:t xml:space="preserve">s podendo, mais tarde, </w:t>
      </w:r>
      <w:r w:rsidRPr="00F843E4">
        <w:t xml:space="preserve">interferir na paisagem e na segurança, </w:t>
      </w:r>
      <w:r>
        <w:t xml:space="preserve">em função dos prováveis usos múltiplos dos futuros reservatórios. </w:t>
      </w:r>
      <w:r w:rsidRPr="00F843E4">
        <w:t>Construções e instalações como casas, galpões, cercas, postes, e outras instalações</w:t>
      </w:r>
      <w:r>
        <w:t>, deverão se</w:t>
      </w:r>
      <w:r w:rsidR="00CA38B2">
        <w:t>r demolidas e retiradas da área.</w:t>
      </w:r>
    </w:p>
    <w:p w:rsidR="00CA38B2" w:rsidRDefault="00CA38B2" w:rsidP="00F94909">
      <w:pPr>
        <w:pStyle w:val="Item-Trainho"/>
      </w:pPr>
      <w:r>
        <w:t xml:space="preserve">Desativação, desmontagem e retirada da área das máquinas, instalações elétricas e demais equipamentos das PCHs Macaco Branco (2,36 MW) e Feixos (1,15 MW) da área a ser ocupada pelos futuros reservatórios. </w:t>
      </w:r>
    </w:p>
    <w:p w:rsidR="00F843E4" w:rsidRPr="00F843E4" w:rsidRDefault="005302A3" w:rsidP="00F94909">
      <w:pPr>
        <w:pStyle w:val="Item-Trainho"/>
      </w:pPr>
      <w:r>
        <w:t xml:space="preserve">Adequar a área para futura </w:t>
      </w:r>
      <w:r w:rsidR="00F843E4" w:rsidRPr="00F843E4">
        <w:t>utilização do</w:t>
      </w:r>
      <w:r w:rsidR="00CA38B2">
        <w:t>s</w:t>
      </w:r>
      <w:r w:rsidR="00F843E4" w:rsidRPr="00F843E4">
        <w:t xml:space="preserve"> reservatório</w:t>
      </w:r>
      <w:r w:rsidR="00CA38B2">
        <w:t>s</w:t>
      </w:r>
      <w:r w:rsidR="00F843E4" w:rsidRPr="00F843E4">
        <w:t xml:space="preserve"> em atividades de recreação e lazer</w:t>
      </w:r>
      <w:r w:rsidR="00F843E4">
        <w:t>.</w:t>
      </w:r>
    </w:p>
    <w:p w:rsidR="00F843E4" w:rsidRPr="00FC4658" w:rsidRDefault="00F843E4" w:rsidP="00431A97">
      <w:pPr>
        <w:pStyle w:val="Ttulo3"/>
        <w:numPr>
          <w:ilvl w:val="3"/>
          <w:numId w:val="71"/>
        </w:numPr>
        <w:rPr>
          <w:rFonts w:ascii="Arial Negrito" w:hAnsi="Arial Negrito"/>
          <w:bCs/>
        </w:rPr>
      </w:pPr>
      <w:bookmarkStart w:id="1657" w:name="_Toc418758609"/>
      <w:bookmarkStart w:id="1658" w:name="_Toc418759211"/>
      <w:bookmarkStart w:id="1659" w:name="_Toc419813996"/>
      <w:r w:rsidRPr="00FC4658">
        <w:rPr>
          <w:rFonts w:ascii="Arial Negrito" w:hAnsi="Arial Negrito"/>
          <w:bCs/>
        </w:rPr>
        <w:t>Metas</w:t>
      </w:r>
      <w:bookmarkEnd w:id="1657"/>
      <w:bookmarkEnd w:id="1658"/>
      <w:bookmarkEnd w:id="1659"/>
    </w:p>
    <w:p w:rsidR="00F843E4" w:rsidRDefault="00F843E4" w:rsidP="005302A3">
      <w:pPr>
        <w:widowControl w:val="0"/>
        <w:autoSpaceDE w:val="0"/>
        <w:autoSpaceDN w:val="0"/>
        <w:adjustRightInd w:val="0"/>
        <w:spacing w:before="120" w:after="120" w:line="240" w:lineRule="auto"/>
        <w:rPr>
          <w:rFonts w:cs="Arial"/>
        </w:rPr>
      </w:pPr>
      <w:r>
        <w:rPr>
          <w:rFonts w:cs="Arial"/>
        </w:rPr>
        <w:t xml:space="preserve">Eliminar, antes da fase de enchimento dos reservatórios, de todos os possíveis focos pontuais de contaminação da água, como também as construções e instalações existentes nas áreas a serem ocupadas pelos futuros reservatórios das Barragens Pedreira e Duas Pontes. </w:t>
      </w:r>
    </w:p>
    <w:p w:rsidR="00F843E4" w:rsidRPr="00FC4658" w:rsidRDefault="00F843E4" w:rsidP="00431A97">
      <w:pPr>
        <w:pStyle w:val="Ttulo3"/>
        <w:numPr>
          <w:ilvl w:val="3"/>
          <w:numId w:val="71"/>
        </w:numPr>
        <w:rPr>
          <w:rFonts w:ascii="Arial Negrito" w:hAnsi="Arial Negrito"/>
          <w:bCs/>
        </w:rPr>
      </w:pPr>
      <w:bookmarkStart w:id="1660" w:name="_Toc418758610"/>
      <w:bookmarkStart w:id="1661" w:name="_Toc418759212"/>
      <w:bookmarkStart w:id="1662" w:name="_Toc419813997"/>
      <w:r w:rsidRPr="00FC4658">
        <w:rPr>
          <w:rFonts w:ascii="Arial Negrito" w:hAnsi="Arial Negrito"/>
          <w:bCs/>
        </w:rPr>
        <w:t>Público-alvo</w:t>
      </w:r>
      <w:bookmarkEnd w:id="1660"/>
      <w:bookmarkEnd w:id="1661"/>
      <w:bookmarkEnd w:id="1662"/>
    </w:p>
    <w:p w:rsidR="00F843E4" w:rsidRDefault="005302A3" w:rsidP="00CA38B2">
      <w:pPr>
        <w:widowControl w:val="0"/>
        <w:autoSpaceDE w:val="0"/>
        <w:autoSpaceDN w:val="0"/>
        <w:adjustRightInd w:val="0"/>
        <w:spacing w:before="120" w:after="120" w:line="240" w:lineRule="auto"/>
        <w:rPr>
          <w:rFonts w:cs="Arial"/>
        </w:rPr>
      </w:pPr>
      <w:r>
        <w:rPr>
          <w:rFonts w:cs="Arial"/>
        </w:rPr>
        <w:t>Os futuros usuários dos recursos hídricos e a</w:t>
      </w:r>
      <w:r w:rsidR="00F843E4">
        <w:rPr>
          <w:rFonts w:cs="Arial"/>
        </w:rPr>
        <w:t xml:space="preserve"> comunidade em geral que possa vir a se utilizar </w:t>
      </w:r>
      <w:r>
        <w:rPr>
          <w:rFonts w:cs="Arial"/>
        </w:rPr>
        <w:t>dos</w:t>
      </w:r>
      <w:r w:rsidR="00F843E4">
        <w:rPr>
          <w:rFonts w:cs="Arial"/>
        </w:rPr>
        <w:t xml:space="preserve"> reservatórios para recreação e lazer. </w:t>
      </w:r>
    </w:p>
    <w:p w:rsidR="00F843E4" w:rsidRPr="00FC4658" w:rsidRDefault="00F843E4" w:rsidP="00431A97">
      <w:pPr>
        <w:pStyle w:val="Ttulo3"/>
        <w:numPr>
          <w:ilvl w:val="3"/>
          <w:numId w:val="71"/>
        </w:numPr>
        <w:rPr>
          <w:rFonts w:ascii="Arial Negrito" w:hAnsi="Arial Negrito"/>
          <w:bCs/>
        </w:rPr>
      </w:pPr>
      <w:bookmarkStart w:id="1663" w:name="_Toc418758611"/>
      <w:bookmarkStart w:id="1664" w:name="_Toc418759213"/>
      <w:bookmarkStart w:id="1665" w:name="_Toc419813998"/>
      <w:r w:rsidRPr="00FC4658">
        <w:rPr>
          <w:rFonts w:ascii="Arial Negrito" w:hAnsi="Arial Negrito"/>
          <w:bCs/>
        </w:rPr>
        <w:t>Métodos e descrição do programa (procedimentos)</w:t>
      </w:r>
      <w:bookmarkEnd w:id="1663"/>
      <w:bookmarkEnd w:id="1664"/>
      <w:bookmarkEnd w:id="1665"/>
    </w:p>
    <w:p w:rsidR="00F843E4" w:rsidRDefault="00F843E4" w:rsidP="00F843E4">
      <w:pPr>
        <w:pStyle w:val="Corpodetexto"/>
      </w:pPr>
      <w:r>
        <w:t xml:space="preserve">A implementação deste programa deverá ser iniciado pela identificação e seleção das construções que deverão ser demolidas e das fontes de contaminação a serem retiradas ou neutralizadas. </w:t>
      </w:r>
    </w:p>
    <w:p w:rsidR="00F843E4" w:rsidRDefault="00F843E4" w:rsidP="00F843E4">
      <w:pPr>
        <w:pStyle w:val="Corpodetexto"/>
      </w:pPr>
      <w:r>
        <w:t>Após a desocupação e demolição das construções deverá ser realizada a neutralização e desinfecção dos focos de contaminação por equipes especializadas.</w:t>
      </w:r>
    </w:p>
    <w:p w:rsidR="00F843E4" w:rsidRPr="00281DEE" w:rsidRDefault="00F843E4" w:rsidP="00F843E4">
      <w:pPr>
        <w:pStyle w:val="p10"/>
        <w:rPr>
          <w:rFonts w:cs="Arial"/>
          <w:szCs w:val="22"/>
        </w:rPr>
      </w:pPr>
      <w:r>
        <w:rPr>
          <w:rFonts w:cs="Arial"/>
          <w:szCs w:val="22"/>
        </w:rPr>
        <w:t>A</w:t>
      </w:r>
      <w:r w:rsidRPr="00281DEE">
        <w:rPr>
          <w:rFonts w:cs="Arial"/>
          <w:szCs w:val="22"/>
        </w:rPr>
        <w:t xml:space="preserve">lgumas diretrizes para o saneamento das áreas onde se localizam </w:t>
      </w:r>
      <w:r>
        <w:rPr>
          <w:rFonts w:cs="Arial"/>
          <w:szCs w:val="22"/>
        </w:rPr>
        <w:t>focos de contaminação seriam:</w:t>
      </w:r>
    </w:p>
    <w:p w:rsidR="00F843E4" w:rsidRPr="00BD4F3A" w:rsidRDefault="00F843E4" w:rsidP="00F94909">
      <w:pPr>
        <w:pStyle w:val="Item-Bolinha"/>
      </w:pPr>
      <w:r w:rsidRPr="00BD4F3A">
        <w:t xml:space="preserve">Residências, </w:t>
      </w:r>
      <w:r>
        <w:t xml:space="preserve">galpões e outras edificações semelhantes, </w:t>
      </w:r>
      <w:r w:rsidRPr="00BD4F3A">
        <w:t>devem ser demolidas e retiradas da área de inundação. Normalm</w:t>
      </w:r>
      <w:r>
        <w:t>ente são edificações</w:t>
      </w:r>
      <w:r w:rsidRPr="00BD4F3A">
        <w:t xml:space="preserve"> fáceis de serem desmontadas e</w:t>
      </w:r>
      <w:r>
        <w:t>, o material aproveitável, pode ser levado</w:t>
      </w:r>
      <w:r w:rsidRPr="00BD4F3A">
        <w:t xml:space="preserve"> pelos proprietários</w:t>
      </w:r>
      <w:r>
        <w:t>.</w:t>
      </w:r>
    </w:p>
    <w:p w:rsidR="00F843E4" w:rsidRPr="00BD4F3A" w:rsidRDefault="00F843E4" w:rsidP="00F94909">
      <w:pPr>
        <w:pStyle w:val="Item-Bolinha"/>
      </w:pPr>
      <w:r>
        <w:t xml:space="preserve">Currais, pocilgas e aviários devem ser desmontados e retirados. Em relação à área </w:t>
      </w:r>
      <w:r w:rsidRPr="00BD4F3A">
        <w:t>onde se instalam estas edificações</w:t>
      </w:r>
      <w:r>
        <w:t>,</w:t>
      </w:r>
      <w:r w:rsidRPr="00BD4F3A">
        <w:t xml:space="preserve"> </w:t>
      </w:r>
      <w:r>
        <w:t xml:space="preserve">devido à contaminação </w:t>
      </w:r>
      <w:r w:rsidRPr="00BD4F3A">
        <w:t>por excessivas concentrações de matéria orgânica, recomenda-se o recobrimento com cal e o posterior aterramento com uma camada de aproximadamente 1</w:t>
      </w:r>
      <w:r>
        <w:t>,00</w:t>
      </w:r>
      <w:r w:rsidRPr="00BD4F3A">
        <w:t xml:space="preserve"> metro de solo argiloso.</w:t>
      </w:r>
    </w:p>
    <w:p w:rsidR="00F843E4" w:rsidRDefault="00F843E4" w:rsidP="00F94909">
      <w:pPr>
        <w:pStyle w:val="Item-Bolinha"/>
      </w:pPr>
      <w:r>
        <w:t xml:space="preserve">As Fossas </w:t>
      </w:r>
      <w:r w:rsidRPr="00BD4F3A">
        <w:t>devem ser inicialmente recobert</w:t>
      </w:r>
      <w:r>
        <w:t>o</w:t>
      </w:r>
      <w:r w:rsidRPr="00BD4F3A">
        <w:t>s com cal e posteriormente aterradas. Recomenda-se ainda que as camadas superficiais do aterro sejam feitas com material argiloso de baixa porosidade.</w:t>
      </w:r>
    </w:p>
    <w:p w:rsidR="00F843E4" w:rsidRPr="00B41BBC" w:rsidRDefault="00F843E4" w:rsidP="00F94909">
      <w:pPr>
        <w:pStyle w:val="Item-Bolinha"/>
      </w:pPr>
      <w:r>
        <w:t xml:space="preserve">Os Depósitos de lixo doméstico deverão ser enterrados em valetas com profundidade de 1,00m. </w:t>
      </w:r>
    </w:p>
    <w:p w:rsidR="00F843E4" w:rsidRPr="00FC4658" w:rsidRDefault="00F843E4" w:rsidP="00431A97">
      <w:pPr>
        <w:pStyle w:val="Ttulo3"/>
        <w:numPr>
          <w:ilvl w:val="3"/>
          <w:numId w:val="71"/>
        </w:numPr>
        <w:rPr>
          <w:rFonts w:ascii="Arial Negrito" w:hAnsi="Arial Negrito"/>
          <w:bCs/>
        </w:rPr>
      </w:pPr>
      <w:bookmarkStart w:id="1666" w:name="_Toc418758612"/>
      <w:bookmarkStart w:id="1667" w:name="_Toc418759214"/>
      <w:bookmarkStart w:id="1668" w:name="_Toc419813999"/>
      <w:r w:rsidRPr="00FC4658">
        <w:rPr>
          <w:rFonts w:ascii="Arial Negrito" w:hAnsi="Arial Negrito"/>
          <w:bCs/>
        </w:rPr>
        <w:t>Indicadores Ambientais</w:t>
      </w:r>
      <w:bookmarkEnd w:id="1666"/>
      <w:bookmarkEnd w:id="1667"/>
      <w:bookmarkEnd w:id="1668"/>
    </w:p>
    <w:p w:rsidR="00F843E4" w:rsidRDefault="00F843E4" w:rsidP="005302A3">
      <w:pPr>
        <w:widowControl w:val="0"/>
        <w:autoSpaceDE w:val="0"/>
        <w:autoSpaceDN w:val="0"/>
        <w:adjustRightInd w:val="0"/>
        <w:spacing w:before="120" w:after="120" w:line="240" w:lineRule="auto"/>
        <w:rPr>
          <w:rFonts w:cs="Arial"/>
          <w:spacing w:val="-2"/>
        </w:rPr>
      </w:pPr>
      <w:r w:rsidRPr="005302A3">
        <w:rPr>
          <w:rFonts w:cs="Arial"/>
          <w:spacing w:val="-2"/>
        </w:rPr>
        <w:t>Como indicador ambiental será utilizado a eficiência na aplicação das diretrizes, procedimentos e critérios recomendados para execução das ações do programa, do uso das normas técnicas pelas equipes executoras e das regras aplicáveis.</w:t>
      </w:r>
    </w:p>
    <w:p w:rsidR="00F843E4" w:rsidRPr="00FC4658" w:rsidRDefault="00F843E4" w:rsidP="00431A97">
      <w:pPr>
        <w:pStyle w:val="Ttulo3"/>
        <w:numPr>
          <w:ilvl w:val="3"/>
          <w:numId w:val="71"/>
        </w:numPr>
        <w:rPr>
          <w:rFonts w:ascii="Arial Negrito" w:hAnsi="Arial Negrito"/>
          <w:bCs/>
        </w:rPr>
      </w:pPr>
      <w:bookmarkStart w:id="1669" w:name="_Toc418758613"/>
      <w:bookmarkStart w:id="1670" w:name="_Toc418759215"/>
      <w:bookmarkStart w:id="1671" w:name="_Toc419814000"/>
      <w:r w:rsidRPr="00FC4658">
        <w:rPr>
          <w:rFonts w:ascii="Arial Negrito" w:hAnsi="Arial Negrito"/>
          <w:bCs/>
        </w:rPr>
        <w:t>Recursos Materiais e Humanos</w:t>
      </w:r>
      <w:bookmarkEnd w:id="1669"/>
      <w:bookmarkEnd w:id="1670"/>
      <w:bookmarkEnd w:id="1671"/>
    </w:p>
    <w:p w:rsidR="00F843E4" w:rsidRPr="005302A3" w:rsidRDefault="00F843E4" w:rsidP="005302A3">
      <w:pPr>
        <w:widowControl w:val="0"/>
        <w:autoSpaceDE w:val="0"/>
        <w:autoSpaceDN w:val="0"/>
        <w:adjustRightInd w:val="0"/>
        <w:spacing w:before="120" w:after="120" w:line="240" w:lineRule="auto"/>
        <w:rPr>
          <w:rFonts w:cs="Arial"/>
          <w:spacing w:val="-2"/>
        </w:rPr>
      </w:pPr>
      <w:r w:rsidRPr="005302A3">
        <w:rPr>
          <w:rFonts w:cs="Arial"/>
          <w:spacing w:val="-2"/>
        </w:rPr>
        <w:t>A eliminação dos focos localizados de poluição e retirada de edificações e instalações localizadas nas áreas dos reservatórios estará dentro do âmbito das atividades e responsabilidades da equipe do Programa de Controle Ambiental da Obra, o qual contará com supervisão técnica,</w:t>
      </w:r>
      <w:r w:rsidR="005302A3">
        <w:rPr>
          <w:rFonts w:cs="Arial"/>
          <w:spacing w:val="-2"/>
        </w:rPr>
        <w:t xml:space="preserve"> </w:t>
      </w:r>
      <w:r w:rsidRPr="005302A3">
        <w:rPr>
          <w:rFonts w:cs="Arial"/>
          <w:spacing w:val="-2"/>
        </w:rPr>
        <w:t>mão de obra, equipamentos, insumos e recursos materiais necessários para a execução das atividades.</w:t>
      </w:r>
    </w:p>
    <w:p w:rsidR="00F843E4" w:rsidRPr="00FC4658" w:rsidRDefault="00F843E4" w:rsidP="00431A97">
      <w:pPr>
        <w:pStyle w:val="Ttulo3"/>
        <w:numPr>
          <w:ilvl w:val="3"/>
          <w:numId w:val="71"/>
        </w:numPr>
        <w:rPr>
          <w:rFonts w:ascii="Arial Negrito" w:hAnsi="Arial Negrito"/>
          <w:bCs/>
        </w:rPr>
      </w:pPr>
      <w:bookmarkStart w:id="1672" w:name="_Toc418758614"/>
      <w:bookmarkStart w:id="1673" w:name="_Toc418759216"/>
      <w:bookmarkStart w:id="1674" w:name="_Toc419814001"/>
      <w:r w:rsidRPr="00FC4658">
        <w:rPr>
          <w:rFonts w:ascii="Arial Negrito" w:hAnsi="Arial Negrito"/>
          <w:bCs/>
        </w:rPr>
        <w:t>Atendimento a Requisitos Legais e/ou Outros Requisitos</w:t>
      </w:r>
      <w:bookmarkEnd w:id="1672"/>
      <w:bookmarkEnd w:id="1673"/>
      <w:bookmarkEnd w:id="1674"/>
    </w:p>
    <w:p w:rsidR="00F843E4" w:rsidRPr="005302A3" w:rsidRDefault="00F843E4" w:rsidP="005302A3">
      <w:pPr>
        <w:widowControl w:val="0"/>
        <w:autoSpaceDE w:val="0"/>
        <w:autoSpaceDN w:val="0"/>
        <w:adjustRightInd w:val="0"/>
        <w:spacing w:before="120" w:after="120" w:line="240" w:lineRule="auto"/>
        <w:rPr>
          <w:rFonts w:cs="Arial"/>
          <w:spacing w:val="-2"/>
        </w:rPr>
      </w:pPr>
      <w:r w:rsidRPr="005302A3">
        <w:rPr>
          <w:rFonts w:cs="Arial"/>
          <w:spacing w:val="-2"/>
        </w:rPr>
        <w:t xml:space="preserve">Em relação aos aspectos legais, o programa em questão atende ao Termo de Referência emitido pelo DAIA (Parecer Técnico </w:t>
      </w:r>
      <w:r w:rsidR="003E4CBD">
        <w:rPr>
          <w:rFonts w:eastAsia="Batang"/>
          <w:lang w:eastAsia="en-US"/>
        </w:rPr>
        <w:t>n</w:t>
      </w:r>
      <w:r w:rsidR="003E4CBD">
        <w:rPr>
          <w:rFonts w:eastAsia="Batang"/>
          <w:u w:val="single"/>
          <w:vertAlign w:val="superscript"/>
          <w:lang w:eastAsia="en-US"/>
        </w:rPr>
        <w:t>o</w:t>
      </w:r>
      <w:r w:rsidRPr="005302A3">
        <w:rPr>
          <w:rFonts w:cs="Arial"/>
          <w:spacing w:val="-2"/>
        </w:rPr>
        <w:t xml:space="preserve"> 410/13/IE -2013, Processo 189/13). </w:t>
      </w:r>
    </w:p>
    <w:p w:rsidR="00F843E4" w:rsidRPr="00FC4658" w:rsidRDefault="00F843E4" w:rsidP="00431A97">
      <w:pPr>
        <w:pStyle w:val="Ttulo3"/>
        <w:numPr>
          <w:ilvl w:val="3"/>
          <w:numId w:val="71"/>
        </w:numPr>
        <w:rPr>
          <w:rFonts w:ascii="Arial Negrito" w:hAnsi="Arial Negrito"/>
          <w:bCs/>
        </w:rPr>
      </w:pPr>
      <w:bookmarkStart w:id="1675" w:name="_Toc418758615"/>
      <w:bookmarkStart w:id="1676" w:name="_Toc418759217"/>
      <w:bookmarkStart w:id="1677" w:name="_Toc419814002"/>
      <w:r w:rsidRPr="00FC4658">
        <w:rPr>
          <w:rFonts w:ascii="Arial Negrito" w:hAnsi="Arial Negrito"/>
          <w:bCs/>
        </w:rPr>
        <w:t>Inter-relação com Outros Planos e Programas</w:t>
      </w:r>
      <w:bookmarkEnd w:id="1675"/>
      <w:bookmarkEnd w:id="1676"/>
      <w:bookmarkEnd w:id="1677"/>
    </w:p>
    <w:p w:rsidR="00F843E4" w:rsidRPr="005302A3" w:rsidRDefault="00F843E4" w:rsidP="005302A3">
      <w:pPr>
        <w:widowControl w:val="0"/>
        <w:autoSpaceDE w:val="0"/>
        <w:autoSpaceDN w:val="0"/>
        <w:adjustRightInd w:val="0"/>
        <w:spacing w:before="120" w:after="120" w:line="240" w:lineRule="auto"/>
        <w:rPr>
          <w:rFonts w:cs="Arial"/>
          <w:spacing w:val="-2"/>
        </w:rPr>
      </w:pPr>
      <w:r w:rsidRPr="005302A3">
        <w:rPr>
          <w:rFonts w:cs="Arial"/>
          <w:spacing w:val="-2"/>
        </w:rPr>
        <w:t>A demolição e/ou retirada das construções ou obstáculos deverá ser coordenada com o programa de relocação da população, principalmente os respectivos cronogramas de modo a concluir as ações antes da fase de enchimento dos reservatórios.</w:t>
      </w:r>
    </w:p>
    <w:p w:rsidR="00F843E4" w:rsidRPr="005302A3" w:rsidRDefault="00F843E4" w:rsidP="005302A3">
      <w:pPr>
        <w:widowControl w:val="0"/>
        <w:autoSpaceDE w:val="0"/>
        <w:autoSpaceDN w:val="0"/>
        <w:adjustRightInd w:val="0"/>
        <w:spacing w:before="120" w:after="120" w:line="240" w:lineRule="auto"/>
        <w:rPr>
          <w:rFonts w:cs="Arial"/>
          <w:spacing w:val="-2"/>
        </w:rPr>
      </w:pPr>
      <w:r w:rsidRPr="005302A3">
        <w:rPr>
          <w:rFonts w:cs="Arial"/>
          <w:spacing w:val="-2"/>
        </w:rPr>
        <w:t xml:space="preserve">Outros programas ambientais inter-relacionados são de Monitoramento da Qualidade da Água, </w:t>
      </w:r>
      <w:r w:rsidR="005302A3">
        <w:rPr>
          <w:rFonts w:cs="Arial"/>
          <w:spacing w:val="-2"/>
        </w:rPr>
        <w:t>Comunicação e Interação Social.</w:t>
      </w:r>
    </w:p>
    <w:p w:rsidR="00F843E4" w:rsidRPr="00FC4658" w:rsidRDefault="00F843E4" w:rsidP="00431A97">
      <w:pPr>
        <w:pStyle w:val="Ttulo3"/>
        <w:numPr>
          <w:ilvl w:val="3"/>
          <w:numId w:val="71"/>
        </w:numPr>
        <w:rPr>
          <w:rFonts w:ascii="Arial Negrito" w:hAnsi="Arial Negrito"/>
          <w:bCs/>
        </w:rPr>
      </w:pPr>
      <w:bookmarkStart w:id="1678" w:name="_Toc418758616"/>
      <w:bookmarkStart w:id="1679" w:name="_Toc418759218"/>
      <w:bookmarkStart w:id="1680" w:name="_Toc419814003"/>
      <w:r w:rsidRPr="00FC4658">
        <w:rPr>
          <w:rFonts w:ascii="Arial Negrito" w:hAnsi="Arial Negrito"/>
          <w:bCs/>
        </w:rPr>
        <w:t>Etapa dos Empreendimentos</w:t>
      </w:r>
      <w:bookmarkEnd w:id="1678"/>
      <w:bookmarkEnd w:id="1679"/>
      <w:bookmarkEnd w:id="1680"/>
    </w:p>
    <w:p w:rsidR="00F843E4" w:rsidRDefault="00F843E4" w:rsidP="005302A3">
      <w:pPr>
        <w:widowControl w:val="0"/>
        <w:autoSpaceDE w:val="0"/>
        <w:autoSpaceDN w:val="0"/>
        <w:adjustRightInd w:val="0"/>
        <w:spacing w:before="120" w:after="120" w:line="240" w:lineRule="auto"/>
        <w:rPr>
          <w:rFonts w:cs="Arial"/>
          <w:spacing w:val="-2"/>
        </w:rPr>
      </w:pPr>
      <w:r w:rsidRPr="005302A3">
        <w:rPr>
          <w:rFonts w:cs="Arial"/>
          <w:spacing w:val="-2"/>
        </w:rPr>
        <w:t>As atividades que compõem o Programa de Limpeza da Área de Inundação (relacionado com a limpeza de áreas contaminadas e demolição de edificações) serão realizadas na Fase de Implantação das Barragens Pedreira e Duas Pontes.</w:t>
      </w:r>
    </w:p>
    <w:p w:rsidR="00F843E4" w:rsidRPr="005302A3" w:rsidRDefault="00F843E4" w:rsidP="005302A3">
      <w:pPr>
        <w:widowControl w:val="0"/>
        <w:autoSpaceDE w:val="0"/>
        <w:autoSpaceDN w:val="0"/>
        <w:adjustRightInd w:val="0"/>
        <w:spacing w:before="120" w:after="120" w:line="240" w:lineRule="auto"/>
        <w:rPr>
          <w:rFonts w:cs="Arial"/>
          <w:spacing w:val="-2"/>
        </w:rPr>
      </w:pPr>
      <w:r w:rsidRPr="005302A3">
        <w:rPr>
          <w:rFonts w:cs="Arial"/>
          <w:spacing w:val="-2"/>
        </w:rPr>
        <w:t>As etapas a serem realizadas são:</w:t>
      </w:r>
    </w:p>
    <w:p w:rsidR="00F843E4" w:rsidRPr="005302A3" w:rsidRDefault="00F843E4" w:rsidP="00F94909">
      <w:pPr>
        <w:pStyle w:val="Item-Trainho"/>
      </w:pPr>
      <w:r w:rsidRPr="005302A3">
        <w:t>Elaboração de Plano de Trabalho</w:t>
      </w:r>
      <w:r w:rsidR="005302A3">
        <w:t>;</w:t>
      </w:r>
    </w:p>
    <w:p w:rsidR="00F843E4" w:rsidRPr="005302A3" w:rsidRDefault="00F843E4" w:rsidP="00F94909">
      <w:pPr>
        <w:pStyle w:val="Item-Trainho"/>
      </w:pPr>
      <w:r w:rsidRPr="005302A3">
        <w:t>Identificação das fontes de contaminação a serem retiradas e/ou neutralizadas e das construções/instalações que deverão ser demolidas;</w:t>
      </w:r>
    </w:p>
    <w:p w:rsidR="00F843E4" w:rsidRPr="005302A3" w:rsidRDefault="00F843E4" w:rsidP="00F94909">
      <w:pPr>
        <w:pStyle w:val="Item-Trainho"/>
      </w:pPr>
      <w:r w:rsidRPr="005302A3">
        <w:t>Identificação dos locais credenciados para deposição do material a ser retirado da área afetada;</w:t>
      </w:r>
    </w:p>
    <w:p w:rsidR="00F843E4" w:rsidRPr="005302A3" w:rsidRDefault="00F843E4" w:rsidP="00F94909">
      <w:pPr>
        <w:pStyle w:val="Item-Trainho"/>
      </w:pPr>
      <w:r w:rsidRPr="005302A3">
        <w:t>Demolição e retirada das construções/instalações selecionadas;</w:t>
      </w:r>
    </w:p>
    <w:p w:rsidR="00F843E4" w:rsidRPr="005302A3" w:rsidRDefault="00F843E4" w:rsidP="00F94909">
      <w:pPr>
        <w:pStyle w:val="Item-Trainho"/>
      </w:pPr>
      <w:r w:rsidRPr="005302A3">
        <w:t>Execução das ações de neutralização dos focos de contaminação;</w:t>
      </w:r>
    </w:p>
    <w:p w:rsidR="00F843E4" w:rsidRPr="005302A3" w:rsidRDefault="00F843E4" w:rsidP="00F94909">
      <w:pPr>
        <w:pStyle w:val="Item-Trainho"/>
      </w:pPr>
      <w:r w:rsidRPr="005302A3">
        <w:t>Registros das ações realizadas e elaboração de relatório final.</w:t>
      </w:r>
    </w:p>
    <w:p w:rsidR="00F843E4" w:rsidRPr="00FC4658" w:rsidRDefault="00F843E4" w:rsidP="00431A97">
      <w:pPr>
        <w:pStyle w:val="Ttulo3"/>
        <w:numPr>
          <w:ilvl w:val="3"/>
          <w:numId w:val="71"/>
        </w:numPr>
        <w:rPr>
          <w:rFonts w:ascii="Arial Negrito" w:hAnsi="Arial Negrito"/>
          <w:bCs/>
        </w:rPr>
      </w:pPr>
      <w:bookmarkStart w:id="1681" w:name="_Toc418758617"/>
      <w:bookmarkStart w:id="1682" w:name="_Toc418759219"/>
      <w:bookmarkStart w:id="1683" w:name="_Toc419814004"/>
      <w:r w:rsidRPr="00FC4658">
        <w:rPr>
          <w:rFonts w:ascii="Arial Negrito" w:hAnsi="Arial Negrito"/>
          <w:bCs/>
        </w:rPr>
        <w:t>Cronograma de Execução</w:t>
      </w:r>
      <w:bookmarkEnd w:id="1681"/>
      <w:bookmarkEnd w:id="1682"/>
      <w:bookmarkEnd w:id="1683"/>
    </w:p>
    <w:p w:rsidR="00F843E4" w:rsidRPr="005302A3" w:rsidRDefault="00F843E4" w:rsidP="005302A3">
      <w:pPr>
        <w:widowControl w:val="0"/>
        <w:autoSpaceDE w:val="0"/>
        <w:autoSpaceDN w:val="0"/>
        <w:adjustRightInd w:val="0"/>
        <w:spacing w:before="120" w:after="120" w:line="240" w:lineRule="auto"/>
        <w:rPr>
          <w:rFonts w:cs="Arial"/>
          <w:spacing w:val="-2"/>
        </w:rPr>
      </w:pPr>
      <w:r w:rsidRPr="005302A3">
        <w:rPr>
          <w:rFonts w:cs="Arial"/>
          <w:spacing w:val="-2"/>
        </w:rPr>
        <w:t xml:space="preserve">A implementação das atividades do programa deverão ser executadas ao longo da fase de construção das barragens, a medida que os moradores residentes nas áreas a serem inundadas pelos reservatórios das Barragens Pedreira e Duas Pontes se mudem do local. Os trabalhos deverão ser concluídos antes do enchimento do reservatório.  </w:t>
      </w:r>
    </w:p>
    <w:p w:rsidR="00F843E4" w:rsidRPr="00FC4658" w:rsidRDefault="00F843E4" w:rsidP="00431A97">
      <w:pPr>
        <w:pStyle w:val="Ttulo3"/>
        <w:numPr>
          <w:ilvl w:val="3"/>
          <w:numId w:val="71"/>
        </w:numPr>
        <w:rPr>
          <w:rFonts w:ascii="Arial Negrito" w:hAnsi="Arial Negrito"/>
          <w:bCs/>
        </w:rPr>
      </w:pPr>
      <w:bookmarkStart w:id="1684" w:name="_Toc418758618"/>
      <w:bookmarkStart w:id="1685" w:name="_Toc418759220"/>
      <w:bookmarkStart w:id="1686" w:name="_Toc419814005"/>
      <w:r w:rsidRPr="00FC4658">
        <w:rPr>
          <w:rFonts w:ascii="Arial Negrito" w:hAnsi="Arial Negrito"/>
          <w:bCs/>
        </w:rPr>
        <w:t>Responsável pela Implementação do Programa</w:t>
      </w:r>
      <w:bookmarkEnd w:id="1684"/>
      <w:bookmarkEnd w:id="1685"/>
      <w:bookmarkEnd w:id="1686"/>
    </w:p>
    <w:p w:rsidR="00F843E4" w:rsidRPr="00A116F3" w:rsidRDefault="00F843E4" w:rsidP="00F843E4">
      <w:pPr>
        <w:pStyle w:val="SPE-Texto"/>
        <w:spacing w:before="120" w:after="120"/>
        <w:rPr>
          <w:rFonts w:ascii="Arial" w:hAnsi="Arial" w:cs="Arial"/>
          <w:sz w:val="22"/>
          <w:szCs w:val="22"/>
        </w:rPr>
      </w:pPr>
      <w:r w:rsidRPr="00A116F3">
        <w:rPr>
          <w:rFonts w:ascii="Arial" w:hAnsi="Arial" w:cs="Arial"/>
          <w:sz w:val="22"/>
          <w:szCs w:val="22"/>
        </w:rPr>
        <w:t xml:space="preserve">A responsabilidade de implantação do Programa de Limpeza da Área de Inundação (relacionado com a limpeza de áreas contaminadas e demolição de edificações) é do Empreendedor, juntamente com a Empresa Construtora contratada para </w:t>
      </w:r>
      <w:r>
        <w:rPr>
          <w:rFonts w:ascii="Arial" w:hAnsi="Arial" w:cs="Arial"/>
          <w:sz w:val="22"/>
          <w:szCs w:val="22"/>
        </w:rPr>
        <w:t>impar as obras.</w:t>
      </w:r>
    </w:p>
    <w:p w:rsidR="00F843E4" w:rsidRPr="00FC4658" w:rsidRDefault="00F843E4" w:rsidP="00431A97">
      <w:pPr>
        <w:pStyle w:val="Ttulo3"/>
        <w:numPr>
          <w:ilvl w:val="3"/>
          <w:numId w:val="71"/>
        </w:numPr>
        <w:rPr>
          <w:rFonts w:ascii="Arial Negrito" w:hAnsi="Arial Negrito"/>
          <w:bCs/>
        </w:rPr>
      </w:pPr>
      <w:bookmarkStart w:id="1687" w:name="_Toc418758619"/>
      <w:bookmarkStart w:id="1688" w:name="_Toc418759221"/>
      <w:bookmarkStart w:id="1689" w:name="_Toc419814006"/>
      <w:r w:rsidRPr="00FC4658">
        <w:rPr>
          <w:rFonts w:ascii="Arial Negrito" w:hAnsi="Arial Negrito"/>
          <w:bCs/>
        </w:rPr>
        <w:t>Sistemas de Registros</w:t>
      </w:r>
      <w:bookmarkEnd w:id="1687"/>
      <w:bookmarkEnd w:id="1688"/>
      <w:bookmarkEnd w:id="1689"/>
    </w:p>
    <w:p w:rsidR="00F843E4" w:rsidRDefault="00F843E4" w:rsidP="00F843E4">
      <w:pPr>
        <w:pStyle w:val="SPE-Texto"/>
        <w:spacing w:before="120" w:after="120"/>
        <w:rPr>
          <w:rFonts w:ascii="Arial" w:hAnsi="Arial" w:cs="Arial"/>
          <w:sz w:val="22"/>
          <w:szCs w:val="22"/>
        </w:rPr>
      </w:pPr>
      <w:r w:rsidRPr="00A116F3">
        <w:rPr>
          <w:rFonts w:ascii="Arial" w:hAnsi="Arial" w:cs="Arial"/>
          <w:sz w:val="22"/>
          <w:szCs w:val="22"/>
        </w:rPr>
        <w:t xml:space="preserve">Em relação ao Sistema de Registros deverão ser elaborados relatórios mensais internos, </w:t>
      </w:r>
      <w:r>
        <w:rPr>
          <w:rFonts w:ascii="Arial" w:hAnsi="Arial" w:cs="Arial"/>
          <w:sz w:val="22"/>
          <w:szCs w:val="22"/>
        </w:rPr>
        <w:t xml:space="preserve">relatando a </w:t>
      </w:r>
      <w:r w:rsidRPr="00A116F3">
        <w:rPr>
          <w:rFonts w:ascii="Arial" w:hAnsi="Arial" w:cs="Arial"/>
          <w:sz w:val="22"/>
          <w:szCs w:val="22"/>
        </w:rPr>
        <w:t>execução d</w:t>
      </w:r>
      <w:r>
        <w:rPr>
          <w:rFonts w:ascii="Arial" w:hAnsi="Arial" w:cs="Arial"/>
          <w:sz w:val="22"/>
          <w:szCs w:val="22"/>
        </w:rPr>
        <w:t>as</w:t>
      </w:r>
      <w:r w:rsidRPr="00A116F3">
        <w:rPr>
          <w:rFonts w:ascii="Arial" w:hAnsi="Arial" w:cs="Arial"/>
          <w:sz w:val="22"/>
          <w:szCs w:val="22"/>
        </w:rPr>
        <w:t xml:space="preserve"> atividades de eliminação dos focos de contaminação da água e das construções e instalações </w:t>
      </w:r>
      <w:r>
        <w:rPr>
          <w:rFonts w:ascii="Arial" w:hAnsi="Arial" w:cs="Arial"/>
          <w:sz w:val="22"/>
          <w:szCs w:val="22"/>
        </w:rPr>
        <w:t>retiradas</w:t>
      </w:r>
      <w:r w:rsidRPr="00A116F3">
        <w:rPr>
          <w:rFonts w:ascii="Arial" w:hAnsi="Arial" w:cs="Arial"/>
          <w:sz w:val="22"/>
          <w:szCs w:val="22"/>
        </w:rPr>
        <w:t xml:space="preserve"> nas áreas a serem ocupadas pelos futuros reservatórios das Barragens Pedreira e Duas Pontes</w:t>
      </w:r>
      <w:r>
        <w:rPr>
          <w:rFonts w:ascii="Arial" w:hAnsi="Arial" w:cs="Arial"/>
          <w:sz w:val="22"/>
          <w:szCs w:val="22"/>
        </w:rPr>
        <w:t>, relacionando-as com o Plano de Trabalho previamente elaborado:</w:t>
      </w:r>
    </w:p>
    <w:p w:rsidR="00F843E4" w:rsidRDefault="00F843E4" w:rsidP="00F94909">
      <w:pPr>
        <w:pStyle w:val="Item-Bolinha"/>
      </w:pPr>
      <w:r>
        <w:t>Relatório mensal interno de andamento;</w:t>
      </w:r>
    </w:p>
    <w:p w:rsidR="00F843E4" w:rsidRDefault="00F843E4" w:rsidP="00F94909">
      <w:pPr>
        <w:pStyle w:val="Item-Bolinha"/>
      </w:pPr>
      <w:r>
        <w:t xml:space="preserve">Identificação, caracterização dos focos de poluição tratados </w:t>
      </w:r>
      <w:r w:rsidRPr="00812C45">
        <w:t>no período</w:t>
      </w:r>
      <w:r>
        <w:t>, e ações executadas no seu tratamento</w:t>
      </w:r>
      <w:r w:rsidRPr="00812C45">
        <w:t>;</w:t>
      </w:r>
    </w:p>
    <w:p w:rsidR="00F843E4" w:rsidRPr="00A116F3" w:rsidRDefault="00F843E4" w:rsidP="00F94909">
      <w:pPr>
        <w:pStyle w:val="Item-Bolinha"/>
      </w:pPr>
      <w:r>
        <w:t xml:space="preserve">Identificação e caracterização das construções/instalações retiradas </w:t>
      </w:r>
      <w:r w:rsidRPr="00812C45">
        <w:t>no período</w:t>
      </w:r>
      <w:r>
        <w:t xml:space="preserve"> e destino dado ao material retirado</w:t>
      </w:r>
      <w:r w:rsidRPr="00812C45">
        <w:t>;</w:t>
      </w:r>
    </w:p>
    <w:p w:rsidR="00F843E4" w:rsidRPr="00812C45" w:rsidRDefault="00F843E4" w:rsidP="00F94909">
      <w:pPr>
        <w:pStyle w:val="Item-Bolinha"/>
      </w:pPr>
      <w:r w:rsidRPr="00812C45">
        <w:t>Avanço da atividade</w:t>
      </w:r>
      <w:r>
        <w:t xml:space="preserve"> e situação em relação ao cronograma pré-estabelecido;</w:t>
      </w:r>
    </w:p>
    <w:p w:rsidR="00F843E4" w:rsidRPr="00812C45" w:rsidRDefault="00F843E4" w:rsidP="00F94909">
      <w:pPr>
        <w:pStyle w:val="Item-Bolinha"/>
      </w:pPr>
      <w:r w:rsidRPr="00812C45">
        <w:t>Registros fotográficos;</w:t>
      </w:r>
    </w:p>
    <w:p w:rsidR="00F843E4" w:rsidRPr="00812C45" w:rsidRDefault="00F843E4" w:rsidP="00F94909">
      <w:pPr>
        <w:pStyle w:val="Item-Bolinha"/>
      </w:pPr>
      <w:r w:rsidRPr="00812C45">
        <w:t>Outras informações relevantes.</w:t>
      </w:r>
    </w:p>
    <w:p w:rsidR="00F843E4" w:rsidRDefault="00F843E4" w:rsidP="00940ACE">
      <w:pPr>
        <w:widowControl w:val="0"/>
        <w:autoSpaceDE w:val="0"/>
        <w:autoSpaceDN w:val="0"/>
        <w:adjustRightInd w:val="0"/>
        <w:spacing w:before="120" w:after="120" w:line="240" w:lineRule="auto"/>
        <w:rPr>
          <w:rFonts w:cs="Arial"/>
        </w:rPr>
      </w:pPr>
      <w:r w:rsidRPr="002F62D9">
        <w:rPr>
          <w:rFonts w:cs="Arial"/>
        </w:rPr>
        <w:t xml:space="preserve">Após o término das atividades de </w:t>
      </w:r>
      <w:r>
        <w:rPr>
          <w:rFonts w:cs="Arial"/>
        </w:rPr>
        <w:t>limpeza do reservatório, deverá ser</w:t>
      </w:r>
      <w:r w:rsidRPr="002F62D9">
        <w:rPr>
          <w:rFonts w:cs="Arial"/>
        </w:rPr>
        <w:t xml:space="preserve"> elaborado um relatório consolidado das informações apresentadas nos relatórios mensais internos. Esse relatório consolidado será encaminhado </w:t>
      </w:r>
      <w:r>
        <w:rPr>
          <w:rFonts w:cs="Arial"/>
        </w:rPr>
        <w:t xml:space="preserve">para </w:t>
      </w:r>
      <w:r w:rsidRPr="002F62D9">
        <w:rPr>
          <w:rFonts w:cs="Arial"/>
        </w:rPr>
        <w:t>a</w:t>
      </w:r>
      <w:r>
        <w:rPr>
          <w:rFonts w:cs="Arial"/>
        </w:rPr>
        <w:t xml:space="preserve"> CETESB.</w:t>
      </w:r>
    </w:p>
    <w:p w:rsidR="00946FA3" w:rsidRPr="00FC4658" w:rsidRDefault="00946FA3" w:rsidP="00431A97">
      <w:pPr>
        <w:pStyle w:val="Ttulo3"/>
        <w:numPr>
          <w:ilvl w:val="2"/>
          <w:numId w:val="71"/>
        </w:numPr>
        <w:rPr>
          <w:rFonts w:ascii="Arial Negrito" w:hAnsi="Arial Negrito"/>
          <w:bCs/>
        </w:rPr>
      </w:pPr>
      <w:bookmarkStart w:id="1690" w:name="_Toc418758620"/>
      <w:bookmarkStart w:id="1691" w:name="_Toc418759222"/>
      <w:bookmarkStart w:id="1692" w:name="_Toc419814007"/>
      <w:r w:rsidRPr="00FC4658">
        <w:rPr>
          <w:rFonts w:ascii="Arial Negrito" w:hAnsi="Arial Negrito"/>
          <w:bCs/>
        </w:rPr>
        <w:t>Programa Ambiental de Conservação e Uso do Entorno do Reservatório</w:t>
      </w:r>
      <w:bookmarkEnd w:id="1690"/>
      <w:bookmarkEnd w:id="1691"/>
      <w:bookmarkEnd w:id="1692"/>
    </w:p>
    <w:p w:rsidR="00A82FDC" w:rsidRPr="00FC4658" w:rsidRDefault="00FC4658" w:rsidP="00FC4658">
      <w:pPr>
        <w:pStyle w:val="Ttulo3"/>
        <w:rPr>
          <w:rFonts w:ascii="Arial Negrito" w:hAnsi="Arial Negrito"/>
          <w:bCs/>
        </w:rPr>
      </w:pPr>
      <w:bookmarkStart w:id="1693" w:name="_Toc418758621"/>
      <w:bookmarkStart w:id="1694" w:name="_Toc418759223"/>
      <w:bookmarkStart w:id="1695" w:name="_Toc419814008"/>
      <w:r>
        <w:rPr>
          <w:rFonts w:ascii="Arial Negrito" w:hAnsi="Arial Negrito"/>
          <w:bCs/>
        </w:rPr>
        <w:t xml:space="preserve">3.5.8.1. </w:t>
      </w:r>
      <w:r w:rsidR="00A82FDC" w:rsidRPr="00FC4658">
        <w:rPr>
          <w:rFonts w:ascii="Arial Negrito" w:hAnsi="Arial Negrito"/>
          <w:bCs/>
        </w:rPr>
        <w:t>Apresentação e Justificativa</w:t>
      </w:r>
      <w:bookmarkEnd w:id="1693"/>
      <w:bookmarkEnd w:id="1694"/>
      <w:bookmarkEnd w:id="1695"/>
    </w:p>
    <w:p w:rsidR="00A82FDC" w:rsidRPr="0002293A" w:rsidRDefault="00A82FDC" w:rsidP="00A82FDC">
      <w:pPr>
        <w:spacing w:before="120" w:after="120" w:line="240" w:lineRule="auto"/>
      </w:pPr>
      <w:r>
        <w:rPr>
          <w:rFonts w:cs="Arial"/>
        </w:rPr>
        <w:t xml:space="preserve">A proteção das áreas marginais aos </w:t>
      </w:r>
      <w:r w:rsidRPr="0002293A">
        <w:t xml:space="preserve">reservatórios </w:t>
      </w:r>
      <w:r>
        <w:t xml:space="preserve">artificiais </w:t>
      </w:r>
      <w:r w:rsidRPr="0002293A">
        <w:t>tem papel fundamental na manutenção da diversidade biológica da flora e fauna local, bem como apresenta caráter protetor da qualidade das águas, reduzindo os processos de erosão e carreamento de sedimentos para dentro do corpo de água.</w:t>
      </w:r>
    </w:p>
    <w:p w:rsidR="00A82FDC" w:rsidRPr="0002293A" w:rsidRDefault="00A82FDC" w:rsidP="00A82FDC">
      <w:pPr>
        <w:spacing w:before="120" w:after="120" w:line="240" w:lineRule="auto"/>
        <w:rPr>
          <w:rFonts w:cs="Arial"/>
        </w:rPr>
      </w:pPr>
      <w:r>
        <w:rPr>
          <w:rFonts w:cs="Arial"/>
        </w:rPr>
        <w:t xml:space="preserve">Nesse sentido, a </w:t>
      </w:r>
      <w:r w:rsidRPr="0002293A">
        <w:rPr>
          <w:rFonts w:cs="Arial"/>
        </w:rPr>
        <w:t xml:space="preserve">Lei Federal </w:t>
      </w:r>
      <w:r w:rsidR="003E4CBD">
        <w:rPr>
          <w:rFonts w:eastAsia="Batang"/>
          <w:lang w:eastAsia="en-US"/>
        </w:rPr>
        <w:t>n</w:t>
      </w:r>
      <w:r w:rsidR="003E4CBD">
        <w:rPr>
          <w:rFonts w:eastAsia="Batang"/>
          <w:u w:val="single"/>
          <w:vertAlign w:val="superscript"/>
          <w:lang w:eastAsia="en-US"/>
        </w:rPr>
        <w:t>o</w:t>
      </w:r>
      <w:r w:rsidR="005C0AEC">
        <w:rPr>
          <w:rFonts w:cs="Arial"/>
        </w:rPr>
        <w:t xml:space="preserve"> </w:t>
      </w:r>
      <w:r w:rsidRPr="0002293A">
        <w:rPr>
          <w:rFonts w:cs="Arial"/>
        </w:rPr>
        <w:t xml:space="preserve">12.651, de 25 de maio de 2012, que veio a substituir o antigo Código Florestal (Lei </w:t>
      </w:r>
      <w:r w:rsidR="003E4CBD">
        <w:rPr>
          <w:rFonts w:eastAsia="Batang"/>
          <w:lang w:eastAsia="en-US"/>
        </w:rPr>
        <w:t>n</w:t>
      </w:r>
      <w:r w:rsidR="003E4CBD">
        <w:rPr>
          <w:rFonts w:eastAsia="Batang"/>
          <w:u w:val="single"/>
          <w:vertAlign w:val="superscript"/>
          <w:lang w:eastAsia="en-US"/>
        </w:rPr>
        <w:t>o</w:t>
      </w:r>
      <w:r w:rsidRPr="0002293A">
        <w:rPr>
          <w:rFonts w:cs="Arial"/>
        </w:rPr>
        <w:t xml:space="preserve"> 4.771/1989), estabelece diversas normas que visam a proteção </w:t>
      </w:r>
      <w:r>
        <w:rPr>
          <w:rFonts w:cs="Arial"/>
        </w:rPr>
        <w:t xml:space="preserve">dessas áreas, definidas como Áreas de Preservação Permanente (APPs), como também, </w:t>
      </w:r>
      <w:r w:rsidRPr="0002293A">
        <w:rPr>
          <w:rFonts w:cs="Arial"/>
        </w:rPr>
        <w:t xml:space="preserve">dispõe sobre </w:t>
      </w:r>
      <w:r>
        <w:rPr>
          <w:rFonts w:cs="Arial"/>
        </w:rPr>
        <w:t>a vegetação e destinação a ser dada a essas áreas.</w:t>
      </w:r>
      <w:r w:rsidRPr="0002293A">
        <w:rPr>
          <w:rFonts w:cs="Arial"/>
        </w:rPr>
        <w:t xml:space="preserve"> </w:t>
      </w:r>
    </w:p>
    <w:p w:rsidR="00A82FDC" w:rsidRPr="0002293A" w:rsidRDefault="00A82FDC" w:rsidP="00A82FDC">
      <w:pPr>
        <w:spacing w:before="120" w:after="120" w:line="240" w:lineRule="auto"/>
        <w:rPr>
          <w:rFonts w:cs="Arial"/>
        </w:rPr>
      </w:pPr>
      <w:r>
        <w:rPr>
          <w:rFonts w:cs="Arial"/>
        </w:rPr>
        <w:t xml:space="preserve">A Lei </w:t>
      </w:r>
      <w:r w:rsidR="003E4CBD">
        <w:rPr>
          <w:rFonts w:eastAsia="Batang"/>
          <w:lang w:eastAsia="en-US"/>
        </w:rPr>
        <w:t>n</w:t>
      </w:r>
      <w:r w:rsidR="003E4CBD">
        <w:rPr>
          <w:rFonts w:eastAsia="Batang"/>
          <w:u w:val="single"/>
          <w:vertAlign w:val="superscript"/>
          <w:lang w:eastAsia="en-US"/>
        </w:rPr>
        <w:t>o</w:t>
      </w:r>
      <w:r>
        <w:rPr>
          <w:rFonts w:cs="Arial"/>
        </w:rPr>
        <w:t xml:space="preserve"> 12.651/2012</w:t>
      </w:r>
      <w:r w:rsidRPr="0002293A">
        <w:rPr>
          <w:rFonts w:cs="Arial"/>
        </w:rPr>
        <w:t xml:space="preserve"> entende como Área de Preservação Permanente – APP a </w:t>
      </w:r>
      <w:r w:rsidRPr="0002293A">
        <w:rPr>
          <w:rFonts w:cs="Arial"/>
          <w:i/>
        </w:rPr>
        <w:t xml:space="preserve">“área protegida, coberta ou não por vegetação nativa, com a função ambiental de preservar os recursos hídricos, a paisagem, a estabilidade geológica e a biodiversidade, facilitar o fluxo gênico de fauna e flora, proteger o solo e assegurar o bem-estar das populações humanas”. </w:t>
      </w:r>
    </w:p>
    <w:p w:rsidR="00A82FDC" w:rsidRDefault="00A82FDC" w:rsidP="00A82FDC">
      <w:pPr>
        <w:spacing w:before="120" w:after="120" w:line="240" w:lineRule="auto"/>
        <w:rPr>
          <w:rFonts w:cs="Arial"/>
        </w:rPr>
      </w:pPr>
      <w:r w:rsidRPr="0002293A">
        <w:rPr>
          <w:rFonts w:cs="Arial"/>
        </w:rPr>
        <w:t xml:space="preserve">No caso de reservatórios </w:t>
      </w:r>
      <w:r>
        <w:rPr>
          <w:rFonts w:cs="Arial"/>
        </w:rPr>
        <w:t xml:space="preserve">de água artificiais implantados com a finalidade de abastecimento público ou geração de energia elétrica, a largura da Área de Proteção Permanente – APP do entorno dos reservatórios será definida no âmbito do licenciamento ambiental do empreendimento </w:t>
      </w:r>
      <w:r w:rsidRPr="00572457">
        <w:rPr>
          <w:rFonts w:cs="Arial"/>
        </w:rPr>
        <w:t xml:space="preserve">(Lei </w:t>
      </w:r>
      <w:r w:rsidR="003E4CBD">
        <w:rPr>
          <w:rFonts w:eastAsia="Batang"/>
          <w:lang w:eastAsia="en-US"/>
        </w:rPr>
        <w:t>n</w:t>
      </w:r>
      <w:r w:rsidR="003E4CBD">
        <w:rPr>
          <w:rFonts w:eastAsia="Batang"/>
          <w:u w:val="single"/>
          <w:vertAlign w:val="superscript"/>
          <w:lang w:eastAsia="en-US"/>
        </w:rPr>
        <w:t>o</w:t>
      </w:r>
      <w:r w:rsidRPr="00572457">
        <w:rPr>
          <w:rFonts w:cs="Arial"/>
        </w:rPr>
        <w:t xml:space="preserve"> 12.651/2012,</w:t>
      </w:r>
      <w:r>
        <w:rPr>
          <w:rFonts w:cs="Arial"/>
        </w:rPr>
        <w:t xml:space="preserve"> Art. 4º, Inciso III), observando-se uma faixa com largura mínima de 30 (trinta) metros e máxima de 100 (cem) metros, no caso de empreendimentos localizados na área rural (Art. 5º), situação em que se encontram os barramentos Pedreira e Duas Pontes. As áreas definidas no licenciamento ambiental como de APP do entorno do reservatório, </w:t>
      </w:r>
      <w:r w:rsidRPr="004A69CE">
        <w:rPr>
          <w:rFonts w:cs="Arial"/>
        </w:rPr>
        <w:t>deverão ser obrigatoriamente adquiridas, desapropriadas ou instituída servidão administrativa pelo empreendedor.</w:t>
      </w:r>
      <w:r>
        <w:rPr>
          <w:rFonts w:cs="Arial"/>
        </w:rPr>
        <w:t xml:space="preserve">  </w:t>
      </w:r>
    </w:p>
    <w:p w:rsidR="00A82FDC" w:rsidRDefault="00A82FDC" w:rsidP="00A82FDC">
      <w:pPr>
        <w:spacing w:before="120" w:after="120" w:line="240" w:lineRule="auto"/>
        <w:rPr>
          <w:rFonts w:cs="Arial"/>
        </w:rPr>
      </w:pPr>
      <w:r>
        <w:rPr>
          <w:rFonts w:cs="Arial"/>
        </w:rPr>
        <w:t xml:space="preserve">A Área de Preservação Permanente – APP do entorno do reservatório de água artificial deve ser estudada pelo empreendedor, apresentando ao órgão ambiental, no âmbito do processo de licenciamento ambiental, o Plano Ambiental de Conservação e Uso do Entorno do Reservatório Artificial (PACUERA). O Pacuera será elaborado com base no Termo de Referência a ser expedido pelo órgão responsável pelo licenciamento, devendo ser apresentado concomitantemente com o Plano Básico Ambiental, e aprovado antes da emissão da Licença de Operação. (Lei </w:t>
      </w:r>
      <w:r w:rsidR="003E4CBD">
        <w:rPr>
          <w:rFonts w:eastAsia="Batang"/>
          <w:lang w:eastAsia="en-US"/>
        </w:rPr>
        <w:t>n</w:t>
      </w:r>
      <w:r w:rsidR="003E4CBD">
        <w:rPr>
          <w:rFonts w:eastAsia="Batang"/>
          <w:u w:val="single"/>
          <w:vertAlign w:val="superscript"/>
          <w:lang w:eastAsia="en-US"/>
        </w:rPr>
        <w:t>o</w:t>
      </w:r>
      <w:r>
        <w:rPr>
          <w:rFonts w:cs="Arial"/>
        </w:rPr>
        <w:t xml:space="preserve"> 12.651/2012, Art. 5º).</w:t>
      </w:r>
    </w:p>
    <w:p w:rsidR="00A82FDC" w:rsidRDefault="00A82FDC" w:rsidP="00A82FDC">
      <w:pPr>
        <w:spacing w:before="120" w:after="120" w:line="240" w:lineRule="auto"/>
        <w:rPr>
          <w:rFonts w:cs="Arial"/>
        </w:rPr>
      </w:pPr>
      <w:r>
        <w:rPr>
          <w:rFonts w:cs="Arial"/>
        </w:rPr>
        <w:t xml:space="preserve">De acordo com a Resolução </w:t>
      </w:r>
      <w:r w:rsidR="00504078">
        <w:rPr>
          <w:rFonts w:cs="Arial"/>
        </w:rPr>
        <w:t>CONAMA</w:t>
      </w:r>
      <w:r w:rsidR="00EA17F5">
        <w:rPr>
          <w:rFonts w:cs="Arial"/>
        </w:rPr>
        <w:t xml:space="preserve"> </w:t>
      </w:r>
      <w:r w:rsidR="003E4CBD">
        <w:rPr>
          <w:rFonts w:eastAsia="Batang"/>
          <w:lang w:eastAsia="en-US"/>
        </w:rPr>
        <w:t>n</w:t>
      </w:r>
      <w:r w:rsidR="003E4CBD">
        <w:rPr>
          <w:rFonts w:eastAsia="Batang"/>
          <w:u w:val="single"/>
          <w:vertAlign w:val="superscript"/>
          <w:lang w:eastAsia="en-US"/>
        </w:rPr>
        <w:t>o</w:t>
      </w:r>
      <w:r>
        <w:rPr>
          <w:rFonts w:cs="Arial"/>
        </w:rPr>
        <w:t xml:space="preserve"> 302, de 20 de março de 2002, o Plano Ambiental de Conservação e Uso do Entorno do Reservatório Artificial – PACUERA é. “</w:t>
      </w:r>
      <w:r w:rsidRPr="0015055C">
        <w:rPr>
          <w:rFonts w:cs="Arial"/>
          <w:i/>
        </w:rPr>
        <w:t>o conjunto de diretrizes e proposições com o objetivo de disciplinar a conservação, recuperação, o uso e ocupação do entorno do reservatório artificial, respeitados os parâmetros estabelecidos nesta Resolução e em outras normas aplicáveis</w:t>
      </w:r>
      <w:r>
        <w:rPr>
          <w:rFonts w:cs="Arial"/>
        </w:rPr>
        <w:t xml:space="preserve">”. Cabe destacar que a extensão de áreas destinadas a uso da APP do entorno dos reservatórios não pode exceder a 10% do total (Lei </w:t>
      </w:r>
      <w:r w:rsidR="003E4CBD">
        <w:rPr>
          <w:rFonts w:eastAsia="Batang"/>
          <w:lang w:eastAsia="en-US"/>
        </w:rPr>
        <w:t>n</w:t>
      </w:r>
      <w:r w:rsidR="003E4CBD">
        <w:rPr>
          <w:rFonts w:eastAsia="Batang"/>
          <w:u w:val="single"/>
          <w:vertAlign w:val="superscript"/>
          <w:lang w:eastAsia="en-US"/>
        </w:rPr>
        <w:t>o</w:t>
      </w:r>
      <w:r>
        <w:rPr>
          <w:rFonts w:cs="Arial"/>
        </w:rPr>
        <w:t xml:space="preserve"> 12.651/2012, Art. 5º). </w:t>
      </w:r>
    </w:p>
    <w:p w:rsidR="00A82FDC" w:rsidRDefault="00A82FDC" w:rsidP="00A82FDC">
      <w:pPr>
        <w:spacing w:before="120" w:after="120" w:line="240" w:lineRule="auto"/>
        <w:rPr>
          <w:rFonts w:cs="Arial"/>
        </w:rPr>
      </w:pPr>
      <w:r>
        <w:rPr>
          <w:rFonts w:cs="Arial"/>
        </w:rPr>
        <w:t xml:space="preserve">A Resolução </w:t>
      </w:r>
      <w:r w:rsidR="00504078">
        <w:rPr>
          <w:rFonts w:cs="Arial"/>
        </w:rPr>
        <w:t>CONAMA</w:t>
      </w:r>
      <w:r w:rsidR="00EA17F5">
        <w:rPr>
          <w:rFonts w:cs="Arial"/>
        </w:rPr>
        <w:t xml:space="preserve"> </w:t>
      </w:r>
      <w:r w:rsidR="003E4CBD">
        <w:rPr>
          <w:rFonts w:eastAsia="Batang"/>
          <w:lang w:eastAsia="en-US"/>
        </w:rPr>
        <w:t>n</w:t>
      </w:r>
      <w:r w:rsidR="003E4CBD">
        <w:rPr>
          <w:rFonts w:eastAsia="Batang"/>
          <w:u w:val="single"/>
          <w:vertAlign w:val="superscript"/>
          <w:lang w:eastAsia="en-US"/>
        </w:rPr>
        <w:t>o</w:t>
      </w:r>
      <w:r>
        <w:rPr>
          <w:rFonts w:cs="Arial"/>
        </w:rPr>
        <w:t xml:space="preserve"> 302/2002 define que o limite externo da APP é determinado pela projeção horizontal medida a partir do nível da água máximo normal do reservatório, com a extensão definida pelo órgão licenciador para os aproveitamentos (mínimo 30m a máximo 100m).</w:t>
      </w:r>
    </w:p>
    <w:p w:rsidR="00A82FDC" w:rsidRPr="0002293A" w:rsidRDefault="00A82FDC" w:rsidP="00A82FDC">
      <w:pPr>
        <w:spacing w:before="120" w:after="120" w:line="240" w:lineRule="auto"/>
        <w:rPr>
          <w:rFonts w:cs="Arial"/>
        </w:rPr>
      </w:pPr>
      <w:r w:rsidRPr="00F070D2">
        <w:rPr>
          <w:rFonts w:cs="Arial"/>
        </w:rPr>
        <w:t xml:space="preserve">A implantação dos barramentos Pedreira e Duas Pontes formarão reservatórios com extensão da ordem de 202 ha e </w:t>
      </w:r>
      <w:r w:rsidR="00F2591B" w:rsidRPr="00F070D2">
        <w:rPr>
          <w:rFonts w:cs="Arial"/>
        </w:rPr>
        <w:t>48</w:t>
      </w:r>
      <w:r w:rsidR="00F2591B">
        <w:rPr>
          <w:rFonts w:cs="Arial"/>
        </w:rPr>
        <w:t>6</w:t>
      </w:r>
      <w:r w:rsidR="00F2591B" w:rsidRPr="00F070D2">
        <w:rPr>
          <w:rFonts w:cs="Arial"/>
        </w:rPr>
        <w:t xml:space="preserve"> </w:t>
      </w:r>
      <w:r w:rsidRPr="00F070D2">
        <w:rPr>
          <w:rFonts w:cs="Arial"/>
        </w:rPr>
        <w:t xml:space="preserve">ha respectivamente. A faixa de preservação permanente do entorno dos reservatórios considerando uma extensão de 100 m, ocupará uma área de 214 ha e </w:t>
      </w:r>
      <w:r w:rsidR="00F2591B">
        <w:rPr>
          <w:rFonts w:cs="Arial"/>
        </w:rPr>
        <w:t>391</w:t>
      </w:r>
      <w:r w:rsidR="00F2591B" w:rsidRPr="00F070D2">
        <w:rPr>
          <w:rFonts w:cs="Arial"/>
        </w:rPr>
        <w:t xml:space="preserve"> </w:t>
      </w:r>
      <w:r w:rsidRPr="00F070D2">
        <w:rPr>
          <w:rFonts w:cs="Arial"/>
        </w:rPr>
        <w:t>ha respectivamente.</w:t>
      </w:r>
      <w:r w:rsidRPr="0002293A">
        <w:rPr>
          <w:rFonts w:cs="Arial"/>
        </w:rPr>
        <w:t xml:space="preserve"> </w:t>
      </w:r>
    </w:p>
    <w:p w:rsidR="00A82FDC" w:rsidRPr="006434C6" w:rsidRDefault="006434C6" w:rsidP="006434C6">
      <w:pPr>
        <w:pStyle w:val="Ttulo3"/>
        <w:rPr>
          <w:rFonts w:ascii="Arial Negrito" w:hAnsi="Arial Negrito"/>
          <w:bCs/>
        </w:rPr>
      </w:pPr>
      <w:bookmarkStart w:id="1696" w:name="_Toc418758622"/>
      <w:bookmarkStart w:id="1697" w:name="_Toc418759224"/>
      <w:bookmarkStart w:id="1698" w:name="_Toc419814009"/>
      <w:r>
        <w:rPr>
          <w:rFonts w:ascii="Arial Negrito" w:hAnsi="Arial Negrito"/>
          <w:bCs/>
        </w:rPr>
        <w:t xml:space="preserve">3.5.8.2. </w:t>
      </w:r>
      <w:r w:rsidR="00A82FDC" w:rsidRPr="006434C6">
        <w:rPr>
          <w:rFonts w:ascii="Arial Negrito" w:hAnsi="Arial Negrito"/>
          <w:bCs/>
        </w:rPr>
        <w:t>Objetivos</w:t>
      </w:r>
      <w:bookmarkEnd w:id="1696"/>
      <w:bookmarkEnd w:id="1697"/>
      <w:bookmarkEnd w:id="1698"/>
    </w:p>
    <w:p w:rsidR="00A82FDC" w:rsidRDefault="00A82FDC" w:rsidP="00A82FDC">
      <w:pPr>
        <w:spacing w:before="120" w:after="120" w:line="240" w:lineRule="auto"/>
        <w:rPr>
          <w:rFonts w:cs="Arial"/>
        </w:rPr>
      </w:pPr>
      <w:r>
        <w:rPr>
          <w:rFonts w:cs="Arial"/>
        </w:rPr>
        <w:t xml:space="preserve">O </w:t>
      </w:r>
      <w:r w:rsidRPr="00900128">
        <w:rPr>
          <w:rFonts w:cs="Arial"/>
        </w:rPr>
        <w:t>Programa</w:t>
      </w:r>
      <w:r w:rsidRPr="00900128">
        <w:t xml:space="preserve"> Ambiental de Conservação e Uso do Entorno do</w:t>
      </w:r>
      <w:r>
        <w:t>s</w:t>
      </w:r>
      <w:r w:rsidRPr="00900128">
        <w:t xml:space="preserve"> Reservatório</w:t>
      </w:r>
      <w:r>
        <w:t>s tem os seguintes objetivos:</w:t>
      </w:r>
    </w:p>
    <w:p w:rsidR="00A82FDC" w:rsidRPr="00B60E81" w:rsidRDefault="00A82FDC" w:rsidP="00F94909">
      <w:pPr>
        <w:pStyle w:val="Item-Trainho"/>
        <w:rPr>
          <w:b/>
        </w:rPr>
      </w:pPr>
      <w:r w:rsidRPr="00B60E81">
        <w:t>Disciplinar o uso e ocupação do solo</w:t>
      </w:r>
      <w:r>
        <w:t xml:space="preserve"> da Área de Preservação Permanente do Entorno dos reservatórios das Barragens Pedreira e Duas Pontes.</w:t>
      </w:r>
    </w:p>
    <w:p w:rsidR="00A82FDC" w:rsidRPr="00B60E81" w:rsidRDefault="00A82FDC" w:rsidP="00F94909">
      <w:pPr>
        <w:pStyle w:val="Item-Trainho"/>
        <w:rPr>
          <w:b/>
        </w:rPr>
      </w:pPr>
      <w:r w:rsidRPr="00B60E81">
        <w:t>Cumprir com dispo</w:t>
      </w:r>
      <w:r>
        <w:t xml:space="preserve">sitivo legal vigente referente à </w:t>
      </w:r>
      <w:r w:rsidRPr="00B60E81">
        <w:t>revegetação de APPs;</w:t>
      </w:r>
    </w:p>
    <w:p w:rsidR="00A82FDC" w:rsidRPr="00B60E81" w:rsidRDefault="00A82FDC" w:rsidP="00F94909">
      <w:pPr>
        <w:pStyle w:val="Item-Trainho"/>
        <w:rPr>
          <w:b/>
        </w:rPr>
      </w:pPr>
      <w:r>
        <w:t>Recomposição da vegetação</w:t>
      </w:r>
      <w:r w:rsidRPr="00B60E81">
        <w:t xml:space="preserve"> com espécies nativas </w:t>
      </w:r>
      <w:r>
        <w:t>nas áreas desmatadas localizadas na</w:t>
      </w:r>
      <w:r w:rsidRPr="00B60E81">
        <w:t xml:space="preserve"> faixa de 100 metros nas margens do</w:t>
      </w:r>
      <w:r>
        <w:t>s</w:t>
      </w:r>
      <w:r w:rsidRPr="00B60E81">
        <w:t xml:space="preserve"> reservatório</w:t>
      </w:r>
      <w:r>
        <w:t>s;</w:t>
      </w:r>
    </w:p>
    <w:p w:rsidR="00A82FDC" w:rsidRPr="00B60E81" w:rsidRDefault="00A82FDC" w:rsidP="00F94909">
      <w:pPr>
        <w:pStyle w:val="Item-Trainho"/>
        <w:rPr>
          <w:b/>
        </w:rPr>
      </w:pPr>
      <w:r w:rsidRPr="00B60E81">
        <w:t>Proteger as águas dos re</w:t>
      </w:r>
      <w:r>
        <w:t>servatórios e seus afluentes de</w:t>
      </w:r>
      <w:r w:rsidRPr="00B60E81">
        <w:t xml:space="preserve"> problemas de erosão e assoreamento;</w:t>
      </w:r>
    </w:p>
    <w:p w:rsidR="00A82FDC" w:rsidRPr="00B60E81" w:rsidRDefault="00A82FDC" w:rsidP="00F94909">
      <w:pPr>
        <w:pStyle w:val="Item-Trainho"/>
        <w:rPr>
          <w:b/>
        </w:rPr>
      </w:pPr>
      <w:r>
        <w:t>Proteção das encostas marginais</w:t>
      </w:r>
      <w:r w:rsidRPr="00B60E81">
        <w:t xml:space="preserve"> </w:t>
      </w:r>
      <w:r>
        <w:t>dos</w:t>
      </w:r>
      <w:r w:rsidRPr="00B60E81">
        <w:t xml:space="preserve"> processo</w:t>
      </w:r>
      <w:r>
        <w:t>s de instabilização nas margens dos reservatórios</w:t>
      </w:r>
      <w:r w:rsidRPr="00B60E81">
        <w:t>;</w:t>
      </w:r>
    </w:p>
    <w:p w:rsidR="00A82FDC" w:rsidRDefault="00A82FDC" w:rsidP="00F94909">
      <w:pPr>
        <w:pStyle w:val="Item-Trainho"/>
        <w:rPr>
          <w:b/>
        </w:rPr>
      </w:pPr>
      <w:r w:rsidRPr="00B60E81">
        <w:t xml:space="preserve">Criar habitats adequados para </w:t>
      </w:r>
      <w:r>
        <w:t xml:space="preserve">abrigo da </w:t>
      </w:r>
      <w:r w:rsidRPr="00B60E81">
        <w:t>fauna na região do empreendimento</w:t>
      </w:r>
      <w:r>
        <w:t>;</w:t>
      </w:r>
    </w:p>
    <w:p w:rsidR="00A82FDC" w:rsidRPr="00B60E81" w:rsidRDefault="00A82FDC" w:rsidP="00F94909">
      <w:pPr>
        <w:pStyle w:val="Item-Trainho"/>
        <w:rPr>
          <w:b/>
        </w:rPr>
      </w:pPr>
      <w:r>
        <w:t>Indicar os usos múltiplos potenciais do reservatório.</w:t>
      </w:r>
    </w:p>
    <w:p w:rsidR="00A82FDC" w:rsidRPr="006434C6" w:rsidRDefault="006434C6" w:rsidP="006434C6">
      <w:pPr>
        <w:pStyle w:val="Ttulo3"/>
        <w:rPr>
          <w:rFonts w:ascii="Arial Negrito" w:hAnsi="Arial Negrito"/>
          <w:bCs/>
        </w:rPr>
      </w:pPr>
      <w:bookmarkStart w:id="1699" w:name="_Toc418758623"/>
      <w:bookmarkStart w:id="1700" w:name="_Toc418759225"/>
      <w:bookmarkStart w:id="1701" w:name="_Toc419814010"/>
      <w:r>
        <w:rPr>
          <w:rFonts w:ascii="Arial Negrito" w:hAnsi="Arial Negrito"/>
          <w:bCs/>
        </w:rPr>
        <w:t xml:space="preserve">3.5.8.3. </w:t>
      </w:r>
      <w:r w:rsidR="00A82FDC" w:rsidRPr="006434C6">
        <w:rPr>
          <w:rFonts w:ascii="Arial Negrito" w:hAnsi="Arial Negrito"/>
          <w:bCs/>
        </w:rPr>
        <w:t>Metas</w:t>
      </w:r>
      <w:bookmarkEnd w:id="1699"/>
      <w:bookmarkEnd w:id="1700"/>
      <w:bookmarkEnd w:id="1701"/>
    </w:p>
    <w:p w:rsidR="00A82FDC" w:rsidRDefault="00A82FDC" w:rsidP="00A82FDC">
      <w:pPr>
        <w:spacing w:before="120" w:after="120" w:line="240" w:lineRule="auto"/>
        <w:rPr>
          <w:rFonts w:cs="Arial"/>
        </w:rPr>
      </w:pPr>
      <w:r>
        <w:rPr>
          <w:rFonts w:cs="Arial"/>
        </w:rPr>
        <w:t>A principal meta do programa é elaborar o Plano Ambiental de Conservação e Uso do Entorno dos Reservatórios (PACUERA) disciplinando o uso e ocupação do solo da Área de Preservação Permanente (APP) do entorno dos reservatórios, visando a proteção do hábitat, a recuperação das áreas degradadas, como também indicando áreas propícias para à implantação de polos turísticos e de lazer, respeitando a legislação vigente. O Plano deverá ser desenvolvido durante o processo de licenciamento ambiental.</w:t>
      </w:r>
    </w:p>
    <w:p w:rsidR="00A82FDC" w:rsidRPr="006434C6" w:rsidRDefault="006434C6" w:rsidP="006434C6">
      <w:pPr>
        <w:pStyle w:val="Ttulo3"/>
        <w:rPr>
          <w:rFonts w:ascii="Arial Negrito" w:hAnsi="Arial Negrito"/>
          <w:bCs/>
        </w:rPr>
      </w:pPr>
      <w:bookmarkStart w:id="1702" w:name="_Toc418758624"/>
      <w:bookmarkStart w:id="1703" w:name="_Toc418759226"/>
      <w:bookmarkStart w:id="1704" w:name="_Toc419814011"/>
      <w:r>
        <w:rPr>
          <w:rFonts w:ascii="Arial Negrito" w:hAnsi="Arial Negrito"/>
          <w:bCs/>
        </w:rPr>
        <w:t xml:space="preserve">3.5.8.4. </w:t>
      </w:r>
      <w:r w:rsidR="00A82FDC" w:rsidRPr="006434C6">
        <w:rPr>
          <w:rFonts w:ascii="Arial Negrito" w:hAnsi="Arial Negrito"/>
          <w:bCs/>
        </w:rPr>
        <w:t>Público-alvo</w:t>
      </w:r>
      <w:bookmarkEnd w:id="1702"/>
      <w:bookmarkEnd w:id="1703"/>
      <w:bookmarkEnd w:id="1704"/>
    </w:p>
    <w:p w:rsidR="00A82FDC" w:rsidRDefault="00A82FDC" w:rsidP="00A82FDC">
      <w:pPr>
        <w:spacing w:before="120" w:after="120" w:line="240" w:lineRule="auto"/>
        <w:rPr>
          <w:rFonts w:cs="Arial"/>
        </w:rPr>
      </w:pPr>
      <w:r w:rsidRPr="0027085F">
        <w:rPr>
          <w:rFonts w:cs="Arial"/>
        </w:rPr>
        <w:t>Este programa tem como principal público alvo os usuários dos recursos hídricos da bacia do</w:t>
      </w:r>
      <w:r>
        <w:rPr>
          <w:rFonts w:cs="Arial"/>
        </w:rPr>
        <w:t>s rios Jaguari e Camanducaia, nos trechos de inserção das Barragens Pedreira e Duas Pontes,</w:t>
      </w:r>
      <w:r w:rsidRPr="0027085F">
        <w:rPr>
          <w:rFonts w:cs="Arial"/>
        </w:rPr>
        <w:t xml:space="preserve"> bem como o empreendedor, responsável pel</w:t>
      </w:r>
      <w:r>
        <w:rPr>
          <w:rFonts w:cs="Arial"/>
        </w:rPr>
        <w:t>o desenvolvimento do Plano Ambiental de Conservação e Uso do Entorno dos Reservatórios.</w:t>
      </w:r>
      <w:r w:rsidRPr="0027085F">
        <w:rPr>
          <w:rFonts w:cs="Arial"/>
        </w:rPr>
        <w:t xml:space="preserve"> </w:t>
      </w:r>
    </w:p>
    <w:p w:rsidR="00A82FDC" w:rsidRPr="0027085F" w:rsidRDefault="00A82FDC" w:rsidP="00A82FDC">
      <w:pPr>
        <w:spacing w:before="120" w:after="120" w:line="240" w:lineRule="auto"/>
        <w:rPr>
          <w:rFonts w:cs="Arial"/>
        </w:rPr>
      </w:pPr>
      <w:r w:rsidRPr="0027085F">
        <w:rPr>
          <w:rFonts w:cs="Arial"/>
        </w:rPr>
        <w:t xml:space="preserve">Considera-se também como público alvo: </w:t>
      </w:r>
    </w:p>
    <w:p w:rsidR="00A82FDC" w:rsidRDefault="00A82FDC" w:rsidP="00F94909">
      <w:pPr>
        <w:pStyle w:val="Item-Bolinha"/>
      </w:pPr>
      <w:r>
        <w:t xml:space="preserve">As prefeituras de Amparo, Campinas e </w:t>
      </w:r>
      <w:r w:rsidR="008C15C3">
        <w:t>Pedreira</w:t>
      </w:r>
      <w:r>
        <w:t>, em cujos municípios se localizam as barragens em estudo;</w:t>
      </w:r>
    </w:p>
    <w:p w:rsidR="00A82FDC" w:rsidRPr="0027085F" w:rsidRDefault="00A82FDC" w:rsidP="00F94909">
      <w:pPr>
        <w:pStyle w:val="Item-Bolinha"/>
      </w:pPr>
      <w:r w:rsidRPr="0027085F">
        <w:t>Comitê das Bacias Hidrográficas dos Rios Piracicaba, Capivari e Jundiaí – PCJ.</w:t>
      </w:r>
    </w:p>
    <w:p w:rsidR="00A82FDC" w:rsidRPr="0080583C" w:rsidRDefault="00A82FDC" w:rsidP="00F94909">
      <w:pPr>
        <w:pStyle w:val="Item-Bolinha"/>
      </w:pPr>
      <w:r w:rsidRPr="0080583C">
        <w:t>Órgãos governamentais, como a Companhia Ambiental do Estado de São Paulo (CETESB) e a Secretaria Estadual do Meio Ambiente (SMA).</w:t>
      </w:r>
    </w:p>
    <w:p w:rsidR="00A82FDC" w:rsidRDefault="00A82FDC" w:rsidP="00F94909">
      <w:pPr>
        <w:pStyle w:val="Item-Bolinha"/>
      </w:pPr>
      <w:r w:rsidRPr="0080583C">
        <w:t>Sociedade Civil, incluindo os usuários dos recursos hídricos d</w:t>
      </w:r>
      <w:r>
        <w:t>os trechos dos rios Jaguari e Camanducaia em que se localizam as barragens Pedreira e Duas Pontes</w:t>
      </w:r>
      <w:r w:rsidRPr="0080583C">
        <w:t xml:space="preserve">, em especial, os habitantes dos municípios de </w:t>
      </w:r>
      <w:r>
        <w:t xml:space="preserve">Amparo, Campinas e </w:t>
      </w:r>
      <w:r w:rsidR="008C15C3">
        <w:t>Pedreira</w:t>
      </w:r>
      <w:r w:rsidRPr="0080583C">
        <w:t>.</w:t>
      </w:r>
    </w:p>
    <w:p w:rsidR="00A82FDC" w:rsidRPr="006434C6" w:rsidRDefault="006434C6" w:rsidP="006434C6">
      <w:pPr>
        <w:pStyle w:val="Ttulo3"/>
        <w:rPr>
          <w:rFonts w:ascii="Arial Negrito" w:hAnsi="Arial Negrito"/>
          <w:bCs/>
        </w:rPr>
      </w:pPr>
      <w:bookmarkStart w:id="1705" w:name="_Toc418758625"/>
      <w:bookmarkStart w:id="1706" w:name="_Toc418759227"/>
      <w:bookmarkStart w:id="1707" w:name="_Toc419814012"/>
      <w:r>
        <w:rPr>
          <w:rFonts w:ascii="Arial Negrito" w:hAnsi="Arial Negrito"/>
          <w:bCs/>
        </w:rPr>
        <w:t xml:space="preserve">3.5.8.5. </w:t>
      </w:r>
      <w:r w:rsidR="00A82FDC" w:rsidRPr="006434C6">
        <w:rPr>
          <w:rFonts w:ascii="Arial Negrito" w:hAnsi="Arial Negrito"/>
          <w:bCs/>
        </w:rPr>
        <w:t>Métodos e Descrição do Programa</w:t>
      </w:r>
      <w:bookmarkEnd w:id="1705"/>
      <w:bookmarkEnd w:id="1706"/>
      <w:bookmarkEnd w:id="1707"/>
    </w:p>
    <w:p w:rsidR="00A82FDC" w:rsidRDefault="00A82FDC" w:rsidP="00A82FDC">
      <w:pPr>
        <w:spacing w:before="120" w:after="120" w:line="240" w:lineRule="auto"/>
        <w:rPr>
          <w:rFonts w:cs="Arial"/>
        </w:rPr>
      </w:pPr>
      <w:r w:rsidRPr="0015564A">
        <w:rPr>
          <w:rFonts w:cs="Arial"/>
        </w:rPr>
        <w:t>As ações deste programa podem ser resumidas conforme apresentado a seguir:</w:t>
      </w:r>
    </w:p>
    <w:p w:rsidR="00A82FDC" w:rsidRPr="00C43414" w:rsidRDefault="00A82FDC" w:rsidP="006434C6">
      <w:pPr>
        <w:pStyle w:val="Item-Trainho"/>
      </w:pPr>
      <w:r w:rsidRPr="00C43414">
        <w:rPr>
          <w:b/>
        </w:rPr>
        <w:t>Termo de Referência:</w:t>
      </w:r>
      <w:r w:rsidRPr="00C43414">
        <w:t xml:space="preserve"> No âmbito do processo de licenciamento ambiental </w:t>
      </w:r>
      <w:r>
        <w:t xml:space="preserve">deverá ser </w:t>
      </w:r>
      <w:r w:rsidRPr="00C43414">
        <w:t>solicita</w:t>
      </w:r>
      <w:r>
        <w:t xml:space="preserve">do ao órgão ambiental (CETESB) </w:t>
      </w:r>
      <w:r w:rsidRPr="00C43414">
        <w:t xml:space="preserve">a emissão do Termo de Referência para elaboração do Plano Ambiental de Conservação e Uso do Entorno de Reservatórios Artificiais destinados </w:t>
      </w:r>
      <w:r>
        <w:t xml:space="preserve">a </w:t>
      </w:r>
      <w:r w:rsidRPr="00C43414">
        <w:t>abastecimento público.</w:t>
      </w:r>
    </w:p>
    <w:p w:rsidR="00A82FDC" w:rsidRDefault="00A82FDC" w:rsidP="006434C6">
      <w:pPr>
        <w:pStyle w:val="Item-Trainho"/>
        <w:numPr>
          <w:ilvl w:val="0"/>
          <w:numId w:val="0"/>
        </w:numPr>
        <w:ind w:left="426"/>
        <w:rPr>
          <w:bCs/>
        </w:rPr>
      </w:pPr>
      <w:r>
        <w:t>Seguindo as orientações do Termo de Referência, o Plano deverá detalhar os mecanismos de gestão da APP e das águas, definindo os usos compatíveis a partir de um zoneamento das áreas do entorno do reservatório, bem como definir medidas de fiscalização e autorização de atividades. Apesar da APP a ser criada ser de domínio privado, sua conservação dependerá da mobilização dos proprietários lindeiros, que poderão exercer pressões de uso sobre essas áreas. Este fato cria a necessidade de envolver estes agentes na elaboração do plano</w:t>
      </w:r>
    </w:p>
    <w:p w:rsidR="00A82FDC" w:rsidRPr="00FC7BFE" w:rsidRDefault="00A82FDC" w:rsidP="006434C6">
      <w:pPr>
        <w:pStyle w:val="Item-Trainho"/>
        <w:numPr>
          <w:ilvl w:val="0"/>
          <w:numId w:val="0"/>
        </w:numPr>
        <w:ind w:left="426"/>
        <w:rPr>
          <w:szCs w:val="22"/>
        </w:rPr>
      </w:pPr>
      <w:r w:rsidRPr="00FC7BFE">
        <w:rPr>
          <w:szCs w:val="22"/>
        </w:rPr>
        <w:t>Os detalhes da elaboração do Plano dependem do T</w:t>
      </w:r>
      <w:r>
        <w:rPr>
          <w:szCs w:val="22"/>
        </w:rPr>
        <w:t>ermo de Referência</w:t>
      </w:r>
      <w:r w:rsidRPr="00FC7BFE">
        <w:rPr>
          <w:szCs w:val="22"/>
        </w:rPr>
        <w:t xml:space="preserve"> a ser emitido, pelo </w:t>
      </w:r>
      <w:r>
        <w:rPr>
          <w:szCs w:val="22"/>
        </w:rPr>
        <w:t>órgão licenciador</w:t>
      </w:r>
      <w:r w:rsidRPr="00FC7BFE">
        <w:rPr>
          <w:szCs w:val="22"/>
        </w:rPr>
        <w:t>, mas de forma genérica, podem ser previstas as seguintes atividades:</w:t>
      </w:r>
    </w:p>
    <w:p w:rsidR="00A82FDC" w:rsidRPr="00FC7BFE" w:rsidRDefault="00A82FDC" w:rsidP="006434C6">
      <w:pPr>
        <w:pStyle w:val="Item-Trainho"/>
        <w:rPr>
          <w:szCs w:val="22"/>
        </w:rPr>
      </w:pPr>
      <w:r>
        <w:rPr>
          <w:b/>
          <w:szCs w:val="22"/>
        </w:rPr>
        <w:t>D</w:t>
      </w:r>
      <w:r w:rsidRPr="00543D70">
        <w:rPr>
          <w:b/>
          <w:szCs w:val="22"/>
        </w:rPr>
        <w:t>iagnóstico</w:t>
      </w:r>
      <w:r w:rsidRPr="00FC7BFE">
        <w:rPr>
          <w:szCs w:val="22"/>
        </w:rPr>
        <w:t xml:space="preserve"> </w:t>
      </w:r>
      <w:r w:rsidRPr="000E3EC4">
        <w:rPr>
          <w:b/>
          <w:szCs w:val="22"/>
        </w:rPr>
        <w:t>da área de estudo:</w:t>
      </w:r>
      <w:r w:rsidRPr="00FC7BFE">
        <w:rPr>
          <w:szCs w:val="22"/>
        </w:rPr>
        <w:t xml:space="preserve"> abrange os temas</w:t>
      </w:r>
      <w:r>
        <w:rPr>
          <w:szCs w:val="22"/>
        </w:rPr>
        <w:t xml:space="preserve"> dos meios físicos, biótico e so</w:t>
      </w:r>
      <w:r w:rsidRPr="00FC7BFE">
        <w:rPr>
          <w:szCs w:val="22"/>
        </w:rPr>
        <w:t xml:space="preserve">cioeconômico considerando aspectos legais pertinentes, </w:t>
      </w:r>
      <w:r>
        <w:rPr>
          <w:szCs w:val="22"/>
        </w:rPr>
        <w:t xml:space="preserve">como também os </w:t>
      </w:r>
      <w:r w:rsidRPr="00FC7BFE">
        <w:rPr>
          <w:szCs w:val="22"/>
        </w:rPr>
        <w:t xml:space="preserve">Planos </w:t>
      </w:r>
      <w:r w:rsidRPr="005E1B89">
        <w:rPr>
          <w:szCs w:val="22"/>
        </w:rPr>
        <w:t>Diretores dos municípios lindeiros aos reservatórios, a APA Campinas e a APA do</w:t>
      </w:r>
      <w:r w:rsidRPr="006D7DF0">
        <w:rPr>
          <w:szCs w:val="22"/>
        </w:rPr>
        <w:t xml:space="preserve"> P</w:t>
      </w:r>
      <w:r>
        <w:rPr>
          <w:szCs w:val="22"/>
        </w:rPr>
        <w:t>iracicaba-Juqueri-Mirim/Área II, e o Zoneamento das Bacias PCJ. O</w:t>
      </w:r>
      <w:r w:rsidRPr="00FC7BFE">
        <w:rPr>
          <w:szCs w:val="22"/>
        </w:rPr>
        <w:t xml:space="preserve"> diagnóstico será realizado com base em informações secundárias existentes e levantamentos específicos de campo.</w:t>
      </w:r>
    </w:p>
    <w:p w:rsidR="00A82FDC" w:rsidRPr="00543D70" w:rsidRDefault="00A82FDC" w:rsidP="006434C6">
      <w:pPr>
        <w:pStyle w:val="Item-Trainho"/>
        <w:rPr>
          <w:bCs/>
        </w:rPr>
      </w:pPr>
      <w:r w:rsidRPr="00543D70">
        <w:rPr>
          <w:b/>
          <w:bCs/>
        </w:rPr>
        <w:t>Consultas aos Grupos de Interesse sobre o Zoneamento</w:t>
      </w:r>
      <w:r>
        <w:rPr>
          <w:bCs/>
        </w:rPr>
        <w:t>: Concomitante à</w:t>
      </w:r>
      <w:r w:rsidRPr="00543D70">
        <w:rPr>
          <w:bCs/>
        </w:rPr>
        <w:t xml:space="preserve"> elaboração do diagnóstico e da identificação dos grupos de interesse, deverão ser organizadas reuniões para </w:t>
      </w:r>
      <w:r>
        <w:rPr>
          <w:bCs/>
        </w:rPr>
        <w:t xml:space="preserve">consulta e </w:t>
      </w:r>
      <w:r w:rsidRPr="00543D70">
        <w:rPr>
          <w:bCs/>
        </w:rPr>
        <w:t>discussão</w:t>
      </w:r>
      <w:r>
        <w:rPr>
          <w:bCs/>
        </w:rPr>
        <w:t xml:space="preserve"> sobre as demandas existentes sobre o entorno dos reservatórios</w:t>
      </w:r>
      <w:r w:rsidRPr="00543D70">
        <w:rPr>
          <w:bCs/>
        </w:rPr>
        <w:t>.</w:t>
      </w:r>
    </w:p>
    <w:p w:rsidR="00A82FDC" w:rsidRPr="00543D70" w:rsidRDefault="00A82FDC" w:rsidP="006434C6">
      <w:pPr>
        <w:pStyle w:val="Item-Trainho"/>
        <w:rPr>
          <w:bCs/>
        </w:rPr>
      </w:pPr>
      <w:r w:rsidRPr="00543D70">
        <w:rPr>
          <w:bCs/>
        </w:rPr>
        <w:t>Dentre os possíveis problemas existentes referentes ao zoneamento destacam-se: o acesso ao reservatório;</w:t>
      </w:r>
      <w:r>
        <w:rPr>
          <w:bCs/>
        </w:rPr>
        <w:t xml:space="preserve"> presença de moradores; </w:t>
      </w:r>
      <w:r w:rsidRPr="00543D70">
        <w:rPr>
          <w:bCs/>
        </w:rPr>
        <w:t>a existência de estradas e caminhos de acesso às propriedades lindeiras</w:t>
      </w:r>
      <w:r>
        <w:rPr>
          <w:bCs/>
        </w:rPr>
        <w:t>; desenvolvimento de</w:t>
      </w:r>
      <w:r w:rsidRPr="00543D70">
        <w:rPr>
          <w:bCs/>
        </w:rPr>
        <w:t xml:space="preserve"> atividades de lazer</w:t>
      </w:r>
      <w:r>
        <w:rPr>
          <w:bCs/>
        </w:rPr>
        <w:t xml:space="preserve"> e</w:t>
      </w:r>
      <w:r w:rsidRPr="00543D70">
        <w:rPr>
          <w:bCs/>
        </w:rPr>
        <w:t xml:space="preserve"> a dessedentação do gado. A discussão deverá ser direcionada para a busca de possíveis soluções.</w:t>
      </w:r>
    </w:p>
    <w:p w:rsidR="00A82FDC" w:rsidRPr="00EB325C" w:rsidRDefault="00A82FDC" w:rsidP="006434C6">
      <w:pPr>
        <w:spacing w:before="120" w:after="120" w:line="240" w:lineRule="auto"/>
        <w:ind w:left="397" w:hanging="397"/>
        <w:rPr>
          <w:rFonts w:cs="Arial"/>
          <w:bCs/>
        </w:rPr>
      </w:pPr>
      <w:r w:rsidRPr="006434C6">
        <w:rPr>
          <w:rStyle w:val="Item-TrainhoChar"/>
        </w:rPr>
        <w:t>-</w:t>
      </w:r>
      <w:r w:rsidR="006434C6">
        <w:rPr>
          <w:rStyle w:val="Item-TrainhoChar"/>
        </w:rPr>
        <w:tab/>
      </w:r>
      <w:r w:rsidRPr="006434C6">
        <w:rPr>
          <w:rStyle w:val="Item-TrainhoChar"/>
          <w:b/>
        </w:rPr>
        <w:t>Proposta de Zoneamento</w:t>
      </w:r>
      <w:r w:rsidRPr="006434C6">
        <w:rPr>
          <w:rStyle w:val="Item-TrainhoChar"/>
        </w:rPr>
        <w:t>: Com base nos dados obtidos no diagnóstico e nas consultas aos grupos de interesse deverá ser elaborada uma proposta de zoneamento, que é uma atividade do Plano Ambiental de Conservação e Uso do Entorno dos Reservatórios, incluindo o disciplinamento</w:t>
      </w:r>
      <w:r w:rsidRPr="00EB325C">
        <w:rPr>
          <w:rFonts w:cs="Arial"/>
          <w:bCs/>
        </w:rPr>
        <w:t xml:space="preserve"> do uso do entorno e do próprio reservatório.</w:t>
      </w:r>
    </w:p>
    <w:p w:rsidR="00A82FDC" w:rsidRPr="00C43414" w:rsidRDefault="00A82FDC" w:rsidP="00A82FDC">
      <w:pPr>
        <w:spacing w:before="120" w:after="120" w:line="240" w:lineRule="auto"/>
      </w:pPr>
      <w:r w:rsidRPr="00C43414">
        <w:t xml:space="preserve">Como exemplo, </w:t>
      </w:r>
      <w:r>
        <w:t>podem ser</w:t>
      </w:r>
      <w:r w:rsidRPr="00C43414">
        <w:t xml:space="preserve"> definidas, preliminarmente, as seguintes zonas:</w:t>
      </w:r>
    </w:p>
    <w:p w:rsidR="00A82FDC" w:rsidRPr="00C43414" w:rsidRDefault="00A82FDC" w:rsidP="00F94909">
      <w:pPr>
        <w:pStyle w:val="Item-Bolinha"/>
      </w:pPr>
      <w:r w:rsidRPr="00C43414">
        <w:t xml:space="preserve">Zona de Conservação Ambiental – destinada à preservação da vegetação natural e à proteção da fauna silvestre. Corresponde às Áreas de Preservação Permanente que possuem, atualmente, cobertura vegetal natural conservada. </w:t>
      </w:r>
    </w:p>
    <w:p w:rsidR="00A82FDC" w:rsidRPr="00C43414" w:rsidRDefault="00A82FDC" w:rsidP="00F94909">
      <w:pPr>
        <w:pStyle w:val="Item-Bolinha"/>
        <w:rPr>
          <w:snapToGrid w:val="0"/>
        </w:rPr>
      </w:pPr>
      <w:r w:rsidRPr="00C43414">
        <w:rPr>
          <w:snapToGrid w:val="0"/>
        </w:rPr>
        <w:t>Zona de Recuperação – corresponde às porções sem cobertura vegetal nativa da Área de Preservação Permanente, onde devem ser tomadas medidas para proteção e</w:t>
      </w:r>
      <w:r>
        <w:rPr>
          <w:snapToGrid w:val="0"/>
        </w:rPr>
        <w:t>/ou</w:t>
      </w:r>
      <w:r w:rsidRPr="00C43414">
        <w:rPr>
          <w:snapToGrid w:val="0"/>
        </w:rPr>
        <w:t xml:space="preserve"> plantio de espécies nativas, permitindo a evolução dos processos sucessionais de regeneração natural.</w:t>
      </w:r>
    </w:p>
    <w:p w:rsidR="00A82FDC" w:rsidRPr="00A2021E" w:rsidRDefault="00A82FDC" w:rsidP="00F94909">
      <w:pPr>
        <w:pStyle w:val="Item-Bolinha"/>
      </w:pPr>
      <w:r w:rsidRPr="00C43414">
        <w:t xml:space="preserve">Zona de Uso Especifico – </w:t>
      </w:r>
      <w:r>
        <w:t>correspondem à</w:t>
      </w:r>
      <w:r w:rsidRPr="00C43414">
        <w:t xml:space="preserve"> </w:t>
      </w:r>
      <w:r>
        <w:t>aqueles setores</w:t>
      </w:r>
      <w:r w:rsidRPr="00C43414">
        <w:t xml:space="preserve"> </w:t>
      </w:r>
      <w:r>
        <w:t xml:space="preserve">da Área de Preservação Permanente </w:t>
      </w:r>
      <w:r w:rsidRPr="00C43414">
        <w:t xml:space="preserve">a serem </w:t>
      </w:r>
      <w:r>
        <w:t>destinadas a</w:t>
      </w:r>
      <w:r w:rsidRPr="00C43414">
        <w:t xml:space="preserve"> outros usos de interesse social, não necessariamente de responsabilidade do empreendedor, como aquelas para implantação de polos de turismo</w:t>
      </w:r>
      <w:r>
        <w:t>,</w:t>
      </w:r>
      <w:r w:rsidRPr="00C43414">
        <w:t xml:space="preserve"> lazer</w:t>
      </w:r>
      <w:r>
        <w:t xml:space="preserve"> e recreação. Estas áreas </w:t>
      </w:r>
      <w:r w:rsidRPr="00A2021E">
        <w:t>não pode</w:t>
      </w:r>
      <w:r>
        <w:t>m</w:t>
      </w:r>
      <w:r w:rsidRPr="00A2021E">
        <w:t xml:space="preserve"> exceder </w:t>
      </w:r>
      <w:r>
        <w:t>10 (</w:t>
      </w:r>
      <w:r w:rsidRPr="00A2021E">
        <w:t>dez</w:t>
      </w:r>
      <w:r>
        <w:t>)</w:t>
      </w:r>
      <w:r w:rsidRPr="00A2021E">
        <w:t xml:space="preserve"> por cento da área total do entorno do</w:t>
      </w:r>
      <w:r>
        <w:t>s</w:t>
      </w:r>
      <w:r w:rsidRPr="00A2021E">
        <w:t xml:space="preserve"> reservatório</w:t>
      </w:r>
      <w:r>
        <w:t>s</w:t>
      </w:r>
      <w:r w:rsidRPr="00A2021E">
        <w:t>.</w:t>
      </w:r>
    </w:p>
    <w:p w:rsidR="00A82FDC" w:rsidRPr="00C43414" w:rsidRDefault="00A82FDC" w:rsidP="00F94909">
      <w:pPr>
        <w:pStyle w:val="Item-Bolinha"/>
      </w:pPr>
      <w:r>
        <w:t>Zona de Uso Restrito – Esta zona está relacionada com a área</w:t>
      </w:r>
      <w:r w:rsidRPr="00C43414">
        <w:t xml:space="preserve"> </w:t>
      </w:r>
      <w:r>
        <w:t>de</w:t>
      </w:r>
      <w:r w:rsidRPr="00C43414">
        <w:t xml:space="preserve"> operação do empreendimento nas proximidades das barragens e </w:t>
      </w:r>
      <w:r>
        <w:t xml:space="preserve">tomadas de água, de modo a garantir a segurança da população usuária do reservatório e da área de jusante da barragem. </w:t>
      </w:r>
    </w:p>
    <w:p w:rsidR="00A82FDC" w:rsidRPr="0006503B" w:rsidRDefault="00A82FDC" w:rsidP="006434C6">
      <w:pPr>
        <w:pStyle w:val="Item-Trainho"/>
      </w:pPr>
      <w:r w:rsidRPr="0006503B">
        <w:rPr>
          <w:b/>
        </w:rPr>
        <w:t>Consultas Públicas:</w:t>
      </w:r>
      <w:r w:rsidRPr="0006503B">
        <w:t xml:space="preserve"> Elaborada a proposta do Plano Ambiental de Conservação e Uso do Entorno dos Reservatórios, e antes da aprovação pelo órgão ambiental, deverão ser realizadas Consultas Públicas com a comunidade da área de inserção das Barragens Pedreira e Duas Pontes, na forma da Resolução </w:t>
      </w:r>
      <w:r w:rsidR="00504078">
        <w:t>CONAMA</w:t>
      </w:r>
      <w:r w:rsidRPr="0006503B">
        <w:t xml:space="preserve"> </w:t>
      </w:r>
      <w:r w:rsidR="003E4CBD">
        <w:rPr>
          <w:rFonts w:eastAsia="Batang"/>
          <w:lang w:eastAsia="en-US"/>
        </w:rPr>
        <w:t>n</w:t>
      </w:r>
      <w:r w:rsidR="003E4CBD">
        <w:rPr>
          <w:rFonts w:eastAsia="Batang"/>
          <w:u w:val="single"/>
          <w:vertAlign w:val="superscript"/>
          <w:lang w:eastAsia="en-US"/>
        </w:rPr>
        <w:t>o</w:t>
      </w:r>
      <w:r w:rsidRPr="0006503B">
        <w:t xml:space="preserve"> 09/1987, naquilo que for aplicável, informando-se ao Ministério Público com antecedência de trinta dias das respectivas datas das apresentações.</w:t>
      </w:r>
    </w:p>
    <w:p w:rsidR="00A82FDC" w:rsidRPr="00A82FDC" w:rsidRDefault="00A82FDC" w:rsidP="006434C6">
      <w:pPr>
        <w:spacing w:before="120" w:after="120" w:line="240" w:lineRule="auto"/>
        <w:ind w:left="426"/>
        <w:rPr>
          <w:rFonts w:cs="Arial"/>
        </w:rPr>
      </w:pPr>
      <w:r w:rsidRPr="00A82FDC">
        <w:rPr>
          <w:rFonts w:cs="Arial"/>
        </w:rPr>
        <w:t>Do mesmo modo na análise do PACUERA deverá ser ouvido o Comitê das Bacias Hidrográficas dos Rios Piracicaba, Capivari e Jundiaí – PCJ.</w:t>
      </w:r>
    </w:p>
    <w:p w:rsidR="00A82FDC" w:rsidRPr="00421CA8" w:rsidRDefault="00A82FDC" w:rsidP="006434C6">
      <w:pPr>
        <w:pStyle w:val="Item-Trainho"/>
      </w:pPr>
      <w:r w:rsidRPr="00421CA8">
        <w:t xml:space="preserve">Implantação do Plano: </w:t>
      </w:r>
    </w:p>
    <w:p w:rsidR="00A82FDC" w:rsidRPr="005E1B89" w:rsidRDefault="00A82FDC" w:rsidP="006434C6">
      <w:pPr>
        <w:pStyle w:val="Corpodetexto"/>
        <w:tabs>
          <w:tab w:val="num" w:pos="993"/>
        </w:tabs>
        <w:ind w:left="426"/>
        <w:rPr>
          <w:szCs w:val="22"/>
        </w:rPr>
      </w:pPr>
      <w:r w:rsidRPr="005E1B89">
        <w:rPr>
          <w:szCs w:val="22"/>
        </w:rPr>
        <w:t>Após a validação do Plano pela comunidade e aprovação pel</w:t>
      </w:r>
      <w:r>
        <w:rPr>
          <w:szCs w:val="22"/>
        </w:rPr>
        <w:t>a CETESB</w:t>
      </w:r>
      <w:r w:rsidRPr="005E1B89">
        <w:rPr>
          <w:szCs w:val="22"/>
        </w:rPr>
        <w:t xml:space="preserve">, este deverá ser implantado pelo empreendedor naquilo que lhe couber. </w:t>
      </w:r>
    </w:p>
    <w:p w:rsidR="00A82FDC" w:rsidRPr="006434C6" w:rsidRDefault="006434C6" w:rsidP="006434C6">
      <w:pPr>
        <w:pStyle w:val="Ttulo3"/>
        <w:rPr>
          <w:rFonts w:ascii="Arial Negrito" w:hAnsi="Arial Negrito"/>
          <w:bCs/>
        </w:rPr>
      </w:pPr>
      <w:bookmarkStart w:id="1708" w:name="_Toc418758626"/>
      <w:bookmarkStart w:id="1709" w:name="_Toc418759228"/>
      <w:bookmarkStart w:id="1710" w:name="_Toc419814013"/>
      <w:r>
        <w:rPr>
          <w:rFonts w:ascii="Arial Negrito" w:hAnsi="Arial Negrito"/>
          <w:bCs/>
        </w:rPr>
        <w:t xml:space="preserve">3.5.8.6. </w:t>
      </w:r>
      <w:r w:rsidR="00A82FDC" w:rsidRPr="006434C6">
        <w:rPr>
          <w:rFonts w:ascii="Arial Negrito" w:hAnsi="Arial Negrito"/>
          <w:bCs/>
        </w:rPr>
        <w:t>Indicadores Ambientais</w:t>
      </w:r>
      <w:bookmarkEnd w:id="1708"/>
      <w:bookmarkEnd w:id="1709"/>
      <w:bookmarkEnd w:id="1710"/>
    </w:p>
    <w:p w:rsidR="00A82FDC" w:rsidRDefault="00A82FDC" w:rsidP="00A82FDC">
      <w:pPr>
        <w:rPr>
          <w:rFonts w:cs="Arial"/>
          <w:spacing w:val="-2"/>
        </w:rPr>
      </w:pPr>
      <w:r>
        <w:rPr>
          <w:rFonts w:cs="Arial"/>
          <w:spacing w:val="-2"/>
        </w:rPr>
        <w:t>Como indicadores serão utilizados:</w:t>
      </w:r>
    </w:p>
    <w:p w:rsidR="00A82FDC" w:rsidRPr="005E1B89" w:rsidRDefault="00A82FDC" w:rsidP="00F94909">
      <w:pPr>
        <w:pStyle w:val="Item-Bolinha"/>
      </w:pPr>
      <w:r w:rsidRPr="005E1B89">
        <w:t>Estabelecimento de conectividade entre remanescentes naturais.</w:t>
      </w:r>
    </w:p>
    <w:p w:rsidR="00A82FDC" w:rsidRPr="005E1B89" w:rsidRDefault="00A82FDC" w:rsidP="00F94909">
      <w:pPr>
        <w:pStyle w:val="Item-Bolinha"/>
      </w:pPr>
      <w:r w:rsidRPr="005E1B89">
        <w:t>Área recuperada em relação à área total degradada na APP.</w:t>
      </w:r>
    </w:p>
    <w:p w:rsidR="00A82FDC" w:rsidRPr="008859B9" w:rsidRDefault="00A82FDC" w:rsidP="00F94909">
      <w:pPr>
        <w:pStyle w:val="Item-Bolinha"/>
      </w:pPr>
      <w:r w:rsidRPr="008859B9">
        <w:t>Número de mudas plantadas</w:t>
      </w:r>
      <w:r>
        <w:t>/</w:t>
      </w:r>
      <w:r w:rsidRPr="008859B9">
        <w:t>mês</w:t>
      </w:r>
      <w:r>
        <w:t>.</w:t>
      </w:r>
    </w:p>
    <w:p w:rsidR="00A82FDC" w:rsidRPr="008859B9" w:rsidRDefault="00A82FDC" w:rsidP="00F94909">
      <w:pPr>
        <w:pStyle w:val="Item-Bolinha"/>
      </w:pPr>
      <w:r>
        <w:t>Percentual de reposição</w:t>
      </w:r>
      <w:r w:rsidRPr="008859B9">
        <w:t xml:space="preserve"> de mudas </w:t>
      </w:r>
      <w:r>
        <w:t>por área/</w:t>
      </w:r>
      <w:r w:rsidRPr="008859B9">
        <w:t>mês</w:t>
      </w:r>
      <w:r>
        <w:t>.</w:t>
      </w:r>
    </w:p>
    <w:p w:rsidR="00A82FDC" w:rsidRPr="006434C6" w:rsidRDefault="006434C6" w:rsidP="006434C6">
      <w:pPr>
        <w:pStyle w:val="Ttulo3"/>
        <w:rPr>
          <w:rFonts w:ascii="Arial Negrito" w:hAnsi="Arial Negrito"/>
          <w:bCs/>
        </w:rPr>
      </w:pPr>
      <w:bookmarkStart w:id="1711" w:name="_Toc418758627"/>
      <w:bookmarkStart w:id="1712" w:name="_Toc418759229"/>
      <w:bookmarkStart w:id="1713" w:name="_Toc419814014"/>
      <w:r>
        <w:rPr>
          <w:rFonts w:ascii="Arial Negrito" w:hAnsi="Arial Negrito"/>
          <w:bCs/>
        </w:rPr>
        <w:t xml:space="preserve">3.5.8.7. </w:t>
      </w:r>
      <w:r w:rsidR="00A82FDC" w:rsidRPr="006434C6">
        <w:rPr>
          <w:rFonts w:ascii="Arial Negrito" w:hAnsi="Arial Negrito"/>
          <w:bCs/>
        </w:rPr>
        <w:t>Recursos Materiais e Humanos</w:t>
      </w:r>
      <w:bookmarkEnd w:id="1711"/>
      <w:bookmarkEnd w:id="1712"/>
      <w:bookmarkEnd w:id="1713"/>
    </w:p>
    <w:p w:rsidR="00A82FDC" w:rsidRDefault="00A82FDC" w:rsidP="00A82FDC">
      <w:pPr>
        <w:pStyle w:val="SPE-Texto"/>
        <w:spacing w:before="120" w:after="120"/>
        <w:rPr>
          <w:rFonts w:ascii="Arial" w:hAnsi="Arial" w:cs="Arial"/>
          <w:sz w:val="22"/>
          <w:szCs w:val="22"/>
        </w:rPr>
      </w:pPr>
      <w:r w:rsidRPr="00F36F44">
        <w:rPr>
          <w:rFonts w:ascii="Arial" w:hAnsi="Arial" w:cs="Arial"/>
          <w:sz w:val="22"/>
          <w:szCs w:val="22"/>
        </w:rPr>
        <w:t xml:space="preserve">O </w:t>
      </w:r>
      <w:r>
        <w:rPr>
          <w:rFonts w:ascii="Arial" w:hAnsi="Arial" w:cs="Arial"/>
          <w:sz w:val="22"/>
          <w:szCs w:val="22"/>
        </w:rPr>
        <w:t>E</w:t>
      </w:r>
      <w:r w:rsidRPr="00F36F44">
        <w:rPr>
          <w:rFonts w:ascii="Arial" w:hAnsi="Arial" w:cs="Arial"/>
          <w:sz w:val="22"/>
          <w:szCs w:val="22"/>
        </w:rPr>
        <w:t xml:space="preserve">mpreendedor deverá contratar os serviços </w:t>
      </w:r>
      <w:r>
        <w:rPr>
          <w:rFonts w:ascii="Arial" w:hAnsi="Arial" w:cs="Arial"/>
          <w:sz w:val="22"/>
          <w:szCs w:val="22"/>
        </w:rPr>
        <w:t xml:space="preserve">de profissionais especializados em planejamento e reflorestamento para a execução das atividades preconizadas neste programa ambiental. A multiplicação de mudas deverá ser realizada por viveiros localizados na região de localização das Barragens. </w:t>
      </w:r>
      <w:r w:rsidRPr="00F36F44">
        <w:rPr>
          <w:rFonts w:ascii="Arial" w:hAnsi="Arial" w:cs="Arial"/>
          <w:sz w:val="22"/>
          <w:szCs w:val="22"/>
        </w:rPr>
        <w:t xml:space="preserve">Os recursos materiais necessários </w:t>
      </w:r>
      <w:r>
        <w:rPr>
          <w:rFonts w:ascii="Arial" w:hAnsi="Arial" w:cs="Arial"/>
          <w:sz w:val="22"/>
          <w:szCs w:val="22"/>
        </w:rPr>
        <w:t xml:space="preserve">para a execução desse programa ambiental </w:t>
      </w:r>
      <w:r w:rsidRPr="00F36F44">
        <w:rPr>
          <w:rFonts w:ascii="Arial" w:hAnsi="Arial" w:cs="Arial"/>
          <w:sz w:val="22"/>
          <w:szCs w:val="22"/>
        </w:rPr>
        <w:t>serão disponibilizados pel</w:t>
      </w:r>
      <w:r>
        <w:rPr>
          <w:rFonts w:ascii="Arial" w:hAnsi="Arial" w:cs="Arial"/>
          <w:sz w:val="22"/>
          <w:szCs w:val="22"/>
        </w:rPr>
        <w:t>o Empreendedor.</w:t>
      </w:r>
    </w:p>
    <w:p w:rsidR="00A82FDC" w:rsidRPr="006434C6" w:rsidRDefault="006434C6" w:rsidP="006434C6">
      <w:pPr>
        <w:pStyle w:val="Ttulo3"/>
        <w:rPr>
          <w:rFonts w:ascii="Arial Negrito" w:hAnsi="Arial Negrito"/>
          <w:bCs/>
        </w:rPr>
      </w:pPr>
      <w:bookmarkStart w:id="1714" w:name="_Toc418758628"/>
      <w:bookmarkStart w:id="1715" w:name="_Toc418759230"/>
      <w:bookmarkStart w:id="1716" w:name="_Toc419814015"/>
      <w:r>
        <w:rPr>
          <w:rFonts w:ascii="Arial Negrito" w:hAnsi="Arial Negrito"/>
          <w:bCs/>
        </w:rPr>
        <w:t xml:space="preserve">3.5.8.8. </w:t>
      </w:r>
      <w:r w:rsidR="00A82FDC" w:rsidRPr="006434C6">
        <w:rPr>
          <w:rFonts w:ascii="Arial Negrito" w:hAnsi="Arial Negrito"/>
          <w:bCs/>
        </w:rPr>
        <w:t>Atendimento a Requisitos Legais e/ou outros Requisitos</w:t>
      </w:r>
      <w:bookmarkEnd w:id="1714"/>
      <w:bookmarkEnd w:id="1715"/>
      <w:bookmarkEnd w:id="1716"/>
    </w:p>
    <w:p w:rsidR="00A82FDC" w:rsidRDefault="00A82FDC" w:rsidP="008F57E4">
      <w:pPr>
        <w:spacing w:before="120" w:line="240" w:lineRule="auto"/>
        <w:rPr>
          <w:rFonts w:cs="Arial"/>
        </w:rPr>
      </w:pPr>
      <w:r>
        <w:rPr>
          <w:rFonts w:cs="Arial"/>
        </w:rPr>
        <w:t>A elaboração do Plano Ambiental de Conservação e Uso do Entorno dos Reservatórios atende a aos seguintes requisitos Legais:</w:t>
      </w:r>
    </w:p>
    <w:p w:rsidR="00A82FDC" w:rsidRDefault="00A82FDC" w:rsidP="00F94909">
      <w:pPr>
        <w:pStyle w:val="Item-Trainho"/>
      </w:pPr>
      <w:r>
        <w:t xml:space="preserve">Lei </w:t>
      </w:r>
      <w:r w:rsidR="003E4CBD">
        <w:rPr>
          <w:rFonts w:eastAsia="Batang"/>
          <w:lang w:eastAsia="en-US"/>
        </w:rPr>
        <w:t>n</w:t>
      </w:r>
      <w:r w:rsidR="003E4CBD">
        <w:rPr>
          <w:rFonts w:eastAsia="Batang"/>
          <w:u w:val="single"/>
          <w:vertAlign w:val="superscript"/>
          <w:lang w:eastAsia="en-US"/>
        </w:rPr>
        <w:t>o</w:t>
      </w:r>
      <w:r>
        <w:t xml:space="preserve"> 12.651, de 25 de maio de 2012, que dispõe sobre a proteção da vegetação nativa;</w:t>
      </w:r>
    </w:p>
    <w:p w:rsidR="00A82FDC" w:rsidRDefault="00A82FDC" w:rsidP="00F94909">
      <w:pPr>
        <w:pStyle w:val="Item-Trainho"/>
      </w:pPr>
      <w:r>
        <w:t xml:space="preserve">Lei </w:t>
      </w:r>
      <w:r w:rsidR="003E4CBD">
        <w:rPr>
          <w:rFonts w:eastAsia="Batang"/>
          <w:lang w:eastAsia="en-US"/>
        </w:rPr>
        <w:t>n</w:t>
      </w:r>
      <w:r w:rsidR="003E4CBD">
        <w:rPr>
          <w:rFonts w:eastAsia="Batang"/>
          <w:u w:val="single"/>
          <w:vertAlign w:val="superscript"/>
          <w:lang w:eastAsia="en-US"/>
        </w:rPr>
        <w:t>o</w:t>
      </w:r>
      <w:r>
        <w:t xml:space="preserve"> 12.727, de 17 de outubro de 2012, que altera a Lei </w:t>
      </w:r>
      <w:r w:rsidR="003E4CBD">
        <w:rPr>
          <w:rFonts w:eastAsia="Batang"/>
          <w:lang w:eastAsia="en-US"/>
        </w:rPr>
        <w:t>n</w:t>
      </w:r>
      <w:r w:rsidR="003E4CBD">
        <w:rPr>
          <w:rFonts w:eastAsia="Batang"/>
          <w:u w:val="single"/>
          <w:vertAlign w:val="superscript"/>
          <w:lang w:eastAsia="en-US"/>
        </w:rPr>
        <w:t>o</w:t>
      </w:r>
      <w:r>
        <w:t xml:space="preserve"> 12.651/2012;</w:t>
      </w:r>
    </w:p>
    <w:p w:rsidR="00A82FDC" w:rsidRDefault="00A82FDC" w:rsidP="00F94909">
      <w:pPr>
        <w:pStyle w:val="Item-Trainho"/>
      </w:pPr>
      <w:r>
        <w:t xml:space="preserve">Resolução </w:t>
      </w:r>
      <w:r w:rsidR="00504078">
        <w:t>CONAMA</w:t>
      </w:r>
      <w:r>
        <w:t xml:space="preserve"> </w:t>
      </w:r>
      <w:r w:rsidR="003E4CBD">
        <w:rPr>
          <w:rFonts w:eastAsia="Batang"/>
          <w:lang w:eastAsia="en-US"/>
        </w:rPr>
        <w:t>n</w:t>
      </w:r>
      <w:r w:rsidR="003E4CBD">
        <w:rPr>
          <w:rFonts w:eastAsia="Batang"/>
          <w:u w:val="single"/>
          <w:vertAlign w:val="superscript"/>
          <w:lang w:eastAsia="en-US"/>
        </w:rPr>
        <w:t>o</w:t>
      </w:r>
      <w:r>
        <w:t xml:space="preserve"> 302, de 20 de março de 2002, que dispõe sobre os parâmetros, definições e limites de Áreas de Preservação Permanente de reservatórios artificiais e regime de uso do entorno.</w:t>
      </w:r>
    </w:p>
    <w:p w:rsidR="00A82FDC" w:rsidRPr="00115ED1" w:rsidRDefault="00A82FDC" w:rsidP="00F94909">
      <w:pPr>
        <w:pStyle w:val="Item-Trainho"/>
      </w:pPr>
      <w:r w:rsidRPr="000E3EC4">
        <w:t xml:space="preserve">Termo de Referência DAIA/CETESB - Parecer Técnico </w:t>
      </w:r>
      <w:r w:rsidR="003E4CBD">
        <w:rPr>
          <w:rFonts w:eastAsia="Batang"/>
          <w:lang w:eastAsia="en-US"/>
        </w:rPr>
        <w:t>n</w:t>
      </w:r>
      <w:r w:rsidR="003E4CBD">
        <w:rPr>
          <w:rFonts w:eastAsia="Batang"/>
          <w:u w:val="single"/>
          <w:vertAlign w:val="superscript"/>
          <w:lang w:eastAsia="en-US"/>
        </w:rPr>
        <w:t>o</w:t>
      </w:r>
      <w:r w:rsidRPr="000E3EC4">
        <w:t xml:space="preserve"> 410/13/IE – 2013, Processo 189/13.</w:t>
      </w:r>
    </w:p>
    <w:p w:rsidR="00A82FDC" w:rsidRPr="006434C6" w:rsidRDefault="006434C6" w:rsidP="006434C6">
      <w:pPr>
        <w:pStyle w:val="Ttulo3"/>
        <w:rPr>
          <w:rFonts w:ascii="Arial Negrito" w:hAnsi="Arial Negrito"/>
          <w:bCs/>
        </w:rPr>
      </w:pPr>
      <w:bookmarkStart w:id="1717" w:name="_Toc418758629"/>
      <w:bookmarkStart w:id="1718" w:name="_Toc418759231"/>
      <w:bookmarkStart w:id="1719" w:name="_Toc419814016"/>
      <w:r>
        <w:rPr>
          <w:rFonts w:ascii="Arial Negrito" w:hAnsi="Arial Negrito"/>
          <w:bCs/>
        </w:rPr>
        <w:t xml:space="preserve">3.5.8.9. </w:t>
      </w:r>
      <w:r w:rsidR="00A82FDC" w:rsidRPr="006434C6">
        <w:rPr>
          <w:rFonts w:ascii="Arial Negrito" w:hAnsi="Arial Negrito"/>
          <w:bCs/>
        </w:rPr>
        <w:t>Inter-relação com outros Planos e Programas</w:t>
      </w:r>
      <w:bookmarkEnd w:id="1717"/>
      <w:bookmarkEnd w:id="1718"/>
      <w:bookmarkEnd w:id="1719"/>
    </w:p>
    <w:p w:rsidR="00A82FDC" w:rsidRDefault="00A82FDC" w:rsidP="008F57E4">
      <w:pPr>
        <w:spacing w:before="120" w:line="240" w:lineRule="auto"/>
        <w:rPr>
          <w:rFonts w:cs="Arial"/>
          <w:spacing w:val="-2"/>
        </w:rPr>
      </w:pPr>
      <w:r>
        <w:rPr>
          <w:rFonts w:cs="Arial"/>
          <w:spacing w:val="-2"/>
        </w:rPr>
        <w:t>O programa encontra-se relacionado com os programas ambientais</w:t>
      </w:r>
    </w:p>
    <w:p w:rsidR="00A82FDC" w:rsidRDefault="00A82FDC" w:rsidP="00F94909">
      <w:pPr>
        <w:pStyle w:val="Item-Trainho"/>
      </w:pPr>
      <w:r w:rsidRPr="00CA4D12">
        <w:t>Programa de Revegetação e Enriquecimento Florestal</w:t>
      </w:r>
      <w:r>
        <w:t>;</w:t>
      </w:r>
    </w:p>
    <w:p w:rsidR="00A82FDC" w:rsidRDefault="00A82FDC" w:rsidP="00F94909">
      <w:pPr>
        <w:pStyle w:val="Item-Trainho"/>
        <w:rPr>
          <w:rFonts w:cs="Arial"/>
          <w:spacing w:val="-2"/>
        </w:rPr>
      </w:pPr>
      <w:r w:rsidRPr="00CA4D12">
        <w:t>Subprograma Programa de Reflorestamento da APP do Futuro Reservatório;</w:t>
      </w:r>
    </w:p>
    <w:p w:rsidR="00A82FDC" w:rsidRDefault="00A82FDC" w:rsidP="00F94909">
      <w:pPr>
        <w:pStyle w:val="Item-Trainho"/>
      </w:pPr>
      <w:r w:rsidRPr="00CA4D12">
        <w:t>Subprograma de Salvamento de Germoplasma Vegetal e Instalação e Operação de Viveiro de Mudas</w:t>
      </w:r>
      <w:r>
        <w:t>.</w:t>
      </w:r>
    </w:p>
    <w:p w:rsidR="00A82FDC" w:rsidRPr="006434C6" w:rsidRDefault="006434C6" w:rsidP="006434C6">
      <w:pPr>
        <w:pStyle w:val="Ttulo3"/>
        <w:rPr>
          <w:rFonts w:ascii="Arial Negrito" w:hAnsi="Arial Negrito"/>
          <w:bCs/>
        </w:rPr>
      </w:pPr>
      <w:bookmarkStart w:id="1720" w:name="_Toc418758630"/>
      <w:bookmarkStart w:id="1721" w:name="_Toc418759232"/>
      <w:bookmarkStart w:id="1722" w:name="_Toc419814017"/>
      <w:r>
        <w:rPr>
          <w:rFonts w:ascii="Arial Negrito" w:hAnsi="Arial Negrito"/>
          <w:bCs/>
        </w:rPr>
        <w:t xml:space="preserve">3.5.8.10. </w:t>
      </w:r>
      <w:r w:rsidR="00A82FDC" w:rsidRPr="006434C6">
        <w:rPr>
          <w:rFonts w:ascii="Arial Negrito" w:hAnsi="Arial Negrito"/>
          <w:bCs/>
        </w:rPr>
        <w:t>Etapa dos Empreendimentos</w:t>
      </w:r>
      <w:bookmarkEnd w:id="1720"/>
      <w:bookmarkEnd w:id="1721"/>
      <w:bookmarkEnd w:id="1722"/>
    </w:p>
    <w:p w:rsidR="00A82FDC" w:rsidRPr="00A82FDC" w:rsidRDefault="00A82FDC" w:rsidP="00A82FDC">
      <w:pPr>
        <w:spacing w:before="120" w:after="120" w:line="240" w:lineRule="auto"/>
        <w:rPr>
          <w:rFonts w:cs="Arial"/>
        </w:rPr>
      </w:pPr>
      <w:r w:rsidRPr="00A82FDC">
        <w:rPr>
          <w:rFonts w:cs="Arial"/>
        </w:rPr>
        <w:t xml:space="preserve">O Plano Ambiental de Conservação e Uso do Entorno dos Reservatórios deverá ser executado na fase de </w:t>
      </w:r>
      <w:r w:rsidR="008F57E4">
        <w:rPr>
          <w:rFonts w:cs="Arial"/>
        </w:rPr>
        <w:t xml:space="preserve">Implantação </w:t>
      </w:r>
      <w:r w:rsidRPr="00A82FDC">
        <w:rPr>
          <w:rFonts w:cs="Arial"/>
        </w:rPr>
        <w:t>das Barragens Pedreira e Duas Pontes.</w:t>
      </w:r>
    </w:p>
    <w:p w:rsidR="00A82FDC" w:rsidRPr="006434C6" w:rsidRDefault="006434C6" w:rsidP="006434C6">
      <w:pPr>
        <w:pStyle w:val="Ttulo3"/>
        <w:rPr>
          <w:rFonts w:ascii="Arial Negrito" w:hAnsi="Arial Negrito"/>
          <w:bCs/>
        </w:rPr>
      </w:pPr>
      <w:bookmarkStart w:id="1723" w:name="_Toc418758631"/>
      <w:bookmarkStart w:id="1724" w:name="_Toc418759233"/>
      <w:bookmarkStart w:id="1725" w:name="_Toc419814018"/>
      <w:r>
        <w:rPr>
          <w:rFonts w:ascii="Arial Negrito" w:hAnsi="Arial Negrito"/>
          <w:bCs/>
        </w:rPr>
        <w:t xml:space="preserve">3.5.8.11. </w:t>
      </w:r>
      <w:r w:rsidR="00A82FDC" w:rsidRPr="006434C6">
        <w:rPr>
          <w:rFonts w:ascii="Arial Negrito" w:hAnsi="Arial Negrito"/>
          <w:bCs/>
        </w:rPr>
        <w:t>Cronograma de Execução</w:t>
      </w:r>
      <w:bookmarkEnd w:id="1723"/>
      <w:bookmarkEnd w:id="1724"/>
      <w:bookmarkEnd w:id="1725"/>
    </w:p>
    <w:p w:rsidR="00A82FDC" w:rsidRPr="005871F8" w:rsidRDefault="00A82FDC" w:rsidP="00F94909">
      <w:pPr>
        <w:pStyle w:val="Item-Trainho"/>
      </w:pPr>
      <w:r w:rsidRPr="00732108">
        <w:rPr>
          <w:b/>
        </w:rPr>
        <w:t>Termo de Referência:</w:t>
      </w:r>
      <w:r>
        <w:t xml:space="preserve"> a ser solicitado na fase de desenvolvimento dos Projetos Básicos Ambientais (PBA), necessários para o requerimento da Licença de Instalação. </w:t>
      </w:r>
    </w:p>
    <w:p w:rsidR="00A82FDC" w:rsidRDefault="00A82FDC" w:rsidP="00F94909">
      <w:pPr>
        <w:pStyle w:val="Item-Trainho"/>
        <w:rPr>
          <w:bCs/>
        </w:rPr>
      </w:pPr>
      <w:r>
        <w:rPr>
          <w:b/>
          <w:bCs/>
        </w:rPr>
        <w:t>Diagnóstico:</w:t>
      </w:r>
      <w:r>
        <w:rPr>
          <w:bCs/>
        </w:rPr>
        <w:t xml:space="preserve"> Deverá ser elaborado após a emissão do Termo de Referência pelo Órgão Ambiental responsável pelo licenciamento ambiental das Barragens Pedreira e Duas Pontes. Estima-se que o Diagnóstico seja realizado após a concessão da Licença de Instalação (LI).</w:t>
      </w:r>
    </w:p>
    <w:p w:rsidR="00A82FDC" w:rsidRDefault="00A82FDC" w:rsidP="00F94909">
      <w:pPr>
        <w:pStyle w:val="Item-Trainho"/>
        <w:rPr>
          <w:bCs/>
        </w:rPr>
      </w:pPr>
      <w:r w:rsidRPr="00A81DAE">
        <w:rPr>
          <w:b/>
          <w:bCs/>
        </w:rPr>
        <w:t>Consultas aos Grupos de Interesse sobre o Zoneamento:</w:t>
      </w:r>
      <w:r w:rsidRPr="00A81DAE">
        <w:rPr>
          <w:bCs/>
        </w:rPr>
        <w:t xml:space="preserve"> </w:t>
      </w:r>
      <w:r>
        <w:rPr>
          <w:bCs/>
        </w:rPr>
        <w:t>Esta atividade deverá ser realizada paralelamente ao desenvolvimento do Diagnóstico, de modo a incluir os resultados das demandas da população nas propostas de zoneamento das APPs.</w:t>
      </w:r>
    </w:p>
    <w:p w:rsidR="00A82FDC" w:rsidRPr="00B524B5" w:rsidRDefault="00A82FDC" w:rsidP="00F94909">
      <w:pPr>
        <w:pStyle w:val="Item-Trainho"/>
      </w:pPr>
      <w:r w:rsidRPr="00794242">
        <w:rPr>
          <w:b/>
        </w:rPr>
        <w:t>Proposta de Zoneamento:</w:t>
      </w:r>
      <w:r w:rsidRPr="00B524B5">
        <w:t xml:space="preserve"> </w:t>
      </w:r>
      <w:r>
        <w:t xml:space="preserve">A conclusão do Diagnóstico será a proposta de Zoneamento das </w:t>
      </w:r>
      <w:r w:rsidRPr="00B524B5">
        <w:t>A</w:t>
      </w:r>
      <w:r>
        <w:t xml:space="preserve">PPs, devendo ser finalizada na fase anterior à outorga da Licença de Operação. </w:t>
      </w:r>
    </w:p>
    <w:p w:rsidR="00A82FDC" w:rsidRDefault="00A82FDC" w:rsidP="00F94909">
      <w:pPr>
        <w:pStyle w:val="Item-Trainho"/>
        <w:rPr>
          <w:bCs/>
        </w:rPr>
      </w:pPr>
      <w:r w:rsidRPr="00732108">
        <w:rPr>
          <w:b/>
        </w:rPr>
        <w:t>Consultas Públicas:</w:t>
      </w:r>
      <w:r w:rsidRPr="005871F8">
        <w:t xml:space="preserve"> </w:t>
      </w:r>
      <w:r>
        <w:t xml:space="preserve">Deverão ser realizadas após a elaboração do detalhamento dos estudos e elaborada a proposta de zoneamento de uso da APP, estimando-se que as consultas públicas </w:t>
      </w:r>
      <w:r>
        <w:rPr>
          <w:bCs/>
        </w:rPr>
        <w:t>sejam realizadas na fase de requerimento da Licença de Operação (LO).</w:t>
      </w:r>
    </w:p>
    <w:p w:rsidR="00A82FDC" w:rsidRDefault="00A82FDC" w:rsidP="00F94909">
      <w:pPr>
        <w:pStyle w:val="Item-Trainho"/>
        <w:rPr>
          <w:bCs/>
        </w:rPr>
      </w:pPr>
      <w:r w:rsidRPr="00A43E9E">
        <w:rPr>
          <w:b/>
          <w:bCs/>
        </w:rPr>
        <w:t>Implantação do Plano:</w:t>
      </w:r>
      <w:r w:rsidRPr="00A43E9E">
        <w:rPr>
          <w:bCs/>
        </w:rPr>
        <w:t xml:space="preserve"> </w:t>
      </w:r>
      <w:r>
        <w:rPr>
          <w:bCs/>
        </w:rPr>
        <w:t xml:space="preserve">A implantação do </w:t>
      </w:r>
      <w:r w:rsidRPr="00A43E9E">
        <w:rPr>
          <w:bCs/>
        </w:rPr>
        <w:t>Plano Ambiental de Conservação e Uso do Entorno dos Reservatórios</w:t>
      </w:r>
      <w:r>
        <w:rPr>
          <w:bCs/>
        </w:rPr>
        <w:t xml:space="preserve"> deverá ter início logo após a sua aprovação por parte da CETESB, estimando-se que isso ocorra antes da outorga da Licença de Operação.  </w:t>
      </w:r>
    </w:p>
    <w:p w:rsidR="00A82FDC" w:rsidRPr="0069393D" w:rsidRDefault="0069393D" w:rsidP="0069393D">
      <w:pPr>
        <w:pStyle w:val="Ttulo3"/>
        <w:rPr>
          <w:rFonts w:ascii="Arial Negrito" w:hAnsi="Arial Negrito"/>
          <w:bCs/>
        </w:rPr>
      </w:pPr>
      <w:bookmarkStart w:id="1726" w:name="_Toc418758632"/>
      <w:bookmarkStart w:id="1727" w:name="_Toc418759234"/>
      <w:bookmarkStart w:id="1728" w:name="_Toc419814019"/>
      <w:r>
        <w:rPr>
          <w:rFonts w:ascii="Arial Negrito" w:hAnsi="Arial Negrito"/>
          <w:bCs/>
        </w:rPr>
        <w:t xml:space="preserve">3.5.8.12. </w:t>
      </w:r>
      <w:r w:rsidR="00A82FDC" w:rsidRPr="0069393D">
        <w:rPr>
          <w:rFonts w:ascii="Arial Negrito" w:hAnsi="Arial Negrito"/>
          <w:bCs/>
        </w:rPr>
        <w:t>Responsável pela Implementação do Programa</w:t>
      </w:r>
      <w:bookmarkEnd w:id="1726"/>
      <w:bookmarkEnd w:id="1727"/>
      <w:bookmarkEnd w:id="1728"/>
    </w:p>
    <w:p w:rsidR="00A82FDC" w:rsidRDefault="00A82FDC" w:rsidP="00A82FDC">
      <w:pPr>
        <w:spacing w:before="120" w:after="120" w:line="240" w:lineRule="auto"/>
        <w:rPr>
          <w:rFonts w:cs="Arial"/>
        </w:rPr>
      </w:pPr>
      <w:r w:rsidRPr="00F54655">
        <w:t>Este programa deverá ser implementado pelo empreendedor</w:t>
      </w:r>
      <w:r>
        <w:t xml:space="preserve"> responsável pela construção das Barragens Pedreira e Duas Pontes</w:t>
      </w:r>
      <w:r w:rsidRPr="00F54655">
        <w:t xml:space="preserve">, devendo, o mesmo </w:t>
      </w:r>
      <w:r>
        <w:t xml:space="preserve">contratar os serviços de equipe técnica adequada para a elaboração do </w:t>
      </w:r>
      <w:r>
        <w:rPr>
          <w:rFonts w:cs="Arial"/>
        </w:rPr>
        <w:t>Plano Ambiental de Conservação e Uso do Entorno dos Reservatórios, como também adotar as medidas necessárias à sua execução uma vez o Plano ser aprovado pelo órgão ambiental.</w:t>
      </w:r>
    </w:p>
    <w:p w:rsidR="00A82FDC" w:rsidRPr="0069393D" w:rsidRDefault="0069393D" w:rsidP="0069393D">
      <w:pPr>
        <w:pStyle w:val="Ttulo3"/>
        <w:rPr>
          <w:rFonts w:ascii="Arial Negrito" w:hAnsi="Arial Negrito"/>
          <w:bCs/>
        </w:rPr>
      </w:pPr>
      <w:bookmarkStart w:id="1729" w:name="_Toc418758633"/>
      <w:bookmarkStart w:id="1730" w:name="_Toc418759235"/>
      <w:bookmarkStart w:id="1731" w:name="_Toc419814020"/>
      <w:r>
        <w:rPr>
          <w:rFonts w:ascii="Arial Negrito" w:hAnsi="Arial Negrito"/>
          <w:bCs/>
        </w:rPr>
        <w:t xml:space="preserve">3.5.8.13. </w:t>
      </w:r>
      <w:r w:rsidR="00A82FDC" w:rsidRPr="0069393D">
        <w:rPr>
          <w:rFonts w:ascii="Arial Negrito" w:hAnsi="Arial Negrito"/>
          <w:bCs/>
        </w:rPr>
        <w:t>Sistemas de Registros</w:t>
      </w:r>
      <w:bookmarkEnd w:id="1729"/>
      <w:bookmarkEnd w:id="1730"/>
      <w:bookmarkEnd w:id="1731"/>
    </w:p>
    <w:p w:rsidR="00A82FDC" w:rsidRPr="00A82FDC" w:rsidRDefault="00A82FDC" w:rsidP="00A82FDC">
      <w:pPr>
        <w:spacing w:before="120" w:after="120" w:line="240" w:lineRule="auto"/>
      </w:pPr>
      <w:r w:rsidRPr="00A82FDC">
        <w:t xml:space="preserve">O andamento da implantação do Plano de Ambiental de Conservação e Uso do Entorno dos Reservatórios deverá ser registrado em relatórios mensais de andamento indicando as atividades desenvolvidas e o atendimento do cronograma da atividade.  </w:t>
      </w:r>
    </w:p>
    <w:p w:rsidR="00A82FDC" w:rsidRDefault="00A82FDC" w:rsidP="008F57E4">
      <w:pPr>
        <w:spacing w:before="120" w:after="120" w:line="240" w:lineRule="auto"/>
      </w:pPr>
      <w:r w:rsidRPr="00A82FDC">
        <w:t>As informações sobre os fornecedores de mudas, a produção de mudas, preparo das áreas, plantio, replantio, atividades de manutenção, como também atividades não programadas, deverão ser sistematizadas, analisadas e apresentadas nos relatórios mensais. Anualmente será elaborado um relatório consolidado a ser encaminhado à CETESB.</w:t>
      </w:r>
    </w:p>
    <w:p w:rsidR="00A82FDC" w:rsidRPr="0069393D" w:rsidRDefault="0069393D" w:rsidP="0069393D">
      <w:pPr>
        <w:pStyle w:val="Ttulo3"/>
        <w:rPr>
          <w:rFonts w:ascii="Arial Negrito" w:hAnsi="Arial Negrito"/>
          <w:bCs/>
        </w:rPr>
      </w:pPr>
      <w:bookmarkStart w:id="1732" w:name="_Toc418758634"/>
      <w:bookmarkStart w:id="1733" w:name="_Toc418759236"/>
      <w:bookmarkStart w:id="1734" w:name="_Toc419814021"/>
      <w:r>
        <w:rPr>
          <w:rFonts w:ascii="Arial Negrito" w:hAnsi="Arial Negrito"/>
          <w:bCs/>
        </w:rPr>
        <w:t xml:space="preserve">3.5.8.14. </w:t>
      </w:r>
      <w:r w:rsidR="00A82FDC" w:rsidRPr="0069393D">
        <w:rPr>
          <w:rFonts w:ascii="Arial Negrito" w:hAnsi="Arial Negrito"/>
          <w:bCs/>
        </w:rPr>
        <w:t>Referências Bibliográficas</w:t>
      </w:r>
      <w:bookmarkEnd w:id="1732"/>
      <w:bookmarkEnd w:id="1733"/>
      <w:bookmarkEnd w:id="1734"/>
    </w:p>
    <w:p w:rsidR="00A82FDC" w:rsidRDefault="00A82FDC" w:rsidP="00A82FDC">
      <w:pPr>
        <w:spacing w:before="120" w:line="240" w:lineRule="auto"/>
      </w:pPr>
      <w:r>
        <w:t>Foram utilizados como referências os seguintes instrumentos legais:</w:t>
      </w:r>
    </w:p>
    <w:p w:rsidR="00A82FDC" w:rsidRDefault="00A82FDC" w:rsidP="00F94909">
      <w:pPr>
        <w:pStyle w:val="Item-Trainho"/>
      </w:pPr>
      <w:r>
        <w:t xml:space="preserve">Lei </w:t>
      </w:r>
      <w:r w:rsidR="003E4CBD">
        <w:rPr>
          <w:rFonts w:eastAsia="Batang"/>
          <w:lang w:eastAsia="en-US"/>
        </w:rPr>
        <w:t>n</w:t>
      </w:r>
      <w:r w:rsidR="003E4CBD">
        <w:rPr>
          <w:rFonts w:eastAsia="Batang"/>
          <w:u w:val="single"/>
          <w:vertAlign w:val="superscript"/>
          <w:lang w:eastAsia="en-US"/>
        </w:rPr>
        <w:t>o</w:t>
      </w:r>
      <w:r>
        <w:t xml:space="preserve"> 12.651, de 25 de maio de 2012, que dispõe sobre a proteção da vegetação nativa;</w:t>
      </w:r>
    </w:p>
    <w:p w:rsidR="00A82FDC" w:rsidRDefault="00A82FDC" w:rsidP="00F94909">
      <w:pPr>
        <w:pStyle w:val="Item-Trainho"/>
      </w:pPr>
      <w:r>
        <w:t xml:space="preserve">Lei </w:t>
      </w:r>
      <w:r w:rsidR="003E4CBD">
        <w:rPr>
          <w:rFonts w:eastAsia="Batang"/>
          <w:lang w:eastAsia="en-US"/>
        </w:rPr>
        <w:t>n</w:t>
      </w:r>
      <w:r w:rsidR="003E4CBD">
        <w:rPr>
          <w:rFonts w:eastAsia="Batang"/>
          <w:u w:val="single"/>
          <w:vertAlign w:val="superscript"/>
          <w:lang w:eastAsia="en-US"/>
        </w:rPr>
        <w:t>o</w:t>
      </w:r>
      <w:r>
        <w:t xml:space="preserve"> 12.727, de 17 de outubro de 2012, que altera a Lei </w:t>
      </w:r>
      <w:r w:rsidR="003E4CBD">
        <w:rPr>
          <w:rFonts w:eastAsia="Batang"/>
          <w:lang w:eastAsia="en-US"/>
        </w:rPr>
        <w:t>n</w:t>
      </w:r>
      <w:r w:rsidR="003E4CBD">
        <w:rPr>
          <w:rFonts w:eastAsia="Batang"/>
          <w:u w:val="single"/>
          <w:vertAlign w:val="superscript"/>
          <w:lang w:eastAsia="en-US"/>
        </w:rPr>
        <w:t>o</w:t>
      </w:r>
      <w:r>
        <w:t xml:space="preserve"> 12.651/2012;</w:t>
      </w:r>
    </w:p>
    <w:p w:rsidR="00A82FDC" w:rsidRDefault="00A82FDC" w:rsidP="00F94909">
      <w:pPr>
        <w:pStyle w:val="Item-Trainho"/>
      </w:pPr>
      <w:r>
        <w:t xml:space="preserve">Resolução </w:t>
      </w:r>
      <w:r w:rsidR="00504078">
        <w:t>CONAMA</w:t>
      </w:r>
      <w:r>
        <w:t xml:space="preserve"> </w:t>
      </w:r>
      <w:r w:rsidR="003E4CBD">
        <w:rPr>
          <w:rFonts w:eastAsia="Batang"/>
          <w:lang w:eastAsia="en-US"/>
        </w:rPr>
        <w:t>n</w:t>
      </w:r>
      <w:r w:rsidR="003E4CBD">
        <w:rPr>
          <w:rFonts w:eastAsia="Batang"/>
          <w:u w:val="single"/>
          <w:vertAlign w:val="superscript"/>
          <w:lang w:eastAsia="en-US"/>
        </w:rPr>
        <w:t>o</w:t>
      </w:r>
      <w:r>
        <w:t xml:space="preserve"> 302, de 20 de março de 2002, que dispõe sobre os parâmetros, definições e limites de Áreas de Preservação Permanente de reservatórios artificiais e regime de uso do entorno.</w:t>
      </w:r>
    </w:p>
    <w:p w:rsidR="00A82FDC" w:rsidRDefault="00A82FDC" w:rsidP="00F94909">
      <w:pPr>
        <w:pStyle w:val="Item-Trainho"/>
      </w:pPr>
      <w:r>
        <w:t xml:space="preserve">Termo de Referência DAIA/CETESB - Parecer Técnico </w:t>
      </w:r>
      <w:r w:rsidR="003E4CBD">
        <w:rPr>
          <w:rFonts w:eastAsia="Batang"/>
          <w:lang w:eastAsia="en-US"/>
        </w:rPr>
        <w:t>n</w:t>
      </w:r>
      <w:r w:rsidR="003E4CBD">
        <w:rPr>
          <w:rFonts w:eastAsia="Batang"/>
          <w:u w:val="single"/>
          <w:vertAlign w:val="superscript"/>
          <w:lang w:eastAsia="en-US"/>
        </w:rPr>
        <w:t>o</w:t>
      </w:r>
      <w:r>
        <w:t xml:space="preserve"> 410/13/IE – 2013,</w:t>
      </w:r>
      <w:r w:rsidRPr="000E3EC4">
        <w:t xml:space="preserve"> Processo 189/13.</w:t>
      </w:r>
    </w:p>
    <w:p w:rsidR="00623CE0" w:rsidRDefault="00623CE0" w:rsidP="00623CE0">
      <w:pPr>
        <w:pStyle w:val="Item-Trainho"/>
        <w:numPr>
          <w:ilvl w:val="0"/>
          <w:numId w:val="0"/>
        </w:numPr>
        <w:ind w:left="397" w:hanging="397"/>
      </w:pPr>
      <w:r>
        <w:br w:type="page"/>
      </w:r>
    </w:p>
    <w:p w:rsidR="00946FA3" w:rsidRPr="0069393D" w:rsidRDefault="0069393D" w:rsidP="0069393D">
      <w:pPr>
        <w:pStyle w:val="Ttulo3"/>
        <w:rPr>
          <w:rFonts w:ascii="Arial Negrito" w:hAnsi="Arial Negrito"/>
          <w:bCs/>
        </w:rPr>
      </w:pPr>
      <w:bookmarkStart w:id="1735" w:name="_Toc418758635"/>
      <w:bookmarkStart w:id="1736" w:name="_Toc418759237"/>
      <w:bookmarkStart w:id="1737" w:name="_Toc419814022"/>
      <w:r>
        <w:rPr>
          <w:rFonts w:ascii="Arial Negrito" w:hAnsi="Arial Negrito"/>
          <w:bCs/>
        </w:rPr>
        <w:t xml:space="preserve">3.5.9. </w:t>
      </w:r>
      <w:r w:rsidR="00946FA3" w:rsidRPr="0069393D">
        <w:rPr>
          <w:rFonts w:ascii="Arial Negrito" w:hAnsi="Arial Negrito"/>
          <w:bCs/>
        </w:rPr>
        <w:t>Programa de Prospecção, Resgate Arqueológico e Preservação do Patrimônio Arqueológico, Histórico e Cultural</w:t>
      </w:r>
      <w:bookmarkEnd w:id="1735"/>
      <w:bookmarkEnd w:id="1736"/>
      <w:bookmarkEnd w:id="1737"/>
    </w:p>
    <w:p w:rsidR="001936D9" w:rsidRPr="0069393D" w:rsidRDefault="001936D9" w:rsidP="0069393D">
      <w:pPr>
        <w:pStyle w:val="Ttulo3"/>
        <w:rPr>
          <w:rFonts w:ascii="Arial Negrito" w:hAnsi="Arial Negrito"/>
          <w:bCs/>
        </w:rPr>
      </w:pPr>
      <w:bookmarkStart w:id="1738" w:name="_Toc365986024"/>
      <w:bookmarkStart w:id="1739" w:name="_Toc370810706"/>
      <w:bookmarkStart w:id="1740" w:name="_Toc370923689"/>
      <w:bookmarkStart w:id="1741" w:name="_Toc370985815"/>
      <w:bookmarkStart w:id="1742" w:name="_Toc418758636"/>
      <w:bookmarkStart w:id="1743" w:name="_Toc418759238"/>
      <w:bookmarkStart w:id="1744" w:name="_Toc419814023"/>
      <w:r w:rsidRPr="0069393D">
        <w:rPr>
          <w:rFonts w:ascii="Arial Negrito" w:hAnsi="Arial Negrito"/>
          <w:bCs/>
        </w:rPr>
        <w:t>3.5.9.1. Apresentação e Justificativas</w:t>
      </w:r>
      <w:bookmarkEnd w:id="1738"/>
      <w:bookmarkEnd w:id="1739"/>
      <w:bookmarkEnd w:id="1740"/>
      <w:bookmarkEnd w:id="1741"/>
      <w:bookmarkEnd w:id="1742"/>
      <w:bookmarkEnd w:id="1743"/>
      <w:bookmarkEnd w:id="1744"/>
    </w:p>
    <w:p w:rsidR="001936D9" w:rsidRPr="00A31485" w:rsidRDefault="001936D9" w:rsidP="001936D9">
      <w:pPr>
        <w:spacing w:before="120" w:after="120" w:line="240" w:lineRule="auto"/>
        <w:rPr>
          <w:rFonts w:cs="Arial"/>
        </w:rPr>
      </w:pPr>
      <w:r w:rsidRPr="00A31485">
        <w:rPr>
          <w:rFonts w:cs="Arial"/>
        </w:rPr>
        <w:t>Atendendo ao disposto na legislação, e considerando a possibilidade de ocorrência de vestígios arqueológicos a serem expostos du</w:t>
      </w:r>
      <w:r>
        <w:rPr>
          <w:rFonts w:cs="Arial"/>
        </w:rPr>
        <w:t xml:space="preserve">rante a implantação </w:t>
      </w:r>
      <w:r w:rsidRPr="001936D9">
        <w:rPr>
          <w:rFonts w:cs="Arial"/>
        </w:rPr>
        <w:t>das obras das Barragens Pedreira e Duas Pontes, o presente Programa tem como objeti</w:t>
      </w:r>
      <w:r w:rsidRPr="00A31485">
        <w:rPr>
          <w:rFonts w:cs="Arial"/>
        </w:rPr>
        <w:t>vo principal estabelecer as atividades a serem seguidas para o gerenciamento do patrimônio cultural, a partir de prospecção intensiva e achados fortuitos indicativos da presença de sítios arqueológicos, procedimentos de resgate e curadoria de materiais arqueológicos, monitoramento e ações de educação patrimonial voltadas para diferentes segmentos de público (escolar e trabalhadores das obras) em conformidade com os diplomas legais específicos para o Patrimônio Cultural.</w:t>
      </w:r>
    </w:p>
    <w:p w:rsidR="001936D9" w:rsidRDefault="001936D9" w:rsidP="001936D9">
      <w:pPr>
        <w:spacing w:before="120" w:after="120" w:line="240" w:lineRule="auto"/>
        <w:rPr>
          <w:rFonts w:cs="Arial"/>
        </w:rPr>
      </w:pPr>
      <w:r w:rsidRPr="005C012B">
        <w:rPr>
          <w:rFonts w:cs="Arial"/>
        </w:rPr>
        <w:t xml:space="preserve">De maneira geral os municípios </w:t>
      </w:r>
      <w:r w:rsidRPr="001936D9">
        <w:rPr>
          <w:rFonts w:cs="Arial"/>
        </w:rPr>
        <w:t>compreendidos pelos empreendimentos fazem</w:t>
      </w:r>
      <w:r w:rsidRPr="005C012B">
        <w:rPr>
          <w:rFonts w:cs="Arial"/>
        </w:rPr>
        <w:t xml:space="preserve"> parte da Região Metropolitana de Campinas, a qual é reconhecida pelo seu potencial arqueológico, tendo sido objeto de pesquisas cientificas desde a</w:t>
      </w:r>
      <w:r>
        <w:rPr>
          <w:rFonts w:cs="Arial"/>
        </w:rPr>
        <w:t xml:space="preserve"> década de 1970. Nesse sentido,</w:t>
      </w:r>
      <w:r w:rsidRPr="005C012B">
        <w:rPr>
          <w:rFonts w:cs="Arial"/>
        </w:rPr>
        <w:t xml:space="preserve"> há de se destacar que os primeiros grupos a ocuparem esta região deixaram como principal evidência de sua passagem artefatos em pedra lascada, associados aos grupos caçadores coletores os quais tiveram uma intensa atividade nesta região do Estado de São Paulo. Do ponto de vista espacial, as pesquisas até então realizadas identificaram um período de ocupação que remonta ao menos a 7 mil anos, onde estes grupos se valeram de uma intensa relação com o meio natural, quer seja na exploração dos recursos ou na ocupação dos compartimentos paisagísticos existentes.</w:t>
      </w:r>
    </w:p>
    <w:p w:rsidR="001936D9" w:rsidRDefault="001936D9" w:rsidP="001936D9">
      <w:pPr>
        <w:spacing w:before="120" w:after="120" w:line="240" w:lineRule="auto"/>
        <w:rPr>
          <w:rFonts w:cs="Arial"/>
        </w:rPr>
      </w:pPr>
      <w:r>
        <w:rPr>
          <w:rFonts w:cs="Arial"/>
        </w:rPr>
        <w:t>Por outro lado já no período histórico com a chegada do colonizador europeu, a</w:t>
      </w:r>
      <w:r w:rsidRPr="009A7191">
        <w:rPr>
          <w:rFonts w:cs="Arial"/>
        </w:rPr>
        <w:t xml:space="preserve"> ocupação das terras se dava por posse pura ou pela concessão de sesmarias, para agropecuária voltada ao abastecimento interno, num primeiro momento. No século XVIII, já em uma perspectiva de produção de bens para exportação, a agricultura local segue o ciclo da produção de cana-de-açúcar. Segundo SILVA (2006), na região de Campinas, a economia açucareira atingiu seu ápice em 1836, registrando 93 engenhos. Esse número decaiu progressivamente à metade disso, após três décadas, devido à cafeicultura. O curto ciclo da monocultura de cana-de-açúcar e sua consequente substituição pelo café levou a uma redução dos traços arquitetônicos dos antigos engenhos na paisagem rural da região, seja pelas intervenções para adaptação dos setores produtivos à nova produção, seja pelo abandono e fragilidades dessas edificações.</w:t>
      </w:r>
    </w:p>
    <w:p w:rsidR="001936D9" w:rsidRPr="009A7191" w:rsidRDefault="001936D9" w:rsidP="001936D9">
      <w:pPr>
        <w:spacing w:before="120" w:after="120" w:line="240" w:lineRule="auto"/>
        <w:rPr>
          <w:rFonts w:cs="Arial"/>
        </w:rPr>
      </w:pPr>
      <w:r w:rsidRPr="009A7191">
        <w:rPr>
          <w:rFonts w:cs="Arial"/>
        </w:rPr>
        <w:t>Ainda conforme SILVA (2006), a rápida substituição entre monoculturas aproveitou a infraestrutura prévia das unidades produtivas, o trabalho da mão-de-obra escrava e a abertura de estradas para escoamento da produção. As "novas" fazendas refletem a arquitetura colonial e implantação geográfica herdada dos antigos engenhos (sedes e senzalas), somada a novas edificações específicas para a produção e beneficiamento de café.</w:t>
      </w:r>
    </w:p>
    <w:p w:rsidR="001936D9" w:rsidRPr="009A7191" w:rsidRDefault="001936D9" w:rsidP="001936D9">
      <w:pPr>
        <w:spacing w:before="120" w:after="120" w:line="240" w:lineRule="auto"/>
        <w:rPr>
          <w:rFonts w:cs="Arial"/>
        </w:rPr>
      </w:pPr>
      <w:r w:rsidRPr="009A7191">
        <w:rPr>
          <w:rFonts w:cs="Arial"/>
        </w:rPr>
        <w:t xml:space="preserve">Segundo Benincasa (2003, p.155), a arquitetura das fazendas de café do Estado de São Paulo é caracterizada em dois diferentes estilos: </w:t>
      </w:r>
    </w:p>
    <w:p w:rsidR="001936D9" w:rsidRPr="001936D9" w:rsidRDefault="001936D9" w:rsidP="00623CE0">
      <w:pPr>
        <w:spacing w:before="120" w:after="120" w:line="240" w:lineRule="auto"/>
        <w:ind w:left="709" w:right="991"/>
        <w:rPr>
          <w:rFonts w:cs="Arial"/>
          <w:szCs w:val="22"/>
        </w:rPr>
      </w:pPr>
      <w:r w:rsidRPr="001936D9">
        <w:rPr>
          <w:rFonts w:cs="Arial"/>
          <w:szCs w:val="22"/>
        </w:rPr>
        <w:t>(...) vê-se a presença das tradições da arquitetura paulista e mineira juntas, pois observa-se, numa mesma fazenda, tanto o uso do terrapleno, com cortes e aterros, uma influência dos paulistas, tanto o uso do terrapleno, com cortes e aterros, uma influência dos paulistas; quanto a construção de algumas edificações acompanhando o declive do terreno, uma técnica mais associada aos mineiros. (...) Em geral, o modo mineiro foi utilizado nas casas-grandes, nos quais aproveitava-se o espaço resultante sob o piso - o porão- como depósito ou moradia dos escravos, e nas casas de máquinas. O modo paulista foi mais utilizado nas demais edificações, como nas senzalas, nas colônias, nas casas de administradores, entre outras.</w:t>
      </w:r>
    </w:p>
    <w:p w:rsidR="001936D9" w:rsidRPr="009A7191" w:rsidRDefault="001936D9" w:rsidP="001936D9">
      <w:pPr>
        <w:spacing w:before="120" w:after="120" w:line="240" w:lineRule="auto"/>
        <w:rPr>
          <w:rFonts w:cs="Arial"/>
        </w:rPr>
      </w:pPr>
      <w:r w:rsidRPr="009A7191">
        <w:rPr>
          <w:rFonts w:cs="Arial"/>
        </w:rPr>
        <w:t>A localização das edificações respondia a uma lógica, que pode ser dividida em quatro grupos: moradia dos proprietários (casas-grande, capela e pomares), edifícios de beneficiamento do café (casas de máquinas, tulhas e lavadores de café), edifícios de apoio (oficinas, estábulos, paióis, garagens, engenhos); e moradia dos trabalhadores (senzalas, colônias e casas do administrador).</w:t>
      </w:r>
    </w:p>
    <w:p w:rsidR="001936D9" w:rsidRPr="009A7191" w:rsidRDefault="001936D9" w:rsidP="001936D9">
      <w:pPr>
        <w:spacing w:before="120" w:after="120" w:line="240" w:lineRule="auto"/>
        <w:rPr>
          <w:rFonts w:cs="Arial"/>
        </w:rPr>
      </w:pPr>
      <w:r>
        <w:rPr>
          <w:rFonts w:cs="Arial"/>
        </w:rPr>
        <w:t>E</w:t>
      </w:r>
      <w:r w:rsidRPr="009A7191">
        <w:rPr>
          <w:rFonts w:cs="Arial"/>
        </w:rPr>
        <w:t>ssas unidades produtivas manifestam-se em técnicas construtivas mistas: passando pelo pau-a-pique para edificações mais simples (senzalas e casas de colonos), taipa de pilão e alvenaria de tijolos (casas-sede, tulhas e outras edificações).</w:t>
      </w:r>
    </w:p>
    <w:p w:rsidR="001936D9" w:rsidRPr="005C012B" w:rsidRDefault="001936D9" w:rsidP="001936D9">
      <w:pPr>
        <w:spacing w:before="120" w:after="120" w:line="240" w:lineRule="auto"/>
        <w:rPr>
          <w:rFonts w:cs="Arial"/>
        </w:rPr>
      </w:pPr>
      <w:r w:rsidRPr="009A7191">
        <w:rPr>
          <w:rFonts w:cs="Arial"/>
        </w:rPr>
        <w:t>As edificações remanescentes desse período na região refletem tanto o estilo mineiro quanto o paulista. Muros de arrimo em pedra sustentam os cortes e aterros nas vertentes enquanto o porão da casa-grande faz às vezes de d</w:t>
      </w:r>
      <w:r>
        <w:rPr>
          <w:rFonts w:cs="Arial"/>
        </w:rPr>
        <w:t>epósito para estocagem de café</w:t>
      </w:r>
      <w:r w:rsidRPr="009A7191">
        <w:rPr>
          <w:rFonts w:cs="Arial"/>
        </w:rPr>
        <w:t>. Tulhas</w:t>
      </w:r>
      <w:r>
        <w:rPr>
          <w:rFonts w:cs="Arial"/>
        </w:rPr>
        <w:t>, como registradas nos Sítios Históricos apontados na área da Barragem Pedreira, e como as registradas no Sítio Fazenda Palmares e Fazenda Cachoeira, na área da Barragem Duas Pontes.</w:t>
      </w:r>
    </w:p>
    <w:p w:rsidR="001936D9" w:rsidRPr="00B92539" w:rsidRDefault="001936D9" w:rsidP="001936D9">
      <w:pPr>
        <w:pStyle w:val="SemEspaamento"/>
        <w:spacing w:before="120" w:after="120"/>
        <w:jc w:val="both"/>
        <w:rPr>
          <w:rFonts w:ascii="Arial" w:hAnsi="Arial" w:cs="Arial"/>
        </w:rPr>
      </w:pPr>
      <w:r w:rsidRPr="00B92539">
        <w:rPr>
          <w:rFonts w:ascii="Arial" w:hAnsi="Arial" w:cs="Arial"/>
        </w:rPr>
        <w:t>Por meio da</w:t>
      </w:r>
      <w:r>
        <w:rPr>
          <w:rFonts w:ascii="Arial" w:hAnsi="Arial" w:cs="Arial"/>
        </w:rPr>
        <w:t>s</w:t>
      </w:r>
      <w:r w:rsidRPr="00B92539">
        <w:rPr>
          <w:rFonts w:ascii="Arial" w:hAnsi="Arial" w:cs="Arial"/>
        </w:rPr>
        <w:t xml:space="preserve"> </w:t>
      </w:r>
      <w:r w:rsidRPr="00B92539">
        <w:rPr>
          <w:rFonts w:ascii="Arial" w:hAnsi="Arial" w:cs="Arial"/>
          <w:bCs/>
          <w:iCs/>
        </w:rPr>
        <w:t>Portaria</w:t>
      </w:r>
      <w:r>
        <w:rPr>
          <w:rFonts w:ascii="Arial" w:hAnsi="Arial" w:cs="Arial"/>
          <w:bCs/>
          <w:iCs/>
        </w:rPr>
        <w:t>s</w:t>
      </w:r>
      <w:r w:rsidRPr="00B92539">
        <w:rPr>
          <w:rFonts w:ascii="Arial" w:hAnsi="Arial" w:cs="Arial"/>
          <w:bCs/>
          <w:iCs/>
        </w:rPr>
        <w:t xml:space="preserve"> IPHAN </w:t>
      </w:r>
      <w:r w:rsidR="003E4CBD">
        <w:rPr>
          <w:rFonts w:eastAsia="Batang"/>
          <w:lang w:eastAsia="en-US"/>
        </w:rPr>
        <w:t>n</w:t>
      </w:r>
      <w:r w:rsidR="003E4CBD">
        <w:rPr>
          <w:rFonts w:eastAsia="Batang"/>
          <w:u w:val="single"/>
          <w:vertAlign w:val="superscript"/>
          <w:lang w:eastAsia="en-US"/>
        </w:rPr>
        <w:t>o</w:t>
      </w:r>
      <w:r w:rsidRPr="00B92539">
        <w:rPr>
          <w:rFonts w:ascii="Arial" w:hAnsi="Arial" w:cs="Arial"/>
          <w:bCs/>
          <w:iCs/>
        </w:rPr>
        <w:t xml:space="preserve"> 12 de 27/02/2015 – </w:t>
      </w:r>
      <w:r w:rsidRPr="00B92539">
        <w:rPr>
          <w:rFonts w:ascii="Arial" w:hAnsi="Arial" w:cs="Arial"/>
        </w:rPr>
        <w:t xml:space="preserve">Processo </w:t>
      </w:r>
      <w:r w:rsidR="003E4CBD">
        <w:rPr>
          <w:rFonts w:eastAsia="Batang"/>
          <w:lang w:eastAsia="en-US"/>
        </w:rPr>
        <w:t>n</w:t>
      </w:r>
      <w:r w:rsidR="003E4CBD">
        <w:rPr>
          <w:rFonts w:eastAsia="Batang"/>
          <w:u w:val="single"/>
          <w:vertAlign w:val="superscript"/>
          <w:lang w:eastAsia="en-US"/>
        </w:rPr>
        <w:t>o</w:t>
      </w:r>
      <w:r w:rsidRPr="00B92539">
        <w:rPr>
          <w:rFonts w:ascii="Arial" w:hAnsi="Arial" w:cs="Arial"/>
        </w:rPr>
        <w:t xml:space="preserve"> 01506.004594/2014-11</w:t>
      </w:r>
      <w:r>
        <w:rPr>
          <w:rFonts w:ascii="Arial" w:hAnsi="Arial" w:cs="Arial"/>
        </w:rPr>
        <w:t xml:space="preserve"> e</w:t>
      </w:r>
      <w:r w:rsidRPr="00280BF6">
        <w:rPr>
          <w:rFonts w:ascii="Arial" w:hAnsi="Arial" w:cs="Arial"/>
          <w:bCs/>
          <w:iCs/>
        </w:rPr>
        <w:t xml:space="preserve"> </w:t>
      </w:r>
      <w:r w:rsidR="003E4CBD">
        <w:rPr>
          <w:rFonts w:eastAsia="Batang"/>
          <w:lang w:eastAsia="en-US"/>
        </w:rPr>
        <w:t>n</w:t>
      </w:r>
      <w:r w:rsidR="003E4CBD">
        <w:rPr>
          <w:rFonts w:eastAsia="Batang"/>
          <w:u w:val="single"/>
          <w:vertAlign w:val="superscript"/>
          <w:lang w:eastAsia="en-US"/>
        </w:rPr>
        <w:t xml:space="preserve">o </w:t>
      </w:r>
      <w:r w:rsidRPr="00280BF6">
        <w:rPr>
          <w:rFonts w:ascii="Arial" w:hAnsi="Arial" w:cs="Arial"/>
          <w:bCs/>
          <w:iCs/>
        </w:rPr>
        <w:t xml:space="preserve">14 de 06/03/2015 - </w:t>
      </w:r>
      <w:r w:rsidRPr="00280BF6">
        <w:rPr>
          <w:rFonts w:ascii="Arial" w:hAnsi="Arial" w:cs="Arial"/>
        </w:rPr>
        <w:t xml:space="preserve">Processo </w:t>
      </w:r>
      <w:r w:rsidR="003E4CBD">
        <w:rPr>
          <w:rFonts w:eastAsia="Batang"/>
          <w:lang w:eastAsia="en-US"/>
        </w:rPr>
        <w:t>n</w:t>
      </w:r>
      <w:r w:rsidR="003E4CBD">
        <w:rPr>
          <w:rFonts w:eastAsia="Batang"/>
          <w:u w:val="single"/>
          <w:vertAlign w:val="superscript"/>
          <w:lang w:eastAsia="en-US"/>
        </w:rPr>
        <w:t>o</w:t>
      </w:r>
      <w:r w:rsidRPr="00280BF6">
        <w:rPr>
          <w:rFonts w:ascii="Arial" w:hAnsi="Arial" w:cs="Arial"/>
        </w:rPr>
        <w:t xml:space="preserve"> 01506.004595/2014-58</w:t>
      </w:r>
      <w:r>
        <w:rPr>
          <w:rFonts w:ascii="Arial" w:hAnsi="Arial" w:cs="Arial"/>
        </w:rPr>
        <w:t xml:space="preserve">, </w:t>
      </w:r>
      <w:r w:rsidRPr="00B92539">
        <w:rPr>
          <w:rFonts w:ascii="Arial" w:hAnsi="Arial" w:cs="Arial"/>
        </w:rPr>
        <w:t>o órgão federal aprovou o Projeto de Diagnóstico Arqueológico cujo relatório final deverá ser analisado e aprovado pelo IPHAN, tendo em vista a necessidade de emissão de parecer final para a fase de Licença Prévi</w:t>
      </w:r>
      <w:r w:rsidR="005242B0">
        <w:rPr>
          <w:rFonts w:ascii="Arial" w:hAnsi="Arial" w:cs="Arial"/>
        </w:rPr>
        <w:t>a. A í</w:t>
      </w:r>
      <w:r w:rsidRPr="00B92539">
        <w:rPr>
          <w:rFonts w:ascii="Arial" w:hAnsi="Arial" w:cs="Arial"/>
        </w:rPr>
        <w:t>ntegra desse</w:t>
      </w:r>
      <w:r>
        <w:rPr>
          <w:rFonts w:ascii="Arial" w:hAnsi="Arial" w:cs="Arial"/>
        </w:rPr>
        <w:t>s</w:t>
      </w:r>
      <w:r w:rsidRPr="00B92539">
        <w:rPr>
          <w:rFonts w:ascii="Arial" w:hAnsi="Arial" w:cs="Arial"/>
        </w:rPr>
        <w:t xml:space="preserve"> relatório</w:t>
      </w:r>
      <w:r>
        <w:rPr>
          <w:rFonts w:ascii="Arial" w:hAnsi="Arial" w:cs="Arial"/>
        </w:rPr>
        <w:t>s</w:t>
      </w:r>
      <w:r w:rsidRPr="00B92539">
        <w:rPr>
          <w:rFonts w:ascii="Arial" w:hAnsi="Arial" w:cs="Arial"/>
        </w:rPr>
        <w:t xml:space="preserve"> consta no </w:t>
      </w:r>
      <w:r w:rsidRPr="005242B0">
        <w:rPr>
          <w:rFonts w:ascii="Arial" w:hAnsi="Arial" w:cs="Arial"/>
        </w:rPr>
        <w:t xml:space="preserve">Volume </w:t>
      </w:r>
      <w:r w:rsidR="005242B0" w:rsidRPr="005242B0">
        <w:rPr>
          <w:rFonts w:ascii="Arial" w:hAnsi="Arial" w:cs="Arial"/>
        </w:rPr>
        <w:t>IV</w:t>
      </w:r>
      <w:r w:rsidRPr="005242B0">
        <w:rPr>
          <w:rFonts w:ascii="Arial" w:hAnsi="Arial" w:cs="Arial"/>
        </w:rPr>
        <w:t xml:space="preserve"> – </w:t>
      </w:r>
      <w:r w:rsidR="005242B0" w:rsidRPr="005242B0">
        <w:rPr>
          <w:rFonts w:ascii="Arial" w:hAnsi="Arial" w:cs="Arial"/>
        </w:rPr>
        <w:t>Tomo 2</w:t>
      </w:r>
      <w:r w:rsidR="00AB7576">
        <w:rPr>
          <w:rFonts w:ascii="Arial" w:hAnsi="Arial" w:cs="Arial"/>
        </w:rPr>
        <w:t xml:space="preserve"> -</w:t>
      </w:r>
      <w:r w:rsidR="005242B0" w:rsidRPr="005242B0">
        <w:rPr>
          <w:rFonts w:ascii="Arial" w:hAnsi="Arial" w:cs="Arial"/>
        </w:rPr>
        <w:t xml:space="preserve"> Anexos e Desenhos.</w:t>
      </w:r>
    </w:p>
    <w:p w:rsidR="001936D9" w:rsidRPr="00A31485" w:rsidRDefault="001936D9" w:rsidP="001936D9">
      <w:pPr>
        <w:keepNext/>
        <w:spacing w:before="240" w:after="60"/>
        <w:outlineLvl w:val="2"/>
        <w:rPr>
          <w:b/>
        </w:rPr>
      </w:pPr>
      <w:bookmarkStart w:id="1745" w:name="_Toc365986025"/>
      <w:bookmarkStart w:id="1746" w:name="_Toc370810707"/>
      <w:bookmarkStart w:id="1747" w:name="_Toc370923690"/>
      <w:bookmarkStart w:id="1748" w:name="_Toc370985816"/>
      <w:bookmarkStart w:id="1749" w:name="_Toc418758637"/>
      <w:bookmarkStart w:id="1750" w:name="_Toc418759239"/>
      <w:bookmarkStart w:id="1751" w:name="_Toc419814024"/>
      <w:r>
        <w:rPr>
          <w:b/>
        </w:rPr>
        <w:t>3.5.9</w:t>
      </w:r>
      <w:r w:rsidRPr="00A31485">
        <w:rPr>
          <w:b/>
        </w:rPr>
        <w:t>.2. Objetivos</w:t>
      </w:r>
      <w:bookmarkEnd w:id="1745"/>
      <w:bookmarkEnd w:id="1746"/>
      <w:bookmarkEnd w:id="1747"/>
      <w:bookmarkEnd w:id="1748"/>
      <w:bookmarkEnd w:id="1749"/>
      <w:bookmarkEnd w:id="1750"/>
      <w:bookmarkEnd w:id="1751"/>
    </w:p>
    <w:p w:rsidR="001936D9" w:rsidRPr="00A31485" w:rsidRDefault="001936D9" w:rsidP="001936D9">
      <w:pPr>
        <w:spacing w:before="120" w:after="120" w:line="240" w:lineRule="auto"/>
        <w:rPr>
          <w:rFonts w:cs="Arial"/>
        </w:rPr>
      </w:pPr>
      <w:r w:rsidRPr="00A31485">
        <w:rPr>
          <w:rFonts w:cs="Arial"/>
        </w:rPr>
        <w:t>Os objetivos gerais do Programa de Arqueologia em questão podem ser sintetizados nos seguintes itens:</w:t>
      </w:r>
    </w:p>
    <w:p w:rsidR="001936D9" w:rsidRPr="00A31485" w:rsidRDefault="001936D9" w:rsidP="001936D9">
      <w:pPr>
        <w:spacing w:before="120" w:after="120" w:line="240" w:lineRule="auto"/>
        <w:ind w:left="709" w:hanging="709"/>
        <w:rPr>
          <w:rFonts w:cs="Arial"/>
        </w:rPr>
      </w:pPr>
      <w:r w:rsidRPr="00A31485">
        <w:rPr>
          <w:rFonts w:cs="Arial"/>
        </w:rPr>
        <w:t>a)</w:t>
      </w:r>
      <w:r w:rsidRPr="00A31485">
        <w:rPr>
          <w:rFonts w:cs="Arial"/>
        </w:rPr>
        <w:tab/>
        <w:t>Elaborar o Programa de Prospecções e Resgate Arqueológico Preventiva para a Área Diretamente Afetada e para a Área de Infl</w:t>
      </w:r>
      <w:r>
        <w:rPr>
          <w:rFonts w:cs="Arial"/>
        </w:rPr>
        <w:t>uência Direta do empreendimento;</w:t>
      </w:r>
    </w:p>
    <w:p w:rsidR="001936D9" w:rsidRPr="00A31485" w:rsidRDefault="001936D9" w:rsidP="001936D9">
      <w:pPr>
        <w:spacing w:before="120" w:after="120" w:line="240" w:lineRule="auto"/>
        <w:ind w:left="709" w:hanging="709"/>
        <w:rPr>
          <w:rFonts w:cs="Arial"/>
        </w:rPr>
      </w:pPr>
      <w:r w:rsidRPr="00A31485">
        <w:rPr>
          <w:rFonts w:cs="Arial"/>
        </w:rPr>
        <w:t>b)</w:t>
      </w:r>
      <w:r w:rsidRPr="00A31485">
        <w:rPr>
          <w:rFonts w:cs="Arial"/>
        </w:rPr>
        <w:tab/>
        <w:t>Estabelecer as diretrizes e metodologias adequadas para os Estudos de Diagnóstico de Patrimônio Cultural da Área Diretamente Afetada (ADA) e Área de Influência Direta (AID) do empreendimento em conformidade com o</w:t>
      </w:r>
      <w:r>
        <w:rPr>
          <w:rFonts w:cs="Arial"/>
        </w:rPr>
        <w:t>s demais instrumentos de Gestão;</w:t>
      </w:r>
    </w:p>
    <w:p w:rsidR="001936D9" w:rsidRPr="00A31485" w:rsidRDefault="001936D9" w:rsidP="001936D9">
      <w:pPr>
        <w:spacing w:before="120" w:after="120" w:line="240" w:lineRule="auto"/>
        <w:ind w:left="709" w:hanging="709"/>
        <w:rPr>
          <w:rFonts w:cs="Arial"/>
        </w:rPr>
      </w:pPr>
      <w:r w:rsidRPr="00A31485">
        <w:rPr>
          <w:rFonts w:cs="Arial"/>
        </w:rPr>
        <w:t>c)</w:t>
      </w:r>
      <w:r w:rsidRPr="00A31485">
        <w:rPr>
          <w:rFonts w:cs="Arial"/>
        </w:rPr>
        <w:tab/>
        <w:t>Atender à legislação brasileira no que se refere à proteção e intervenção junto ao Patrimônio Cultural</w:t>
      </w:r>
      <w:r>
        <w:rPr>
          <w:rFonts w:cs="Arial"/>
        </w:rPr>
        <w:t>;</w:t>
      </w:r>
    </w:p>
    <w:p w:rsidR="001936D9" w:rsidRPr="00A31485" w:rsidRDefault="001936D9" w:rsidP="001936D9">
      <w:pPr>
        <w:spacing w:before="120" w:after="120" w:line="240" w:lineRule="auto"/>
        <w:ind w:left="709" w:hanging="709"/>
        <w:rPr>
          <w:rFonts w:cs="Arial"/>
        </w:rPr>
      </w:pPr>
      <w:r w:rsidRPr="00A31485">
        <w:rPr>
          <w:rFonts w:cs="Arial"/>
        </w:rPr>
        <w:t>d)</w:t>
      </w:r>
      <w:r w:rsidRPr="00A31485">
        <w:rPr>
          <w:rFonts w:cs="Arial"/>
        </w:rPr>
        <w:tab/>
        <w:t xml:space="preserve">Possibilitar a produção de conhecimento científico sobre o Patrimônio Cultural e seus componentes, a saber: os sítios arqueológicos, o patrimônio edificado, os monumentos, o patrimônio imaterial e o patrimônio paisagístico com caráter cultural; </w:t>
      </w:r>
    </w:p>
    <w:p w:rsidR="001936D9" w:rsidRPr="00A31485" w:rsidRDefault="001936D9" w:rsidP="001936D9">
      <w:pPr>
        <w:spacing w:before="120" w:after="120" w:line="240" w:lineRule="auto"/>
        <w:ind w:left="709" w:hanging="709"/>
        <w:rPr>
          <w:rFonts w:cs="Arial"/>
        </w:rPr>
      </w:pPr>
      <w:r w:rsidRPr="00A31485">
        <w:rPr>
          <w:rFonts w:cs="Arial"/>
        </w:rPr>
        <w:t>e)</w:t>
      </w:r>
      <w:r w:rsidRPr="00A31485">
        <w:rPr>
          <w:rFonts w:cs="Arial"/>
        </w:rPr>
        <w:tab/>
        <w:t>Implementar política efetiva de disponibilização do conhecimento à comunidade e participação da mesma na produção e proteção sobre o Patrimônio Cultural da área de abrangência do projeto. Completa esta ação a integração do programa com outras iniciativas correlatas (Plano de Controle Ambiental, Plano de Manejo Plano Diretor Municipal, etc.).</w:t>
      </w:r>
    </w:p>
    <w:p w:rsidR="001936D9" w:rsidRPr="00A31485" w:rsidRDefault="001936D9" w:rsidP="001936D9">
      <w:pPr>
        <w:spacing w:before="120" w:after="120" w:line="240" w:lineRule="auto"/>
        <w:rPr>
          <w:rFonts w:cs="Arial"/>
        </w:rPr>
      </w:pPr>
      <w:r w:rsidRPr="00A31485">
        <w:rPr>
          <w:rFonts w:cs="Arial"/>
        </w:rPr>
        <w:t>Dentro da perspectiva científica, este Programa de Gestão do Patrimônio Arqueológico, Histórico e Cultural, tem como objetivos:</w:t>
      </w:r>
    </w:p>
    <w:p w:rsidR="001936D9" w:rsidRPr="00A31485" w:rsidRDefault="001936D9" w:rsidP="001936D9">
      <w:pPr>
        <w:spacing w:before="120" w:after="120" w:line="240" w:lineRule="auto"/>
        <w:ind w:left="709" w:hanging="709"/>
        <w:rPr>
          <w:rFonts w:cs="Arial"/>
        </w:rPr>
      </w:pPr>
      <w:r w:rsidRPr="00A31485">
        <w:rPr>
          <w:rFonts w:cs="Arial"/>
        </w:rPr>
        <w:t>a)</w:t>
      </w:r>
      <w:r w:rsidRPr="00A31485">
        <w:rPr>
          <w:rFonts w:cs="Arial"/>
        </w:rPr>
        <w:tab/>
        <w:t>Promover a proteção primeira através do conhecimento, isto é, efetuar a identificação e caracterização das diversas manifestações culturais que ocuparam e ocupam a Área Diretamente Afetada e a Área de Influência Direta do</w:t>
      </w:r>
      <w:r>
        <w:rPr>
          <w:rFonts w:cs="Arial"/>
        </w:rPr>
        <w:t>s</w:t>
      </w:r>
      <w:r w:rsidRPr="00A31485">
        <w:rPr>
          <w:rFonts w:cs="Arial"/>
        </w:rPr>
        <w:t xml:space="preserve"> empreendimento</w:t>
      </w:r>
      <w:r>
        <w:rPr>
          <w:rFonts w:cs="Arial"/>
        </w:rPr>
        <w:t>s Barragens Pedreira e Duas Pontes;</w:t>
      </w:r>
      <w:r w:rsidRPr="00A31485">
        <w:rPr>
          <w:rFonts w:cs="Arial"/>
        </w:rPr>
        <w:t xml:space="preserve"> </w:t>
      </w:r>
    </w:p>
    <w:p w:rsidR="001936D9" w:rsidRPr="00A31485" w:rsidRDefault="001936D9" w:rsidP="001936D9">
      <w:pPr>
        <w:spacing w:before="120" w:after="120" w:line="240" w:lineRule="auto"/>
        <w:ind w:left="709" w:hanging="709"/>
        <w:rPr>
          <w:rFonts w:cs="Arial"/>
        </w:rPr>
      </w:pPr>
      <w:r w:rsidRPr="00A31485">
        <w:rPr>
          <w:rFonts w:cs="Arial"/>
        </w:rPr>
        <w:t>b)</w:t>
      </w:r>
      <w:r w:rsidRPr="00A31485">
        <w:rPr>
          <w:rFonts w:cs="Arial"/>
        </w:rPr>
        <w:tab/>
        <w:t>Estabelecer dimensões espaciais e cronológicas, assim como sua inserção em contextos arqueológicos e históricos de caráter macro-regional. Para tal finalidade, a abordagem envolve a identificação e inserção geográfica, ambiental e temporal das manifestações culturais, assim como seu fortalecimento através de políticas de fomento e apoio direto;</w:t>
      </w:r>
    </w:p>
    <w:p w:rsidR="001936D9" w:rsidRPr="00A31485" w:rsidRDefault="001936D9" w:rsidP="001936D9">
      <w:pPr>
        <w:spacing w:before="120" w:after="120" w:line="240" w:lineRule="auto"/>
        <w:ind w:left="709" w:hanging="709"/>
        <w:rPr>
          <w:rFonts w:cs="Arial"/>
        </w:rPr>
      </w:pPr>
      <w:r w:rsidRPr="00A31485">
        <w:rPr>
          <w:rFonts w:cs="Arial"/>
        </w:rPr>
        <w:t>c)</w:t>
      </w:r>
      <w:r w:rsidRPr="00A31485">
        <w:rPr>
          <w:rFonts w:cs="Arial"/>
        </w:rPr>
        <w:tab/>
        <w:t xml:space="preserve">A elaboração do Programa considera como patrimônio cultural todo e qualquer elemento que caracterize a formação histórica da região, independente do período cronológico a que se relaciona e, também, a possíveis critérios subjetivos de valoração. Assim, não serão apenas tratados os sítios arqueológicos, urbanos e paisagísticos que já se encontram sob proteção legal, mas aqueles identificados através da manifestação da sociedade, como por exemplo, lugares de memória, técnicas tradicionais, locais de interesse turístico e histórico, dentre outros; </w:t>
      </w:r>
    </w:p>
    <w:p w:rsidR="001936D9" w:rsidRPr="00A31485" w:rsidRDefault="001936D9" w:rsidP="001936D9">
      <w:pPr>
        <w:keepNext/>
        <w:spacing w:before="240" w:after="60"/>
        <w:outlineLvl w:val="2"/>
        <w:rPr>
          <w:b/>
        </w:rPr>
      </w:pPr>
      <w:bookmarkStart w:id="1752" w:name="_Toc365986026"/>
      <w:bookmarkStart w:id="1753" w:name="_Toc370810708"/>
      <w:bookmarkStart w:id="1754" w:name="_Toc370923691"/>
      <w:bookmarkStart w:id="1755" w:name="_Toc370985817"/>
      <w:bookmarkStart w:id="1756" w:name="_Toc418758638"/>
      <w:bookmarkStart w:id="1757" w:name="_Toc418759240"/>
      <w:bookmarkStart w:id="1758" w:name="_Toc419814025"/>
      <w:r>
        <w:rPr>
          <w:b/>
        </w:rPr>
        <w:t>3.5.9</w:t>
      </w:r>
      <w:r w:rsidRPr="00A31485">
        <w:rPr>
          <w:b/>
        </w:rPr>
        <w:t>.3. Metas</w:t>
      </w:r>
      <w:bookmarkEnd w:id="1752"/>
      <w:bookmarkEnd w:id="1753"/>
      <w:bookmarkEnd w:id="1754"/>
      <w:bookmarkEnd w:id="1755"/>
      <w:bookmarkEnd w:id="1756"/>
      <w:bookmarkEnd w:id="1757"/>
      <w:bookmarkEnd w:id="1758"/>
    </w:p>
    <w:p w:rsidR="001936D9" w:rsidRPr="00A31485" w:rsidRDefault="001936D9" w:rsidP="00F94909">
      <w:pPr>
        <w:pStyle w:val="Item-Bolinha"/>
      </w:pPr>
      <w:r w:rsidRPr="00A31485">
        <w:t xml:space="preserve">Garantir que as ações de prospecção, resgate, monitoramento, curadoria e educação patrimonial de bens de valor arqueológico, histórico e cultural ocorram em conformidade com o cronograma das obras e de maneira integrada com os demais Programas Ambientais integrantes do PBA; </w:t>
      </w:r>
    </w:p>
    <w:p w:rsidR="001936D9" w:rsidRPr="00A31485" w:rsidRDefault="001936D9" w:rsidP="00F94909">
      <w:pPr>
        <w:pStyle w:val="Item-Bolinha"/>
      </w:pPr>
      <w:r w:rsidRPr="00A31485">
        <w:t>Assegurar a correta gestão do patrimônio arqueológico e histórico-cultural do</w:t>
      </w:r>
      <w:r>
        <w:t>s</w:t>
      </w:r>
      <w:r w:rsidRPr="00A31485">
        <w:t xml:space="preserve"> Empreendimento</w:t>
      </w:r>
      <w:r>
        <w:t>s</w:t>
      </w:r>
      <w:r w:rsidRPr="00A31485">
        <w:t xml:space="preserve"> </w:t>
      </w:r>
      <w:r>
        <w:t>Barragens Pedreira e Duas Pontes</w:t>
      </w:r>
      <w:r w:rsidRPr="00A31485">
        <w:t>, promovendo a salvaguarda do patrimônio cultural e inclusão social por meio das informações obtidas.</w:t>
      </w:r>
    </w:p>
    <w:p w:rsidR="001936D9" w:rsidRPr="00A31485" w:rsidRDefault="001936D9" w:rsidP="00F94909">
      <w:pPr>
        <w:pStyle w:val="Item-Bolinha"/>
      </w:pPr>
      <w:r w:rsidRPr="00A31485">
        <w:t xml:space="preserve">Promover a divulgação e disponibilização para o público em geral dos resultados da gestão do patrimônio arqueológico e histórico-cultural, além das manifestações de cultura imaterial, coletados em função da execução do Programa. </w:t>
      </w:r>
    </w:p>
    <w:p w:rsidR="001936D9" w:rsidRPr="00A31485" w:rsidRDefault="001936D9" w:rsidP="001936D9">
      <w:pPr>
        <w:keepNext/>
        <w:spacing w:before="240" w:after="60"/>
        <w:outlineLvl w:val="3"/>
        <w:rPr>
          <w:b/>
        </w:rPr>
      </w:pPr>
      <w:bookmarkStart w:id="1759" w:name="_Toc365986027"/>
      <w:bookmarkStart w:id="1760" w:name="_Toc370810709"/>
      <w:bookmarkStart w:id="1761" w:name="_Toc370923692"/>
      <w:bookmarkStart w:id="1762" w:name="_Toc370985818"/>
      <w:bookmarkStart w:id="1763" w:name="_Toc418758639"/>
      <w:bookmarkStart w:id="1764" w:name="_Toc418759241"/>
      <w:bookmarkStart w:id="1765" w:name="_Toc419814026"/>
      <w:r>
        <w:rPr>
          <w:b/>
        </w:rPr>
        <w:t>3.5.9</w:t>
      </w:r>
      <w:r w:rsidRPr="00A31485">
        <w:rPr>
          <w:b/>
        </w:rPr>
        <w:t>.4. Público Alvo</w:t>
      </w:r>
      <w:bookmarkEnd w:id="1759"/>
      <w:bookmarkEnd w:id="1760"/>
      <w:bookmarkEnd w:id="1761"/>
      <w:bookmarkEnd w:id="1762"/>
      <w:bookmarkEnd w:id="1763"/>
      <w:bookmarkEnd w:id="1764"/>
      <w:bookmarkEnd w:id="1765"/>
    </w:p>
    <w:p w:rsidR="001936D9" w:rsidRPr="00A31485" w:rsidRDefault="001936D9" w:rsidP="001936D9">
      <w:pPr>
        <w:spacing w:before="120" w:after="120" w:line="240" w:lineRule="auto"/>
        <w:rPr>
          <w:rFonts w:cs="Arial"/>
        </w:rPr>
      </w:pPr>
      <w:r w:rsidRPr="00A31485">
        <w:rPr>
          <w:rFonts w:cs="Arial"/>
        </w:rPr>
        <w:t>O Programa de Prospecção, Resgate Arqueológico e Preservação do Patrimônio Arqueológico, Histórico e Cultural do</w:t>
      </w:r>
      <w:r>
        <w:rPr>
          <w:rFonts w:cs="Arial"/>
        </w:rPr>
        <w:t>s</w:t>
      </w:r>
      <w:r w:rsidRPr="00A31485">
        <w:rPr>
          <w:rFonts w:cs="Arial"/>
        </w:rPr>
        <w:t xml:space="preserve"> Empreendimento</w:t>
      </w:r>
      <w:r>
        <w:rPr>
          <w:rFonts w:cs="Arial"/>
        </w:rPr>
        <w:t>s</w:t>
      </w:r>
      <w:r w:rsidRPr="00A31485">
        <w:rPr>
          <w:rFonts w:cs="Arial"/>
        </w:rPr>
        <w:t xml:space="preserve"> </w:t>
      </w:r>
      <w:r>
        <w:rPr>
          <w:rFonts w:cs="Arial"/>
        </w:rPr>
        <w:t>Barragens Pedreira e Duas Pontes, ser</w:t>
      </w:r>
      <w:r w:rsidRPr="00A31485">
        <w:rPr>
          <w:rFonts w:cs="Arial"/>
        </w:rPr>
        <w:t>á executado na fase de implantação de todo o empreendimento, realizando atividades de prospecção, resgate e curadoria de materiais arqueológicos na ADA do empreendimento e por amostragem na AID, e nas áreas de apoio, além de ações de educação patrimonial voltadas para o público escolar dos municípios envolvidos e para os trabalhadores do empreendimento.</w:t>
      </w:r>
    </w:p>
    <w:p w:rsidR="001936D9" w:rsidRPr="00A31485" w:rsidRDefault="001936D9" w:rsidP="001936D9">
      <w:pPr>
        <w:keepNext/>
        <w:spacing w:before="240" w:after="60"/>
        <w:outlineLvl w:val="2"/>
        <w:rPr>
          <w:b/>
        </w:rPr>
      </w:pPr>
      <w:bookmarkStart w:id="1766" w:name="_Toc365986028"/>
      <w:bookmarkStart w:id="1767" w:name="_Toc370810710"/>
      <w:bookmarkStart w:id="1768" w:name="_Toc370923693"/>
      <w:bookmarkStart w:id="1769" w:name="_Toc370985819"/>
      <w:bookmarkStart w:id="1770" w:name="_Toc418758640"/>
      <w:bookmarkStart w:id="1771" w:name="_Toc418759242"/>
      <w:bookmarkStart w:id="1772" w:name="_Toc419814027"/>
      <w:r>
        <w:rPr>
          <w:b/>
        </w:rPr>
        <w:t>3.5.9</w:t>
      </w:r>
      <w:r w:rsidRPr="00A31485">
        <w:rPr>
          <w:b/>
        </w:rPr>
        <w:t xml:space="preserve">.5. </w:t>
      </w:r>
      <w:r>
        <w:rPr>
          <w:b/>
        </w:rPr>
        <w:t>Métodos e Descrição do Programa (</w:t>
      </w:r>
      <w:r w:rsidRPr="00A31485">
        <w:rPr>
          <w:b/>
        </w:rPr>
        <w:t>Procedimentos</w:t>
      </w:r>
      <w:bookmarkEnd w:id="1766"/>
      <w:bookmarkEnd w:id="1767"/>
      <w:bookmarkEnd w:id="1768"/>
      <w:bookmarkEnd w:id="1769"/>
      <w:r>
        <w:rPr>
          <w:b/>
        </w:rPr>
        <w:t>)</w:t>
      </w:r>
      <w:bookmarkEnd w:id="1770"/>
      <w:bookmarkEnd w:id="1771"/>
      <w:bookmarkEnd w:id="1772"/>
    </w:p>
    <w:p w:rsidR="001936D9" w:rsidRPr="00A31485" w:rsidRDefault="001936D9" w:rsidP="001936D9">
      <w:pPr>
        <w:spacing w:before="120" w:after="120" w:line="240" w:lineRule="auto"/>
        <w:rPr>
          <w:rFonts w:cs="Arial"/>
        </w:rPr>
      </w:pPr>
      <w:r w:rsidRPr="00A31485">
        <w:rPr>
          <w:rFonts w:cs="Arial"/>
        </w:rPr>
        <w:t>As principais diretrizes deste programa referem-se a salvaguarda do patrimônio arqueológico, histórico e cultural e a difusão do conhecimento adquirido, para tanto prescreve os seguintes procedimentos.</w:t>
      </w:r>
    </w:p>
    <w:p w:rsidR="001936D9" w:rsidRPr="00A31485" w:rsidRDefault="001936D9" w:rsidP="00F94909">
      <w:pPr>
        <w:pStyle w:val="Item-Bolinha"/>
      </w:pPr>
      <w:r w:rsidRPr="00A31485">
        <w:t>Levantamento das áreas relevantes do ponto de vista histórico e cultural, com potencial cênico, paisagístico ou natural, considerando o patrimônio cultural, os sítios arqueológicos e monumentos históricos da área de inserção do empreendimento;</w:t>
      </w:r>
    </w:p>
    <w:p w:rsidR="001936D9" w:rsidRPr="00A31485" w:rsidRDefault="001936D9" w:rsidP="00F94909">
      <w:pPr>
        <w:pStyle w:val="Item-Bolinha"/>
      </w:pPr>
      <w:r w:rsidRPr="00A31485">
        <w:t xml:space="preserve">Identificação do patrimônio arqueológico, em cumprimento à Portaria IPHAN </w:t>
      </w:r>
      <w:r w:rsidR="003E4CBD">
        <w:rPr>
          <w:rFonts w:eastAsia="Batang"/>
          <w:lang w:eastAsia="en-US"/>
        </w:rPr>
        <w:t>n</w:t>
      </w:r>
      <w:r w:rsidR="003E4CBD">
        <w:rPr>
          <w:rFonts w:eastAsia="Batang"/>
          <w:u w:val="single"/>
          <w:vertAlign w:val="superscript"/>
          <w:lang w:eastAsia="en-US"/>
        </w:rPr>
        <w:t>o</w:t>
      </w:r>
      <w:r w:rsidRPr="00A31485">
        <w:t xml:space="preserve"> 230/2002, com contextualização arqueológica e etno-histórica da área de influência do empreendimento, por meio de levantamento exaustivo de dados secundários e levantamento arqueológico de campo, visando subsidiar Programa de Prospecção e Resgate Arqueológico, de acordo com as exigências do IPHAN;</w:t>
      </w:r>
    </w:p>
    <w:p w:rsidR="001936D9" w:rsidRPr="00A31485" w:rsidRDefault="001936D9" w:rsidP="00F94909">
      <w:pPr>
        <w:pStyle w:val="Item-Bolinha"/>
      </w:pPr>
      <w:r w:rsidRPr="00A31485">
        <w:t>Identificar a existência de comunidades tradicionais, indígenas e de remanescentes de quilombos na ADA e AID, apresentando: a sua localização em relação ao empreendimento, descrição de suas atividades econômicas e fontes de renda (agricultura, pecuária, pesca, extrativismo, artesanato e outras atividades produtivas), seus aspectos e características culturais, expectativas em relação ao projeto, bem como as interferências diretas e indiretas do empreendimento nestas comunidades.</w:t>
      </w:r>
    </w:p>
    <w:p w:rsidR="001936D9" w:rsidRPr="00A31485" w:rsidRDefault="001936D9" w:rsidP="001936D9">
      <w:pPr>
        <w:spacing w:before="120" w:after="120" w:line="240" w:lineRule="auto"/>
        <w:rPr>
          <w:rFonts w:cs="Arial"/>
        </w:rPr>
      </w:pPr>
      <w:r w:rsidRPr="00A31485">
        <w:rPr>
          <w:rFonts w:cs="Arial"/>
        </w:rPr>
        <w:t>A efetivação dos procedimentos acima pressupõe a seguinte sequencia de operações:</w:t>
      </w:r>
    </w:p>
    <w:p w:rsidR="001936D9" w:rsidRPr="00A31485" w:rsidRDefault="001936D9" w:rsidP="001936D9">
      <w:pPr>
        <w:spacing w:before="120" w:after="120" w:line="240" w:lineRule="auto"/>
        <w:ind w:left="709" w:hanging="709"/>
        <w:rPr>
          <w:rFonts w:cs="Arial"/>
        </w:rPr>
      </w:pPr>
      <w:r w:rsidRPr="00A31485">
        <w:rPr>
          <w:rFonts w:cs="Arial"/>
        </w:rPr>
        <w:t>1.</w:t>
      </w:r>
      <w:r w:rsidRPr="00A31485">
        <w:rPr>
          <w:rFonts w:cs="Arial"/>
        </w:rPr>
        <w:tab/>
        <w:t>Elaboração do Programa de Gestão do Patrimônio Arqueológico, Histórico e Cultural</w:t>
      </w:r>
      <w:r>
        <w:rPr>
          <w:rFonts w:cs="Arial"/>
        </w:rPr>
        <w:t>.</w:t>
      </w:r>
    </w:p>
    <w:p w:rsidR="001936D9" w:rsidRPr="00A31485" w:rsidRDefault="001936D9" w:rsidP="001936D9">
      <w:pPr>
        <w:spacing w:before="120" w:after="120" w:line="240" w:lineRule="auto"/>
        <w:ind w:left="709" w:hanging="709"/>
        <w:rPr>
          <w:rFonts w:cs="Arial"/>
        </w:rPr>
      </w:pPr>
      <w:r w:rsidRPr="00A31485">
        <w:rPr>
          <w:rFonts w:cs="Arial"/>
        </w:rPr>
        <w:t>2.</w:t>
      </w:r>
      <w:r w:rsidRPr="00A31485">
        <w:rPr>
          <w:rFonts w:cs="Arial"/>
        </w:rPr>
        <w:tab/>
        <w:t>Levantamento e estudo de bibliografia específica para a área (contextualização arqueológica e etno histórica local).</w:t>
      </w:r>
    </w:p>
    <w:p w:rsidR="001936D9" w:rsidRPr="00A31485" w:rsidRDefault="001936D9" w:rsidP="001936D9">
      <w:pPr>
        <w:spacing w:before="120" w:after="120" w:line="240" w:lineRule="auto"/>
        <w:ind w:left="709" w:hanging="709"/>
        <w:rPr>
          <w:rFonts w:cs="Arial"/>
        </w:rPr>
      </w:pPr>
      <w:r w:rsidRPr="00A31485">
        <w:rPr>
          <w:rFonts w:cs="Arial"/>
        </w:rPr>
        <w:t>3.</w:t>
      </w:r>
      <w:r w:rsidRPr="00A31485">
        <w:rPr>
          <w:rFonts w:cs="Arial"/>
        </w:rPr>
        <w:tab/>
        <w:t xml:space="preserve"> Análise de cartas temáticas (geológicas, geomorfológicas, topográficas, etc.) para definição e mapeamento prévio de fatores geoindicadores a fim de subsidiar os trabalhos de campo e referenciar o contexto arqueológico regional.</w:t>
      </w:r>
    </w:p>
    <w:p w:rsidR="001936D9" w:rsidRPr="00A31485" w:rsidRDefault="001936D9" w:rsidP="001936D9">
      <w:pPr>
        <w:spacing w:before="120" w:after="120" w:line="240" w:lineRule="auto"/>
        <w:ind w:left="709" w:hanging="709"/>
        <w:rPr>
          <w:rFonts w:cs="Arial"/>
        </w:rPr>
      </w:pPr>
      <w:r w:rsidRPr="00A31485">
        <w:rPr>
          <w:rFonts w:cs="Arial"/>
        </w:rPr>
        <w:t>4.</w:t>
      </w:r>
      <w:r w:rsidRPr="00A31485">
        <w:rPr>
          <w:rFonts w:cs="Arial"/>
        </w:rPr>
        <w:tab/>
        <w:t>Análise da implantação e morfologia da área do empreendimento em fotografia aérea e mapas disponíveis, o que é fundamental para que possamos realizar maiores análises sobre o terreno e as áreas envoltórias.</w:t>
      </w:r>
    </w:p>
    <w:p w:rsidR="001936D9" w:rsidRPr="00A31485" w:rsidRDefault="001936D9" w:rsidP="001936D9">
      <w:pPr>
        <w:spacing w:before="120" w:after="120" w:line="240" w:lineRule="auto"/>
        <w:ind w:left="709" w:hanging="709"/>
        <w:rPr>
          <w:rFonts w:cs="Arial"/>
        </w:rPr>
      </w:pPr>
      <w:r w:rsidRPr="00A31485">
        <w:rPr>
          <w:rFonts w:cs="Arial"/>
        </w:rPr>
        <w:t>5.</w:t>
      </w:r>
      <w:r w:rsidRPr="00A31485">
        <w:rPr>
          <w:rFonts w:cs="Arial"/>
        </w:rPr>
        <w:tab/>
        <w:t>Reconhecimento da paisagem e da área de implantação do</w:t>
      </w:r>
      <w:r>
        <w:rPr>
          <w:rFonts w:cs="Arial"/>
        </w:rPr>
        <w:t>s</w:t>
      </w:r>
      <w:r w:rsidRPr="00A31485">
        <w:rPr>
          <w:rFonts w:cs="Arial"/>
        </w:rPr>
        <w:t xml:space="preserve"> empreendimento</w:t>
      </w:r>
      <w:r>
        <w:rPr>
          <w:rFonts w:cs="Arial"/>
        </w:rPr>
        <w:t>s</w:t>
      </w:r>
      <w:r w:rsidRPr="00A31485">
        <w:rPr>
          <w:rFonts w:cs="Arial"/>
        </w:rPr>
        <w:t xml:space="preserve"> para a definição/execução dos módulos de prospecção arqueológica.</w:t>
      </w:r>
    </w:p>
    <w:p w:rsidR="001936D9" w:rsidRPr="00A31485" w:rsidRDefault="001936D9" w:rsidP="001936D9">
      <w:pPr>
        <w:spacing w:before="120" w:after="120" w:line="240" w:lineRule="auto"/>
        <w:ind w:left="709" w:hanging="709"/>
        <w:rPr>
          <w:rFonts w:cs="Arial"/>
        </w:rPr>
      </w:pPr>
      <w:r w:rsidRPr="00A31485">
        <w:rPr>
          <w:rFonts w:cs="Arial"/>
        </w:rPr>
        <w:t>6.</w:t>
      </w:r>
      <w:r w:rsidRPr="00A31485">
        <w:rPr>
          <w:rFonts w:cs="Arial"/>
        </w:rPr>
        <w:tab/>
        <w:t>Trabalhos de campo baseado</w:t>
      </w:r>
      <w:r>
        <w:rPr>
          <w:rFonts w:cs="Arial"/>
        </w:rPr>
        <w:t>s</w:t>
      </w:r>
      <w:r w:rsidRPr="00A31485">
        <w:rPr>
          <w:rFonts w:cs="Arial"/>
        </w:rPr>
        <w:t xml:space="preserve"> na análise do contexto arqueológico local com base na análise sistemática de superfície, verificação de perfis estratigráficos e execução do plano de sondagens. </w:t>
      </w:r>
    </w:p>
    <w:p w:rsidR="001936D9" w:rsidRPr="00A31485" w:rsidRDefault="001936D9" w:rsidP="001936D9">
      <w:pPr>
        <w:spacing w:before="120" w:after="120" w:line="240" w:lineRule="auto"/>
        <w:ind w:left="709" w:hanging="709"/>
        <w:rPr>
          <w:rFonts w:cs="Arial"/>
        </w:rPr>
      </w:pPr>
      <w:r w:rsidRPr="00A31485">
        <w:rPr>
          <w:rFonts w:cs="Arial"/>
        </w:rPr>
        <w:t>7.</w:t>
      </w:r>
      <w:r w:rsidRPr="00A31485">
        <w:rPr>
          <w:rFonts w:cs="Arial"/>
        </w:rPr>
        <w:tab/>
        <w:t>Levantamento por inventário amostral de exemplares do Patrimônio Histórico Cultural (tangível e intangível)</w:t>
      </w:r>
      <w:r>
        <w:rPr>
          <w:rFonts w:cs="Arial"/>
        </w:rPr>
        <w:t>.</w:t>
      </w:r>
    </w:p>
    <w:p w:rsidR="001936D9" w:rsidRPr="00A31485" w:rsidRDefault="001936D9" w:rsidP="001936D9">
      <w:pPr>
        <w:spacing w:before="120" w:after="120" w:line="240" w:lineRule="auto"/>
        <w:ind w:left="709" w:hanging="709"/>
        <w:rPr>
          <w:rFonts w:cs="Arial"/>
        </w:rPr>
      </w:pPr>
      <w:r w:rsidRPr="00A31485">
        <w:rPr>
          <w:rFonts w:cs="Arial"/>
        </w:rPr>
        <w:t>8.</w:t>
      </w:r>
      <w:r w:rsidRPr="00A31485">
        <w:rPr>
          <w:rFonts w:cs="Arial"/>
        </w:rPr>
        <w:tab/>
        <w:t>Delimitação e Cadastramento dos Sítios Arqueológicos identificados em decorrência dos trabalhos anteriormente desenvolvidos.</w:t>
      </w:r>
    </w:p>
    <w:p w:rsidR="001936D9" w:rsidRPr="00A31485" w:rsidRDefault="001936D9" w:rsidP="001936D9">
      <w:pPr>
        <w:spacing w:before="120" w:after="120" w:line="240" w:lineRule="auto"/>
        <w:ind w:left="709" w:hanging="709"/>
        <w:rPr>
          <w:rFonts w:cs="Arial"/>
        </w:rPr>
      </w:pPr>
      <w:r w:rsidRPr="00A31485">
        <w:rPr>
          <w:rFonts w:cs="Arial"/>
        </w:rPr>
        <w:t>9.</w:t>
      </w:r>
      <w:r w:rsidRPr="00A31485">
        <w:rPr>
          <w:rFonts w:cs="Arial"/>
        </w:rPr>
        <w:tab/>
        <w:t>Processamento laboratorial do material possivelmente recuperado pelas prospecções.</w:t>
      </w:r>
    </w:p>
    <w:p w:rsidR="001936D9" w:rsidRPr="00A31485" w:rsidRDefault="001936D9" w:rsidP="001936D9">
      <w:pPr>
        <w:spacing w:before="120" w:after="120" w:line="240" w:lineRule="auto"/>
        <w:ind w:left="709" w:hanging="709"/>
        <w:rPr>
          <w:rFonts w:cs="Arial"/>
        </w:rPr>
      </w:pPr>
      <w:r w:rsidRPr="00A31485">
        <w:rPr>
          <w:rFonts w:cs="Arial"/>
        </w:rPr>
        <w:t>10.</w:t>
      </w:r>
      <w:r w:rsidRPr="00A31485">
        <w:rPr>
          <w:rFonts w:cs="Arial"/>
        </w:rPr>
        <w:tab/>
        <w:t>Execução do Programa de Educação Patrimonial</w:t>
      </w:r>
      <w:r>
        <w:rPr>
          <w:rFonts w:cs="Arial"/>
        </w:rPr>
        <w:t>.</w:t>
      </w:r>
    </w:p>
    <w:p w:rsidR="001936D9" w:rsidRPr="00A31485" w:rsidRDefault="001936D9" w:rsidP="001936D9">
      <w:pPr>
        <w:spacing w:before="120" w:after="120" w:line="240" w:lineRule="auto"/>
        <w:ind w:left="709" w:hanging="709"/>
        <w:rPr>
          <w:rFonts w:cs="Arial"/>
        </w:rPr>
      </w:pPr>
      <w:r w:rsidRPr="00A31485">
        <w:rPr>
          <w:rFonts w:cs="Arial"/>
        </w:rPr>
        <w:t>11.</w:t>
      </w:r>
      <w:r w:rsidRPr="00A31485">
        <w:rPr>
          <w:rFonts w:cs="Arial"/>
        </w:rPr>
        <w:tab/>
        <w:t>Elaboração e Execução do Programa de Resgate Arqueológico (se for o caso).</w:t>
      </w:r>
    </w:p>
    <w:p w:rsidR="001936D9" w:rsidRPr="00A31485" w:rsidRDefault="001936D9" w:rsidP="001936D9">
      <w:pPr>
        <w:spacing w:before="120" w:after="120" w:line="240" w:lineRule="auto"/>
        <w:ind w:left="709" w:hanging="709"/>
        <w:rPr>
          <w:rFonts w:cs="Arial"/>
        </w:rPr>
      </w:pPr>
      <w:r w:rsidRPr="00A31485">
        <w:rPr>
          <w:rFonts w:cs="Arial"/>
        </w:rPr>
        <w:t>12.</w:t>
      </w:r>
      <w:r w:rsidRPr="00A31485">
        <w:rPr>
          <w:rFonts w:cs="Arial"/>
        </w:rPr>
        <w:tab/>
        <w:t>Análise do material e do total de informações obtidas em campo, em conjunto com dados obtidos em bibliografia, fornecendo um quadro sobre a ocupação local.</w:t>
      </w:r>
    </w:p>
    <w:p w:rsidR="001936D9" w:rsidRPr="00A31485" w:rsidRDefault="001936D9" w:rsidP="001936D9">
      <w:pPr>
        <w:spacing w:before="120" w:after="120" w:line="240" w:lineRule="auto"/>
        <w:ind w:left="709" w:hanging="709"/>
        <w:rPr>
          <w:rFonts w:cs="Arial"/>
        </w:rPr>
      </w:pPr>
      <w:r w:rsidRPr="00A31485">
        <w:rPr>
          <w:rFonts w:cs="Arial"/>
        </w:rPr>
        <w:t>13.</w:t>
      </w:r>
      <w:r w:rsidRPr="00A31485">
        <w:rPr>
          <w:rFonts w:cs="Arial"/>
        </w:rPr>
        <w:tab/>
        <w:t xml:space="preserve">Estudo comparativo dos dados obtidos e elaboração do relatório final conclusivo, contemplando a Análise Integrada, referente aos levantamentos, o prognóstico com avaliação de impactos e a elaboração de Planos Básicos referentes ao patrimônio. </w:t>
      </w:r>
    </w:p>
    <w:p w:rsidR="001936D9" w:rsidRPr="00A31485" w:rsidRDefault="001936D9" w:rsidP="001936D9">
      <w:pPr>
        <w:spacing w:before="120" w:after="120" w:line="240" w:lineRule="auto"/>
        <w:ind w:left="709" w:hanging="709"/>
        <w:rPr>
          <w:rFonts w:cs="Arial"/>
        </w:rPr>
      </w:pPr>
      <w:r w:rsidRPr="00A31485">
        <w:rPr>
          <w:rFonts w:cs="Arial"/>
        </w:rPr>
        <w:t>14.</w:t>
      </w:r>
      <w:r w:rsidRPr="00A31485">
        <w:rPr>
          <w:rFonts w:cs="Arial"/>
        </w:rPr>
        <w:tab/>
        <w:t>Elaboração dos relatórios parciais e final conclusivo.</w:t>
      </w:r>
    </w:p>
    <w:p w:rsidR="001936D9" w:rsidRPr="00A31485" w:rsidRDefault="001936D9" w:rsidP="001936D9">
      <w:pPr>
        <w:keepNext/>
        <w:spacing w:before="240" w:after="60"/>
        <w:outlineLvl w:val="2"/>
        <w:rPr>
          <w:b/>
        </w:rPr>
      </w:pPr>
      <w:bookmarkStart w:id="1773" w:name="_Toc365986029"/>
      <w:bookmarkStart w:id="1774" w:name="_Toc370810711"/>
      <w:bookmarkStart w:id="1775" w:name="_Toc370923694"/>
      <w:bookmarkStart w:id="1776" w:name="_Toc370985820"/>
      <w:bookmarkStart w:id="1777" w:name="_Toc418758641"/>
      <w:bookmarkStart w:id="1778" w:name="_Toc418759243"/>
      <w:bookmarkStart w:id="1779" w:name="_Toc419814028"/>
      <w:r>
        <w:rPr>
          <w:b/>
        </w:rPr>
        <w:t>3.5.9</w:t>
      </w:r>
      <w:r w:rsidRPr="00A31485">
        <w:rPr>
          <w:b/>
        </w:rPr>
        <w:t>.6. Indicadores</w:t>
      </w:r>
      <w:bookmarkEnd w:id="1773"/>
      <w:bookmarkEnd w:id="1774"/>
      <w:bookmarkEnd w:id="1775"/>
      <w:bookmarkEnd w:id="1776"/>
      <w:r>
        <w:rPr>
          <w:b/>
        </w:rPr>
        <w:t xml:space="preserve"> Ambientais</w:t>
      </w:r>
      <w:bookmarkEnd w:id="1777"/>
      <w:bookmarkEnd w:id="1778"/>
      <w:bookmarkEnd w:id="1779"/>
    </w:p>
    <w:p w:rsidR="001936D9" w:rsidRPr="00A31485" w:rsidRDefault="001936D9" w:rsidP="001936D9">
      <w:pPr>
        <w:spacing w:before="120" w:after="120" w:line="240" w:lineRule="auto"/>
        <w:rPr>
          <w:rFonts w:cs="Arial"/>
        </w:rPr>
      </w:pPr>
      <w:r w:rsidRPr="00A31485">
        <w:rPr>
          <w:rFonts w:cs="Arial"/>
        </w:rPr>
        <w:t>Refere-se ao numero de sítios arqueológicos históricos e pré históricos e aos exemplares do Patrimônio Cultural (material e imaterial) identificados na ADA e AID do</w:t>
      </w:r>
      <w:r>
        <w:rPr>
          <w:rFonts w:cs="Arial"/>
        </w:rPr>
        <w:t>s</w:t>
      </w:r>
      <w:r w:rsidRPr="00A31485">
        <w:rPr>
          <w:rFonts w:cs="Arial"/>
        </w:rPr>
        <w:t xml:space="preserve"> empreendimento</w:t>
      </w:r>
      <w:r>
        <w:rPr>
          <w:rFonts w:cs="Arial"/>
        </w:rPr>
        <w:t>s</w:t>
      </w:r>
      <w:r w:rsidRPr="00A31485">
        <w:rPr>
          <w:rFonts w:cs="Arial"/>
        </w:rPr>
        <w:t>, observando que a presença ou ausência de sítios arqueológicos está diretamente associada às variáveis ambientais.</w:t>
      </w:r>
    </w:p>
    <w:p w:rsidR="001936D9" w:rsidRPr="00A31485" w:rsidRDefault="001936D9" w:rsidP="001936D9">
      <w:pPr>
        <w:keepNext/>
        <w:spacing w:before="240" w:after="60"/>
        <w:outlineLvl w:val="2"/>
        <w:rPr>
          <w:b/>
        </w:rPr>
      </w:pPr>
      <w:bookmarkStart w:id="1780" w:name="_Toc365986030"/>
      <w:bookmarkStart w:id="1781" w:name="_Toc370810712"/>
      <w:bookmarkStart w:id="1782" w:name="_Toc370923695"/>
      <w:bookmarkStart w:id="1783" w:name="_Toc370985821"/>
      <w:bookmarkStart w:id="1784" w:name="_Toc418758642"/>
      <w:bookmarkStart w:id="1785" w:name="_Toc418759244"/>
      <w:bookmarkStart w:id="1786" w:name="_Toc419814029"/>
      <w:r>
        <w:rPr>
          <w:b/>
        </w:rPr>
        <w:t>3.5.9</w:t>
      </w:r>
      <w:r w:rsidRPr="00A31485">
        <w:rPr>
          <w:b/>
        </w:rPr>
        <w:t>.7. Recursos Materiais e Humanos</w:t>
      </w:r>
      <w:bookmarkEnd w:id="1780"/>
      <w:bookmarkEnd w:id="1781"/>
      <w:bookmarkEnd w:id="1782"/>
      <w:bookmarkEnd w:id="1783"/>
      <w:bookmarkEnd w:id="1784"/>
      <w:bookmarkEnd w:id="1785"/>
      <w:bookmarkEnd w:id="1786"/>
    </w:p>
    <w:p w:rsidR="001936D9" w:rsidRDefault="001936D9" w:rsidP="001936D9">
      <w:pPr>
        <w:spacing w:before="120" w:after="120" w:line="240" w:lineRule="auto"/>
        <w:rPr>
          <w:rFonts w:cs="Arial"/>
        </w:rPr>
      </w:pPr>
      <w:r w:rsidRPr="00623CE0">
        <w:rPr>
          <w:rFonts w:cs="Arial"/>
        </w:rPr>
        <w:t xml:space="preserve">Em relação aos materiais necessários, além dos equipamentos de proteção individual (EPIs), serão utilizados materiais de pesquisa em campo, laboratório e gabinete, conforme o Quadro </w:t>
      </w:r>
      <w:r w:rsidR="003E4CBD" w:rsidRPr="00623CE0">
        <w:rPr>
          <w:rFonts w:cs="Arial"/>
        </w:rPr>
        <w:t>3.5.3.</w:t>
      </w:r>
      <w:r w:rsidRPr="00623CE0">
        <w:rPr>
          <w:rFonts w:cs="Arial"/>
        </w:rPr>
        <w:t xml:space="preserve"> a seguir:</w:t>
      </w:r>
    </w:p>
    <w:p w:rsidR="003E4CBD" w:rsidRDefault="003E4CBD" w:rsidP="001936D9">
      <w:pPr>
        <w:spacing w:before="120" w:after="120" w:line="240" w:lineRule="auto"/>
        <w:rPr>
          <w:rFonts w:cs="Arial"/>
          <w:highlight w:val="yellow"/>
        </w:rPr>
      </w:pPr>
      <w:r>
        <w:rPr>
          <w:rFonts w:cs="Arial"/>
          <w:highlight w:val="yellow"/>
        </w:rPr>
        <w:br w:type="page"/>
      </w:r>
    </w:p>
    <w:p w:rsidR="001936D9" w:rsidRPr="00623CE0" w:rsidRDefault="00BB766D" w:rsidP="00623CE0">
      <w:pPr>
        <w:pStyle w:val="Legenda"/>
        <w:jc w:val="center"/>
        <w:rPr>
          <w:b w:val="0"/>
          <w:i w:val="0"/>
        </w:rPr>
      </w:pPr>
      <w:r w:rsidRPr="00623CE0">
        <w:rPr>
          <w:i w:val="0"/>
        </w:rPr>
        <w:t>Quadro 3.5.</w:t>
      </w:r>
      <w:r w:rsidR="00B80A05" w:rsidRPr="00623CE0">
        <w:rPr>
          <w:i w:val="0"/>
        </w:rPr>
        <w:fldChar w:fldCharType="begin"/>
      </w:r>
      <w:r w:rsidR="00E155C0" w:rsidRPr="00623CE0">
        <w:rPr>
          <w:i w:val="0"/>
        </w:rPr>
        <w:instrText xml:space="preserve"> SEQ Quadro_3.5. \* ARABIC </w:instrText>
      </w:r>
      <w:r w:rsidR="00B80A05" w:rsidRPr="00623CE0">
        <w:rPr>
          <w:i w:val="0"/>
        </w:rPr>
        <w:fldChar w:fldCharType="separate"/>
      </w:r>
      <w:r w:rsidR="00316060">
        <w:rPr>
          <w:i w:val="0"/>
          <w:noProof/>
        </w:rPr>
        <w:t>7</w:t>
      </w:r>
      <w:r w:rsidR="00B80A05" w:rsidRPr="00623CE0">
        <w:rPr>
          <w:i w:val="0"/>
          <w:noProof/>
        </w:rPr>
        <w:fldChar w:fldCharType="end"/>
      </w:r>
      <w:r w:rsidRPr="00623CE0">
        <w:rPr>
          <w:b w:val="0"/>
          <w:i w:val="0"/>
        </w:rPr>
        <w:t>. - Lista de Equipamentos necessários e respectivas aplicações</w:t>
      </w:r>
    </w:p>
    <w:tbl>
      <w:tblPr>
        <w:tblW w:w="8434" w:type="dxa"/>
        <w:jc w:val="center"/>
        <w:tblInd w:w="-81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3323"/>
        <w:gridCol w:w="5111"/>
      </w:tblGrid>
      <w:tr w:rsidR="001936D9" w:rsidRPr="003E4CBD" w:rsidTr="00AE65ED">
        <w:trPr>
          <w:trHeight w:val="126"/>
          <w:tblHeader/>
          <w:jc w:val="center"/>
        </w:trPr>
        <w:tc>
          <w:tcPr>
            <w:tcW w:w="3323" w:type="dxa"/>
            <w:tcBorders>
              <w:bottom w:val="single" w:sz="6" w:space="0" w:color="000000"/>
            </w:tcBorders>
            <w:shd w:val="clear" w:color="auto" w:fill="D9D9D9"/>
          </w:tcPr>
          <w:p w:rsidR="001936D9" w:rsidRPr="003E4CBD" w:rsidRDefault="001936D9" w:rsidP="006D5422">
            <w:pPr>
              <w:autoSpaceDE w:val="0"/>
              <w:autoSpaceDN w:val="0"/>
              <w:adjustRightInd w:val="0"/>
              <w:spacing w:beforeLines="20" w:before="48" w:afterLines="20" w:after="48" w:line="240" w:lineRule="auto"/>
              <w:jc w:val="center"/>
              <w:rPr>
                <w:rFonts w:cs="Arial"/>
                <w:b/>
                <w:i/>
                <w:iCs/>
                <w:sz w:val="18"/>
                <w:szCs w:val="18"/>
              </w:rPr>
            </w:pPr>
            <w:r w:rsidRPr="003E4CBD">
              <w:rPr>
                <w:rFonts w:cs="Arial"/>
                <w:b/>
                <w:i/>
                <w:iCs/>
                <w:sz w:val="18"/>
                <w:szCs w:val="18"/>
              </w:rPr>
              <w:t>Equipamento</w:t>
            </w:r>
          </w:p>
        </w:tc>
        <w:tc>
          <w:tcPr>
            <w:tcW w:w="5111" w:type="dxa"/>
            <w:shd w:val="clear" w:color="auto" w:fill="D9D9D9"/>
          </w:tcPr>
          <w:p w:rsidR="001936D9" w:rsidRPr="003E4CBD" w:rsidRDefault="001936D9" w:rsidP="006D5422">
            <w:pPr>
              <w:autoSpaceDE w:val="0"/>
              <w:autoSpaceDN w:val="0"/>
              <w:adjustRightInd w:val="0"/>
              <w:spacing w:beforeLines="20" w:before="48" w:afterLines="20" w:after="48" w:line="240" w:lineRule="auto"/>
              <w:jc w:val="center"/>
              <w:rPr>
                <w:rFonts w:cs="Arial"/>
                <w:b/>
                <w:i/>
                <w:iCs/>
                <w:sz w:val="18"/>
                <w:szCs w:val="18"/>
              </w:rPr>
            </w:pPr>
            <w:r w:rsidRPr="003E4CBD">
              <w:rPr>
                <w:rFonts w:cs="Arial"/>
                <w:b/>
                <w:i/>
                <w:iCs/>
                <w:sz w:val="18"/>
                <w:szCs w:val="18"/>
              </w:rPr>
              <w:t>Utilização</w:t>
            </w:r>
          </w:p>
        </w:tc>
      </w:tr>
      <w:tr w:rsidR="001936D9" w:rsidRPr="003E4CBD" w:rsidTr="00AE65ED">
        <w:trPr>
          <w:trHeight w:val="121"/>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Câmeras Fotográficas Digitais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laboratório, gabinete</w:t>
            </w:r>
          </w:p>
        </w:tc>
      </w:tr>
      <w:tr w:rsidR="001936D9" w:rsidRPr="003E4CBD" w:rsidTr="00AE65ED">
        <w:trPr>
          <w:trHeight w:val="16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GPS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Campo, gabinete </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Câmeras Filmadoras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Campo, gabinete </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Computadores/Notebooks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laboratório, gabinete</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Impressoras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Laboratório, gabinete</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Scaners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Laboratório, gabinete</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Rádios comunicadores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laboratório, gabinete</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Data-shows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laboratório, gabinete</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Memórias externas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laboratório, gabinete</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Bússolas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Trenas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Peneiras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Cavadeiras </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w:t>
            </w:r>
          </w:p>
        </w:tc>
      </w:tr>
      <w:tr w:rsidR="001936D9" w:rsidRPr="003E4CBD" w:rsidTr="00AE65ED">
        <w:trPr>
          <w:trHeight w:val="128"/>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Enxadas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Vangas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Colheres de pedreiro</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Pincéis </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e laboratório</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Engradados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e laboratório</w:t>
            </w:r>
          </w:p>
        </w:tc>
      </w:tr>
      <w:tr w:rsidR="001936D9" w:rsidRPr="003E4CBD" w:rsidTr="00AE65ED">
        <w:trPr>
          <w:trHeight w:val="92"/>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Espátulas </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e laboratório</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Baldes </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e laboratório</w:t>
            </w:r>
          </w:p>
        </w:tc>
      </w:tr>
      <w:tr w:rsidR="001936D9" w:rsidRPr="003E4CBD" w:rsidTr="00AE65ED">
        <w:trPr>
          <w:trHeight w:val="71"/>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Pás </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Campo </w:t>
            </w:r>
          </w:p>
        </w:tc>
      </w:tr>
      <w:tr w:rsidR="001936D9" w:rsidRPr="003E4CBD" w:rsidTr="00AE65ED">
        <w:trPr>
          <w:trHeight w:val="76"/>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Garrafas térmicas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Campo </w:t>
            </w:r>
          </w:p>
        </w:tc>
      </w:tr>
      <w:tr w:rsidR="001936D9" w:rsidRPr="003E4CBD" w:rsidTr="00AE65ED">
        <w:trPr>
          <w:trHeight w:val="66"/>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Facões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Campo </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Tendas </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Campo </w:t>
            </w:r>
          </w:p>
        </w:tc>
      </w:tr>
      <w:tr w:rsidR="001936D9" w:rsidRPr="003E4CBD" w:rsidTr="00AE65ED">
        <w:trPr>
          <w:trHeight w:val="46"/>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Veículos </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laboratório, gabinete</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Paquímetros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Laboratório </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Lupas manuais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Laboratório </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Alicates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Campo </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Marretas </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Campo </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Estação total</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Campo </w:t>
            </w:r>
          </w:p>
        </w:tc>
      </w:tr>
      <w:tr w:rsidR="001936D9" w:rsidRPr="003E4CBD" w:rsidTr="00AE65ED">
        <w:trPr>
          <w:trHeight w:val="155"/>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Escovas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Campo e laboratório </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Pinças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Campo e laboratório </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Mobiliários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Gabinete e laboratório</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Software </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laboratório, gabinete</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Suporte para banners</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e gabinete</w:t>
            </w:r>
          </w:p>
        </w:tc>
      </w:tr>
      <w:tr w:rsidR="001936D9" w:rsidRPr="003E4CBD" w:rsidTr="00AE65ED">
        <w:trPr>
          <w:trHeight w:val="44"/>
          <w:jc w:val="center"/>
        </w:trPr>
        <w:tc>
          <w:tcPr>
            <w:tcW w:w="3323" w:type="dxa"/>
            <w:shd w:val="clear" w:color="auto" w:fill="F2F2F2"/>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 xml:space="preserve">Telão </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e gabinete</w:t>
            </w:r>
          </w:p>
        </w:tc>
      </w:tr>
      <w:tr w:rsidR="001936D9" w:rsidRPr="003E4CBD" w:rsidTr="00810CA3">
        <w:trPr>
          <w:trHeight w:val="685"/>
          <w:jc w:val="center"/>
        </w:trPr>
        <w:tc>
          <w:tcPr>
            <w:tcW w:w="3323" w:type="dxa"/>
            <w:shd w:val="clear" w:color="auto" w:fill="F2F2F2"/>
            <w:vAlign w:val="center"/>
          </w:tcPr>
          <w:p w:rsidR="001936D9" w:rsidRPr="003E4CBD" w:rsidRDefault="001936D9" w:rsidP="006D5422">
            <w:pPr>
              <w:autoSpaceDE w:val="0"/>
              <w:autoSpaceDN w:val="0"/>
              <w:adjustRightInd w:val="0"/>
              <w:spacing w:beforeLines="20" w:before="48" w:afterLines="20" w:after="48" w:line="240" w:lineRule="auto"/>
              <w:jc w:val="left"/>
              <w:rPr>
                <w:rFonts w:cs="Arial"/>
                <w:sz w:val="18"/>
                <w:szCs w:val="18"/>
              </w:rPr>
            </w:pPr>
            <w:r w:rsidRPr="003E4CBD">
              <w:rPr>
                <w:rFonts w:cs="Arial"/>
                <w:sz w:val="18"/>
                <w:szCs w:val="18"/>
              </w:rPr>
              <w:t>Material administrativo e apoio</w:t>
            </w:r>
          </w:p>
        </w:tc>
        <w:tc>
          <w:tcPr>
            <w:tcW w:w="5111" w:type="dxa"/>
            <w:shd w:val="clear" w:color="auto" w:fill="auto"/>
          </w:tcPr>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Campo, Laboratório, Gabinete</w:t>
            </w:r>
          </w:p>
          <w:p w:rsidR="001936D9" w:rsidRPr="003E4CBD" w:rsidRDefault="001936D9" w:rsidP="006D5422">
            <w:pPr>
              <w:autoSpaceDE w:val="0"/>
              <w:autoSpaceDN w:val="0"/>
              <w:adjustRightInd w:val="0"/>
              <w:spacing w:beforeLines="20" w:before="48" w:afterLines="20" w:after="48" w:line="240" w:lineRule="auto"/>
              <w:rPr>
                <w:rFonts w:cs="Arial"/>
                <w:sz w:val="18"/>
                <w:szCs w:val="18"/>
              </w:rPr>
            </w:pPr>
            <w:r w:rsidRPr="003E4CBD">
              <w:rPr>
                <w:rFonts w:cs="Arial"/>
                <w:sz w:val="18"/>
                <w:szCs w:val="18"/>
              </w:rPr>
              <w:t>Papel, canetas, etiquetas, clipes, grampos, canetas nanquim, lápis, canetas marcadoras, esmaltes de marcação de peças, papel neutro, cola neutra, embalagens plásticas, fitilhos, prancheta</w:t>
            </w:r>
          </w:p>
        </w:tc>
      </w:tr>
    </w:tbl>
    <w:p w:rsidR="001936D9" w:rsidRPr="00A31485" w:rsidRDefault="001936D9" w:rsidP="001936D9">
      <w:pPr>
        <w:tabs>
          <w:tab w:val="left" w:pos="0"/>
        </w:tabs>
        <w:spacing w:before="120" w:after="120" w:line="240" w:lineRule="auto"/>
        <w:ind w:right="-568"/>
        <w:rPr>
          <w:rFonts w:cs="Arial"/>
        </w:rPr>
      </w:pPr>
    </w:p>
    <w:p w:rsidR="001936D9" w:rsidRPr="00A31485" w:rsidRDefault="001936D9" w:rsidP="001936D9">
      <w:pPr>
        <w:spacing w:before="120" w:after="120" w:line="240" w:lineRule="auto"/>
        <w:rPr>
          <w:rFonts w:cs="Arial"/>
        </w:rPr>
      </w:pPr>
      <w:r w:rsidRPr="00A31485">
        <w:rPr>
          <w:rFonts w:cs="Arial"/>
        </w:rPr>
        <w:t>Já em relação aos recursos humanos, a realização do objeto da presente proposta deverá contar com a seguinte equipe de trabalho:</w:t>
      </w:r>
    </w:p>
    <w:p w:rsidR="001936D9" w:rsidRPr="00A31485" w:rsidRDefault="001936D9" w:rsidP="00810CA3">
      <w:pPr>
        <w:pStyle w:val="Item-Trainho"/>
      </w:pPr>
      <w:r w:rsidRPr="00A31485">
        <w:t>01 (um) Arqueólogo Sênior (Coordenador Científico)</w:t>
      </w:r>
    </w:p>
    <w:p w:rsidR="001936D9" w:rsidRPr="00A31485" w:rsidRDefault="001936D9" w:rsidP="00810CA3">
      <w:pPr>
        <w:pStyle w:val="Item-Trainho"/>
      </w:pPr>
      <w:r w:rsidRPr="00A31485">
        <w:t>01 (um) Arqueólogo Pleno</w:t>
      </w:r>
    </w:p>
    <w:p w:rsidR="001936D9" w:rsidRPr="00A31485" w:rsidRDefault="001936D9" w:rsidP="00810CA3">
      <w:pPr>
        <w:pStyle w:val="Item-Trainho"/>
      </w:pPr>
      <w:r w:rsidRPr="00A31485">
        <w:t>02 (dois) Arqueólogos Junior</w:t>
      </w:r>
    </w:p>
    <w:p w:rsidR="001936D9" w:rsidRPr="00A31485" w:rsidRDefault="001936D9" w:rsidP="00810CA3">
      <w:pPr>
        <w:pStyle w:val="Item-Trainho"/>
      </w:pPr>
      <w:r w:rsidRPr="00A31485">
        <w:t>02 (dois) Técnicos de Campo</w:t>
      </w:r>
    </w:p>
    <w:p w:rsidR="001936D9" w:rsidRPr="00A31485" w:rsidRDefault="001936D9" w:rsidP="00810CA3">
      <w:pPr>
        <w:pStyle w:val="Item-Trainho"/>
      </w:pPr>
      <w:r w:rsidRPr="00A31485">
        <w:t>01 (um) Arquiteto</w:t>
      </w:r>
    </w:p>
    <w:p w:rsidR="001936D9" w:rsidRPr="00A31485" w:rsidRDefault="001936D9" w:rsidP="00810CA3">
      <w:pPr>
        <w:pStyle w:val="Item-Trainho"/>
      </w:pPr>
      <w:r w:rsidRPr="00A31485">
        <w:t>01 (um) Historiador Pleno</w:t>
      </w:r>
    </w:p>
    <w:p w:rsidR="001936D9" w:rsidRPr="00A31485" w:rsidRDefault="001936D9" w:rsidP="00810CA3">
      <w:pPr>
        <w:pStyle w:val="Item-Trainho"/>
      </w:pPr>
      <w:r w:rsidRPr="00A31485">
        <w:t>02 (dois) Educadores</w:t>
      </w:r>
    </w:p>
    <w:p w:rsidR="001936D9" w:rsidRPr="00A31485" w:rsidRDefault="001936D9" w:rsidP="00810CA3">
      <w:pPr>
        <w:pStyle w:val="Item-Trainho"/>
      </w:pPr>
      <w:r w:rsidRPr="00A31485">
        <w:t>02 (dois) Estagiários</w:t>
      </w:r>
    </w:p>
    <w:p w:rsidR="001936D9" w:rsidRPr="00A31485" w:rsidRDefault="001936D9" w:rsidP="00810CA3">
      <w:pPr>
        <w:pStyle w:val="Item-Trainho"/>
      </w:pPr>
      <w:r w:rsidRPr="00A31485">
        <w:t>01 (um) profissional de Marketing</w:t>
      </w:r>
    </w:p>
    <w:p w:rsidR="001936D9" w:rsidRPr="00A31485" w:rsidRDefault="001936D9" w:rsidP="00810CA3">
      <w:pPr>
        <w:pStyle w:val="Item-Trainho"/>
      </w:pPr>
      <w:r w:rsidRPr="00A31485">
        <w:t xml:space="preserve">01 (um) Técnico em Geoprocessamento </w:t>
      </w:r>
    </w:p>
    <w:p w:rsidR="001936D9" w:rsidRPr="00A31485" w:rsidRDefault="001936D9" w:rsidP="00810CA3">
      <w:pPr>
        <w:pStyle w:val="Item-Trainho"/>
      </w:pPr>
      <w:r w:rsidRPr="00A31485">
        <w:t>02 (dois) Técnicos de Laboratório</w:t>
      </w:r>
    </w:p>
    <w:p w:rsidR="001936D9" w:rsidRPr="00A31485" w:rsidRDefault="001936D9" w:rsidP="00810CA3">
      <w:pPr>
        <w:pStyle w:val="Item-Trainho"/>
      </w:pPr>
      <w:r w:rsidRPr="00A31485">
        <w:t>06 (seis) auxiliares de campo</w:t>
      </w:r>
    </w:p>
    <w:p w:rsidR="001936D9" w:rsidRPr="00A31485" w:rsidRDefault="001936D9" w:rsidP="001936D9">
      <w:pPr>
        <w:keepNext/>
        <w:spacing w:before="240" w:after="60"/>
        <w:outlineLvl w:val="2"/>
        <w:rPr>
          <w:b/>
        </w:rPr>
      </w:pPr>
      <w:bookmarkStart w:id="1787" w:name="_Toc365986031"/>
      <w:bookmarkStart w:id="1788" w:name="_Toc370810713"/>
      <w:bookmarkStart w:id="1789" w:name="_Toc370923696"/>
      <w:bookmarkStart w:id="1790" w:name="_Toc370985822"/>
      <w:bookmarkStart w:id="1791" w:name="_Toc418758643"/>
      <w:bookmarkStart w:id="1792" w:name="_Toc418759245"/>
      <w:bookmarkStart w:id="1793" w:name="_Toc419814030"/>
      <w:r>
        <w:rPr>
          <w:b/>
        </w:rPr>
        <w:t>3.5.9</w:t>
      </w:r>
      <w:r w:rsidRPr="00A31485">
        <w:rPr>
          <w:b/>
        </w:rPr>
        <w:t>.8. Atendimento a Requisitos Legais</w:t>
      </w:r>
      <w:bookmarkEnd w:id="1787"/>
      <w:bookmarkEnd w:id="1788"/>
      <w:bookmarkEnd w:id="1789"/>
      <w:bookmarkEnd w:id="1790"/>
      <w:bookmarkEnd w:id="1791"/>
      <w:bookmarkEnd w:id="1792"/>
      <w:bookmarkEnd w:id="1793"/>
    </w:p>
    <w:p w:rsidR="001936D9" w:rsidRPr="00A31485" w:rsidRDefault="001936D9" w:rsidP="001936D9">
      <w:pPr>
        <w:spacing w:before="120" w:after="120" w:line="240" w:lineRule="auto"/>
        <w:rPr>
          <w:rFonts w:cs="Arial"/>
        </w:rPr>
      </w:pPr>
      <w:r w:rsidRPr="00A31485">
        <w:rPr>
          <w:rFonts w:cs="Arial"/>
        </w:rPr>
        <w:t>A realização do presente Programa deverá atender às especificidades definidas pelos seguintes instrumentos:</w:t>
      </w:r>
    </w:p>
    <w:p w:rsidR="001936D9" w:rsidRPr="00A31485" w:rsidRDefault="001936D9" w:rsidP="00656EA3">
      <w:pPr>
        <w:pStyle w:val="Item-Trainho"/>
      </w:pPr>
      <w:r w:rsidRPr="00A31485">
        <w:t xml:space="preserve">Decreto-Lei </w:t>
      </w:r>
      <w:r w:rsidR="003E4CBD">
        <w:rPr>
          <w:rFonts w:eastAsia="Batang"/>
          <w:lang w:eastAsia="en-US"/>
        </w:rPr>
        <w:t>n</w:t>
      </w:r>
      <w:r w:rsidR="003E4CBD">
        <w:rPr>
          <w:rFonts w:eastAsia="Batang"/>
          <w:u w:val="single"/>
          <w:vertAlign w:val="superscript"/>
          <w:lang w:eastAsia="en-US"/>
        </w:rPr>
        <w:t>o</w:t>
      </w:r>
      <w:r w:rsidRPr="00A31485">
        <w:t xml:space="preserve"> 25, de 30/11/1937, que organiza a proteção do patrimônio histórico e artístico nacional;</w:t>
      </w:r>
    </w:p>
    <w:p w:rsidR="001936D9" w:rsidRPr="00A31485" w:rsidRDefault="001936D9" w:rsidP="00656EA3">
      <w:pPr>
        <w:pStyle w:val="Item-Trainho"/>
      </w:pPr>
      <w:r w:rsidRPr="00A31485">
        <w:t xml:space="preserve">Lei </w:t>
      </w:r>
      <w:r w:rsidR="003E4CBD">
        <w:rPr>
          <w:rFonts w:eastAsia="Batang"/>
          <w:lang w:eastAsia="en-US"/>
        </w:rPr>
        <w:t>n</w:t>
      </w:r>
      <w:r w:rsidR="003E4CBD">
        <w:rPr>
          <w:rFonts w:eastAsia="Batang"/>
          <w:u w:val="single"/>
          <w:vertAlign w:val="superscript"/>
          <w:lang w:eastAsia="en-US"/>
        </w:rPr>
        <w:t>o</w:t>
      </w:r>
      <w:r w:rsidRPr="00A31485">
        <w:t xml:space="preserve"> 3.924, de 26/07/1961, que proíbe a destruição ou mutilação, para qualquer fim, da totalidade ou parte das jazidas arqueológicas, o que é considerado crime contra o patrimônio nacional;</w:t>
      </w:r>
    </w:p>
    <w:p w:rsidR="001936D9" w:rsidRPr="00A31485" w:rsidRDefault="001936D9" w:rsidP="00656EA3">
      <w:pPr>
        <w:pStyle w:val="Item-Trainho"/>
      </w:pPr>
      <w:r w:rsidRPr="00A31485">
        <w:t>Constituição Federal de 1988 (artigo 225, parágrafo IV), que considera os sítios arqueológicos como patrimônio cultural brasileiro, garantindo sua guarda e proteção, de acordo com o que estabelece o artigo 216;</w:t>
      </w:r>
    </w:p>
    <w:p w:rsidR="001936D9" w:rsidRPr="00A31485" w:rsidRDefault="001936D9" w:rsidP="00656EA3">
      <w:pPr>
        <w:pStyle w:val="Item-Trainho"/>
      </w:pPr>
      <w:r w:rsidRPr="00A31485">
        <w:t xml:space="preserve">Resolução </w:t>
      </w:r>
      <w:r w:rsidR="00504078">
        <w:t>CONAMA</w:t>
      </w:r>
      <w:r w:rsidRPr="00A31485">
        <w:t xml:space="preserve"> 01, de 23 de janeiro de 1986, cria a obrigatoriedade de realização de EIA/RIMA para o licenciamento de atividades poluidoras;</w:t>
      </w:r>
    </w:p>
    <w:p w:rsidR="001936D9" w:rsidRPr="00A31485" w:rsidRDefault="001936D9" w:rsidP="00656EA3">
      <w:pPr>
        <w:pStyle w:val="Item-Trainho"/>
      </w:pPr>
      <w:r w:rsidRPr="00A31485">
        <w:t>Portaria SPHAN/MinC 07, de 01.12.1988, que normatiza e legaliza as ações de intervenção junto ao patrimônio arqueológico nacional;</w:t>
      </w:r>
    </w:p>
    <w:p w:rsidR="001936D9" w:rsidRPr="00A31485" w:rsidRDefault="001936D9" w:rsidP="00656EA3">
      <w:pPr>
        <w:pStyle w:val="Item-Trainho"/>
      </w:pPr>
      <w:r w:rsidRPr="00A31485">
        <w:t xml:space="preserve">Portaria IPHAN/MinC </w:t>
      </w:r>
      <w:r w:rsidR="003E4CBD">
        <w:rPr>
          <w:rFonts w:eastAsia="Batang"/>
          <w:lang w:eastAsia="en-US"/>
        </w:rPr>
        <w:t>n</w:t>
      </w:r>
      <w:r w:rsidR="003E4CBD">
        <w:rPr>
          <w:rFonts w:eastAsia="Batang"/>
          <w:u w:val="single"/>
          <w:vertAlign w:val="superscript"/>
          <w:lang w:eastAsia="en-US"/>
        </w:rPr>
        <w:t>o</w:t>
      </w:r>
      <w:r w:rsidRPr="00A31485">
        <w:t xml:space="preserve"> 230, de 17.12.2002, que define o escopo das pesquisas a serem realizadas durante as diferentes fases de licenciamento de obra;</w:t>
      </w:r>
    </w:p>
    <w:p w:rsidR="001936D9" w:rsidRPr="00A31485" w:rsidRDefault="001936D9" w:rsidP="00656EA3">
      <w:pPr>
        <w:pStyle w:val="Item-Trainho"/>
      </w:pPr>
      <w:r w:rsidRPr="00A31485">
        <w:t>Resolução SMA 3 4, de 27 de agosto de 2003, dispõe sobre as medidas necessárias à proteção do patrimônio arqueológico e pré-histórico quando do licenciamento ambiental de empreendimentos e atividades potencialmente causadores de significativo impacto ambiental, sujeitos à apresentação de EIA/RIMA, e dá providências correlatas;</w:t>
      </w:r>
    </w:p>
    <w:p w:rsidR="001936D9" w:rsidRPr="00A31485" w:rsidRDefault="001936D9" w:rsidP="00656EA3">
      <w:pPr>
        <w:pStyle w:val="Item-Trainho"/>
      </w:pPr>
      <w:r w:rsidRPr="00A31485">
        <w:t>Resolução SMA 54, de 30 de novembro de 2004, dispõe sobre procedimentos para o licenciamento ambiental no âmbito da Secretaria do Meio Ambiente.</w:t>
      </w:r>
    </w:p>
    <w:p w:rsidR="001936D9" w:rsidRPr="00A31485" w:rsidRDefault="001936D9" w:rsidP="001936D9">
      <w:pPr>
        <w:keepNext/>
        <w:spacing w:before="240" w:after="60"/>
        <w:outlineLvl w:val="2"/>
        <w:rPr>
          <w:b/>
        </w:rPr>
      </w:pPr>
      <w:bookmarkStart w:id="1794" w:name="_Toc365986032"/>
      <w:bookmarkStart w:id="1795" w:name="_Toc370810714"/>
      <w:bookmarkStart w:id="1796" w:name="_Toc370923697"/>
      <w:bookmarkStart w:id="1797" w:name="_Toc370985823"/>
      <w:bookmarkStart w:id="1798" w:name="_Toc418758644"/>
      <w:bookmarkStart w:id="1799" w:name="_Toc418759246"/>
      <w:bookmarkStart w:id="1800" w:name="_Toc419814031"/>
      <w:r>
        <w:rPr>
          <w:b/>
        </w:rPr>
        <w:t>3.5.9</w:t>
      </w:r>
      <w:r w:rsidRPr="00A31485">
        <w:rPr>
          <w:b/>
        </w:rPr>
        <w:t>.9. Inter-relação com outros Planos e Programas</w:t>
      </w:r>
      <w:bookmarkEnd w:id="1794"/>
      <w:bookmarkEnd w:id="1795"/>
      <w:bookmarkEnd w:id="1796"/>
      <w:bookmarkEnd w:id="1797"/>
      <w:bookmarkEnd w:id="1798"/>
      <w:bookmarkEnd w:id="1799"/>
      <w:bookmarkEnd w:id="1800"/>
    </w:p>
    <w:p w:rsidR="001936D9" w:rsidRPr="00A31485" w:rsidRDefault="001936D9" w:rsidP="007548E9">
      <w:pPr>
        <w:spacing w:before="120" w:after="120" w:line="240" w:lineRule="auto"/>
        <w:rPr>
          <w:rFonts w:cs="Arial"/>
        </w:rPr>
      </w:pPr>
      <w:r w:rsidRPr="00A31485">
        <w:rPr>
          <w:rFonts w:cs="Arial"/>
        </w:rPr>
        <w:t>O presente programa possui interface com:</w:t>
      </w:r>
    </w:p>
    <w:p w:rsidR="001936D9" w:rsidRPr="001936D9" w:rsidRDefault="001936D9" w:rsidP="007548E9">
      <w:pPr>
        <w:spacing w:before="120" w:after="120" w:line="240" w:lineRule="auto"/>
        <w:rPr>
          <w:rFonts w:cs="Arial"/>
        </w:rPr>
      </w:pPr>
      <w:r w:rsidRPr="001936D9">
        <w:rPr>
          <w:rFonts w:cs="Arial"/>
        </w:rPr>
        <w:t>Programa de Gestão e Supervisão Ambiental das Obras</w:t>
      </w:r>
    </w:p>
    <w:p w:rsidR="001936D9" w:rsidRPr="001936D9" w:rsidRDefault="001936D9" w:rsidP="007548E9">
      <w:pPr>
        <w:spacing w:before="120" w:after="120" w:line="240" w:lineRule="auto"/>
        <w:rPr>
          <w:rFonts w:cs="Arial"/>
        </w:rPr>
      </w:pPr>
      <w:r w:rsidRPr="001936D9">
        <w:rPr>
          <w:rFonts w:cs="Arial"/>
        </w:rPr>
        <w:t>Programa de Controle Ambiental das Obras</w:t>
      </w:r>
    </w:p>
    <w:p w:rsidR="001936D9" w:rsidRPr="001936D9" w:rsidRDefault="001936D9" w:rsidP="007548E9">
      <w:pPr>
        <w:spacing w:before="120" w:after="120" w:line="240" w:lineRule="auto"/>
        <w:rPr>
          <w:rFonts w:cs="Arial"/>
        </w:rPr>
      </w:pPr>
      <w:r w:rsidRPr="001936D9">
        <w:rPr>
          <w:rFonts w:cs="Arial"/>
        </w:rPr>
        <w:t>Programa de Comunicação Social</w:t>
      </w:r>
    </w:p>
    <w:p w:rsidR="001936D9" w:rsidRPr="001936D9" w:rsidRDefault="001936D9" w:rsidP="007548E9">
      <w:pPr>
        <w:spacing w:before="120" w:after="120" w:line="240" w:lineRule="auto"/>
        <w:rPr>
          <w:rFonts w:cs="Arial"/>
        </w:rPr>
      </w:pPr>
      <w:r w:rsidRPr="001936D9">
        <w:rPr>
          <w:rFonts w:cs="Arial"/>
        </w:rPr>
        <w:t>Programa de Educação Ambiental</w:t>
      </w:r>
    </w:p>
    <w:p w:rsidR="001936D9" w:rsidRPr="001936D9" w:rsidRDefault="001936D9" w:rsidP="007548E9">
      <w:pPr>
        <w:spacing w:before="120" w:after="120" w:line="240" w:lineRule="auto"/>
        <w:rPr>
          <w:rFonts w:cs="Arial"/>
        </w:rPr>
      </w:pPr>
      <w:r w:rsidRPr="001936D9">
        <w:rPr>
          <w:rFonts w:cs="Arial"/>
        </w:rPr>
        <w:t>Programa de Compensação Ambiental</w:t>
      </w:r>
    </w:p>
    <w:p w:rsidR="001936D9" w:rsidRPr="001936D9" w:rsidRDefault="001936D9" w:rsidP="007548E9">
      <w:pPr>
        <w:spacing w:before="120" w:after="120" w:line="240" w:lineRule="auto"/>
        <w:rPr>
          <w:rFonts w:cs="Arial"/>
        </w:rPr>
      </w:pPr>
      <w:r w:rsidRPr="001936D9">
        <w:rPr>
          <w:rFonts w:cs="Arial"/>
        </w:rPr>
        <w:t>Programa de Ordenamento Territorial</w:t>
      </w:r>
      <w:r>
        <w:rPr>
          <w:rFonts w:cs="Arial"/>
        </w:rPr>
        <w:t>.</w:t>
      </w:r>
    </w:p>
    <w:p w:rsidR="001936D9" w:rsidRPr="00A31485" w:rsidRDefault="001936D9" w:rsidP="001936D9">
      <w:pPr>
        <w:keepNext/>
        <w:spacing w:before="240" w:after="60"/>
        <w:outlineLvl w:val="2"/>
        <w:rPr>
          <w:b/>
        </w:rPr>
      </w:pPr>
      <w:bookmarkStart w:id="1801" w:name="_Toc365986033"/>
      <w:bookmarkStart w:id="1802" w:name="_Toc370810715"/>
      <w:bookmarkStart w:id="1803" w:name="_Toc370923698"/>
      <w:bookmarkStart w:id="1804" w:name="_Toc370985824"/>
      <w:bookmarkStart w:id="1805" w:name="_Toc418758645"/>
      <w:bookmarkStart w:id="1806" w:name="_Toc418759247"/>
      <w:bookmarkStart w:id="1807" w:name="_Toc419814032"/>
      <w:r>
        <w:rPr>
          <w:b/>
        </w:rPr>
        <w:t>3.5.9</w:t>
      </w:r>
      <w:r w:rsidRPr="00A31485">
        <w:rPr>
          <w:b/>
        </w:rPr>
        <w:t>.10. Etapa do</w:t>
      </w:r>
      <w:r>
        <w:rPr>
          <w:b/>
        </w:rPr>
        <w:t>s</w:t>
      </w:r>
      <w:r w:rsidRPr="00A31485">
        <w:rPr>
          <w:b/>
        </w:rPr>
        <w:t xml:space="preserve"> Empreendimento</w:t>
      </w:r>
      <w:bookmarkEnd w:id="1801"/>
      <w:bookmarkEnd w:id="1802"/>
      <w:bookmarkEnd w:id="1803"/>
      <w:bookmarkEnd w:id="1804"/>
      <w:r>
        <w:rPr>
          <w:b/>
        </w:rPr>
        <w:t>s</w:t>
      </w:r>
      <w:bookmarkEnd w:id="1805"/>
      <w:bookmarkEnd w:id="1806"/>
      <w:bookmarkEnd w:id="1807"/>
    </w:p>
    <w:p w:rsidR="001936D9" w:rsidRPr="0069393D" w:rsidRDefault="001936D9" w:rsidP="0069393D">
      <w:pPr>
        <w:pStyle w:val="Item-Bolinha"/>
        <w:rPr>
          <w:rFonts w:eastAsia="Calibri"/>
        </w:rPr>
      </w:pPr>
      <w:r w:rsidRPr="0069393D">
        <w:rPr>
          <w:rFonts w:eastAsia="Calibri"/>
        </w:rPr>
        <w:t>Fase de Planejamento: Etapa de Diagnóstico Arqueológico</w:t>
      </w:r>
      <w:r w:rsidR="007548E9" w:rsidRPr="0069393D">
        <w:rPr>
          <w:rFonts w:eastAsia="Calibri"/>
        </w:rPr>
        <w:t>.</w:t>
      </w:r>
    </w:p>
    <w:p w:rsidR="001936D9" w:rsidRPr="0069393D" w:rsidRDefault="001936D9" w:rsidP="0069393D">
      <w:pPr>
        <w:pStyle w:val="Item-Bolinha"/>
        <w:rPr>
          <w:rFonts w:eastAsia="Calibri"/>
        </w:rPr>
      </w:pPr>
      <w:r w:rsidRPr="0069393D">
        <w:rPr>
          <w:rFonts w:eastAsia="Calibri"/>
        </w:rPr>
        <w:t>Fase de Implantação: Etapa de Prospecções Arqueológicas, Resgate, Monitoramento Arqueológico e Educação Patrimonial</w:t>
      </w:r>
      <w:r w:rsidR="007548E9" w:rsidRPr="0069393D">
        <w:rPr>
          <w:rFonts w:eastAsia="Calibri"/>
        </w:rPr>
        <w:t>.</w:t>
      </w:r>
    </w:p>
    <w:p w:rsidR="001936D9" w:rsidRPr="0069393D" w:rsidRDefault="001936D9" w:rsidP="0069393D">
      <w:pPr>
        <w:pStyle w:val="Item-Bolinha"/>
        <w:rPr>
          <w:rFonts w:eastAsia="Calibri"/>
        </w:rPr>
      </w:pPr>
      <w:r w:rsidRPr="0069393D">
        <w:rPr>
          <w:rFonts w:eastAsia="Calibri"/>
        </w:rPr>
        <w:t>Fase de O</w:t>
      </w:r>
      <w:r w:rsidR="007548E9" w:rsidRPr="0069393D">
        <w:rPr>
          <w:rFonts w:eastAsia="Calibri"/>
        </w:rPr>
        <w:t>peração.</w:t>
      </w:r>
    </w:p>
    <w:p w:rsidR="001936D9" w:rsidRPr="00A31485" w:rsidRDefault="001936D9" w:rsidP="001936D9">
      <w:pPr>
        <w:keepNext/>
        <w:spacing w:before="240" w:after="60"/>
        <w:outlineLvl w:val="2"/>
        <w:rPr>
          <w:b/>
        </w:rPr>
      </w:pPr>
      <w:bookmarkStart w:id="1808" w:name="_Toc365986034"/>
      <w:bookmarkStart w:id="1809" w:name="_Toc370810716"/>
      <w:bookmarkStart w:id="1810" w:name="_Toc370923699"/>
      <w:bookmarkStart w:id="1811" w:name="_Toc370985825"/>
      <w:bookmarkStart w:id="1812" w:name="_Toc418758646"/>
      <w:bookmarkStart w:id="1813" w:name="_Toc418759248"/>
      <w:bookmarkStart w:id="1814" w:name="_Toc419814033"/>
      <w:r>
        <w:rPr>
          <w:b/>
        </w:rPr>
        <w:t>3.5.9</w:t>
      </w:r>
      <w:r w:rsidRPr="00A31485">
        <w:rPr>
          <w:b/>
        </w:rPr>
        <w:t>.11. Cronograma de Execução</w:t>
      </w:r>
      <w:bookmarkEnd w:id="1808"/>
      <w:bookmarkEnd w:id="1809"/>
      <w:bookmarkEnd w:id="1810"/>
      <w:bookmarkEnd w:id="1811"/>
      <w:bookmarkEnd w:id="1812"/>
      <w:bookmarkEnd w:id="1813"/>
      <w:bookmarkEnd w:id="1814"/>
    </w:p>
    <w:p w:rsidR="001936D9" w:rsidRPr="00A31485" w:rsidRDefault="001936D9" w:rsidP="007548E9">
      <w:pPr>
        <w:spacing w:before="120" w:after="120" w:line="240" w:lineRule="auto"/>
      </w:pPr>
      <w:r w:rsidRPr="00A31485">
        <w:t>A realização deste programa pressupõe atividades de campo, gabinete e laboratório, totalizando cerca de 24 (vinte e quatro) meses partir da emissão da portaria do IPHAN autorizando o desenvolvimento das pesquisas, conforme cronograma simplificado a seguir:</w:t>
      </w:r>
    </w:p>
    <w:p w:rsidR="001936D9" w:rsidRDefault="001936D9" w:rsidP="007548E9">
      <w:pPr>
        <w:spacing w:before="120" w:after="120" w:line="240" w:lineRule="auto"/>
      </w:pPr>
      <w:r w:rsidRPr="00A31485">
        <w:t xml:space="preserve">As principais diretrizes deste programa referem-se a salvaguarda do patrimônio arqueológico, histórico e cultural e a difusão do conhecimento adquirido, para tanto prescreve os procedimentos explicitados </w:t>
      </w:r>
      <w:r w:rsidRPr="000B769F">
        <w:t>no item 3.5.9.5.</w:t>
      </w:r>
    </w:p>
    <w:p w:rsidR="001936D9" w:rsidRPr="00BB766D" w:rsidRDefault="00BB766D" w:rsidP="00BB766D">
      <w:pPr>
        <w:pStyle w:val="Legenda"/>
        <w:spacing w:line="240" w:lineRule="auto"/>
        <w:jc w:val="center"/>
        <w:rPr>
          <w:b w:val="0"/>
          <w:i w:val="0"/>
        </w:rPr>
      </w:pPr>
      <w:r w:rsidRPr="00BB766D">
        <w:rPr>
          <w:i w:val="0"/>
        </w:rPr>
        <w:t>Quadro 3.5.</w:t>
      </w:r>
      <w:r w:rsidR="00B80A05" w:rsidRPr="00BB766D">
        <w:rPr>
          <w:i w:val="0"/>
        </w:rPr>
        <w:fldChar w:fldCharType="begin"/>
      </w:r>
      <w:r w:rsidRPr="00BB766D">
        <w:rPr>
          <w:i w:val="0"/>
        </w:rPr>
        <w:instrText xml:space="preserve"> SEQ Quadro_3.5. \* ARABIC </w:instrText>
      </w:r>
      <w:r w:rsidR="00B80A05" w:rsidRPr="00BB766D">
        <w:rPr>
          <w:i w:val="0"/>
        </w:rPr>
        <w:fldChar w:fldCharType="separate"/>
      </w:r>
      <w:r w:rsidR="00316060">
        <w:rPr>
          <w:i w:val="0"/>
          <w:noProof/>
        </w:rPr>
        <w:t>8</w:t>
      </w:r>
      <w:r w:rsidR="00B80A05" w:rsidRPr="00BB766D">
        <w:rPr>
          <w:i w:val="0"/>
        </w:rPr>
        <w:fldChar w:fldCharType="end"/>
      </w:r>
      <w:r w:rsidRPr="00BB766D">
        <w:rPr>
          <w:i w:val="0"/>
        </w:rPr>
        <w:t>.</w:t>
      </w:r>
      <w:r w:rsidRPr="00BB766D">
        <w:rPr>
          <w:b w:val="0"/>
          <w:i w:val="0"/>
        </w:rPr>
        <w:t xml:space="preserve"> </w:t>
      </w:r>
      <w:r>
        <w:rPr>
          <w:b w:val="0"/>
          <w:i w:val="0"/>
        </w:rPr>
        <w:t>-</w:t>
      </w:r>
      <w:r w:rsidRPr="00BB766D">
        <w:rPr>
          <w:b w:val="0"/>
          <w:i w:val="0"/>
        </w:rPr>
        <w:t xml:space="preserve"> Cronograma das Atividades</w:t>
      </w:r>
    </w:p>
    <w:tbl>
      <w:tblPr>
        <w:tblStyle w:val="Tabelacomgrade"/>
        <w:tblW w:w="9924" w:type="dxa"/>
        <w:jc w:val="center"/>
        <w:tblInd w:w="-318" w:type="dxa"/>
        <w:tblLook w:val="04A0" w:firstRow="1" w:lastRow="0" w:firstColumn="1" w:lastColumn="0" w:noHBand="0" w:noVBand="1"/>
      </w:tblPr>
      <w:tblGrid>
        <w:gridCol w:w="568"/>
        <w:gridCol w:w="5528"/>
        <w:gridCol w:w="3828"/>
      </w:tblGrid>
      <w:tr w:rsidR="001936D9" w:rsidRPr="0069393D" w:rsidTr="00BB766D">
        <w:trPr>
          <w:jc w:val="center"/>
        </w:trPr>
        <w:tc>
          <w:tcPr>
            <w:tcW w:w="568" w:type="dxa"/>
            <w:shd w:val="clear" w:color="auto" w:fill="D9D9D9" w:themeFill="background1" w:themeFillShade="D9"/>
            <w:vAlign w:val="center"/>
          </w:tcPr>
          <w:p w:rsidR="001936D9" w:rsidRPr="0069393D" w:rsidRDefault="001936D9" w:rsidP="007548E9">
            <w:pPr>
              <w:spacing w:before="60" w:after="40" w:line="240" w:lineRule="auto"/>
              <w:jc w:val="center"/>
              <w:rPr>
                <w:rFonts w:cs="Arial"/>
                <w:b/>
                <w:szCs w:val="22"/>
              </w:rPr>
            </w:pPr>
          </w:p>
        </w:tc>
        <w:tc>
          <w:tcPr>
            <w:tcW w:w="5528" w:type="dxa"/>
            <w:shd w:val="clear" w:color="auto" w:fill="D9D9D9" w:themeFill="background1" w:themeFillShade="D9"/>
            <w:vAlign w:val="center"/>
          </w:tcPr>
          <w:p w:rsidR="001936D9" w:rsidRPr="0069393D" w:rsidRDefault="001936D9" w:rsidP="007548E9">
            <w:pPr>
              <w:spacing w:before="60" w:after="40" w:line="240" w:lineRule="auto"/>
              <w:jc w:val="center"/>
              <w:rPr>
                <w:rFonts w:cs="Arial"/>
                <w:b/>
                <w:szCs w:val="22"/>
              </w:rPr>
            </w:pPr>
            <w:r w:rsidRPr="0069393D">
              <w:rPr>
                <w:rFonts w:cs="Arial"/>
                <w:b/>
                <w:szCs w:val="22"/>
              </w:rPr>
              <w:t>Atividades</w:t>
            </w:r>
          </w:p>
        </w:tc>
        <w:tc>
          <w:tcPr>
            <w:tcW w:w="3828" w:type="dxa"/>
            <w:shd w:val="clear" w:color="auto" w:fill="D9D9D9" w:themeFill="background1" w:themeFillShade="D9"/>
            <w:vAlign w:val="center"/>
          </w:tcPr>
          <w:p w:rsidR="001936D9" w:rsidRPr="0069393D" w:rsidRDefault="001936D9" w:rsidP="007548E9">
            <w:pPr>
              <w:spacing w:before="60" w:after="40" w:line="240" w:lineRule="auto"/>
              <w:jc w:val="center"/>
              <w:rPr>
                <w:rFonts w:cs="Arial"/>
                <w:b/>
                <w:szCs w:val="22"/>
              </w:rPr>
            </w:pPr>
            <w:r w:rsidRPr="0069393D">
              <w:rPr>
                <w:rFonts w:cs="Arial"/>
                <w:b/>
                <w:szCs w:val="22"/>
              </w:rPr>
              <w:t>Período</w:t>
            </w:r>
          </w:p>
        </w:tc>
      </w:tr>
      <w:tr w:rsidR="001936D9" w:rsidRPr="0069393D" w:rsidTr="00BB766D">
        <w:trPr>
          <w:jc w:val="center"/>
        </w:trPr>
        <w:tc>
          <w:tcPr>
            <w:tcW w:w="568" w:type="dxa"/>
            <w:vAlign w:val="center"/>
          </w:tcPr>
          <w:p w:rsidR="001936D9" w:rsidRPr="0069393D" w:rsidRDefault="001936D9" w:rsidP="007548E9">
            <w:pPr>
              <w:spacing w:before="60" w:after="40" w:line="240" w:lineRule="auto"/>
              <w:jc w:val="center"/>
              <w:rPr>
                <w:rFonts w:cs="Arial"/>
                <w:szCs w:val="22"/>
              </w:rPr>
            </w:pPr>
            <w:r w:rsidRPr="0069393D">
              <w:rPr>
                <w:rFonts w:cs="Arial"/>
                <w:szCs w:val="22"/>
              </w:rPr>
              <w:t>1</w:t>
            </w:r>
          </w:p>
        </w:tc>
        <w:tc>
          <w:tcPr>
            <w:tcW w:w="5528" w:type="dxa"/>
            <w:vAlign w:val="center"/>
          </w:tcPr>
          <w:p w:rsidR="001936D9" w:rsidRPr="0069393D" w:rsidRDefault="001936D9" w:rsidP="00BB766D">
            <w:pPr>
              <w:spacing w:before="60" w:after="40" w:line="240" w:lineRule="auto"/>
              <w:rPr>
                <w:rFonts w:cs="Arial"/>
                <w:szCs w:val="22"/>
              </w:rPr>
            </w:pPr>
            <w:r w:rsidRPr="0069393D">
              <w:rPr>
                <w:rFonts w:cs="Arial"/>
                <w:szCs w:val="22"/>
              </w:rPr>
              <w:t>Elaboração do projeto de pesquisa a ser encaminhado ao IPHAN</w:t>
            </w:r>
          </w:p>
        </w:tc>
        <w:tc>
          <w:tcPr>
            <w:tcW w:w="3828" w:type="dxa"/>
            <w:vAlign w:val="center"/>
          </w:tcPr>
          <w:p w:rsidR="001936D9" w:rsidRPr="0069393D" w:rsidRDefault="001936D9" w:rsidP="00BB766D">
            <w:pPr>
              <w:spacing w:before="60" w:after="40" w:line="240" w:lineRule="auto"/>
              <w:rPr>
                <w:rFonts w:cs="Arial"/>
                <w:szCs w:val="22"/>
              </w:rPr>
            </w:pPr>
            <w:r w:rsidRPr="0069393D">
              <w:rPr>
                <w:rFonts w:cs="Arial"/>
                <w:szCs w:val="22"/>
              </w:rPr>
              <w:t>1º Trimestre – 1º ano</w:t>
            </w:r>
          </w:p>
        </w:tc>
      </w:tr>
      <w:tr w:rsidR="001936D9" w:rsidRPr="0069393D" w:rsidTr="00BB766D">
        <w:trPr>
          <w:jc w:val="center"/>
        </w:trPr>
        <w:tc>
          <w:tcPr>
            <w:tcW w:w="568" w:type="dxa"/>
            <w:vAlign w:val="center"/>
          </w:tcPr>
          <w:p w:rsidR="001936D9" w:rsidRPr="0069393D" w:rsidRDefault="001936D9" w:rsidP="007548E9">
            <w:pPr>
              <w:spacing w:before="60" w:after="40" w:line="240" w:lineRule="auto"/>
              <w:jc w:val="center"/>
              <w:rPr>
                <w:rFonts w:cs="Arial"/>
                <w:szCs w:val="22"/>
              </w:rPr>
            </w:pPr>
            <w:r w:rsidRPr="0069393D">
              <w:rPr>
                <w:rFonts w:cs="Arial"/>
                <w:szCs w:val="22"/>
              </w:rPr>
              <w:t>2</w:t>
            </w:r>
          </w:p>
        </w:tc>
        <w:tc>
          <w:tcPr>
            <w:tcW w:w="5528" w:type="dxa"/>
            <w:vAlign w:val="center"/>
          </w:tcPr>
          <w:p w:rsidR="001936D9" w:rsidRPr="0069393D" w:rsidRDefault="001936D9" w:rsidP="00BB766D">
            <w:pPr>
              <w:spacing w:before="60" w:after="40" w:line="240" w:lineRule="auto"/>
              <w:rPr>
                <w:rFonts w:cs="Arial"/>
                <w:szCs w:val="22"/>
              </w:rPr>
            </w:pPr>
            <w:r w:rsidRPr="0069393D">
              <w:rPr>
                <w:rFonts w:cs="Arial"/>
                <w:szCs w:val="22"/>
              </w:rPr>
              <w:t>Detalhamento operacional, formação das equipes</w:t>
            </w:r>
          </w:p>
        </w:tc>
        <w:tc>
          <w:tcPr>
            <w:tcW w:w="3828" w:type="dxa"/>
            <w:vAlign w:val="center"/>
          </w:tcPr>
          <w:p w:rsidR="001936D9" w:rsidRPr="0069393D" w:rsidRDefault="001936D9" w:rsidP="00BB766D">
            <w:pPr>
              <w:spacing w:before="60" w:after="40" w:line="240" w:lineRule="auto"/>
              <w:rPr>
                <w:rFonts w:cs="Arial"/>
                <w:szCs w:val="22"/>
              </w:rPr>
            </w:pPr>
            <w:r w:rsidRPr="0069393D">
              <w:rPr>
                <w:rFonts w:cs="Arial"/>
                <w:szCs w:val="22"/>
              </w:rPr>
              <w:t>1º Trimestre do1º ano</w:t>
            </w:r>
          </w:p>
        </w:tc>
      </w:tr>
      <w:tr w:rsidR="001936D9" w:rsidRPr="0069393D" w:rsidTr="00BB766D">
        <w:trPr>
          <w:jc w:val="center"/>
        </w:trPr>
        <w:tc>
          <w:tcPr>
            <w:tcW w:w="568" w:type="dxa"/>
            <w:vAlign w:val="center"/>
          </w:tcPr>
          <w:p w:rsidR="001936D9" w:rsidRPr="0069393D" w:rsidRDefault="001936D9" w:rsidP="007548E9">
            <w:pPr>
              <w:spacing w:before="60" w:after="40" w:line="240" w:lineRule="auto"/>
              <w:jc w:val="center"/>
              <w:rPr>
                <w:rFonts w:cs="Arial"/>
                <w:szCs w:val="22"/>
              </w:rPr>
            </w:pPr>
            <w:r w:rsidRPr="0069393D">
              <w:rPr>
                <w:rFonts w:cs="Arial"/>
                <w:szCs w:val="22"/>
              </w:rPr>
              <w:t>3</w:t>
            </w:r>
          </w:p>
        </w:tc>
        <w:tc>
          <w:tcPr>
            <w:tcW w:w="5528" w:type="dxa"/>
            <w:vAlign w:val="center"/>
          </w:tcPr>
          <w:p w:rsidR="001936D9" w:rsidRPr="0069393D" w:rsidRDefault="001936D9" w:rsidP="00BB766D">
            <w:pPr>
              <w:spacing w:before="60" w:after="40" w:line="240" w:lineRule="auto"/>
              <w:rPr>
                <w:rFonts w:cs="Arial"/>
                <w:szCs w:val="22"/>
              </w:rPr>
            </w:pPr>
            <w:r w:rsidRPr="0069393D">
              <w:rPr>
                <w:rFonts w:cs="Arial"/>
                <w:szCs w:val="22"/>
              </w:rPr>
              <w:t>Análises cartográficas e levantamentos documentais</w:t>
            </w:r>
          </w:p>
        </w:tc>
        <w:tc>
          <w:tcPr>
            <w:tcW w:w="3828" w:type="dxa"/>
            <w:vAlign w:val="center"/>
          </w:tcPr>
          <w:p w:rsidR="001936D9" w:rsidRPr="0069393D" w:rsidRDefault="001936D9" w:rsidP="00BB766D">
            <w:pPr>
              <w:spacing w:before="60" w:after="40" w:line="240" w:lineRule="auto"/>
              <w:rPr>
                <w:rFonts w:cs="Arial"/>
                <w:szCs w:val="22"/>
              </w:rPr>
            </w:pPr>
            <w:r w:rsidRPr="0069393D">
              <w:rPr>
                <w:rFonts w:cs="Arial"/>
                <w:szCs w:val="22"/>
              </w:rPr>
              <w:t>1º Trimestre do 1º ano</w:t>
            </w:r>
          </w:p>
        </w:tc>
      </w:tr>
      <w:tr w:rsidR="001936D9" w:rsidRPr="0069393D" w:rsidTr="00BB766D">
        <w:trPr>
          <w:jc w:val="center"/>
        </w:trPr>
        <w:tc>
          <w:tcPr>
            <w:tcW w:w="568" w:type="dxa"/>
            <w:vAlign w:val="center"/>
          </w:tcPr>
          <w:p w:rsidR="001936D9" w:rsidRPr="0069393D" w:rsidRDefault="001936D9" w:rsidP="007548E9">
            <w:pPr>
              <w:spacing w:before="60" w:after="40" w:line="240" w:lineRule="auto"/>
              <w:jc w:val="center"/>
              <w:rPr>
                <w:rFonts w:cs="Arial"/>
                <w:szCs w:val="22"/>
              </w:rPr>
            </w:pPr>
            <w:r w:rsidRPr="0069393D">
              <w:rPr>
                <w:rFonts w:cs="Arial"/>
                <w:szCs w:val="22"/>
              </w:rPr>
              <w:t>4</w:t>
            </w:r>
          </w:p>
        </w:tc>
        <w:tc>
          <w:tcPr>
            <w:tcW w:w="5528" w:type="dxa"/>
            <w:vAlign w:val="center"/>
          </w:tcPr>
          <w:p w:rsidR="001936D9" w:rsidRPr="0069393D" w:rsidRDefault="001936D9" w:rsidP="00BB766D">
            <w:pPr>
              <w:spacing w:before="60" w:after="40" w:line="240" w:lineRule="auto"/>
              <w:rPr>
                <w:rFonts w:cs="Arial"/>
                <w:szCs w:val="22"/>
              </w:rPr>
            </w:pPr>
            <w:r w:rsidRPr="0069393D">
              <w:rPr>
                <w:rFonts w:cs="Arial"/>
                <w:szCs w:val="22"/>
              </w:rPr>
              <w:t>Reconhecimento da área e execução dos módulos de Prospecção</w:t>
            </w:r>
          </w:p>
        </w:tc>
        <w:tc>
          <w:tcPr>
            <w:tcW w:w="3828" w:type="dxa"/>
            <w:vAlign w:val="center"/>
          </w:tcPr>
          <w:p w:rsidR="001936D9" w:rsidRPr="0069393D" w:rsidRDefault="001936D9" w:rsidP="00BB766D">
            <w:pPr>
              <w:spacing w:before="60" w:after="40" w:line="240" w:lineRule="auto"/>
              <w:rPr>
                <w:rFonts w:cs="Arial"/>
                <w:szCs w:val="22"/>
              </w:rPr>
            </w:pPr>
            <w:r w:rsidRPr="0069393D">
              <w:rPr>
                <w:rFonts w:cs="Arial"/>
                <w:szCs w:val="22"/>
              </w:rPr>
              <w:t>2º e 3º Trimestre do 1º ano</w:t>
            </w:r>
          </w:p>
        </w:tc>
      </w:tr>
      <w:tr w:rsidR="001936D9" w:rsidRPr="0069393D" w:rsidTr="00BB766D">
        <w:trPr>
          <w:jc w:val="center"/>
        </w:trPr>
        <w:tc>
          <w:tcPr>
            <w:tcW w:w="568" w:type="dxa"/>
            <w:vAlign w:val="center"/>
          </w:tcPr>
          <w:p w:rsidR="001936D9" w:rsidRPr="0069393D" w:rsidRDefault="001936D9" w:rsidP="007548E9">
            <w:pPr>
              <w:spacing w:before="60" w:after="40" w:line="240" w:lineRule="auto"/>
              <w:jc w:val="center"/>
              <w:rPr>
                <w:rFonts w:cs="Arial"/>
                <w:szCs w:val="22"/>
              </w:rPr>
            </w:pPr>
            <w:r w:rsidRPr="0069393D">
              <w:rPr>
                <w:rFonts w:cs="Arial"/>
                <w:szCs w:val="22"/>
              </w:rPr>
              <w:t>5</w:t>
            </w:r>
          </w:p>
        </w:tc>
        <w:tc>
          <w:tcPr>
            <w:tcW w:w="5528" w:type="dxa"/>
            <w:vAlign w:val="center"/>
          </w:tcPr>
          <w:p w:rsidR="001936D9" w:rsidRPr="0069393D" w:rsidRDefault="001936D9" w:rsidP="00BB766D">
            <w:pPr>
              <w:spacing w:before="60" w:after="40" w:line="240" w:lineRule="auto"/>
              <w:rPr>
                <w:rFonts w:cs="Arial"/>
                <w:szCs w:val="22"/>
              </w:rPr>
            </w:pPr>
            <w:r w:rsidRPr="0069393D">
              <w:rPr>
                <w:rFonts w:cs="Arial"/>
                <w:szCs w:val="22"/>
              </w:rPr>
              <w:t>Etapa de resgate arqueológico</w:t>
            </w:r>
          </w:p>
        </w:tc>
        <w:tc>
          <w:tcPr>
            <w:tcW w:w="3828" w:type="dxa"/>
            <w:vAlign w:val="center"/>
          </w:tcPr>
          <w:p w:rsidR="001936D9" w:rsidRPr="0069393D" w:rsidRDefault="001936D9" w:rsidP="00BB766D">
            <w:pPr>
              <w:spacing w:before="60" w:after="40" w:line="240" w:lineRule="auto"/>
              <w:rPr>
                <w:rFonts w:cs="Arial"/>
                <w:szCs w:val="22"/>
              </w:rPr>
            </w:pPr>
            <w:r w:rsidRPr="0069393D">
              <w:rPr>
                <w:rFonts w:cs="Arial"/>
                <w:szCs w:val="22"/>
              </w:rPr>
              <w:t>4º trimestre do 1º ano e 1º e 2º Trimestre do 2º ano</w:t>
            </w:r>
          </w:p>
        </w:tc>
      </w:tr>
      <w:tr w:rsidR="001936D9" w:rsidRPr="0069393D" w:rsidTr="00BB766D">
        <w:trPr>
          <w:jc w:val="center"/>
        </w:trPr>
        <w:tc>
          <w:tcPr>
            <w:tcW w:w="568" w:type="dxa"/>
            <w:vAlign w:val="center"/>
          </w:tcPr>
          <w:p w:rsidR="001936D9" w:rsidRPr="0069393D" w:rsidRDefault="001936D9" w:rsidP="007548E9">
            <w:pPr>
              <w:spacing w:before="60" w:after="40" w:line="240" w:lineRule="auto"/>
              <w:jc w:val="center"/>
              <w:rPr>
                <w:rFonts w:cs="Arial"/>
                <w:szCs w:val="22"/>
              </w:rPr>
            </w:pPr>
            <w:r w:rsidRPr="0069393D">
              <w:rPr>
                <w:rFonts w:cs="Arial"/>
                <w:szCs w:val="22"/>
              </w:rPr>
              <w:t>6</w:t>
            </w:r>
          </w:p>
        </w:tc>
        <w:tc>
          <w:tcPr>
            <w:tcW w:w="5528" w:type="dxa"/>
            <w:vAlign w:val="center"/>
          </w:tcPr>
          <w:p w:rsidR="001936D9" w:rsidRPr="0069393D" w:rsidRDefault="001936D9" w:rsidP="00BB766D">
            <w:pPr>
              <w:spacing w:before="60" w:after="40" w:line="240" w:lineRule="auto"/>
              <w:rPr>
                <w:rFonts w:cs="Arial"/>
                <w:szCs w:val="22"/>
              </w:rPr>
            </w:pPr>
            <w:r w:rsidRPr="0069393D">
              <w:rPr>
                <w:rFonts w:cs="Arial"/>
                <w:szCs w:val="22"/>
              </w:rPr>
              <w:t>Ações de monitoramento arqueológico</w:t>
            </w:r>
          </w:p>
        </w:tc>
        <w:tc>
          <w:tcPr>
            <w:tcW w:w="3828" w:type="dxa"/>
            <w:vAlign w:val="center"/>
          </w:tcPr>
          <w:p w:rsidR="001936D9" w:rsidRPr="0069393D" w:rsidRDefault="001936D9" w:rsidP="00BB766D">
            <w:pPr>
              <w:spacing w:before="60" w:after="40" w:line="240" w:lineRule="auto"/>
              <w:rPr>
                <w:rFonts w:cs="Arial"/>
                <w:szCs w:val="22"/>
              </w:rPr>
            </w:pPr>
            <w:r w:rsidRPr="0069393D">
              <w:rPr>
                <w:rFonts w:cs="Arial"/>
                <w:szCs w:val="22"/>
              </w:rPr>
              <w:t>4º trimestre do 1º ano e 1º a 3º Trimestre do 2º ano</w:t>
            </w:r>
          </w:p>
        </w:tc>
      </w:tr>
      <w:tr w:rsidR="001936D9" w:rsidRPr="0069393D" w:rsidTr="00BB766D">
        <w:trPr>
          <w:jc w:val="center"/>
        </w:trPr>
        <w:tc>
          <w:tcPr>
            <w:tcW w:w="568" w:type="dxa"/>
            <w:vAlign w:val="center"/>
          </w:tcPr>
          <w:p w:rsidR="001936D9" w:rsidRPr="0069393D" w:rsidRDefault="001936D9" w:rsidP="007548E9">
            <w:pPr>
              <w:spacing w:before="60" w:after="40" w:line="240" w:lineRule="auto"/>
              <w:jc w:val="center"/>
              <w:rPr>
                <w:rFonts w:cs="Arial"/>
                <w:szCs w:val="22"/>
              </w:rPr>
            </w:pPr>
            <w:r w:rsidRPr="0069393D">
              <w:rPr>
                <w:rFonts w:cs="Arial"/>
                <w:szCs w:val="22"/>
              </w:rPr>
              <w:t>7</w:t>
            </w:r>
          </w:p>
        </w:tc>
        <w:tc>
          <w:tcPr>
            <w:tcW w:w="5528" w:type="dxa"/>
            <w:vAlign w:val="center"/>
          </w:tcPr>
          <w:p w:rsidR="001936D9" w:rsidRPr="0069393D" w:rsidRDefault="001936D9" w:rsidP="00BB766D">
            <w:pPr>
              <w:spacing w:before="60" w:after="40" w:line="240" w:lineRule="auto"/>
              <w:rPr>
                <w:rFonts w:cs="Arial"/>
                <w:szCs w:val="22"/>
              </w:rPr>
            </w:pPr>
            <w:r w:rsidRPr="0069393D">
              <w:rPr>
                <w:rFonts w:cs="Arial"/>
                <w:szCs w:val="22"/>
              </w:rPr>
              <w:t>Trabalhos de campo (Levantamento do patrimônio cultural).</w:t>
            </w:r>
          </w:p>
        </w:tc>
        <w:tc>
          <w:tcPr>
            <w:tcW w:w="3828" w:type="dxa"/>
            <w:vAlign w:val="center"/>
          </w:tcPr>
          <w:p w:rsidR="001936D9" w:rsidRPr="0069393D" w:rsidRDefault="001936D9" w:rsidP="00BB766D">
            <w:pPr>
              <w:spacing w:before="60" w:after="40" w:line="240" w:lineRule="auto"/>
              <w:rPr>
                <w:rFonts w:cs="Arial"/>
                <w:szCs w:val="22"/>
              </w:rPr>
            </w:pPr>
            <w:r w:rsidRPr="0069393D">
              <w:rPr>
                <w:rFonts w:cs="Arial"/>
                <w:szCs w:val="22"/>
              </w:rPr>
              <w:t>2º e 3º Trimestre do 1º ano</w:t>
            </w:r>
          </w:p>
        </w:tc>
      </w:tr>
      <w:tr w:rsidR="001936D9" w:rsidRPr="0069393D" w:rsidTr="00BB766D">
        <w:trPr>
          <w:jc w:val="center"/>
        </w:trPr>
        <w:tc>
          <w:tcPr>
            <w:tcW w:w="568" w:type="dxa"/>
            <w:vAlign w:val="center"/>
          </w:tcPr>
          <w:p w:rsidR="001936D9" w:rsidRPr="0069393D" w:rsidRDefault="001936D9" w:rsidP="007548E9">
            <w:pPr>
              <w:spacing w:before="60" w:after="40" w:line="240" w:lineRule="auto"/>
              <w:jc w:val="center"/>
              <w:rPr>
                <w:rFonts w:cs="Arial"/>
                <w:szCs w:val="22"/>
              </w:rPr>
            </w:pPr>
            <w:r w:rsidRPr="0069393D">
              <w:rPr>
                <w:rFonts w:cs="Arial"/>
                <w:szCs w:val="22"/>
              </w:rPr>
              <w:t>8</w:t>
            </w:r>
          </w:p>
        </w:tc>
        <w:tc>
          <w:tcPr>
            <w:tcW w:w="5528" w:type="dxa"/>
            <w:vAlign w:val="center"/>
          </w:tcPr>
          <w:p w:rsidR="001936D9" w:rsidRPr="0069393D" w:rsidRDefault="001936D9" w:rsidP="00BB766D">
            <w:pPr>
              <w:spacing w:before="60" w:after="40" w:line="240" w:lineRule="auto"/>
              <w:rPr>
                <w:rFonts w:cs="Arial"/>
                <w:szCs w:val="22"/>
              </w:rPr>
            </w:pPr>
            <w:r w:rsidRPr="0069393D">
              <w:rPr>
                <w:rFonts w:cs="Arial"/>
                <w:szCs w:val="22"/>
              </w:rPr>
              <w:t>Estudos e análises em laboratório.</w:t>
            </w:r>
          </w:p>
        </w:tc>
        <w:tc>
          <w:tcPr>
            <w:tcW w:w="3828" w:type="dxa"/>
            <w:vAlign w:val="center"/>
          </w:tcPr>
          <w:p w:rsidR="001936D9" w:rsidRPr="0069393D" w:rsidRDefault="001936D9" w:rsidP="00BB766D">
            <w:pPr>
              <w:spacing w:before="60" w:after="40" w:line="240" w:lineRule="auto"/>
              <w:rPr>
                <w:rFonts w:cs="Arial"/>
                <w:szCs w:val="22"/>
              </w:rPr>
            </w:pPr>
            <w:r w:rsidRPr="0069393D">
              <w:rPr>
                <w:rFonts w:cs="Arial"/>
                <w:szCs w:val="22"/>
              </w:rPr>
              <w:t>3º e 4º Trimestre do 1º ano e até o 3º Trimestre do 2º ano</w:t>
            </w:r>
          </w:p>
        </w:tc>
      </w:tr>
      <w:tr w:rsidR="001936D9" w:rsidRPr="0069393D" w:rsidTr="00BB766D">
        <w:trPr>
          <w:jc w:val="center"/>
        </w:trPr>
        <w:tc>
          <w:tcPr>
            <w:tcW w:w="568" w:type="dxa"/>
            <w:vAlign w:val="center"/>
          </w:tcPr>
          <w:p w:rsidR="001936D9" w:rsidRPr="0069393D" w:rsidRDefault="001936D9" w:rsidP="007548E9">
            <w:pPr>
              <w:spacing w:before="60" w:after="40" w:line="240" w:lineRule="auto"/>
              <w:jc w:val="center"/>
              <w:rPr>
                <w:rFonts w:cs="Arial"/>
                <w:szCs w:val="22"/>
              </w:rPr>
            </w:pPr>
            <w:r w:rsidRPr="0069393D">
              <w:rPr>
                <w:rFonts w:cs="Arial"/>
                <w:szCs w:val="22"/>
              </w:rPr>
              <w:t>9</w:t>
            </w:r>
          </w:p>
        </w:tc>
        <w:tc>
          <w:tcPr>
            <w:tcW w:w="5528" w:type="dxa"/>
            <w:vAlign w:val="center"/>
          </w:tcPr>
          <w:p w:rsidR="001936D9" w:rsidRPr="0069393D" w:rsidRDefault="001936D9" w:rsidP="00BB766D">
            <w:pPr>
              <w:spacing w:before="60" w:after="40" w:line="240" w:lineRule="auto"/>
              <w:rPr>
                <w:rFonts w:cs="Arial"/>
                <w:szCs w:val="22"/>
              </w:rPr>
            </w:pPr>
            <w:r w:rsidRPr="0069393D">
              <w:rPr>
                <w:rFonts w:cs="Arial"/>
                <w:szCs w:val="22"/>
              </w:rPr>
              <w:t>Ações em educação patrimonial</w:t>
            </w:r>
          </w:p>
        </w:tc>
        <w:tc>
          <w:tcPr>
            <w:tcW w:w="3828" w:type="dxa"/>
            <w:vAlign w:val="center"/>
          </w:tcPr>
          <w:p w:rsidR="001936D9" w:rsidRPr="0069393D" w:rsidRDefault="001936D9" w:rsidP="00BB766D">
            <w:pPr>
              <w:spacing w:before="60" w:after="40" w:line="240" w:lineRule="auto"/>
              <w:rPr>
                <w:rFonts w:cs="Arial"/>
                <w:szCs w:val="22"/>
              </w:rPr>
            </w:pPr>
            <w:r w:rsidRPr="0069393D">
              <w:rPr>
                <w:rFonts w:cs="Arial"/>
                <w:szCs w:val="22"/>
              </w:rPr>
              <w:t>No 3º Trimestre do 1º ano e no 2º Trimestre do 2º ano</w:t>
            </w:r>
          </w:p>
        </w:tc>
      </w:tr>
      <w:tr w:rsidR="001936D9" w:rsidRPr="0069393D" w:rsidTr="00BB766D">
        <w:trPr>
          <w:jc w:val="center"/>
        </w:trPr>
        <w:tc>
          <w:tcPr>
            <w:tcW w:w="568" w:type="dxa"/>
            <w:vAlign w:val="center"/>
          </w:tcPr>
          <w:p w:rsidR="001936D9" w:rsidRPr="0069393D" w:rsidRDefault="001936D9" w:rsidP="007548E9">
            <w:pPr>
              <w:spacing w:before="60" w:after="40" w:line="240" w:lineRule="auto"/>
              <w:jc w:val="center"/>
              <w:rPr>
                <w:rFonts w:cs="Arial"/>
                <w:szCs w:val="22"/>
              </w:rPr>
            </w:pPr>
            <w:r w:rsidRPr="0069393D">
              <w:rPr>
                <w:rFonts w:cs="Arial"/>
                <w:szCs w:val="22"/>
              </w:rPr>
              <w:t>10</w:t>
            </w:r>
          </w:p>
        </w:tc>
        <w:tc>
          <w:tcPr>
            <w:tcW w:w="5528" w:type="dxa"/>
            <w:vAlign w:val="center"/>
          </w:tcPr>
          <w:p w:rsidR="001936D9" w:rsidRPr="0069393D" w:rsidRDefault="001936D9" w:rsidP="00BB766D">
            <w:pPr>
              <w:spacing w:before="60" w:after="40" w:line="240" w:lineRule="auto"/>
              <w:rPr>
                <w:rFonts w:cs="Arial"/>
                <w:szCs w:val="22"/>
              </w:rPr>
            </w:pPr>
            <w:r w:rsidRPr="0069393D">
              <w:rPr>
                <w:rFonts w:cs="Arial"/>
                <w:szCs w:val="22"/>
              </w:rPr>
              <w:t>Elaboração de relatórios parciais</w:t>
            </w:r>
          </w:p>
        </w:tc>
        <w:tc>
          <w:tcPr>
            <w:tcW w:w="3828" w:type="dxa"/>
            <w:vAlign w:val="center"/>
          </w:tcPr>
          <w:p w:rsidR="001936D9" w:rsidRPr="0069393D" w:rsidRDefault="001936D9" w:rsidP="00BB766D">
            <w:pPr>
              <w:spacing w:before="60" w:after="40" w:line="240" w:lineRule="auto"/>
              <w:rPr>
                <w:rFonts w:cs="Arial"/>
                <w:szCs w:val="22"/>
              </w:rPr>
            </w:pPr>
            <w:r w:rsidRPr="0069393D">
              <w:rPr>
                <w:rFonts w:cs="Arial"/>
                <w:szCs w:val="22"/>
              </w:rPr>
              <w:t>No 2º e 4º Trimestre do 1º ano e no 2º Trimestre do 2º ano</w:t>
            </w:r>
          </w:p>
        </w:tc>
      </w:tr>
      <w:tr w:rsidR="001936D9" w:rsidRPr="0069393D" w:rsidTr="00BB766D">
        <w:trPr>
          <w:jc w:val="center"/>
        </w:trPr>
        <w:tc>
          <w:tcPr>
            <w:tcW w:w="568" w:type="dxa"/>
            <w:vAlign w:val="center"/>
          </w:tcPr>
          <w:p w:rsidR="001936D9" w:rsidRPr="0069393D" w:rsidRDefault="001936D9" w:rsidP="007548E9">
            <w:pPr>
              <w:spacing w:before="60" w:after="40" w:line="240" w:lineRule="auto"/>
              <w:jc w:val="center"/>
              <w:rPr>
                <w:rFonts w:cs="Arial"/>
                <w:szCs w:val="22"/>
              </w:rPr>
            </w:pPr>
            <w:r w:rsidRPr="0069393D">
              <w:rPr>
                <w:rFonts w:cs="Arial"/>
                <w:szCs w:val="22"/>
              </w:rPr>
              <w:t>11</w:t>
            </w:r>
          </w:p>
        </w:tc>
        <w:tc>
          <w:tcPr>
            <w:tcW w:w="5528" w:type="dxa"/>
            <w:vAlign w:val="center"/>
          </w:tcPr>
          <w:p w:rsidR="001936D9" w:rsidRPr="0069393D" w:rsidRDefault="001936D9" w:rsidP="00BB766D">
            <w:pPr>
              <w:spacing w:before="60" w:after="40" w:line="240" w:lineRule="auto"/>
              <w:rPr>
                <w:rFonts w:cs="Arial"/>
                <w:szCs w:val="22"/>
              </w:rPr>
            </w:pPr>
            <w:r w:rsidRPr="0069393D">
              <w:rPr>
                <w:rFonts w:cs="Arial"/>
                <w:szCs w:val="22"/>
              </w:rPr>
              <w:t>Elaboração do relatório final conclusivo</w:t>
            </w:r>
          </w:p>
        </w:tc>
        <w:tc>
          <w:tcPr>
            <w:tcW w:w="3828" w:type="dxa"/>
            <w:vAlign w:val="center"/>
          </w:tcPr>
          <w:p w:rsidR="001936D9" w:rsidRPr="0069393D" w:rsidRDefault="001936D9" w:rsidP="00BB766D">
            <w:pPr>
              <w:spacing w:before="60" w:after="40" w:line="240" w:lineRule="auto"/>
              <w:rPr>
                <w:rFonts w:cs="Arial"/>
                <w:szCs w:val="22"/>
              </w:rPr>
            </w:pPr>
            <w:r w:rsidRPr="0069393D">
              <w:rPr>
                <w:rFonts w:cs="Arial"/>
                <w:szCs w:val="22"/>
              </w:rPr>
              <w:t>No 3º e 4º Trimestre do 2º ano</w:t>
            </w:r>
          </w:p>
        </w:tc>
      </w:tr>
    </w:tbl>
    <w:p w:rsidR="001936D9" w:rsidRPr="0069393D" w:rsidRDefault="001936D9" w:rsidP="0069393D">
      <w:pPr>
        <w:spacing w:line="240" w:lineRule="auto"/>
        <w:ind w:left="709" w:hanging="709"/>
        <w:jc w:val="left"/>
        <w:rPr>
          <w:rFonts w:cs="Arial"/>
          <w:sz w:val="20"/>
        </w:rPr>
      </w:pPr>
      <w:r w:rsidRPr="0069393D">
        <w:rPr>
          <w:rFonts w:cs="Arial"/>
          <w:b/>
          <w:sz w:val="20"/>
        </w:rPr>
        <w:t>Obs:</w:t>
      </w:r>
      <w:r w:rsidR="0069393D">
        <w:rPr>
          <w:rFonts w:cs="Arial"/>
          <w:b/>
          <w:sz w:val="20"/>
        </w:rPr>
        <w:tab/>
      </w:r>
      <w:r w:rsidRPr="0069393D">
        <w:rPr>
          <w:rFonts w:cs="Arial"/>
          <w:sz w:val="20"/>
        </w:rPr>
        <w:t>A Atividade de Resgate Arqueológico apresenta um período estimado, pois está diretamente associada aos resultados obtidos na etapa prospectiva.</w:t>
      </w:r>
    </w:p>
    <w:p w:rsidR="001936D9" w:rsidRPr="00A31485" w:rsidRDefault="001936D9" w:rsidP="001936D9">
      <w:pPr>
        <w:keepNext/>
        <w:spacing w:before="240" w:after="60"/>
        <w:outlineLvl w:val="2"/>
        <w:rPr>
          <w:b/>
        </w:rPr>
      </w:pPr>
      <w:bookmarkStart w:id="1815" w:name="_Toc365986035"/>
      <w:bookmarkStart w:id="1816" w:name="_Toc370810717"/>
      <w:bookmarkStart w:id="1817" w:name="_Toc370923700"/>
      <w:bookmarkStart w:id="1818" w:name="_Toc370985826"/>
      <w:bookmarkStart w:id="1819" w:name="_Toc418758647"/>
      <w:bookmarkStart w:id="1820" w:name="_Toc418759249"/>
      <w:bookmarkStart w:id="1821" w:name="_Toc419814034"/>
      <w:r>
        <w:rPr>
          <w:b/>
        </w:rPr>
        <w:t>3.5.9</w:t>
      </w:r>
      <w:r w:rsidRPr="00A31485">
        <w:rPr>
          <w:b/>
        </w:rPr>
        <w:t>.12. Responsável pela Implementação</w:t>
      </w:r>
      <w:bookmarkEnd w:id="1815"/>
      <w:bookmarkEnd w:id="1816"/>
      <w:bookmarkEnd w:id="1817"/>
      <w:bookmarkEnd w:id="1818"/>
      <w:bookmarkEnd w:id="1819"/>
      <w:bookmarkEnd w:id="1820"/>
      <w:bookmarkEnd w:id="1821"/>
    </w:p>
    <w:p w:rsidR="001936D9" w:rsidRPr="00A31485" w:rsidRDefault="001936D9" w:rsidP="007548E9">
      <w:pPr>
        <w:spacing w:before="120" w:after="120" w:line="240" w:lineRule="auto"/>
      </w:pPr>
      <w:r w:rsidRPr="00A31485">
        <w:t xml:space="preserve">As responsabilidades pela implantação do Programa serão compartilhadas pelo </w:t>
      </w:r>
      <w:r>
        <w:rPr>
          <w:rFonts w:cs="Arial"/>
          <w:szCs w:val="24"/>
        </w:rPr>
        <w:t>DAEE- Departamento de Águas e Energia Elétrica da Secretaria de Saneamento e Recursos Hídricos do Estado de São Paulo</w:t>
      </w:r>
      <w:r w:rsidRPr="00A31485">
        <w:t xml:space="preserve"> e pela empresa contratada para a realização das atividades técnicas especializadas relacionadas com a gestão do patrimônio arqueológico e histórico-cultural. </w:t>
      </w:r>
    </w:p>
    <w:p w:rsidR="001936D9" w:rsidRPr="00A31485" w:rsidRDefault="001936D9" w:rsidP="007548E9">
      <w:pPr>
        <w:spacing w:before="120" w:after="120" w:line="240" w:lineRule="auto"/>
      </w:pPr>
      <w:r w:rsidRPr="00A31485">
        <w:t xml:space="preserve">Caberá ao </w:t>
      </w:r>
      <w:r>
        <w:rPr>
          <w:rFonts w:cs="Arial"/>
          <w:szCs w:val="24"/>
        </w:rPr>
        <w:t>DAEE- Departamento de Águas e Energia Elétrica da Secretaria de Saneamento e Recursos Hídricos do Estado de São Paulo</w:t>
      </w:r>
      <w:r w:rsidRPr="00A31485">
        <w:t xml:space="preserve"> como empreendedor, encaminhar a documentação comprobatória da execução dos trabalhos, sendo submetidos ao IPHAN para acompanhamento da SMA, de maneira a comprovar o atendimento aos requisitos de licenciamento ambiental. </w:t>
      </w:r>
    </w:p>
    <w:p w:rsidR="001936D9" w:rsidRPr="00A31485" w:rsidRDefault="001936D9" w:rsidP="007548E9">
      <w:pPr>
        <w:spacing w:before="120" w:after="120" w:line="240" w:lineRule="auto"/>
      </w:pPr>
      <w:r w:rsidRPr="00A31485">
        <w:t>Desse modo, ficam definidos os intervenientes para a execução do Programa:</w:t>
      </w:r>
    </w:p>
    <w:p w:rsidR="001936D9" w:rsidRPr="00A31485" w:rsidRDefault="001936D9" w:rsidP="00656EA3">
      <w:pPr>
        <w:pStyle w:val="Item-Trainho"/>
      </w:pPr>
      <w:r w:rsidRPr="00A31485">
        <w:t>Emp</w:t>
      </w:r>
      <w:r>
        <w:t>resa de Arqueologia contratada:</w:t>
      </w:r>
      <w:r w:rsidRPr="00A31485">
        <w:t xml:space="preserve"> designação da coordenação técnico-científica, planejamento, execução do programa (nos termos da Lei Federal No 3</w:t>
      </w:r>
      <w:r>
        <w:t>.</w:t>
      </w:r>
      <w:r w:rsidRPr="00A31485">
        <w:t>924/1961, Portaria SPHAN No 07/1988 e Portaria IPHAN No 230/2002);</w:t>
      </w:r>
    </w:p>
    <w:p w:rsidR="001936D9" w:rsidRPr="00A31485" w:rsidRDefault="001936D9" w:rsidP="00656EA3">
      <w:pPr>
        <w:pStyle w:val="Item-Trainho"/>
      </w:pPr>
      <w:r>
        <w:rPr>
          <w:rFonts w:cs="Arial"/>
          <w:szCs w:val="24"/>
        </w:rPr>
        <w:t>DAEE- Departamento de Águas e Energia Elétrica da Secretaria de Saneamento e Recursos Hídricos do Estado de São Paulo</w:t>
      </w:r>
      <w:r w:rsidRPr="00A31485">
        <w:t>: aporte de recursos financeiros para a execução do programa, mediante contratação de empresa especializada em arqueologia (endosso financeiro nos termos da Lei Federal N</w:t>
      </w:r>
      <w:r>
        <w:t>º</w:t>
      </w:r>
      <w:r w:rsidRPr="00A31485">
        <w:t xml:space="preserve"> 3</w:t>
      </w:r>
      <w:r>
        <w:t>.924/1961 e Portaria SPHAN Nº</w:t>
      </w:r>
      <w:r w:rsidRPr="00A31485">
        <w:t xml:space="preserve"> 07/1988);</w:t>
      </w:r>
    </w:p>
    <w:p w:rsidR="001936D9" w:rsidRPr="00216171" w:rsidRDefault="001936D9" w:rsidP="00656EA3">
      <w:pPr>
        <w:pStyle w:val="Item-Trainho"/>
        <w:rPr>
          <w:rFonts w:cs="Arial"/>
          <w:szCs w:val="24"/>
        </w:rPr>
      </w:pPr>
      <w:r w:rsidRPr="00A31485">
        <w:t>IPHAN, Superintendência Estadual de São Paulo: aprovação, emissão de portaria de autorização de pesquisa e fiscalização, nos termos da legislação em vigor.</w:t>
      </w:r>
    </w:p>
    <w:p w:rsidR="001936D9" w:rsidRPr="00A31485" w:rsidRDefault="001936D9" w:rsidP="001936D9">
      <w:pPr>
        <w:keepNext/>
        <w:spacing w:before="240" w:after="60"/>
        <w:outlineLvl w:val="2"/>
        <w:rPr>
          <w:b/>
        </w:rPr>
      </w:pPr>
      <w:bookmarkStart w:id="1822" w:name="_Toc365986036"/>
      <w:bookmarkStart w:id="1823" w:name="_Toc370810718"/>
      <w:bookmarkStart w:id="1824" w:name="_Toc370923701"/>
      <w:bookmarkStart w:id="1825" w:name="_Toc370985827"/>
      <w:bookmarkStart w:id="1826" w:name="_Toc418758648"/>
      <w:bookmarkStart w:id="1827" w:name="_Toc418759250"/>
      <w:bookmarkStart w:id="1828" w:name="_Toc419814035"/>
      <w:r>
        <w:rPr>
          <w:b/>
        </w:rPr>
        <w:t>3.5.9</w:t>
      </w:r>
      <w:r w:rsidRPr="00A31485">
        <w:rPr>
          <w:b/>
        </w:rPr>
        <w:t>.1</w:t>
      </w:r>
      <w:r w:rsidR="00224A98">
        <w:rPr>
          <w:b/>
        </w:rPr>
        <w:t>3</w:t>
      </w:r>
      <w:r w:rsidRPr="00A31485">
        <w:rPr>
          <w:b/>
        </w:rPr>
        <w:t>. Sistemas de Registros</w:t>
      </w:r>
      <w:bookmarkEnd w:id="1822"/>
      <w:bookmarkEnd w:id="1823"/>
      <w:bookmarkEnd w:id="1824"/>
      <w:bookmarkEnd w:id="1825"/>
      <w:bookmarkEnd w:id="1826"/>
      <w:bookmarkEnd w:id="1827"/>
      <w:bookmarkEnd w:id="1828"/>
    </w:p>
    <w:p w:rsidR="001936D9" w:rsidRPr="0069393D" w:rsidRDefault="001936D9" w:rsidP="0069393D">
      <w:pPr>
        <w:pStyle w:val="CorpodetextoBodyTextCharCharCharCharCharCharCharCharBodyTextCharBodyTextCharCharCharCharCharCharCharCharCharCharCharCharCharCharChar"/>
      </w:pPr>
      <w:r w:rsidRPr="0069393D">
        <w:t>Os registros do presente programa serão efetuados mediante a elaboração de relatórios, a saber:</w:t>
      </w:r>
    </w:p>
    <w:p w:rsidR="001936D9" w:rsidRPr="0069393D" w:rsidRDefault="001936D9" w:rsidP="0069393D">
      <w:pPr>
        <w:pStyle w:val="Item-Trainho"/>
      </w:pPr>
      <w:r w:rsidRPr="0069393D">
        <w:t>Relatório de Andamento: periodicidade trimestral – Atendimento IPHAN;</w:t>
      </w:r>
    </w:p>
    <w:p w:rsidR="001936D9" w:rsidRPr="0069393D" w:rsidRDefault="001936D9" w:rsidP="0069393D">
      <w:pPr>
        <w:pStyle w:val="Item-Trainho"/>
      </w:pPr>
      <w:r w:rsidRPr="0069393D">
        <w:t>Relatório Final da Etapa Prospectiva: final consolidado – Atendimento IPHAN;</w:t>
      </w:r>
    </w:p>
    <w:p w:rsidR="001936D9" w:rsidRPr="0069393D" w:rsidRDefault="001936D9" w:rsidP="0069393D">
      <w:pPr>
        <w:pStyle w:val="Item-Trainho"/>
      </w:pPr>
      <w:r w:rsidRPr="0069393D">
        <w:t>Relatório Final do Resgate Arqueológico: final consolidado – Atendimento IPHAN.</w:t>
      </w:r>
    </w:p>
    <w:p w:rsidR="001936D9" w:rsidRPr="0069393D" w:rsidRDefault="001936D9" w:rsidP="0069393D">
      <w:pPr>
        <w:pStyle w:val="CorpodetextoBodyTextCharCharCharCharCharCharCharCharBodyTextCharBodyTextCharCharCharCharCharCharCharCharCharCharCharCharCharCharChar"/>
      </w:pPr>
      <w:r w:rsidRPr="0069393D">
        <w:t>Tais relatórios apresentarão:</w:t>
      </w:r>
    </w:p>
    <w:p w:rsidR="001936D9" w:rsidRPr="0069393D" w:rsidRDefault="001936D9" w:rsidP="0069393D">
      <w:pPr>
        <w:pStyle w:val="CorpodetextoBodyTextCharCharCharCharCharCharCharCharBodyTextCharBodyTextCharCharCharCharCharCharCharCharCharCharCharCharCharCharChar"/>
      </w:pPr>
      <w:r w:rsidRPr="0069393D">
        <w:t>As ações e resultados obtidos para identificação do patrimônio arqueológico durante a fase de prospecções;</w:t>
      </w:r>
    </w:p>
    <w:p w:rsidR="001936D9" w:rsidRPr="0069393D" w:rsidRDefault="001936D9" w:rsidP="0069393D">
      <w:pPr>
        <w:pStyle w:val="CorpodetextoBodyTextCharCharCharCharCharCharCharCharBodyTextCharBodyTextCharCharCharCharCharCharCharCharCharCharCharCharCharCharChar"/>
      </w:pPr>
      <w:r w:rsidRPr="0069393D">
        <w:t>As ações e resultados obtidos para o resgate do patrimônio arqueológico;</w:t>
      </w:r>
    </w:p>
    <w:p w:rsidR="001936D9" w:rsidRPr="0069393D" w:rsidRDefault="001936D9" w:rsidP="0069393D">
      <w:pPr>
        <w:pStyle w:val="CorpodetextoBodyTextCharCharCharCharCharCharCharCharBodyTextCharBodyTextCharCharCharCharCharCharCharCharCharCharCharCharCharCharChar"/>
      </w:pPr>
      <w:r w:rsidRPr="0069393D">
        <w:t>As ações e resultados obtidos para o Levantamento e Inventário por amostragem do Patrimônio Cultural;</w:t>
      </w:r>
    </w:p>
    <w:p w:rsidR="001936D9" w:rsidRPr="0069393D" w:rsidRDefault="001936D9" w:rsidP="0069393D">
      <w:pPr>
        <w:pStyle w:val="CorpodetextoBodyTextCharCharCharCharCharCharCharCharBodyTextCharBodyTextCharCharCharCharCharCharCharCharCharCharCharCharCharCharChar"/>
      </w:pPr>
      <w:r w:rsidRPr="0069393D">
        <w:t>As ações e resultados obtidos para os Programas de Educação Patrimonial.</w:t>
      </w:r>
    </w:p>
    <w:p w:rsidR="001936D9" w:rsidRPr="0069393D" w:rsidRDefault="001936D9" w:rsidP="0069393D">
      <w:pPr>
        <w:pStyle w:val="CorpodetextoBodyTextCharCharCharCharCharCharCharCharBodyTextCharBodyTextCharCharCharCharCharCharCharCharCharCharCharCharCharCharChar"/>
      </w:pPr>
      <w:r w:rsidRPr="0069393D">
        <w:t>As análises integradas, a avaliação dos impactos e a proposição de Medidas Mitigadoras;</w:t>
      </w:r>
    </w:p>
    <w:p w:rsidR="001936D9" w:rsidRPr="0069393D" w:rsidRDefault="001936D9" w:rsidP="0069393D">
      <w:pPr>
        <w:pStyle w:val="CorpodetextoBodyTextCharCharCharCharCharCharCharCharBodyTextCharBodyTextCharCharCharCharCharCharCharCharCharCharCharCharCharCharChar"/>
      </w:pPr>
      <w:r w:rsidRPr="0069393D">
        <w:t>Subsídios para a elaboração do Plano de Gestão do Patrimônio Cultural;</w:t>
      </w:r>
    </w:p>
    <w:p w:rsidR="001936D9" w:rsidRDefault="001936D9" w:rsidP="0069393D">
      <w:pPr>
        <w:pStyle w:val="CorpodetextoBodyTextCharCharCharCharCharCharCharCharBodyTextCharBodyTextCharCharCharCharCharCharCharCharCharCharCharCharCharCharChar"/>
      </w:pPr>
      <w:r w:rsidRPr="0069393D">
        <w:t>O aprofundamento científico para a área, possibilitando um maior conhecimento sobre os processos de uso e ocupação do espaço por comunidades pretéritas e os Cenários Culturais</w:t>
      </w:r>
      <w:r w:rsidRPr="00A31485">
        <w:t xml:space="preserve"> na área de abrangência do empreendimento.</w:t>
      </w:r>
    </w:p>
    <w:p w:rsidR="00623CE0" w:rsidRDefault="00623CE0" w:rsidP="0069393D">
      <w:pPr>
        <w:pStyle w:val="CorpodetextoBodyTextCharCharCharCharCharCharCharCharBodyTextCharBodyTextCharCharCharCharCharCharCharCharCharCharCharCharCharCharChar"/>
      </w:pPr>
      <w:r>
        <w:br w:type="page"/>
      </w:r>
    </w:p>
    <w:p w:rsidR="001936D9" w:rsidRPr="00A31485" w:rsidRDefault="001936D9" w:rsidP="001936D9">
      <w:pPr>
        <w:keepNext/>
        <w:spacing w:before="240" w:after="60"/>
        <w:outlineLvl w:val="2"/>
        <w:rPr>
          <w:b/>
        </w:rPr>
      </w:pPr>
      <w:bookmarkStart w:id="1829" w:name="_Toc418758649"/>
      <w:bookmarkStart w:id="1830" w:name="_Toc418759251"/>
      <w:bookmarkStart w:id="1831" w:name="_Toc419814036"/>
      <w:r>
        <w:rPr>
          <w:b/>
        </w:rPr>
        <w:t>3.5.9</w:t>
      </w:r>
      <w:r w:rsidRPr="00A31485">
        <w:rPr>
          <w:b/>
        </w:rPr>
        <w:t>.1</w:t>
      </w:r>
      <w:r w:rsidR="00224A98">
        <w:rPr>
          <w:b/>
        </w:rPr>
        <w:t>4</w:t>
      </w:r>
      <w:r>
        <w:rPr>
          <w:b/>
        </w:rPr>
        <w:t>. Referências Bibliográficas</w:t>
      </w:r>
      <w:bookmarkEnd w:id="1829"/>
      <w:bookmarkEnd w:id="1830"/>
      <w:bookmarkEnd w:id="1831"/>
    </w:p>
    <w:p w:rsidR="001936D9" w:rsidRPr="001936D9" w:rsidRDefault="001936D9" w:rsidP="00656EA3">
      <w:pPr>
        <w:pStyle w:val="Item-Trainho"/>
        <w:rPr>
          <w:lang w:val="es-ES"/>
        </w:rPr>
      </w:pPr>
      <w:r w:rsidRPr="00280BF6">
        <w:t xml:space="preserve">AB’ SABER, Aziz Nacib. Os domínios de natureza no Brasil: potencialidades paisagísticas. </w:t>
      </w:r>
      <w:r w:rsidRPr="001936D9">
        <w:rPr>
          <w:lang w:val="es-ES"/>
        </w:rPr>
        <w:t>São Paulo: Ateliê Editorial, 2003;</w:t>
      </w:r>
    </w:p>
    <w:p w:rsidR="001936D9" w:rsidRPr="00280BF6" w:rsidRDefault="001936D9" w:rsidP="00656EA3">
      <w:pPr>
        <w:pStyle w:val="Item-Trainho"/>
        <w:rPr>
          <w:spacing w:val="-14"/>
        </w:rPr>
      </w:pPr>
      <w:r w:rsidRPr="00280BF6">
        <w:rPr>
          <w:spacing w:val="-14"/>
          <w:lang w:val="es-ES_tradnl"/>
        </w:rPr>
        <w:t xml:space="preserve">BAHN, P. , RENFREW, C. Arqueología; Teorias, Métodos y Práctica, Madrid, Ed. </w:t>
      </w:r>
      <w:r w:rsidRPr="00280BF6">
        <w:rPr>
          <w:spacing w:val="-14"/>
        </w:rPr>
        <w:t>Akal, 1993. 571p;</w:t>
      </w:r>
    </w:p>
    <w:p w:rsidR="001936D9" w:rsidRPr="00280BF6" w:rsidRDefault="001936D9" w:rsidP="00656EA3">
      <w:pPr>
        <w:pStyle w:val="Item-Trainho"/>
      </w:pPr>
      <w:r w:rsidRPr="00280BF6">
        <w:t>BASTOS, R. L. Uma Arqueologia dos Desaparecidos: Identidades Vulneráveis e Memórias Partidas, São Paulo, SP; Superintendência do IPHAN em São Paulo, 2010;</w:t>
      </w:r>
    </w:p>
    <w:p w:rsidR="001936D9" w:rsidRPr="00280BF6" w:rsidRDefault="001936D9" w:rsidP="00656EA3">
      <w:pPr>
        <w:pStyle w:val="Item-Trainho"/>
      </w:pPr>
      <w:r w:rsidRPr="00280BF6">
        <w:t>BASTOS, Rossano Lopes; SOUZA, Marise Campos de. Normas e Gerenciamento do Patrimônio Arqueológico. São Paulo: IPHAN – 9ª. SR, 2010;</w:t>
      </w:r>
    </w:p>
    <w:p w:rsidR="001936D9" w:rsidRPr="00280BF6" w:rsidRDefault="001936D9" w:rsidP="00656EA3">
      <w:pPr>
        <w:pStyle w:val="Item-Trainho"/>
      </w:pPr>
      <w:r w:rsidRPr="00280BF6">
        <w:t>BORNAL, W.G., Sitio Histórico São Francisco – Um estudo sob a ótica da Arqueologia da Paisagem, Tese de Doutorado, USP, 2008;</w:t>
      </w:r>
    </w:p>
    <w:p w:rsidR="001936D9" w:rsidRPr="00280BF6" w:rsidRDefault="001936D9" w:rsidP="00656EA3">
      <w:pPr>
        <w:pStyle w:val="Item-Trainho"/>
      </w:pPr>
      <w:r w:rsidRPr="00280BF6">
        <w:t>BORNAL, Wagner; Galldino, Clayton. Programa de Gestão do Patrimônio Cultural de São Sebastião, SP. São Sebastião: Fundação Cultural, 2009;</w:t>
      </w:r>
    </w:p>
    <w:p w:rsidR="001936D9" w:rsidRPr="00C85203" w:rsidRDefault="001936D9" w:rsidP="00656EA3">
      <w:pPr>
        <w:pStyle w:val="Item-Trainho"/>
        <w:rPr>
          <w:lang w:val="en-US"/>
        </w:rPr>
      </w:pPr>
      <w:r w:rsidRPr="00C85203">
        <w:rPr>
          <w:lang w:val="en-US"/>
        </w:rPr>
        <w:t>CHAPMAN, H. Landscape Archaeology and GIS, London: Tempus, 2006;</w:t>
      </w:r>
    </w:p>
    <w:p w:rsidR="001936D9" w:rsidRPr="00280BF6" w:rsidRDefault="001936D9" w:rsidP="00656EA3">
      <w:pPr>
        <w:pStyle w:val="Item-Trainho"/>
        <w:rPr>
          <w:szCs w:val="22"/>
          <w:lang w:val="es-ES_tradnl"/>
        </w:rPr>
      </w:pPr>
      <w:r w:rsidRPr="00280BF6">
        <w:rPr>
          <w:szCs w:val="22"/>
        </w:rPr>
        <w:t xml:space="preserve">CHRISTOFOLETTI, A. </w:t>
      </w:r>
      <w:r w:rsidRPr="00280BF6">
        <w:rPr>
          <w:iCs/>
          <w:szCs w:val="22"/>
        </w:rPr>
        <w:t>Modelagem de Sistemas Ambientais</w:t>
      </w:r>
      <w:r w:rsidRPr="00280BF6">
        <w:rPr>
          <w:i/>
          <w:iCs/>
          <w:szCs w:val="22"/>
        </w:rPr>
        <w:t xml:space="preserve">. </w:t>
      </w:r>
      <w:r w:rsidRPr="001936D9">
        <w:rPr>
          <w:szCs w:val="22"/>
          <w:lang w:val="en-US"/>
        </w:rPr>
        <w:t xml:space="preserve">Ed. Edgard Blucher; UNESP. São Paulo. </w:t>
      </w:r>
      <w:r w:rsidRPr="00280BF6">
        <w:rPr>
          <w:szCs w:val="22"/>
          <w:lang w:val="es-ES_tradnl"/>
        </w:rPr>
        <w:t>SP. 1999;</w:t>
      </w:r>
    </w:p>
    <w:p w:rsidR="001936D9" w:rsidRPr="00280BF6" w:rsidRDefault="001936D9" w:rsidP="00656EA3">
      <w:pPr>
        <w:pStyle w:val="Item-Trainho"/>
        <w:rPr>
          <w:lang w:val="es-ES_tradnl"/>
        </w:rPr>
      </w:pPr>
      <w:r w:rsidRPr="00280BF6">
        <w:rPr>
          <w:lang w:val="es-ES_tradnl"/>
        </w:rPr>
        <w:t>CRIADO, B. F. En los bordes del paisage. In: Del terreno al espacio: planteamientos y perspectivas para la arqueologia del paisage Critérios y convenciones em arqueologia del paisage, Universidad de Santiago de Compostela, n.6, 1999;</w:t>
      </w:r>
    </w:p>
    <w:p w:rsidR="001936D9" w:rsidRPr="00280BF6" w:rsidRDefault="001936D9" w:rsidP="00656EA3">
      <w:pPr>
        <w:pStyle w:val="Item-Trainho"/>
        <w:rPr>
          <w:lang w:val="es-ES_tradnl"/>
        </w:rPr>
      </w:pPr>
      <w:r w:rsidRPr="00280BF6">
        <w:rPr>
          <w:lang w:val="es-ES_tradnl"/>
        </w:rPr>
        <w:t>CRIADO, B. F., LÓPEZ, M. M. del CARMEN, MARTINEZ, D. B. REINO, X. A. Especificaciones para uma gestión integral del Impacto desde la Arqueología del Paisage. Traballos de Arqueoloxia e Patrimônio, Universidad de Santiago de Compostela, n.26, 2002;</w:t>
      </w:r>
    </w:p>
    <w:p w:rsidR="001936D9" w:rsidRPr="00280BF6" w:rsidRDefault="001936D9" w:rsidP="00656EA3">
      <w:pPr>
        <w:pStyle w:val="Item-Trainho"/>
        <w:rPr>
          <w:lang w:val="es-ES_tradnl"/>
        </w:rPr>
      </w:pPr>
      <w:r w:rsidRPr="00280BF6">
        <w:rPr>
          <w:lang w:val="es-ES_tradnl"/>
        </w:rPr>
        <w:t>CRIADO, B. F. &amp; PARCERO, C. Landscape, Archaeology, Heritage. Traballos en Arqueología del Paisage, Universidad de Santiago de Compostela, n.2, 1997;</w:t>
      </w:r>
    </w:p>
    <w:p w:rsidR="001936D9" w:rsidRPr="00280BF6" w:rsidRDefault="001936D9" w:rsidP="00656EA3">
      <w:pPr>
        <w:pStyle w:val="Item-Trainho"/>
      </w:pPr>
      <w:r w:rsidRPr="00FE3DAE">
        <w:t xml:space="preserve"> </w:t>
      </w:r>
      <w:r w:rsidRPr="00280BF6">
        <w:t>COSTA, Lúcio. Documentação necessária. In: FAU-USP. Arquitetura Civil II. São Paulo: MEC/IPHAN, 1975;</w:t>
      </w:r>
    </w:p>
    <w:p w:rsidR="001936D9" w:rsidRPr="00280BF6" w:rsidRDefault="001936D9" w:rsidP="00656EA3">
      <w:pPr>
        <w:pStyle w:val="Item-Trainho"/>
      </w:pPr>
      <w:r w:rsidRPr="00280BF6">
        <w:t xml:space="preserve">DOMINGUES, A. A paisagem revisitada, Finisterra XVIII, 72, p. 55-66 ,2002. Disponível em: </w:t>
      </w:r>
      <w:hyperlink r:id="rId52" w:history="1">
        <w:r w:rsidRPr="00280BF6">
          <w:rPr>
            <w:rStyle w:val="Hyperlink"/>
            <w:rFonts w:cs="Arial"/>
          </w:rPr>
          <w:t>http://apha.pt/boletim/boletim3/pdf/AlvaroDomingues.pdf</w:t>
        </w:r>
      </w:hyperlink>
      <w:r w:rsidRPr="00280BF6">
        <w:t>. Acesso em 18 fev. 2008;</w:t>
      </w:r>
    </w:p>
    <w:p w:rsidR="001936D9" w:rsidRPr="00280BF6" w:rsidRDefault="001936D9" w:rsidP="00656EA3">
      <w:pPr>
        <w:pStyle w:val="Item-Trainho"/>
      </w:pPr>
      <w:r w:rsidRPr="00280BF6">
        <w:t xml:space="preserve">FERRÃO, A. M. A. Arquitetura Rural e Paisagens Culturais no Brasil a partir de uma Abordagem Transdisciplinar e da Visão de Processos, Vegueta, 8, Universidade Estadual de Campinas, Faculdade de Engenharia Civil, Arquitetura e Urbanismo, p. 133 – 147, 2004. Disponível em </w:t>
      </w:r>
      <w:hyperlink r:id="rId53" w:history="1">
        <w:r w:rsidRPr="00280BF6">
          <w:rPr>
            <w:rStyle w:val="Hyperlink"/>
            <w:rFonts w:cs="Arial"/>
          </w:rPr>
          <w:t>http://www.webs.ulpgc.es/vegueta/downloads/08-133-148.pdf</w:t>
        </w:r>
      </w:hyperlink>
      <w:r w:rsidRPr="00280BF6">
        <w:t>. Acesso em 13 jul. 2007;</w:t>
      </w:r>
    </w:p>
    <w:p w:rsidR="001936D9" w:rsidRPr="00280BF6" w:rsidRDefault="001936D9" w:rsidP="00656EA3">
      <w:pPr>
        <w:pStyle w:val="Item-Trainho"/>
      </w:pPr>
      <w:r w:rsidRPr="00280BF6">
        <w:t>HORTA, Maria de Lourdes Parreiras. Guia Básico de Educação Patrimonial. Brasília : Instituto de Patrimônio Histórico e Artístico Nacional, Museu Imperial, 1999.</w:t>
      </w:r>
    </w:p>
    <w:p w:rsidR="001936D9" w:rsidRPr="00280BF6" w:rsidRDefault="001936D9" w:rsidP="00656EA3">
      <w:pPr>
        <w:pStyle w:val="Item-Trainho"/>
        <w:rPr>
          <w:shd w:val="clear" w:color="auto" w:fill="FFFFFF"/>
        </w:rPr>
      </w:pPr>
      <w:r w:rsidRPr="00280BF6">
        <w:t xml:space="preserve">JABUR. Rodrigo Sartori. </w:t>
      </w:r>
      <w:r w:rsidRPr="00280BF6">
        <w:rPr>
          <w:shd w:val="clear" w:color="auto" w:fill="FFFFFF"/>
        </w:rPr>
        <w:t>As Transformações Arquitetônicas e Urbanas nos séculos XVIII e XIX na cidade de Paranaguá, Paraná. Dissertação de Mestrado: São Carlos: Faculdade de Engenharia de São Carlos, 2010;</w:t>
      </w:r>
    </w:p>
    <w:p w:rsidR="001936D9" w:rsidRPr="00280BF6" w:rsidRDefault="001936D9" w:rsidP="00656EA3">
      <w:pPr>
        <w:pStyle w:val="Item-Trainho"/>
      </w:pPr>
      <w:r w:rsidRPr="00280BF6">
        <w:t xml:space="preserve">MENESES, U. T. B. A paisagem como fato cultural. </w:t>
      </w:r>
      <w:r w:rsidRPr="00280BF6">
        <w:rPr>
          <w:lang w:val="en-US"/>
        </w:rPr>
        <w:t xml:space="preserve">IN: YÁZIGI, E. Abdo (org.). </w:t>
      </w:r>
      <w:r w:rsidRPr="00280BF6">
        <w:rPr>
          <w:bCs/>
        </w:rPr>
        <w:t>Turismo e paisagem</w:t>
      </w:r>
      <w:r w:rsidRPr="00280BF6">
        <w:t>. São Paulo: Contexto, p. 29-64, 2002;</w:t>
      </w:r>
    </w:p>
    <w:p w:rsidR="001936D9" w:rsidRPr="00280BF6" w:rsidRDefault="001936D9" w:rsidP="00656EA3">
      <w:pPr>
        <w:pStyle w:val="Item-Trainho"/>
      </w:pPr>
      <w:r w:rsidRPr="00280BF6">
        <w:t xml:space="preserve">MELLO, Paulo I. C. Arqueologia e Gestão do patrimônio. Disponível em </w:t>
      </w:r>
      <w:hyperlink r:id="rId54" w:history="1">
        <w:r w:rsidRPr="00280BF6">
          <w:rPr>
            <w:rStyle w:val="Hyperlink"/>
            <w:rFonts w:cs="Arial"/>
          </w:rPr>
          <w:t>www.comciência.com.br</w:t>
        </w:r>
      </w:hyperlink>
      <w:r w:rsidRPr="00280BF6">
        <w:t>, acessado em 22 de janeiro de 2006;</w:t>
      </w:r>
    </w:p>
    <w:p w:rsidR="001936D9" w:rsidRPr="00280BF6" w:rsidRDefault="001936D9" w:rsidP="00656EA3">
      <w:pPr>
        <w:pStyle w:val="Item-Trainho"/>
      </w:pPr>
      <w:r w:rsidRPr="00280BF6">
        <w:t xml:space="preserve">MORAIS, J. L. A Ocupação do Espaço em Função das Formas de Relevo e o Aproveitamento das Reservas Petrográficas por Populações Pré-Históricas da Paranapanema, SP. </w:t>
      </w:r>
      <w:r w:rsidRPr="00280BF6">
        <w:rPr>
          <w:bCs/>
          <w:iCs/>
        </w:rPr>
        <w:t>Coleção Museu Paulista, Série de Arqueologia</w:t>
      </w:r>
      <w:r w:rsidRPr="00280BF6">
        <w:rPr>
          <w:bCs/>
          <w:i/>
          <w:iCs/>
        </w:rPr>
        <w:t>, 6</w:t>
      </w:r>
      <w:r w:rsidRPr="00280BF6">
        <w:t>. São Paulo, Fundo de Pesquisas do Museu Paulista da USP.1979;</w:t>
      </w:r>
    </w:p>
    <w:p w:rsidR="001936D9" w:rsidRPr="00280BF6" w:rsidRDefault="001936D9" w:rsidP="00656EA3">
      <w:pPr>
        <w:pStyle w:val="Item-Trainho"/>
      </w:pPr>
      <w:r w:rsidRPr="00280BF6">
        <w:t>______ Tópicos da Arqueologia da Paisagem. Revista do Museu de Arqueologia e Etnologia. Universidade de São Paulo, n.10, p. 3-28, 2000;</w:t>
      </w:r>
    </w:p>
    <w:p w:rsidR="001936D9" w:rsidRPr="00280BF6" w:rsidRDefault="001936D9" w:rsidP="00656EA3">
      <w:pPr>
        <w:pStyle w:val="Item-Trainho"/>
      </w:pPr>
      <w:r w:rsidRPr="00280BF6">
        <w:t>______ A arqueologia e o fator geo. Revista do Museu de Arqueologia e Etnologia. Universidade de São Paulo, n.9, p. 3-22, 1999;</w:t>
      </w:r>
    </w:p>
    <w:p w:rsidR="001936D9" w:rsidRPr="00280BF6" w:rsidRDefault="001936D9" w:rsidP="00656EA3">
      <w:pPr>
        <w:pStyle w:val="Item-Trainho"/>
      </w:pPr>
      <w:r w:rsidRPr="00280BF6">
        <w:t>OSÓRIO, M., SALGADO, T. Um Sistema de Informação Geográfica Aplicado na Arqueologia do Município de Sabugal, Práxis Arqueológica, 2, p. 9-22, 2007;</w:t>
      </w:r>
    </w:p>
    <w:p w:rsidR="001936D9" w:rsidRPr="00280BF6" w:rsidRDefault="001936D9" w:rsidP="00656EA3">
      <w:pPr>
        <w:pStyle w:val="Item-Trainho"/>
      </w:pPr>
      <w:r w:rsidRPr="00280BF6">
        <w:t>PROUS, A. Arqueologia brasileira, Brasília: Editora da UnB, 1992;</w:t>
      </w:r>
    </w:p>
    <w:p w:rsidR="001936D9" w:rsidRPr="00280BF6" w:rsidRDefault="001936D9" w:rsidP="00656EA3">
      <w:pPr>
        <w:pStyle w:val="Item-Trainho"/>
      </w:pPr>
      <w:r w:rsidRPr="00280BF6">
        <w:t>PROJPAR. Resgate e inclusão social do patrimônio arqueológico da UHE Ourinhos, SP. Caderno 2. Pirajú: PROJPAR, s.d.;</w:t>
      </w:r>
    </w:p>
    <w:p w:rsidR="001936D9" w:rsidRDefault="001936D9" w:rsidP="00656EA3">
      <w:pPr>
        <w:pStyle w:val="Item-Trainho"/>
      </w:pPr>
      <w:r w:rsidRPr="00280BF6">
        <w:t>RIBEIRO. Rafael Winter. Paisagem Cultural e Patrimônio. Rio de Janeiro: Iphan/Copedoc, 2007.</w:t>
      </w:r>
    </w:p>
    <w:p w:rsidR="00224A98" w:rsidRDefault="00224A98">
      <w:pPr>
        <w:spacing w:line="240" w:lineRule="auto"/>
        <w:jc w:val="left"/>
        <w:rPr>
          <w:rFonts w:cs="Arial"/>
        </w:rPr>
      </w:pPr>
    </w:p>
    <w:p w:rsidR="00946FA3" w:rsidRPr="007548E9" w:rsidRDefault="00656EA3" w:rsidP="00656EA3">
      <w:pPr>
        <w:pStyle w:val="Ttulo"/>
        <w:jc w:val="left"/>
        <w:rPr>
          <w:rFonts w:eastAsia="Calibri"/>
          <w:lang w:eastAsia="en-US"/>
        </w:rPr>
      </w:pPr>
      <w:bookmarkStart w:id="1832" w:name="_Toc418758650"/>
      <w:bookmarkStart w:id="1833" w:name="_Toc418759252"/>
      <w:bookmarkStart w:id="1834" w:name="_Toc419814037"/>
      <w:r>
        <w:rPr>
          <w:rFonts w:eastAsia="Calibri"/>
          <w:lang w:eastAsia="en-US"/>
        </w:rPr>
        <w:t xml:space="preserve">4. </w:t>
      </w:r>
      <w:r w:rsidR="00946FA3" w:rsidRPr="007548E9">
        <w:rPr>
          <w:rFonts w:eastAsia="Calibri"/>
          <w:lang w:eastAsia="en-US"/>
        </w:rPr>
        <w:t>PROGNÓSTICO DA QUALIDADE AMBIENTAL FUTURA</w:t>
      </w:r>
      <w:bookmarkEnd w:id="1832"/>
      <w:bookmarkEnd w:id="1833"/>
      <w:bookmarkEnd w:id="1834"/>
    </w:p>
    <w:p w:rsidR="005114AD" w:rsidRPr="002868C2" w:rsidRDefault="005114AD" w:rsidP="002868C2">
      <w:pPr>
        <w:pStyle w:val="Ttulo3"/>
        <w:rPr>
          <w:rFonts w:ascii="Arial Negrito" w:hAnsi="Arial Negrito"/>
          <w:bCs/>
        </w:rPr>
      </w:pPr>
      <w:bookmarkStart w:id="1835" w:name="_Toc418758651"/>
      <w:bookmarkStart w:id="1836" w:name="_Toc418759253"/>
      <w:bookmarkStart w:id="1837" w:name="_Toc419814038"/>
      <w:r w:rsidRPr="002868C2">
        <w:rPr>
          <w:rFonts w:ascii="Arial Negrito" w:hAnsi="Arial Negrito"/>
          <w:bCs/>
        </w:rPr>
        <w:t>4.1. Cenário sem o Empreendimento</w:t>
      </w:r>
      <w:bookmarkEnd w:id="1835"/>
      <w:bookmarkEnd w:id="1836"/>
      <w:bookmarkEnd w:id="1837"/>
    </w:p>
    <w:p w:rsidR="00A355FE" w:rsidRPr="002B0C4A" w:rsidRDefault="00A355FE" w:rsidP="00A355FE">
      <w:pPr>
        <w:pStyle w:val="Corpodetexto"/>
      </w:pPr>
      <w:r w:rsidRPr="002B0C4A">
        <w:t xml:space="preserve">Neste item será apresentado um prognóstico sucinto das bacias dos rios Piracicaba, Capivari e Jundiaí (PCJ), </w:t>
      </w:r>
      <w:r>
        <w:t>considerando a hipótese de que a</w:t>
      </w:r>
      <w:r w:rsidRPr="002B0C4A">
        <w:t>s barra</w:t>
      </w:r>
      <w:r>
        <w:t>gens</w:t>
      </w:r>
      <w:r w:rsidRPr="002B0C4A">
        <w:t xml:space="preserve"> </w:t>
      </w:r>
      <w:r>
        <w:t>Pedreira e Duas Pontes, proposta</w:t>
      </w:r>
      <w:r w:rsidRPr="002B0C4A">
        <w:t xml:space="preserve">s com a finalidade de regularização das vazões dos rios Jaguari e Camanducaia, respectivamente, não venham a ser implantados. </w:t>
      </w:r>
    </w:p>
    <w:p w:rsidR="00A355FE" w:rsidRPr="002B0C4A" w:rsidRDefault="00A355FE" w:rsidP="00A355FE">
      <w:pPr>
        <w:pStyle w:val="Corpodetexto"/>
      </w:pPr>
      <w:r w:rsidRPr="002B0C4A">
        <w:t xml:space="preserve">Nas Bacias PCJ, os recursos hídricos disponíveis constituem atualmente (2014) um motivo de grande preocupação por parte das autoridades e da população em geral, principalmente pela crescente demanda de água para consumo doméstico, industrial e irrigação, </w:t>
      </w:r>
      <w:r>
        <w:t xml:space="preserve">conjugada com uma carência de precipitações. Esta </w:t>
      </w:r>
      <w:r w:rsidRPr="002B0C4A">
        <w:t xml:space="preserve">situação se configura cada vez mais critica em termos de atendimento, tendo em vista o intenso crescimento demográfico observado e a expectativa de maior desenvolvimento econômico </w:t>
      </w:r>
      <w:r>
        <w:t>no</w:t>
      </w:r>
      <w:r w:rsidRPr="002B0C4A">
        <w:t xml:space="preserve"> futuro.</w:t>
      </w:r>
    </w:p>
    <w:p w:rsidR="00A355FE" w:rsidRDefault="00A355FE" w:rsidP="00A355FE">
      <w:pPr>
        <w:pStyle w:val="Corpodetexto"/>
      </w:pPr>
      <w:r w:rsidRPr="002B0C4A">
        <w:t xml:space="preserve">Por outro lado, também existe </w:t>
      </w:r>
      <w:r>
        <w:t>preocupação</w:t>
      </w:r>
      <w:r w:rsidRPr="002B0C4A">
        <w:t xml:space="preserve"> com relação à qualidade das águas disponíveis, uma vez que</w:t>
      </w:r>
      <w:r>
        <w:t>, embora</w:t>
      </w:r>
      <w:r w:rsidRPr="002B0C4A">
        <w:t xml:space="preserve"> grande parte das populações d</w:t>
      </w:r>
      <w:r>
        <w:t>as bacias</w:t>
      </w:r>
      <w:r w:rsidRPr="002B0C4A">
        <w:t xml:space="preserve"> PCJ cont</w:t>
      </w:r>
      <w:r>
        <w:t>e</w:t>
      </w:r>
      <w:r w:rsidRPr="002B0C4A">
        <w:t xml:space="preserve"> com sistema de abastecimento</w:t>
      </w:r>
      <w:r>
        <w:t>,</w:t>
      </w:r>
      <w:r w:rsidRPr="002B0C4A">
        <w:t xml:space="preserve"> coleta</w:t>
      </w:r>
      <w:r>
        <w:t xml:space="preserve"> e tratamento</w:t>
      </w:r>
      <w:r w:rsidRPr="002B0C4A">
        <w:t xml:space="preserve"> de águas servidas, </w:t>
      </w:r>
      <w:r>
        <w:t>existem também municípios</w:t>
      </w:r>
      <w:r w:rsidRPr="002B0C4A">
        <w:t xml:space="preserve"> que não possuem estação de tratamento de </w:t>
      </w:r>
      <w:r>
        <w:t>esgotos</w:t>
      </w:r>
      <w:r w:rsidRPr="002B0C4A">
        <w:t>, de forma que os efluentes e outros vetores de poluição difusa são descarregados diretamente nos cursos d´água.</w:t>
      </w:r>
    </w:p>
    <w:p w:rsidR="00A355FE" w:rsidRPr="002B0C4A" w:rsidRDefault="00A355FE" w:rsidP="00A355FE">
      <w:pPr>
        <w:pStyle w:val="Corpodetexto"/>
      </w:pPr>
      <w:r>
        <w:t>Na origem do</w:t>
      </w:r>
      <w:r w:rsidRPr="002B0C4A">
        <w:t xml:space="preserve"> significativo aumento das demandas hídricas na região das Bacias Hidrográficas dos Rios Piracicaba, Capivari e Jundiaí (PCJ), </w:t>
      </w:r>
      <w:r>
        <w:t>está</w:t>
      </w:r>
      <w:r w:rsidRPr="002B0C4A">
        <w:t xml:space="preserve"> a transformação de suas bases econômicas </w:t>
      </w:r>
      <w:r>
        <w:t>n</w:t>
      </w:r>
      <w:r w:rsidRPr="002B0C4A">
        <w:t xml:space="preserve">o processo de descentralização do setor industrial da metrópole paulista para as regiões interioranas, </w:t>
      </w:r>
      <w:r>
        <w:t>e também do</w:t>
      </w:r>
      <w:r w:rsidRPr="002B0C4A">
        <w:t xml:space="preserve"> setor de serviços, como o comércio, pesquisa, serviços de alta tecnologia e empresas da área de logística. </w:t>
      </w:r>
    </w:p>
    <w:p w:rsidR="00A355FE" w:rsidRDefault="00A355FE" w:rsidP="00A355FE">
      <w:pPr>
        <w:pStyle w:val="Corpodetexto"/>
      </w:pPr>
      <w:r w:rsidRPr="002B0C4A">
        <w:t xml:space="preserve">Com grande representatividade na macrometrópole paulista, a região do PCJ apresentou na ultima década um crescimento populacional de 4% ao ano, com a intensificação dos setores industriais e dos </w:t>
      </w:r>
      <w:r>
        <w:t>polo</w:t>
      </w:r>
      <w:r w:rsidRPr="002B0C4A">
        <w:t>s tecnológicos, os quais também reforçaram a necessidade de ampliação da oferta hídrica regional, diante, dentre outros aspectos socioeconômicos, da conurbação, e da intensa migração para as novas áreas produtivas</w:t>
      </w:r>
      <w:r>
        <w:t>.</w:t>
      </w:r>
    </w:p>
    <w:p w:rsidR="00A355FE" w:rsidRDefault="00A355FE" w:rsidP="00A355FE">
      <w:pPr>
        <w:pStyle w:val="Corpodetexto"/>
      </w:pPr>
      <w:r>
        <w:t>Analisando do ponto de vista dos setores econômicos o valor Adicionado da Agricultura, Indústria e Serviços, observa-se que os Serviços são amplamente predominantes (56,3%), ficando o Setor Industrial em 2º lugar (22,5%) e a agricultura, por último, com 0,6% de participação. Cabe mencionar que os impostos participam com 20,6% do PIB (Fundação SEADE/IBGE/2012).</w:t>
      </w:r>
    </w:p>
    <w:p w:rsidR="00A355FE" w:rsidRDefault="00A355FE" w:rsidP="00A355FE">
      <w:pPr>
        <w:pStyle w:val="Corpodetexto"/>
      </w:pPr>
      <w:r w:rsidRPr="002B0C4A">
        <w:t>O</w:t>
      </w:r>
      <w:r>
        <w:t xml:space="preserve"> </w:t>
      </w:r>
      <w:r w:rsidRPr="002B0C4A">
        <w:t>desenvolvimento regional foi fomentado pelo Programa de Desenvolvimento Integrado, que apoiou, por meio de convênios com municípios, projetos de infraestrutura urbana, construção civil, aquisição/reforma de equipamentos e programas voltados a resguardar as condições de vida da população.</w:t>
      </w:r>
    </w:p>
    <w:p w:rsidR="00A355FE" w:rsidRPr="002B0C4A" w:rsidRDefault="00A355FE" w:rsidP="00A355FE">
      <w:pPr>
        <w:pStyle w:val="Corpodetexto"/>
      </w:pPr>
      <w:r w:rsidRPr="002B0C4A">
        <w:t xml:space="preserve">A prioridade </w:t>
      </w:r>
      <w:r>
        <w:t>do atendimento a</w:t>
      </w:r>
      <w:r w:rsidRPr="002B0C4A">
        <w:t xml:space="preserve"> novas demandas hídricas regionais está nas estratégias do Governo Estadual, inclusive como forma de integração das políticas setoriais em projetos de desenvolvimento territorial. </w:t>
      </w:r>
    </w:p>
    <w:p w:rsidR="00A355FE" w:rsidRDefault="00A355FE" w:rsidP="00A355FE">
      <w:pPr>
        <w:pStyle w:val="Corpodetexto"/>
      </w:pPr>
      <w:bookmarkStart w:id="1838" w:name="_Toc405304999"/>
      <w:r w:rsidRPr="00C168B5">
        <w:t>O Quadro 4.1, apresenta o balanço hídrico das bacias p</w:t>
      </w:r>
      <w:r w:rsidR="00BD0987" w:rsidRPr="00C168B5">
        <w:t>a</w:t>
      </w:r>
      <w:r w:rsidRPr="00C168B5">
        <w:t>ra os anos 2014 e 2020, de acordo</w:t>
      </w:r>
      <w:r>
        <w:t xml:space="preserve"> com o Plano das Bacias Hidrográficas dos rios Piracicaba, Capivari e Jundiaí, do Comitê das bacias PCJ, elaborado em 2008. A vazão disponível ou vazão de referência é a vazão natural disponível no trecho do rio, de acordo com a sua área de drenagem, com o critério de mínima de 7 dias com 10 anos de recorrência(Q</w:t>
      </w:r>
      <w:r w:rsidRPr="00E069D4">
        <w:rPr>
          <w:vertAlign w:val="subscript"/>
        </w:rPr>
        <w:t>7,10</w:t>
      </w:r>
      <w:r>
        <w:t>).</w:t>
      </w:r>
      <w:r w:rsidRPr="002B0C4A">
        <w:rPr>
          <w:vertAlign w:val="superscript"/>
        </w:rPr>
        <w:footnoteReference w:id="6"/>
      </w:r>
    </w:p>
    <w:p w:rsidR="00A355FE" w:rsidRPr="00810CA3" w:rsidRDefault="00810CA3" w:rsidP="00810CA3">
      <w:pPr>
        <w:pStyle w:val="Legenda"/>
        <w:spacing w:before="0" w:after="0" w:line="240" w:lineRule="auto"/>
        <w:jc w:val="center"/>
        <w:rPr>
          <w:b w:val="0"/>
          <w:i w:val="0"/>
        </w:rPr>
      </w:pPr>
      <w:r w:rsidRPr="00810CA3">
        <w:rPr>
          <w:i w:val="0"/>
        </w:rPr>
        <w:t>Quadro 4.</w:t>
      </w:r>
      <w:r w:rsidR="00B80A05" w:rsidRPr="00810CA3">
        <w:rPr>
          <w:i w:val="0"/>
        </w:rPr>
        <w:fldChar w:fldCharType="begin"/>
      </w:r>
      <w:r w:rsidRPr="00810CA3">
        <w:rPr>
          <w:i w:val="0"/>
        </w:rPr>
        <w:instrText xml:space="preserve"> SEQ Quadro_4. \* ARABIC </w:instrText>
      </w:r>
      <w:r w:rsidR="00B80A05" w:rsidRPr="00810CA3">
        <w:rPr>
          <w:i w:val="0"/>
        </w:rPr>
        <w:fldChar w:fldCharType="separate"/>
      </w:r>
      <w:r w:rsidR="00316060">
        <w:rPr>
          <w:i w:val="0"/>
          <w:noProof/>
        </w:rPr>
        <w:t>1</w:t>
      </w:r>
      <w:r w:rsidR="00B80A05" w:rsidRPr="00810CA3">
        <w:rPr>
          <w:i w:val="0"/>
        </w:rPr>
        <w:fldChar w:fldCharType="end"/>
      </w:r>
      <w:r w:rsidRPr="00810CA3">
        <w:rPr>
          <w:i w:val="0"/>
        </w:rPr>
        <w:t>.</w:t>
      </w:r>
      <w:r w:rsidRPr="00810CA3">
        <w:rPr>
          <w:b w:val="0"/>
          <w:i w:val="0"/>
        </w:rPr>
        <w:t xml:space="preserve"> - </w:t>
      </w:r>
      <w:r w:rsidR="00A355FE" w:rsidRPr="00810CA3">
        <w:rPr>
          <w:b w:val="0"/>
          <w:i w:val="0"/>
        </w:rPr>
        <w:t>Demandas projetadas para 2014 e 2020 na região das Bacias dos Rios Piracicaba, Capivari e Jundiaí (PCJ).</w:t>
      </w:r>
      <w:bookmarkEnd w:id="1838"/>
    </w:p>
    <w:tbl>
      <w:tblPr>
        <w:tblW w:w="9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96"/>
        <w:gridCol w:w="1276"/>
        <w:gridCol w:w="1128"/>
        <w:gridCol w:w="1264"/>
        <w:gridCol w:w="851"/>
        <w:gridCol w:w="1134"/>
        <w:gridCol w:w="1275"/>
        <w:gridCol w:w="842"/>
        <w:gridCol w:w="9"/>
      </w:tblGrid>
      <w:tr w:rsidR="00A355FE" w:rsidRPr="002B0C4A" w:rsidTr="00201B97">
        <w:trPr>
          <w:trHeight w:val="283"/>
          <w:jc w:val="center"/>
        </w:trPr>
        <w:tc>
          <w:tcPr>
            <w:tcW w:w="9375" w:type="dxa"/>
            <w:gridSpan w:val="9"/>
            <w:shd w:val="clear" w:color="auto" w:fill="D9D9D9"/>
            <w:vAlign w:val="center"/>
          </w:tcPr>
          <w:p w:rsidR="00A355FE" w:rsidRPr="006D1730" w:rsidRDefault="00A355FE" w:rsidP="00201B97">
            <w:pPr>
              <w:spacing w:before="40" w:line="240" w:lineRule="auto"/>
              <w:jc w:val="center"/>
              <w:rPr>
                <w:rFonts w:cs="Arial"/>
                <w:b/>
                <w:sz w:val="20"/>
              </w:rPr>
            </w:pPr>
            <w:r w:rsidRPr="006D1730">
              <w:rPr>
                <w:rFonts w:cs="Arial"/>
                <w:b/>
                <w:sz w:val="20"/>
              </w:rPr>
              <w:t>Vazão (m³/s)</w:t>
            </w:r>
          </w:p>
        </w:tc>
      </w:tr>
      <w:tr w:rsidR="00A355FE" w:rsidRPr="002B0C4A" w:rsidTr="00201B97">
        <w:trPr>
          <w:trHeight w:val="259"/>
          <w:jc w:val="center"/>
        </w:trPr>
        <w:tc>
          <w:tcPr>
            <w:tcW w:w="1596" w:type="dxa"/>
            <w:vMerge w:val="restart"/>
            <w:shd w:val="clear" w:color="auto" w:fill="D9D9D9"/>
            <w:vAlign w:val="center"/>
          </w:tcPr>
          <w:p w:rsidR="00A355FE" w:rsidRPr="006D1730" w:rsidRDefault="00A355FE" w:rsidP="00201B97">
            <w:pPr>
              <w:spacing w:before="40" w:line="240" w:lineRule="auto"/>
              <w:jc w:val="center"/>
              <w:rPr>
                <w:rFonts w:cs="Arial"/>
                <w:b/>
                <w:sz w:val="20"/>
              </w:rPr>
            </w:pPr>
            <w:r w:rsidRPr="006D1730">
              <w:rPr>
                <w:rFonts w:cs="Arial"/>
                <w:b/>
                <w:sz w:val="20"/>
              </w:rPr>
              <w:t>Sub-bacias</w:t>
            </w:r>
          </w:p>
        </w:tc>
        <w:tc>
          <w:tcPr>
            <w:tcW w:w="1276" w:type="dxa"/>
            <w:vMerge w:val="restart"/>
            <w:shd w:val="clear" w:color="auto" w:fill="D9D9D9"/>
            <w:vAlign w:val="center"/>
          </w:tcPr>
          <w:p w:rsidR="00A355FE" w:rsidRPr="006D1730" w:rsidRDefault="00A355FE" w:rsidP="00201B97">
            <w:pPr>
              <w:spacing w:before="40" w:line="240" w:lineRule="auto"/>
              <w:jc w:val="center"/>
              <w:rPr>
                <w:rFonts w:cs="Arial"/>
                <w:b/>
                <w:sz w:val="18"/>
                <w:szCs w:val="18"/>
              </w:rPr>
            </w:pPr>
            <w:r w:rsidRPr="006D1730">
              <w:rPr>
                <w:rFonts w:cs="Arial"/>
                <w:b/>
                <w:sz w:val="18"/>
                <w:szCs w:val="18"/>
              </w:rPr>
              <w:t>Q</w:t>
            </w:r>
          </w:p>
          <w:p w:rsidR="00A355FE" w:rsidRPr="006D1730" w:rsidRDefault="00A355FE" w:rsidP="00201B97">
            <w:pPr>
              <w:spacing w:before="40" w:line="240" w:lineRule="auto"/>
              <w:jc w:val="center"/>
              <w:rPr>
                <w:rFonts w:cs="Arial"/>
                <w:b/>
                <w:sz w:val="18"/>
                <w:szCs w:val="18"/>
              </w:rPr>
            </w:pPr>
            <w:r w:rsidRPr="006D1730">
              <w:rPr>
                <w:rFonts w:cs="Arial"/>
                <w:b/>
                <w:sz w:val="18"/>
                <w:szCs w:val="18"/>
              </w:rPr>
              <w:t>Disponível</w:t>
            </w:r>
          </w:p>
        </w:tc>
        <w:tc>
          <w:tcPr>
            <w:tcW w:w="3243" w:type="dxa"/>
            <w:gridSpan w:val="3"/>
            <w:shd w:val="clear" w:color="auto" w:fill="D9D9D9"/>
            <w:vAlign w:val="center"/>
          </w:tcPr>
          <w:p w:rsidR="00A355FE" w:rsidRPr="006D1730" w:rsidRDefault="00A355FE" w:rsidP="00201B97">
            <w:pPr>
              <w:spacing w:before="40" w:line="240" w:lineRule="auto"/>
              <w:jc w:val="center"/>
              <w:rPr>
                <w:rFonts w:cs="Arial"/>
                <w:b/>
                <w:sz w:val="18"/>
                <w:szCs w:val="18"/>
              </w:rPr>
            </w:pPr>
            <w:r w:rsidRPr="006D1730">
              <w:rPr>
                <w:rFonts w:cs="Arial"/>
                <w:b/>
                <w:sz w:val="18"/>
                <w:szCs w:val="18"/>
              </w:rPr>
              <w:t>Cenário 2014</w:t>
            </w:r>
          </w:p>
        </w:tc>
        <w:tc>
          <w:tcPr>
            <w:tcW w:w="3260" w:type="dxa"/>
            <w:gridSpan w:val="4"/>
            <w:shd w:val="clear" w:color="auto" w:fill="D9D9D9"/>
            <w:vAlign w:val="center"/>
          </w:tcPr>
          <w:p w:rsidR="00A355FE" w:rsidRPr="006D1730" w:rsidRDefault="00A355FE" w:rsidP="00201B97">
            <w:pPr>
              <w:spacing w:before="40" w:line="240" w:lineRule="auto"/>
              <w:jc w:val="center"/>
              <w:rPr>
                <w:rFonts w:cs="Arial"/>
                <w:b/>
                <w:sz w:val="18"/>
                <w:szCs w:val="18"/>
              </w:rPr>
            </w:pPr>
            <w:r w:rsidRPr="006D1730">
              <w:rPr>
                <w:rFonts w:cs="Arial"/>
                <w:b/>
                <w:sz w:val="18"/>
                <w:szCs w:val="18"/>
              </w:rPr>
              <w:t>Cenário 2020</w:t>
            </w:r>
          </w:p>
        </w:tc>
      </w:tr>
      <w:tr w:rsidR="00A355FE" w:rsidRPr="002B0C4A" w:rsidTr="00201B97">
        <w:trPr>
          <w:gridAfter w:val="1"/>
          <w:wAfter w:w="9" w:type="dxa"/>
          <w:trHeight w:val="245"/>
          <w:jc w:val="center"/>
        </w:trPr>
        <w:tc>
          <w:tcPr>
            <w:tcW w:w="1596" w:type="dxa"/>
            <w:vMerge/>
            <w:shd w:val="clear" w:color="auto" w:fill="D9D9D9"/>
            <w:vAlign w:val="center"/>
          </w:tcPr>
          <w:p w:rsidR="00A355FE" w:rsidRPr="006D1730" w:rsidRDefault="00A355FE" w:rsidP="00201B97">
            <w:pPr>
              <w:spacing w:before="40" w:line="240" w:lineRule="auto"/>
              <w:jc w:val="center"/>
              <w:rPr>
                <w:rFonts w:cs="Arial"/>
                <w:sz w:val="20"/>
                <w:vertAlign w:val="subscript"/>
              </w:rPr>
            </w:pPr>
          </w:p>
        </w:tc>
        <w:tc>
          <w:tcPr>
            <w:tcW w:w="1276" w:type="dxa"/>
            <w:vMerge/>
            <w:shd w:val="clear" w:color="auto" w:fill="D9D9D9"/>
            <w:vAlign w:val="center"/>
          </w:tcPr>
          <w:p w:rsidR="00A355FE" w:rsidRPr="006D1730" w:rsidRDefault="00A355FE" w:rsidP="00201B97">
            <w:pPr>
              <w:spacing w:before="40" w:line="240" w:lineRule="auto"/>
              <w:jc w:val="center"/>
              <w:rPr>
                <w:rFonts w:cs="Arial"/>
                <w:sz w:val="18"/>
                <w:szCs w:val="18"/>
                <w:vertAlign w:val="subscript"/>
              </w:rPr>
            </w:pPr>
          </w:p>
        </w:tc>
        <w:tc>
          <w:tcPr>
            <w:tcW w:w="1128" w:type="dxa"/>
            <w:shd w:val="clear" w:color="auto" w:fill="D9D9D9"/>
            <w:vAlign w:val="center"/>
          </w:tcPr>
          <w:p w:rsidR="00A355FE" w:rsidRPr="002671B9" w:rsidRDefault="00A355FE" w:rsidP="00201B97">
            <w:pPr>
              <w:spacing w:before="60" w:after="60" w:line="240" w:lineRule="auto"/>
              <w:jc w:val="center"/>
              <w:rPr>
                <w:rFonts w:cs="Arial"/>
                <w:b/>
                <w:sz w:val="16"/>
                <w:szCs w:val="16"/>
              </w:rPr>
            </w:pPr>
            <w:r w:rsidRPr="002671B9">
              <w:rPr>
                <w:rFonts w:cs="Arial"/>
                <w:b/>
                <w:sz w:val="16"/>
                <w:szCs w:val="16"/>
              </w:rPr>
              <w:t>Captações</w:t>
            </w:r>
          </w:p>
        </w:tc>
        <w:tc>
          <w:tcPr>
            <w:tcW w:w="1264" w:type="dxa"/>
            <w:shd w:val="clear" w:color="auto" w:fill="D9D9D9"/>
            <w:vAlign w:val="center"/>
          </w:tcPr>
          <w:p w:rsidR="00A355FE" w:rsidRPr="002671B9" w:rsidRDefault="00A355FE" w:rsidP="00201B97">
            <w:pPr>
              <w:spacing w:before="60" w:after="60" w:line="240" w:lineRule="auto"/>
              <w:jc w:val="center"/>
              <w:rPr>
                <w:rFonts w:cs="Arial"/>
                <w:b/>
                <w:sz w:val="16"/>
                <w:szCs w:val="16"/>
              </w:rPr>
            </w:pPr>
            <w:r w:rsidRPr="002671B9">
              <w:rPr>
                <w:rFonts w:cs="Arial"/>
                <w:b/>
                <w:sz w:val="16"/>
                <w:szCs w:val="16"/>
              </w:rPr>
              <w:t>Lançamentos</w:t>
            </w:r>
          </w:p>
        </w:tc>
        <w:tc>
          <w:tcPr>
            <w:tcW w:w="851" w:type="dxa"/>
            <w:shd w:val="clear" w:color="auto" w:fill="D9D9D9"/>
            <w:vAlign w:val="center"/>
          </w:tcPr>
          <w:p w:rsidR="00A355FE" w:rsidRPr="002671B9" w:rsidRDefault="00A355FE" w:rsidP="00201B97">
            <w:pPr>
              <w:spacing w:before="60" w:after="60" w:line="240" w:lineRule="auto"/>
              <w:jc w:val="center"/>
              <w:rPr>
                <w:rFonts w:cs="Arial"/>
                <w:b/>
                <w:sz w:val="16"/>
                <w:szCs w:val="16"/>
              </w:rPr>
            </w:pPr>
            <w:r w:rsidRPr="002671B9">
              <w:rPr>
                <w:rFonts w:cs="Arial"/>
                <w:b/>
                <w:sz w:val="16"/>
                <w:szCs w:val="16"/>
              </w:rPr>
              <w:t>Saldo</w:t>
            </w:r>
          </w:p>
        </w:tc>
        <w:tc>
          <w:tcPr>
            <w:tcW w:w="1134" w:type="dxa"/>
            <w:shd w:val="clear" w:color="auto" w:fill="D9D9D9"/>
            <w:vAlign w:val="center"/>
          </w:tcPr>
          <w:p w:rsidR="00A355FE" w:rsidRPr="002671B9" w:rsidRDefault="00A355FE" w:rsidP="00201B97">
            <w:pPr>
              <w:spacing w:before="60" w:after="60" w:line="240" w:lineRule="auto"/>
              <w:jc w:val="center"/>
              <w:rPr>
                <w:rFonts w:cs="Arial"/>
                <w:b/>
                <w:sz w:val="16"/>
                <w:szCs w:val="16"/>
              </w:rPr>
            </w:pPr>
            <w:r w:rsidRPr="002671B9">
              <w:rPr>
                <w:rFonts w:cs="Arial"/>
                <w:b/>
                <w:sz w:val="16"/>
                <w:szCs w:val="16"/>
              </w:rPr>
              <w:t>Captações</w:t>
            </w:r>
          </w:p>
        </w:tc>
        <w:tc>
          <w:tcPr>
            <w:tcW w:w="1275" w:type="dxa"/>
            <w:shd w:val="clear" w:color="auto" w:fill="D9D9D9"/>
            <w:vAlign w:val="center"/>
          </w:tcPr>
          <w:p w:rsidR="00A355FE" w:rsidRPr="002671B9" w:rsidRDefault="00A355FE" w:rsidP="00201B97">
            <w:pPr>
              <w:spacing w:before="60" w:after="60" w:line="240" w:lineRule="auto"/>
              <w:jc w:val="center"/>
              <w:rPr>
                <w:rFonts w:cs="Arial"/>
                <w:b/>
                <w:sz w:val="16"/>
                <w:szCs w:val="16"/>
              </w:rPr>
            </w:pPr>
            <w:r w:rsidRPr="002671B9">
              <w:rPr>
                <w:rFonts w:cs="Arial"/>
                <w:b/>
                <w:sz w:val="16"/>
                <w:szCs w:val="16"/>
              </w:rPr>
              <w:t>Lançamentos</w:t>
            </w:r>
          </w:p>
        </w:tc>
        <w:tc>
          <w:tcPr>
            <w:tcW w:w="842" w:type="dxa"/>
            <w:shd w:val="clear" w:color="auto" w:fill="D9D9D9"/>
            <w:vAlign w:val="center"/>
          </w:tcPr>
          <w:p w:rsidR="00A355FE" w:rsidRPr="002671B9" w:rsidRDefault="00A355FE" w:rsidP="00201B97">
            <w:pPr>
              <w:spacing w:before="60" w:after="60" w:line="240" w:lineRule="auto"/>
              <w:jc w:val="center"/>
              <w:rPr>
                <w:rFonts w:cs="Arial"/>
                <w:b/>
                <w:sz w:val="16"/>
                <w:szCs w:val="16"/>
              </w:rPr>
            </w:pPr>
            <w:r w:rsidRPr="002671B9">
              <w:rPr>
                <w:rFonts w:cs="Arial"/>
                <w:b/>
                <w:sz w:val="16"/>
                <w:szCs w:val="16"/>
              </w:rPr>
              <w:t>Saldo</w:t>
            </w:r>
          </w:p>
        </w:tc>
      </w:tr>
      <w:tr w:rsidR="00A355FE" w:rsidRPr="002B0C4A" w:rsidTr="00201B97">
        <w:trPr>
          <w:trHeight w:val="484"/>
          <w:jc w:val="center"/>
        </w:trPr>
        <w:tc>
          <w:tcPr>
            <w:tcW w:w="1596" w:type="dxa"/>
            <w:shd w:val="clear" w:color="auto" w:fill="auto"/>
            <w:vAlign w:val="center"/>
          </w:tcPr>
          <w:p w:rsidR="00A355FE" w:rsidRPr="006D1730" w:rsidRDefault="00A355FE" w:rsidP="00201B97">
            <w:pPr>
              <w:spacing w:before="20" w:after="20" w:line="240" w:lineRule="auto"/>
              <w:rPr>
                <w:rFonts w:cs="Arial"/>
                <w:sz w:val="20"/>
              </w:rPr>
            </w:pPr>
            <w:r w:rsidRPr="006D1730">
              <w:rPr>
                <w:rFonts w:cs="Arial"/>
                <w:sz w:val="20"/>
              </w:rPr>
              <w:t>Atibaia</w:t>
            </w:r>
          </w:p>
        </w:tc>
        <w:tc>
          <w:tcPr>
            <w:tcW w:w="1276"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8,54</w:t>
            </w:r>
          </w:p>
        </w:tc>
        <w:tc>
          <w:tcPr>
            <w:tcW w:w="1128"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10,78</w:t>
            </w:r>
          </w:p>
        </w:tc>
        <w:tc>
          <w:tcPr>
            <w:tcW w:w="126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6,41</w:t>
            </w:r>
          </w:p>
        </w:tc>
        <w:tc>
          <w:tcPr>
            <w:tcW w:w="851"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4,16</w:t>
            </w:r>
          </w:p>
        </w:tc>
        <w:tc>
          <w:tcPr>
            <w:tcW w:w="113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11,21</w:t>
            </w:r>
          </w:p>
        </w:tc>
        <w:tc>
          <w:tcPr>
            <w:tcW w:w="1275"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7,02</w:t>
            </w:r>
          </w:p>
        </w:tc>
        <w:tc>
          <w:tcPr>
            <w:tcW w:w="851" w:type="dxa"/>
            <w:gridSpan w:val="2"/>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4,35</w:t>
            </w:r>
          </w:p>
        </w:tc>
      </w:tr>
      <w:tr w:rsidR="00A355FE" w:rsidRPr="002B0C4A" w:rsidTr="00201B97">
        <w:trPr>
          <w:trHeight w:val="484"/>
          <w:jc w:val="center"/>
        </w:trPr>
        <w:tc>
          <w:tcPr>
            <w:tcW w:w="1596" w:type="dxa"/>
            <w:shd w:val="clear" w:color="auto" w:fill="auto"/>
            <w:vAlign w:val="center"/>
          </w:tcPr>
          <w:p w:rsidR="00A355FE" w:rsidRPr="006D1730" w:rsidRDefault="00A355FE" w:rsidP="00201B97">
            <w:pPr>
              <w:spacing w:before="20" w:after="20" w:line="240" w:lineRule="auto"/>
              <w:rPr>
                <w:rFonts w:cs="Arial"/>
                <w:sz w:val="20"/>
              </w:rPr>
            </w:pPr>
            <w:r w:rsidRPr="006D1730">
              <w:rPr>
                <w:rFonts w:cs="Arial"/>
                <w:sz w:val="20"/>
              </w:rPr>
              <w:t>Camanducaia</w:t>
            </w:r>
          </w:p>
        </w:tc>
        <w:tc>
          <w:tcPr>
            <w:tcW w:w="1276"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3,50</w:t>
            </w:r>
          </w:p>
        </w:tc>
        <w:tc>
          <w:tcPr>
            <w:tcW w:w="1128"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0,90</w:t>
            </w:r>
          </w:p>
        </w:tc>
        <w:tc>
          <w:tcPr>
            <w:tcW w:w="126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0,41</w:t>
            </w:r>
          </w:p>
        </w:tc>
        <w:tc>
          <w:tcPr>
            <w:tcW w:w="851"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3,01</w:t>
            </w:r>
          </w:p>
        </w:tc>
        <w:tc>
          <w:tcPr>
            <w:tcW w:w="113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0,95</w:t>
            </w:r>
          </w:p>
        </w:tc>
        <w:tc>
          <w:tcPr>
            <w:tcW w:w="1275"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0,48</w:t>
            </w:r>
          </w:p>
        </w:tc>
        <w:tc>
          <w:tcPr>
            <w:tcW w:w="851" w:type="dxa"/>
            <w:gridSpan w:val="2"/>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3,02</w:t>
            </w:r>
          </w:p>
        </w:tc>
      </w:tr>
      <w:tr w:rsidR="00A355FE" w:rsidRPr="002B0C4A" w:rsidTr="00201B97">
        <w:trPr>
          <w:trHeight w:val="484"/>
          <w:jc w:val="center"/>
        </w:trPr>
        <w:tc>
          <w:tcPr>
            <w:tcW w:w="1596" w:type="dxa"/>
            <w:shd w:val="clear" w:color="auto" w:fill="auto"/>
            <w:vAlign w:val="center"/>
          </w:tcPr>
          <w:p w:rsidR="00A355FE" w:rsidRPr="006D1730" w:rsidRDefault="00A355FE" w:rsidP="00201B97">
            <w:pPr>
              <w:spacing w:before="20" w:after="20" w:line="240" w:lineRule="auto"/>
              <w:rPr>
                <w:rFonts w:cs="Arial"/>
                <w:sz w:val="20"/>
              </w:rPr>
            </w:pPr>
            <w:r w:rsidRPr="006D1730">
              <w:rPr>
                <w:rFonts w:cs="Arial"/>
                <w:sz w:val="20"/>
              </w:rPr>
              <w:t>Corumbataí</w:t>
            </w:r>
          </w:p>
        </w:tc>
        <w:tc>
          <w:tcPr>
            <w:tcW w:w="1276"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4,70</w:t>
            </w:r>
          </w:p>
        </w:tc>
        <w:tc>
          <w:tcPr>
            <w:tcW w:w="1128"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3,01</w:t>
            </w:r>
          </w:p>
        </w:tc>
        <w:tc>
          <w:tcPr>
            <w:tcW w:w="126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1,25</w:t>
            </w:r>
          </w:p>
        </w:tc>
        <w:tc>
          <w:tcPr>
            <w:tcW w:w="851"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2,93</w:t>
            </w:r>
          </w:p>
        </w:tc>
        <w:tc>
          <w:tcPr>
            <w:tcW w:w="113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3,20</w:t>
            </w:r>
          </w:p>
        </w:tc>
        <w:tc>
          <w:tcPr>
            <w:tcW w:w="1275"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1,27</w:t>
            </w:r>
          </w:p>
        </w:tc>
        <w:tc>
          <w:tcPr>
            <w:tcW w:w="851" w:type="dxa"/>
            <w:gridSpan w:val="2"/>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2,77</w:t>
            </w:r>
          </w:p>
        </w:tc>
      </w:tr>
      <w:tr w:rsidR="00A355FE" w:rsidRPr="002B0C4A" w:rsidTr="00201B97">
        <w:trPr>
          <w:trHeight w:val="484"/>
          <w:jc w:val="center"/>
        </w:trPr>
        <w:tc>
          <w:tcPr>
            <w:tcW w:w="1596" w:type="dxa"/>
            <w:shd w:val="clear" w:color="auto" w:fill="auto"/>
            <w:vAlign w:val="center"/>
          </w:tcPr>
          <w:p w:rsidR="00A355FE" w:rsidRPr="006D1730" w:rsidRDefault="00A355FE" w:rsidP="00201B97">
            <w:pPr>
              <w:spacing w:before="20" w:after="20" w:line="240" w:lineRule="auto"/>
              <w:rPr>
                <w:rFonts w:cs="Arial"/>
                <w:sz w:val="20"/>
              </w:rPr>
            </w:pPr>
            <w:r w:rsidRPr="006D1730">
              <w:rPr>
                <w:rFonts w:cs="Arial"/>
                <w:sz w:val="20"/>
              </w:rPr>
              <w:t>Jaguari</w:t>
            </w:r>
          </w:p>
        </w:tc>
        <w:tc>
          <w:tcPr>
            <w:tcW w:w="1276"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7,20</w:t>
            </w:r>
          </w:p>
        </w:tc>
        <w:tc>
          <w:tcPr>
            <w:tcW w:w="1128"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6,72</w:t>
            </w:r>
          </w:p>
        </w:tc>
        <w:tc>
          <w:tcPr>
            <w:tcW w:w="126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1,72</w:t>
            </w:r>
          </w:p>
        </w:tc>
        <w:tc>
          <w:tcPr>
            <w:tcW w:w="851"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2,19</w:t>
            </w:r>
          </w:p>
        </w:tc>
        <w:tc>
          <w:tcPr>
            <w:tcW w:w="113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6,87</w:t>
            </w:r>
          </w:p>
        </w:tc>
        <w:tc>
          <w:tcPr>
            <w:tcW w:w="1275"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1,81</w:t>
            </w:r>
          </w:p>
        </w:tc>
        <w:tc>
          <w:tcPr>
            <w:tcW w:w="851" w:type="dxa"/>
            <w:gridSpan w:val="2"/>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2,14</w:t>
            </w:r>
          </w:p>
        </w:tc>
      </w:tr>
      <w:tr w:rsidR="00A355FE" w:rsidRPr="002B0C4A" w:rsidTr="00201B97">
        <w:trPr>
          <w:trHeight w:val="484"/>
          <w:jc w:val="center"/>
        </w:trPr>
        <w:tc>
          <w:tcPr>
            <w:tcW w:w="1596" w:type="dxa"/>
            <w:shd w:val="clear" w:color="auto" w:fill="auto"/>
            <w:vAlign w:val="center"/>
          </w:tcPr>
          <w:p w:rsidR="00A355FE" w:rsidRPr="006D1730" w:rsidRDefault="00A355FE" w:rsidP="00201B97">
            <w:pPr>
              <w:spacing w:before="20" w:after="20" w:line="240" w:lineRule="auto"/>
              <w:rPr>
                <w:rFonts w:cs="Arial"/>
                <w:sz w:val="20"/>
              </w:rPr>
            </w:pPr>
            <w:r w:rsidRPr="006D1730">
              <w:rPr>
                <w:rFonts w:cs="Arial"/>
                <w:sz w:val="20"/>
              </w:rPr>
              <w:t>Piracicaba</w:t>
            </w:r>
          </w:p>
        </w:tc>
        <w:tc>
          <w:tcPr>
            <w:tcW w:w="1276"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8,16</w:t>
            </w:r>
          </w:p>
        </w:tc>
        <w:tc>
          <w:tcPr>
            <w:tcW w:w="1128"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7,14</w:t>
            </w:r>
          </w:p>
        </w:tc>
        <w:tc>
          <w:tcPr>
            <w:tcW w:w="126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5,66</w:t>
            </w:r>
          </w:p>
        </w:tc>
        <w:tc>
          <w:tcPr>
            <w:tcW w:w="851"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6,68</w:t>
            </w:r>
          </w:p>
        </w:tc>
        <w:tc>
          <w:tcPr>
            <w:tcW w:w="113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7,87</w:t>
            </w:r>
          </w:p>
        </w:tc>
        <w:tc>
          <w:tcPr>
            <w:tcW w:w="1275"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5,90</w:t>
            </w:r>
          </w:p>
        </w:tc>
        <w:tc>
          <w:tcPr>
            <w:tcW w:w="851" w:type="dxa"/>
            <w:gridSpan w:val="2"/>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6,19</w:t>
            </w:r>
          </w:p>
        </w:tc>
      </w:tr>
      <w:tr w:rsidR="00A355FE" w:rsidRPr="002B0C4A" w:rsidTr="00201B97">
        <w:trPr>
          <w:trHeight w:val="484"/>
          <w:jc w:val="center"/>
        </w:trPr>
        <w:tc>
          <w:tcPr>
            <w:tcW w:w="1596" w:type="dxa"/>
            <w:shd w:val="clear" w:color="auto" w:fill="auto"/>
            <w:vAlign w:val="center"/>
          </w:tcPr>
          <w:p w:rsidR="00A355FE" w:rsidRPr="006D1730" w:rsidRDefault="00A355FE" w:rsidP="00201B97">
            <w:pPr>
              <w:spacing w:before="20" w:after="20" w:line="240" w:lineRule="auto"/>
              <w:rPr>
                <w:rFonts w:cs="Arial"/>
                <w:b/>
                <w:sz w:val="20"/>
              </w:rPr>
            </w:pPr>
            <w:r w:rsidRPr="006D1730">
              <w:rPr>
                <w:rFonts w:cs="Arial"/>
                <w:b/>
                <w:sz w:val="20"/>
              </w:rPr>
              <w:t>Total Piracicaba</w:t>
            </w:r>
          </w:p>
        </w:tc>
        <w:tc>
          <w:tcPr>
            <w:tcW w:w="1276" w:type="dxa"/>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32,10</w:t>
            </w:r>
          </w:p>
        </w:tc>
        <w:tc>
          <w:tcPr>
            <w:tcW w:w="1128" w:type="dxa"/>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28,55</w:t>
            </w:r>
          </w:p>
        </w:tc>
        <w:tc>
          <w:tcPr>
            <w:tcW w:w="1264" w:type="dxa"/>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15,45</w:t>
            </w:r>
          </w:p>
        </w:tc>
        <w:tc>
          <w:tcPr>
            <w:tcW w:w="851" w:type="dxa"/>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18,97</w:t>
            </w:r>
          </w:p>
        </w:tc>
        <w:tc>
          <w:tcPr>
            <w:tcW w:w="1134" w:type="dxa"/>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30,10</w:t>
            </w:r>
          </w:p>
        </w:tc>
        <w:tc>
          <w:tcPr>
            <w:tcW w:w="1275" w:type="dxa"/>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16,48</w:t>
            </w:r>
          </w:p>
        </w:tc>
        <w:tc>
          <w:tcPr>
            <w:tcW w:w="851" w:type="dxa"/>
            <w:gridSpan w:val="2"/>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18,47</w:t>
            </w:r>
          </w:p>
        </w:tc>
      </w:tr>
      <w:tr w:rsidR="00A355FE" w:rsidRPr="002B0C4A" w:rsidTr="00201B97">
        <w:trPr>
          <w:trHeight w:val="484"/>
          <w:jc w:val="center"/>
        </w:trPr>
        <w:tc>
          <w:tcPr>
            <w:tcW w:w="1596" w:type="dxa"/>
            <w:shd w:val="clear" w:color="auto" w:fill="auto"/>
            <w:vAlign w:val="center"/>
          </w:tcPr>
          <w:p w:rsidR="00A355FE" w:rsidRPr="006D1730" w:rsidRDefault="00A355FE" w:rsidP="00201B97">
            <w:pPr>
              <w:spacing w:before="20" w:after="20" w:line="240" w:lineRule="auto"/>
              <w:rPr>
                <w:rFonts w:cs="Arial"/>
                <w:sz w:val="20"/>
              </w:rPr>
            </w:pPr>
            <w:r w:rsidRPr="006D1730">
              <w:rPr>
                <w:rFonts w:cs="Arial"/>
                <w:sz w:val="20"/>
              </w:rPr>
              <w:t>Capivari</w:t>
            </w:r>
          </w:p>
        </w:tc>
        <w:tc>
          <w:tcPr>
            <w:tcW w:w="1276"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2,38</w:t>
            </w:r>
          </w:p>
        </w:tc>
        <w:tc>
          <w:tcPr>
            <w:tcW w:w="1128"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3,73</w:t>
            </w:r>
          </w:p>
        </w:tc>
        <w:tc>
          <w:tcPr>
            <w:tcW w:w="126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2,83</w:t>
            </w:r>
          </w:p>
        </w:tc>
        <w:tc>
          <w:tcPr>
            <w:tcW w:w="851"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1,48</w:t>
            </w:r>
          </w:p>
        </w:tc>
        <w:tc>
          <w:tcPr>
            <w:tcW w:w="113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3,96</w:t>
            </w:r>
          </w:p>
        </w:tc>
        <w:tc>
          <w:tcPr>
            <w:tcW w:w="1275"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3,06</w:t>
            </w:r>
          </w:p>
        </w:tc>
        <w:tc>
          <w:tcPr>
            <w:tcW w:w="851" w:type="dxa"/>
            <w:gridSpan w:val="2"/>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1,48</w:t>
            </w:r>
          </w:p>
        </w:tc>
      </w:tr>
      <w:tr w:rsidR="00A355FE" w:rsidRPr="002B0C4A" w:rsidTr="00201B97">
        <w:trPr>
          <w:trHeight w:val="484"/>
          <w:jc w:val="center"/>
        </w:trPr>
        <w:tc>
          <w:tcPr>
            <w:tcW w:w="1596" w:type="dxa"/>
            <w:shd w:val="clear" w:color="auto" w:fill="auto"/>
            <w:vAlign w:val="center"/>
          </w:tcPr>
          <w:p w:rsidR="00A355FE" w:rsidRPr="006D1730" w:rsidRDefault="00A355FE" w:rsidP="00201B97">
            <w:pPr>
              <w:spacing w:before="20" w:after="20" w:line="240" w:lineRule="auto"/>
              <w:rPr>
                <w:rFonts w:cs="Arial"/>
                <w:sz w:val="20"/>
              </w:rPr>
            </w:pPr>
            <w:r w:rsidRPr="006D1730">
              <w:rPr>
                <w:rFonts w:cs="Arial"/>
                <w:sz w:val="20"/>
              </w:rPr>
              <w:t>Jundiaí</w:t>
            </w:r>
          </w:p>
        </w:tc>
        <w:tc>
          <w:tcPr>
            <w:tcW w:w="1276"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3,50</w:t>
            </w:r>
          </w:p>
        </w:tc>
        <w:tc>
          <w:tcPr>
            <w:tcW w:w="1128"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4,63</w:t>
            </w:r>
          </w:p>
        </w:tc>
        <w:tc>
          <w:tcPr>
            <w:tcW w:w="126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2,34</w:t>
            </w:r>
          </w:p>
        </w:tc>
        <w:tc>
          <w:tcPr>
            <w:tcW w:w="851"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1,21</w:t>
            </w:r>
          </w:p>
        </w:tc>
        <w:tc>
          <w:tcPr>
            <w:tcW w:w="1134"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5,45</w:t>
            </w:r>
          </w:p>
        </w:tc>
        <w:tc>
          <w:tcPr>
            <w:tcW w:w="1275" w:type="dxa"/>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2,55</w:t>
            </w:r>
          </w:p>
        </w:tc>
        <w:tc>
          <w:tcPr>
            <w:tcW w:w="851" w:type="dxa"/>
            <w:gridSpan w:val="2"/>
            <w:shd w:val="clear" w:color="auto" w:fill="auto"/>
            <w:vAlign w:val="center"/>
          </w:tcPr>
          <w:p w:rsidR="00A355FE" w:rsidRPr="006D1730" w:rsidRDefault="00A355FE" w:rsidP="00201B97">
            <w:pPr>
              <w:spacing w:before="20" w:after="20" w:line="240" w:lineRule="auto"/>
              <w:jc w:val="center"/>
              <w:rPr>
                <w:rFonts w:cs="Arial"/>
                <w:sz w:val="20"/>
              </w:rPr>
            </w:pPr>
            <w:r w:rsidRPr="006D1730">
              <w:rPr>
                <w:rFonts w:cs="Arial"/>
                <w:sz w:val="20"/>
              </w:rPr>
              <w:t>0,59</w:t>
            </w:r>
          </w:p>
        </w:tc>
      </w:tr>
      <w:tr w:rsidR="00A355FE" w:rsidRPr="002B0C4A" w:rsidTr="00201B97">
        <w:trPr>
          <w:trHeight w:val="499"/>
          <w:jc w:val="center"/>
        </w:trPr>
        <w:tc>
          <w:tcPr>
            <w:tcW w:w="1596" w:type="dxa"/>
            <w:shd w:val="clear" w:color="auto" w:fill="auto"/>
            <w:vAlign w:val="center"/>
          </w:tcPr>
          <w:p w:rsidR="00A355FE" w:rsidRPr="006D1730" w:rsidRDefault="00A355FE" w:rsidP="00201B97">
            <w:pPr>
              <w:spacing w:before="20" w:after="20" w:line="240" w:lineRule="auto"/>
              <w:rPr>
                <w:rFonts w:cs="Arial"/>
                <w:b/>
                <w:sz w:val="20"/>
              </w:rPr>
            </w:pPr>
            <w:r w:rsidRPr="006D1730">
              <w:rPr>
                <w:rFonts w:cs="Arial"/>
                <w:b/>
                <w:sz w:val="20"/>
              </w:rPr>
              <w:t>Total PCJ</w:t>
            </w:r>
          </w:p>
        </w:tc>
        <w:tc>
          <w:tcPr>
            <w:tcW w:w="1276" w:type="dxa"/>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37,98</w:t>
            </w:r>
          </w:p>
        </w:tc>
        <w:tc>
          <w:tcPr>
            <w:tcW w:w="1128" w:type="dxa"/>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36,92</w:t>
            </w:r>
          </w:p>
        </w:tc>
        <w:tc>
          <w:tcPr>
            <w:tcW w:w="1264" w:type="dxa"/>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20,61</w:t>
            </w:r>
          </w:p>
        </w:tc>
        <w:tc>
          <w:tcPr>
            <w:tcW w:w="851" w:type="dxa"/>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21,67</w:t>
            </w:r>
          </w:p>
        </w:tc>
        <w:tc>
          <w:tcPr>
            <w:tcW w:w="1134" w:type="dxa"/>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39,51</w:t>
            </w:r>
          </w:p>
        </w:tc>
        <w:tc>
          <w:tcPr>
            <w:tcW w:w="1275" w:type="dxa"/>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22,08</w:t>
            </w:r>
          </w:p>
        </w:tc>
        <w:tc>
          <w:tcPr>
            <w:tcW w:w="851" w:type="dxa"/>
            <w:gridSpan w:val="2"/>
            <w:shd w:val="clear" w:color="auto" w:fill="auto"/>
            <w:vAlign w:val="center"/>
          </w:tcPr>
          <w:p w:rsidR="00A355FE" w:rsidRPr="006D1730" w:rsidRDefault="00A355FE" w:rsidP="00201B97">
            <w:pPr>
              <w:spacing w:before="20" w:after="20" w:line="240" w:lineRule="auto"/>
              <w:jc w:val="center"/>
              <w:rPr>
                <w:rFonts w:cs="Arial"/>
                <w:b/>
                <w:sz w:val="20"/>
              </w:rPr>
            </w:pPr>
            <w:r w:rsidRPr="006D1730">
              <w:rPr>
                <w:rFonts w:cs="Arial"/>
                <w:b/>
                <w:sz w:val="20"/>
              </w:rPr>
              <w:t>20,55</w:t>
            </w:r>
          </w:p>
        </w:tc>
      </w:tr>
    </w:tbl>
    <w:p w:rsidR="00A355FE" w:rsidRPr="00555FD6" w:rsidRDefault="00A355FE" w:rsidP="00A355FE">
      <w:pPr>
        <w:pStyle w:val="Corpodetexto"/>
        <w:spacing w:before="60" w:after="0"/>
        <w:rPr>
          <w:sz w:val="20"/>
        </w:rPr>
      </w:pPr>
      <w:r>
        <w:rPr>
          <w:sz w:val="20"/>
        </w:rPr>
        <w:t>Obs.: Na coluna “captações” são registradas as</w:t>
      </w:r>
      <w:r w:rsidRPr="00555FD6">
        <w:rPr>
          <w:sz w:val="20"/>
        </w:rPr>
        <w:t xml:space="preserve"> demandas atendidas por mananciais superficiais</w:t>
      </w:r>
    </w:p>
    <w:p w:rsidR="00A355FE" w:rsidRPr="0083134A" w:rsidRDefault="00A355FE" w:rsidP="00A355FE">
      <w:pPr>
        <w:pStyle w:val="Corpodetexto"/>
      </w:pPr>
      <w:r w:rsidRPr="0083134A">
        <w:t>A coluna das “Captações” inclui os diversos usos consuntivos observados ou previstos para os anos 2014 e 2020, e os “Lançamentos” incluem as transposições de água bruta e, principalmente, os efluentes residuais dos usos.</w:t>
      </w:r>
    </w:p>
    <w:p w:rsidR="00A355FE" w:rsidRPr="0083134A" w:rsidRDefault="00A355FE" w:rsidP="00A355FE">
      <w:pPr>
        <w:pStyle w:val="Corpodetexto"/>
      </w:pPr>
      <w:r w:rsidRPr="0083134A">
        <w:t xml:space="preserve">Nas sub-bacias dos rios Atibaia, Capivari e Jundiaí, observam-se captações superiores à vazão disponível natural. </w:t>
      </w:r>
    </w:p>
    <w:p w:rsidR="00A355FE" w:rsidRPr="0083134A" w:rsidRDefault="00A355FE" w:rsidP="00A355FE">
      <w:pPr>
        <w:pStyle w:val="Corpodetexto"/>
      </w:pPr>
      <w:r w:rsidRPr="0083134A">
        <w:t>Dessa forma, a coluna “Saldo” é positiva apenas porque são incorporados os lançamentos de efluentes, configurando um “reuso” não controlado.</w:t>
      </w:r>
    </w:p>
    <w:p w:rsidR="00A355FE" w:rsidRPr="0083134A" w:rsidRDefault="00A355FE" w:rsidP="00A355FE">
      <w:pPr>
        <w:pStyle w:val="Corpodetexto"/>
      </w:pPr>
      <w:r w:rsidRPr="0083134A">
        <w:t>Quanto às demandas projetadas no horizonte 2020, a soma das captações nas sub-bacias resultará na vazão de 39,51m³/s para atendimento da população e das atividades produtivas regionais, isto é, 1,53 m³/s, além da vazão natural disponível.</w:t>
      </w:r>
    </w:p>
    <w:p w:rsidR="00A355FE" w:rsidRDefault="00A355FE" w:rsidP="00A355FE">
      <w:pPr>
        <w:pStyle w:val="Corpodetexto"/>
        <w:rPr>
          <w:rFonts w:eastAsia="Calibri" w:cs="Arial"/>
        </w:rPr>
      </w:pPr>
      <w:r>
        <w:t>Desta forma, a projeção da demanda ultrapassa (tanto para 2014 como para 2020)</w:t>
      </w:r>
      <w:r w:rsidRPr="002B0C4A">
        <w:t xml:space="preserve"> </w:t>
      </w:r>
      <w:r>
        <w:t>o</w:t>
      </w:r>
      <w:r w:rsidRPr="002B0C4A">
        <w:t xml:space="preserve"> 50% da disponibilidade hídrica</w:t>
      </w:r>
      <w:r>
        <w:t xml:space="preserve"> total (considerando os lançamentos, muitos deles de esgoto não tratado como “disponibilidade hídrica”). Esta situação </w:t>
      </w:r>
      <w:r w:rsidRPr="002B0C4A">
        <w:t>entra em conflito com o critério de outorga do DAEE, que estabelece um máximo de 50% da Q</w:t>
      </w:r>
      <w:r w:rsidRPr="002066CB">
        <w:rPr>
          <w:vertAlign w:val="subscript"/>
        </w:rPr>
        <w:t>7,10</w:t>
      </w:r>
      <w:r w:rsidRPr="001402ED">
        <w:t xml:space="preserve"> </w:t>
      </w:r>
      <w:r w:rsidRPr="001402ED">
        <w:rPr>
          <w:rFonts w:eastAsia="Calibri" w:cs="Arial"/>
        </w:rPr>
        <w:t>(Lei Estadual n° 9.034/94).</w:t>
      </w:r>
    </w:p>
    <w:p w:rsidR="00A355FE" w:rsidRDefault="00A355FE" w:rsidP="00A355FE">
      <w:pPr>
        <w:pStyle w:val="Corpodetexto"/>
      </w:pPr>
      <w:r>
        <w:t xml:space="preserve">A estiagem extrema de 2014, que configurou uma situação ainda mais crítica que o critério </w:t>
      </w:r>
      <w:r w:rsidRPr="004260B3">
        <w:t>Q</w:t>
      </w:r>
      <w:r w:rsidRPr="004260B3">
        <w:rPr>
          <w:vertAlign w:val="subscript"/>
        </w:rPr>
        <w:t>7,10</w:t>
      </w:r>
      <w:r>
        <w:t xml:space="preserve"> reforça a necessidade de complementação das vazões disponíveis.</w:t>
      </w:r>
    </w:p>
    <w:p w:rsidR="00A355FE" w:rsidRDefault="00A355FE" w:rsidP="00A355FE">
      <w:pPr>
        <w:pStyle w:val="Corpodetexto"/>
      </w:pPr>
      <w:r>
        <w:t>Este quadro de disponibilidades hídricas insuficientes, particularmente numa região em franca expansão como o território das bacias PCJ, tende a criar uma situação que pode ser caracterizada como de insegurança hídrica seguida de desabastecimento, como está sendo experimentado em 2014 e 2015 em toda a região.</w:t>
      </w:r>
    </w:p>
    <w:p w:rsidR="00A355FE" w:rsidRPr="002743DF" w:rsidRDefault="00A355FE" w:rsidP="00A355FE">
      <w:pPr>
        <w:pStyle w:val="Item-Trainho"/>
        <w:rPr>
          <w:b/>
        </w:rPr>
      </w:pPr>
      <w:r w:rsidRPr="002743DF">
        <w:rPr>
          <w:b/>
        </w:rPr>
        <w:t xml:space="preserve">Insegurança </w:t>
      </w:r>
      <w:r>
        <w:rPr>
          <w:b/>
        </w:rPr>
        <w:t>H</w:t>
      </w:r>
      <w:r w:rsidRPr="002743DF">
        <w:rPr>
          <w:b/>
        </w:rPr>
        <w:t>ídrica</w:t>
      </w:r>
    </w:p>
    <w:p w:rsidR="00A355FE" w:rsidRPr="002B0C4A" w:rsidRDefault="00A355FE" w:rsidP="00A355FE">
      <w:pPr>
        <w:pStyle w:val="Corpodetexto"/>
      </w:pPr>
      <w:r w:rsidRPr="002B0C4A">
        <w:t xml:space="preserve">A questão da segurança hídrica está associada à garantia da oferta de água para o abastecimento humano e para as atividades produtivas, de forma a que se possam enfrentar as secas e estiagens ou qualquer desequilíbrio entre a oferta e a demanda de água que signifique restrição ao consumo e, consequentemente, ao desenvolvimento econômico e regional. </w:t>
      </w:r>
    </w:p>
    <w:p w:rsidR="00A355FE" w:rsidRPr="002B0C4A" w:rsidRDefault="00A355FE" w:rsidP="00A355FE">
      <w:pPr>
        <w:pStyle w:val="Corpodetexto"/>
      </w:pPr>
      <w:r w:rsidRPr="002B0C4A">
        <w:t>No limite, a insegurança hídrica</w:t>
      </w:r>
      <w:r>
        <w:t xml:space="preserve"> </w:t>
      </w:r>
      <w:r w:rsidRPr="002B0C4A">
        <w:t xml:space="preserve">pode impulsionar migrações </w:t>
      </w:r>
      <w:r>
        <w:t xml:space="preserve">populacionais </w:t>
      </w:r>
      <w:r w:rsidRPr="002B0C4A">
        <w:t xml:space="preserve">para outras regiões, </w:t>
      </w:r>
      <w:r>
        <w:t>com o consequente</w:t>
      </w:r>
      <w:r w:rsidRPr="002B0C4A">
        <w:t xml:space="preserve"> deslocamento de consumidores</w:t>
      </w:r>
      <w:r>
        <w:t xml:space="preserve"> e de </w:t>
      </w:r>
      <w:r w:rsidRPr="002B0C4A">
        <w:t>mercados produtores.</w:t>
      </w:r>
    </w:p>
    <w:p w:rsidR="00A355FE" w:rsidRPr="002743DF" w:rsidRDefault="00A355FE" w:rsidP="00A355FE">
      <w:pPr>
        <w:pStyle w:val="Item-Trainho"/>
        <w:rPr>
          <w:b/>
        </w:rPr>
      </w:pPr>
      <w:r w:rsidRPr="002743DF">
        <w:rPr>
          <w:b/>
        </w:rPr>
        <w:t>Desabastecimento</w:t>
      </w:r>
    </w:p>
    <w:p w:rsidR="00A355FE" w:rsidRDefault="00A355FE" w:rsidP="00A355FE">
      <w:pPr>
        <w:pStyle w:val="Corpodetexto"/>
      </w:pPr>
      <w:r>
        <w:t>Na ocorrência de situações hidrologicamente desfavoráveis, como as que estão acontecendo em 2014 e 2015, a insegurança evolui para desabastecimento, com todas as consequências sociais econômicas que a população está experimentando hoje.</w:t>
      </w:r>
    </w:p>
    <w:p w:rsidR="00A355FE" w:rsidRDefault="00A355FE" w:rsidP="00A355FE">
      <w:pPr>
        <w:pStyle w:val="Corpodetexto"/>
      </w:pPr>
      <w:r>
        <w:t>A insegurança hídrica e os episódios de desabastecimento terão consequências sociais e econômicas que podem ser resumidas como segue:</w:t>
      </w:r>
    </w:p>
    <w:p w:rsidR="00A355FE" w:rsidRPr="002743DF" w:rsidRDefault="00A355FE" w:rsidP="00A355FE">
      <w:pPr>
        <w:pStyle w:val="Item-Trainho"/>
        <w:rPr>
          <w:b/>
        </w:rPr>
      </w:pPr>
      <w:r w:rsidRPr="002743DF">
        <w:rPr>
          <w:b/>
        </w:rPr>
        <w:t xml:space="preserve">Restrição ao </w:t>
      </w:r>
      <w:r>
        <w:rPr>
          <w:b/>
        </w:rPr>
        <w:t>D</w:t>
      </w:r>
      <w:r w:rsidRPr="002743DF">
        <w:rPr>
          <w:b/>
        </w:rPr>
        <w:t xml:space="preserve">esenvolvimento </w:t>
      </w:r>
      <w:r>
        <w:rPr>
          <w:b/>
        </w:rPr>
        <w:t>R</w:t>
      </w:r>
      <w:r w:rsidRPr="002743DF">
        <w:rPr>
          <w:b/>
        </w:rPr>
        <w:t>egional</w:t>
      </w:r>
    </w:p>
    <w:p w:rsidR="00A355FE" w:rsidRPr="002B0C4A" w:rsidRDefault="00A355FE" w:rsidP="00A355FE">
      <w:pPr>
        <w:pStyle w:val="Corpodetexto"/>
      </w:pPr>
      <w:r>
        <w:t>Deverá haver</w:t>
      </w:r>
      <w:r w:rsidRPr="002B0C4A">
        <w:t xml:space="preserve"> restrição ao desenvolvimento regional devido à limitação hídrica, de forma que esta região pode-se configurar como pouco atrativa para novos investimentos empresariais, imobiliários e à ancoragem de indústrias que demandem significativos volumes de água em seus processos produtivos, resultando também na diminuição das oportunidades regionais para a população economicamente ativa. </w:t>
      </w:r>
    </w:p>
    <w:p w:rsidR="00A355FE" w:rsidRPr="002B0C4A" w:rsidRDefault="00A355FE" w:rsidP="00A355FE">
      <w:pPr>
        <w:pStyle w:val="Corpodetexto"/>
      </w:pPr>
      <w:r w:rsidRPr="002B0C4A">
        <w:t xml:space="preserve">Estima-se também a possibilidade de rearranjo dos setores de produção ou deslocamento de parte dos processos produtivos das indústrias, principalmente, para regiões com maiores ofertas hídricas. </w:t>
      </w:r>
    </w:p>
    <w:p w:rsidR="00A355FE" w:rsidRDefault="00A355FE" w:rsidP="00A355FE">
      <w:pPr>
        <w:pStyle w:val="Corpodetexto"/>
      </w:pPr>
      <w:r w:rsidRPr="002B0C4A">
        <w:t>Em situação de limitação hídrica, as indústrias podem paralisar os setores consumidores de maiores volumes de água, o que resulta no desemprego de funcionários (temporária ou permanentemente); gerando desta forma um movimento migratório da mão-de-obra, muitas vezes qualificada, para outras regiões</w:t>
      </w:r>
      <w:r>
        <w:t>.</w:t>
      </w:r>
    </w:p>
    <w:p w:rsidR="00A355FE" w:rsidRPr="002B0C4A" w:rsidRDefault="00C86B69" w:rsidP="00A355FE">
      <w:pPr>
        <w:pStyle w:val="Corpodetexto"/>
      </w:pPr>
      <w:r>
        <w:t>Também pode</w:t>
      </w:r>
      <w:r w:rsidR="00A355FE">
        <w:t>rão diminuir os</w:t>
      </w:r>
      <w:r w:rsidR="00A355FE" w:rsidRPr="002B0C4A">
        <w:t xml:space="preserve"> investimentos agrícolas, devido à imprevisibilidade e vulnerabilidade da implantação de culturas em região de significativa limitação hídrica ou na impossibilidade de irrigação adequada.</w:t>
      </w:r>
      <w:r w:rsidR="00A355FE">
        <w:rPr>
          <w:rStyle w:val="Refdenotaderodap"/>
        </w:rPr>
        <w:footnoteReference w:id="7"/>
      </w:r>
    </w:p>
    <w:p w:rsidR="00A355FE" w:rsidRPr="002B0C4A" w:rsidRDefault="00A355FE" w:rsidP="00A355FE">
      <w:pPr>
        <w:pStyle w:val="Corpodetexto"/>
      </w:pPr>
      <w:r w:rsidRPr="002B0C4A">
        <w:t xml:space="preserve">Quanto ao setor agroindustrial, </w:t>
      </w:r>
      <w:r>
        <w:t>a insegurança hídrica</w:t>
      </w:r>
      <w:r w:rsidRPr="002B0C4A">
        <w:t xml:space="preserve"> não apenas atinge as indústrias alimentícias, que utilizam elevados volumes de água em seus processos, como também os pequenos e médios produtores que se integram </w:t>
      </w:r>
      <w:r>
        <w:t>na</w:t>
      </w:r>
      <w:r w:rsidRPr="002B0C4A">
        <w:t xml:space="preserve"> cadeia produtiva. A resultante deste processo pode impulsionar um novo arranjo dos territórios rurais, com descaracterização dos territórios agroalimentares e a busca por itens alimentícios em outras regiões, o que vem a onerar o conjunto do processo produtivo. </w:t>
      </w:r>
    </w:p>
    <w:p w:rsidR="00A355FE" w:rsidRDefault="00A355FE" w:rsidP="00A355FE">
      <w:pPr>
        <w:pStyle w:val="Corpodetexto"/>
      </w:pPr>
      <w:r>
        <w:t>Essa situação é evidenciada no Plano das bacias PCJ, do Comité da Bacia, já citado.</w:t>
      </w:r>
    </w:p>
    <w:p w:rsidR="00A355FE" w:rsidRDefault="00A355FE" w:rsidP="00A355FE">
      <w:pPr>
        <w:pStyle w:val="Corpodetexto"/>
      </w:pPr>
      <w:r>
        <w:t xml:space="preserve">Além de medidas para racionalização da demanda, redução de perdas nos sistemas de abastecimento, reuso da água, o Plano recomenda medidas pra aumento da oferta, que são basicamente a construção das barragens regularizadoras Pedreira e Duas Pontes, e na sequência, a </w:t>
      </w:r>
      <w:r w:rsidRPr="002B0C4A">
        <w:t xml:space="preserve">importação de água de outros mananciais ou de outras regiões </w:t>
      </w:r>
      <w:r>
        <w:t>mais afastadas.</w:t>
      </w:r>
    </w:p>
    <w:p w:rsidR="00A355FE" w:rsidRPr="002B0C4A" w:rsidRDefault="00A355FE" w:rsidP="00A355FE">
      <w:pPr>
        <w:pStyle w:val="Corpodetexto"/>
      </w:pPr>
      <w:r>
        <w:t xml:space="preserve">O abandono do projeto das barragens, hipótese deste cenário, deverá levar à adoção das outras medidas, como importação de água de outras bacias, acarretando maiores </w:t>
      </w:r>
      <w:r w:rsidRPr="002B0C4A">
        <w:t>impactos ambientais e onera</w:t>
      </w:r>
      <w:r>
        <w:t>ndo</w:t>
      </w:r>
      <w:r w:rsidRPr="002B0C4A">
        <w:t xml:space="preserve"> os custos d</w:t>
      </w:r>
      <w:r>
        <w:t>a</w:t>
      </w:r>
      <w:r w:rsidRPr="002B0C4A">
        <w:t xml:space="preserve"> </w:t>
      </w:r>
      <w:r>
        <w:t>água e</w:t>
      </w:r>
      <w:r w:rsidRPr="002B0C4A">
        <w:t xml:space="preserve"> consequentemente os preços pagos pelos consumidores, gerando um ônus à população. </w:t>
      </w:r>
    </w:p>
    <w:p w:rsidR="00A355FE" w:rsidRPr="00946FA3" w:rsidRDefault="00A355FE" w:rsidP="00C94558">
      <w:pPr>
        <w:pStyle w:val="Corpodetexto"/>
        <w:rPr>
          <w:rFonts w:eastAsia="Calibri"/>
          <w:b/>
          <w:szCs w:val="22"/>
          <w:lang w:eastAsia="en-US"/>
        </w:rPr>
      </w:pPr>
      <w:r>
        <w:t>Também haverá</w:t>
      </w:r>
      <w:r w:rsidRPr="002B0C4A">
        <w:t xml:space="preserve"> aumento do custo de produção de itens das indústrias alimentícias, automobilísticas, tecnológicas e de materiais para a construção civil, principalmente, instaladas atualmente na região. </w:t>
      </w:r>
    </w:p>
    <w:p w:rsidR="00946FA3" w:rsidRPr="0069393D" w:rsidRDefault="00C94558" w:rsidP="00431A97">
      <w:pPr>
        <w:pStyle w:val="Ttulo3"/>
        <w:numPr>
          <w:ilvl w:val="1"/>
          <w:numId w:val="83"/>
        </w:numPr>
        <w:ind w:left="567" w:hanging="567"/>
        <w:rPr>
          <w:rFonts w:ascii="Arial Negrito" w:hAnsi="Arial Negrito"/>
          <w:bCs/>
        </w:rPr>
      </w:pPr>
      <w:bookmarkStart w:id="1839" w:name="_Toc418758652"/>
      <w:bookmarkStart w:id="1840" w:name="_Toc418759254"/>
      <w:bookmarkStart w:id="1841" w:name="_Toc419814039"/>
      <w:r w:rsidRPr="0069393D">
        <w:rPr>
          <w:rFonts w:ascii="Arial Negrito" w:hAnsi="Arial Negrito"/>
          <w:bCs/>
        </w:rPr>
        <w:t>Cenário</w:t>
      </w:r>
      <w:r w:rsidR="00946FA3" w:rsidRPr="0069393D">
        <w:rPr>
          <w:rFonts w:ascii="Arial Negrito" w:hAnsi="Arial Negrito"/>
          <w:bCs/>
        </w:rPr>
        <w:t xml:space="preserve"> com o Empreendimento</w:t>
      </w:r>
      <w:bookmarkEnd w:id="1839"/>
      <w:bookmarkEnd w:id="1840"/>
      <w:bookmarkEnd w:id="1841"/>
    </w:p>
    <w:p w:rsidR="00C94558" w:rsidRDefault="00C94558" w:rsidP="0069393D">
      <w:pPr>
        <w:pStyle w:val="CorpodetextoBodyTextCharCharCharCharCharCharCharCharBodyTextCharBodyTextCharCharCharCharCharCharCharCharCharCharCharCharCharCharChar"/>
      </w:pPr>
      <w:r>
        <w:t xml:space="preserve">A construção e operação das barragens Pedreira e Duas Pontes permitirá regularizar os rios Jaguari e Camanducaia respectivamente, atingindo em conjunto uma vazão regularizada (com garantia de 98%) </w:t>
      </w:r>
      <w:r w:rsidRPr="005114AD">
        <w:t>de 17,2 m</w:t>
      </w:r>
      <w:r w:rsidR="00574CE6" w:rsidRPr="005114AD">
        <w:t>³</w:t>
      </w:r>
      <w:r w:rsidRPr="005114AD">
        <w:t>/s.</w:t>
      </w:r>
    </w:p>
    <w:p w:rsidR="00BD0987" w:rsidRPr="00BD0987" w:rsidRDefault="00BD0987" w:rsidP="00BD0987">
      <w:pPr>
        <w:autoSpaceDE w:val="0"/>
        <w:autoSpaceDN w:val="0"/>
        <w:adjustRightInd w:val="0"/>
        <w:spacing w:before="120" w:after="120" w:line="240" w:lineRule="auto"/>
      </w:pPr>
      <w:r w:rsidRPr="00BD0987">
        <w:t>Considerando que atualmente nas seções das barragens a vazão com 98% de permanência é de 4,80 m³/s no Jaguari e de 3,40 m³/s no Camanducaia, conclui-se que a operação das barragens aumentará em 9,00 m³/s a disponibilidade hídrica na bacia.</w:t>
      </w:r>
    </w:p>
    <w:p w:rsidR="00BD0987" w:rsidRPr="00BD0987" w:rsidRDefault="00BD0987" w:rsidP="00BD0987">
      <w:pPr>
        <w:autoSpaceDE w:val="0"/>
        <w:autoSpaceDN w:val="0"/>
        <w:adjustRightInd w:val="0"/>
        <w:spacing w:before="120" w:after="120" w:line="240" w:lineRule="auto"/>
      </w:pPr>
      <w:r w:rsidRPr="00BD0987">
        <w:t>Tendo em vista que a disponibilidade natural é de 37,98 m³/s no conjunto das bacias Piracicaba, Capivari, Jundiaí, o acréscimo garantido pelas barragens corresponde a 24% da disponibilidade atual.</w:t>
      </w:r>
    </w:p>
    <w:p w:rsidR="00BD0987" w:rsidRPr="00BD0987" w:rsidRDefault="00BD0987" w:rsidP="00BD0987">
      <w:pPr>
        <w:autoSpaceDE w:val="0"/>
        <w:autoSpaceDN w:val="0"/>
        <w:adjustRightInd w:val="0"/>
        <w:spacing w:before="120" w:after="120" w:line="240" w:lineRule="auto"/>
      </w:pPr>
      <w:r w:rsidRPr="00BD0987">
        <w:t>Esta adição, em conjunto com outras medidas recomendadas pelo Plano das bacias PCJ, como melhoria da qualidade das águas superficiais, controle da demanda, reuso da água, permitirá superar a situação de insegurança hídrica e de desabastecimento vigente, permitindo a postergação para um futuro mais distante a execução de obras mais caras e de maiores impactos ambientais como a transposição de bacias.</w:t>
      </w:r>
    </w:p>
    <w:p w:rsidR="00BD0987" w:rsidRPr="00BD0987" w:rsidRDefault="00BD0987" w:rsidP="00BD0987">
      <w:pPr>
        <w:autoSpaceDE w:val="0"/>
        <w:autoSpaceDN w:val="0"/>
        <w:adjustRightInd w:val="0"/>
        <w:spacing w:before="120" w:after="120" w:line="240" w:lineRule="auto"/>
      </w:pPr>
      <w:r w:rsidRPr="00BD0987">
        <w:t>Nos locais de implantação das barragens, os impactos ambientais serão de pequena magnitude (a área total a ser ocupada pelas obras e pelos dois reservatórios soma 759 ha, sendo o total de população diretamente afetadas em número de 82 famílias) e serão adequadamente mitigados e compensados pelos programas e subprogramas ambientais propostos, num total de 38, cabendo serem mencionados o de Controle Ambiental das Obras; o de Recuperação de Áreas Degradadas; de Monitoramento da Qualidade da Água; o de Revegetação e Enriquecimento Florestal; o de Monitoramento e Conservação de Fauna; o de Monitoramento da Biota Aquática; o de Monitoramento de Invertebrados de Interesse Médico Sanitário; o de Conservação da Ictiofauna, incluindo a implantação de um sistema de transposição para peixes; o de Desapropriação, Indenização e Relocação de População; Controle de Saúde Pública; o de Recomposição da Infraestrutura; e o de Prospecção, Resgate Arqueológico e Preservação do Patrimônio Arqueológico, Histórico e Cultural.</w:t>
      </w:r>
    </w:p>
    <w:p w:rsidR="00BD0987" w:rsidRPr="00BD0987" w:rsidRDefault="00BD0987" w:rsidP="00BD0987">
      <w:pPr>
        <w:autoSpaceDE w:val="0"/>
        <w:autoSpaceDN w:val="0"/>
        <w:adjustRightInd w:val="0"/>
        <w:spacing w:before="120" w:after="120" w:line="240" w:lineRule="auto"/>
      </w:pPr>
      <w:r w:rsidRPr="00BD0987">
        <w:t>Desta forma, a região poderá continuar o seu desenvolvimento econômico assegurando qualidade de vida e saneamento básico para a população.</w:t>
      </w:r>
    </w:p>
    <w:p w:rsidR="00C94558" w:rsidRDefault="00C94558" w:rsidP="00946FA3">
      <w:pPr>
        <w:autoSpaceDE w:val="0"/>
        <w:autoSpaceDN w:val="0"/>
        <w:adjustRightInd w:val="0"/>
        <w:spacing w:before="120" w:after="120" w:line="240" w:lineRule="auto"/>
        <w:rPr>
          <w:rFonts w:eastAsia="Calibri"/>
          <w:b/>
          <w:szCs w:val="22"/>
          <w:lang w:eastAsia="en-US"/>
        </w:rPr>
      </w:pPr>
    </w:p>
    <w:p w:rsidR="00946FA3" w:rsidRPr="00C94558" w:rsidRDefault="0069393D" w:rsidP="0069393D">
      <w:pPr>
        <w:pStyle w:val="Ttulo"/>
        <w:jc w:val="left"/>
        <w:rPr>
          <w:rFonts w:eastAsia="Calibri"/>
          <w:lang w:eastAsia="en-US"/>
        </w:rPr>
      </w:pPr>
      <w:bookmarkStart w:id="1842" w:name="_Toc418758653"/>
      <w:bookmarkStart w:id="1843" w:name="_Toc418759255"/>
      <w:bookmarkStart w:id="1844" w:name="_Toc419814040"/>
      <w:r>
        <w:rPr>
          <w:rFonts w:eastAsia="Calibri"/>
          <w:lang w:eastAsia="en-US"/>
        </w:rPr>
        <w:t xml:space="preserve">5. </w:t>
      </w:r>
      <w:r w:rsidR="00946FA3" w:rsidRPr="00C94558">
        <w:rPr>
          <w:rFonts w:eastAsia="Calibri"/>
          <w:lang w:eastAsia="en-US"/>
        </w:rPr>
        <w:t>CONCLUSÕES E RECOMENDAÇÕES</w:t>
      </w:r>
      <w:bookmarkEnd w:id="1842"/>
      <w:bookmarkEnd w:id="1843"/>
      <w:bookmarkEnd w:id="1844"/>
    </w:p>
    <w:p w:rsidR="00BD0987" w:rsidRPr="00BD0987" w:rsidRDefault="00BD0987" w:rsidP="00BD0987">
      <w:pPr>
        <w:pStyle w:val="Corpodetexto"/>
      </w:pPr>
      <w:r w:rsidRPr="00BD0987">
        <w:t>A região das bacias dos rios Piracicaba, Capivari e Jundiaí (PCJ) apresenta uma situação crítica em termos de recursos hídricos para abastecimento da crescente população, das indústrias e do setor rural.</w:t>
      </w:r>
    </w:p>
    <w:p w:rsidR="00BD0987" w:rsidRPr="00BD0987" w:rsidRDefault="00BD0987" w:rsidP="00BD0987">
      <w:pPr>
        <w:pStyle w:val="Corpodetexto"/>
      </w:pPr>
      <w:r w:rsidRPr="00BD0987">
        <w:t xml:space="preserve">No Plano de Bacias PCJ (2010-2020), para 2014, as vazões naturais disponíveis foram calculadas em 38m³/s, enquanto as captações totais foram estimadas em 36,92 m³/s, ou seja, 97% da disponibilidade hídrica superficial. </w:t>
      </w:r>
    </w:p>
    <w:p w:rsidR="00BD0987" w:rsidRPr="00BD0987" w:rsidRDefault="00BD0987" w:rsidP="00BD0987">
      <w:pPr>
        <w:pStyle w:val="Corpodetexto"/>
      </w:pPr>
      <w:r w:rsidRPr="00BD0987">
        <w:t>O Plano estima, por outro lado, que em 2014 os rios da bacia devem receber 20,61 m³/s de lançamentos de águas usadas, que correspondem a 56% do volume captado. Em 2020, a situação será ainda mais crítica, uma vez que as captações deverão atingir quase 40 m³/s, superando em mais de 5% a disponibilidade natural.</w:t>
      </w:r>
    </w:p>
    <w:p w:rsidR="00BD0987" w:rsidRPr="00BD0987" w:rsidRDefault="00BD0987" w:rsidP="00BD0987">
      <w:pPr>
        <w:pStyle w:val="Corpodetexto"/>
      </w:pPr>
      <w:r w:rsidRPr="00BD0987">
        <w:t>A expectativa de crescimento populacional e de aumento das atividades econômicas nas bacias do Piracicaba, Capivari e Jundiaí resultarão numa maior pressão da demanda por abastecimento de água, sendo necessária a adoção de medidas que garantam tanto o fornecimento à população atual, como o atendimento a esses novos consumidores. Desse modo, o aumento da disponibilidade hídrica mediante obras de regularização de vazões, como os barramentos Pedreira e Duas Pontes, deverá ajudar a alcançar tais objetivos.</w:t>
      </w:r>
    </w:p>
    <w:p w:rsidR="00BD0987" w:rsidRPr="00C168B5" w:rsidRDefault="00BD0987" w:rsidP="00BD0987">
      <w:pPr>
        <w:pStyle w:val="Corpodetexto"/>
      </w:pPr>
      <w:r w:rsidRPr="00C168B5">
        <w:t>Mesmo considerando os lançamento de efluentes resultantes dos usos realizados a montante, a utilização dos recursos hídricos da bacia encontra-se no limite ou é superior à disponibilidade hídrica, contrariando o critério de outorga do DAEE, que permite a outorga de até 50% da vazão disponível, reforçando o quadro de déficit hídrico regional.</w:t>
      </w:r>
    </w:p>
    <w:p w:rsidR="00BD0987" w:rsidRPr="00BD0987" w:rsidRDefault="00BD0987" w:rsidP="00BD0987">
      <w:pPr>
        <w:pStyle w:val="Corpodetexto"/>
      </w:pPr>
      <w:r w:rsidRPr="00C168B5">
        <w:t>A construção e operação das barragens Pedreira e Duas Pontes permitirá regularizar os rios</w:t>
      </w:r>
      <w:r w:rsidRPr="00BD0987">
        <w:t xml:space="preserve"> Jaguari e Camanducaia, atingindo em conjunto uma vazão regularizada de 17,2 m³/s (com garantia de 98%).</w:t>
      </w:r>
    </w:p>
    <w:p w:rsidR="00BD0987" w:rsidRPr="00BD0987" w:rsidRDefault="00BD0987" w:rsidP="00BD0987">
      <w:pPr>
        <w:pStyle w:val="Corpodetexto"/>
      </w:pPr>
      <w:r w:rsidRPr="00BD0987">
        <w:t>Considerando que atualmente nas seções das barragens a vazão mínima média mensal com 98% de permanência é de 4,80 m³/s no Jaguari e de 3,40 m³/s no Camanducaia, conclui-se que a operação das barragens aumentará em 9,00 m³/s a disponibilidade hídrica na bacia.</w:t>
      </w:r>
    </w:p>
    <w:p w:rsidR="00BD0987" w:rsidRPr="00BD0987" w:rsidRDefault="00BD0987" w:rsidP="00BD0987">
      <w:pPr>
        <w:pStyle w:val="Corpodetexto"/>
      </w:pPr>
      <w:r w:rsidRPr="00BD0987">
        <w:t>Tendo em vista que, no conjunto das bacias Piracicaba, Capivari, Jundiaí, a disponibilidade natural é de 37,98 m³/s o acréscimo garantido pelas barragens atinge 24% da disponibilidade atual.</w:t>
      </w:r>
    </w:p>
    <w:p w:rsidR="00BD0987" w:rsidRPr="00BD0987" w:rsidRDefault="00BD0987" w:rsidP="00BD0987">
      <w:pPr>
        <w:pStyle w:val="Corpodetexto"/>
      </w:pPr>
      <w:r w:rsidRPr="00BD0987">
        <w:t>O acréscimo de 9,0 m³/s no volume de água, com fornecimento garantido de 98%, da condições de abastecer uma população superior a 2,5 milhões de habitantes, considerando um consumo médio de 200 l/hab./dia, e uma eficiência na distribuição de 70%.</w:t>
      </w:r>
    </w:p>
    <w:p w:rsidR="00BD0987" w:rsidRPr="00BD0987" w:rsidRDefault="00BD0987" w:rsidP="00BD0987">
      <w:pPr>
        <w:pStyle w:val="Corpodetexto"/>
      </w:pPr>
      <w:r w:rsidRPr="00BD0987">
        <w:t>Do ponto de vista das interferências socioambientais a serem provocadas pela implantação dos empreendimentos, observa-se que os impactos resultantes são, predominantemente, de abrangência local. Os reservatórios a serem formados pelas Barragens Pedreira e Duas Pontes, com os níveis da água nas cotas 637,00m e 646,00m respectivamente, terão uma superfície da ordem de 202 ha e 486 ha já considerando que, desse total, 21 ha e 23 ha são ocupadas pelo rio Jaguari, e pelos rios Camanducaia e Pantaleão. Por sua vez, as áreas destinadas à instalação da barragem e obras civis associadas (vertedouro, tomada de água, adução, e válvula dispersora, canal de restituição, área para instalação de pequena central geradora e escada para peixes) representam 40 ha e 31 ha, respectivamente.</w:t>
      </w:r>
    </w:p>
    <w:p w:rsidR="00BD0987" w:rsidRPr="00BD0987" w:rsidRDefault="00BD0987" w:rsidP="00BD0987">
      <w:pPr>
        <w:pStyle w:val="Corpodetexto"/>
      </w:pPr>
      <w:r w:rsidRPr="00BD0987">
        <w:t xml:space="preserve">Na área a ser afetada pelos barramentos moram 82 famílias, sendo 27 na área da Barragem Pedreira e 55 na área da barragem Duas Pontes, que serão adequadamente indenizadas e apoiadas na sua relocação. Em relação à infraestrutura afetada, trechos de estradas vicinais e linhas de transmissão de energia elétrica e de telefonia deverão ser recompostas antes do enchimento dos reservatórios, não afetando a mobilidade das famílias das localidades do entorno nem os serviços de que se utilizam. </w:t>
      </w:r>
    </w:p>
    <w:p w:rsidR="00BD0987" w:rsidRPr="00BD0987" w:rsidRDefault="00BD0987" w:rsidP="00BD0987">
      <w:pPr>
        <w:pStyle w:val="Corpodetexto"/>
      </w:pPr>
      <w:r w:rsidRPr="00CC44B6">
        <w:t>Existem ainda duas pequenas centrais hidrelétricas a serem afetadas, as PCH’s Macaco Branco (2,36 MW de Potência Instalada), e Feixos (1,15 MW de Potência Instalada), nas quais o empreendedor, o DAEE, encontra-se em tratativas institucionais verificando as soluções de compensação às concessionárias que operam as usinas.</w:t>
      </w:r>
      <w:r w:rsidR="00855EE0" w:rsidRPr="00CC44B6">
        <w:t xml:space="preserve"> </w:t>
      </w:r>
      <w:r w:rsidR="00CC44B6" w:rsidRPr="00CC44B6">
        <w:t xml:space="preserve">Cabe mencionar que as barragens Pedreira e Duas Pontes </w:t>
      </w:r>
      <w:r w:rsidR="00094A10">
        <w:t xml:space="preserve">têm potencial </w:t>
      </w:r>
      <w:r w:rsidR="00CC44B6" w:rsidRPr="00CC44B6">
        <w:t xml:space="preserve">para, futuramente, implantar pequenas centrais hidrelétricas com </w:t>
      </w:r>
      <w:r w:rsidR="00750E0E">
        <w:t>potência</w:t>
      </w:r>
      <w:r w:rsidR="00CC44B6" w:rsidRPr="00CC44B6">
        <w:t xml:space="preserve"> instalada de 5,2 MW e 3,2 MW respectivamente.</w:t>
      </w:r>
      <w:r w:rsidR="00CC44B6">
        <w:t xml:space="preserve"> </w:t>
      </w:r>
    </w:p>
    <w:p w:rsidR="00BD0987" w:rsidRPr="00BD0987" w:rsidRDefault="00BD0987" w:rsidP="00BD0987">
      <w:pPr>
        <w:pStyle w:val="Corpodetexto"/>
      </w:pPr>
      <w:r w:rsidRPr="00BD0987">
        <w:t xml:space="preserve">Em relação aos aspectos do meio biótico, as áreas a serem afetadas abrigam 159 ha de mata nativa de Floresta Estacional principalmente em estágios médio e inicial de desenvolvimento; 33 ha de vegetação pioneira; 317 ha de pastagens e campos antropizados; 66 ha dedicadas a culturas, principalmente de cana-de-açúcar; e 18 ha com silvicultura. As Áreas de Preservação Permanente (APP), que envolverão o entorno dos reservatórios, são da ordem de 214 ha na Barragem Pedreira e 391 ha na Barragem Duas Pontes, </w:t>
      </w:r>
      <w:r w:rsidR="00CC44B6">
        <w:t>totalizando</w:t>
      </w:r>
      <w:r w:rsidRPr="00BD0987">
        <w:t xml:space="preserve"> 605 ha, sendo que, dessas áreas, 427 ha serão revegetadas. </w:t>
      </w:r>
    </w:p>
    <w:p w:rsidR="00BD0987" w:rsidRPr="00BD0987" w:rsidRDefault="00BD0987" w:rsidP="00BD0987">
      <w:pPr>
        <w:pStyle w:val="Corpodetexto"/>
      </w:pPr>
      <w:r w:rsidRPr="00BD0987">
        <w:t xml:space="preserve">A água no reservatório da Barragem Pedreira será de boa qualidade, dentro dos padrões de potabilidade para as águas doces definidos pela Resolução </w:t>
      </w:r>
      <w:r w:rsidR="00504078">
        <w:t>CONAMA</w:t>
      </w:r>
      <w:r w:rsidRPr="00BD0987">
        <w:t xml:space="preserve"> 357/05, não sendo a situação do reservatório da barragem Duas Pontes, que deve apresentar níveis de qualidade críticos, decorrente do aporte de água poluída proveniente do rio Camanducaia, que recebe o esgoto doméstico e industrial produzido na cidade de Amparo, localidade situada a poucos quilômetros a montante do futuro reservatório. </w:t>
      </w:r>
    </w:p>
    <w:p w:rsidR="00BD0987" w:rsidRPr="00BD0987" w:rsidRDefault="00BD0987" w:rsidP="00BD0987">
      <w:pPr>
        <w:pStyle w:val="Corpodetexto"/>
      </w:pPr>
      <w:r w:rsidRPr="00BD0987">
        <w:t xml:space="preserve">Nesse sentido, recomenda-se, como ação importante, a ampliação do sistema de tratamento de esgotos domésticos nessa cidade, englobando a coleta e tratamento de 100% dos esgotos gerados, incluindo o processo de tratamento terciário, permitindo, também, a remoção do fósforo, nutriente considerado como fator favorecedor do processo de eutrofização. </w:t>
      </w:r>
    </w:p>
    <w:p w:rsidR="00BD0987" w:rsidRPr="00BD0987" w:rsidRDefault="00BD0987" w:rsidP="00BD0987">
      <w:pPr>
        <w:pStyle w:val="Corpodetexto"/>
      </w:pPr>
      <w:r w:rsidRPr="00BD0987">
        <w:t>A interferência na interrupção da migração da ictiofauna pelas barragens será mitigada pela construção e operação de sistemas para transposição de peixes, em ambas às barragens.</w:t>
      </w:r>
    </w:p>
    <w:p w:rsidR="00BD0987" w:rsidRPr="00BD0987" w:rsidRDefault="00BD0987" w:rsidP="00BD0987">
      <w:pPr>
        <w:pStyle w:val="Corpodetexto"/>
      </w:pPr>
      <w:r w:rsidRPr="00BD0987">
        <w:t xml:space="preserve">Em relação à fauna terrestre na área das duas barragens, os registros obtidos de predadores de topo </w:t>
      </w:r>
      <w:r w:rsidR="00547E9D">
        <w:t xml:space="preserve">da cadeia trófica </w:t>
      </w:r>
      <w:r w:rsidRPr="00BD0987">
        <w:t xml:space="preserve">e importantes dispersores de sementes, aliado à ocorrência de espécies que necessitam de grandes áreas de vida, são fatores que indicam alguma integridade das principais funções ecológicas na região dos estudos. </w:t>
      </w:r>
    </w:p>
    <w:p w:rsidR="00BD0987" w:rsidRPr="00BD0987" w:rsidRDefault="00BD0987" w:rsidP="00BD0987">
      <w:pPr>
        <w:pStyle w:val="Corpodetexto"/>
      </w:pPr>
      <w:r w:rsidRPr="00BD0987">
        <w:t>Cabe citar, nesse sentido, o registro de espécies ameaçadas de extinção, no entanto trata-se de uma fauna de maior tolerância, associada aos ambientes típicos de áreas abertas ou que apresentam algum nível de dependência de ambientes florestais, mas com grande potencial de dispersão, merecendo a atenção na formulação e implementação dos programas ambientais nas etapas seguintes do processo de licenciamento.</w:t>
      </w:r>
    </w:p>
    <w:p w:rsidR="00BD0987" w:rsidRPr="00BD0987" w:rsidRDefault="00BD0987" w:rsidP="00BD0987">
      <w:pPr>
        <w:pStyle w:val="Corpodetexto"/>
      </w:pPr>
      <w:r w:rsidRPr="00BD0987">
        <w:t>Os impactos sobre a flora e fauna serão compensados pelo Programa de Revegetação e Enriquecimento Florestal, que no subprograma de Incremento da Conectividade propõe a implantação e revegetação de 373 ha com espécies nativas, como também pela exigência legal de aplicação de até 0,5% do valor da obra em área de conservação de flora e fauna.</w:t>
      </w:r>
    </w:p>
    <w:p w:rsidR="00BD0987" w:rsidRPr="00BD0987" w:rsidRDefault="00BD0987" w:rsidP="00BD0987">
      <w:pPr>
        <w:pStyle w:val="Corpodetexto"/>
      </w:pPr>
      <w:r w:rsidRPr="00BD0987">
        <w:t>Considera-se assim que os impactos locais são reduzidos, em função das condições de ocupação das áreas a serem afetadas e da relativamente pequena extensão da área a ser ocupada pelos empreendimentos, como também, por outro lado, se considera que os diversos p</w:t>
      </w:r>
      <w:r w:rsidR="00750E0E">
        <w:t>rogramas ambientais propostos tê</w:t>
      </w:r>
      <w:r w:rsidRPr="00BD0987">
        <w:t>m condições de mitigar e/ou compensar os impactos previstos.</w:t>
      </w:r>
    </w:p>
    <w:p w:rsidR="00BD0987" w:rsidRPr="00BD0987" w:rsidRDefault="00BD0987" w:rsidP="00BD0987">
      <w:pPr>
        <w:pStyle w:val="Corpodetexto"/>
      </w:pPr>
      <w:r w:rsidRPr="00BD0987">
        <w:t xml:space="preserve">Desta forma, levando em conta </w:t>
      </w:r>
      <w:r w:rsidR="00750E0E">
        <w:t>a magnitude d</w:t>
      </w:r>
      <w:r w:rsidRPr="00BD0987">
        <w:t>os impactos remanescentes após aplicação dos programas ambientais previstos</w:t>
      </w:r>
      <w:r w:rsidR="00750E0E">
        <w:t>, considerada no seu conjunto como pequena,</w:t>
      </w:r>
      <w:r w:rsidRPr="00BD0987">
        <w:t xml:space="preserve"> e o grau de benefício regional representado pela adição de 24% na oferta hídrica numa bacia já hoje submetida a insegurança hídrica e desabastecimento, conclui-se pela recomendação de implantação das Barragens Pedreira, no rio Jaguari, e Duas Pontes, no rio Camanducaia.</w:t>
      </w:r>
    </w:p>
    <w:p w:rsidR="004342A6" w:rsidRPr="00C94558" w:rsidRDefault="004342A6" w:rsidP="00C94558">
      <w:pPr>
        <w:pStyle w:val="Corpodetexto"/>
      </w:pPr>
    </w:p>
    <w:p w:rsidR="000774C8" w:rsidRPr="008069CA" w:rsidRDefault="0069393D" w:rsidP="0069393D">
      <w:pPr>
        <w:pStyle w:val="Ttulo"/>
        <w:jc w:val="left"/>
        <w:rPr>
          <w:rFonts w:eastAsia="Calibri"/>
          <w:lang w:eastAsia="en-US"/>
        </w:rPr>
      </w:pPr>
      <w:bookmarkStart w:id="1845" w:name="_Toc418758654"/>
      <w:bookmarkStart w:id="1846" w:name="_Toc418759256"/>
      <w:bookmarkStart w:id="1847" w:name="_Toc419814041"/>
      <w:r>
        <w:rPr>
          <w:rFonts w:eastAsia="Calibri"/>
          <w:lang w:eastAsia="en-US"/>
        </w:rPr>
        <w:t xml:space="preserve">6. </w:t>
      </w:r>
      <w:bookmarkStart w:id="1848" w:name="_Toc370810730"/>
      <w:bookmarkStart w:id="1849" w:name="_Toc370923714"/>
      <w:bookmarkStart w:id="1850" w:name="_Toc370985832"/>
      <w:r w:rsidR="00DB0C26" w:rsidRPr="00B25511">
        <w:rPr>
          <w:rFonts w:eastAsia="Calibri"/>
          <w:lang w:eastAsia="en-US"/>
        </w:rPr>
        <w:t>EQUIPE TÉCNICA</w:t>
      </w:r>
      <w:bookmarkEnd w:id="1845"/>
      <w:bookmarkEnd w:id="1846"/>
      <w:bookmarkEnd w:id="1847"/>
      <w:bookmarkEnd w:id="1848"/>
      <w:bookmarkEnd w:id="1849"/>
      <w:bookmarkEnd w:id="1850"/>
      <w:r w:rsidR="00B25511">
        <w:rPr>
          <w:rFonts w:eastAsia="Calibri"/>
          <w:lang w:eastAsia="en-US"/>
        </w:rPr>
        <w:t xml:space="preserve"> </w:t>
      </w:r>
    </w:p>
    <w:tbl>
      <w:tblPr>
        <w:tblW w:w="102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3"/>
        <w:gridCol w:w="2551"/>
        <w:gridCol w:w="2410"/>
        <w:gridCol w:w="2977"/>
      </w:tblGrid>
      <w:tr w:rsidR="00B25511" w:rsidRPr="00B907BB" w:rsidTr="008C32BC">
        <w:trPr>
          <w:trHeight w:val="674"/>
          <w:jc w:val="center"/>
        </w:trPr>
        <w:tc>
          <w:tcPr>
            <w:tcW w:w="2323" w:type="dxa"/>
            <w:shd w:val="clear" w:color="auto" w:fill="D9D9D9"/>
            <w:vAlign w:val="center"/>
          </w:tcPr>
          <w:p w:rsidR="00B25511" w:rsidRPr="00B907BB" w:rsidRDefault="00B25511" w:rsidP="00B25511">
            <w:pPr>
              <w:spacing w:line="240" w:lineRule="auto"/>
              <w:jc w:val="center"/>
              <w:rPr>
                <w:rFonts w:cs="Arial"/>
                <w:b/>
                <w:sz w:val="20"/>
              </w:rPr>
            </w:pPr>
            <w:r w:rsidRPr="00B907BB">
              <w:rPr>
                <w:rFonts w:cs="Arial"/>
                <w:b/>
                <w:sz w:val="20"/>
              </w:rPr>
              <w:t>PARTICIPAÇÃO</w:t>
            </w:r>
            <w:r>
              <w:rPr>
                <w:rFonts w:cs="Arial"/>
                <w:b/>
                <w:sz w:val="20"/>
              </w:rPr>
              <w:t>/ TEMA</w:t>
            </w:r>
          </w:p>
        </w:tc>
        <w:tc>
          <w:tcPr>
            <w:tcW w:w="2551" w:type="dxa"/>
            <w:shd w:val="clear" w:color="auto" w:fill="D9D9D9"/>
            <w:vAlign w:val="center"/>
          </w:tcPr>
          <w:p w:rsidR="00B25511" w:rsidRPr="00B907BB" w:rsidRDefault="00B25511" w:rsidP="00F04018">
            <w:pPr>
              <w:spacing w:line="240" w:lineRule="auto"/>
              <w:jc w:val="center"/>
              <w:rPr>
                <w:rFonts w:cs="Arial"/>
                <w:b/>
                <w:sz w:val="20"/>
              </w:rPr>
            </w:pPr>
            <w:r w:rsidRPr="00B907BB">
              <w:rPr>
                <w:rFonts w:cs="Arial"/>
                <w:b/>
                <w:sz w:val="20"/>
              </w:rPr>
              <w:t>NOME</w:t>
            </w:r>
          </w:p>
        </w:tc>
        <w:tc>
          <w:tcPr>
            <w:tcW w:w="2410" w:type="dxa"/>
            <w:shd w:val="clear" w:color="auto" w:fill="D9D9D9"/>
            <w:vAlign w:val="center"/>
          </w:tcPr>
          <w:p w:rsidR="00B25511" w:rsidRPr="00B907BB" w:rsidRDefault="00B25511" w:rsidP="00F04018">
            <w:pPr>
              <w:spacing w:line="240" w:lineRule="auto"/>
              <w:jc w:val="center"/>
              <w:rPr>
                <w:rFonts w:cs="Arial"/>
                <w:b/>
                <w:sz w:val="20"/>
              </w:rPr>
            </w:pPr>
            <w:r w:rsidRPr="00B907BB">
              <w:rPr>
                <w:rFonts w:cs="Arial"/>
                <w:b/>
                <w:sz w:val="20"/>
              </w:rPr>
              <w:t>FORMAÇÃO</w:t>
            </w:r>
          </w:p>
        </w:tc>
        <w:tc>
          <w:tcPr>
            <w:tcW w:w="2977" w:type="dxa"/>
            <w:shd w:val="clear" w:color="auto" w:fill="D9D9D9"/>
            <w:vAlign w:val="center"/>
          </w:tcPr>
          <w:p w:rsidR="00B25511" w:rsidRPr="00B907BB" w:rsidRDefault="00B25511" w:rsidP="00F04018">
            <w:pPr>
              <w:spacing w:line="240" w:lineRule="auto"/>
              <w:jc w:val="center"/>
              <w:rPr>
                <w:rFonts w:cs="Arial"/>
                <w:b/>
                <w:sz w:val="20"/>
              </w:rPr>
            </w:pPr>
            <w:r w:rsidRPr="00B907BB">
              <w:rPr>
                <w:rFonts w:cs="Arial"/>
                <w:b/>
                <w:sz w:val="20"/>
              </w:rPr>
              <w:t>REGISTRO PROFISSIONAL</w:t>
            </w:r>
          </w:p>
        </w:tc>
      </w:tr>
      <w:tr w:rsidR="00B25511" w:rsidRPr="00DF4AE2" w:rsidTr="008C32BC">
        <w:trPr>
          <w:trHeight w:val="775"/>
          <w:jc w:val="center"/>
        </w:trPr>
        <w:tc>
          <w:tcPr>
            <w:tcW w:w="2323" w:type="dxa"/>
            <w:vMerge w:val="restart"/>
            <w:shd w:val="clear" w:color="auto" w:fill="FABF8F"/>
            <w:vAlign w:val="center"/>
          </w:tcPr>
          <w:p w:rsidR="00B25511" w:rsidRPr="00B64B15" w:rsidRDefault="00B25511" w:rsidP="00F04018">
            <w:pPr>
              <w:spacing w:before="60" w:line="240" w:lineRule="auto"/>
              <w:jc w:val="center"/>
              <w:rPr>
                <w:rFonts w:cs="Arial"/>
                <w:b/>
                <w:szCs w:val="22"/>
              </w:rPr>
            </w:pPr>
            <w:r>
              <w:rPr>
                <w:rFonts w:cs="Arial"/>
                <w:b/>
                <w:szCs w:val="22"/>
              </w:rPr>
              <w:t>Coordenação Geral</w:t>
            </w:r>
            <w:r w:rsidRPr="00B64B15">
              <w:rPr>
                <w:rFonts w:cs="Arial"/>
                <w:b/>
                <w:szCs w:val="22"/>
              </w:rPr>
              <w:t xml:space="preserve"> </w:t>
            </w:r>
          </w:p>
        </w:tc>
        <w:tc>
          <w:tcPr>
            <w:tcW w:w="2551" w:type="dxa"/>
            <w:shd w:val="clear" w:color="auto" w:fill="FABF8F"/>
            <w:vAlign w:val="center"/>
          </w:tcPr>
          <w:p w:rsidR="00B25511" w:rsidRPr="00B64B15" w:rsidRDefault="00B25511" w:rsidP="00F04018">
            <w:pPr>
              <w:spacing w:line="240" w:lineRule="auto"/>
              <w:rPr>
                <w:rFonts w:cs="Arial"/>
                <w:szCs w:val="22"/>
              </w:rPr>
            </w:pPr>
            <w:r w:rsidRPr="00B64B15">
              <w:rPr>
                <w:rFonts w:cs="Arial"/>
                <w:szCs w:val="22"/>
              </w:rPr>
              <w:t xml:space="preserve">Pedro Diego Jensen </w:t>
            </w:r>
          </w:p>
        </w:tc>
        <w:tc>
          <w:tcPr>
            <w:tcW w:w="2410" w:type="dxa"/>
            <w:shd w:val="clear" w:color="auto" w:fill="FABF8F"/>
            <w:vAlign w:val="center"/>
          </w:tcPr>
          <w:p w:rsidR="00B25511" w:rsidRPr="00B64B15" w:rsidRDefault="00B25511" w:rsidP="00F04018">
            <w:pPr>
              <w:spacing w:line="240" w:lineRule="auto"/>
              <w:jc w:val="left"/>
              <w:rPr>
                <w:rFonts w:cs="Arial"/>
                <w:szCs w:val="22"/>
              </w:rPr>
            </w:pPr>
            <w:r w:rsidRPr="00B64B15">
              <w:rPr>
                <w:rFonts w:cs="Arial"/>
                <w:szCs w:val="22"/>
              </w:rPr>
              <w:t>Engenheiro Civil</w:t>
            </w:r>
          </w:p>
        </w:tc>
        <w:tc>
          <w:tcPr>
            <w:tcW w:w="2977" w:type="dxa"/>
            <w:shd w:val="clear" w:color="auto" w:fill="FABF8F"/>
            <w:vAlign w:val="center"/>
          </w:tcPr>
          <w:p w:rsidR="00B25511" w:rsidRPr="00B64B15" w:rsidRDefault="00B25511" w:rsidP="00F04018">
            <w:pPr>
              <w:spacing w:line="240" w:lineRule="auto"/>
              <w:rPr>
                <w:rFonts w:cs="Arial"/>
                <w:szCs w:val="22"/>
              </w:rPr>
            </w:pPr>
            <w:r>
              <w:rPr>
                <w:rFonts w:cs="Arial"/>
                <w:szCs w:val="22"/>
              </w:rPr>
              <w:t xml:space="preserve">CREA/SP </w:t>
            </w:r>
            <w:r w:rsidR="008C32BC">
              <w:rPr>
                <w:rFonts w:cs="Arial"/>
                <w:szCs w:val="22"/>
              </w:rPr>
              <w:t>n</w:t>
            </w:r>
            <w:r w:rsidR="008C32BC" w:rsidRPr="008C32BC">
              <w:rPr>
                <w:rFonts w:cs="Arial"/>
                <w:szCs w:val="22"/>
                <w:u w:val="single"/>
                <w:vertAlign w:val="superscript"/>
              </w:rPr>
              <w:t>o</w:t>
            </w:r>
            <w:r w:rsidR="008C32BC">
              <w:rPr>
                <w:rFonts w:cs="Arial"/>
                <w:szCs w:val="22"/>
              </w:rPr>
              <w:t xml:space="preserve"> </w:t>
            </w:r>
            <w:r>
              <w:rPr>
                <w:rFonts w:cs="Arial"/>
                <w:szCs w:val="22"/>
              </w:rPr>
              <w:t>87</w:t>
            </w:r>
            <w:r w:rsidRPr="00B64B15">
              <w:rPr>
                <w:rFonts w:cs="Arial"/>
                <w:szCs w:val="22"/>
              </w:rPr>
              <w:t>583</w:t>
            </w:r>
          </w:p>
        </w:tc>
      </w:tr>
      <w:tr w:rsidR="00B25511" w:rsidRPr="00DF4AE2" w:rsidTr="008C32BC">
        <w:trPr>
          <w:trHeight w:val="775"/>
          <w:jc w:val="center"/>
        </w:trPr>
        <w:tc>
          <w:tcPr>
            <w:tcW w:w="2323" w:type="dxa"/>
            <w:vMerge/>
            <w:shd w:val="clear" w:color="auto" w:fill="FABF8F"/>
            <w:vAlign w:val="center"/>
          </w:tcPr>
          <w:p w:rsidR="00B25511" w:rsidRPr="00B64B15" w:rsidRDefault="00B25511" w:rsidP="00F04018">
            <w:pPr>
              <w:spacing w:before="60" w:line="240" w:lineRule="auto"/>
              <w:jc w:val="center"/>
              <w:rPr>
                <w:rFonts w:cs="Arial"/>
                <w:b/>
                <w:szCs w:val="22"/>
              </w:rPr>
            </w:pPr>
          </w:p>
        </w:tc>
        <w:tc>
          <w:tcPr>
            <w:tcW w:w="2551" w:type="dxa"/>
            <w:shd w:val="clear" w:color="auto" w:fill="FABF8F"/>
            <w:vAlign w:val="center"/>
          </w:tcPr>
          <w:p w:rsidR="00B25511" w:rsidRPr="00B64B15" w:rsidRDefault="00B25511" w:rsidP="00F04018">
            <w:pPr>
              <w:spacing w:line="240" w:lineRule="auto"/>
              <w:rPr>
                <w:rFonts w:cs="Arial"/>
                <w:szCs w:val="22"/>
              </w:rPr>
            </w:pPr>
            <w:r w:rsidRPr="00B64B15">
              <w:rPr>
                <w:rFonts w:cs="Arial"/>
                <w:szCs w:val="22"/>
              </w:rPr>
              <w:t>Ricardo Angel Fiorito Ruiz</w:t>
            </w:r>
          </w:p>
        </w:tc>
        <w:tc>
          <w:tcPr>
            <w:tcW w:w="2410" w:type="dxa"/>
            <w:shd w:val="clear" w:color="auto" w:fill="FABF8F"/>
            <w:vAlign w:val="center"/>
          </w:tcPr>
          <w:p w:rsidR="00B25511" w:rsidRPr="00B64B15" w:rsidRDefault="00B25511" w:rsidP="00F04018">
            <w:pPr>
              <w:spacing w:line="240" w:lineRule="auto"/>
              <w:jc w:val="left"/>
              <w:rPr>
                <w:rFonts w:cs="Arial"/>
                <w:szCs w:val="22"/>
              </w:rPr>
            </w:pPr>
            <w:r w:rsidRPr="00B64B15">
              <w:rPr>
                <w:rFonts w:cs="Arial"/>
                <w:szCs w:val="22"/>
              </w:rPr>
              <w:t>Engenheiro Agrônomo</w:t>
            </w:r>
          </w:p>
        </w:tc>
        <w:tc>
          <w:tcPr>
            <w:tcW w:w="2977" w:type="dxa"/>
            <w:shd w:val="clear" w:color="auto" w:fill="FABF8F"/>
            <w:vAlign w:val="center"/>
          </w:tcPr>
          <w:p w:rsidR="00B25511" w:rsidRPr="00B64B15" w:rsidRDefault="00B25511" w:rsidP="00F04018">
            <w:pPr>
              <w:spacing w:line="240" w:lineRule="auto"/>
              <w:jc w:val="left"/>
              <w:rPr>
                <w:rFonts w:cs="Arial"/>
                <w:szCs w:val="22"/>
                <w:lang w:val="es-AR"/>
              </w:rPr>
            </w:pPr>
            <w:r>
              <w:rPr>
                <w:rFonts w:cs="Arial"/>
                <w:szCs w:val="22"/>
                <w:lang w:val="es-AR"/>
              </w:rPr>
              <w:t xml:space="preserve">CREA/SP </w:t>
            </w:r>
            <w:r w:rsidR="008C32BC">
              <w:rPr>
                <w:rFonts w:cs="Arial"/>
                <w:szCs w:val="22"/>
              </w:rPr>
              <w:t>n</w:t>
            </w:r>
            <w:r w:rsidR="008C32BC" w:rsidRPr="008C32BC">
              <w:rPr>
                <w:rFonts w:cs="Arial"/>
                <w:szCs w:val="22"/>
                <w:u w:val="single"/>
                <w:vertAlign w:val="superscript"/>
              </w:rPr>
              <w:t>o</w:t>
            </w:r>
            <w:r w:rsidR="008C32BC" w:rsidRPr="00B64B15">
              <w:rPr>
                <w:rFonts w:cs="Arial"/>
                <w:szCs w:val="22"/>
                <w:lang w:val="es-AR"/>
              </w:rPr>
              <w:t xml:space="preserve"> </w:t>
            </w:r>
            <w:r w:rsidRPr="00B64B15">
              <w:rPr>
                <w:rFonts w:cs="Arial"/>
                <w:szCs w:val="22"/>
                <w:lang w:val="es-AR"/>
              </w:rPr>
              <w:t xml:space="preserve">0601180839 </w:t>
            </w:r>
          </w:p>
        </w:tc>
      </w:tr>
      <w:tr w:rsidR="00974697" w:rsidRPr="00DF4AE2" w:rsidTr="00DE43A8">
        <w:trPr>
          <w:trHeight w:val="575"/>
          <w:jc w:val="center"/>
        </w:trPr>
        <w:tc>
          <w:tcPr>
            <w:tcW w:w="2323" w:type="dxa"/>
            <w:vMerge w:val="restart"/>
            <w:shd w:val="clear" w:color="auto" w:fill="FBD4B4"/>
            <w:vAlign w:val="center"/>
          </w:tcPr>
          <w:p w:rsidR="00974697" w:rsidRPr="00B64B15" w:rsidRDefault="00974697" w:rsidP="00F04018">
            <w:pPr>
              <w:spacing w:before="60" w:line="240" w:lineRule="auto"/>
              <w:jc w:val="center"/>
              <w:rPr>
                <w:rFonts w:cs="Arial"/>
                <w:b/>
                <w:szCs w:val="22"/>
              </w:rPr>
            </w:pPr>
            <w:r>
              <w:rPr>
                <w:rFonts w:cs="Arial"/>
                <w:b/>
                <w:szCs w:val="22"/>
              </w:rPr>
              <w:t>Coordenação Adjunta</w:t>
            </w:r>
          </w:p>
        </w:tc>
        <w:tc>
          <w:tcPr>
            <w:tcW w:w="2551" w:type="dxa"/>
            <w:shd w:val="clear" w:color="auto" w:fill="FBD4B4"/>
            <w:vAlign w:val="center"/>
          </w:tcPr>
          <w:p w:rsidR="00974697" w:rsidRPr="00B64B15" w:rsidRDefault="00974697" w:rsidP="00F04018">
            <w:pPr>
              <w:spacing w:line="240" w:lineRule="auto"/>
              <w:jc w:val="left"/>
              <w:rPr>
                <w:rFonts w:cs="Arial"/>
                <w:szCs w:val="22"/>
              </w:rPr>
            </w:pPr>
            <w:r w:rsidRPr="00B64B15">
              <w:rPr>
                <w:rFonts w:cs="Arial"/>
                <w:szCs w:val="22"/>
              </w:rPr>
              <w:t xml:space="preserve">Mariana Santos Vargas </w:t>
            </w:r>
          </w:p>
        </w:tc>
        <w:tc>
          <w:tcPr>
            <w:tcW w:w="2410" w:type="dxa"/>
            <w:shd w:val="clear" w:color="auto" w:fill="FBD4B4"/>
            <w:vAlign w:val="center"/>
          </w:tcPr>
          <w:p w:rsidR="00974697" w:rsidRPr="00B64B15" w:rsidRDefault="00974697" w:rsidP="00F04018">
            <w:pPr>
              <w:spacing w:line="240" w:lineRule="auto"/>
              <w:jc w:val="left"/>
              <w:rPr>
                <w:rFonts w:cs="Arial"/>
                <w:szCs w:val="22"/>
              </w:rPr>
            </w:pPr>
            <w:r w:rsidRPr="00B64B15">
              <w:rPr>
                <w:rFonts w:cs="Arial"/>
                <w:szCs w:val="22"/>
              </w:rPr>
              <w:t>Geógrafa/Geóloga</w:t>
            </w:r>
            <w:r>
              <w:rPr>
                <w:rFonts w:cs="Arial"/>
                <w:szCs w:val="22"/>
              </w:rPr>
              <w:t xml:space="preserve"> MSc</w:t>
            </w:r>
          </w:p>
        </w:tc>
        <w:tc>
          <w:tcPr>
            <w:tcW w:w="2977" w:type="dxa"/>
            <w:shd w:val="clear" w:color="auto" w:fill="FBD4B4"/>
            <w:vAlign w:val="center"/>
          </w:tcPr>
          <w:p w:rsidR="00974697" w:rsidRPr="00B64B15" w:rsidRDefault="00974697" w:rsidP="00F04018">
            <w:pPr>
              <w:spacing w:line="240" w:lineRule="auto"/>
              <w:jc w:val="left"/>
              <w:rPr>
                <w:rFonts w:cs="Arial"/>
                <w:szCs w:val="22"/>
              </w:rPr>
            </w:pPr>
            <w:r>
              <w:rPr>
                <w:rFonts w:cs="Arial"/>
                <w:szCs w:val="22"/>
              </w:rPr>
              <w:t>CREA/SP n</w:t>
            </w:r>
            <w:r w:rsidRPr="008C32BC">
              <w:rPr>
                <w:rFonts w:cs="Arial"/>
                <w:szCs w:val="22"/>
                <w:u w:val="single"/>
                <w:vertAlign w:val="superscript"/>
              </w:rPr>
              <w:t>o</w:t>
            </w:r>
            <w:r w:rsidRPr="00B64B15">
              <w:rPr>
                <w:rFonts w:cs="Arial"/>
                <w:szCs w:val="22"/>
              </w:rPr>
              <w:t xml:space="preserve"> 060112296-0</w:t>
            </w:r>
          </w:p>
        </w:tc>
      </w:tr>
      <w:tr w:rsidR="00974697" w:rsidRPr="00DF4AE2" w:rsidTr="00DE43A8">
        <w:trPr>
          <w:trHeight w:val="408"/>
          <w:jc w:val="center"/>
        </w:trPr>
        <w:tc>
          <w:tcPr>
            <w:tcW w:w="2323" w:type="dxa"/>
            <w:vMerge/>
            <w:shd w:val="clear" w:color="auto" w:fill="FBD4B4"/>
            <w:vAlign w:val="center"/>
          </w:tcPr>
          <w:p w:rsidR="00974697" w:rsidRDefault="00974697" w:rsidP="00F04018">
            <w:pPr>
              <w:spacing w:before="60" w:line="240" w:lineRule="auto"/>
              <w:jc w:val="center"/>
              <w:rPr>
                <w:rFonts w:cs="Arial"/>
                <w:b/>
                <w:szCs w:val="22"/>
              </w:rPr>
            </w:pPr>
          </w:p>
        </w:tc>
        <w:tc>
          <w:tcPr>
            <w:tcW w:w="2551" w:type="dxa"/>
            <w:shd w:val="clear" w:color="auto" w:fill="FBD4B4"/>
            <w:vAlign w:val="center"/>
          </w:tcPr>
          <w:p w:rsidR="00974697" w:rsidRPr="008C76FC" w:rsidRDefault="00974697" w:rsidP="00F04018">
            <w:pPr>
              <w:spacing w:line="240" w:lineRule="auto"/>
              <w:jc w:val="left"/>
              <w:rPr>
                <w:rFonts w:cs="Arial"/>
                <w:szCs w:val="22"/>
              </w:rPr>
            </w:pPr>
            <w:r w:rsidRPr="008C76FC">
              <w:rPr>
                <w:rFonts w:cs="Arial"/>
                <w:szCs w:val="22"/>
              </w:rPr>
              <w:t>Diogo Ladeira Azanha</w:t>
            </w:r>
          </w:p>
        </w:tc>
        <w:tc>
          <w:tcPr>
            <w:tcW w:w="2410" w:type="dxa"/>
            <w:shd w:val="clear" w:color="auto" w:fill="FBD4B4"/>
            <w:vAlign w:val="center"/>
          </w:tcPr>
          <w:p w:rsidR="00974697" w:rsidRPr="008C76FC" w:rsidRDefault="00974697" w:rsidP="00F04018">
            <w:pPr>
              <w:spacing w:line="240" w:lineRule="auto"/>
              <w:jc w:val="left"/>
              <w:rPr>
                <w:rFonts w:cs="Arial"/>
                <w:szCs w:val="22"/>
              </w:rPr>
            </w:pPr>
            <w:r w:rsidRPr="008C76FC">
              <w:rPr>
                <w:rFonts w:cs="Arial"/>
                <w:szCs w:val="22"/>
              </w:rPr>
              <w:t>Biólogo</w:t>
            </w:r>
          </w:p>
        </w:tc>
        <w:tc>
          <w:tcPr>
            <w:tcW w:w="2977" w:type="dxa"/>
            <w:shd w:val="clear" w:color="auto" w:fill="FBD4B4"/>
            <w:vAlign w:val="center"/>
          </w:tcPr>
          <w:p w:rsidR="00974697" w:rsidRPr="008C76FC" w:rsidRDefault="00974697" w:rsidP="00F04018">
            <w:pPr>
              <w:spacing w:line="240" w:lineRule="auto"/>
              <w:jc w:val="left"/>
              <w:rPr>
                <w:rFonts w:cs="Arial"/>
                <w:szCs w:val="22"/>
              </w:rPr>
            </w:pPr>
            <w:r>
              <w:rPr>
                <w:rFonts w:cs="Arial"/>
                <w:szCs w:val="22"/>
              </w:rPr>
              <w:t xml:space="preserve">CRBio/SP </w:t>
            </w:r>
            <w:r w:rsidRPr="008C76FC">
              <w:rPr>
                <w:rFonts w:cs="Arial"/>
                <w:szCs w:val="22"/>
              </w:rPr>
              <w:t xml:space="preserve"> </w:t>
            </w:r>
            <w:r>
              <w:rPr>
                <w:rFonts w:cs="Arial"/>
                <w:szCs w:val="22"/>
              </w:rPr>
              <w:t>n</w:t>
            </w:r>
            <w:r w:rsidRPr="008C32BC">
              <w:rPr>
                <w:rFonts w:cs="Arial"/>
                <w:szCs w:val="22"/>
                <w:u w:val="single"/>
                <w:vertAlign w:val="superscript"/>
              </w:rPr>
              <w:t>o</w:t>
            </w:r>
            <w:r w:rsidRPr="008C76FC">
              <w:rPr>
                <w:rFonts w:cs="Arial"/>
                <w:szCs w:val="22"/>
              </w:rPr>
              <w:t xml:space="preserve"> 47632/01-D</w:t>
            </w:r>
          </w:p>
        </w:tc>
      </w:tr>
      <w:tr w:rsidR="00974697" w:rsidRPr="00DF4AE2" w:rsidTr="00DE43A8">
        <w:trPr>
          <w:trHeight w:val="408"/>
          <w:jc w:val="center"/>
        </w:trPr>
        <w:tc>
          <w:tcPr>
            <w:tcW w:w="2323" w:type="dxa"/>
            <w:vMerge/>
            <w:shd w:val="clear" w:color="auto" w:fill="FBD4B4"/>
            <w:vAlign w:val="center"/>
          </w:tcPr>
          <w:p w:rsidR="00974697" w:rsidRDefault="00974697" w:rsidP="00F04018">
            <w:pPr>
              <w:spacing w:before="60" w:line="240" w:lineRule="auto"/>
              <w:jc w:val="center"/>
              <w:rPr>
                <w:rFonts w:cs="Arial"/>
                <w:b/>
                <w:szCs w:val="22"/>
              </w:rPr>
            </w:pPr>
          </w:p>
        </w:tc>
        <w:tc>
          <w:tcPr>
            <w:tcW w:w="2551" w:type="dxa"/>
            <w:shd w:val="clear" w:color="auto" w:fill="FBD4B4"/>
            <w:vAlign w:val="center"/>
          </w:tcPr>
          <w:p w:rsidR="00974697" w:rsidRPr="008C76FC" w:rsidRDefault="00974697" w:rsidP="00F04018">
            <w:pPr>
              <w:spacing w:line="240" w:lineRule="auto"/>
              <w:jc w:val="left"/>
              <w:rPr>
                <w:rFonts w:cs="Arial"/>
                <w:szCs w:val="22"/>
              </w:rPr>
            </w:pPr>
            <w:r w:rsidRPr="008C76FC">
              <w:rPr>
                <w:rFonts w:cs="Arial"/>
                <w:szCs w:val="22"/>
              </w:rPr>
              <w:t>Gabriela A. Bergamo</w:t>
            </w:r>
          </w:p>
        </w:tc>
        <w:tc>
          <w:tcPr>
            <w:tcW w:w="2410" w:type="dxa"/>
            <w:shd w:val="clear" w:color="auto" w:fill="FBD4B4"/>
            <w:vAlign w:val="center"/>
          </w:tcPr>
          <w:p w:rsidR="00974697" w:rsidRPr="008C76FC" w:rsidRDefault="00974697" w:rsidP="00F04018">
            <w:pPr>
              <w:spacing w:line="240" w:lineRule="auto"/>
              <w:jc w:val="left"/>
              <w:rPr>
                <w:rFonts w:cs="Arial"/>
                <w:szCs w:val="22"/>
              </w:rPr>
            </w:pPr>
            <w:r>
              <w:rPr>
                <w:rFonts w:cs="Arial"/>
                <w:szCs w:val="22"/>
              </w:rPr>
              <w:t>Geógrafa</w:t>
            </w:r>
          </w:p>
        </w:tc>
        <w:tc>
          <w:tcPr>
            <w:tcW w:w="2977" w:type="dxa"/>
            <w:shd w:val="clear" w:color="auto" w:fill="FBD4B4"/>
            <w:vAlign w:val="center"/>
          </w:tcPr>
          <w:p w:rsidR="00974697" w:rsidRPr="008C76FC" w:rsidRDefault="00974697" w:rsidP="00F04018">
            <w:pPr>
              <w:spacing w:line="240" w:lineRule="auto"/>
              <w:jc w:val="left"/>
              <w:rPr>
                <w:rFonts w:cs="Arial"/>
                <w:szCs w:val="22"/>
              </w:rPr>
            </w:pPr>
            <w:r>
              <w:rPr>
                <w:rFonts w:cs="Arial"/>
                <w:szCs w:val="22"/>
              </w:rPr>
              <w:t>CREA/SP n</w:t>
            </w:r>
            <w:r w:rsidRPr="008C32BC">
              <w:rPr>
                <w:rFonts w:cs="Arial"/>
                <w:szCs w:val="22"/>
                <w:u w:val="single"/>
                <w:vertAlign w:val="superscript"/>
              </w:rPr>
              <w:t>o</w:t>
            </w:r>
            <w:r>
              <w:t xml:space="preserve"> 5069303243</w:t>
            </w:r>
          </w:p>
        </w:tc>
      </w:tr>
      <w:tr w:rsidR="00974697" w:rsidRPr="00DF4AE2" w:rsidTr="00DE43A8">
        <w:trPr>
          <w:trHeight w:val="408"/>
          <w:jc w:val="center"/>
        </w:trPr>
        <w:tc>
          <w:tcPr>
            <w:tcW w:w="2323" w:type="dxa"/>
            <w:vMerge/>
            <w:shd w:val="clear" w:color="auto" w:fill="FBD4B4"/>
            <w:vAlign w:val="center"/>
          </w:tcPr>
          <w:p w:rsidR="00974697" w:rsidRDefault="00974697" w:rsidP="00F04018">
            <w:pPr>
              <w:spacing w:before="60" w:line="240" w:lineRule="auto"/>
              <w:jc w:val="center"/>
              <w:rPr>
                <w:rFonts w:cs="Arial"/>
                <w:b/>
                <w:szCs w:val="22"/>
              </w:rPr>
            </w:pPr>
          </w:p>
        </w:tc>
        <w:tc>
          <w:tcPr>
            <w:tcW w:w="2551" w:type="dxa"/>
            <w:shd w:val="clear" w:color="auto" w:fill="FBD4B4"/>
            <w:vAlign w:val="center"/>
          </w:tcPr>
          <w:p w:rsidR="00974697" w:rsidRPr="008C76FC" w:rsidRDefault="00974697" w:rsidP="00F04018">
            <w:pPr>
              <w:spacing w:line="240" w:lineRule="auto"/>
              <w:jc w:val="left"/>
              <w:rPr>
                <w:rFonts w:cs="Arial"/>
                <w:szCs w:val="22"/>
              </w:rPr>
            </w:pPr>
            <w:r>
              <w:rPr>
                <w:rFonts w:cs="Arial"/>
                <w:szCs w:val="22"/>
              </w:rPr>
              <w:t>Patrícia F. Canholi</w:t>
            </w:r>
          </w:p>
        </w:tc>
        <w:tc>
          <w:tcPr>
            <w:tcW w:w="2410" w:type="dxa"/>
            <w:shd w:val="clear" w:color="auto" w:fill="FBD4B4"/>
            <w:vAlign w:val="center"/>
          </w:tcPr>
          <w:p w:rsidR="00974697" w:rsidRDefault="00974697" w:rsidP="00F04018">
            <w:pPr>
              <w:spacing w:line="240" w:lineRule="auto"/>
              <w:jc w:val="left"/>
              <w:rPr>
                <w:rFonts w:cs="Arial"/>
                <w:szCs w:val="22"/>
              </w:rPr>
            </w:pPr>
            <w:r>
              <w:rPr>
                <w:rFonts w:cs="Arial"/>
                <w:szCs w:val="22"/>
              </w:rPr>
              <w:t>Zootecnista MSc, Dr.</w:t>
            </w:r>
          </w:p>
        </w:tc>
        <w:tc>
          <w:tcPr>
            <w:tcW w:w="2977" w:type="dxa"/>
            <w:shd w:val="clear" w:color="auto" w:fill="FBD4B4"/>
            <w:vAlign w:val="center"/>
          </w:tcPr>
          <w:p w:rsidR="00974697" w:rsidRDefault="00974697" w:rsidP="00F04018">
            <w:pPr>
              <w:spacing w:line="240" w:lineRule="auto"/>
              <w:jc w:val="left"/>
              <w:rPr>
                <w:rFonts w:cs="Arial"/>
                <w:szCs w:val="22"/>
              </w:rPr>
            </w:pPr>
            <w:r>
              <w:rPr>
                <w:rFonts w:cs="Arial"/>
                <w:szCs w:val="22"/>
              </w:rPr>
              <w:t>CRMV/Z  n</w:t>
            </w:r>
            <w:r w:rsidRPr="008C32BC">
              <w:rPr>
                <w:rFonts w:cs="Arial"/>
                <w:szCs w:val="22"/>
                <w:u w:val="single"/>
                <w:vertAlign w:val="superscript"/>
              </w:rPr>
              <w:t>o</w:t>
            </w:r>
            <w:r>
              <w:rPr>
                <w:rFonts w:cs="Arial"/>
                <w:szCs w:val="22"/>
              </w:rPr>
              <w:t xml:space="preserve"> 2934/Z</w:t>
            </w:r>
          </w:p>
        </w:tc>
      </w:tr>
      <w:tr w:rsidR="00B25511" w:rsidRPr="00236D82" w:rsidTr="008C32BC">
        <w:trPr>
          <w:trHeight w:val="409"/>
          <w:jc w:val="center"/>
        </w:trPr>
        <w:tc>
          <w:tcPr>
            <w:tcW w:w="10261" w:type="dxa"/>
            <w:gridSpan w:val="4"/>
            <w:shd w:val="clear" w:color="auto" w:fill="D9D9D9"/>
            <w:vAlign w:val="center"/>
          </w:tcPr>
          <w:p w:rsidR="00B25511" w:rsidRPr="00517CAB" w:rsidRDefault="00B25511" w:rsidP="00F04018">
            <w:pPr>
              <w:spacing w:line="240" w:lineRule="auto"/>
              <w:jc w:val="left"/>
              <w:rPr>
                <w:rFonts w:cs="Arial"/>
                <w:b/>
                <w:szCs w:val="22"/>
              </w:rPr>
            </w:pPr>
            <w:r>
              <w:rPr>
                <w:rFonts w:cs="Arial"/>
                <w:b/>
                <w:szCs w:val="22"/>
              </w:rPr>
              <w:t xml:space="preserve">INTER-RELAÇÃO </w:t>
            </w:r>
            <w:r w:rsidRPr="00517CAB">
              <w:rPr>
                <w:rFonts w:cs="Arial"/>
                <w:b/>
                <w:szCs w:val="22"/>
              </w:rPr>
              <w:t>ENGENHARIA/MEIO AMBIENTE</w:t>
            </w:r>
          </w:p>
        </w:tc>
      </w:tr>
      <w:tr w:rsidR="00B25511" w:rsidRPr="00236D82" w:rsidTr="008C32BC">
        <w:trPr>
          <w:trHeight w:val="411"/>
          <w:jc w:val="center"/>
        </w:trPr>
        <w:tc>
          <w:tcPr>
            <w:tcW w:w="2323" w:type="dxa"/>
            <w:vMerge w:val="restart"/>
            <w:shd w:val="clear" w:color="auto" w:fill="FABF8F"/>
            <w:vAlign w:val="center"/>
          </w:tcPr>
          <w:p w:rsidR="00B25511" w:rsidRPr="00B907BB" w:rsidRDefault="00B25511" w:rsidP="00E63AFA">
            <w:pPr>
              <w:spacing w:line="240" w:lineRule="auto"/>
              <w:jc w:val="left"/>
              <w:rPr>
                <w:rFonts w:cs="Arial"/>
                <w:szCs w:val="22"/>
              </w:rPr>
            </w:pPr>
            <w:r w:rsidRPr="00B907BB">
              <w:rPr>
                <w:rFonts w:cs="Arial"/>
                <w:szCs w:val="22"/>
              </w:rPr>
              <w:t>Inter-relação Engenharia/Meio Ambiente</w:t>
            </w:r>
          </w:p>
        </w:tc>
        <w:tc>
          <w:tcPr>
            <w:tcW w:w="2551"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Paulo Celso G. Serra</w:t>
            </w:r>
          </w:p>
        </w:tc>
        <w:tc>
          <w:tcPr>
            <w:tcW w:w="2410"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Engenheiro Civil</w:t>
            </w:r>
            <w:r w:rsidR="00974697">
              <w:rPr>
                <w:rFonts w:cs="Arial"/>
                <w:szCs w:val="22"/>
              </w:rPr>
              <w:t xml:space="preserve"> </w:t>
            </w:r>
            <w:r>
              <w:rPr>
                <w:rFonts w:cs="Arial"/>
                <w:szCs w:val="22"/>
              </w:rPr>
              <w:t>MSc.</w:t>
            </w:r>
          </w:p>
        </w:tc>
        <w:tc>
          <w:tcPr>
            <w:tcW w:w="2977" w:type="dxa"/>
            <w:shd w:val="clear" w:color="auto" w:fill="FABF8F"/>
            <w:vAlign w:val="center"/>
          </w:tcPr>
          <w:p w:rsidR="00B25511" w:rsidRPr="00B907BB" w:rsidRDefault="00B25511" w:rsidP="00F04018">
            <w:pPr>
              <w:spacing w:line="240" w:lineRule="auto"/>
              <w:jc w:val="left"/>
              <w:rPr>
                <w:rFonts w:cs="Arial"/>
                <w:szCs w:val="22"/>
              </w:rPr>
            </w:pPr>
            <w:r>
              <w:rPr>
                <w:rFonts w:cs="Arial"/>
                <w:szCs w:val="22"/>
              </w:rPr>
              <w:t xml:space="preserve">CREA/SP </w:t>
            </w:r>
            <w:r w:rsidRPr="00B907BB">
              <w:rPr>
                <w:rFonts w:cs="Arial"/>
                <w:szCs w:val="22"/>
              </w:rPr>
              <w:t>54848</w:t>
            </w:r>
          </w:p>
        </w:tc>
      </w:tr>
      <w:tr w:rsidR="00B25511" w:rsidRPr="00236D82" w:rsidTr="008C32BC">
        <w:trPr>
          <w:trHeight w:val="556"/>
          <w:jc w:val="center"/>
        </w:trPr>
        <w:tc>
          <w:tcPr>
            <w:tcW w:w="2323" w:type="dxa"/>
            <w:vMerge/>
            <w:shd w:val="clear" w:color="auto" w:fill="FABF8F"/>
            <w:vAlign w:val="center"/>
          </w:tcPr>
          <w:p w:rsidR="00B25511" w:rsidRPr="00B907BB" w:rsidRDefault="00B25511" w:rsidP="00F04018">
            <w:pPr>
              <w:spacing w:line="240" w:lineRule="auto"/>
              <w:jc w:val="left"/>
              <w:rPr>
                <w:rFonts w:cs="Arial"/>
                <w:szCs w:val="22"/>
              </w:rPr>
            </w:pPr>
          </w:p>
        </w:tc>
        <w:tc>
          <w:tcPr>
            <w:tcW w:w="2551" w:type="dxa"/>
            <w:shd w:val="clear" w:color="auto" w:fill="FABF8F"/>
            <w:vAlign w:val="center"/>
          </w:tcPr>
          <w:p w:rsidR="00B25511" w:rsidRPr="00B907BB" w:rsidRDefault="00B25511" w:rsidP="00F04018">
            <w:pPr>
              <w:spacing w:line="240" w:lineRule="auto"/>
              <w:jc w:val="left"/>
              <w:rPr>
                <w:rFonts w:cs="Arial"/>
                <w:szCs w:val="22"/>
              </w:rPr>
            </w:pPr>
            <w:r>
              <w:rPr>
                <w:rFonts w:cs="Arial"/>
                <w:szCs w:val="22"/>
              </w:rPr>
              <w:t>José Roberto dos Santos Vieira</w:t>
            </w:r>
          </w:p>
        </w:tc>
        <w:tc>
          <w:tcPr>
            <w:tcW w:w="2410"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Engenheiro Civil</w:t>
            </w:r>
          </w:p>
        </w:tc>
        <w:tc>
          <w:tcPr>
            <w:tcW w:w="2977" w:type="dxa"/>
            <w:shd w:val="clear" w:color="auto" w:fill="FABF8F"/>
            <w:vAlign w:val="center"/>
          </w:tcPr>
          <w:p w:rsidR="00B25511" w:rsidRPr="00B907BB" w:rsidRDefault="00B25511" w:rsidP="00F04018">
            <w:pPr>
              <w:spacing w:line="240" w:lineRule="auto"/>
              <w:jc w:val="left"/>
              <w:rPr>
                <w:rFonts w:cs="Arial"/>
                <w:szCs w:val="22"/>
              </w:rPr>
            </w:pPr>
            <w:r>
              <w:rPr>
                <w:rFonts w:cs="Arial"/>
                <w:szCs w:val="22"/>
              </w:rPr>
              <w:t xml:space="preserve">CREA/SP </w:t>
            </w:r>
            <w:r>
              <w:t>0600929750</w:t>
            </w:r>
          </w:p>
        </w:tc>
      </w:tr>
      <w:tr w:rsidR="00B25511" w:rsidRPr="00236D82" w:rsidTr="008C32BC">
        <w:trPr>
          <w:trHeight w:val="556"/>
          <w:jc w:val="center"/>
        </w:trPr>
        <w:tc>
          <w:tcPr>
            <w:tcW w:w="2323" w:type="dxa"/>
            <w:vMerge/>
            <w:shd w:val="clear" w:color="auto" w:fill="FABF8F"/>
            <w:vAlign w:val="center"/>
          </w:tcPr>
          <w:p w:rsidR="00B25511" w:rsidRPr="00B907BB" w:rsidRDefault="00B25511" w:rsidP="00F04018">
            <w:pPr>
              <w:spacing w:line="240" w:lineRule="auto"/>
              <w:jc w:val="left"/>
              <w:rPr>
                <w:rFonts w:cs="Arial"/>
                <w:szCs w:val="22"/>
              </w:rPr>
            </w:pPr>
          </w:p>
        </w:tc>
        <w:tc>
          <w:tcPr>
            <w:tcW w:w="2551" w:type="dxa"/>
            <w:shd w:val="clear" w:color="auto" w:fill="FABF8F"/>
            <w:vAlign w:val="center"/>
          </w:tcPr>
          <w:p w:rsidR="00B25511" w:rsidRDefault="00B25511" w:rsidP="00F04018">
            <w:pPr>
              <w:spacing w:line="240" w:lineRule="auto"/>
              <w:jc w:val="left"/>
              <w:rPr>
                <w:rFonts w:cs="Arial"/>
                <w:szCs w:val="22"/>
              </w:rPr>
            </w:pPr>
            <w:r>
              <w:rPr>
                <w:rFonts w:cs="Arial"/>
                <w:szCs w:val="22"/>
              </w:rPr>
              <w:t>Virginia C. R. Pimentel</w:t>
            </w:r>
          </w:p>
        </w:tc>
        <w:tc>
          <w:tcPr>
            <w:tcW w:w="2410" w:type="dxa"/>
            <w:shd w:val="clear" w:color="auto" w:fill="FABF8F"/>
            <w:vAlign w:val="center"/>
          </w:tcPr>
          <w:p w:rsidR="00B25511" w:rsidRPr="00B907BB" w:rsidRDefault="00974697" w:rsidP="00F04018">
            <w:pPr>
              <w:spacing w:line="240" w:lineRule="auto"/>
              <w:jc w:val="left"/>
              <w:rPr>
                <w:rFonts w:cs="Arial"/>
                <w:szCs w:val="22"/>
              </w:rPr>
            </w:pPr>
            <w:r>
              <w:rPr>
                <w:rFonts w:cs="Arial"/>
                <w:szCs w:val="22"/>
              </w:rPr>
              <w:t xml:space="preserve">Engenheira </w:t>
            </w:r>
            <w:r w:rsidR="00B25511" w:rsidRPr="00B907BB">
              <w:rPr>
                <w:rFonts w:cs="Arial"/>
                <w:szCs w:val="22"/>
              </w:rPr>
              <w:t>Civil</w:t>
            </w:r>
            <w:r>
              <w:rPr>
                <w:rFonts w:cs="Arial"/>
                <w:szCs w:val="22"/>
              </w:rPr>
              <w:t xml:space="preserve"> MSc</w:t>
            </w:r>
          </w:p>
        </w:tc>
        <w:tc>
          <w:tcPr>
            <w:tcW w:w="2977" w:type="dxa"/>
            <w:shd w:val="clear" w:color="auto" w:fill="FABF8F"/>
            <w:vAlign w:val="center"/>
          </w:tcPr>
          <w:p w:rsidR="00B25511" w:rsidRPr="00B907BB" w:rsidRDefault="00B25511" w:rsidP="00F04018">
            <w:pPr>
              <w:spacing w:line="240" w:lineRule="auto"/>
              <w:jc w:val="left"/>
              <w:rPr>
                <w:rFonts w:cs="Arial"/>
                <w:szCs w:val="22"/>
              </w:rPr>
            </w:pPr>
            <w:r>
              <w:rPr>
                <w:rFonts w:cs="Arial"/>
                <w:szCs w:val="22"/>
              </w:rPr>
              <w:t xml:space="preserve">CREA/SP </w:t>
            </w:r>
            <w:r>
              <w:rPr>
                <w:rFonts w:cs="Arial"/>
              </w:rPr>
              <w:t>53.230/D</w:t>
            </w:r>
          </w:p>
        </w:tc>
      </w:tr>
      <w:tr w:rsidR="00B25511" w:rsidRPr="00236D82" w:rsidTr="008C32BC">
        <w:trPr>
          <w:trHeight w:val="407"/>
          <w:jc w:val="center"/>
        </w:trPr>
        <w:tc>
          <w:tcPr>
            <w:tcW w:w="2323" w:type="dxa"/>
            <w:vMerge/>
            <w:shd w:val="clear" w:color="auto" w:fill="FABF8F"/>
            <w:vAlign w:val="center"/>
          </w:tcPr>
          <w:p w:rsidR="00B25511" w:rsidRPr="00B907BB" w:rsidRDefault="00B25511" w:rsidP="00F04018">
            <w:pPr>
              <w:spacing w:line="240" w:lineRule="auto"/>
              <w:jc w:val="left"/>
              <w:rPr>
                <w:rFonts w:cs="Arial"/>
                <w:szCs w:val="22"/>
              </w:rPr>
            </w:pPr>
          </w:p>
        </w:tc>
        <w:tc>
          <w:tcPr>
            <w:tcW w:w="2551"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Daniela G.G. Herweg</w:t>
            </w:r>
          </w:p>
        </w:tc>
        <w:tc>
          <w:tcPr>
            <w:tcW w:w="2410"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Engenheira Civil</w:t>
            </w:r>
          </w:p>
        </w:tc>
        <w:tc>
          <w:tcPr>
            <w:tcW w:w="2977"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CREA/SP 5062103490</w:t>
            </w:r>
          </w:p>
        </w:tc>
      </w:tr>
      <w:tr w:rsidR="00B25511" w:rsidRPr="00236D82" w:rsidTr="008C32BC">
        <w:trPr>
          <w:trHeight w:val="547"/>
          <w:jc w:val="center"/>
        </w:trPr>
        <w:tc>
          <w:tcPr>
            <w:tcW w:w="2323" w:type="dxa"/>
            <w:vMerge w:val="restart"/>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Hidrologia, Estudos de Remanso</w:t>
            </w:r>
          </w:p>
        </w:tc>
        <w:tc>
          <w:tcPr>
            <w:tcW w:w="2551"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Rubens Terra Barth</w:t>
            </w:r>
          </w:p>
        </w:tc>
        <w:tc>
          <w:tcPr>
            <w:tcW w:w="2410"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Engenheiro Civil</w:t>
            </w:r>
            <w:r>
              <w:rPr>
                <w:rFonts w:cs="Arial"/>
                <w:szCs w:val="22"/>
              </w:rPr>
              <w:t>, MSc. Dr.</w:t>
            </w:r>
          </w:p>
        </w:tc>
        <w:tc>
          <w:tcPr>
            <w:tcW w:w="2977" w:type="dxa"/>
            <w:shd w:val="clear" w:color="auto" w:fill="FABF8F"/>
            <w:vAlign w:val="center"/>
          </w:tcPr>
          <w:p w:rsidR="00B25511" w:rsidRPr="00B907BB" w:rsidRDefault="00B25511" w:rsidP="00F04018">
            <w:pPr>
              <w:spacing w:line="240" w:lineRule="auto"/>
              <w:jc w:val="left"/>
              <w:rPr>
                <w:rFonts w:cs="Arial"/>
                <w:szCs w:val="22"/>
              </w:rPr>
            </w:pPr>
            <w:r>
              <w:rPr>
                <w:rFonts w:cs="Arial"/>
                <w:szCs w:val="22"/>
              </w:rPr>
              <w:t>CREA/SP</w:t>
            </w:r>
            <w:r w:rsidRPr="00B907BB">
              <w:rPr>
                <w:rFonts w:cs="Arial"/>
                <w:szCs w:val="22"/>
              </w:rPr>
              <w:t xml:space="preserve"> 80907/D</w:t>
            </w:r>
          </w:p>
        </w:tc>
      </w:tr>
      <w:tr w:rsidR="00B25511" w:rsidRPr="00236D82" w:rsidTr="008C32BC">
        <w:trPr>
          <w:trHeight w:val="547"/>
          <w:jc w:val="center"/>
        </w:trPr>
        <w:tc>
          <w:tcPr>
            <w:tcW w:w="2323" w:type="dxa"/>
            <w:vMerge/>
            <w:shd w:val="clear" w:color="auto" w:fill="FABF8F"/>
            <w:vAlign w:val="center"/>
          </w:tcPr>
          <w:p w:rsidR="00B25511" w:rsidRPr="00B907BB" w:rsidRDefault="00B25511" w:rsidP="00F04018">
            <w:pPr>
              <w:spacing w:line="240" w:lineRule="auto"/>
              <w:jc w:val="left"/>
              <w:rPr>
                <w:rFonts w:cs="Arial"/>
                <w:szCs w:val="22"/>
              </w:rPr>
            </w:pPr>
          </w:p>
        </w:tc>
        <w:tc>
          <w:tcPr>
            <w:tcW w:w="2551"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René Alvaro Romer Lacerda</w:t>
            </w:r>
          </w:p>
        </w:tc>
        <w:tc>
          <w:tcPr>
            <w:tcW w:w="2410"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Engenheiro Civil</w:t>
            </w:r>
          </w:p>
        </w:tc>
        <w:tc>
          <w:tcPr>
            <w:tcW w:w="2977"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CR</w:t>
            </w:r>
            <w:r>
              <w:rPr>
                <w:rFonts w:cs="Arial"/>
                <w:szCs w:val="22"/>
              </w:rPr>
              <w:t xml:space="preserve">EA/SP </w:t>
            </w:r>
            <w:r w:rsidRPr="00B907BB">
              <w:rPr>
                <w:rFonts w:cs="Arial"/>
                <w:szCs w:val="22"/>
              </w:rPr>
              <w:t>0600639152</w:t>
            </w:r>
          </w:p>
        </w:tc>
      </w:tr>
      <w:tr w:rsidR="00B25511" w:rsidRPr="00236D82" w:rsidTr="008C32BC">
        <w:trPr>
          <w:trHeight w:val="555"/>
          <w:jc w:val="center"/>
        </w:trPr>
        <w:tc>
          <w:tcPr>
            <w:tcW w:w="2323" w:type="dxa"/>
            <w:vMerge/>
            <w:shd w:val="clear" w:color="auto" w:fill="FABF8F"/>
            <w:vAlign w:val="center"/>
          </w:tcPr>
          <w:p w:rsidR="00B25511" w:rsidRPr="00B907BB" w:rsidRDefault="00B25511" w:rsidP="00F04018">
            <w:pPr>
              <w:spacing w:line="240" w:lineRule="auto"/>
              <w:jc w:val="left"/>
              <w:rPr>
                <w:rFonts w:cs="Arial"/>
                <w:szCs w:val="22"/>
              </w:rPr>
            </w:pPr>
          </w:p>
        </w:tc>
        <w:tc>
          <w:tcPr>
            <w:tcW w:w="2551"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David Michael Delgado</w:t>
            </w:r>
          </w:p>
        </w:tc>
        <w:tc>
          <w:tcPr>
            <w:tcW w:w="2410"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Engenheiro Civi</w:t>
            </w:r>
            <w:r w:rsidR="00974697">
              <w:rPr>
                <w:rFonts w:cs="Arial"/>
                <w:szCs w:val="22"/>
              </w:rPr>
              <w:t>l, MSc</w:t>
            </w:r>
            <w:r>
              <w:rPr>
                <w:rFonts w:cs="Arial"/>
                <w:szCs w:val="22"/>
              </w:rPr>
              <w:t>. Dr.</w:t>
            </w:r>
          </w:p>
        </w:tc>
        <w:tc>
          <w:tcPr>
            <w:tcW w:w="2977" w:type="dxa"/>
            <w:shd w:val="clear" w:color="auto" w:fill="FABF8F"/>
            <w:vAlign w:val="center"/>
          </w:tcPr>
          <w:p w:rsidR="00B25511" w:rsidRPr="00B907BB" w:rsidRDefault="00DE61F7" w:rsidP="00F04018">
            <w:pPr>
              <w:spacing w:line="240" w:lineRule="auto"/>
              <w:jc w:val="left"/>
              <w:rPr>
                <w:rFonts w:cs="Arial"/>
                <w:szCs w:val="22"/>
              </w:rPr>
            </w:pPr>
            <w:r>
              <w:rPr>
                <w:rFonts w:cs="Arial"/>
                <w:szCs w:val="22"/>
              </w:rPr>
              <w:t xml:space="preserve">CREA/SP </w:t>
            </w:r>
            <w:r w:rsidR="00B25511" w:rsidRPr="00B907BB">
              <w:rPr>
                <w:rFonts w:cs="Arial"/>
                <w:szCs w:val="22"/>
              </w:rPr>
              <w:t>5061916177</w:t>
            </w:r>
          </w:p>
        </w:tc>
      </w:tr>
      <w:tr w:rsidR="00B25511" w:rsidRPr="00236D82" w:rsidTr="008C32BC">
        <w:trPr>
          <w:trHeight w:val="449"/>
          <w:jc w:val="center"/>
        </w:trPr>
        <w:tc>
          <w:tcPr>
            <w:tcW w:w="2323" w:type="dxa"/>
            <w:vMerge/>
            <w:shd w:val="clear" w:color="auto" w:fill="FABF8F"/>
            <w:vAlign w:val="center"/>
          </w:tcPr>
          <w:p w:rsidR="00B25511" w:rsidRPr="00B907BB" w:rsidRDefault="00B25511" w:rsidP="00F04018">
            <w:pPr>
              <w:spacing w:line="240" w:lineRule="auto"/>
              <w:jc w:val="left"/>
              <w:rPr>
                <w:rFonts w:cs="Arial"/>
                <w:szCs w:val="22"/>
              </w:rPr>
            </w:pPr>
          </w:p>
        </w:tc>
        <w:tc>
          <w:tcPr>
            <w:tcW w:w="2551" w:type="dxa"/>
            <w:shd w:val="clear" w:color="auto" w:fill="FABF8F"/>
            <w:vAlign w:val="center"/>
          </w:tcPr>
          <w:p w:rsidR="00B25511" w:rsidRPr="00B907BB" w:rsidRDefault="00B25511" w:rsidP="00F04018">
            <w:pPr>
              <w:spacing w:line="240" w:lineRule="auto"/>
              <w:jc w:val="left"/>
              <w:rPr>
                <w:rFonts w:cs="Arial"/>
                <w:szCs w:val="22"/>
              </w:rPr>
            </w:pPr>
            <w:r>
              <w:rPr>
                <w:rFonts w:cs="Arial"/>
                <w:szCs w:val="22"/>
              </w:rPr>
              <w:t>José Roberto Siqueira</w:t>
            </w:r>
          </w:p>
        </w:tc>
        <w:tc>
          <w:tcPr>
            <w:tcW w:w="2410" w:type="dxa"/>
            <w:shd w:val="clear" w:color="auto" w:fill="FABF8F"/>
            <w:vAlign w:val="center"/>
          </w:tcPr>
          <w:p w:rsidR="00B25511" w:rsidRPr="00B907BB" w:rsidRDefault="00B25511" w:rsidP="00F04018">
            <w:pPr>
              <w:spacing w:line="240" w:lineRule="auto"/>
              <w:jc w:val="left"/>
              <w:rPr>
                <w:rFonts w:cs="Arial"/>
                <w:szCs w:val="22"/>
              </w:rPr>
            </w:pPr>
            <w:r>
              <w:rPr>
                <w:rFonts w:cs="Arial"/>
                <w:szCs w:val="22"/>
              </w:rPr>
              <w:t xml:space="preserve">Tecnólogo </w:t>
            </w:r>
          </w:p>
        </w:tc>
        <w:tc>
          <w:tcPr>
            <w:tcW w:w="2977" w:type="dxa"/>
            <w:shd w:val="clear" w:color="auto" w:fill="FABF8F"/>
            <w:vAlign w:val="center"/>
          </w:tcPr>
          <w:p w:rsidR="00B25511" w:rsidRPr="00B907BB" w:rsidRDefault="00DE61F7" w:rsidP="00830266">
            <w:pPr>
              <w:spacing w:line="240" w:lineRule="auto"/>
              <w:jc w:val="left"/>
              <w:rPr>
                <w:rFonts w:cs="Arial"/>
                <w:szCs w:val="22"/>
              </w:rPr>
            </w:pPr>
            <w:r>
              <w:rPr>
                <w:rFonts w:cs="Arial"/>
                <w:szCs w:val="22"/>
              </w:rPr>
              <w:t xml:space="preserve">CREA/SP </w:t>
            </w:r>
            <w:r w:rsidR="00830266">
              <w:rPr>
                <w:rFonts w:cs="Arial"/>
                <w:szCs w:val="22"/>
              </w:rPr>
              <w:t>060107</w:t>
            </w:r>
            <w:r>
              <w:rPr>
                <w:rFonts w:cs="Arial"/>
                <w:szCs w:val="22"/>
              </w:rPr>
              <w:t>354</w:t>
            </w:r>
            <w:r w:rsidR="00830266">
              <w:rPr>
                <w:rFonts w:cs="Arial"/>
                <w:szCs w:val="22"/>
              </w:rPr>
              <w:t>-7</w:t>
            </w:r>
          </w:p>
        </w:tc>
      </w:tr>
      <w:tr w:rsidR="00BD0987" w:rsidRPr="00236D82" w:rsidTr="008C32BC">
        <w:trPr>
          <w:trHeight w:val="555"/>
          <w:jc w:val="center"/>
        </w:trPr>
        <w:tc>
          <w:tcPr>
            <w:tcW w:w="2323" w:type="dxa"/>
            <w:vMerge w:val="restart"/>
            <w:shd w:val="clear" w:color="auto" w:fill="FABF8F"/>
            <w:vAlign w:val="center"/>
          </w:tcPr>
          <w:p w:rsidR="00BD0987" w:rsidRPr="00B907BB" w:rsidRDefault="00BD0987" w:rsidP="00F04018">
            <w:pPr>
              <w:spacing w:line="240" w:lineRule="auto"/>
              <w:jc w:val="left"/>
              <w:rPr>
                <w:rFonts w:cs="Arial"/>
                <w:szCs w:val="22"/>
              </w:rPr>
            </w:pPr>
            <w:r w:rsidRPr="00B907BB">
              <w:rPr>
                <w:rFonts w:cs="Arial"/>
                <w:szCs w:val="22"/>
              </w:rPr>
              <w:t xml:space="preserve">Escada para Peixes </w:t>
            </w:r>
          </w:p>
        </w:tc>
        <w:tc>
          <w:tcPr>
            <w:tcW w:w="2551" w:type="dxa"/>
            <w:shd w:val="clear" w:color="auto" w:fill="FABF8F"/>
            <w:vAlign w:val="center"/>
          </w:tcPr>
          <w:p w:rsidR="00BD0987" w:rsidRPr="00B907BB" w:rsidRDefault="00BD0987" w:rsidP="00F04018">
            <w:pPr>
              <w:spacing w:line="240" w:lineRule="auto"/>
              <w:jc w:val="left"/>
              <w:rPr>
                <w:rFonts w:cs="Arial"/>
                <w:szCs w:val="22"/>
              </w:rPr>
            </w:pPr>
            <w:r w:rsidRPr="00B907BB">
              <w:rPr>
                <w:rFonts w:cs="Arial"/>
                <w:szCs w:val="22"/>
              </w:rPr>
              <w:t>Sidney Lazaro Martins</w:t>
            </w:r>
          </w:p>
        </w:tc>
        <w:tc>
          <w:tcPr>
            <w:tcW w:w="2410" w:type="dxa"/>
            <w:shd w:val="clear" w:color="auto" w:fill="FABF8F"/>
            <w:vAlign w:val="center"/>
          </w:tcPr>
          <w:p w:rsidR="00BD0987" w:rsidRPr="00B907BB" w:rsidRDefault="00BD0987" w:rsidP="00F04018">
            <w:pPr>
              <w:spacing w:line="240" w:lineRule="auto"/>
              <w:jc w:val="left"/>
              <w:rPr>
                <w:rFonts w:cs="Arial"/>
                <w:szCs w:val="22"/>
              </w:rPr>
            </w:pPr>
            <w:r w:rsidRPr="00B907BB">
              <w:rPr>
                <w:rFonts w:cs="Arial"/>
                <w:szCs w:val="22"/>
              </w:rPr>
              <w:t>Engenheiro Civil</w:t>
            </w:r>
            <w:r>
              <w:rPr>
                <w:rFonts w:cs="Arial"/>
                <w:szCs w:val="22"/>
              </w:rPr>
              <w:t>, MSc. Dr.</w:t>
            </w:r>
          </w:p>
        </w:tc>
        <w:tc>
          <w:tcPr>
            <w:tcW w:w="2977" w:type="dxa"/>
            <w:shd w:val="clear" w:color="auto" w:fill="FABF8F"/>
            <w:vAlign w:val="center"/>
          </w:tcPr>
          <w:p w:rsidR="00BD0987" w:rsidRPr="00B907BB" w:rsidRDefault="00BD0987" w:rsidP="00F04018">
            <w:pPr>
              <w:spacing w:line="240" w:lineRule="auto"/>
              <w:jc w:val="left"/>
              <w:rPr>
                <w:rFonts w:cs="Arial"/>
                <w:szCs w:val="22"/>
              </w:rPr>
            </w:pPr>
            <w:r>
              <w:rPr>
                <w:rFonts w:cs="Arial"/>
                <w:szCs w:val="22"/>
              </w:rPr>
              <w:t xml:space="preserve">CREA/SP </w:t>
            </w:r>
            <w:r w:rsidRPr="00B907BB">
              <w:rPr>
                <w:rFonts w:cs="Arial"/>
                <w:szCs w:val="22"/>
              </w:rPr>
              <w:t>114.192/D</w:t>
            </w:r>
          </w:p>
        </w:tc>
      </w:tr>
      <w:tr w:rsidR="00BD0987" w:rsidRPr="00236D82" w:rsidTr="00DE43A8">
        <w:trPr>
          <w:trHeight w:val="354"/>
          <w:jc w:val="center"/>
        </w:trPr>
        <w:tc>
          <w:tcPr>
            <w:tcW w:w="2323" w:type="dxa"/>
            <w:vMerge/>
            <w:shd w:val="clear" w:color="auto" w:fill="FABF8F"/>
            <w:vAlign w:val="center"/>
          </w:tcPr>
          <w:p w:rsidR="00BD0987" w:rsidRPr="00B907BB" w:rsidRDefault="00BD0987" w:rsidP="00F04018">
            <w:pPr>
              <w:spacing w:line="240" w:lineRule="auto"/>
              <w:jc w:val="left"/>
              <w:rPr>
                <w:rFonts w:cs="Arial"/>
                <w:szCs w:val="22"/>
              </w:rPr>
            </w:pPr>
          </w:p>
        </w:tc>
        <w:tc>
          <w:tcPr>
            <w:tcW w:w="2551" w:type="dxa"/>
            <w:shd w:val="clear" w:color="auto" w:fill="FABF8F"/>
            <w:vAlign w:val="center"/>
          </w:tcPr>
          <w:p w:rsidR="00BD0987" w:rsidRPr="00B907BB" w:rsidRDefault="00BD0987" w:rsidP="00F04018">
            <w:pPr>
              <w:spacing w:line="240" w:lineRule="auto"/>
              <w:jc w:val="left"/>
              <w:rPr>
                <w:rFonts w:cs="Arial"/>
                <w:szCs w:val="22"/>
              </w:rPr>
            </w:pPr>
            <w:r>
              <w:rPr>
                <w:rFonts w:cs="Arial"/>
                <w:szCs w:val="22"/>
              </w:rPr>
              <w:t>Hiroshi Kako</w:t>
            </w:r>
          </w:p>
        </w:tc>
        <w:tc>
          <w:tcPr>
            <w:tcW w:w="2410" w:type="dxa"/>
            <w:shd w:val="clear" w:color="auto" w:fill="FABF8F"/>
            <w:vAlign w:val="center"/>
          </w:tcPr>
          <w:p w:rsidR="00BD0987" w:rsidRPr="00B907BB" w:rsidRDefault="00BD0987" w:rsidP="00F04018">
            <w:pPr>
              <w:spacing w:line="240" w:lineRule="auto"/>
              <w:jc w:val="left"/>
              <w:rPr>
                <w:rFonts w:cs="Arial"/>
                <w:szCs w:val="22"/>
              </w:rPr>
            </w:pPr>
            <w:r>
              <w:rPr>
                <w:rFonts w:cs="Arial"/>
                <w:szCs w:val="22"/>
              </w:rPr>
              <w:t xml:space="preserve">Engenheiro </w:t>
            </w:r>
            <w:r w:rsidR="00921FF6">
              <w:rPr>
                <w:rFonts w:cs="Arial"/>
                <w:szCs w:val="22"/>
              </w:rPr>
              <w:t>Mecânico</w:t>
            </w:r>
          </w:p>
        </w:tc>
        <w:tc>
          <w:tcPr>
            <w:tcW w:w="2977" w:type="dxa"/>
            <w:shd w:val="clear" w:color="auto" w:fill="FABF8F"/>
            <w:vAlign w:val="center"/>
          </w:tcPr>
          <w:p w:rsidR="00BD0987" w:rsidRDefault="00BD0987" w:rsidP="00F04018">
            <w:pPr>
              <w:spacing w:line="240" w:lineRule="auto"/>
              <w:jc w:val="left"/>
              <w:rPr>
                <w:rFonts w:cs="Arial"/>
                <w:szCs w:val="22"/>
              </w:rPr>
            </w:pPr>
            <w:r>
              <w:rPr>
                <w:rFonts w:cs="Arial"/>
                <w:szCs w:val="22"/>
              </w:rPr>
              <w:t>CREA/SP 0600228075</w:t>
            </w:r>
          </w:p>
        </w:tc>
      </w:tr>
      <w:tr w:rsidR="00B25511" w:rsidRPr="00236D82" w:rsidTr="008C32BC">
        <w:trPr>
          <w:trHeight w:val="421"/>
          <w:jc w:val="center"/>
        </w:trPr>
        <w:tc>
          <w:tcPr>
            <w:tcW w:w="2323" w:type="dxa"/>
            <w:shd w:val="clear" w:color="auto" w:fill="FABF8F"/>
            <w:vAlign w:val="center"/>
          </w:tcPr>
          <w:p w:rsidR="00B25511" w:rsidRPr="00B907BB" w:rsidRDefault="00B25511" w:rsidP="00F04018">
            <w:pPr>
              <w:spacing w:line="240" w:lineRule="auto"/>
              <w:jc w:val="left"/>
              <w:rPr>
                <w:rFonts w:cs="Arial"/>
                <w:szCs w:val="22"/>
              </w:rPr>
            </w:pPr>
            <w:r>
              <w:rPr>
                <w:rFonts w:cs="Arial"/>
                <w:szCs w:val="22"/>
              </w:rPr>
              <w:t xml:space="preserve">Aspectos Legais </w:t>
            </w:r>
          </w:p>
        </w:tc>
        <w:tc>
          <w:tcPr>
            <w:tcW w:w="2551" w:type="dxa"/>
            <w:shd w:val="clear" w:color="auto" w:fill="FABF8F"/>
            <w:vAlign w:val="center"/>
          </w:tcPr>
          <w:p w:rsidR="00B25511" w:rsidRPr="00B907BB" w:rsidRDefault="00B25511" w:rsidP="00C168B5">
            <w:pPr>
              <w:spacing w:line="240" w:lineRule="auto"/>
              <w:jc w:val="left"/>
              <w:rPr>
                <w:rFonts w:cs="Arial"/>
                <w:szCs w:val="22"/>
              </w:rPr>
            </w:pPr>
            <w:r>
              <w:rPr>
                <w:rFonts w:cs="Arial"/>
                <w:szCs w:val="22"/>
              </w:rPr>
              <w:t xml:space="preserve">Paulo </w:t>
            </w:r>
            <w:r w:rsidR="00C168B5">
              <w:rPr>
                <w:rFonts w:cs="Arial"/>
                <w:szCs w:val="22"/>
              </w:rPr>
              <w:t xml:space="preserve">Roberto da S. </w:t>
            </w:r>
            <w:r>
              <w:rPr>
                <w:rFonts w:cs="Arial"/>
                <w:szCs w:val="22"/>
              </w:rPr>
              <w:t xml:space="preserve">Yeda </w:t>
            </w:r>
          </w:p>
        </w:tc>
        <w:tc>
          <w:tcPr>
            <w:tcW w:w="2410" w:type="dxa"/>
            <w:shd w:val="clear" w:color="auto" w:fill="FABF8F"/>
            <w:vAlign w:val="center"/>
          </w:tcPr>
          <w:p w:rsidR="00B25511" w:rsidRPr="00B907BB" w:rsidRDefault="00B25511" w:rsidP="00F04018">
            <w:pPr>
              <w:spacing w:line="240" w:lineRule="auto"/>
              <w:jc w:val="left"/>
              <w:rPr>
                <w:rFonts w:cs="Arial"/>
                <w:szCs w:val="22"/>
              </w:rPr>
            </w:pPr>
            <w:r>
              <w:rPr>
                <w:rFonts w:cs="Arial"/>
                <w:szCs w:val="22"/>
              </w:rPr>
              <w:t>Advogado</w:t>
            </w:r>
          </w:p>
        </w:tc>
        <w:tc>
          <w:tcPr>
            <w:tcW w:w="2977" w:type="dxa"/>
            <w:shd w:val="clear" w:color="auto" w:fill="FABF8F"/>
            <w:vAlign w:val="center"/>
          </w:tcPr>
          <w:p w:rsidR="00B25511" w:rsidRPr="00B907BB" w:rsidRDefault="00B25511" w:rsidP="00DE61F7">
            <w:pPr>
              <w:spacing w:line="240" w:lineRule="auto"/>
              <w:jc w:val="left"/>
              <w:rPr>
                <w:rFonts w:cs="Arial"/>
                <w:szCs w:val="22"/>
              </w:rPr>
            </w:pPr>
            <w:r>
              <w:rPr>
                <w:rFonts w:cs="Arial"/>
                <w:szCs w:val="22"/>
              </w:rPr>
              <w:t>OAB</w:t>
            </w:r>
            <w:r w:rsidR="00DE61F7">
              <w:rPr>
                <w:rFonts w:cs="Arial"/>
                <w:szCs w:val="22"/>
              </w:rPr>
              <w:t>/SP 78675</w:t>
            </w:r>
          </w:p>
        </w:tc>
      </w:tr>
      <w:tr w:rsidR="00B25511" w:rsidRPr="004342A6" w:rsidTr="008C32BC">
        <w:trPr>
          <w:trHeight w:val="430"/>
          <w:jc w:val="center"/>
        </w:trPr>
        <w:tc>
          <w:tcPr>
            <w:tcW w:w="10261" w:type="dxa"/>
            <w:gridSpan w:val="4"/>
            <w:shd w:val="clear" w:color="auto" w:fill="D9D9D9"/>
            <w:vAlign w:val="center"/>
          </w:tcPr>
          <w:p w:rsidR="00B25511" w:rsidRPr="00B64B15" w:rsidRDefault="00B25511" w:rsidP="00F04018">
            <w:pPr>
              <w:spacing w:line="240" w:lineRule="auto"/>
              <w:jc w:val="left"/>
              <w:rPr>
                <w:rFonts w:cs="Arial"/>
                <w:szCs w:val="22"/>
              </w:rPr>
            </w:pPr>
            <w:r w:rsidRPr="00B64B15">
              <w:rPr>
                <w:rFonts w:cs="Arial"/>
                <w:b/>
                <w:szCs w:val="22"/>
              </w:rPr>
              <w:t>MEIO FÍSICO</w:t>
            </w:r>
          </w:p>
        </w:tc>
      </w:tr>
      <w:tr w:rsidR="00B25511" w:rsidRPr="005408C0" w:rsidTr="00DE43A8">
        <w:trPr>
          <w:trHeight w:val="507"/>
          <w:jc w:val="center"/>
        </w:trPr>
        <w:tc>
          <w:tcPr>
            <w:tcW w:w="2323" w:type="dxa"/>
            <w:tcBorders>
              <w:bottom w:val="nil"/>
            </w:tcBorders>
            <w:shd w:val="clear" w:color="auto" w:fill="FBD4B4"/>
            <w:vAlign w:val="center"/>
          </w:tcPr>
          <w:p w:rsidR="00B25511" w:rsidRPr="00B64B15" w:rsidRDefault="00B25511" w:rsidP="00F04018">
            <w:pPr>
              <w:spacing w:line="240" w:lineRule="auto"/>
              <w:jc w:val="left"/>
              <w:rPr>
                <w:rFonts w:cs="Arial"/>
                <w:szCs w:val="22"/>
              </w:rPr>
            </w:pPr>
            <w:r w:rsidRPr="00B64B15">
              <w:rPr>
                <w:rFonts w:cs="Arial"/>
                <w:szCs w:val="22"/>
              </w:rPr>
              <w:t>Coordenação Setorial</w:t>
            </w:r>
          </w:p>
        </w:tc>
        <w:tc>
          <w:tcPr>
            <w:tcW w:w="2551" w:type="dxa"/>
            <w:shd w:val="clear" w:color="auto" w:fill="FBD4B4"/>
            <w:vAlign w:val="center"/>
          </w:tcPr>
          <w:p w:rsidR="00B25511" w:rsidRPr="00B64B15" w:rsidRDefault="00B25511" w:rsidP="00F04018">
            <w:pPr>
              <w:spacing w:line="240" w:lineRule="auto"/>
              <w:jc w:val="left"/>
              <w:rPr>
                <w:rFonts w:cs="Arial"/>
                <w:szCs w:val="22"/>
              </w:rPr>
            </w:pPr>
            <w:r w:rsidRPr="00B64B15">
              <w:rPr>
                <w:rFonts w:cs="Arial"/>
                <w:szCs w:val="22"/>
              </w:rPr>
              <w:t xml:space="preserve">Mariana Santos Vargas </w:t>
            </w:r>
          </w:p>
        </w:tc>
        <w:tc>
          <w:tcPr>
            <w:tcW w:w="2410" w:type="dxa"/>
            <w:shd w:val="clear" w:color="auto" w:fill="FBD4B4"/>
            <w:vAlign w:val="center"/>
          </w:tcPr>
          <w:p w:rsidR="00B25511" w:rsidRPr="00B64B15" w:rsidRDefault="00B25511" w:rsidP="00F04018">
            <w:pPr>
              <w:spacing w:line="240" w:lineRule="auto"/>
              <w:jc w:val="left"/>
              <w:rPr>
                <w:rFonts w:cs="Arial"/>
                <w:szCs w:val="22"/>
              </w:rPr>
            </w:pPr>
            <w:r w:rsidRPr="00B64B15">
              <w:rPr>
                <w:rFonts w:cs="Arial"/>
                <w:szCs w:val="22"/>
              </w:rPr>
              <w:t>Geógrafa/Geóloga</w:t>
            </w:r>
            <w:r>
              <w:rPr>
                <w:rFonts w:cs="Arial"/>
                <w:szCs w:val="22"/>
              </w:rPr>
              <w:t xml:space="preserve"> MSc</w:t>
            </w:r>
          </w:p>
        </w:tc>
        <w:tc>
          <w:tcPr>
            <w:tcW w:w="2977" w:type="dxa"/>
            <w:shd w:val="clear" w:color="auto" w:fill="FBD4B4"/>
            <w:vAlign w:val="center"/>
          </w:tcPr>
          <w:p w:rsidR="00B25511" w:rsidRPr="005408C0" w:rsidRDefault="00B25511" w:rsidP="00F04018">
            <w:pPr>
              <w:spacing w:line="240" w:lineRule="auto"/>
              <w:jc w:val="left"/>
              <w:rPr>
                <w:rFonts w:cs="Arial"/>
                <w:szCs w:val="22"/>
                <w:lang w:val="es-AR"/>
              </w:rPr>
            </w:pPr>
            <w:r w:rsidRPr="005408C0">
              <w:rPr>
                <w:rFonts w:cs="Arial"/>
                <w:szCs w:val="22"/>
                <w:lang w:val="es-AR"/>
              </w:rPr>
              <w:t>CREA/SP 060112296-0</w:t>
            </w:r>
          </w:p>
        </w:tc>
      </w:tr>
      <w:tr w:rsidR="00E63AFA" w:rsidRPr="004342A6" w:rsidTr="008C32BC">
        <w:trPr>
          <w:trHeight w:val="693"/>
          <w:jc w:val="center"/>
        </w:trPr>
        <w:tc>
          <w:tcPr>
            <w:tcW w:w="2323" w:type="dxa"/>
            <w:vMerge w:val="restart"/>
            <w:tcBorders>
              <w:top w:val="nil"/>
            </w:tcBorders>
            <w:shd w:val="clear" w:color="auto" w:fill="FBD4B4"/>
            <w:vAlign w:val="center"/>
          </w:tcPr>
          <w:p w:rsidR="00E63AFA" w:rsidRPr="00B64B15" w:rsidRDefault="00E63AFA" w:rsidP="00F04018">
            <w:pPr>
              <w:spacing w:line="240" w:lineRule="auto"/>
              <w:jc w:val="left"/>
              <w:rPr>
                <w:rFonts w:cs="Arial"/>
                <w:szCs w:val="22"/>
              </w:rPr>
            </w:pPr>
            <w:r w:rsidRPr="00B64B15">
              <w:rPr>
                <w:rFonts w:cs="Arial"/>
                <w:szCs w:val="22"/>
              </w:rPr>
              <w:t>Geomorfologia, Pedologia, Fragilidade Ambiental</w:t>
            </w:r>
          </w:p>
        </w:tc>
        <w:tc>
          <w:tcPr>
            <w:tcW w:w="2551" w:type="dxa"/>
            <w:shd w:val="clear" w:color="auto" w:fill="FBD4B4"/>
            <w:vAlign w:val="center"/>
          </w:tcPr>
          <w:p w:rsidR="00E63AFA" w:rsidRPr="00B64B15" w:rsidRDefault="00E63AFA" w:rsidP="00F04018">
            <w:pPr>
              <w:spacing w:line="240" w:lineRule="auto"/>
              <w:jc w:val="left"/>
              <w:rPr>
                <w:rFonts w:cs="Arial"/>
                <w:szCs w:val="22"/>
              </w:rPr>
            </w:pPr>
            <w:r w:rsidRPr="00B64B15">
              <w:rPr>
                <w:rFonts w:cs="Arial"/>
                <w:szCs w:val="22"/>
              </w:rPr>
              <w:t>Luiz Toledo Barros Rizzo</w:t>
            </w:r>
          </w:p>
        </w:tc>
        <w:tc>
          <w:tcPr>
            <w:tcW w:w="2410" w:type="dxa"/>
            <w:shd w:val="clear" w:color="auto" w:fill="FBD4B4"/>
            <w:vAlign w:val="center"/>
          </w:tcPr>
          <w:p w:rsidR="00E63AFA" w:rsidRPr="00B64B15" w:rsidRDefault="00E63AFA" w:rsidP="00F04018">
            <w:pPr>
              <w:spacing w:line="240" w:lineRule="auto"/>
              <w:jc w:val="left"/>
              <w:rPr>
                <w:rFonts w:cs="Arial"/>
                <w:szCs w:val="22"/>
              </w:rPr>
            </w:pPr>
            <w:r>
              <w:rPr>
                <w:rFonts w:cs="Arial"/>
                <w:szCs w:val="22"/>
              </w:rPr>
              <w:t>Engenheiro Agrônomo, MSc. Dr. Pedologia</w:t>
            </w:r>
          </w:p>
        </w:tc>
        <w:tc>
          <w:tcPr>
            <w:tcW w:w="2977" w:type="dxa"/>
            <w:shd w:val="clear" w:color="auto" w:fill="FBD4B4"/>
            <w:vAlign w:val="center"/>
          </w:tcPr>
          <w:p w:rsidR="00E63AFA" w:rsidRPr="00B64B15" w:rsidRDefault="00E63AFA" w:rsidP="00E63AFA">
            <w:pPr>
              <w:spacing w:line="240" w:lineRule="auto"/>
              <w:jc w:val="left"/>
              <w:rPr>
                <w:rFonts w:cs="Arial"/>
                <w:szCs w:val="22"/>
              </w:rPr>
            </w:pPr>
            <w:r>
              <w:rPr>
                <w:rFonts w:cs="Arial"/>
                <w:szCs w:val="22"/>
              </w:rPr>
              <w:t>CREA/SP</w:t>
            </w:r>
            <w:r w:rsidRPr="00B64B15">
              <w:rPr>
                <w:rFonts w:cs="Arial"/>
                <w:szCs w:val="22"/>
              </w:rPr>
              <w:t xml:space="preserve"> 83.489/D</w:t>
            </w:r>
          </w:p>
        </w:tc>
      </w:tr>
      <w:tr w:rsidR="00E63AFA" w:rsidRPr="004342A6" w:rsidTr="00DE43A8">
        <w:trPr>
          <w:trHeight w:val="624"/>
          <w:jc w:val="center"/>
        </w:trPr>
        <w:tc>
          <w:tcPr>
            <w:tcW w:w="2323" w:type="dxa"/>
            <w:vMerge/>
            <w:shd w:val="clear" w:color="auto" w:fill="FBD4B4"/>
            <w:vAlign w:val="center"/>
          </w:tcPr>
          <w:p w:rsidR="00E63AFA" w:rsidRPr="00B64B15" w:rsidRDefault="00E63AFA" w:rsidP="00F04018">
            <w:pPr>
              <w:spacing w:line="240" w:lineRule="auto"/>
              <w:jc w:val="left"/>
              <w:rPr>
                <w:rFonts w:cs="Arial"/>
                <w:b/>
                <w:szCs w:val="22"/>
              </w:rPr>
            </w:pPr>
          </w:p>
        </w:tc>
        <w:tc>
          <w:tcPr>
            <w:tcW w:w="2551" w:type="dxa"/>
            <w:shd w:val="clear" w:color="auto" w:fill="FBD4B4"/>
            <w:vAlign w:val="center"/>
          </w:tcPr>
          <w:p w:rsidR="00E63AFA" w:rsidRPr="0076711E" w:rsidRDefault="00E63AFA" w:rsidP="00F04018">
            <w:pPr>
              <w:spacing w:line="240" w:lineRule="auto"/>
              <w:jc w:val="left"/>
              <w:rPr>
                <w:rFonts w:cs="Arial"/>
                <w:szCs w:val="22"/>
              </w:rPr>
            </w:pPr>
            <w:r w:rsidRPr="0076711E">
              <w:rPr>
                <w:rFonts w:cs="Arial"/>
                <w:szCs w:val="22"/>
              </w:rPr>
              <w:t>Mara</w:t>
            </w:r>
            <w:r>
              <w:rPr>
                <w:rFonts w:cs="Arial"/>
                <w:szCs w:val="22"/>
              </w:rPr>
              <w:t xml:space="preserve"> de Andrade Marinho Weill</w:t>
            </w:r>
          </w:p>
        </w:tc>
        <w:tc>
          <w:tcPr>
            <w:tcW w:w="2410" w:type="dxa"/>
            <w:shd w:val="clear" w:color="auto" w:fill="FBD4B4"/>
            <w:vAlign w:val="center"/>
          </w:tcPr>
          <w:p w:rsidR="00E63AFA" w:rsidRDefault="00E63AFA" w:rsidP="00827929">
            <w:pPr>
              <w:spacing w:line="240" w:lineRule="auto"/>
              <w:jc w:val="left"/>
              <w:rPr>
                <w:rFonts w:cs="Arial"/>
                <w:szCs w:val="22"/>
              </w:rPr>
            </w:pPr>
            <w:r>
              <w:rPr>
                <w:rFonts w:cs="Arial"/>
                <w:szCs w:val="22"/>
              </w:rPr>
              <w:t>Engenheira Agrônoma, MSc. Dr.</w:t>
            </w:r>
          </w:p>
          <w:p w:rsidR="00E63AFA" w:rsidRPr="0076711E" w:rsidRDefault="00E63AFA" w:rsidP="00827929">
            <w:pPr>
              <w:spacing w:line="240" w:lineRule="auto"/>
              <w:jc w:val="left"/>
              <w:rPr>
                <w:rFonts w:cs="Arial"/>
                <w:szCs w:val="22"/>
              </w:rPr>
            </w:pPr>
            <w:r>
              <w:rPr>
                <w:rFonts w:cs="Arial"/>
                <w:szCs w:val="22"/>
              </w:rPr>
              <w:t>(Consultora)</w:t>
            </w:r>
          </w:p>
        </w:tc>
        <w:tc>
          <w:tcPr>
            <w:tcW w:w="2977" w:type="dxa"/>
            <w:shd w:val="clear" w:color="auto" w:fill="FBD4B4"/>
            <w:vAlign w:val="center"/>
          </w:tcPr>
          <w:p w:rsidR="00E63AFA" w:rsidRPr="0076711E" w:rsidRDefault="00AF05FE" w:rsidP="00AF05FE">
            <w:pPr>
              <w:spacing w:before="100" w:beforeAutospacing="1" w:after="100" w:afterAutospacing="1"/>
              <w:rPr>
                <w:rFonts w:cs="Arial"/>
                <w:szCs w:val="22"/>
              </w:rPr>
            </w:pPr>
            <w:r w:rsidRPr="00AF05FE">
              <w:rPr>
                <w:rFonts w:cs="Arial"/>
                <w:szCs w:val="22"/>
              </w:rPr>
              <w:t>CREA/SP 0600943000</w:t>
            </w:r>
          </w:p>
        </w:tc>
      </w:tr>
      <w:tr w:rsidR="00E63AFA" w:rsidRPr="004342A6" w:rsidTr="008C32BC">
        <w:trPr>
          <w:trHeight w:val="563"/>
          <w:jc w:val="center"/>
        </w:trPr>
        <w:tc>
          <w:tcPr>
            <w:tcW w:w="2323" w:type="dxa"/>
            <w:vMerge/>
            <w:shd w:val="clear" w:color="auto" w:fill="FBD4B4"/>
            <w:vAlign w:val="center"/>
          </w:tcPr>
          <w:p w:rsidR="00E63AFA" w:rsidRPr="00B64B15" w:rsidRDefault="00E63AFA" w:rsidP="00F04018">
            <w:pPr>
              <w:spacing w:line="240" w:lineRule="auto"/>
              <w:jc w:val="left"/>
              <w:rPr>
                <w:rFonts w:cs="Arial"/>
                <w:b/>
                <w:szCs w:val="22"/>
              </w:rPr>
            </w:pPr>
          </w:p>
        </w:tc>
        <w:tc>
          <w:tcPr>
            <w:tcW w:w="2551" w:type="dxa"/>
            <w:shd w:val="clear" w:color="auto" w:fill="FBD4B4"/>
            <w:vAlign w:val="center"/>
          </w:tcPr>
          <w:p w:rsidR="00E63AFA" w:rsidRPr="008C76FC" w:rsidRDefault="00E63AFA" w:rsidP="001D71FA">
            <w:pPr>
              <w:spacing w:line="240" w:lineRule="auto"/>
              <w:jc w:val="left"/>
              <w:rPr>
                <w:rFonts w:cs="Arial"/>
                <w:szCs w:val="22"/>
              </w:rPr>
            </w:pPr>
            <w:r w:rsidRPr="008C76FC">
              <w:rPr>
                <w:rFonts w:cs="Arial"/>
                <w:szCs w:val="22"/>
              </w:rPr>
              <w:t>Gabriela A. Bergamo</w:t>
            </w:r>
          </w:p>
        </w:tc>
        <w:tc>
          <w:tcPr>
            <w:tcW w:w="2410" w:type="dxa"/>
            <w:shd w:val="clear" w:color="auto" w:fill="FBD4B4"/>
            <w:vAlign w:val="center"/>
          </w:tcPr>
          <w:p w:rsidR="00E63AFA" w:rsidRPr="008C76FC" w:rsidRDefault="00E63AFA" w:rsidP="001D71FA">
            <w:pPr>
              <w:spacing w:line="240" w:lineRule="auto"/>
              <w:jc w:val="left"/>
              <w:rPr>
                <w:rFonts w:cs="Arial"/>
                <w:szCs w:val="22"/>
              </w:rPr>
            </w:pPr>
            <w:r>
              <w:rPr>
                <w:rFonts w:cs="Arial"/>
                <w:szCs w:val="22"/>
              </w:rPr>
              <w:t>Geógrafa</w:t>
            </w:r>
          </w:p>
        </w:tc>
        <w:tc>
          <w:tcPr>
            <w:tcW w:w="2977" w:type="dxa"/>
            <w:shd w:val="clear" w:color="auto" w:fill="FBD4B4"/>
            <w:vAlign w:val="center"/>
          </w:tcPr>
          <w:p w:rsidR="00E63AFA" w:rsidRPr="008C76FC" w:rsidRDefault="00E63AFA" w:rsidP="001D71FA">
            <w:pPr>
              <w:spacing w:line="240" w:lineRule="auto"/>
              <w:jc w:val="left"/>
              <w:rPr>
                <w:rFonts w:cs="Arial"/>
                <w:szCs w:val="22"/>
              </w:rPr>
            </w:pPr>
            <w:r>
              <w:rPr>
                <w:rFonts w:cs="Arial"/>
                <w:szCs w:val="22"/>
              </w:rPr>
              <w:t xml:space="preserve">CREA/SP </w:t>
            </w:r>
            <w:r>
              <w:t>5069303243</w:t>
            </w:r>
          </w:p>
        </w:tc>
      </w:tr>
    </w:tbl>
    <w:p w:rsidR="00B25511" w:rsidRPr="004F231E" w:rsidRDefault="00B25511" w:rsidP="00B25511">
      <w:pPr>
        <w:spacing w:after="120" w:line="240" w:lineRule="auto"/>
        <w:jc w:val="left"/>
        <w:rPr>
          <w:rFonts w:cs="Arial"/>
          <w:sz w:val="20"/>
        </w:rPr>
      </w:pPr>
      <w:r>
        <w:rPr>
          <w:rFonts w:cs="Arial"/>
          <w:sz w:val="20"/>
        </w:rPr>
        <w:br w:type="page"/>
      </w:r>
      <w:r w:rsidRPr="004F231E">
        <w:rPr>
          <w:rFonts w:cs="Arial"/>
          <w:sz w:val="20"/>
        </w:rPr>
        <w:t>(continuação)</w:t>
      </w: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3"/>
        <w:gridCol w:w="2410"/>
        <w:gridCol w:w="2551"/>
        <w:gridCol w:w="2747"/>
      </w:tblGrid>
      <w:tr w:rsidR="00B25511" w:rsidRPr="00B907BB" w:rsidTr="00F04018">
        <w:trPr>
          <w:trHeight w:val="674"/>
          <w:jc w:val="center"/>
        </w:trPr>
        <w:tc>
          <w:tcPr>
            <w:tcW w:w="2323" w:type="dxa"/>
            <w:shd w:val="clear" w:color="auto" w:fill="D9D9D9"/>
            <w:vAlign w:val="center"/>
          </w:tcPr>
          <w:p w:rsidR="00B25511" w:rsidRDefault="00B25511" w:rsidP="00F04018">
            <w:pPr>
              <w:spacing w:line="240" w:lineRule="auto"/>
              <w:jc w:val="center"/>
              <w:rPr>
                <w:rFonts w:cs="Arial"/>
                <w:b/>
                <w:sz w:val="20"/>
              </w:rPr>
            </w:pPr>
            <w:r w:rsidRPr="00B907BB">
              <w:rPr>
                <w:rFonts w:cs="Arial"/>
                <w:b/>
                <w:sz w:val="20"/>
              </w:rPr>
              <w:t>PARTICIPAÇÃO</w:t>
            </w:r>
            <w:r>
              <w:rPr>
                <w:rFonts w:cs="Arial"/>
                <w:b/>
                <w:sz w:val="20"/>
              </w:rPr>
              <w:t>/</w:t>
            </w:r>
          </w:p>
          <w:p w:rsidR="00B25511" w:rsidRPr="00B907BB" w:rsidRDefault="00B25511" w:rsidP="00F04018">
            <w:pPr>
              <w:spacing w:line="240" w:lineRule="auto"/>
              <w:jc w:val="center"/>
              <w:rPr>
                <w:rFonts w:cs="Arial"/>
                <w:b/>
                <w:sz w:val="20"/>
              </w:rPr>
            </w:pPr>
            <w:r>
              <w:rPr>
                <w:rFonts w:cs="Arial"/>
                <w:b/>
                <w:sz w:val="20"/>
              </w:rPr>
              <w:t>TEMA</w:t>
            </w:r>
          </w:p>
        </w:tc>
        <w:tc>
          <w:tcPr>
            <w:tcW w:w="2410" w:type="dxa"/>
            <w:shd w:val="clear" w:color="auto" w:fill="D9D9D9"/>
            <w:vAlign w:val="center"/>
          </w:tcPr>
          <w:p w:rsidR="00B25511" w:rsidRPr="00B907BB" w:rsidRDefault="00B25511" w:rsidP="00F04018">
            <w:pPr>
              <w:spacing w:line="240" w:lineRule="auto"/>
              <w:jc w:val="center"/>
              <w:rPr>
                <w:rFonts w:cs="Arial"/>
                <w:b/>
                <w:sz w:val="20"/>
              </w:rPr>
            </w:pPr>
            <w:r w:rsidRPr="00B907BB">
              <w:rPr>
                <w:rFonts w:cs="Arial"/>
                <w:b/>
                <w:sz w:val="20"/>
              </w:rPr>
              <w:t>NOME</w:t>
            </w:r>
          </w:p>
        </w:tc>
        <w:tc>
          <w:tcPr>
            <w:tcW w:w="2551" w:type="dxa"/>
            <w:shd w:val="clear" w:color="auto" w:fill="D9D9D9"/>
            <w:vAlign w:val="center"/>
          </w:tcPr>
          <w:p w:rsidR="00B25511" w:rsidRPr="00B907BB" w:rsidRDefault="00B25511" w:rsidP="00F04018">
            <w:pPr>
              <w:spacing w:line="240" w:lineRule="auto"/>
              <w:jc w:val="center"/>
              <w:rPr>
                <w:rFonts w:cs="Arial"/>
                <w:b/>
                <w:sz w:val="20"/>
              </w:rPr>
            </w:pPr>
            <w:r w:rsidRPr="00B907BB">
              <w:rPr>
                <w:rFonts w:cs="Arial"/>
                <w:b/>
                <w:sz w:val="20"/>
              </w:rPr>
              <w:t>FORMAÇÃO</w:t>
            </w:r>
          </w:p>
        </w:tc>
        <w:tc>
          <w:tcPr>
            <w:tcW w:w="2747" w:type="dxa"/>
            <w:shd w:val="clear" w:color="auto" w:fill="D9D9D9"/>
            <w:vAlign w:val="center"/>
          </w:tcPr>
          <w:p w:rsidR="00B25511" w:rsidRPr="00B907BB" w:rsidRDefault="00B25511" w:rsidP="00F04018">
            <w:pPr>
              <w:spacing w:line="240" w:lineRule="auto"/>
              <w:jc w:val="center"/>
              <w:rPr>
                <w:rFonts w:cs="Arial"/>
                <w:b/>
                <w:sz w:val="20"/>
              </w:rPr>
            </w:pPr>
            <w:r w:rsidRPr="00B907BB">
              <w:rPr>
                <w:rFonts w:cs="Arial"/>
                <w:b/>
                <w:sz w:val="20"/>
              </w:rPr>
              <w:t>REGISTRO PROFISSIONAL</w:t>
            </w:r>
          </w:p>
        </w:tc>
      </w:tr>
      <w:tr w:rsidR="00B25511" w:rsidRPr="004342A6" w:rsidTr="00F04018">
        <w:trPr>
          <w:trHeight w:val="430"/>
          <w:jc w:val="center"/>
        </w:trPr>
        <w:tc>
          <w:tcPr>
            <w:tcW w:w="10031" w:type="dxa"/>
            <w:gridSpan w:val="4"/>
            <w:shd w:val="clear" w:color="auto" w:fill="D9D9D9"/>
            <w:vAlign w:val="center"/>
          </w:tcPr>
          <w:p w:rsidR="00B25511" w:rsidRPr="00B64B15" w:rsidRDefault="00B25511" w:rsidP="00F04018">
            <w:pPr>
              <w:spacing w:line="240" w:lineRule="auto"/>
              <w:jc w:val="left"/>
              <w:rPr>
                <w:rFonts w:cs="Arial"/>
                <w:szCs w:val="22"/>
              </w:rPr>
            </w:pPr>
            <w:r w:rsidRPr="00B64B15">
              <w:rPr>
                <w:rFonts w:cs="Arial"/>
                <w:b/>
                <w:szCs w:val="22"/>
              </w:rPr>
              <w:t>MEIO FÍSICO</w:t>
            </w:r>
          </w:p>
        </w:tc>
      </w:tr>
      <w:tr w:rsidR="00B25511" w:rsidRPr="00306A81" w:rsidTr="00F04018">
        <w:trPr>
          <w:trHeight w:val="683"/>
          <w:jc w:val="center"/>
        </w:trPr>
        <w:tc>
          <w:tcPr>
            <w:tcW w:w="2323" w:type="dxa"/>
            <w:tcBorders>
              <w:bottom w:val="nil"/>
            </w:tcBorders>
            <w:shd w:val="clear" w:color="auto" w:fill="FABF8F"/>
            <w:vAlign w:val="center"/>
          </w:tcPr>
          <w:p w:rsidR="00B25511" w:rsidRPr="00B64B15" w:rsidRDefault="00B25511" w:rsidP="00F04018">
            <w:pPr>
              <w:spacing w:line="240" w:lineRule="auto"/>
              <w:jc w:val="left"/>
              <w:rPr>
                <w:rFonts w:cs="Arial"/>
                <w:szCs w:val="22"/>
              </w:rPr>
            </w:pPr>
            <w:r w:rsidRPr="00B64B15">
              <w:rPr>
                <w:rFonts w:cs="Arial"/>
                <w:szCs w:val="22"/>
              </w:rPr>
              <w:t>Coordenação Setorial</w:t>
            </w:r>
            <w:r w:rsidR="00295DD1">
              <w:rPr>
                <w:rFonts w:cs="Arial"/>
                <w:szCs w:val="22"/>
              </w:rPr>
              <w:t xml:space="preserve"> - </w:t>
            </w:r>
          </w:p>
        </w:tc>
        <w:tc>
          <w:tcPr>
            <w:tcW w:w="2410" w:type="dxa"/>
            <w:shd w:val="clear" w:color="auto" w:fill="FABF8F"/>
            <w:vAlign w:val="center"/>
          </w:tcPr>
          <w:p w:rsidR="00B25511" w:rsidRPr="008C76FC" w:rsidRDefault="00B25511" w:rsidP="00F04018">
            <w:pPr>
              <w:spacing w:line="240" w:lineRule="auto"/>
              <w:jc w:val="left"/>
              <w:rPr>
                <w:rFonts w:cs="Arial"/>
                <w:szCs w:val="22"/>
              </w:rPr>
            </w:pPr>
            <w:r w:rsidRPr="008C76FC">
              <w:rPr>
                <w:rFonts w:cs="Arial"/>
                <w:szCs w:val="22"/>
              </w:rPr>
              <w:t>Marilda Tressoldi</w:t>
            </w:r>
          </w:p>
        </w:tc>
        <w:tc>
          <w:tcPr>
            <w:tcW w:w="2551" w:type="dxa"/>
            <w:shd w:val="clear" w:color="auto" w:fill="FABF8F"/>
            <w:vAlign w:val="center"/>
          </w:tcPr>
          <w:p w:rsidR="00B25511" w:rsidRPr="00B64B15" w:rsidRDefault="00B25511" w:rsidP="00F04018">
            <w:pPr>
              <w:spacing w:line="240" w:lineRule="auto"/>
              <w:jc w:val="left"/>
              <w:rPr>
                <w:rFonts w:cs="Arial"/>
                <w:szCs w:val="22"/>
              </w:rPr>
            </w:pPr>
            <w:r>
              <w:rPr>
                <w:rFonts w:cs="Arial"/>
                <w:szCs w:val="22"/>
              </w:rPr>
              <w:t>Geóloga, MSc , Dr.</w:t>
            </w:r>
          </w:p>
        </w:tc>
        <w:tc>
          <w:tcPr>
            <w:tcW w:w="2747" w:type="dxa"/>
            <w:shd w:val="clear" w:color="auto" w:fill="FABF8F"/>
            <w:vAlign w:val="center"/>
          </w:tcPr>
          <w:p w:rsidR="00B25511" w:rsidRPr="005408C0" w:rsidRDefault="00B25511" w:rsidP="00F04018">
            <w:pPr>
              <w:spacing w:line="240" w:lineRule="auto"/>
              <w:jc w:val="left"/>
              <w:rPr>
                <w:rFonts w:cs="Arial"/>
                <w:szCs w:val="22"/>
              </w:rPr>
            </w:pPr>
            <w:r w:rsidRPr="005408C0">
              <w:rPr>
                <w:rFonts w:cs="Arial"/>
                <w:szCs w:val="22"/>
              </w:rPr>
              <w:t>CREA/SP 0600581382</w:t>
            </w:r>
          </w:p>
        </w:tc>
      </w:tr>
      <w:tr w:rsidR="00B25511" w:rsidRPr="00306A81" w:rsidTr="00F04018">
        <w:trPr>
          <w:trHeight w:val="683"/>
          <w:jc w:val="center"/>
        </w:trPr>
        <w:tc>
          <w:tcPr>
            <w:tcW w:w="2323" w:type="dxa"/>
            <w:vMerge w:val="restart"/>
            <w:tcBorders>
              <w:top w:val="nil"/>
            </w:tcBorders>
            <w:shd w:val="clear" w:color="auto" w:fill="FABF8F"/>
            <w:vAlign w:val="center"/>
          </w:tcPr>
          <w:p w:rsidR="00B25511" w:rsidRPr="00B64B15" w:rsidRDefault="00B25511" w:rsidP="00F04018">
            <w:pPr>
              <w:spacing w:line="240" w:lineRule="auto"/>
              <w:jc w:val="left"/>
              <w:rPr>
                <w:rFonts w:cs="Arial"/>
                <w:szCs w:val="22"/>
              </w:rPr>
            </w:pPr>
            <w:r w:rsidRPr="00B64B15">
              <w:rPr>
                <w:rFonts w:cs="Arial"/>
                <w:szCs w:val="22"/>
              </w:rPr>
              <w:t>Geologia, Hidrogeologia, Sismicidade e Estabilidade de Encostas</w:t>
            </w:r>
          </w:p>
        </w:tc>
        <w:tc>
          <w:tcPr>
            <w:tcW w:w="2410" w:type="dxa"/>
            <w:shd w:val="clear" w:color="auto" w:fill="FABF8F"/>
            <w:vAlign w:val="center"/>
          </w:tcPr>
          <w:p w:rsidR="00B25511" w:rsidRPr="008C76FC" w:rsidRDefault="00B25511" w:rsidP="00F04018">
            <w:pPr>
              <w:spacing w:line="240" w:lineRule="auto"/>
              <w:jc w:val="left"/>
              <w:rPr>
                <w:rFonts w:cs="Arial"/>
                <w:szCs w:val="22"/>
              </w:rPr>
            </w:pPr>
            <w:r w:rsidRPr="008C76FC">
              <w:rPr>
                <w:rFonts w:cs="Arial"/>
                <w:szCs w:val="22"/>
              </w:rPr>
              <w:t>Paulo Fiorini</w:t>
            </w:r>
          </w:p>
        </w:tc>
        <w:tc>
          <w:tcPr>
            <w:tcW w:w="2551" w:type="dxa"/>
            <w:shd w:val="clear" w:color="auto" w:fill="FABF8F"/>
            <w:vAlign w:val="center"/>
          </w:tcPr>
          <w:p w:rsidR="00B25511" w:rsidRPr="00B64B15" w:rsidRDefault="00B25511" w:rsidP="00F04018">
            <w:pPr>
              <w:spacing w:line="240" w:lineRule="auto"/>
              <w:jc w:val="left"/>
              <w:rPr>
                <w:rFonts w:cs="Arial"/>
                <w:szCs w:val="22"/>
              </w:rPr>
            </w:pPr>
            <w:r w:rsidRPr="00B64B15">
              <w:rPr>
                <w:rFonts w:cs="Arial"/>
                <w:szCs w:val="22"/>
              </w:rPr>
              <w:t>Geólogo</w:t>
            </w:r>
          </w:p>
        </w:tc>
        <w:tc>
          <w:tcPr>
            <w:tcW w:w="2747" w:type="dxa"/>
            <w:shd w:val="clear" w:color="auto" w:fill="FABF8F"/>
            <w:vAlign w:val="center"/>
          </w:tcPr>
          <w:p w:rsidR="00B25511" w:rsidRPr="00B64B15" w:rsidRDefault="00B25511" w:rsidP="00F04018">
            <w:pPr>
              <w:spacing w:line="240" w:lineRule="auto"/>
              <w:jc w:val="left"/>
              <w:rPr>
                <w:rFonts w:cs="Arial"/>
                <w:szCs w:val="22"/>
                <w:lang w:val="es-AR"/>
              </w:rPr>
            </w:pPr>
            <w:r w:rsidRPr="00B64B15">
              <w:rPr>
                <w:rFonts w:cs="Arial"/>
                <w:szCs w:val="22"/>
                <w:lang w:val="es-AR"/>
              </w:rPr>
              <w:t xml:space="preserve">CREA/SP: 5068971123 </w:t>
            </w:r>
          </w:p>
        </w:tc>
      </w:tr>
      <w:tr w:rsidR="00B25511" w:rsidRPr="00EB4687" w:rsidTr="00F04018">
        <w:trPr>
          <w:trHeight w:val="683"/>
          <w:jc w:val="center"/>
        </w:trPr>
        <w:tc>
          <w:tcPr>
            <w:tcW w:w="2323" w:type="dxa"/>
            <w:vMerge/>
            <w:shd w:val="clear" w:color="auto" w:fill="FABF8F"/>
            <w:vAlign w:val="center"/>
          </w:tcPr>
          <w:p w:rsidR="00B25511" w:rsidRPr="005D245F" w:rsidRDefault="00B25511" w:rsidP="00F04018">
            <w:pPr>
              <w:spacing w:line="240" w:lineRule="auto"/>
              <w:jc w:val="center"/>
              <w:rPr>
                <w:rFonts w:cs="Arial"/>
                <w:sz w:val="20"/>
                <w:highlight w:val="green"/>
                <w:lang w:val="es-AR"/>
              </w:rPr>
            </w:pPr>
          </w:p>
        </w:tc>
        <w:tc>
          <w:tcPr>
            <w:tcW w:w="2410" w:type="dxa"/>
            <w:shd w:val="clear" w:color="auto" w:fill="FABF8F"/>
            <w:vAlign w:val="center"/>
          </w:tcPr>
          <w:p w:rsidR="00B25511" w:rsidRPr="008C76FC" w:rsidRDefault="00B25511" w:rsidP="00F04018">
            <w:pPr>
              <w:spacing w:line="240" w:lineRule="auto"/>
              <w:jc w:val="left"/>
              <w:rPr>
                <w:rFonts w:cs="Arial"/>
                <w:szCs w:val="22"/>
              </w:rPr>
            </w:pPr>
            <w:r w:rsidRPr="008C76FC">
              <w:rPr>
                <w:rFonts w:cs="Arial"/>
                <w:szCs w:val="22"/>
              </w:rPr>
              <w:t>Fernando Caramello</w:t>
            </w:r>
          </w:p>
        </w:tc>
        <w:tc>
          <w:tcPr>
            <w:tcW w:w="2551" w:type="dxa"/>
            <w:shd w:val="clear" w:color="auto" w:fill="FABF8F"/>
            <w:vAlign w:val="center"/>
          </w:tcPr>
          <w:p w:rsidR="00B25511" w:rsidRPr="00B64B15" w:rsidRDefault="00B25511" w:rsidP="00F04018">
            <w:pPr>
              <w:spacing w:line="240" w:lineRule="auto"/>
              <w:jc w:val="left"/>
              <w:rPr>
                <w:rFonts w:cs="Arial"/>
                <w:szCs w:val="22"/>
              </w:rPr>
            </w:pPr>
            <w:r w:rsidRPr="00B64B15">
              <w:rPr>
                <w:rFonts w:cs="Arial"/>
                <w:szCs w:val="22"/>
              </w:rPr>
              <w:t>Geólogo</w:t>
            </w:r>
          </w:p>
        </w:tc>
        <w:tc>
          <w:tcPr>
            <w:tcW w:w="2747" w:type="dxa"/>
            <w:shd w:val="clear" w:color="auto" w:fill="FABF8F"/>
            <w:vAlign w:val="center"/>
          </w:tcPr>
          <w:p w:rsidR="00B25511" w:rsidRPr="005408C0" w:rsidRDefault="00B25511" w:rsidP="00F04018">
            <w:pPr>
              <w:spacing w:line="240" w:lineRule="auto"/>
              <w:jc w:val="left"/>
              <w:rPr>
                <w:rFonts w:cs="Arial"/>
                <w:szCs w:val="22"/>
                <w:lang w:val="es-AR"/>
              </w:rPr>
            </w:pPr>
            <w:r w:rsidRPr="00B64B15">
              <w:rPr>
                <w:rFonts w:cs="Arial"/>
                <w:szCs w:val="22"/>
                <w:lang w:val="es-AR"/>
              </w:rPr>
              <w:t>C</w:t>
            </w:r>
            <w:r>
              <w:rPr>
                <w:rFonts w:cs="Arial"/>
                <w:szCs w:val="22"/>
                <w:lang w:val="es-AR"/>
              </w:rPr>
              <w:t xml:space="preserve">REA/SP 5063373220 </w:t>
            </w:r>
          </w:p>
        </w:tc>
      </w:tr>
      <w:tr w:rsidR="00B25511" w:rsidRPr="00306A81" w:rsidTr="00F04018">
        <w:trPr>
          <w:trHeight w:val="683"/>
          <w:jc w:val="center"/>
        </w:trPr>
        <w:tc>
          <w:tcPr>
            <w:tcW w:w="2323" w:type="dxa"/>
            <w:vMerge/>
            <w:shd w:val="clear" w:color="auto" w:fill="FABF8F"/>
            <w:vAlign w:val="center"/>
          </w:tcPr>
          <w:p w:rsidR="00B25511" w:rsidRPr="005D245F" w:rsidRDefault="00B25511" w:rsidP="00F04018">
            <w:pPr>
              <w:spacing w:before="100" w:beforeAutospacing="1"/>
              <w:jc w:val="center"/>
              <w:rPr>
                <w:rFonts w:eastAsia="Calibri"/>
                <w:sz w:val="24"/>
                <w:szCs w:val="24"/>
                <w:highlight w:val="green"/>
                <w:lang w:val="es-AR"/>
              </w:rPr>
            </w:pPr>
          </w:p>
        </w:tc>
        <w:tc>
          <w:tcPr>
            <w:tcW w:w="2410" w:type="dxa"/>
            <w:shd w:val="clear" w:color="auto" w:fill="FABF8F"/>
            <w:vAlign w:val="center"/>
          </w:tcPr>
          <w:p w:rsidR="00B25511" w:rsidRPr="008C76FC" w:rsidRDefault="00B25511" w:rsidP="00F04018">
            <w:pPr>
              <w:spacing w:line="240" w:lineRule="auto"/>
              <w:jc w:val="left"/>
              <w:rPr>
                <w:rFonts w:cs="Arial"/>
                <w:szCs w:val="22"/>
              </w:rPr>
            </w:pPr>
            <w:r w:rsidRPr="008C76FC">
              <w:rPr>
                <w:rFonts w:cs="Arial"/>
                <w:szCs w:val="22"/>
              </w:rPr>
              <w:t>Matheus Henrique Roldan</w:t>
            </w:r>
          </w:p>
        </w:tc>
        <w:tc>
          <w:tcPr>
            <w:tcW w:w="2551" w:type="dxa"/>
            <w:shd w:val="clear" w:color="auto" w:fill="FABF8F"/>
            <w:vAlign w:val="center"/>
          </w:tcPr>
          <w:p w:rsidR="00B25511" w:rsidRPr="00B64B15" w:rsidRDefault="00B25511" w:rsidP="00F04018">
            <w:pPr>
              <w:spacing w:line="240" w:lineRule="auto"/>
              <w:jc w:val="left"/>
              <w:rPr>
                <w:rFonts w:eastAsia="Calibri" w:cs="Arial"/>
                <w:szCs w:val="22"/>
              </w:rPr>
            </w:pPr>
            <w:r w:rsidRPr="00B64B15">
              <w:rPr>
                <w:rFonts w:cs="Arial"/>
                <w:color w:val="000000"/>
                <w:szCs w:val="22"/>
              </w:rPr>
              <w:t>Geólogo</w:t>
            </w:r>
          </w:p>
        </w:tc>
        <w:tc>
          <w:tcPr>
            <w:tcW w:w="2747" w:type="dxa"/>
            <w:shd w:val="clear" w:color="auto" w:fill="FABF8F"/>
            <w:vAlign w:val="center"/>
          </w:tcPr>
          <w:p w:rsidR="00B25511" w:rsidRPr="00B64B15" w:rsidRDefault="00B25511" w:rsidP="00F04018">
            <w:pPr>
              <w:spacing w:line="240" w:lineRule="auto"/>
              <w:jc w:val="left"/>
              <w:rPr>
                <w:rFonts w:cs="Arial"/>
                <w:szCs w:val="22"/>
                <w:lang w:val="es-AR"/>
              </w:rPr>
            </w:pPr>
            <w:r w:rsidRPr="00B64B15">
              <w:rPr>
                <w:rFonts w:cs="Arial"/>
                <w:color w:val="000000"/>
                <w:szCs w:val="22"/>
                <w:lang w:val="es-AR"/>
              </w:rPr>
              <w:t>CREA/SP 5063849749</w:t>
            </w:r>
            <w:r w:rsidRPr="00B64B15">
              <w:rPr>
                <w:rFonts w:cs="Arial"/>
                <w:szCs w:val="22"/>
                <w:lang w:val="es-AR"/>
              </w:rPr>
              <w:t xml:space="preserve">   </w:t>
            </w:r>
          </w:p>
        </w:tc>
      </w:tr>
      <w:tr w:rsidR="00B25511" w:rsidRPr="00306A81" w:rsidTr="00F04018">
        <w:trPr>
          <w:trHeight w:val="683"/>
          <w:jc w:val="center"/>
        </w:trPr>
        <w:tc>
          <w:tcPr>
            <w:tcW w:w="2323" w:type="dxa"/>
            <w:vMerge/>
            <w:shd w:val="clear" w:color="auto" w:fill="FABF8F"/>
            <w:vAlign w:val="center"/>
          </w:tcPr>
          <w:p w:rsidR="00B25511" w:rsidRPr="005D245F" w:rsidRDefault="00B25511" w:rsidP="00F04018">
            <w:pPr>
              <w:spacing w:before="100" w:beforeAutospacing="1"/>
              <w:jc w:val="center"/>
              <w:rPr>
                <w:rFonts w:cs="Arial"/>
                <w:color w:val="000000"/>
                <w:sz w:val="20"/>
                <w:highlight w:val="green"/>
                <w:lang w:val="es-AR"/>
              </w:rPr>
            </w:pPr>
          </w:p>
        </w:tc>
        <w:tc>
          <w:tcPr>
            <w:tcW w:w="2410" w:type="dxa"/>
            <w:shd w:val="clear" w:color="auto" w:fill="FABF8F"/>
            <w:vAlign w:val="center"/>
          </w:tcPr>
          <w:p w:rsidR="00B25511" w:rsidRPr="008C76FC" w:rsidRDefault="00B25511" w:rsidP="00F04018">
            <w:pPr>
              <w:spacing w:line="240" w:lineRule="auto"/>
              <w:jc w:val="left"/>
              <w:rPr>
                <w:rFonts w:cs="Arial"/>
                <w:szCs w:val="22"/>
              </w:rPr>
            </w:pPr>
            <w:r w:rsidRPr="008C76FC">
              <w:rPr>
                <w:rFonts w:cs="Arial"/>
                <w:szCs w:val="22"/>
              </w:rPr>
              <w:t>Luiz Fernando Roldan</w:t>
            </w:r>
          </w:p>
        </w:tc>
        <w:tc>
          <w:tcPr>
            <w:tcW w:w="2551" w:type="dxa"/>
            <w:shd w:val="clear" w:color="auto" w:fill="FABF8F"/>
            <w:vAlign w:val="center"/>
          </w:tcPr>
          <w:p w:rsidR="00B25511" w:rsidRPr="00B64B15" w:rsidRDefault="00B25511" w:rsidP="00F04018">
            <w:pPr>
              <w:spacing w:line="240" w:lineRule="auto"/>
              <w:jc w:val="left"/>
              <w:rPr>
                <w:rFonts w:cs="Arial"/>
                <w:color w:val="000000"/>
                <w:szCs w:val="22"/>
              </w:rPr>
            </w:pPr>
            <w:r w:rsidRPr="00B64B15">
              <w:rPr>
                <w:rFonts w:cs="Arial"/>
                <w:color w:val="000000"/>
                <w:szCs w:val="22"/>
              </w:rPr>
              <w:t>Geólogo, MSc</w:t>
            </w:r>
          </w:p>
        </w:tc>
        <w:tc>
          <w:tcPr>
            <w:tcW w:w="2747" w:type="dxa"/>
            <w:shd w:val="clear" w:color="auto" w:fill="FABF8F"/>
            <w:vAlign w:val="center"/>
          </w:tcPr>
          <w:p w:rsidR="00B25511" w:rsidRPr="00B64B15" w:rsidRDefault="00B25511" w:rsidP="00F04018">
            <w:pPr>
              <w:spacing w:line="240" w:lineRule="auto"/>
              <w:jc w:val="left"/>
              <w:rPr>
                <w:rFonts w:cs="Arial"/>
                <w:color w:val="000000"/>
                <w:szCs w:val="22"/>
                <w:lang w:val="es-AR"/>
              </w:rPr>
            </w:pPr>
            <w:r w:rsidRPr="00B64B15">
              <w:rPr>
                <w:rFonts w:cs="Arial"/>
                <w:color w:val="000000"/>
                <w:szCs w:val="22"/>
                <w:lang w:val="es-AR"/>
              </w:rPr>
              <w:t xml:space="preserve">CREA/SP 5062130080 </w:t>
            </w:r>
          </w:p>
        </w:tc>
      </w:tr>
      <w:tr w:rsidR="00B25511" w:rsidRPr="00306A81" w:rsidTr="00F04018">
        <w:trPr>
          <w:trHeight w:val="683"/>
          <w:jc w:val="center"/>
        </w:trPr>
        <w:tc>
          <w:tcPr>
            <w:tcW w:w="2323" w:type="dxa"/>
            <w:vMerge/>
            <w:shd w:val="clear" w:color="auto" w:fill="FABF8F"/>
            <w:vAlign w:val="center"/>
          </w:tcPr>
          <w:p w:rsidR="00B25511" w:rsidRPr="005D245F" w:rsidRDefault="00B25511" w:rsidP="00F04018">
            <w:pPr>
              <w:spacing w:before="100" w:beforeAutospacing="1"/>
              <w:jc w:val="center"/>
              <w:rPr>
                <w:rFonts w:eastAsia="Calibri"/>
                <w:sz w:val="24"/>
                <w:szCs w:val="24"/>
                <w:highlight w:val="green"/>
                <w:lang w:val="es-AR"/>
              </w:rPr>
            </w:pPr>
          </w:p>
        </w:tc>
        <w:tc>
          <w:tcPr>
            <w:tcW w:w="2410" w:type="dxa"/>
            <w:shd w:val="clear" w:color="auto" w:fill="FABF8F"/>
            <w:vAlign w:val="center"/>
          </w:tcPr>
          <w:p w:rsidR="00B25511" w:rsidRPr="008C76FC" w:rsidRDefault="00B25511" w:rsidP="00F04018">
            <w:pPr>
              <w:spacing w:line="240" w:lineRule="auto"/>
              <w:jc w:val="left"/>
              <w:rPr>
                <w:rFonts w:cs="Arial"/>
                <w:szCs w:val="22"/>
              </w:rPr>
            </w:pPr>
            <w:r w:rsidRPr="008C76FC">
              <w:rPr>
                <w:rFonts w:cs="Arial"/>
                <w:szCs w:val="22"/>
              </w:rPr>
              <w:t>Daiane Katya Curti Barale</w:t>
            </w:r>
          </w:p>
        </w:tc>
        <w:tc>
          <w:tcPr>
            <w:tcW w:w="2551" w:type="dxa"/>
            <w:shd w:val="clear" w:color="auto" w:fill="FABF8F"/>
            <w:vAlign w:val="center"/>
          </w:tcPr>
          <w:p w:rsidR="00B25511" w:rsidRPr="00B64B15" w:rsidRDefault="00B25511" w:rsidP="00F04018">
            <w:pPr>
              <w:spacing w:line="240" w:lineRule="auto"/>
              <w:jc w:val="left"/>
              <w:rPr>
                <w:rFonts w:eastAsia="Calibri" w:cs="Arial"/>
                <w:szCs w:val="22"/>
              </w:rPr>
            </w:pPr>
            <w:r w:rsidRPr="00B64B15">
              <w:rPr>
                <w:rFonts w:cs="Arial"/>
                <w:color w:val="000000"/>
                <w:szCs w:val="22"/>
              </w:rPr>
              <w:t xml:space="preserve">Geóloga, MSc </w:t>
            </w:r>
          </w:p>
        </w:tc>
        <w:tc>
          <w:tcPr>
            <w:tcW w:w="2747" w:type="dxa"/>
            <w:shd w:val="clear" w:color="auto" w:fill="FABF8F"/>
            <w:vAlign w:val="center"/>
          </w:tcPr>
          <w:p w:rsidR="00B25511" w:rsidRPr="00B64B15" w:rsidRDefault="00B25511" w:rsidP="00E63AFA">
            <w:pPr>
              <w:spacing w:line="240" w:lineRule="auto"/>
              <w:jc w:val="left"/>
              <w:rPr>
                <w:rFonts w:eastAsia="Calibri" w:cs="Arial"/>
                <w:szCs w:val="22"/>
              </w:rPr>
            </w:pPr>
            <w:r w:rsidRPr="00B64B15">
              <w:rPr>
                <w:rFonts w:cs="Arial"/>
                <w:color w:val="000000"/>
                <w:szCs w:val="22"/>
              </w:rPr>
              <w:t xml:space="preserve">CREA/SP 5063580560 </w:t>
            </w:r>
          </w:p>
        </w:tc>
      </w:tr>
      <w:tr w:rsidR="00B25511" w:rsidRPr="00306A81" w:rsidTr="00F04018">
        <w:trPr>
          <w:trHeight w:val="683"/>
          <w:jc w:val="center"/>
        </w:trPr>
        <w:tc>
          <w:tcPr>
            <w:tcW w:w="2323"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Clima, Recursos Hídricos, Sedimentos</w:t>
            </w:r>
          </w:p>
        </w:tc>
        <w:tc>
          <w:tcPr>
            <w:tcW w:w="2410"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René Alvaro Romer Lacerda</w:t>
            </w:r>
          </w:p>
        </w:tc>
        <w:tc>
          <w:tcPr>
            <w:tcW w:w="2551" w:type="dxa"/>
            <w:shd w:val="clear" w:color="auto" w:fill="FABF8F"/>
            <w:vAlign w:val="center"/>
          </w:tcPr>
          <w:p w:rsidR="00B25511" w:rsidRPr="00B907BB" w:rsidRDefault="00B25511" w:rsidP="00F04018">
            <w:pPr>
              <w:spacing w:line="240" w:lineRule="auto"/>
              <w:jc w:val="left"/>
              <w:rPr>
                <w:rFonts w:cs="Arial"/>
                <w:szCs w:val="22"/>
              </w:rPr>
            </w:pPr>
            <w:r w:rsidRPr="00B907BB">
              <w:rPr>
                <w:rFonts w:cs="Arial"/>
                <w:szCs w:val="22"/>
              </w:rPr>
              <w:t>Engenheiro Civil</w:t>
            </w:r>
          </w:p>
        </w:tc>
        <w:tc>
          <w:tcPr>
            <w:tcW w:w="2747" w:type="dxa"/>
            <w:shd w:val="clear" w:color="auto" w:fill="FABF8F"/>
            <w:vAlign w:val="center"/>
          </w:tcPr>
          <w:p w:rsidR="00B25511" w:rsidRPr="00B907BB" w:rsidRDefault="00B25511" w:rsidP="00F04018">
            <w:pPr>
              <w:spacing w:line="240" w:lineRule="auto"/>
              <w:jc w:val="left"/>
              <w:rPr>
                <w:rFonts w:cs="Arial"/>
                <w:szCs w:val="22"/>
              </w:rPr>
            </w:pPr>
            <w:r>
              <w:rPr>
                <w:rFonts w:cs="Arial"/>
                <w:szCs w:val="22"/>
              </w:rPr>
              <w:t xml:space="preserve">CREA/SP </w:t>
            </w:r>
            <w:r w:rsidRPr="00B907BB">
              <w:rPr>
                <w:rFonts w:cs="Arial"/>
                <w:szCs w:val="22"/>
              </w:rPr>
              <w:t>0600639152</w:t>
            </w:r>
          </w:p>
        </w:tc>
      </w:tr>
      <w:tr w:rsidR="00B25511" w:rsidRPr="00236D82" w:rsidTr="00F04018">
        <w:trPr>
          <w:trHeight w:val="468"/>
          <w:jc w:val="center"/>
        </w:trPr>
        <w:tc>
          <w:tcPr>
            <w:tcW w:w="10031"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rsidR="00B25511" w:rsidRPr="0037686C" w:rsidRDefault="00B25511" w:rsidP="00F04018">
            <w:pPr>
              <w:spacing w:line="240" w:lineRule="auto"/>
              <w:jc w:val="left"/>
              <w:rPr>
                <w:rFonts w:cs="Arial"/>
                <w:szCs w:val="22"/>
              </w:rPr>
            </w:pPr>
            <w:r w:rsidRPr="00196611">
              <w:rPr>
                <w:rFonts w:cs="Arial"/>
                <w:b/>
                <w:szCs w:val="22"/>
              </w:rPr>
              <w:t>MEIO BIÓTICO</w:t>
            </w:r>
          </w:p>
        </w:tc>
      </w:tr>
      <w:tr w:rsidR="00B25511" w:rsidRPr="00236D82" w:rsidTr="00295DD1">
        <w:trPr>
          <w:trHeight w:val="683"/>
          <w:jc w:val="center"/>
        </w:trPr>
        <w:tc>
          <w:tcPr>
            <w:tcW w:w="2323" w:type="dxa"/>
            <w:tcBorders>
              <w:top w:val="single" w:sz="4" w:space="0" w:color="auto"/>
              <w:left w:val="single" w:sz="4" w:space="0" w:color="auto"/>
              <w:bottom w:val="nil"/>
              <w:right w:val="single" w:sz="4" w:space="0" w:color="auto"/>
            </w:tcBorders>
            <w:shd w:val="clear" w:color="auto" w:fill="FBD4B4"/>
            <w:vAlign w:val="center"/>
          </w:tcPr>
          <w:p w:rsidR="00B25511" w:rsidRPr="0037686C" w:rsidRDefault="00B25511" w:rsidP="00F04018">
            <w:pPr>
              <w:spacing w:line="240" w:lineRule="auto"/>
              <w:jc w:val="left"/>
              <w:rPr>
                <w:rFonts w:cs="Arial"/>
                <w:szCs w:val="22"/>
              </w:rPr>
            </w:pPr>
            <w:r w:rsidRPr="002D4482">
              <w:rPr>
                <w:rFonts w:cs="Arial"/>
                <w:szCs w:val="22"/>
              </w:rPr>
              <w:t>Coordenação</w:t>
            </w:r>
            <w:r>
              <w:rPr>
                <w:rFonts w:cs="Arial"/>
                <w:szCs w:val="22"/>
              </w:rPr>
              <w:t xml:space="preserve"> Setorial</w:t>
            </w:r>
            <w:r w:rsidR="00295DD1">
              <w:rPr>
                <w:rFonts w:cs="Arial"/>
                <w:szCs w:val="22"/>
              </w:rPr>
              <w:t xml:space="preserve"> – Biótico Terrestre</w:t>
            </w:r>
          </w:p>
        </w:tc>
        <w:tc>
          <w:tcPr>
            <w:tcW w:w="2410" w:type="dxa"/>
            <w:tcBorders>
              <w:top w:val="single" w:sz="4" w:space="0" w:color="auto"/>
              <w:left w:val="single" w:sz="4" w:space="0" w:color="auto"/>
              <w:bottom w:val="single" w:sz="4" w:space="0" w:color="auto"/>
              <w:right w:val="single" w:sz="4" w:space="0" w:color="auto"/>
            </w:tcBorders>
            <w:shd w:val="clear" w:color="auto" w:fill="FBD4B4"/>
            <w:vAlign w:val="center"/>
          </w:tcPr>
          <w:p w:rsidR="00B25511" w:rsidRPr="0037686C" w:rsidRDefault="00B25511" w:rsidP="00F04018">
            <w:pPr>
              <w:spacing w:line="240" w:lineRule="auto"/>
              <w:jc w:val="left"/>
              <w:rPr>
                <w:rFonts w:cs="Arial"/>
                <w:szCs w:val="22"/>
              </w:rPr>
            </w:pPr>
            <w:r w:rsidRPr="00B64B15">
              <w:rPr>
                <w:rFonts w:cs="Arial"/>
                <w:szCs w:val="22"/>
              </w:rPr>
              <w:t xml:space="preserve">Fernando D´Horta </w:t>
            </w:r>
          </w:p>
        </w:tc>
        <w:tc>
          <w:tcPr>
            <w:tcW w:w="2551" w:type="dxa"/>
            <w:tcBorders>
              <w:top w:val="single" w:sz="4" w:space="0" w:color="auto"/>
              <w:left w:val="single" w:sz="4" w:space="0" w:color="auto"/>
              <w:bottom w:val="single" w:sz="4" w:space="0" w:color="auto"/>
              <w:right w:val="single" w:sz="4" w:space="0" w:color="auto"/>
            </w:tcBorders>
            <w:shd w:val="clear" w:color="auto" w:fill="FBD4B4"/>
            <w:vAlign w:val="center"/>
          </w:tcPr>
          <w:p w:rsidR="00B25511" w:rsidRPr="00B64B15" w:rsidRDefault="00B25511" w:rsidP="00F04018">
            <w:pPr>
              <w:spacing w:line="240" w:lineRule="auto"/>
              <w:jc w:val="left"/>
              <w:rPr>
                <w:rFonts w:cs="Arial"/>
                <w:szCs w:val="22"/>
              </w:rPr>
            </w:pPr>
            <w:r w:rsidRPr="00B64B15">
              <w:rPr>
                <w:rFonts w:cs="Arial"/>
                <w:szCs w:val="22"/>
              </w:rPr>
              <w:t>Engenheiro Florestal</w:t>
            </w:r>
          </w:p>
        </w:tc>
        <w:tc>
          <w:tcPr>
            <w:tcW w:w="2747" w:type="dxa"/>
            <w:tcBorders>
              <w:top w:val="single" w:sz="4" w:space="0" w:color="auto"/>
              <w:left w:val="single" w:sz="4" w:space="0" w:color="auto"/>
              <w:bottom w:val="single" w:sz="4" w:space="0" w:color="auto"/>
              <w:right w:val="single" w:sz="4" w:space="0" w:color="auto"/>
            </w:tcBorders>
            <w:shd w:val="clear" w:color="auto" w:fill="FBD4B4"/>
            <w:vAlign w:val="center"/>
          </w:tcPr>
          <w:p w:rsidR="00B25511" w:rsidRPr="00B64B15" w:rsidRDefault="00B25511" w:rsidP="00F04018">
            <w:pPr>
              <w:spacing w:line="240" w:lineRule="auto"/>
              <w:jc w:val="left"/>
              <w:rPr>
                <w:rFonts w:cs="Arial"/>
                <w:szCs w:val="22"/>
              </w:rPr>
            </w:pPr>
            <w:r>
              <w:rPr>
                <w:rFonts w:cs="Arial"/>
                <w:szCs w:val="22"/>
              </w:rPr>
              <w:t xml:space="preserve">CREA/SP </w:t>
            </w:r>
            <w:r w:rsidRPr="00B64B15">
              <w:rPr>
                <w:rFonts w:cs="Arial"/>
                <w:szCs w:val="22"/>
              </w:rPr>
              <w:t>5060444216</w:t>
            </w:r>
          </w:p>
        </w:tc>
      </w:tr>
      <w:tr w:rsidR="00DE61F7" w:rsidRPr="00236D82" w:rsidTr="00295DD1">
        <w:trPr>
          <w:trHeight w:val="683"/>
          <w:jc w:val="center"/>
        </w:trPr>
        <w:tc>
          <w:tcPr>
            <w:tcW w:w="2323" w:type="dxa"/>
            <w:tcBorders>
              <w:top w:val="nil"/>
              <w:left w:val="single" w:sz="4" w:space="0" w:color="auto"/>
              <w:bottom w:val="nil"/>
              <w:right w:val="single" w:sz="4" w:space="0" w:color="auto"/>
            </w:tcBorders>
            <w:shd w:val="clear" w:color="auto" w:fill="FBD4B4"/>
            <w:vAlign w:val="center"/>
          </w:tcPr>
          <w:p w:rsidR="00DE61F7" w:rsidRPr="002D4482" w:rsidRDefault="00DE61F7" w:rsidP="00F04018">
            <w:pPr>
              <w:spacing w:line="240" w:lineRule="auto"/>
              <w:jc w:val="left"/>
              <w:rPr>
                <w:rFonts w:cs="Arial"/>
                <w:szCs w:val="22"/>
              </w:rPr>
            </w:pPr>
            <w:r w:rsidRPr="00295DD1">
              <w:rPr>
                <w:rFonts w:cs="Arial"/>
                <w:szCs w:val="22"/>
              </w:rPr>
              <w:t>Avifauna</w:t>
            </w:r>
          </w:p>
        </w:tc>
        <w:tc>
          <w:tcPr>
            <w:tcW w:w="2410" w:type="dxa"/>
            <w:tcBorders>
              <w:top w:val="single" w:sz="4" w:space="0" w:color="auto"/>
              <w:left w:val="single" w:sz="4" w:space="0" w:color="auto"/>
              <w:bottom w:val="single" w:sz="4" w:space="0" w:color="auto"/>
              <w:right w:val="single" w:sz="4" w:space="0" w:color="auto"/>
            </w:tcBorders>
            <w:shd w:val="clear" w:color="auto" w:fill="FBD4B4"/>
            <w:vAlign w:val="center"/>
          </w:tcPr>
          <w:p w:rsidR="00DE61F7" w:rsidRPr="00B64B15" w:rsidRDefault="00DE61F7" w:rsidP="00F04018">
            <w:pPr>
              <w:spacing w:line="240" w:lineRule="auto"/>
              <w:jc w:val="left"/>
              <w:rPr>
                <w:rFonts w:cs="Arial"/>
                <w:szCs w:val="22"/>
              </w:rPr>
            </w:pPr>
            <w:r w:rsidRPr="00DE61F7">
              <w:rPr>
                <w:rFonts w:cs="Arial"/>
                <w:szCs w:val="22"/>
              </w:rPr>
              <w:t>Robson Silva e Silva</w:t>
            </w:r>
          </w:p>
        </w:tc>
        <w:tc>
          <w:tcPr>
            <w:tcW w:w="2551" w:type="dxa"/>
            <w:tcBorders>
              <w:top w:val="single" w:sz="4" w:space="0" w:color="auto"/>
              <w:left w:val="single" w:sz="4" w:space="0" w:color="auto"/>
              <w:bottom w:val="single" w:sz="4" w:space="0" w:color="auto"/>
              <w:right w:val="single" w:sz="4" w:space="0" w:color="auto"/>
            </w:tcBorders>
            <w:shd w:val="clear" w:color="auto" w:fill="FBD4B4"/>
            <w:vAlign w:val="center"/>
          </w:tcPr>
          <w:p w:rsidR="00DE61F7" w:rsidRPr="008C76FC" w:rsidRDefault="00DE61F7" w:rsidP="00D507B7">
            <w:pPr>
              <w:spacing w:line="240" w:lineRule="auto"/>
              <w:jc w:val="left"/>
              <w:rPr>
                <w:rFonts w:cs="Arial"/>
                <w:szCs w:val="22"/>
              </w:rPr>
            </w:pPr>
            <w:r w:rsidRPr="008C76FC">
              <w:rPr>
                <w:rFonts w:cs="Arial"/>
                <w:szCs w:val="22"/>
              </w:rPr>
              <w:t>Biólogo</w:t>
            </w:r>
          </w:p>
        </w:tc>
        <w:tc>
          <w:tcPr>
            <w:tcW w:w="2747" w:type="dxa"/>
            <w:tcBorders>
              <w:top w:val="single" w:sz="4" w:space="0" w:color="auto"/>
              <w:left w:val="single" w:sz="4" w:space="0" w:color="auto"/>
              <w:bottom w:val="single" w:sz="4" w:space="0" w:color="auto"/>
              <w:right w:val="single" w:sz="4" w:space="0" w:color="auto"/>
            </w:tcBorders>
            <w:shd w:val="clear" w:color="auto" w:fill="FBD4B4"/>
            <w:vAlign w:val="center"/>
          </w:tcPr>
          <w:p w:rsidR="00DE61F7" w:rsidRDefault="00DE61F7" w:rsidP="008C32BC">
            <w:pPr>
              <w:spacing w:line="240" w:lineRule="auto"/>
              <w:jc w:val="left"/>
              <w:rPr>
                <w:rFonts w:cs="Arial"/>
                <w:szCs w:val="22"/>
              </w:rPr>
            </w:pPr>
            <w:r w:rsidRPr="00295DD1">
              <w:rPr>
                <w:rFonts w:cs="Arial"/>
                <w:szCs w:val="22"/>
              </w:rPr>
              <w:t>CRBio</w:t>
            </w:r>
            <w:r w:rsidR="008C32BC">
              <w:rPr>
                <w:rFonts w:cs="Arial"/>
                <w:szCs w:val="22"/>
              </w:rPr>
              <w:t>: n</w:t>
            </w:r>
            <w:r w:rsidR="008C32BC" w:rsidRPr="008C32BC">
              <w:rPr>
                <w:rFonts w:cs="Arial"/>
                <w:szCs w:val="22"/>
                <w:u w:val="single"/>
                <w:vertAlign w:val="superscript"/>
              </w:rPr>
              <w:t>o</w:t>
            </w:r>
            <w:r w:rsidRPr="00295DD1">
              <w:rPr>
                <w:rFonts w:cs="Arial"/>
                <w:szCs w:val="22"/>
              </w:rPr>
              <w:t xml:space="preserve"> 20593/01-D</w:t>
            </w:r>
          </w:p>
        </w:tc>
      </w:tr>
      <w:tr w:rsidR="00295DD1" w:rsidRPr="00236D82" w:rsidTr="00295DD1">
        <w:trPr>
          <w:trHeight w:val="683"/>
          <w:jc w:val="center"/>
        </w:trPr>
        <w:tc>
          <w:tcPr>
            <w:tcW w:w="2323" w:type="dxa"/>
            <w:tcBorders>
              <w:top w:val="nil"/>
              <w:left w:val="single" w:sz="4" w:space="0" w:color="auto"/>
              <w:bottom w:val="nil"/>
              <w:right w:val="single" w:sz="4" w:space="0" w:color="auto"/>
            </w:tcBorders>
            <w:shd w:val="clear" w:color="auto" w:fill="FBD4B4"/>
            <w:vAlign w:val="center"/>
          </w:tcPr>
          <w:p w:rsidR="00295DD1" w:rsidRPr="002D4482" w:rsidRDefault="00295DD1" w:rsidP="00F04018">
            <w:pPr>
              <w:spacing w:line="240" w:lineRule="auto"/>
              <w:jc w:val="left"/>
              <w:rPr>
                <w:rFonts w:cs="Arial"/>
                <w:szCs w:val="22"/>
              </w:rPr>
            </w:pPr>
            <w:r w:rsidRPr="00295DD1">
              <w:rPr>
                <w:rFonts w:cs="Arial"/>
                <w:szCs w:val="22"/>
              </w:rPr>
              <w:t>Herpetofauna</w:t>
            </w:r>
          </w:p>
        </w:tc>
        <w:tc>
          <w:tcPr>
            <w:tcW w:w="2410" w:type="dxa"/>
            <w:tcBorders>
              <w:top w:val="single" w:sz="4" w:space="0" w:color="auto"/>
              <w:left w:val="single" w:sz="4" w:space="0" w:color="auto"/>
              <w:bottom w:val="single" w:sz="4" w:space="0" w:color="auto"/>
              <w:right w:val="single" w:sz="4" w:space="0" w:color="auto"/>
            </w:tcBorders>
            <w:shd w:val="clear" w:color="auto" w:fill="FBD4B4"/>
            <w:vAlign w:val="center"/>
          </w:tcPr>
          <w:p w:rsidR="00295DD1" w:rsidRPr="00DE61F7" w:rsidRDefault="00295DD1" w:rsidP="00F04018">
            <w:pPr>
              <w:spacing w:line="240" w:lineRule="auto"/>
              <w:jc w:val="left"/>
              <w:rPr>
                <w:rFonts w:cs="Arial"/>
                <w:szCs w:val="22"/>
              </w:rPr>
            </w:pPr>
            <w:r w:rsidRPr="00295DD1">
              <w:rPr>
                <w:rFonts w:cs="Arial"/>
                <w:szCs w:val="22"/>
              </w:rPr>
              <w:t>Dante Pavan</w:t>
            </w:r>
          </w:p>
        </w:tc>
        <w:tc>
          <w:tcPr>
            <w:tcW w:w="2551" w:type="dxa"/>
            <w:tcBorders>
              <w:top w:val="single" w:sz="4" w:space="0" w:color="auto"/>
              <w:left w:val="single" w:sz="4" w:space="0" w:color="auto"/>
              <w:bottom w:val="single" w:sz="4" w:space="0" w:color="auto"/>
              <w:right w:val="single" w:sz="4" w:space="0" w:color="auto"/>
            </w:tcBorders>
            <w:shd w:val="clear" w:color="auto" w:fill="FBD4B4"/>
            <w:vAlign w:val="center"/>
          </w:tcPr>
          <w:p w:rsidR="00295DD1" w:rsidRPr="008C76FC" w:rsidRDefault="00295DD1" w:rsidP="00D507B7">
            <w:pPr>
              <w:spacing w:line="240" w:lineRule="auto"/>
              <w:jc w:val="left"/>
              <w:rPr>
                <w:rFonts w:cs="Arial"/>
                <w:szCs w:val="22"/>
              </w:rPr>
            </w:pPr>
            <w:r w:rsidRPr="008C76FC">
              <w:rPr>
                <w:rFonts w:cs="Arial"/>
                <w:szCs w:val="22"/>
              </w:rPr>
              <w:t>Biólogo</w:t>
            </w:r>
          </w:p>
        </w:tc>
        <w:tc>
          <w:tcPr>
            <w:tcW w:w="2747" w:type="dxa"/>
            <w:tcBorders>
              <w:top w:val="single" w:sz="4" w:space="0" w:color="auto"/>
              <w:left w:val="single" w:sz="4" w:space="0" w:color="auto"/>
              <w:bottom w:val="single" w:sz="4" w:space="0" w:color="auto"/>
              <w:right w:val="single" w:sz="4" w:space="0" w:color="auto"/>
            </w:tcBorders>
            <w:shd w:val="clear" w:color="auto" w:fill="FBD4B4"/>
            <w:vAlign w:val="center"/>
          </w:tcPr>
          <w:p w:rsidR="00295DD1" w:rsidRPr="00295DD1" w:rsidRDefault="00295DD1" w:rsidP="008C32BC">
            <w:pPr>
              <w:spacing w:line="240" w:lineRule="auto"/>
              <w:jc w:val="left"/>
              <w:rPr>
                <w:rFonts w:cs="Arial"/>
                <w:szCs w:val="22"/>
              </w:rPr>
            </w:pPr>
            <w:r w:rsidRPr="00295DD1">
              <w:rPr>
                <w:rFonts w:cs="Arial"/>
                <w:szCs w:val="22"/>
              </w:rPr>
              <w:t>CR</w:t>
            </w:r>
            <w:r w:rsidR="008C32BC">
              <w:rPr>
                <w:rFonts w:cs="Arial"/>
                <w:szCs w:val="22"/>
              </w:rPr>
              <w:t>Bio:</w:t>
            </w:r>
            <w:r w:rsidRPr="00295DD1">
              <w:rPr>
                <w:rFonts w:cs="Arial"/>
                <w:szCs w:val="22"/>
              </w:rPr>
              <w:t xml:space="preserve"> </w:t>
            </w:r>
            <w:r w:rsidR="008C32BC">
              <w:rPr>
                <w:rFonts w:cs="Arial"/>
                <w:szCs w:val="22"/>
              </w:rPr>
              <w:t>n</w:t>
            </w:r>
            <w:r w:rsidR="008C32BC" w:rsidRPr="008C32BC">
              <w:rPr>
                <w:rFonts w:cs="Arial"/>
                <w:szCs w:val="22"/>
                <w:u w:val="single"/>
                <w:vertAlign w:val="superscript"/>
              </w:rPr>
              <w:t>o</w:t>
            </w:r>
            <w:r w:rsidR="008C32BC" w:rsidRPr="00295DD1">
              <w:rPr>
                <w:rFonts w:cs="Arial"/>
                <w:szCs w:val="22"/>
              </w:rPr>
              <w:t xml:space="preserve"> </w:t>
            </w:r>
            <w:r w:rsidRPr="00295DD1">
              <w:rPr>
                <w:rFonts w:cs="Arial"/>
                <w:szCs w:val="22"/>
              </w:rPr>
              <w:t>31076/01-D</w:t>
            </w:r>
          </w:p>
        </w:tc>
      </w:tr>
      <w:tr w:rsidR="00295DD1" w:rsidRPr="00236D82" w:rsidTr="00295DD1">
        <w:trPr>
          <w:trHeight w:val="683"/>
          <w:jc w:val="center"/>
        </w:trPr>
        <w:tc>
          <w:tcPr>
            <w:tcW w:w="2323" w:type="dxa"/>
            <w:tcBorders>
              <w:top w:val="nil"/>
              <w:left w:val="single" w:sz="4" w:space="0" w:color="auto"/>
              <w:bottom w:val="nil"/>
              <w:right w:val="single" w:sz="4" w:space="0" w:color="auto"/>
            </w:tcBorders>
            <w:shd w:val="clear" w:color="auto" w:fill="FBD4B4"/>
            <w:vAlign w:val="center"/>
          </w:tcPr>
          <w:p w:rsidR="00295DD1" w:rsidRPr="00295DD1" w:rsidRDefault="00295DD1" w:rsidP="00F04018">
            <w:pPr>
              <w:spacing w:line="240" w:lineRule="auto"/>
              <w:jc w:val="left"/>
              <w:rPr>
                <w:rFonts w:cs="Arial"/>
                <w:szCs w:val="22"/>
              </w:rPr>
            </w:pPr>
            <w:r w:rsidRPr="00295DD1">
              <w:rPr>
                <w:rFonts w:cs="Arial"/>
                <w:szCs w:val="22"/>
              </w:rPr>
              <w:t>Mastofauna</w:t>
            </w:r>
          </w:p>
        </w:tc>
        <w:tc>
          <w:tcPr>
            <w:tcW w:w="2410" w:type="dxa"/>
            <w:tcBorders>
              <w:top w:val="single" w:sz="4" w:space="0" w:color="auto"/>
              <w:left w:val="single" w:sz="4" w:space="0" w:color="auto"/>
              <w:bottom w:val="single" w:sz="4" w:space="0" w:color="auto"/>
              <w:right w:val="single" w:sz="4" w:space="0" w:color="auto"/>
            </w:tcBorders>
            <w:shd w:val="clear" w:color="auto" w:fill="FBD4B4"/>
            <w:vAlign w:val="center"/>
          </w:tcPr>
          <w:p w:rsidR="00295DD1" w:rsidRPr="00295DD1" w:rsidRDefault="00295DD1" w:rsidP="00F04018">
            <w:pPr>
              <w:spacing w:line="240" w:lineRule="auto"/>
              <w:jc w:val="left"/>
              <w:rPr>
                <w:rFonts w:cs="Arial"/>
                <w:szCs w:val="22"/>
              </w:rPr>
            </w:pPr>
            <w:r w:rsidRPr="00295DD1">
              <w:rPr>
                <w:rFonts w:cs="Arial"/>
                <w:szCs w:val="22"/>
              </w:rPr>
              <w:t>Lucas Possati Campos</w:t>
            </w:r>
          </w:p>
        </w:tc>
        <w:tc>
          <w:tcPr>
            <w:tcW w:w="2551" w:type="dxa"/>
            <w:tcBorders>
              <w:top w:val="single" w:sz="4" w:space="0" w:color="auto"/>
              <w:left w:val="single" w:sz="4" w:space="0" w:color="auto"/>
              <w:bottom w:val="single" w:sz="4" w:space="0" w:color="auto"/>
              <w:right w:val="single" w:sz="4" w:space="0" w:color="auto"/>
            </w:tcBorders>
            <w:shd w:val="clear" w:color="auto" w:fill="FBD4B4"/>
            <w:vAlign w:val="center"/>
          </w:tcPr>
          <w:p w:rsidR="00295DD1" w:rsidRPr="008C76FC" w:rsidRDefault="00295DD1" w:rsidP="00D507B7">
            <w:pPr>
              <w:spacing w:line="240" w:lineRule="auto"/>
              <w:jc w:val="left"/>
              <w:rPr>
                <w:rFonts w:cs="Arial"/>
                <w:szCs w:val="22"/>
              </w:rPr>
            </w:pPr>
            <w:r w:rsidRPr="008C76FC">
              <w:rPr>
                <w:rFonts w:cs="Arial"/>
                <w:szCs w:val="22"/>
              </w:rPr>
              <w:t>Biólogo</w:t>
            </w:r>
          </w:p>
        </w:tc>
        <w:tc>
          <w:tcPr>
            <w:tcW w:w="2747" w:type="dxa"/>
            <w:tcBorders>
              <w:top w:val="single" w:sz="4" w:space="0" w:color="auto"/>
              <w:left w:val="single" w:sz="4" w:space="0" w:color="auto"/>
              <w:bottom w:val="single" w:sz="4" w:space="0" w:color="auto"/>
              <w:right w:val="single" w:sz="4" w:space="0" w:color="auto"/>
            </w:tcBorders>
            <w:shd w:val="clear" w:color="auto" w:fill="FBD4B4"/>
            <w:vAlign w:val="center"/>
          </w:tcPr>
          <w:p w:rsidR="00295DD1" w:rsidRPr="00295DD1" w:rsidRDefault="00295DD1" w:rsidP="00F04018">
            <w:pPr>
              <w:spacing w:line="240" w:lineRule="auto"/>
              <w:jc w:val="left"/>
              <w:rPr>
                <w:rFonts w:cs="Arial"/>
                <w:szCs w:val="22"/>
              </w:rPr>
            </w:pPr>
            <w:r w:rsidRPr="00295DD1">
              <w:rPr>
                <w:rFonts w:cs="Arial"/>
                <w:szCs w:val="22"/>
              </w:rPr>
              <w:t>CRBio</w:t>
            </w:r>
            <w:r w:rsidR="008C32BC">
              <w:rPr>
                <w:rFonts w:cs="Arial"/>
                <w:szCs w:val="22"/>
              </w:rPr>
              <w:t>:</w:t>
            </w:r>
            <w:r w:rsidRPr="00295DD1">
              <w:rPr>
                <w:rFonts w:cs="Arial"/>
                <w:szCs w:val="22"/>
              </w:rPr>
              <w:t xml:space="preserve"> </w:t>
            </w:r>
            <w:r w:rsidR="008C32BC">
              <w:rPr>
                <w:rFonts w:cs="Arial"/>
                <w:szCs w:val="22"/>
              </w:rPr>
              <w:t>n</w:t>
            </w:r>
            <w:r w:rsidR="008C32BC" w:rsidRPr="008C32BC">
              <w:rPr>
                <w:rFonts w:cs="Arial"/>
                <w:szCs w:val="22"/>
                <w:u w:val="single"/>
                <w:vertAlign w:val="superscript"/>
              </w:rPr>
              <w:t>o</w:t>
            </w:r>
            <w:r w:rsidR="008C32BC" w:rsidRPr="00295DD1">
              <w:rPr>
                <w:rFonts w:cs="Arial"/>
                <w:szCs w:val="22"/>
              </w:rPr>
              <w:t xml:space="preserve"> </w:t>
            </w:r>
            <w:r w:rsidRPr="00295DD1">
              <w:rPr>
                <w:rFonts w:cs="Arial"/>
                <w:szCs w:val="22"/>
              </w:rPr>
              <w:t>082942/01-D</w:t>
            </w:r>
          </w:p>
        </w:tc>
      </w:tr>
      <w:tr w:rsidR="00295DD1" w:rsidRPr="00236D82" w:rsidTr="00295DD1">
        <w:trPr>
          <w:trHeight w:val="683"/>
          <w:jc w:val="center"/>
        </w:trPr>
        <w:tc>
          <w:tcPr>
            <w:tcW w:w="2323" w:type="dxa"/>
            <w:tcBorders>
              <w:top w:val="nil"/>
              <w:left w:val="single" w:sz="4" w:space="0" w:color="auto"/>
              <w:bottom w:val="nil"/>
              <w:right w:val="single" w:sz="4" w:space="0" w:color="auto"/>
            </w:tcBorders>
            <w:shd w:val="clear" w:color="auto" w:fill="FBD4B4"/>
            <w:vAlign w:val="center"/>
          </w:tcPr>
          <w:p w:rsidR="00295DD1" w:rsidRPr="00295DD1" w:rsidRDefault="00295DD1" w:rsidP="00F04018">
            <w:pPr>
              <w:spacing w:line="240" w:lineRule="auto"/>
              <w:jc w:val="left"/>
              <w:rPr>
                <w:rFonts w:cs="Arial"/>
                <w:szCs w:val="22"/>
              </w:rPr>
            </w:pPr>
            <w:r w:rsidRPr="00295DD1">
              <w:rPr>
                <w:rFonts w:cs="Arial"/>
                <w:szCs w:val="22"/>
              </w:rPr>
              <w:t>Vegetação</w:t>
            </w:r>
          </w:p>
        </w:tc>
        <w:tc>
          <w:tcPr>
            <w:tcW w:w="2410" w:type="dxa"/>
            <w:tcBorders>
              <w:top w:val="single" w:sz="4" w:space="0" w:color="auto"/>
              <w:left w:val="single" w:sz="4" w:space="0" w:color="auto"/>
              <w:bottom w:val="single" w:sz="4" w:space="0" w:color="auto"/>
              <w:right w:val="single" w:sz="4" w:space="0" w:color="auto"/>
            </w:tcBorders>
            <w:shd w:val="clear" w:color="auto" w:fill="FBD4B4"/>
            <w:vAlign w:val="center"/>
          </w:tcPr>
          <w:p w:rsidR="00295DD1" w:rsidRPr="00295DD1" w:rsidRDefault="00295DD1" w:rsidP="00F04018">
            <w:pPr>
              <w:spacing w:line="240" w:lineRule="auto"/>
              <w:jc w:val="left"/>
              <w:rPr>
                <w:rFonts w:cs="Arial"/>
                <w:szCs w:val="22"/>
              </w:rPr>
            </w:pPr>
            <w:r w:rsidRPr="00295DD1">
              <w:rPr>
                <w:rFonts w:cs="Arial"/>
                <w:szCs w:val="22"/>
              </w:rPr>
              <w:t>Bruno Almozara Aranha</w:t>
            </w:r>
          </w:p>
        </w:tc>
        <w:tc>
          <w:tcPr>
            <w:tcW w:w="2551" w:type="dxa"/>
            <w:tcBorders>
              <w:top w:val="single" w:sz="4" w:space="0" w:color="auto"/>
              <w:left w:val="single" w:sz="4" w:space="0" w:color="auto"/>
              <w:bottom w:val="single" w:sz="4" w:space="0" w:color="auto"/>
              <w:right w:val="single" w:sz="4" w:space="0" w:color="auto"/>
            </w:tcBorders>
            <w:shd w:val="clear" w:color="auto" w:fill="FBD4B4"/>
            <w:vAlign w:val="center"/>
          </w:tcPr>
          <w:p w:rsidR="00295DD1" w:rsidRPr="008C76FC" w:rsidRDefault="00295DD1" w:rsidP="00D507B7">
            <w:pPr>
              <w:spacing w:line="240" w:lineRule="auto"/>
              <w:jc w:val="left"/>
              <w:rPr>
                <w:rFonts w:cs="Arial"/>
                <w:szCs w:val="22"/>
              </w:rPr>
            </w:pPr>
            <w:r w:rsidRPr="00295DD1">
              <w:rPr>
                <w:rFonts w:cs="Arial"/>
                <w:szCs w:val="22"/>
              </w:rPr>
              <w:t>Engenheiro Florestal</w:t>
            </w:r>
          </w:p>
        </w:tc>
        <w:tc>
          <w:tcPr>
            <w:tcW w:w="2747" w:type="dxa"/>
            <w:tcBorders>
              <w:top w:val="single" w:sz="4" w:space="0" w:color="auto"/>
              <w:left w:val="single" w:sz="4" w:space="0" w:color="auto"/>
              <w:bottom w:val="single" w:sz="4" w:space="0" w:color="auto"/>
              <w:right w:val="single" w:sz="4" w:space="0" w:color="auto"/>
            </w:tcBorders>
            <w:shd w:val="clear" w:color="auto" w:fill="FBD4B4"/>
            <w:vAlign w:val="center"/>
          </w:tcPr>
          <w:p w:rsidR="00295DD1" w:rsidRPr="00295DD1" w:rsidRDefault="00295DD1" w:rsidP="00F04018">
            <w:pPr>
              <w:spacing w:line="240" w:lineRule="auto"/>
              <w:jc w:val="left"/>
              <w:rPr>
                <w:rFonts w:cs="Arial"/>
                <w:szCs w:val="22"/>
              </w:rPr>
            </w:pPr>
            <w:r w:rsidRPr="00295DD1">
              <w:rPr>
                <w:rFonts w:cs="Arial"/>
                <w:szCs w:val="22"/>
              </w:rPr>
              <w:t xml:space="preserve">CREA </w:t>
            </w:r>
            <w:r w:rsidR="008C32BC">
              <w:rPr>
                <w:rFonts w:cs="Arial"/>
                <w:szCs w:val="22"/>
              </w:rPr>
              <w:t>n</w:t>
            </w:r>
            <w:r w:rsidR="008C32BC" w:rsidRPr="008C32BC">
              <w:rPr>
                <w:rFonts w:cs="Arial"/>
                <w:szCs w:val="22"/>
                <w:u w:val="single"/>
                <w:vertAlign w:val="superscript"/>
              </w:rPr>
              <w:t>o</w:t>
            </w:r>
            <w:r w:rsidR="008C32BC" w:rsidRPr="00295DD1">
              <w:rPr>
                <w:rFonts w:cs="Arial"/>
                <w:szCs w:val="22"/>
              </w:rPr>
              <w:t xml:space="preserve"> </w:t>
            </w:r>
            <w:r w:rsidRPr="00295DD1">
              <w:rPr>
                <w:rFonts w:cs="Arial"/>
                <w:szCs w:val="22"/>
              </w:rPr>
              <w:t>5062648975</w:t>
            </w:r>
          </w:p>
        </w:tc>
      </w:tr>
      <w:tr w:rsidR="00295DD1" w:rsidRPr="00236D82" w:rsidTr="00295DD1">
        <w:trPr>
          <w:trHeight w:val="683"/>
          <w:jc w:val="center"/>
        </w:trPr>
        <w:tc>
          <w:tcPr>
            <w:tcW w:w="2323" w:type="dxa"/>
            <w:tcBorders>
              <w:top w:val="nil"/>
              <w:left w:val="single" w:sz="4" w:space="0" w:color="auto"/>
              <w:bottom w:val="single" w:sz="4" w:space="0" w:color="auto"/>
              <w:right w:val="single" w:sz="4" w:space="0" w:color="auto"/>
            </w:tcBorders>
            <w:shd w:val="clear" w:color="auto" w:fill="FBD4B4"/>
            <w:vAlign w:val="center"/>
          </w:tcPr>
          <w:p w:rsidR="00295DD1" w:rsidRPr="00295DD1" w:rsidRDefault="00295DD1" w:rsidP="00F04018">
            <w:pPr>
              <w:spacing w:line="240" w:lineRule="auto"/>
              <w:jc w:val="left"/>
              <w:rPr>
                <w:rFonts w:cs="Arial"/>
                <w:szCs w:val="22"/>
              </w:rPr>
            </w:pPr>
            <w:r>
              <w:rPr>
                <w:rFonts w:cs="Arial"/>
                <w:szCs w:val="22"/>
              </w:rPr>
              <w:t>Vegetação e Fauna</w:t>
            </w:r>
          </w:p>
        </w:tc>
        <w:tc>
          <w:tcPr>
            <w:tcW w:w="2410" w:type="dxa"/>
            <w:tcBorders>
              <w:top w:val="single" w:sz="4" w:space="0" w:color="auto"/>
              <w:left w:val="single" w:sz="4" w:space="0" w:color="auto"/>
              <w:bottom w:val="single" w:sz="4" w:space="0" w:color="auto"/>
              <w:right w:val="single" w:sz="4" w:space="0" w:color="auto"/>
            </w:tcBorders>
            <w:shd w:val="clear" w:color="auto" w:fill="FBD4B4"/>
            <w:vAlign w:val="center"/>
          </w:tcPr>
          <w:p w:rsidR="00295DD1" w:rsidRPr="008C76FC" w:rsidRDefault="00295DD1" w:rsidP="00D507B7">
            <w:pPr>
              <w:spacing w:line="240" w:lineRule="auto"/>
              <w:jc w:val="left"/>
              <w:rPr>
                <w:rFonts w:cs="Arial"/>
                <w:szCs w:val="22"/>
              </w:rPr>
            </w:pPr>
            <w:r w:rsidRPr="008C76FC">
              <w:rPr>
                <w:rFonts w:cs="Arial"/>
                <w:szCs w:val="22"/>
              </w:rPr>
              <w:t>Diogo Ladeira Azanha</w:t>
            </w:r>
          </w:p>
        </w:tc>
        <w:tc>
          <w:tcPr>
            <w:tcW w:w="2551" w:type="dxa"/>
            <w:tcBorders>
              <w:top w:val="single" w:sz="4" w:space="0" w:color="auto"/>
              <w:left w:val="single" w:sz="4" w:space="0" w:color="auto"/>
              <w:bottom w:val="single" w:sz="4" w:space="0" w:color="auto"/>
              <w:right w:val="single" w:sz="4" w:space="0" w:color="auto"/>
            </w:tcBorders>
            <w:shd w:val="clear" w:color="auto" w:fill="FBD4B4"/>
            <w:vAlign w:val="center"/>
          </w:tcPr>
          <w:p w:rsidR="00295DD1" w:rsidRPr="008C76FC" w:rsidRDefault="00295DD1" w:rsidP="00D507B7">
            <w:pPr>
              <w:spacing w:line="240" w:lineRule="auto"/>
              <w:jc w:val="left"/>
              <w:rPr>
                <w:rFonts w:cs="Arial"/>
                <w:szCs w:val="22"/>
              </w:rPr>
            </w:pPr>
            <w:r w:rsidRPr="008C76FC">
              <w:rPr>
                <w:rFonts w:cs="Arial"/>
                <w:szCs w:val="22"/>
              </w:rPr>
              <w:t>Biólogo</w:t>
            </w:r>
          </w:p>
        </w:tc>
        <w:tc>
          <w:tcPr>
            <w:tcW w:w="2747" w:type="dxa"/>
            <w:tcBorders>
              <w:top w:val="single" w:sz="4" w:space="0" w:color="auto"/>
              <w:left w:val="single" w:sz="4" w:space="0" w:color="auto"/>
              <w:bottom w:val="single" w:sz="4" w:space="0" w:color="auto"/>
              <w:right w:val="single" w:sz="4" w:space="0" w:color="auto"/>
            </w:tcBorders>
            <w:shd w:val="clear" w:color="auto" w:fill="FBD4B4"/>
            <w:vAlign w:val="center"/>
          </w:tcPr>
          <w:p w:rsidR="00295DD1" w:rsidRPr="008C76FC" w:rsidRDefault="00295DD1" w:rsidP="00D507B7">
            <w:pPr>
              <w:spacing w:line="240" w:lineRule="auto"/>
              <w:jc w:val="left"/>
              <w:rPr>
                <w:rFonts w:cs="Arial"/>
                <w:szCs w:val="22"/>
              </w:rPr>
            </w:pPr>
            <w:r>
              <w:rPr>
                <w:rFonts w:cs="Arial"/>
                <w:szCs w:val="22"/>
              </w:rPr>
              <w:t xml:space="preserve">CRBio/SP </w:t>
            </w:r>
            <w:r w:rsidR="008C32BC">
              <w:rPr>
                <w:rFonts w:cs="Arial"/>
                <w:szCs w:val="22"/>
              </w:rPr>
              <w:t>n</w:t>
            </w:r>
            <w:r w:rsidR="008C32BC" w:rsidRPr="008C32BC">
              <w:rPr>
                <w:rFonts w:cs="Arial"/>
                <w:szCs w:val="22"/>
                <w:u w:val="single"/>
                <w:vertAlign w:val="superscript"/>
              </w:rPr>
              <w:t>o</w:t>
            </w:r>
            <w:r w:rsidRPr="008C76FC">
              <w:rPr>
                <w:rFonts w:cs="Arial"/>
                <w:szCs w:val="22"/>
              </w:rPr>
              <w:t xml:space="preserve"> 47632/01-D</w:t>
            </w:r>
          </w:p>
        </w:tc>
      </w:tr>
      <w:tr w:rsidR="00295DD1" w:rsidRPr="00236D82" w:rsidTr="00B25511">
        <w:trPr>
          <w:trHeight w:val="683"/>
          <w:jc w:val="center"/>
        </w:trPr>
        <w:tc>
          <w:tcPr>
            <w:tcW w:w="2323" w:type="dxa"/>
            <w:tcBorders>
              <w:top w:val="single" w:sz="4" w:space="0" w:color="auto"/>
              <w:left w:val="single" w:sz="4" w:space="0" w:color="auto"/>
              <w:bottom w:val="nil"/>
              <w:right w:val="single" w:sz="4" w:space="0" w:color="auto"/>
            </w:tcBorders>
            <w:shd w:val="clear" w:color="auto" w:fill="FABF8F"/>
            <w:vAlign w:val="center"/>
          </w:tcPr>
          <w:p w:rsidR="00295DD1" w:rsidRPr="00236D82" w:rsidRDefault="00295DD1" w:rsidP="00F04018">
            <w:pPr>
              <w:spacing w:line="240" w:lineRule="auto"/>
              <w:jc w:val="left"/>
              <w:rPr>
                <w:rFonts w:cs="Arial"/>
                <w:szCs w:val="22"/>
              </w:rPr>
            </w:pPr>
            <w:r w:rsidRPr="002D4482">
              <w:rPr>
                <w:rFonts w:cs="Arial"/>
                <w:szCs w:val="22"/>
              </w:rPr>
              <w:t>Coordenação</w:t>
            </w:r>
            <w:r>
              <w:rPr>
                <w:rFonts w:cs="Arial"/>
                <w:szCs w:val="22"/>
              </w:rPr>
              <w:t xml:space="preserve"> Setorial - Ictiofauna</w:t>
            </w:r>
          </w:p>
        </w:tc>
        <w:tc>
          <w:tcPr>
            <w:tcW w:w="2410" w:type="dxa"/>
            <w:tcBorders>
              <w:top w:val="single" w:sz="4" w:space="0" w:color="auto"/>
              <w:left w:val="single" w:sz="4" w:space="0" w:color="auto"/>
              <w:bottom w:val="single" w:sz="4" w:space="0" w:color="auto"/>
              <w:right w:val="single" w:sz="4" w:space="0" w:color="auto"/>
            </w:tcBorders>
            <w:shd w:val="clear" w:color="auto" w:fill="FABF8F"/>
            <w:vAlign w:val="center"/>
          </w:tcPr>
          <w:p w:rsidR="00295DD1" w:rsidRPr="00A434E2" w:rsidRDefault="00295DD1" w:rsidP="00F04018">
            <w:pPr>
              <w:spacing w:line="240" w:lineRule="auto"/>
              <w:jc w:val="left"/>
              <w:rPr>
                <w:rFonts w:cs="Arial"/>
                <w:szCs w:val="22"/>
              </w:rPr>
            </w:pPr>
            <w:r w:rsidRPr="00A434E2">
              <w:rPr>
                <w:rFonts w:cs="Arial"/>
                <w:szCs w:val="22"/>
              </w:rPr>
              <w:t>Alec Krüse Zeinad</w:t>
            </w:r>
          </w:p>
        </w:tc>
        <w:tc>
          <w:tcPr>
            <w:tcW w:w="2551" w:type="dxa"/>
            <w:tcBorders>
              <w:top w:val="single" w:sz="4" w:space="0" w:color="auto"/>
              <w:left w:val="single" w:sz="4" w:space="0" w:color="auto"/>
              <w:bottom w:val="single" w:sz="4" w:space="0" w:color="auto"/>
              <w:right w:val="single" w:sz="4" w:space="0" w:color="auto"/>
            </w:tcBorders>
            <w:shd w:val="clear" w:color="auto" w:fill="FABF8F"/>
            <w:vAlign w:val="center"/>
          </w:tcPr>
          <w:p w:rsidR="00295DD1" w:rsidRPr="00A434E2" w:rsidRDefault="00295DD1" w:rsidP="00F04018">
            <w:pPr>
              <w:spacing w:line="240" w:lineRule="auto"/>
              <w:jc w:val="left"/>
              <w:rPr>
                <w:rFonts w:cs="Arial"/>
                <w:szCs w:val="22"/>
              </w:rPr>
            </w:pPr>
            <w:r w:rsidRPr="00A434E2">
              <w:rPr>
                <w:rFonts w:cs="Arial"/>
                <w:szCs w:val="22"/>
              </w:rPr>
              <w:t xml:space="preserve">Biólogo </w:t>
            </w:r>
          </w:p>
        </w:tc>
        <w:tc>
          <w:tcPr>
            <w:tcW w:w="2747" w:type="dxa"/>
            <w:tcBorders>
              <w:top w:val="single" w:sz="4" w:space="0" w:color="auto"/>
              <w:left w:val="single" w:sz="4" w:space="0" w:color="auto"/>
              <w:bottom w:val="single" w:sz="4" w:space="0" w:color="auto"/>
              <w:right w:val="single" w:sz="4" w:space="0" w:color="auto"/>
            </w:tcBorders>
            <w:shd w:val="clear" w:color="auto" w:fill="FABF8F"/>
            <w:vAlign w:val="center"/>
          </w:tcPr>
          <w:p w:rsidR="00295DD1" w:rsidRPr="00A434E2" w:rsidRDefault="00295DD1" w:rsidP="00F04018">
            <w:pPr>
              <w:spacing w:line="240" w:lineRule="auto"/>
              <w:jc w:val="left"/>
              <w:rPr>
                <w:rFonts w:cs="Arial"/>
                <w:szCs w:val="22"/>
              </w:rPr>
            </w:pPr>
            <w:r>
              <w:rPr>
                <w:rFonts w:cs="Arial"/>
                <w:szCs w:val="22"/>
              </w:rPr>
              <w:t xml:space="preserve">CRBIO  </w:t>
            </w:r>
            <w:r w:rsidR="008C32BC">
              <w:rPr>
                <w:rFonts w:cs="Arial"/>
                <w:szCs w:val="22"/>
              </w:rPr>
              <w:t>n</w:t>
            </w:r>
            <w:r w:rsidR="008C32BC" w:rsidRPr="008C32BC">
              <w:rPr>
                <w:rFonts w:cs="Arial"/>
                <w:szCs w:val="22"/>
                <w:u w:val="single"/>
                <w:vertAlign w:val="superscript"/>
              </w:rPr>
              <w:t>o</w:t>
            </w:r>
            <w:r w:rsidR="008C32BC">
              <w:rPr>
                <w:rFonts w:cs="Arial"/>
                <w:szCs w:val="22"/>
              </w:rPr>
              <w:t xml:space="preserve"> </w:t>
            </w:r>
            <w:r>
              <w:rPr>
                <w:rFonts w:cs="Arial"/>
                <w:szCs w:val="22"/>
              </w:rPr>
              <w:t>26007</w:t>
            </w:r>
          </w:p>
        </w:tc>
      </w:tr>
      <w:tr w:rsidR="00295DD1" w:rsidRPr="00236D82" w:rsidTr="00B25511">
        <w:trPr>
          <w:trHeight w:val="683"/>
          <w:jc w:val="center"/>
        </w:trPr>
        <w:tc>
          <w:tcPr>
            <w:tcW w:w="2323" w:type="dxa"/>
            <w:tcBorders>
              <w:top w:val="nil"/>
              <w:left w:val="single" w:sz="4" w:space="0" w:color="auto"/>
              <w:bottom w:val="single" w:sz="4" w:space="0" w:color="auto"/>
              <w:right w:val="single" w:sz="4" w:space="0" w:color="auto"/>
            </w:tcBorders>
            <w:shd w:val="clear" w:color="auto" w:fill="FABF8F"/>
            <w:vAlign w:val="center"/>
          </w:tcPr>
          <w:p w:rsidR="00295DD1" w:rsidRPr="0037686C" w:rsidRDefault="00295DD1" w:rsidP="00F04018">
            <w:pPr>
              <w:spacing w:line="240" w:lineRule="auto"/>
              <w:jc w:val="left"/>
              <w:rPr>
                <w:rFonts w:cs="Arial"/>
                <w:szCs w:val="22"/>
              </w:rPr>
            </w:pPr>
            <w:r w:rsidRPr="009526BB">
              <w:rPr>
                <w:rFonts w:cs="Arial"/>
                <w:szCs w:val="22"/>
              </w:rPr>
              <w:t>Ictiofauna</w:t>
            </w:r>
            <w:r>
              <w:rPr>
                <w:rFonts w:cs="Arial"/>
                <w:szCs w:val="22"/>
              </w:rPr>
              <w:t xml:space="preserve"> </w:t>
            </w:r>
          </w:p>
        </w:tc>
        <w:tc>
          <w:tcPr>
            <w:tcW w:w="2410" w:type="dxa"/>
            <w:tcBorders>
              <w:top w:val="single" w:sz="4" w:space="0" w:color="auto"/>
              <w:left w:val="single" w:sz="4" w:space="0" w:color="auto"/>
              <w:bottom w:val="single" w:sz="4" w:space="0" w:color="auto"/>
              <w:right w:val="single" w:sz="4" w:space="0" w:color="auto"/>
            </w:tcBorders>
            <w:shd w:val="clear" w:color="auto" w:fill="FABF8F"/>
            <w:vAlign w:val="center"/>
          </w:tcPr>
          <w:p w:rsidR="00295DD1" w:rsidRPr="00A434E2" w:rsidRDefault="00295DD1" w:rsidP="00F04018">
            <w:pPr>
              <w:spacing w:line="240" w:lineRule="auto"/>
              <w:jc w:val="left"/>
              <w:rPr>
                <w:rFonts w:cs="Arial"/>
                <w:szCs w:val="22"/>
              </w:rPr>
            </w:pPr>
            <w:r w:rsidRPr="00A434E2">
              <w:rPr>
                <w:rFonts w:cs="Arial"/>
                <w:szCs w:val="22"/>
              </w:rPr>
              <w:t xml:space="preserve">Mauro Cornacchioni Lopes </w:t>
            </w:r>
          </w:p>
        </w:tc>
        <w:tc>
          <w:tcPr>
            <w:tcW w:w="2551" w:type="dxa"/>
            <w:tcBorders>
              <w:top w:val="single" w:sz="4" w:space="0" w:color="auto"/>
              <w:left w:val="single" w:sz="4" w:space="0" w:color="auto"/>
              <w:bottom w:val="single" w:sz="4" w:space="0" w:color="auto"/>
              <w:right w:val="single" w:sz="4" w:space="0" w:color="auto"/>
            </w:tcBorders>
            <w:shd w:val="clear" w:color="auto" w:fill="FABF8F"/>
            <w:vAlign w:val="center"/>
          </w:tcPr>
          <w:p w:rsidR="00295DD1" w:rsidRPr="00A434E2" w:rsidRDefault="00295DD1" w:rsidP="00F04018">
            <w:pPr>
              <w:spacing w:line="240" w:lineRule="auto"/>
              <w:jc w:val="left"/>
              <w:rPr>
                <w:rFonts w:cs="Arial"/>
                <w:szCs w:val="22"/>
              </w:rPr>
            </w:pPr>
            <w:r w:rsidRPr="00A434E2">
              <w:rPr>
                <w:rFonts w:cs="Arial"/>
                <w:szCs w:val="22"/>
              </w:rPr>
              <w:t>Engenheiro de Pesca</w:t>
            </w:r>
          </w:p>
        </w:tc>
        <w:tc>
          <w:tcPr>
            <w:tcW w:w="2747" w:type="dxa"/>
            <w:tcBorders>
              <w:top w:val="single" w:sz="4" w:space="0" w:color="auto"/>
              <w:left w:val="single" w:sz="4" w:space="0" w:color="auto"/>
              <w:bottom w:val="single" w:sz="4" w:space="0" w:color="auto"/>
              <w:right w:val="single" w:sz="4" w:space="0" w:color="auto"/>
            </w:tcBorders>
            <w:shd w:val="clear" w:color="auto" w:fill="FABF8F"/>
            <w:vAlign w:val="center"/>
          </w:tcPr>
          <w:p w:rsidR="00295DD1" w:rsidRPr="00A434E2" w:rsidRDefault="00295DD1" w:rsidP="00F04018">
            <w:pPr>
              <w:spacing w:line="240" w:lineRule="auto"/>
              <w:jc w:val="left"/>
              <w:rPr>
                <w:rFonts w:cs="Arial"/>
                <w:szCs w:val="22"/>
              </w:rPr>
            </w:pPr>
            <w:r>
              <w:rPr>
                <w:rFonts w:cs="Arial"/>
                <w:szCs w:val="22"/>
              </w:rPr>
              <w:t xml:space="preserve">CRBIO </w:t>
            </w:r>
            <w:r w:rsidR="008C32BC">
              <w:rPr>
                <w:rFonts w:cs="Arial"/>
                <w:szCs w:val="22"/>
              </w:rPr>
              <w:t>n</w:t>
            </w:r>
            <w:r w:rsidR="008C32BC" w:rsidRPr="008C32BC">
              <w:rPr>
                <w:rFonts w:cs="Arial"/>
                <w:szCs w:val="22"/>
                <w:u w:val="single"/>
                <w:vertAlign w:val="superscript"/>
              </w:rPr>
              <w:t>o</w:t>
            </w:r>
            <w:r w:rsidR="008C32BC" w:rsidRPr="00A434E2">
              <w:rPr>
                <w:rFonts w:cs="Arial"/>
                <w:szCs w:val="22"/>
              </w:rPr>
              <w:t xml:space="preserve"> </w:t>
            </w:r>
            <w:r w:rsidRPr="00A434E2">
              <w:rPr>
                <w:rFonts w:cs="Arial"/>
                <w:szCs w:val="22"/>
              </w:rPr>
              <w:t>025548</w:t>
            </w:r>
            <w:r>
              <w:rPr>
                <w:rFonts w:cs="Arial"/>
                <w:szCs w:val="22"/>
              </w:rPr>
              <w:t>-D</w:t>
            </w:r>
          </w:p>
        </w:tc>
      </w:tr>
    </w:tbl>
    <w:p w:rsidR="00B25511" w:rsidRDefault="00B25511" w:rsidP="00B25511">
      <w:pPr>
        <w:spacing w:after="120" w:line="240" w:lineRule="auto"/>
        <w:jc w:val="left"/>
        <w:rPr>
          <w:rFonts w:cs="Arial"/>
          <w:sz w:val="20"/>
        </w:rPr>
      </w:pPr>
    </w:p>
    <w:p w:rsidR="00B25511" w:rsidRDefault="00B25511" w:rsidP="00B25511">
      <w:pPr>
        <w:spacing w:after="120" w:line="240" w:lineRule="auto"/>
        <w:jc w:val="left"/>
        <w:rPr>
          <w:rFonts w:cs="Arial"/>
          <w:sz w:val="20"/>
        </w:rPr>
      </w:pPr>
    </w:p>
    <w:p w:rsidR="00B25511" w:rsidRPr="00236D82" w:rsidRDefault="00B25511" w:rsidP="00B25511">
      <w:pPr>
        <w:spacing w:after="120" w:line="240" w:lineRule="auto"/>
        <w:jc w:val="left"/>
        <w:rPr>
          <w:rFonts w:cs="Arial"/>
          <w:sz w:val="20"/>
        </w:rPr>
      </w:pPr>
      <w:r>
        <w:rPr>
          <w:rFonts w:cs="Arial"/>
          <w:sz w:val="20"/>
        </w:rPr>
        <w:br w:type="page"/>
      </w:r>
      <w:r w:rsidRPr="00236D82">
        <w:rPr>
          <w:rFonts w:cs="Arial"/>
          <w:sz w:val="20"/>
        </w:rPr>
        <w:t>(continuação)</w:t>
      </w:r>
    </w:p>
    <w:tbl>
      <w:tblPr>
        <w:tblW w:w="9958" w:type="dxa"/>
        <w:jc w:val="center"/>
        <w:tblInd w:w="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
        <w:gridCol w:w="2575"/>
        <w:gridCol w:w="2378"/>
        <w:gridCol w:w="8"/>
        <w:gridCol w:w="2862"/>
      </w:tblGrid>
      <w:tr w:rsidR="00B25511" w:rsidRPr="00236D82" w:rsidTr="002268E3">
        <w:trPr>
          <w:trHeight w:val="624"/>
          <w:jc w:val="center"/>
        </w:trPr>
        <w:tc>
          <w:tcPr>
            <w:tcW w:w="2135" w:type="dxa"/>
            <w:gridSpan w:val="2"/>
            <w:shd w:val="clear" w:color="auto" w:fill="D9D9D9"/>
            <w:vAlign w:val="center"/>
          </w:tcPr>
          <w:p w:rsidR="00B25511" w:rsidRDefault="00B25511" w:rsidP="00F04018">
            <w:pPr>
              <w:spacing w:line="240" w:lineRule="auto"/>
              <w:jc w:val="center"/>
              <w:rPr>
                <w:rFonts w:cs="Arial"/>
                <w:b/>
                <w:sz w:val="20"/>
              </w:rPr>
            </w:pPr>
            <w:r w:rsidRPr="00B907BB">
              <w:rPr>
                <w:rFonts w:cs="Arial"/>
                <w:b/>
                <w:sz w:val="20"/>
              </w:rPr>
              <w:t>PARTICIPAÇÃO</w:t>
            </w:r>
            <w:r>
              <w:rPr>
                <w:rFonts w:cs="Arial"/>
                <w:b/>
                <w:sz w:val="20"/>
              </w:rPr>
              <w:t>/</w:t>
            </w:r>
          </w:p>
          <w:p w:rsidR="00B25511" w:rsidRPr="00236D82" w:rsidRDefault="00B25511" w:rsidP="00F04018">
            <w:pPr>
              <w:spacing w:line="240" w:lineRule="auto"/>
              <w:jc w:val="center"/>
              <w:rPr>
                <w:rFonts w:cs="Arial"/>
                <w:sz w:val="20"/>
              </w:rPr>
            </w:pPr>
            <w:r>
              <w:rPr>
                <w:rFonts w:cs="Arial"/>
                <w:b/>
                <w:sz w:val="20"/>
              </w:rPr>
              <w:t>TEMA</w:t>
            </w:r>
          </w:p>
        </w:tc>
        <w:tc>
          <w:tcPr>
            <w:tcW w:w="2575" w:type="dxa"/>
            <w:shd w:val="clear" w:color="auto" w:fill="D9D9D9"/>
            <w:vAlign w:val="center"/>
          </w:tcPr>
          <w:p w:rsidR="00B25511" w:rsidRPr="00236D82" w:rsidRDefault="00B25511" w:rsidP="00F04018">
            <w:pPr>
              <w:spacing w:line="240" w:lineRule="auto"/>
              <w:jc w:val="center"/>
              <w:rPr>
                <w:rFonts w:cs="Arial"/>
                <w:b/>
                <w:sz w:val="20"/>
              </w:rPr>
            </w:pPr>
            <w:r w:rsidRPr="00236D82">
              <w:rPr>
                <w:rFonts w:cs="Arial"/>
                <w:b/>
                <w:sz w:val="20"/>
              </w:rPr>
              <w:t>NOME</w:t>
            </w:r>
          </w:p>
        </w:tc>
        <w:tc>
          <w:tcPr>
            <w:tcW w:w="2386" w:type="dxa"/>
            <w:gridSpan w:val="2"/>
            <w:shd w:val="clear" w:color="auto" w:fill="D9D9D9"/>
            <w:vAlign w:val="center"/>
          </w:tcPr>
          <w:p w:rsidR="00B25511" w:rsidRPr="00236D82" w:rsidRDefault="00B25511" w:rsidP="00F04018">
            <w:pPr>
              <w:spacing w:line="240" w:lineRule="auto"/>
              <w:jc w:val="center"/>
              <w:rPr>
                <w:rFonts w:cs="Arial"/>
                <w:b/>
                <w:sz w:val="20"/>
              </w:rPr>
            </w:pPr>
            <w:r w:rsidRPr="00236D82">
              <w:rPr>
                <w:rFonts w:cs="Arial"/>
                <w:b/>
                <w:sz w:val="20"/>
              </w:rPr>
              <w:t>FUNÇÃO</w:t>
            </w:r>
          </w:p>
        </w:tc>
        <w:tc>
          <w:tcPr>
            <w:tcW w:w="2862" w:type="dxa"/>
            <w:shd w:val="clear" w:color="auto" w:fill="D9D9D9"/>
            <w:vAlign w:val="center"/>
          </w:tcPr>
          <w:p w:rsidR="00B25511" w:rsidRPr="00236D82" w:rsidRDefault="00B25511" w:rsidP="00F04018">
            <w:pPr>
              <w:spacing w:line="240" w:lineRule="auto"/>
              <w:jc w:val="center"/>
              <w:rPr>
                <w:rFonts w:cs="Arial"/>
                <w:b/>
                <w:sz w:val="20"/>
              </w:rPr>
            </w:pPr>
            <w:r w:rsidRPr="00236D82">
              <w:rPr>
                <w:rFonts w:cs="Arial"/>
                <w:b/>
                <w:sz w:val="20"/>
              </w:rPr>
              <w:t>REGISTRO PROFISSIONAL</w:t>
            </w:r>
          </w:p>
        </w:tc>
      </w:tr>
      <w:tr w:rsidR="00B25511" w:rsidRPr="00236D82" w:rsidTr="002268E3">
        <w:trPr>
          <w:cantSplit/>
          <w:trHeight w:val="420"/>
          <w:jc w:val="center"/>
        </w:trPr>
        <w:tc>
          <w:tcPr>
            <w:tcW w:w="9958" w:type="dxa"/>
            <w:gridSpan w:val="6"/>
            <w:tcBorders>
              <w:bottom w:val="nil"/>
            </w:tcBorders>
            <w:shd w:val="clear" w:color="auto" w:fill="D9D9D9"/>
            <w:vAlign w:val="center"/>
          </w:tcPr>
          <w:p w:rsidR="00B25511" w:rsidRPr="0037686C" w:rsidRDefault="00B25511" w:rsidP="00F04018">
            <w:pPr>
              <w:spacing w:line="240" w:lineRule="auto"/>
              <w:jc w:val="left"/>
              <w:rPr>
                <w:rFonts w:cs="Arial"/>
                <w:szCs w:val="22"/>
              </w:rPr>
            </w:pPr>
            <w:r w:rsidRPr="00196611">
              <w:rPr>
                <w:rFonts w:cs="Arial"/>
                <w:b/>
                <w:szCs w:val="22"/>
              </w:rPr>
              <w:t>MEIO BIÓTICO</w:t>
            </w:r>
          </w:p>
        </w:tc>
      </w:tr>
      <w:tr w:rsidR="00B25511" w:rsidRPr="00236D82" w:rsidTr="002268E3">
        <w:trPr>
          <w:cantSplit/>
          <w:trHeight w:val="551"/>
          <w:jc w:val="center"/>
        </w:trPr>
        <w:tc>
          <w:tcPr>
            <w:tcW w:w="2135" w:type="dxa"/>
            <w:gridSpan w:val="2"/>
            <w:tcBorders>
              <w:bottom w:val="nil"/>
            </w:tcBorders>
            <w:shd w:val="clear" w:color="auto" w:fill="FABF8F"/>
            <w:vAlign w:val="center"/>
          </w:tcPr>
          <w:p w:rsidR="00B25511" w:rsidRPr="002D4482" w:rsidRDefault="00B25511" w:rsidP="00295DD1">
            <w:pPr>
              <w:spacing w:line="240" w:lineRule="auto"/>
              <w:jc w:val="left"/>
              <w:rPr>
                <w:rFonts w:cs="Arial"/>
                <w:szCs w:val="22"/>
              </w:rPr>
            </w:pPr>
            <w:r w:rsidRPr="002D4482">
              <w:rPr>
                <w:rFonts w:cs="Arial"/>
                <w:szCs w:val="22"/>
              </w:rPr>
              <w:t>Coordenação</w:t>
            </w:r>
            <w:r>
              <w:rPr>
                <w:rFonts w:cs="Arial"/>
                <w:szCs w:val="22"/>
              </w:rPr>
              <w:t xml:space="preserve"> Setorial</w:t>
            </w:r>
            <w:r w:rsidR="002268E3">
              <w:rPr>
                <w:rFonts w:cs="Arial"/>
                <w:szCs w:val="22"/>
              </w:rPr>
              <w:t xml:space="preserve"> - Invertebrados</w:t>
            </w:r>
          </w:p>
        </w:tc>
        <w:tc>
          <w:tcPr>
            <w:tcW w:w="2575" w:type="dxa"/>
            <w:shd w:val="clear" w:color="auto" w:fill="FABF8F"/>
            <w:vAlign w:val="center"/>
          </w:tcPr>
          <w:p w:rsidR="00B25511" w:rsidRPr="00236D82" w:rsidRDefault="00B25511" w:rsidP="00F04018">
            <w:pPr>
              <w:spacing w:before="120" w:after="120" w:line="240" w:lineRule="auto"/>
              <w:jc w:val="left"/>
              <w:rPr>
                <w:rFonts w:cs="Arial"/>
                <w:sz w:val="20"/>
              </w:rPr>
            </w:pPr>
            <w:r w:rsidRPr="00053F16">
              <w:t>Allan Martins da Silva</w:t>
            </w:r>
          </w:p>
        </w:tc>
        <w:tc>
          <w:tcPr>
            <w:tcW w:w="2386" w:type="dxa"/>
            <w:gridSpan w:val="2"/>
            <w:shd w:val="clear" w:color="auto" w:fill="FABF8F"/>
            <w:vAlign w:val="center"/>
          </w:tcPr>
          <w:p w:rsidR="00B25511" w:rsidRPr="00A434E2" w:rsidRDefault="00B25511" w:rsidP="00F04018">
            <w:pPr>
              <w:spacing w:before="120" w:after="120" w:line="240" w:lineRule="auto"/>
              <w:jc w:val="left"/>
              <w:rPr>
                <w:rFonts w:cs="Arial"/>
                <w:szCs w:val="22"/>
              </w:rPr>
            </w:pPr>
            <w:r w:rsidRPr="00A434E2">
              <w:rPr>
                <w:szCs w:val="22"/>
              </w:rPr>
              <w:t xml:space="preserve">Biólogo (Dr.) Especialista em Saúde Pública </w:t>
            </w:r>
          </w:p>
        </w:tc>
        <w:tc>
          <w:tcPr>
            <w:tcW w:w="2862" w:type="dxa"/>
            <w:shd w:val="clear" w:color="auto" w:fill="FABF8F"/>
            <w:vAlign w:val="center"/>
          </w:tcPr>
          <w:p w:rsidR="00B25511" w:rsidRPr="00236D82" w:rsidRDefault="00B25511" w:rsidP="00F04018">
            <w:pPr>
              <w:spacing w:line="240" w:lineRule="auto"/>
              <w:jc w:val="left"/>
              <w:rPr>
                <w:rFonts w:cs="Arial"/>
                <w:sz w:val="20"/>
              </w:rPr>
            </w:pPr>
            <w:r w:rsidRPr="009526BB">
              <w:rPr>
                <w:rFonts w:eastAsia="Calibri" w:cs="Arial"/>
                <w:szCs w:val="22"/>
                <w:lang w:eastAsia="en-US"/>
              </w:rPr>
              <w:t xml:space="preserve">CRBio </w:t>
            </w:r>
            <w:r w:rsidR="008C32BC">
              <w:rPr>
                <w:rFonts w:cs="Arial"/>
                <w:szCs w:val="22"/>
              </w:rPr>
              <w:t>n</w:t>
            </w:r>
            <w:r w:rsidR="008C32BC" w:rsidRPr="008C32BC">
              <w:rPr>
                <w:rFonts w:cs="Arial"/>
                <w:szCs w:val="22"/>
                <w:u w:val="single"/>
                <w:vertAlign w:val="superscript"/>
              </w:rPr>
              <w:t>o</w:t>
            </w:r>
            <w:r w:rsidR="008C32BC" w:rsidRPr="009526BB">
              <w:rPr>
                <w:rFonts w:eastAsia="Calibri" w:cs="Arial"/>
                <w:szCs w:val="22"/>
                <w:lang w:eastAsia="en-US"/>
              </w:rPr>
              <w:t xml:space="preserve"> </w:t>
            </w:r>
            <w:r w:rsidRPr="009526BB">
              <w:rPr>
                <w:rFonts w:eastAsia="Calibri" w:cs="Arial"/>
                <w:szCs w:val="22"/>
                <w:lang w:eastAsia="en-US"/>
              </w:rPr>
              <w:t>45.219/07-D</w:t>
            </w:r>
          </w:p>
        </w:tc>
      </w:tr>
      <w:tr w:rsidR="00B25511" w:rsidRPr="00236D82" w:rsidTr="002268E3">
        <w:trPr>
          <w:cantSplit/>
          <w:trHeight w:val="823"/>
          <w:jc w:val="center"/>
        </w:trPr>
        <w:tc>
          <w:tcPr>
            <w:tcW w:w="2135" w:type="dxa"/>
            <w:gridSpan w:val="2"/>
            <w:vMerge w:val="restart"/>
            <w:tcBorders>
              <w:top w:val="nil"/>
            </w:tcBorders>
            <w:shd w:val="clear" w:color="auto" w:fill="FABF8F"/>
            <w:vAlign w:val="center"/>
          </w:tcPr>
          <w:p w:rsidR="00B25511" w:rsidRDefault="00B25511" w:rsidP="00295DD1">
            <w:pPr>
              <w:spacing w:line="240" w:lineRule="auto"/>
              <w:jc w:val="left"/>
              <w:rPr>
                <w:rFonts w:cs="Arial"/>
                <w:sz w:val="20"/>
              </w:rPr>
            </w:pPr>
            <w:r w:rsidRPr="00053F16">
              <w:t>Invertebrad</w:t>
            </w:r>
            <w:r>
              <w:t>os de interesse médico-sanitário</w:t>
            </w:r>
          </w:p>
        </w:tc>
        <w:tc>
          <w:tcPr>
            <w:tcW w:w="2575" w:type="dxa"/>
            <w:shd w:val="clear" w:color="auto" w:fill="FABF8F"/>
            <w:vAlign w:val="center"/>
          </w:tcPr>
          <w:p w:rsidR="00B25511" w:rsidRPr="00236D82" w:rsidRDefault="00B25511" w:rsidP="00F04018">
            <w:pPr>
              <w:spacing w:before="120" w:after="120" w:line="240" w:lineRule="auto"/>
              <w:jc w:val="left"/>
              <w:rPr>
                <w:rFonts w:cs="Arial"/>
                <w:sz w:val="20"/>
              </w:rPr>
            </w:pPr>
            <w:r w:rsidRPr="00053F16">
              <w:rPr>
                <w:rFonts w:cs="Arial"/>
                <w:szCs w:val="22"/>
              </w:rPr>
              <w:t>Roderlei de Araújo</w:t>
            </w:r>
          </w:p>
        </w:tc>
        <w:tc>
          <w:tcPr>
            <w:tcW w:w="2386" w:type="dxa"/>
            <w:gridSpan w:val="2"/>
            <w:shd w:val="clear" w:color="auto" w:fill="FABF8F"/>
            <w:vAlign w:val="center"/>
          </w:tcPr>
          <w:p w:rsidR="00B25511" w:rsidRPr="00A434E2" w:rsidRDefault="00B25511" w:rsidP="00F04018">
            <w:pPr>
              <w:spacing w:before="120" w:after="120" w:line="240" w:lineRule="auto"/>
              <w:jc w:val="left"/>
              <w:rPr>
                <w:rFonts w:cs="Arial"/>
                <w:szCs w:val="22"/>
              </w:rPr>
            </w:pPr>
            <w:r w:rsidRPr="00A434E2">
              <w:rPr>
                <w:szCs w:val="22"/>
              </w:rPr>
              <w:t>Farmacêutico (Mestre)</w:t>
            </w:r>
          </w:p>
        </w:tc>
        <w:tc>
          <w:tcPr>
            <w:tcW w:w="2862" w:type="dxa"/>
            <w:shd w:val="clear" w:color="auto" w:fill="FABF8F"/>
            <w:vAlign w:val="center"/>
          </w:tcPr>
          <w:p w:rsidR="00B25511" w:rsidRPr="00236D82" w:rsidRDefault="00B25511" w:rsidP="00F04018">
            <w:pPr>
              <w:spacing w:before="120" w:after="120" w:line="240" w:lineRule="auto"/>
              <w:jc w:val="left"/>
              <w:rPr>
                <w:rFonts w:cs="Arial"/>
                <w:sz w:val="20"/>
              </w:rPr>
            </w:pPr>
            <w:r>
              <w:t xml:space="preserve">CT IBAMA </w:t>
            </w:r>
            <w:r w:rsidR="008C32BC">
              <w:rPr>
                <w:rFonts w:cs="Arial"/>
                <w:szCs w:val="22"/>
              </w:rPr>
              <w:t>n</w:t>
            </w:r>
            <w:r w:rsidR="008C32BC" w:rsidRPr="008C32BC">
              <w:rPr>
                <w:rFonts w:cs="Arial"/>
                <w:szCs w:val="22"/>
                <w:u w:val="single"/>
                <w:vertAlign w:val="superscript"/>
              </w:rPr>
              <w:t>o</w:t>
            </w:r>
            <w:r w:rsidR="008C32BC">
              <w:t xml:space="preserve"> </w:t>
            </w:r>
            <w:r>
              <w:t>5183345</w:t>
            </w:r>
          </w:p>
        </w:tc>
      </w:tr>
      <w:tr w:rsidR="00B25511" w:rsidRPr="00236D82" w:rsidTr="002268E3">
        <w:trPr>
          <w:cantSplit/>
          <w:trHeight w:val="974"/>
          <w:jc w:val="center"/>
        </w:trPr>
        <w:tc>
          <w:tcPr>
            <w:tcW w:w="2135" w:type="dxa"/>
            <w:gridSpan w:val="2"/>
            <w:vMerge/>
            <w:shd w:val="clear" w:color="auto" w:fill="FABF8F"/>
            <w:vAlign w:val="center"/>
          </w:tcPr>
          <w:p w:rsidR="00B25511" w:rsidRDefault="00B25511" w:rsidP="00F04018">
            <w:pPr>
              <w:spacing w:line="240" w:lineRule="auto"/>
              <w:jc w:val="center"/>
              <w:rPr>
                <w:rFonts w:cs="Arial"/>
                <w:sz w:val="20"/>
              </w:rPr>
            </w:pPr>
          </w:p>
        </w:tc>
        <w:tc>
          <w:tcPr>
            <w:tcW w:w="2575" w:type="dxa"/>
            <w:shd w:val="clear" w:color="auto" w:fill="FABF8F"/>
            <w:vAlign w:val="center"/>
          </w:tcPr>
          <w:p w:rsidR="00B25511" w:rsidRPr="00236D82" w:rsidRDefault="00B25511" w:rsidP="00F04018">
            <w:pPr>
              <w:spacing w:before="120" w:after="120" w:line="240" w:lineRule="auto"/>
              <w:jc w:val="left"/>
              <w:rPr>
                <w:rFonts w:cs="Arial"/>
                <w:sz w:val="20"/>
              </w:rPr>
            </w:pPr>
            <w:r w:rsidRPr="00053F16">
              <w:rPr>
                <w:bCs/>
              </w:rPr>
              <w:t>Ângela Cristovalina Pernier dos Santos</w:t>
            </w:r>
          </w:p>
        </w:tc>
        <w:tc>
          <w:tcPr>
            <w:tcW w:w="2386" w:type="dxa"/>
            <w:gridSpan w:val="2"/>
            <w:shd w:val="clear" w:color="auto" w:fill="FABF8F"/>
            <w:vAlign w:val="center"/>
          </w:tcPr>
          <w:p w:rsidR="00B25511" w:rsidRPr="00A434E2" w:rsidRDefault="00B25511" w:rsidP="00F04018">
            <w:pPr>
              <w:spacing w:before="120" w:after="120" w:line="240" w:lineRule="auto"/>
              <w:jc w:val="left"/>
              <w:rPr>
                <w:rFonts w:cs="Arial"/>
                <w:szCs w:val="22"/>
              </w:rPr>
            </w:pPr>
            <w:r w:rsidRPr="00A434E2">
              <w:rPr>
                <w:rFonts w:cs="Arial"/>
                <w:szCs w:val="22"/>
              </w:rPr>
              <w:t>Ajudante</w:t>
            </w:r>
          </w:p>
        </w:tc>
        <w:tc>
          <w:tcPr>
            <w:tcW w:w="2862" w:type="dxa"/>
            <w:shd w:val="clear" w:color="auto" w:fill="FABF8F"/>
            <w:vAlign w:val="center"/>
          </w:tcPr>
          <w:p w:rsidR="00B25511" w:rsidRPr="000B4061" w:rsidRDefault="00B25511" w:rsidP="00F04018">
            <w:pPr>
              <w:spacing w:line="240" w:lineRule="auto"/>
              <w:jc w:val="left"/>
              <w:rPr>
                <w:rFonts w:eastAsia="Calibri" w:cs="Arial"/>
                <w:szCs w:val="22"/>
                <w:lang w:eastAsia="en-US"/>
              </w:rPr>
            </w:pPr>
            <w:r w:rsidRPr="000B4061">
              <w:rPr>
                <w:rFonts w:eastAsia="Calibri" w:cs="Arial"/>
                <w:szCs w:val="22"/>
                <w:lang w:eastAsia="en-US"/>
              </w:rPr>
              <w:t xml:space="preserve">CT IBAMA </w:t>
            </w:r>
            <w:r w:rsidR="008C32BC">
              <w:rPr>
                <w:rFonts w:cs="Arial"/>
                <w:szCs w:val="22"/>
              </w:rPr>
              <w:t>n</w:t>
            </w:r>
            <w:r w:rsidR="008C32BC" w:rsidRPr="008C32BC">
              <w:rPr>
                <w:rFonts w:cs="Arial"/>
                <w:szCs w:val="22"/>
                <w:u w:val="single"/>
                <w:vertAlign w:val="superscript"/>
              </w:rPr>
              <w:t>o</w:t>
            </w:r>
            <w:r w:rsidR="008C32BC" w:rsidRPr="000B4061">
              <w:rPr>
                <w:rFonts w:eastAsia="Calibri" w:cs="Arial"/>
                <w:szCs w:val="22"/>
                <w:lang w:eastAsia="en-US"/>
              </w:rPr>
              <w:t xml:space="preserve"> </w:t>
            </w:r>
            <w:r w:rsidRPr="000B4061">
              <w:rPr>
                <w:rFonts w:eastAsia="Calibri" w:cs="Arial"/>
                <w:szCs w:val="22"/>
                <w:lang w:eastAsia="en-US"/>
              </w:rPr>
              <w:t>5945050</w:t>
            </w:r>
          </w:p>
        </w:tc>
      </w:tr>
      <w:tr w:rsidR="00B25511" w:rsidRPr="00236D82" w:rsidTr="002268E3">
        <w:trPr>
          <w:cantSplit/>
          <w:trHeight w:val="845"/>
          <w:jc w:val="center"/>
        </w:trPr>
        <w:tc>
          <w:tcPr>
            <w:tcW w:w="2135" w:type="dxa"/>
            <w:gridSpan w:val="2"/>
            <w:vMerge/>
            <w:tcBorders>
              <w:bottom w:val="single" w:sz="4" w:space="0" w:color="auto"/>
            </w:tcBorders>
            <w:shd w:val="clear" w:color="auto" w:fill="FABF8F"/>
            <w:vAlign w:val="center"/>
          </w:tcPr>
          <w:p w:rsidR="00B25511" w:rsidRDefault="00B25511" w:rsidP="00F04018">
            <w:pPr>
              <w:spacing w:line="240" w:lineRule="auto"/>
              <w:jc w:val="center"/>
              <w:rPr>
                <w:rFonts w:cs="Arial"/>
                <w:sz w:val="20"/>
              </w:rPr>
            </w:pPr>
          </w:p>
        </w:tc>
        <w:tc>
          <w:tcPr>
            <w:tcW w:w="2575" w:type="dxa"/>
            <w:shd w:val="clear" w:color="auto" w:fill="FABF8F"/>
            <w:vAlign w:val="center"/>
          </w:tcPr>
          <w:p w:rsidR="00B25511" w:rsidRPr="00236D82" w:rsidRDefault="00B25511" w:rsidP="00F04018">
            <w:pPr>
              <w:spacing w:before="120" w:after="120" w:line="240" w:lineRule="auto"/>
              <w:jc w:val="left"/>
              <w:rPr>
                <w:rFonts w:cs="Arial"/>
                <w:sz w:val="20"/>
              </w:rPr>
            </w:pPr>
            <w:r w:rsidRPr="00053F16">
              <w:t>Demilson Rodrigues dos Santos</w:t>
            </w:r>
          </w:p>
        </w:tc>
        <w:tc>
          <w:tcPr>
            <w:tcW w:w="2386" w:type="dxa"/>
            <w:gridSpan w:val="2"/>
            <w:shd w:val="clear" w:color="auto" w:fill="FABF8F"/>
            <w:vAlign w:val="center"/>
          </w:tcPr>
          <w:p w:rsidR="00B25511" w:rsidRPr="00A434E2" w:rsidRDefault="00B25511" w:rsidP="00F04018">
            <w:pPr>
              <w:spacing w:before="120" w:after="120" w:line="240" w:lineRule="auto"/>
              <w:jc w:val="left"/>
              <w:rPr>
                <w:rFonts w:cs="Arial"/>
                <w:szCs w:val="22"/>
              </w:rPr>
            </w:pPr>
            <w:r w:rsidRPr="00A434E2">
              <w:rPr>
                <w:rFonts w:cs="Arial"/>
                <w:szCs w:val="22"/>
              </w:rPr>
              <w:t>Ajudante</w:t>
            </w:r>
          </w:p>
        </w:tc>
        <w:tc>
          <w:tcPr>
            <w:tcW w:w="2862" w:type="dxa"/>
            <w:shd w:val="clear" w:color="auto" w:fill="FABF8F"/>
            <w:vAlign w:val="center"/>
          </w:tcPr>
          <w:p w:rsidR="00B25511" w:rsidRPr="000B4061" w:rsidRDefault="00B25511" w:rsidP="00F04018">
            <w:pPr>
              <w:spacing w:line="240" w:lineRule="auto"/>
              <w:jc w:val="left"/>
              <w:rPr>
                <w:rFonts w:eastAsia="Calibri" w:cs="Arial"/>
                <w:szCs w:val="22"/>
                <w:lang w:eastAsia="en-US"/>
              </w:rPr>
            </w:pPr>
            <w:r w:rsidRPr="000B4061">
              <w:rPr>
                <w:rFonts w:eastAsia="Calibri" w:cs="Arial"/>
                <w:szCs w:val="22"/>
                <w:lang w:eastAsia="en-US"/>
              </w:rPr>
              <w:t xml:space="preserve">CT IBAMA </w:t>
            </w:r>
            <w:r w:rsidR="008C32BC">
              <w:rPr>
                <w:rFonts w:cs="Arial"/>
                <w:szCs w:val="22"/>
              </w:rPr>
              <w:t>n</w:t>
            </w:r>
            <w:r w:rsidR="008C32BC" w:rsidRPr="008C32BC">
              <w:rPr>
                <w:rFonts w:cs="Arial"/>
                <w:szCs w:val="22"/>
                <w:u w:val="single"/>
                <w:vertAlign w:val="superscript"/>
              </w:rPr>
              <w:t>o</w:t>
            </w:r>
            <w:r w:rsidR="008C32BC" w:rsidRPr="000B4061">
              <w:rPr>
                <w:rFonts w:eastAsia="Calibri" w:cs="Arial"/>
                <w:szCs w:val="22"/>
                <w:lang w:eastAsia="en-US"/>
              </w:rPr>
              <w:t xml:space="preserve"> </w:t>
            </w:r>
            <w:r w:rsidRPr="000B4061">
              <w:rPr>
                <w:rFonts w:eastAsia="Calibri" w:cs="Arial"/>
                <w:szCs w:val="22"/>
                <w:lang w:eastAsia="en-US"/>
              </w:rPr>
              <w:t>5559970</w:t>
            </w:r>
          </w:p>
        </w:tc>
      </w:tr>
      <w:tr w:rsidR="00B25511" w:rsidRPr="00236D82" w:rsidTr="002268E3">
        <w:trPr>
          <w:cantSplit/>
          <w:trHeight w:val="733"/>
          <w:jc w:val="center"/>
        </w:trPr>
        <w:tc>
          <w:tcPr>
            <w:tcW w:w="2135" w:type="dxa"/>
            <w:gridSpan w:val="2"/>
            <w:tcBorders>
              <w:top w:val="single" w:sz="4" w:space="0" w:color="auto"/>
              <w:bottom w:val="nil"/>
            </w:tcBorders>
            <w:shd w:val="clear" w:color="auto" w:fill="FBD4B4"/>
            <w:vAlign w:val="center"/>
          </w:tcPr>
          <w:p w:rsidR="00B25511" w:rsidRPr="00A434E2" w:rsidRDefault="00B25511" w:rsidP="00295DD1">
            <w:pPr>
              <w:spacing w:line="240" w:lineRule="auto"/>
              <w:jc w:val="left"/>
              <w:rPr>
                <w:rFonts w:cs="Arial"/>
                <w:szCs w:val="22"/>
              </w:rPr>
            </w:pPr>
            <w:r w:rsidRPr="00A434E2">
              <w:rPr>
                <w:rFonts w:cs="Arial"/>
                <w:szCs w:val="22"/>
              </w:rPr>
              <w:t>Coordenação</w:t>
            </w:r>
            <w:r>
              <w:rPr>
                <w:rFonts w:cs="Arial"/>
                <w:szCs w:val="22"/>
              </w:rPr>
              <w:t xml:space="preserve"> Setorial</w:t>
            </w:r>
            <w:r w:rsidRPr="00A434E2">
              <w:rPr>
                <w:rFonts w:cs="Arial"/>
                <w:szCs w:val="22"/>
              </w:rPr>
              <w:t xml:space="preserve"> </w:t>
            </w:r>
          </w:p>
        </w:tc>
        <w:tc>
          <w:tcPr>
            <w:tcW w:w="2575" w:type="dxa"/>
            <w:shd w:val="clear" w:color="auto" w:fill="FBD4B4"/>
            <w:vAlign w:val="center"/>
          </w:tcPr>
          <w:p w:rsidR="00B25511" w:rsidRPr="00A434E2" w:rsidRDefault="00B25511" w:rsidP="00295DD1">
            <w:pPr>
              <w:spacing w:before="120" w:line="240" w:lineRule="auto"/>
              <w:jc w:val="left"/>
              <w:rPr>
                <w:rFonts w:cs="Arial"/>
                <w:szCs w:val="22"/>
              </w:rPr>
            </w:pPr>
            <w:r w:rsidRPr="00A434E2">
              <w:rPr>
                <w:rFonts w:cs="Arial"/>
                <w:szCs w:val="22"/>
              </w:rPr>
              <w:t>Vilma Maria Cavinatto Rivero</w:t>
            </w:r>
          </w:p>
        </w:tc>
        <w:tc>
          <w:tcPr>
            <w:tcW w:w="2386" w:type="dxa"/>
            <w:gridSpan w:val="2"/>
            <w:shd w:val="clear" w:color="auto" w:fill="FBD4B4"/>
            <w:vAlign w:val="center"/>
          </w:tcPr>
          <w:p w:rsidR="00B25511" w:rsidRPr="00A434E2" w:rsidRDefault="00B25511" w:rsidP="00F04018">
            <w:pPr>
              <w:spacing w:before="120" w:line="240" w:lineRule="auto"/>
              <w:jc w:val="left"/>
              <w:rPr>
                <w:rFonts w:cs="Arial"/>
                <w:szCs w:val="22"/>
              </w:rPr>
            </w:pPr>
            <w:r w:rsidRPr="00A434E2">
              <w:rPr>
                <w:rFonts w:cs="Arial"/>
                <w:szCs w:val="22"/>
              </w:rPr>
              <w:t>Bióloga</w:t>
            </w:r>
          </w:p>
        </w:tc>
        <w:tc>
          <w:tcPr>
            <w:tcW w:w="2862" w:type="dxa"/>
            <w:shd w:val="clear" w:color="auto" w:fill="FBD4B4"/>
            <w:vAlign w:val="center"/>
          </w:tcPr>
          <w:p w:rsidR="00B25511" w:rsidRPr="00A434E2" w:rsidRDefault="00B25511" w:rsidP="00F04018">
            <w:pPr>
              <w:spacing w:before="120" w:line="240" w:lineRule="auto"/>
              <w:jc w:val="left"/>
              <w:rPr>
                <w:rFonts w:eastAsia="Calibri" w:cs="Arial"/>
                <w:szCs w:val="22"/>
                <w:lang w:eastAsia="en-US"/>
              </w:rPr>
            </w:pPr>
            <w:r w:rsidRPr="00A434E2">
              <w:rPr>
                <w:rFonts w:eastAsia="Calibri" w:cs="Arial"/>
                <w:szCs w:val="22"/>
                <w:lang w:eastAsia="en-US"/>
              </w:rPr>
              <w:t xml:space="preserve">CRBio: </w:t>
            </w:r>
            <w:r w:rsidR="008C32BC">
              <w:rPr>
                <w:rFonts w:cs="Arial"/>
                <w:szCs w:val="22"/>
              </w:rPr>
              <w:t>n</w:t>
            </w:r>
            <w:r w:rsidR="008C32BC" w:rsidRPr="008C32BC">
              <w:rPr>
                <w:rFonts w:cs="Arial"/>
                <w:szCs w:val="22"/>
                <w:u w:val="single"/>
                <w:vertAlign w:val="superscript"/>
              </w:rPr>
              <w:t>o</w:t>
            </w:r>
            <w:r w:rsidR="008C32BC" w:rsidRPr="00A434E2">
              <w:rPr>
                <w:rFonts w:eastAsia="Calibri" w:cs="Arial"/>
                <w:szCs w:val="22"/>
                <w:lang w:eastAsia="en-US"/>
              </w:rPr>
              <w:t xml:space="preserve"> </w:t>
            </w:r>
            <w:r w:rsidRPr="00A434E2">
              <w:rPr>
                <w:rFonts w:eastAsia="Calibri" w:cs="Arial"/>
                <w:szCs w:val="22"/>
                <w:lang w:eastAsia="en-US"/>
              </w:rPr>
              <w:t>06912/01</w:t>
            </w:r>
          </w:p>
        </w:tc>
      </w:tr>
      <w:tr w:rsidR="00B25511" w:rsidRPr="00236D82" w:rsidTr="002268E3">
        <w:trPr>
          <w:cantSplit/>
          <w:trHeight w:val="842"/>
          <w:jc w:val="center"/>
        </w:trPr>
        <w:tc>
          <w:tcPr>
            <w:tcW w:w="2135" w:type="dxa"/>
            <w:gridSpan w:val="2"/>
            <w:tcBorders>
              <w:top w:val="nil"/>
            </w:tcBorders>
            <w:shd w:val="clear" w:color="auto" w:fill="FBD4B4"/>
            <w:vAlign w:val="center"/>
          </w:tcPr>
          <w:p w:rsidR="00B25511" w:rsidRPr="00A434E2" w:rsidRDefault="00B25511" w:rsidP="00295DD1">
            <w:pPr>
              <w:spacing w:line="240" w:lineRule="auto"/>
              <w:jc w:val="left"/>
              <w:rPr>
                <w:rFonts w:cs="Arial"/>
                <w:szCs w:val="22"/>
              </w:rPr>
            </w:pPr>
            <w:r w:rsidRPr="00A434E2">
              <w:rPr>
                <w:rFonts w:cs="Arial"/>
                <w:szCs w:val="22"/>
              </w:rPr>
              <w:t>Qualidade da Água</w:t>
            </w:r>
            <w:r>
              <w:rPr>
                <w:rFonts w:cs="Arial"/>
                <w:szCs w:val="22"/>
              </w:rPr>
              <w:t xml:space="preserve">, Limnologia e </w:t>
            </w:r>
            <w:r w:rsidRPr="00A434E2">
              <w:rPr>
                <w:rFonts w:cs="Arial"/>
                <w:szCs w:val="22"/>
              </w:rPr>
              <w:t>Sedimentos</w:t>
            </w:r>
          </w:p>
        </w:tc>
        <w:tc>
          <w:tcPr>
            <w:tcW w:w="2575" w:type="dxa"/>
            <w:shd w:val="clear" w:color="auto" w:fill="FBD4B4"/>
            <w:vAlign w:val="center"/>
          </w:tcPr>
          <w:p w:rsidR="00B25511" w:rsidRPr="00A434E2" w:rsidRDefault="00B25511" w:rsidP="00295DD1">
            <w:pPr>
              <w:spacing w:before="120" w:line="240" w:lineRule="auto"/>
              <w:jc w:val="left"/>
              <w:rPr>
                <w:rFonts w:cs="Arial"/>
                <w:szCs w:val="22"/>
              </w:rPr>
            </w:pPr>
            <w:r w:rsidRPr="00A434E2">
              <w:rPr>
                <w:rFonts w:cs="Arial"/>
                <w:szCs w:val="22"/>
              </w:rPr>
              <w:t>Josefa Oliveira dos Santos</w:t>
            </w:r>
          </w:p>
        </w:tc>
        <w:tc>
          <w:tcPr>
            <w:tcW w:w="2386" w:type="dxa"/>
            <w:gridSpan w:val="2"/>
            <w:shd w:val="clear" w:color="auto" w:fill="FBD4B4"/>
            <w:vAlign w:val="center"/>
          </w:tcPr>
          <w:p w:rsidR="00B25511" w:rsidRPr="00A434E2" w:rsidRDefault="00B25511" w:rsidP="00F04018">
            <w:pPr>
              <w:spacing w:before="120" w:line="240" w:lineRule="auto"/>
              <w:jc w:val="left"/>
              <w:rPr>
                <w:szCs w:val="22"/>
              </w:rPr>
            </w:pPr>
            <w:r w:rsidRPr="00A434E2">
              <w:rPr>
                <w:szCs w:val="22"/>
              </w:rPr>
              <w:t>Tecnóloga em Gestão Ambiental</w:t>
            </w:r>
          </w:p>
        </w:tc>
        <w:tc>
          <w:tcPr>
            <w:tcW w:w="2862" w:type="dxa"/>
            <w:shd w:val="clear" w:color="auto" w:fill="FBD4B4"/>
            <w:vAlign w:val="center"/>
          </w:tcPr>
          <w:p w:rsidR="00B25511" w:rsidRPr="00A434E2" w:rsidRDefault="00B25511" w:rsidP="00F04018">
            <w:pPr>
              <w:spacing w:before="120" w:line="240" w:lineRule="auto"/>
              <w:jc w:val="left"/>
              <w:rPr>
                <w:rFonts w:eastAsia="Calibri" w:cs="Arial"/>
                <w:szCs w:val="22"/>
                <w:lang w:eastAsia="en-US"/>
              </w:rPr>
            </w:pPr>
            <w:r w:rsidRPr="00A434E2">
              <w:rPr>
                <w:rFonts w:eastAsia="Calibri" w:cs="Arial"/>
                <w:szCs w:val="22"/>
                <w:lang w:eastAsia="en-US"/>
              </w:rPr>
              <w:t xml:space="preserve">CRQ: </w:t>
            </w:r>
            <w:r w:rsidR="008C32BC">
              <w:rPr>
                <w:rFonts w:cs="Arial"/>
                <w:szCs w:val="22"/>
              </w:rPr>
              <w:t>n</w:t>
            </w:r>
            <w:r w:rsidR="008C32BC" w:rsidRPr="008C32BC">
              <w:rPr>
                <w:rFonts w:cs="Arial"/>
                <w:szCs w:val="22"/>
                <w:u w:val="single"/>
                <w:vertAlign w:val="superscript"/>
              </w:rPr>
              <w:t>o</w:t>
            </w:r>
            <w:r w:rsidR="008C32BC" w:rsidRPr="00A434E2">
              <w:rPr>
                <w:rFonts w:eastAsia="Calibri" w:cs="Arial"/>
                <w:szCs w:val="22"/>
                <w:lang w:eastAsia="en-US"/>
              </w:rPr>
              <w:t xml:space="preserve"> </w:t>
            </w:r>
            <w:r w:rsidRPr="00A434E2">
              <w:rPr>
                <w:rFonts w:eastAsia="Calibri" w:cs="Arial"/>
                <w:szCs w:val="22"/>
                <w:lang w:eastAsia="en-US"/>
              </w:rPr>
              <w:t>107077</w:t>
            </w:r>
          </w:p>
        </w:tc>
      </w:tr>
      <w:tr w:rsidR="00B25511" w:rsidRPr="00236D82" w:rsidTr="002268E3">
        <w:trPr>
          <w:cantSplit/>
          <w:trHeight w:val="551"/>
          <w:jc w:val="center"/>
        </w:trPr>
        <w:tc>
          <w:tcPr>
            <w:tcW w:w="2135" w:type="dxa"/>
            <w:gridSpan w:val="2"/>
            <w:shd w:val="clear" w:color="auto" w:fill="FBD4B4"/>
            <w:vAlign w:val="center"/>
          </w:tcPr>
          <w:p w:rsidR="00B25511" w:rsidRPr="00A434E2" w:rsidRDefault="00B25511" w:rsidP="00295DD1">
            <w:pPr>
              <w:spacing w:line="240" w:lineRule="auto"/>
              <w:jc w:val="left"/>
              <w:rPr>
                <w:rFonts w:cs="Arial"/>
                <w:color w:val="000000"/>
                <w:szCs w:val="22"/>
              </w:rPr>
            </w:pPr>
            <w:r w:rsidRPr="00A434E2">
              <w:rPr>
                <w:rFonts w:cs="Arial"/>
                <w:color w:val="000000"/>
                <w:szCs w:val="22"/>
              </w:rPr>
              <w:t>Macrófitas Aquáticas</w:t>
            </w:r>
          </w:p>
        </w:tc>
        <w:tc>
          <w:tcPr>
            <w:tcW w:w="2575" w:type="dxa"/>
            <w:shd w:val="clear" w:color="auto" w:fill="FBD4B4"/>
            <w:vAlign w:val="center"/>
          </w:tcPr>
          <w:p w:rsidR="00B25511" w:rsidRPr="00A434E2" w:rsidRDefault="00B25511" w:rsidP="00295DD1">
            <w:pPr>
              <w:spacing w:before="120" w:line="240" w:lineRule="auto"/>
              <w:jc w:val="left"/>
              <w:rPr>
                <w:rFonts w:cs="Arial"/>
                <w:szCs w:val="22"/>
              </w:rPr>
            </w:pPr>
            <w:r w:rsidRPr="00A434E2">
              <w:rPr>
                <w:rFonts w:cs="Arial"/>
                <w:szCs w:val="22"/>
              </w:rPr>
              <w:t>Maria Estefânia Fernandes Rodrigues</w:t>
            </w:r>
          </w:p>
        </w:tc>
        <w:tc>
          <w:tcPr>
            <w:tcW w:w="2386" w:type="dxa"/>
            <w:gridSpan w:val="2"/>
            <w:shd w:val="clear" w:color="auto" w:fill="FBD4B4"/>
            <w:vAlign w:val="center"/>
          </w:tcPr>
          <w:p w:rsidR="00B25511" w:rsidRPr="00A434E2" w:rsidRDefault="00B25511" w:rsidP="00F04018">
            <w:pPr>
              <w:spacing w:before="120" w:line="240" w:lineRule="auto"/>
              <w:jc w:val="left"/>
              <w:rPr>
                <w:rFonts w:cs="Arial"/>
                <w:color w:val="000000"/>
                <w:szCs w:val="22"/>
              </w:rPr>
            </w:pPr>
            <w:r w:rsidRPr="00A434E2">
              <w:rPr>
                <w:rFonts w:cs="Arial"/>
                <w:color w:val="000000"/>
                <w:szCs w:val="22"/>
              </w:rPr>
              <w:t>Bióloga</w:t>
            </w:r>
          </w:p>
        </w:tc>
        <w:tc>
          <w:tcPr>
            <w:tcW w:w="2862" w:type="dxa"/>
            <w:shd w:val="clear" w:color="auto" w:fill="FBD4B4"/>
            <w:vAlign w:val="center"/>
          </w:tcPr>
          <w:p w:rsidR="00B25511" w:rsidRPr="00A434E2" w:rsidRDefault="00B25511" w:rsidP="00F04018">
            <w:pPr>
              <w:spacing w:before="120" w:line="240" w:lineRule="auto"/>
              <w:jc w:val="left"/>
              <w:rPr>
                <w:rFonts w:eastAsia="Calibri" w:cs="Arial"/>
                <w:szCs w:val="22"/>
                <w:lang w:eastAsia="en-US"/>
              </w:rPr>
            </w:pPr>
            <w:r w:rsidRPr="00A434E2">
              <w:rPr>
                <w:rFonts w:eastAsia="Calibri" w:cs="Arial"/>
                <w:szCs w:val="22"/>
                <w:lang w:eastAsia="en-US"/>
              </w:rPr>
              <w:t xml:space="preserve">CRBio: </w:t>
            </w:r>
            <w:r w:rsidR="008C32BC">
              <w:rPr>
                <w:rFonts w:cs="Arial"/>
                <w:szCs w:val="22"/>
              </w:rPr>
              <w:t>n</w:t>
            </w:r>
            <w:r w:rsidR="008C32BC" w:rsidRPr="008C32BC">
              <w:rPr>
                <w:rFonts w:cs="Arial"/>
                <w:szCs w:val="22"/>
                <w:u w:val="single"/>
                <w:vertAlign w:val="superscript"/>
              </w:rPr>
              <w:t>o</w:t>
            </w:r>
            <w:r w:rsidR="008C32BC" w:rsidRPr="00A434E2">
              <w:rPr>
                <w:rFonts w:eastAsia="Calibri" w:cs="Arial"/>
                <w:szCs w:val="22"/>
                <w:lang w:eastAsia="en-US"/>
              </w:rPr>
              <w:t xml:space="preserve"> </w:t>
            </w:r>
            <w:r w:rsidRPr="00A434E2">
              <w:rPr>
                <w:rFonts w:eastAsia="Calibri" w:cs="Arial"/>
                <w:szCs w:val="22"/>
                <w:lang w:eastAsia="en-US"/>
              </w:rPr>
              <w:t xml:space="preserve">082208/01 </w:t>
            </w:r>
          </w:p>
        </w:tc>
      </w:tr>
      <w:tr w:rsidR="00B25511" w:rsidRPr="00236D82" w:rsidTr="002268E3">
        <w:trPr>
          <w:cantSplit/>
          <w:trHeight w:val="731"/>
          <w:jc w:val="center"/>
        </w:trPr>
        <w:tc>
          <w:tcPr>
            <w:tcW w:w="2135" w:type="dxa"/>
            <w:gridSpan w:val="2"/>
            <w:vMerge w:val="restart"/>
            <w:shd w:val="clear" w:color="auto" w:fill="FBD4B4"/>
            <w:vAlign w:val="center"/>
          </w:tcPr>
          <w:p w:rsidR="00B25511" w:rsidRPr="00A434E2" w:rsidRDefault="00B25511" w:rsidP="00295DD1">
            <w:pPr>
              <w:spacing w:line="240" w:lineRule="auto"/>
              <w:jc w:val="left"/>
              <w:rPr>
                <w:rFonts w:cs="Arial"/>
                <w:color w:val="000000"/>
                <w:szCs w:val="22"/>
              </w:rPr>
            </w:pPr>
            <w:r w:rsidRPr="00A434E2">
              <w:rPr>
                <w:rFonts w:cs="Arial"/>
                <w:color w:val="000000"/>
                <w:szCs w:val="22"/>
              </w:rPr>
              <w:t>Fitoplâncton, Zooplâncton e Invertebrados Bentônicos</w:t>
            </w:r>
          </w:p>
        </w:tc>
        <w:tc>
          <w:tcPr>
            <w:tcW w:w="2575" w:type="dxa"/>
            <w:shd w:val="clear" w:color="auto" w:fill="FBD4B4"/>
            <w:vAlign w:val="center"/>
          </w:tcPr>
          <w:p w:rsidR="00B25511" w:rsidRPr="00A434E2" w:rsidRDefault="00B25511" w:rsidP="00295DD1">
            <w:pPr>
              <w:spacing w:before="120" w:line="240" w:lineRule="auto"/>
              <w:jc w:val="left"/>
              <w:rPr>
                <w:rFonts w:cs="Arial"/>
                <w:color w:val="000000"/>
                <w:szCs w:val="22"/>
              </w:rPr>
            </w:pPr>
            <w:r w:rsidRPr="00A434E2">
              <w:rPr>
                <w:rFonts w:cs="Arial"/>
                <w:color w:val="000000"/>
                <w:szCs w:val="22"/>
              </w:rPr>
              <w:t>Pâmela Reis Santos</w:t>
            </w:r>
          </w:p>
        </w:tc>
        <w:tc>
          <w:tcPr>
            <w:tcW w:w="2386" w:type="dxa"/>
            <w:gridSpan w:val="2"/>
            <w:shd w:val="clear" w:color="auto" w:fill="FBD4B4"/>
            <w:vAlign w:val="center"/>
          </w:tcPr>
          <w:p w:rsidR="00B25511" w:rsidRPr="00A434E2" w:rsidRDefault="00B25511" w:rsidP="00F04018">
            <w:pPr>
              <w:spacing w:before="120" w:line="240" w:lineRule="auto"/>
              <w:jc w:val="left"/>
              <w:rPr>
                <w:rFonts w:cs="Arial"/>
                <w:color w:val="000000"/>
                <w:szCs w:val="22"/>
              </w:rPr>
            </w:pPr>
            <w:r w:rsidRPr="00A434E2">
              <w:rPr>
                <w:rFonts w:cs="Arial"/>
                <w:color w:val="000000"/>
                <w:szCs w:val="22"/>
              </w:rPr>
              <w:t>Bióloga</w:t>
            </w:r>
          </w:p>
        </w:tc>
        <w:tc>
          <w:tcPr>
            <w:tcW w:w="2862" w:type="dxa"/>
            <w:shd w:val="clear" w:color="auto" w:fill="FBD4B4"/>
            <w:vAlign w:val="center"/>
          </w:tcPr>
          <w:p w:rsidR="00B25511" w:rsidRPr="00D901B7" w:rsidRDefault="00B25511" w:rsidP="00F04018">
            <w:pPr>
              <w:spacing w:before="120" w:line="240" w:lineRule="auto"/>
              <w:jc w:val="left"/>
              <w:rPr>
                <w:rFonts w:cs="Arial"/>
                <w:color w:val="000000"/>
                <w:szCs w:val="22"/>
              </w:rPr>
            </w:pPr>
            <w:r w:rsidRPr="00A434E2">
              <w:rPr>
                <w:rFonts w:cs="Arial"/>
                <w:color w:val="000000"/>
                <w:szCs w:val="22"/>
              </w:rPr>
              <w:t xml:space="preserve">CRBio: </w:t>
            </w:r>
            <w:r w:rsidR="008C32BC">
              <w:rPr>
                <w:rFonts w:cs="Arial"/>
                <w:szCs w:val="22"/>
              </w:rPr>
              <w:t>n</w:t>
            </w:r>
            <w:r w:rsidR="008C32BC" w:rsidRPr="008C32BC">
              <w:rPr>
                <w:rFonts w:cs="Arial"/>
                <w:szCs w:val="22"/>
                <w:u w:val="single"/>
                <w:vertAlign w:val="superscript"/>
              </w:rPr>
              <w:t>o</w:t>
            </w:r>
            <w:r w:rsidR="008C32BC" w:rsidRPr="00A434E2">
              <w:rPr>
                <w:rFonts w:cs="Arial"/>
                <w:color w:val="000000"/>
                <w:szCs w:val="22"/>
              </w:rPr>
              <w:t xml:space="preserve"> </w:t>
            </w:r>
            <w:r w:rsidRPr="00A434E2">
              <w:rPr>
                <w:rFonts w:cs="Arial"/>
                <w:color w:val="000000"/>
                <w:szCs w:val="22"/>
              </w:rPr>
              <w:t>068899</w:t>
            </w:r>
          </w:p>
        </w:tc>
      </w:tr>
      <w:tr w:rsidR="00B25511" w:rsidRPr="00236D82" w:rsidTr="002268E3">
        <w:trPr>
          <w:cantSplit/>
          <w:trHeight w:val="697"/>
          <w:jc w:val="center"/>
        </w:trPr>
        <w:tc>
          <w:tcPr>
            <w:tcW w:w="2135" w:type="dxa"/>
            <w:gridSpan w:val="2"/>
            <w:vMerge/>
            <w:shd w:val="clear" w:color="auto" w:fill="FBD4B4"/>
            <w:vAlign w:val="center"/>
          </w:tcPr>
          <w:p w:rsidR="00B25511" w:rsidRDefault="00B25511" w:rsidP="00F04018">
            <w:pPr>
              <w:jc w:val="center"/>
              <w:rPr>
                <w:rFonts w:cs="Arial"/>
                <w:color w:val="000000"/>
                <w:sz w:val="20"/>
              </w:rPr>
            </w:pPr>
          </w:p>
        </w:tc>
        <w:tc>
          <w:tcPr>
            <w:tcW w:w="2575" w:type="dxa"/>
            <w:shd w:val="clear" w:color="auto" w:fill="FBD4B4"/>
            <w:vAlign w:val="center"/>
          </w:tcPr>
          <w:p w:rsidR="00B25511" w:rsidRPr="00A434E2" w:rsidRDefault="00B25511" w:rsidP="00295DD1">
            <w:pPr>
              <w:spacing w:before="120" w:line="240" w:lineRule="auto"/>
              <w:jc w:val="left"/>
              <w:rPr>
                <w:rFonts w:cs="Arial"/>
                <w:color w:val="000000"/>
                <w:szCs w:val="22"/>
              </w:rPr>
            </w:pPr>
            <w:r w:rsidRPr="00A434E2">
              <w:rPr>
                <w:rFonts w:cs="Arial"/>
                <w:color w:val="000000"/>
                <w:szCs w:val="22"/>
              </w:rPr>
              <w:t>Jaqueline Cristiani Siquitelli</w:t>
            </w:r>
          </w:p>
        </w:tc>
        <w:tc>
          <w:tcPr>
            <w:tcW w:w="2386" w:type="dxa"/>
            <w:gridSpan w:val="2"/>
            <w:shd w:val="clear" w:color="auto" w:fill="FBD4B4"/>
            <w:vAlign w:val="center"/>
          </w:tcPr>
          <w:p w:rsidR="00B25511" w:rsidRPr="00A434E2" w:rsidRDefault="00B25511" w:rsidP="00F04018">
            <w:pPr>
              <w:spacing w:before="120" w:line="240" w:lineRule="auto"/>
              <w:jc w:val="left"/>
              <w:rPr>
                <w:rFonts w:cs="Arial"/>
                <w:szCs w:val="22"/>
              </w:rPr>
            </w:pPr>
            <w:r w:rsidRPr="00A434E2">
              <w:rPr>
                <w:rFonts w:cs="Arial"/>
                <w:color w:val="000000"/>
                <w:szCs w:val="22"/>
              </w:rPr>
              <w:t>Bióloga</w:t>
            </w:r>
          </w:p>
        </w:tc>
        <w:tc>
          <w:tcPr>
            <w:tcW w:w="2862" w:type="dxa"/>
            <w:shd w:val="clear" w:color="auto" w:fill="FBD4B4"/>
            <w:vAlign w:val="center"/>
          </w:tcPr>
          <w:p w:rsidR="00B25511" w:rsidRPr="00A434E2" w:rsidRDefault="00B25511" w:rsidP="00F04018">
            <w:pPr>
              <w:spacing w:before="120" w:line="240" w:lineRule="auto"/>
              <w:jc w:val="left"/>
              <w:rPr>
                <w:rFonts w:eastAsia="Calibri" w:cs="Arial"/>
                <w:szCs w:val="22"/>
                <w:lang w:eastAsia="en-US"/>
              </w:rPr>
            </w:pPr>
            <w:r w:rsidRPr="00A434E2">
              <w:rPr>
                <w:rFonts w:eastAsia="Calibri" w:cs="Arial"/>
                <w:szCs w:val="22"/>
                <w:lang w:eastAsia="en-US"/>
              </w:rPr>
              <w:t>-------</w:t>
            </w:r>
          </w:p>
        </w:tc>
      </w:tr>
      <w:tr w:rsidR="00B25511" w:rsidRPr="00236D82" w:rsidTr="002268E3">
        <w:trPr>
          <w:trHeight w:val="430"/>
          <w:jc w:val="center"/>
        </w:trPr>
        <w:tc>
          <w:tcPr>
            <w:tcW w:w="9958" w:type="dxa"/>
            <w:gridSpan w:val="6"/>
            <w:shd w:val="clear" w:color="auto" w:fill="D9D9D9"/>
            <w:vAlign w:val="center"/>
          </w:tcPr>
          <w:p w:rsidR="00B25511" w:rsidRPr="00236D82" w:rsidRDefault="00B25511" w:rsidP="00F04018">
            <w:pPr>
              <w:spacing w:line="240" w:lineRule="auto"/>
              <w:jc w:val="left"/>
              <w:rPr>
                <w:rFonts w:cs="Arial"/>
                <w:b/>
                <w:sz w:val="20"/>
              </w:rPr>
            </w:pPr>
            <w:r w:rsidRPr="000407B0">
              <w:rPr>
                <w:b/>
                <w:bCs/>
                <w:szCs w:val="22"/>
              </w:rPr>
              <w:t>MEIO SOCIOECONÔMICO</w:t>
            </w:r>
            <w:r>
              <w:rPr>
                <w:b/>
                <w:bCs/>
                <w:sz w:val="20"/>
              </w:rPr>
              <w:t xml:space="preserve"> </w:t>
            </w:r>
          </w:p>
        </w:tc>
      </w:tr>
      <w:tr w:rsidR="00B25511" w:rsidRPr="00236D82" w:rsidTr="002268E3">
        <w:trPr>
          <w:cantSplit/>
          <w:trHeight w:val="555"/>
          <w:jc w:val="center"/>
        </w:trPr>
        <w:tc>
          <w:tcPr>
            <w:tcW w:w="2127" w:type="dxa"/>
            <w:tcBorders>
              <w:bottom w:val="nil"/>
            </w:tcBorders>
            <w:shd w:val="clear" w:color="auto" w:fill="FABF8F"/>
            <w:vAlign w:val="center"/>
          </w:tcPr>
          <w:p w:rsidR="00B25511" w:rsidRPr="00236D82" w:rsidRDefault="00B25511" w:rsidP="00F04018">
            <w:pPr>
              <w:spacing w:line="240" w:lineRule="auto"/>
              <w:jc w:val="left"/>
              <w:rPr>
                <w:rFonts w:cs="Arial"/>
                <w:sz w:val="20"/>
              </w:rPr>
            </w:pPr>
            <w:r w:rsidRPr="002D4482">
              <w:rPr>
                <w:rFonts w:cs="Arial"/>
                <w:szCs w:val="22"/>
              </w:rPr>
              <w:t>Coordenação</w:t>
            </w:r>
            <w:r>
              <w:rPr>
                <w:rFonts w:cs="Arial"/>
                <w:szCs w:val="22"/>
              </w:rPr>
              <w:t xml:space="preserve"> Setorial</w:t>
            </w:r>
            <w:r w:rsidR="00295DD1">
              <w:rPr>
                <w:rFonts w:cs="Arial"/>
                <w:szCs w:val="22"/>
              </w:rPr>
              <w:t xml:space="preserve"> Socioeconomia</w:t>
            </w:r>
          </w:p>
        </w:tc>
        <w:tc>
          <w:tcPr>
            <w:tcW w:w="2583" w:type="dxa"/>
            <w:gridSpan w:val="2"/>
            <w:shd w:val="clear" w:color="auto" w:fill="FABF8F"/>
            <w:vAlign w:val="center"/>
          </w:tcPr>
          <w:p w:rsidR="00B25511" w:rsidRPr="000407B0" w:rsidRDefault="00B25511" w:rsidP="00F04018">
            <w:pPr>
              <w:spacing w:line="240" w:lineRule="auto"/>
              <w:jc w:val="left"/>
              <w:rPr>
                <w:rFonts w:cs="Arial"/>
                <w:szCs w:val="22"/>
              </w:rPr>
            </w:pPr>
            <w:r w:rsidRPr="000407B0">
              <w:rPr>
                <w:rFonts w:cs="Arial"/>
                <w:bCs/>
                <w:color w:val="000000"/>
                <w:szCs w:val="22"/>
              </w:rPr>
              <w:t>Volker Reinhold Link</w:t>
            </w:r>
          </w:p>
        </w:tc>
        <w:tc>
          <w:tcPr>
            <w:tcW w:w="2378" w:type="dxa"/>
            <w:shd w:val="clear" w:color="auto" w:fill="FABF8F"/>
            <w:vAlign w:val="center"/>
          </w:tcPr>
          <w:p w:rsidR="00B25511" w:rsidRPr="000407B0" w:rsidRDefault="00B25511" w:rsidP="00F04018">
            <w:pPr>
              <w:spacing w:line="240" w:lineRule="auto"/>
              <w:jc w:val="left"/>
              <w:rPr>
                <w:rFonts w:cs="Arial"/>
                <w:szCs w:val="22"/>
              </w:rPr>
            </w:pPr>
            <w:r w:rsidRPr="000407B0">
              <w:rPr>
                <w:rFonts w:cs="Arial"/>
                <w:bCs/>
                <w:color w:val="000000"/>
                <w:szCs w:val="22"/>
              </w:rPr>
              <w:t>Arquiteto-Urbanista</w:t>
            </w:r>
          </w:p>
        </w:tc>
        <w:tc>
          <w:tcPr>
            <w:tcW w:w="2870" w:type="dxa"/>
            <w:gridSpan w:val="2"/>
            <w:shd w:val="clear" w:color="auto" w:fill="FABF8F"/>
            <w:vAlign w:val="center"/>
          </w:tcPr>
          <w:p w:rsidR="00B25511" w:rsidRPr="000407B0" w:rsidRDefault="00B25511" w:rsidP="00F04018">
            <w:pPr>
              <w:spacing w:line="240" w:lineRule="auto"/>
              <w:jc w:val="left"/>
              <w:rPr>
                <w:rFonts w:cs="Arial"/>
                <w:bCs/>
                <w:color w:val="000000"/>
                <w:szCs w:val="22"/>
              </w:rPr>
            </w:pPr>
            <w:r w:rsidRPr="000407B0">
              <w:rPr>
                <w:rFonts w:cs="Arial"/>
                <w:bCs/>
                <w:color w:val="000000"/>
                <w:szCs w:val="22"/>
              </w:rPr>
              <w:t>CAU-SP A0622</w:t>
            </w:r>
          </w:p>
          <w:p w:rsidR="00B25511" w:rsidRPr="000407B0" w:rsidRDefault="00B25511" w:rsidP="00F04018">
            <w:pPr>
              <w:spacing w:line="240" w:lineRule="auto"/>
              <w:jc w:val="left"/>
              <w:rPr>
                <w:rFonts w:cs="Arial"/>
                <w:szCs w:val="22"/>
              </w:rPr>
            </w:pPr>
            <w:r w:rsidRPr="000407B0">
              <w:rPr>
                <w:rFonts w:cs="Arial"/>
                <w:bCs/>
                <w:color w:val="000000"/>
                <w:szCs w:val="22"/>
              </w:rPr>
              <w:t>0492600 CTA – Classe 5.0</w:t>
            </w:r>
          </w:p>
        </w:tc>
      </w:tr>
      <w:tr w:rsidR="00B25511" w:rsidRPr="00F502E6" w:rsidTr="002268E3">
        <w:trPr>
          <w:cantSplit/>
          <w:trHeight w:val="853"/>
          <w:jc w:val="center"/>
        </w:trPr>
        <w:tc>
          <w:tcPr>
            <w:tcW w:w="2127" w:type="dxa"/>
            <w:tcBorders>
              <w:top w:val="nil"/>
              <w:bottom w:val="nil"/>
            </w:tcBorders>
            <w:shd w:val="clear" w:color="auto" w:fill="FABF8F"/>
            <w:vAlign w:val="center"/>
          </w:tcPr>
          <w:p w:rsidR="00B25511" w:rsidRPr="00236D82" w:rsidRDefault="00B25511" w:rsidP="00F04018">
            <w:pPr>
              <w:spacing w:line="240" w:lineRule="auto"/>
              <w:jc w:val="left"/>
              <w:rPr>
                <w:b/>
                <w:bCs/>
                <w:sz w:val="20"/>
              </w:rPr>
            </w:pPr>
            <w:r w:rsidRPr="001B1493">
              <w:rPr>
                <w:rFonts w:cs="Arial"/>
                <w:szCs w:val="22"/>
              </w:rPr>
              <w:t>Coordenação executiva</w:t>
            </w:r>
          </w:p>
        </w:tc>
        <w:tc>
          <w:tcPr>
            <w:tcW w:w="2583" w:type="dxa"/>
            <w:gridSpan w:val="2"/>
            <w:shd w:val="clear" w:color="auto" w:fill="FABF8F"/>
            <w:vAlign w:val="center"/>
          </w:tcPr>
          <w:p w:rsidR="00B25511" w:rsidRPr="000407B0" w:rsidRDefault="00B25511" w:rsidP="00F04018">
            <w:pPr>
              <w:spacing w:line="240" w:lineRule="auto"/>
              <w:jc w:val="left"/>
              <w:rPr>
                <w:rFonts w:cs="Arial"/>
                <w:bCs/>
                <w:color w:val="000000"/>
                <w:szCs w:val="22"/>
              </w:rPr>
            </w:pPr>
            <w:r w:rsidRPr="000407B0">
              <w:rPr>
                <w:rFonts w:cs="Arial"/>
                <w:bCs/>
                <w:color w:val="000000"/>
                <w:szCs w:val="22"/>
              </w:rPr>
              <w:t>Maria de Fátima de Andrade</w:t>
            </w:r>
          </w:p>
        </w:tc>
        <w:tc>
          <w:tcPr>
            <w:tcW w:w="2378" w:type="dxa"/>
            <w:shd w:val="clear" w:color="auto" w:fill="FABF8F"/>
            <w:vAlign w:val="center"/>
          </w:tcPr>
          <w:p w:rsidR="00B25511" w:rsidRPr="000407B0" w:rsidRDefault="00B25511" w:rsidP="00F04018">
            <w:pPr>
              <w:spacing w:line="240" w:lineRule="auto"/>
              <w:jc w:val="left"/>
              <w:rPr>
                <w:rFonts w:cs="Arial"/>
                <w:bCs/>
                <w:color w:val="000000"/>
                <w:szCs w:val="22"/>
              </w:rPr>
            </w:pPr>
            <w:r w:rsidRPr="000407B0">
              <w:rPr>
                <w:rFonts w:cs="Arial"/>
                <w:bCs/>
                <w:color w:val="000000"/>
                <w:szCs w:val="22"/>
              </w:rPr>
              <w:t>Socióloga</w:t>
            </w:r>
          </w:p>
        </w:tc>
        <w:tc>
          <w:tcPr>
            <w:tcW w:w="2870" w:type="dxa"/>
            <w:gridSpan w:val="2"/>
            <w:shd w:val="clear" w:color="auto" w:fill="FABF8F"/>
            <w:vAlign w:val="center"/>
          </w:tcPr>
          <w:p w:rsidR="00B25511" w:rsidRPr="00F502E6" w:rsidRDefault="00B25511" w:rsidP="00F04018">
            <w:pPr>
              <w:spacing w:line="240" w:lineRule="auto"/>
              <w:jc w:val="left"/>
              <w:rPr>
                <w:rFonts w:cs="Arial"/>
                <w:bCs/>
                <w:color w:val="000000"/>
                <w:szCs w:val="22"/>
                <w:lang w:val="en-US"/>
              </w:rPr>
            </w:pPr>
            <w:r w:rsidRPr="00F502E6">
              <w:rPr>
                <w:rFonts w:cs="Arial"/>
                <w:bCs/>
                <w:color w:val="000000"/>
                <w:szCs w:val="22"/>
                <w:lang w:val="en-US"/>
              </w:rPr>
              <w:t>MTE 1170, fl.160, L.02</w:t>
            </w:r>
          </w:p>
          <w:p w:rsidR="00B25511" w:rsidRPr="00F502E6" w:rsidRDefault="00B25511" w:rsidP="00F04018">
            <w:pPr>
              <w:spacing w:line="240" w:lineRule="auto"/>
              <w:jc w:val="left"/>
              <w:rPr>
                <w:rFonts w:cs="Arial"/>
                <w:bCs/>
                <w:color w:val="000000"/>
                <w:szCs w:val="22"/>
                <w:lang w:val="en-US"/>
              </w:rPr>
            </w:pPr>
            <w:r w:rsidRPr="00F502E6">
              <w:rPr>
                <w:rFonts w:cs="Arial"/>
                <w:bCs/>
                <w:color w:val="000000"/>
                <w:szCs w:val="22"/>
                <w:lang w:val="en-US"/>
              </w:rPr>
              <w:t>Proc: 24440/27272/89</w:t>
            </w:r>
          </w:p>
          <w:p w:rsidR="00B25511" w:rsidRPr="00F502E6" w:rsidRDefault="00B25511" w:rsidP="00F04018">
            <w:pPr>
              <w:spacing w:line="240" w:lineRule="auto"/>
              <w:jc w:val="left"/>
              <w:rPr>
                <w:rFonts w:cs="Arial"/>
                <w:bCs/>
                <w:color w:val="000000"/>
                <w:szCs w:val="22"/>
                <w:lang w:val="en-US"/>
              </w:rPr>
            </w:pPr>
            <w:r w:rsidRPr="00F502E6">
              <w:rPr>
                <w:rFonts w:cs="Arial"/>
                <w:bCs/>
                <w:color w:val="000000"/>
                <w:szCs w:val="22"/>
                <w:lang w:val="en-US"/>
              </w:rPr>
              <w:t>CTI- 26438 CT</w:t>
            </w:r>
            <w:r>
              <w:rPr>
                <w:rFonts w:cs="Arial"/>
                <w:bCs/>
                <w:color w:val="000000"/>
                <w:szCs w:val="22"/>
                <w:lang w:val="en-US"/>
              </w:rPr>
              <w:t xml:space="preserve"> </w:t>
            </w:r>
            <w:r w:rsidRPr="00F502E6">
              <w:rPr>
                <w:rFonts w:cs="Arial"/>
                <w:bCs/>
                <w:color w:val="000000"/>
                <w:szCs w:val="22"/>
                <w:lang w:val="en-US"/>
              </w:rPr>
              <w:t xml:space="preserve"> </w:t>
            </w:r>
            <w:r>
              <w:rPr>
                <w:rFonts w:cs="Arial"/>
                <w:bCs/>
                <w:color w:val="000000"/>
                <w:szCs w:val="22"/>
              </w:rPr>
              <w:t>Classe</w:t>
            </w:r>
            <w:r w:rsidRPr="00F502E6">
              <w:rPr>
                <w:rFonts w:cs="Arial"/>
                <w:bCs/>
                <w:color w:val="000000"/>
                <w:szCs w:val="22"/>
                <w:lang w:val="en-US"/>
              </w:rPr>
              <w:t xml:space="preserve"> 5.0</w:t>
            </w:r>
          </w:p>
        </w:tc>
      </w:tr>
      <w:tr w:rsidR="00B25511" w:rsidRPr="00236D82" w:rsidTr="002268E3">
        <w:trPr>
          <w:cantSplit/>
          <w:trHeight w:val="547"/>
          <w:jc w:val="center"/>
        </w:trPr>
        <w:tc>
          <w:tcPr>
            <w:tcW w:w="2127" w:type="dxa"/>
            <w:vMerge w:val="restart"/>
            <w:tcBorders>
              <w:top w:val="nil"/>
            </w:tcBorders>
            <w:shd w:val="clear" w:color="auto" w:fill="FABF8F"/>
            <w:vAlign w:val="center"/>
          </w:tcPr>
          <w:p w:rsidR="00B25511" w:rsidRPr="001B1493" w:rsidRDefault="00B25511" w:rsidP="00F04018">
            <w:pPr>
              <w:spacing w:line="240" w:lineRule="auto"/>
              <w:jc w:val="left"/>
              <w:rPr>
                <w:rFonts w:cs="Arial"/>
                <w:szCs w:val="22"/>
              </w:rPr>
            </w:pPr>
            <w:r w:rsidRPr="001B1493">
              <w:rPr>
                <w:rFonts w:cs="Arial"/>
                <w:szCs w:val="22"/>
              </w:rPr>
              <w:t xml:space="preserve">Estudos socioeconômicos </w:t>
            </w:r>
          </w:p>
        </w:tc>
        <w:tc>
          <w:tcPr>
            <w:tcW w:w="2583" w:type="dxa"/>
            <w:gridSpan w:val="2"/>
            <w:shd w:val="clear" w:color="auto" w:fill="FABF8F"/>
            <w:vAlign w:val="center"/>
          </w:tcPr>
          <w:p w:rsidR="00B25511" w:rsidRPr="000407B0" w:rsidRDefault="00B25511" w:rsidP="00F04018">
            <w:pPr>
              <w:spacing w:line="240" w:lineRule="auto"/>
              <w:jc w:val="left"/>
              <w:rPr>
                <w:rFonts w:cs="Arial"/>
                <w:bCs/>
                <w:color w:val="000000"/>
                <w:szCs w:val="22"/>
              </w:rPr>
            </w:pPr>
            <w:r w:rsidRPr="000407B0">
              <w:rPr>
                <w:rFonts w:cs="Arial"/>
                <w:bCs/>
                <w:color w:val="000000"/>
                <w:szCs w:val="22"/>
              </w:rPr>
              <w:t>Adriana Marcolino</w:t>
            </w:r>
          </w:p>
        </w:tc>
        <w:tc>
          <w:tcPr>
            <w:tcW w:w="2378" w:type="dxa"/>
            <w:shd w:val="clear" w:color="auto" w:fill="FABF8F"/>
            <w:vAlign w:val="center"/>
          </w:tcPr>
          <w:p w:rsidR="00B25511" w:rsidRPr="000407B0" w:rsidRDefault="00B25511" w:rsidP="00F04018">
            <w:pPr>
              <w:spacing w:line="240" w:lineRule="auto"/>
              <w:jc w:val="left"/>
              <w:rPr>
                <w:rFonts w:cs="Arial"/>
                <w:bCs/>
                <w:color w:val="000000"/>
                <w:szCs w:val="22"/>
              </w:rPr>
            </w:pPr>
            <w:r w:rsidRPr="000407B0">
              <w:rPr>
                <w:rFonts w:cs="Arial"/>
                <w:bCs/>
                <w:color w:val="000000"/>
                <w:szCs w:val="22"/>
              </w:rPr>
              <w:t>Socióloga</w:t>
            </w:r>
          </w:p>
        </w:tc>
        <w:tc>
          <w:tcPr>
            <w:tcW w:w="2870" w:type="dxa"/>
            <w:gridSpan w:val="2"/>
            <w:shd w:val="clear" w:color="auto" w:fill="FABF8F"/>
            <w:vAlign w:val="center"/>
          </w:tcPr>
          <w:p w:rsidR="00B25511" w:rsidRPr="000407B0" w:rsidRDefault="00B25511" w:rsidP="00F04018">
            <w:pPr>
              <w:spacing w:line="240" w:lineRule="auto"/>
              <w:jc w:val="left"/>
              <w:rPr>
                <w:rFonts w:cs="Arial"/>
                <w:color w:val="000000"/>
                <w:szCs w:val="22"/>
              </w:rPr>
            </w:pPr>
            <w:r w:rsidRPr="000407B0">
              <w:rPr>
                <w:rFonts w:cs="Arial"/>
                <w:color w:val="000000"/>
                <w:szCs w:val="22"/>
              </w:rPr>
              <w:t xml:space="preserve">6267067 </w:t>
            </w:r>
          </w:p>
          <w:p w:rsidR="00B25511" w:rsidRPr="000407B0" w:rsidRDefault="00B25511" w:rsidP="00F04018">
            <w:pPr>
              <w:spacing w:line="240" w:lineRule="auto"/>
              <w:jc w:val="left"/>
              <w:rPr>
                <w:rFonts w:cs="Arial"/>
                <w:bCs/>
                <w:color w:val="000000"/>
                <w:szCs w:val="22"/>
              </w:rPr>
            </w:pPr>
            <w:r w:rsidRPr="000407B0">
              <w:rPr>
                <w:rFonts w:cs="Arial"/>
                <w:color w:val="000000"/>
                <w:szCs w:val="22"/>
              </w:rPr>
              <w:t>CTA – Classe 5.0</w:t>
            </w:r>
          </w:p>
        </w:tc>
      </w:tr>
      <w:tr w:rsidR="00B25511" w:rsidRPr="00236D82" w:rsidTr="002268E3">
        <w:trPr>
          <w:cantSplit/>
          <w:trHeight w:val="413"/>
          <w:jc w:val="center"/>
        </w:trPr>
        <w:tc>
          <w:tcPr>
            <w:tcW w:w="2127" w:type="dxa"/>
            <w:vMerge/>
            <w:shd w:val="clear" w:color="auto" w:fill="FABF8F"/>
            <w:vAlign w:val="center"/>
          </w:tcPr>
          <w:p w:rsidR="00B25511" w:rsidRPr="00236D82" w:rsidRDefault="00B25511" w:rsidP="00F04018">
            <w:pPr>
              <w:spacing w:line="240" w:lineRule="auto"/>
              <w:jc w:val="center"/>
              <w:rPr>
                <w:b/>
                <w:bCs/>
                <w:sz w:val="20"/>
              </w:rPr>
            </w:pPr>
          </w:p>
        </w:tc>
        <w:tc>
          <w:tcPr>
            <w:tcW w:w="2583" w:type="dxa"/>
            <w:gridSpan w:val="2"/>
            <w:shd w:val="clear" w:color="auto" w:fill="FABF8F"/>
            <w:vAlign w:val="center"/>
          </w:tcPr>
          <w:p w:rsidR="00B25511" w:rsidRPr="000407B0" w:rsidRDefault="00B25511" w:rsidP="00F04018">
            <w:pPr>
              <w:spacing w:line="240" w:lineRule="auto"/>
              <w:jc w:val="left"/>
              <w:rPr>
                <w:rFonts w:cs="Arial"/>
                <w:bCs/>
                <w:color w:val="000000"/>
                <w:szCs w:val="22"/>
              </w:rPr>
            </w:pPr>
            <w:r w:rsidRPr="000407B0">
              <w:rPr>
                <w:rFonts w:cs="Arial"/>
                <w:bCs/>
                <w:color w:val="000000"/>
                <w:szCs w:val="22"/>
              </w:rPr>
              <w:t>Sergio Godoy</w:t>
            </w:r>
          </w:p>
        </w:tc>
        <w:tc>
          <w:tcPr>
            <w:tcW w:w="2378" w:type="dxa"/>
            <w:shd w:val="clear" w:color="auto" w:fill="FABF8F"/>
            <w:vAlign w:val="center"/>
          </w:tcPr>
          <w:p w:rsidR="00B25511" w:rsidRPr="000407B0" w:rsidRDefault="00B25511" w:rsidP="00F04018">
            <w:pPr>
              <w:spacing w:line="240" w:lineRule="auto"/>
              <w:jc w:val="left"/>
              <w:rPr>
                <w:rFonts w:cs="Arial"/>
                <w:bCs/>
                <w:color w:val="000000"/>
                <w:szCs w:val="22"/>
              </w:rPr>
            </w:pPr>
          </w:p>
        </w:tc>
        <w:tc>
          <w:tcPr>
            <w:tcW w:w="2870" w:type="dxa"/>
            <w:gridSpan w:val="2"/>
            <w:shd w:val="clear" w:color="auto" w:fill="FABF8F"/>
            <w:vAlign w:val="center"/>
          </w:tcPr>
          <w:p w:rsidR="00B25511" w:rsidRPr="000407B0" w:rsidRDefault="00B25511" w:rsidP="00F04018">
            <w:pPr>
              <w:spacing w:line="240" w:lineRule="auto"/>
              <w:jc w:val="left"/>
              <w:rPr>
                <w:rFonts w:cs="Arial"/>
                <w:bCs/>
                <w:color w:val="000000"/>
                <w:szCs w:val="22"/>
              </w:rPr>
            </w:pPr>
            <w:r w:rsidRPr="000407B0">
              <w:rPr>
                <w:rFonts w:cs="Arial"/>
                <w:bCs/>
                <w:color w:val="000000"/>
                <w:szCs w:val="22"/>
              </w:rPr>
              <w:t xml:space="preserve">6267084 </w:t>
            </w:r>
          </w:p>
          <w:p w:rsidR="00B25511" w:rsidRPr="000407B0" w:rsidRDefault="00B25511" w:rsidP="00F04018">
            <w:pPr>
              <w:spacing w:line="240" w:lineRule="auto"/>
              <w:jc w:val="left"/>
              <w:rPr>
                <w:rFonts w:cs="Arial"/>
                <w:color w:val="000000"/>
                <w:szCs w:val="22"/>
              </w:rPr>
            </w:pPr>
            <w:r w:rsidRPr="000407B0">
              <w:rPr>
                <w:rFonts w:cs="Arial"/>
                <w:bCs/>
                <w:color w:val="000000"/>
                <w:szCs w:val="22"/>
              </w:rPr>
              <w:t>CTA – Classe 5.0</w:t>
            </w:r>
          </w:p>
        </w:tc>
      </w:tr>
      <w:tr w:rsidR="00B25511" w:rsidRPr="00236D82" w:rsidTr="002268E3">
        <w:trPr>
          <w:cantSplit/>
          <w:trHeight w:val="619"/>
          <w:jc w:val="center"/>
        </w:trPr>
        <w:tc>
          <w:tcPr>
            <w:tcW w:w="2127" w:type="dxa"/>
            <w:vMerge/>
            <w:shd w:val="clear" w:color="auto" w:fill="FABF8F"/>
            <w:vAlign w:val="center"/>
          </w:tcPr>
          <w:p w:rsidR="00B25511" w:rsidRPr="00236D82" w:rsidRDefault="00B25511" w:rsidP="00F04018">
            <w:pPr>
              <w:spacing w:line="240" w:lineRule="auto"/>
              <w:jc w:val="center"/>
              <w:rPr>
                <w:b/>
                <w:bCs/>
                <w:sz w:val="20"/>
              </w:rPr>
            </w:pPr>
          </w:p>
        </w:tc>
        <w:tc>
          <w:tcPr>
            <w:tcW w:w="2583" w:type="dxa"/>
            <w:gridSpan w:val="2"/>
            <w:shd w:val="clear" w:color="auto" w:fill="FABF8F"/>
            <w:vAlign w:val="center"/>
          </w:tcPr>
          <w:p w:rsidR="00B25511" w:rsidRPr="000407B0" w:rsidRDefault="00B25511" w:rsidP="00F04018">
            <w:pPr>
              <w:spacing w:line="240" w:lineRule="auto"/>
              <w:jc w:val="left"/>
              <w:rPr>
                <w:rFonts w:cs="Arial"/>
                <w:szCs w:val="22"/>
              </w:rPr>
            </w:pPr>
            <w:r w:rsidRPr="000407B0">
              <w:rPr>
                <w:rFonts w:cs="Arial"/>
                <w:szCs w:val="22"/>
              </w:rPr>
              <w:t>Raul de Carvalho</w:t>
            </w:r>
          </w:p>
        </w:tc>
        <w:tc>
          <w:tcPr>
            <w:tcW w:w="2378" w:type="dxa"/>
            <w:shd w:val="clear" w:color="auto" w:fill="FABF8F"/>
            <w:vAlign w:val="center"/>
          </w:tcPr>
          <w:p w:rsidR="00B25511" w:rsidRPr="000407B0" w:rsidRDefault="00B25511" w:rsidP="00F04018">
            <w:pPr>
              <w:spacing w:line="240" w:lineRule="auto"/>
              <w:jc w:val="left"/>
              <w:rPr>
                <w:rFonts w:cs="Arial"/>
                <w:szCs w:val="22"/>
              </w:rPr>
            </w:pPr>
            <w:r w:rsidRPr="000407B0">
              <w:rPr>
                <w:rFonts w:cs="Arial"/>
                <w:szCs w:val="22"/>
              </w:rPr>
              <w:t>Economista</w:t>
            </w:r>
          </w:p>
        </w:tc>
        <w:tc>
          <w:tcPr>
            <w:tcW w:w="2870" w:type="dxa"/>
            <w:gridSpan w:val="2"/>
            <w:shd w:val="clear" w:color="auto" w:fill="FABF8F"/>
            <w:vAlign w:val="center"/>
          </w:tcPr>
          <w:p w:rsidR="00B25511" w:rsidRPr="000407B0" w:rsidRDefault="00DE61F7" w:rsidP="00E63AFA">
            <w:pPr>
              <w:spacing w:line="240" w:lineRule="auto"/>
              <w:jc w:val="left"/>
              <w:rPr>
                <w:rFonts w:cs="Arial"/>
                <w:szCs w:val="22"/>
              </w:rPr>
            </w:pPr>
            <w:r>
              <w:rPr>
                <w:rFonts w:cs="Arial"/>
                <w:szCs w:val="22"/>
              </w:rPr>
              <w:t>CORECON</w:t>
            </w:r>
            <w:r w:rsidR="00B25511" w:rsidRPr="000407B0">
              <w:rPr>
                <w:rFonts w:cs="Arial"/>
                <w:szCs w:val="22"/>
              </w:rPr>
              <w:t xml:space="preserve"> </w:t>
            </w:r>
            <w:r w:rsidR="008C32BC">
              <w:rPr>
                <w:rFonts w:cs="Arial"/>
                <w:szCs w:val="22"/>
              </w:rPr>
              <w:t>n</w:t>
            </w:r>
            <w:r w:rsidR="008C32BC" w:rsidRPr="008C32BC">
              <w:rPr>
                <w:rFonts w:cs="Arial"/>
                <w:szCs w:val="22"/>
                <w:u w:val="single"/>
                <w:vertAlign w:val="superscript"/>
              </w:rPr>
              <w:t>o</w:t>
            </w:r>
            <w:r w:rsidR="008C32BC">
              <w:rPr>
                <w:rFonts w:cs="Arial"/>
                <w:szCs w:val="22"/>
              </w:rPr>
              <w:t xml:space="preserve"> </w:t>
            </w:r>
            <w:r w:rsidR="00B25511" w:rsidRPr="000407B0">
              <w:rPr>
                <w:rFonts w:cs="Arial"/>
                <w:szCs w:val="22"/>
              </w:rPr>
              <w:t>31.638/SP</w:t>
            </w:r>
          </w:p>
        </w:tc>
      </w:tr>
      <w:tr w:rsidR="00B25511" w:rsidRPr="00236D82" w:rsidTr="002268E3">
        <w:trPr>
          <w:cantSplit/>
          <w:trHeight w:val="597"/>
          <w:jc w:val="center"/>
        </w:trPr>
        <w:tc>
          <w:tcPr>
            <w:tcW w:w="2127" w:type="dxa"/>
            <w:vMerge/>
            <w:shd w:val="clear" w:color="auto" w:fill="FABF8F"/>
            <w:vAlign w:val="center"/>
          </w:tcPr>
          <w:p w:rsidR="00B25511" w:rsidRPr="00236D82" w:rsidRDefault="00B25511" w:rsidP="00F04018">
            <w:pPr>
              <w:spacing w:line="240" w:lineRule="auto"/>
              <w:jc w:val="center"/>
              <w:rPr>
                <w:b/>
                <w:bCs/>
                <w:sz w:val="20"/>
              </w:rPr>
            </w:pPr>
          </w:p>
        </w:tc>
        <w:tc>
          <w:tcPr>
            <w:tcW w:w="2583" w:type="dxa"/>
            <w:gridSpan w:val="2"/>
            <w:shd w:val="clear" w:color="auto" w:fill="FABF8F"/>
            <w:vAlign w:val="center"/>
          </w:tcPr>
          <w:p w:rsidR="00B25511" w:rsidRPr="000407B0" w:rsidRDefault="00B25511" w:rsidP="00F04018">
            <w:pPr>
              <w:spacing w:line="240" w:lineRule="auto"/>
              <w:jc w:val="left"/>
              <w:rPr>
                <w:rFonts w:cs="Arial"/>
                <w:szCs w:val="22"/>
              </w:rPr>
            </w:pPr>
            <w:r w:rsidRPr="000407B0">
              <w:rPr>
                <w:rFonts w:cs="Arial"/>
                <w:szCs w:val="22"/>
              </w:rPr>
              <w:t xml:space="preserve">Maria Julita Guerra Ferreira </w:t>
            </w:r>
          </w:p>
        </w:tc>
        <w:tc>
          <w:tcPr>
            <w:tcW w:w="2378" w:type="dxa"/>
            <w:shd w:val="clear" w:color="auto" w:fill="FABF8F"/>
            <w:vAlign w:val="center"/>
          </w:tcPr>
          <w:p w:rsidR="00B25511" w:rsidRPr="000407B0" w:rsidRDefault="00B25511" w:rsidP="00F04018">
            <w:pPr>
              <w:spacing w:line="240" w:lineRule="auto"/>
              <w:jc w:val="left"/>
              <w:rPr>
                <w:rFonts w:cs="Arial"/>
                <w:szCs w:val="22"/>
              </w:rPr>
            </w:pPr>
            <w:r w:rsidRPr="000407B0">
              <w:rPr>
                <w:rFonts w:cs="Arial"/>
                <w:szCs w:val="22"/>
              </w:rPr>
              <w:t>Física</w:t>
            </w:r>
          </w:p>
        </w:tc>
        <w:tc>
          <w:tcPr>
            <w:tcW w:w="2870" w:type="dxa"/>
            <w:gridSpan w:val="2"/>
            <w:shd w:val="clear" w:color="auto" w:fill="FABF8F"/>
            <w:vAlign w:val="center"/>
          </w:tcPr>
          <w:p w:rsidR="00B25511" w:rsidRPr="000407B0" w:rsidRDefault="00B25511" w:rsidP="00F04018">
            <w:pPr>
              <w:spacing w:line="240" w:lineRule="auto"/>
              <w:jc w:val="center"/>
              <w:rPr>
                <w:rFonts w:cs="Arial"/>
                <w:bCs/>
                <w:color w:val="000000"/>
                <w:szCs w:val="22"/>
              </w:rPr>
            </w:pPr>
          </w:p>
        </w:tc>
      </w:tr>
      <w:tr w:rsidR="00B25511" w:rsidRPr="00236D82" w:rsidTr="002268E3">
        <w:trPr>
          <w:cantSplit/>
          <w:trHeight w:val="661"/>
          <w:jc w:val="center"/>
        </w:trPr>
        <w:tc>
          <w:tcPr>
            <w:tcW w:w="2127" w:type="dxa"/>
            <w:vMerge/>
            <w:shd w:val="clear" w:color="auto" w:fill="FABF8F"/>
            <w:vAlign w:val="center"/>
          </w:tcPr>
          <w:p w:rsidR="00B25511" w:rsidRPr="00236D82" w:rsidRDefault="00B25511" w:rsidP="00F04018">
            <w:pPr>
              <w:spacing w:line="240" w:lineRule="auto"/>
              <w:jc w:val="center"/>
              <w:rPr>
                <w:b/>
                <w:bCs/>
                <w:sz w:val="20"/>
              </w:rPr>
            </w:pPr>
          </w:p>
        </w:tc>
        <w:tc>
          <w:tcPr>
            <w:tcW w:w="2583" w:type="dxa"/>
            <w:gridSpan w:val="2"/>
            <w:shd w:val="clear" w:color="auto" w:fill="FABF8F"/>
            <w:vAlign w:val="center"/>
          </w:tcPr>
          <w:p w:rsidR="00B25511" w:rsidRPr="000407B0" w:rsidRDefault="00B25511" w:rsidP="00F04018">
            <w:pPr>
              <w:spacing w:line="240" w:lineRule="auto"/>
              <w:jc w:val="left"/>
              <w:rPr>
                <w:rFonts w:cs="Arial"/>
                <w:szCs w:val="22"/>
              </w:rPr>
            </w:pPr>
            <w:r w:rsidRPr="000407B0">
              <w:rPr>
                <w:rFonts w:cs="Arial"/>
                <w:szCs w:val="22"/>
              </w:rPr>
              <w:t>Maria Sílvia Pinto Moreira</w:t>
            </w:r>
          </w:p>
        </w:tc>
        <w:tc>
          <w:tcPr>
            <w:tcW w:w="2378" w:type="dxa"/>
            <w:shd w:val="clear" w:color="auto" w:fill="FABF8F"/>
            <w:vAlign w:val="center"/>
          </w:tcPr>
          <w:p w:rsidR="00B25511" w:rsidRPr="000407B0" w:rsidRDefault="00B25511" w:rsidP="00F04018">
            <w:pPr>
              <w:spacing w:line="240" w:lineRule="auto"/>
              <w:jc w:val="left"/>
              <w:rPr>
                <w:rFonts w:cs="Arial"/>
                <w:szCs w:val="22"/>
              </w:rPr>
            </w:pPr>
            <w:r w:rsidRPr="000407B0">
              <w:rPr>
                <w:rFonts w:cs="Arial"/>
                <w:szCs w:val="22"/>
              </w:rPr>
              <w:t>Socióloga</w:t>
            </w:r>
          </w:p>
        </w:tc>
        <w:tc>
          <w:tcPr>
            <w:tcW w:w="2870" w:type="dxa"/>
            <w:gridSpan w:val="2"/>
            <w:shd w:val="clear" w:color="auto" w:fill="FABF8F"/>
            <w:vAlign w:val="center"/>
          </w:tcPr>
          <w:p w:rsidR="00B25511" w:rsidRPr="000407B0" w:rsidRDefault="00B25511" w:rsidP="00F04018">
            <w:pPr>
              <w:spacing w:line="240" w:lineRule="auto"/>
              <w:jc w:val="center"/>
              <w:rPr>
                <w:rFonts w:cs="Arial"/>
                <w:bCs/>
                <w:color w:val="000000"/>
                <w:szCs w:val="22"/>
              </w:rPr>
            </w:pPr>
          </w:p>
        </w:tc>
      </w:tr>
    </w:tbl>
    <w:p w:rsidR="00B25511" w:rsidRDefault="00B25511" w:rsidP="00B25511">
      <w:pPr>
        <w:jc w:val="left"/>
        <w:rPr>
          <w:rFonts w:cs="Arial"/>
          <w:sz w:val="20"/>
        </w:rPr>
      </w:pPr>
      <w:r>
        <w:rPr>
          <w:rFonts w:cs="Arial"/>
          <w:sz w:val="20"/>
        </w:rPr>
        <w:t>(continuação)</w:t>
      </w:r>
    </w:p>
    <w:tbl>
      <w:tblPr>
        <w:tblW w:w="9714" w:type="dxa"/>
        <w:jc w:val="center"/>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76"/>
        <w:gridCol w:w="58"/>
        <w:gridCol w:w="2263"/>
        <w:gridCol w:w="105"/>
        <w:gridCol w:w="10"/>
        <w:gridCol w:w="2274"/>
        <w:gridCol w:w="123"/>
        <w:gridCol w:w="10"/>
        <w:gridCol w:w="2595"/>
      </w:tblGrid>
      <w:tr w:rsidR="00B25511" w:rsidRPr="00236D82" w:rsidTr="00F04018">
        <w:trPr>
          <w:trHeight w:val="624"/>
          <w:jc w:val="center"/>
        </w:trPr>
        <w:tc>
          <w:tcPr>
            <w:tcW w:w="2276" w:type="dxa"/>
            <w:shd w:val="clear" w:color="auto" w:fill="D9D9D9"/>
            <w:vAlign w:val="center"/>
          </w:tcPr>
          <w:p w:rsidR="00B25511" w:rsidRDefault="00B25511" w:rsidP="00F04018">
            <w:pPr>
              <w:spacing w:line="240" w:lineRule="auto"/>
              <w:jc w:val="center"/>
              <w:rPr>
                <w:rFonts w:cs="Arial"/>
                <w:b/>
                <w:sz w:val="20"/>
              </w:rPr>
            </w:pPr>
            <w:r w:rsidRPr="00B907BB">
              <w:rPr>
                <w:rFonts w:cs="Arial"/>
                <w:b/>
                <w:sz w:val="20"/>
              </w:rPr>
              <w:t>PARTICIPAÇÃO</w:t>
            </w:r>
            <w:r>
              <w:rPr>
                <w:rFonts w:cs="Arial"/>
                <w:b/>
                <w:sz w:val="20"/>
              </w:rPr>
              <w:t>/</w:t>
            </w:r>
          </w:p>
          <w:p w:rsidR="00B25511" w:rsidRPr="00236D82" w:rsidRDefault="00B25511" w:rsidP="00F04018">
            <w:pPr>
              <w:spacing w:line="240" w:lineRule="auto"/>
              <w:jc w:val="center"/>
              <w:rPr>
                <w:rFonts w:cs="Arial"/>
                <w:sz w:val="20"/>
              </w:rPr>
            </w:pPr>
            <w:r>
              <w:rPr>
                <w:rFonts w:cs="Arial"/>
                <w:b/>
                <w:sz w:val="20"/>
              </w:rPr>
              <w:t>TEMA</w:t>
            </w:r>
          </w:p>
        </w:tc>
        <w:tc>
          <w:tcPr>
            <w:tcW w:w="2321" w:type="dxa"/>
            <w:gridSpan w:val="2"/>
            <w:shd w:val="clear" w:color="auto" w:fill="D9D9D9"/>
            <w:vAlign w:val="center"/>
          </w:tcPr>
          <w:p w:rsidR="00B25511" w:rsidRPr="00236D82" w:rsidRDefault="00B25511" w:rsidP="00F04018">
            <w:pPr>
              <w:spacing w:line="240" w:lineRule="auto"/>
              <w:jc w:val="center"/>
              <w:rPr>
                <w:rFonts w:cs="Arial"/>
                <w:b/>
                <w:sz w:val="20"/>
              </w:rPr>
            </w:pPr>
            <w:r w:rsidRPr="00236D82">
              <w:rPr>
                <w:rFonts w:cs="Arial"/>
                <w:b/>
                <w:sz w:val="20"/>
              </w:rPr>
              <w:t>NOME</w:t>
            </w:r>
          </w:p>
        </w:tc>
        <w:tc>
          <w:tcPr>
            <w:tcW w:w="2389" w:type="dxa"/>
            <w:gridSpan w:val="3"/>
            <w:shd w:val="clear" w:color="auto" w:fill="D9D9D9"/>
            <w:vAlign w:val="center"/>
          </w:tcPr>
          <w:p w:rsidR="00B25511" w:rsidRPr="00236D82" w:rsidRDefault="00B25511" w:rsidP="00F04018">
            <w:pPr>
              <w:spacing w:line="240" w:lineRule="auto"/>
              <w:jc w:val="center"/>
              <w:rPr>
                <w:rFonts w:cs="Arial"/>
                <w:b/>
                <w:sz w:val="20"/>
              </w:rPr>
            </w:pPr>
            <w:r w:rsidRPr="00236D82">
              <w:rPr>
                <w:rFonts w:cs="Arial"/>
                <w:b/>
                <w:sz w:val="20"/>
              </w:rPr>
              <w:t>FUNÇÃO</w:t>
            </w:r>
          </w:p>
        </w:tc>
        <w:tc>
          <w:tcPr>
            <w:tcW w:w="2728" w:type="dxa"/>
            <w:gridSpan w:val="3"/>
            <w:shd w:val="clear" w:color="auto" w:fill="D9D9D9"/>
            <w:vAlign w:val="center"/>
          </w:tcPr>
          <w:p w:rsidR="00B25511" w:rsidRPr="00236D82" w:rsidRDefault="00B25511" w:rsidP="00F04018">
            <w:pPr>
              <w:spacing w:line="240" w:lineRule="auto"/>
              <w:jc w:val="center"/>
              <w:rPr>
                <w:rFonts w:cs="Arial"/>
                <w:b/>
                <w:sz w:val="20"/>
              </w:rPr>
            </w:pPr>
            <w:r w:rsidRPr="00236D82">
              <w:rPr>
                <w:rFonts w:cs="Arial"/>
                <w:b/>
                <w:sz w:val="20"/>
              </w:rPr>
              <w:t>REGISTRO PROFISSIONAL</w:t>
            </w:r>
          </w:p>
        </w:tc>
      </w:tr>
      <w:tr w:rsidR="00B25511" w:rsidRPr="00236D82" w:rsidTr="00F04018">
        <w:trPr>
          <w:cantSplit/>
          <w:trHeight w:val="503"/>
          <w:jc w:val="center"/>
        </w:trPr>
        <w:tc>
          <w:tcPr>
            <w:tcW w:w="9714" w:type="dxa"/>
            <w:gridSpan w:val="9"/>
            <w:shd w:val="clear" w:color="auto" w:fill="D9D9D9"/>
            <w:vAlign w:val="center"/>
          </w:tcPr>
          <w:p w:rsidR="00B25511" w:rsidRPr="001B1493" w:rsidRDefault="00B25511" w:rsidP="00B25511">
            <w:pPr>
              <w:spacing w:line="240" w:lineRule="auto"/>
              <w:jc w:val="left"/>
              <w:rPr>
                <w:rFonts w:cs="Arial"/>
                <w:b/>
                <w:bCs/>
                <w:color w:val="000000"/>
                <w:szCs w:val="22"/>
              </w:rPr>
            </w:pPr>
            <w:r w:rsidRPr="001B1493">
              <w:rPr>
                <w:rFonts w:cs="Arial"/>
                <w:b/>
                <w:bCs/>
                <w:color w:val="000000"/>
                <w:szCs w:val="22"/>
              </w:rPr>
              <w:t>PATRIMÔNIO ARQUEOLÓGICO, HISTÓRICO E CULTURAL</w:t>
            </w:r>
            <w:r>
              <w:rPr>
                <w:rFonts w:cs="Arial"/>
                <w:b/>
                <w:bCs/>
                <w:color w:val="000000"/>
                <w:szCs w:val="22"/>
              </w:rPr>
              <w:t xml:space="preserve"> </w:t>
            </w:r>
          </w:p>
        </w:tc>
      </w:tr>
      <w:tr w:rsidR="005D593E" w:rsidRPr="00236D82" w:rsidTr="002268E3">
        <w:trPr>
          <w:cantSplit/>
          <w:trHeight w:val="557"/>
          <w:jc w:val="center"/>
        </w:trPr>
        <w:tc>
          <w:tcPr>
            <w:tcW w:w="2334" w:type="dxa"/>
            <w:gridSpan w:val="2"/>
            <w:tcBorders>
              <w:top w:val="single" w:sz="4" w:space="0" w:color="auto"/>
              <w:left w:val="single" w:sz="4" w:space="0" w:color="auto"/>
              <w:bottom w:val="nil"/>
              <w:right w:val="single" w:sz="4" w:space="0" w:color="auto"/>
            </w:tcBorders>
            <w:shd w:val="clear" w:color="auto" w:fill="FABF8F" w:themeFill="accent6" w:themeFillTint="99"/>
            <w:vAlign w:val="center"/>
          </w:tcPr>
          <w:p w:rsidR="00B25511" w:rsidRPr="00A204BF" w:rsidRDefault="00B25511" w:rsidP="00F04018">
            <w:pPr>
              <w:spacing w:before="120" w:after="120" w:line="240" w:lineRule="auto"/>
              <w:jc w:val="left"/>
              <w:rPr>
                <w:rFonts w:cs="Arial"/>
                <w:szCs w:val="22"/>
              </w:rPr>
            </w:pPr>
            <w:r w:rsidRPr="00A204BF">
              <w:rPr>
                <w:rFonts w:cs="Arial"/>
                <w:szCs w:val="22"/>
              </w:rPr>
              <w:t>Coordenação Setorial</w:t>
            </w:r>
          </w:p>
        </w:tc>
        <w:tc>
          <w:tcPr>
            <w:tcW w:w="2378" w:type="dxa"/>
            <w:gridSpan w:val="3"/>
            <w:tcBorders>
              <w:left w:val="single" w:sz="4" w:space="0" w:color="auto"/>
            </w:tcBorders>
            <w:shd w:val="clear" w:color="auto" w:fill="FABF8F" w:themeFill="accent6" w:themeFillTint="99"/>
            <w:vAlign w:val="center"/>
          </w:tcPr>
          <w:p w:rsidR="00B25511" w:rsidRPr="000407B0" w:rsidRDefault="00B25511" w:rsidP="00F04018">
            <w:pPr>
              <w:spacing w:before="120" w:after="120" w:line="240" w:lineRule="auto"/>
              <w:jc w:val="left"/>
              <w:rPr>
                <w:rFonts w:cs="Arial"/>
                <w:szCs w:val="22"/>
              </w:rPr>
            </w:pPr>
            <w:r w:rsidRPr="000407B0">
              <w:rPr>
                <w:rFonts w:cs="Arial"/>
                <w:szCs w:val="22"/>
              </w:rPr>
              <w:t xml:space="preserve">Wagner Gomes Bornal </w:t>
            </w:r>
          </w:p>
        </w:tc>
        <w:tc>
          <w:tcPr>
            <w:tcW w:w="2407" w:type="dxa"/>
            <w:gridSpan w:val="3"/>
            <w:shd w:val="clear" w:color="auto" w:fill="FABF8F" w:themeFill="accent6" w:themeFillTint="99"/>
            <w:vAlign w:val="center"/>
          </w:tcPr>
          <w:p w:rsidR="00B25511" w:rsidRPr="000407B0" w:rsidRDefault="00B25511" w:rsidP="00F04018">
            <w:pPr>
              <w:spacing w:before="120" w:after="120" w:line="240" w:lineRule="auto"/>
              <w:jc w:val="left"/>
              <w:rPr>
                <w:rFonts w:cs="Arial"/>
                <w:szCs w:val="22"/>
              </w:rPr>
            </w:pPr>
            <w:r w:rsidRPr="000407B0">
              <w:rPr>
                <w:rFonts w:cs="Arial"/>
                <w:szCs w:val="22"/>
              </w:rPr>
              <w:t>Arqueólogo</w:t>
            </w:r>
            <w:r w:rsidR="00336C26">
              <w:rPr>
                <w:rFonts w:cs="Arial"/>
                <w:szCs w:val="22"/>
              </w:rPr>
              <w:t>, Dr.</w:t>
            </w:r>
          </w:p>
        </w:tc>
        <w:tc>
          <w:tcPr>
            <w:tcW w:w="2595" w:type="dxa"/>
            <w:shd w:val="clear" w:color="auto" w:fill="FABF8F" w:themeFill="accent6" w:themeFillTint="99"/>
            <w:vAlign w:val="center"/>
          </w:tcPr>
          <w:p w:rsidR="00B25511" w:rsidRPr="000407B0" w:rsidRDefault="00B25511" w:rsidP="00F04018">
            <w:pPr>
              <w:spacing w:line="240" w:lineRule="auto"/>
              <w:jc w:val="left"/>
              <w:rPr>
                <w:rFonts w:cs="Arial"/>
                <w:szCs w:val="22"/>
              </w:rPr>
            </w:pPr>
            <w:r w:rsidRPr="000407B0">
              <w:rPr>
                <w:rFonts w:cs="Arial"/>
                <w:szCs w:val="22"/>
              </w:rPr>
              <w:t>-</w:t>
            </w:r>
          </w:p>
        </w:tc>
      </w:tr>
      <w:tr w:rsidR="005D593E" w:rsidRPr="00236D82" w:rsidTr="002268E3">
        <w:trPr>
          <w:cantSplit/>
          <w:trHeight w:val="557"/>
          <w:jc w:val="center"/>
        </w:trPr>
        <w:tc>
          <w:tcPr>
            <w:tcW w:w="2334" w:type="dxa"/>
            <w:gridSpan w:val="2"/>
            <w:tcBorders>
              <w:top w:val="single" w:sz="4" w:space="0" w:color="auto"/>
              <w:left w:val="single" w:sz="4" w:space="0" w:color="auto"/>
              <w:bottom w:val="nil"/>
              <w:right w:val="single" w:sz="4" w:space="0" w:color="auto"/>
            </w:tcBorders>
            <w:shd w:val="clear" w:color="auto" w:fill="FABF8F" w:themeFill="accent6" w:themeFillTint="99"/>
            <w:vAlign w:val="center"/>
          </w:tcPr>
          <w:p w:rsidR="00984DE2" w:rsidRPr="00A204BF" w:rsidRDefault="00FE5F26" w:rsidP="00F04018">
            <w:pPr>
              <w:spacing w:before="120" w:after="120" w:line="240" w:lineRule="auto"/>
              <w:jc w:val="left"/>
              <w:rPr>
                <w:rFonts w:cs="Arial"/>
                <w:szCs w:val="22"/>
              </w:rPr>
            </w:pPr>
            <w:r>
              <w:rPr>
                <w:rFonts w:cs="Arial"/>
                <w:szCs w:val="22"/>
              </w:rPr>
              <w:t>Coordenação</w:t>
            </w:r>
          </w:p>
        </w:tc>
        <w:tc>
          <w:tcPr>
            <w:tcW w:w="2378" w:type="dxa"/>
            <w:gridSpan w:val="3"/>
            <w:tcBorders>
              <w:left w:val="single" w:sz="4" w:space="0" w:color="auto"/>
              <w:bottom w:val="single" w:sz="4" w:space="0" w:color="auto"/>
            </w:tcBorders>
            <w:shd w:val="clear" w:color="auto" w:fill="FABF8F" w:themeFill="accent6" w:themeFillTint="99"/>
            <w:vAlign w:val="center"/>
          </w:tcPr>
          <w:p w:rsidR="00984DE2" w:rsidRPr="000407B0" w:rsidRDefault="00984DE2" w:rsidP="00F04018">
            <w:pPr>
              <w:spacing w:before="120" w:after="120" w:line="240" w:lineRule="auto"/>
              <w:jc w:val="left"/>
              <w:rPr>
                <w:rFonts w:cs="Arial"/>
                <w:szCs w:val="22"/>
              </w:rPr>
            </w:pPr>
            <w:r w:rsidRPr="000407B0">
              <w:rPr>
                <w:rFonts w:cs="Arial"/>
                <w:szCs w:val="22"/>
              </w:rPr>
              <w:t xml:space="preserve">Clayton Galdino </w:t>
            </w:r>
          </w:p>
        </w:tc>
        <w:tc>
          <w:tcPr>
            <w:tcW w:w="2407" w:type="dxa"/>
            <w:gridSpan w:val="3"/>
            <w:shd w:val="clear" w:color="auto" w:fill="FABF8F" w:themeFill="accent6" w:themeFillTint="99"/>
            <w:vAlign w:val="center"/>
          </w:tcPr>
          <w:p w:rsidR="00984DE2" w:rsidRPr="000407B0" w:rsidRDefault="00984DE2" w:rsidP="00F04018">
            <w:pPr>
              <w:spacing w:before="120" w:after="120" w:line="240" w:lineRule="auto"/>
              <w:jc w:val="left"/>
              <w:rPr>
                <w:rFonts w:cs="Arial"/>
                <w:szCs w:val="22"/>
              </w:rPr>
            </w:pPr>
            <w:r w:rsidRPr="000407B0">
              <w:rPr>
                <w:rFonts w:cs="Arial"/>
                <w:szCs w:val="22"/>
              </w:rPr>
              <w:t>Arqueólogo</w:t>
            </w:r>
            <w:r>
              <w:rPr>
                <w:rFonts w:cs="Arial"/>
                <w:szCs w:val="22"/>
              </w:rPr>
              <w:t xml:space="preserve">, Ms. </w:t>
            </w:r>
          </w:p>
        </w:tc>
        <w:tc>
          <w:tcPr>
            <w:tcW w:w="2595" w:type="dxa"/>
            <w:shd w:val="clear" w:color="auto" w:fill="FABF8F" w:themeFill="accent6" w:themeFillTint="99"/>
            <w:vAlign w:val="center"/>
          </w:tcPr>
          <w:p w:rsidR="00984DE2" w:rsidRPr="000407B0" w:rsidRDefault="00984DE2" w:rsidP="00F04018">
            <w:pPr>
              <w:spacing w:line="240" w:lineRule="auto"/>
              <w:jc w:val="left"/>
              <w:rPr>
                <w:rFonts w:cs="Arial"/>
                <w:szCs w:val="22"/>
              </w:rPr>
            </w:pPr>
          </w:p>
        </w:tc>
      </w:tr>
      <w:tr w:rsidR="00FE5F26" w:rsidRPr="00236D82" w:rsidTr="002268E3">
        <w:trPr>
          <w:cantSplit/>
          <w:trHeight w:val="870"/>
          <w:jc w:val="center"/>
        </w:trPr>
        <w:tc>
          <w:tcPr>
            <w:tcW w:w="2334" w:type="dxa"/>
            <w:gridSpan w:val="2"/>
            <w:vMerge w:val="restart"/>
            <w:tcBorders>
              <w:top w:val="single" w:sz="4" w:space="0" w:color="auto"/>
              <w:left w:val="single" w:sz="4" w:space="0" w:color="auto"/>
              <w:bottom w:val="nil"/>
              <w:right w:val="single" w:sz="4" w:space="0" w:color="auto"/>
            </w:tcBorders>
            <w:shd w:val="clear" w:color="auto" w:fill="FABF8F" w:themeFill="accent6" w:themeFillTint="99"/>
            <w:vAlign w:val="center"/>
          </w:tcPr>
          <w:p w:rsidR="00FE5F26" w:rsidRPr="00A204BF" w:rsidRDefault="00FE5F26" w:rsidP="00FE5F26">
            <w:pPr>
              <w:spacing w:line="240" w:lineRule="auto"/>
              <w:jc w:val="left"/>
              <w:rPr>
                <w:rFonts w:cs="Arial"/>
                <w:szCs w:val="22"/>
              </w:rPr>
            </w:pPr>
            <w:r w:rsidRPr="00A204BF">
              <w:rPr>
                <w:rFonts w:cs="Arial"/>
                <w:szCs w:val="22"/>
              </w:rPr>
              <w:t>Patrimônio Arqueológico</w:t>
            </w:r>
          </w:p>
        </w:tc>
        <w:tc>
          <w:tcPr>
            <w:tcW w:w="2378" w:type="dxa"/>
            <w:gridSpan w:val="3"/>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sidRPr="000407B0">
              <w:rPr>
                <w:rFonts w:cs="Arial"/>
                <w:szCs w:val="22"/>
              </w:rPr>
              <w:t>Aline Mazza</w:t>
            </w:r>
          </w:p>
        </w:tc>
        <w:tc>
          <w:tcPr>
            <w:tcW w:w="2407" w:type="dxa"/>
            <w:gridSpan w:val="3"/>
            <w:tcBorders>
              <w:left w:val="single" w:sz="4" w:space="0" w:color="auto"/>
            </w:tcBorders>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sidRPr="000407B0">
              <w:rPr>
                <w:rFonts w:cs="Arial"/>
                <w:szCs w:val="22"/>
              </w:rPr>
              <w:t>Historiadora</w:t>
            </w:r>
            <w:r>
              <w:rPr>
                <w:rFonts w:cs="Arial"/>
                <w:szCs w:val="22"/>
              </w:rPr>
              <w:t xml:space="preserve"> – Coordenação de Laboratório</w:t>
            </w:r>
          </w:p>
        </w:tc>
        <w:tc>
          <w:tcPr>
            <w:tcW w:w="2595" w:type="dxa"/>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sidRPr="000407B0">
              <w:rPr>
                <w:rFonts w:cs="Arial"/>
                <w:szCs w:val="22"/>
              </w:rPr>
              <w:t>-</w:t>
            </w:r>
          </w:p>
        </w:tc>
      </w:tr>
      <w:tr w:rsidR="00FE5F26" w:rsidRPr="00236D82" w:rsidTr="002268E3">
        <w:trPr>
          <w:cantSplit/>
          <w:trHeight w:val="525"/>
          <w:jc w:val="center"/>
        </w:trPr>
        <w:tc>
          <w:tcPr>
            <w:tcW w:w="2334" w:type="dxa"/>
            <w:gridSpan w:val="2"/>
            <w:vMerge/>
            <w:tcBorders>
              <w:top w:val="single" w:sz="4" w:space="0" w:color="auto"/>
              <w:left w:val="single" w:sz="4" w:space="0" w:color="auto"/>
              <w:bottom w:val="nil"/>
              <w:right w:val="single" w:sz="4" w:space="0" w:color="auto"/>
            </w:tcBorders>
            <w:shd w:val="clear" w:color="auto" w:fill="FABF8F" w:themeFill="accent6" w:themeFillTint="99"/>
            <w:vAlign w:val="center"/>
          </w:tcPr>
          <w:p w:rsidR="00FE5F26" w:rsidRPr="00236D82" w:rsidRDefault="00FE5F26" w:rsidP="00F04018">
            <w:pPr>
              <w:spacing w:line="240" w:lineRule="auto"/>
              <w:jc w:val="center"/>
              <w:rPr>
                <w:rFonts w:cs="Arial"/>
                <w:sz w:val="20"/>
              </w:rPr>
            </w:pPr>
          </w:p>
        </w:tc>
        <w:tc>
          <w:tcPr>
            <w:tcW w:w="2378" w:type="dxa"/>
            <w:gridSpan w:val="3"/>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sidRPr="000407B0">
              <w:rPr>
                <w:rFonts w:cs="Arial"/>
                <w:szCs w:val="22"/>
              </w:rPr>
              <w:t>Douglas Ribeiro de Morais</w:t>
            </w:r>
          </w:p>
        </w:tc>
        <w:tc>
          <w:tcPr>
            <w:tcW w:w="2407" w:type="dxa"/>
            <w:gridSpan w:val="3"/>
            <w:tcBorders>
              <w:left w:val="single" w:sz="4" w:space="0" w:color="auto"/>
            </w:tcBorders>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sidRPr="000407B0">
              <w:rPr>
                <w:rFonts w:cs="Arial"/>
                <w:szCs w:val="22"/>
              </w:rPr>
              <w:t>Arqueólogo</w:t>
            </w:r>
          </w:p>
        </w:tc>
        <w:tc>
          <w:tcPr>
            <w:tcW w:w="2595" w:type="dxa"/>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sidRPr="000407B0">
              <w:rPr>
                <w:rFonts w:cs="Arial"/>
                <w:szCs w:val="22"/>
              </w:rPr>
              <w:t>-</w:t>
            </w:r>
          </w:p>
        </w:tc>
      </w:tr>
      <w:tr w:rsidR="00FE5F26" w:rsidRPr="00236D82" w:rsidTr="002268E3">
        <w:trPr>
          <w:cantSplit/>
          <w:trHeight w:val="525"/>
          <w:jc w:val="center"/>
        </w:trPr>
        <w:tc>
          <w:tcPr>
            <w:tcW w:w="2334" w:type="dxa"/>
            <w:gridSpan w:val="2"/>
            <w:vMerge/>
            <w:tcBorders>
              <w:top w:val="single" w:sz="4" w:space="0" w:color="auto"/>
              <w:left w:val="single" w:sz="4" w:space="0" w:color="auto"/>
              <w:bottom w:val="nil"/>
              <w:right w:val="single" w:sz="4" w:space="0" w:color="auto"/>
            </w:tcBorders>
            <w:shd w:val="clear" w:color="auto" w:fill="FABF8F" w:themeFill="accent6" w:themeFillTint="99"/>
            <w:vAlign w:val="center"/>
          </w:tcPr>
          <w:p w:rsidR="00FE5F26" w:rsidRPr="00236D82" w:rsidRDefault="00FE5F26" w:rsidP="00F04018">
            <w:pPr>
              <w:spacing w:line="240" w:lineRule="auto"/>
              <w:jc w:val="center"/>
              <w:rPr>
                <w:rFonts w:cs="Arial"/>
                <w:sz w:val="20"/>
              </w:rPr>
            </w:pPr>
          </w:p>
        </w:tc>
        <w:tc>
          <w:tcPr>
            <w:tcW w:w="2378" w:type="dxa"/>
            <w:gridSpan w:val="3"/>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Pr>
                <w:rFonts w:cs="Arial"/>
                <w:szCs w:val="22"/>
              </w:rPr>
              <w:t>Renata de Pierro</w:t>
            </w:r>
          </w:p>
        </w:tc>
        <w:tc>
          <w:tcPr>
            <w:tcW w:w="2407" w:type="dxa"/>
            <w:gridSpan w:val="3"/>
            <w:tcBorders>
              <w:left w:val="single" w:sz="4" w:space="0" w:color="auto"/>
            </w:tcBorders>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Pr>
                <w:rFonts w:cs="Arial"/>
                <w:szCs w:val="22"/>
              </w:rPr>
              <w:t>Arqueóloga</w:t>
            </w:r>
          </w:p>
        </w:tc>
        <w:tc>
          <w:tcPr>
            <w:tcW w:w="2595" w:type="dxa"/>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p>
        </w:tc>
      </w:tr>
      <w:tr w:rsidR="00FE5F26" w:rsidRPr="00236D82" w:rsidTr="002268E3">
        <w:trPr>
          <w:cantSplit/>
          <w:trHeight w:val="525"/>
          <w:jc w:val="center"/>
        </w:trPr>
        <w:tc>
          <w:tcPr>
            <w:tcW w:w="2334" w:type="dxa"/>
            <w:gridSpan w:val="2"/>
            <w:vMerge/>
            <w:tcBorders>
              <w:top w:val="single" w:sz="4" w:space="0" w:color="auto"/>
              <w:left w:val="single" w:sz="4" w:space="0" w:color="auto"/>
              <w:bottom w:val="nil"/>
              <w:right w:val="single" w:sz="4" w:space="0" w:color="auto"/>
            </w:tcBorders>
            <w:shd w:val="clear" w:color="auto" w:fill="FABF8F" w:themeFill="accent6" w:themeFillTint="99"/>
            <w:vAlign w:val="center"/>
          </w:tcPr>
          <w:p w:rsidR="00FE5F26" w:rsidRPr="00236D82" w:rsidRDefault="00FE5F26" w:rsidP="00F04018">
            <w:pPr>
              <w:spacing w:line="240" w:lineRule="auto"/>
              <w:jc w:val="center"/>
              <w:rPr>
                <w:rFonts w:cs="Arial"/>
                <w:sz w:val="20"/>
              </w:rPr>
            </w:pPr>
          </w:p>
        </w:tc>
        <w:tc>
          <w:tcPr>
            <w:tcW w:w="2378" w:type="dxa"/>
            <w:gridSpan w:val="3"/>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rsidR="00FE5F26" w:rsidRDefault="00FE5F26" w:rsidP="00F04018">
            <w:pPr>
              <w:spacing w:before="120" w:after="120" w:line="240" w:lineRule="auto"/>
              <w:jc w:val="left"/>
              <w:rPr>
                <w:rFonts w:cs="Arial"/>
                <w:szCs w:val="22"/>
              </w:rPr>
            </w:pPr>
            <w:r w:rsidRPr="000407B0">
              <w:rPr>
                <w:rFonts w:cs="Arial"/>
                <w:szCs w:val="22"/>
              </w:rPr>
              <w:t>Sandra Regina Martins Sanchez</w:t>
            </w:r>
          </w:p>
        </w:tc>
        <w:tc>
          <w:tcPr>
            <w:tcW w:w="2407" w:type="dxa"/>
            <w:gridSpan w:val="3"/>
            <w:tcBorders>
              <w:left w:val="single" w:sz="4" w:space="0" w:color="auto"/>
            </w:tcBorders>
            <w:shd w:val="clear" w:color="auto" w:fill="FABF8F" w:themeFill="accent6" w:themeFillTint="99"/>
            <w:vAlign w:val="center"/>
          </w:tcPr>
          <w:p w:rsidR="00FE5F26" w:rsidRDefault="00FE5F26" w:rsidP="00F04018">
            <w:pPr>
              <w:spacing w:before="120" w:after="120" w:line="240" w:lineRule="auto"/>
              <w:jc w:val="left"/>
              <w:rPr>
                <w:rFonts w:cs="Arial"/>
                <w:szCs w:val="22"/>
              </w:rPr>
            </w:pPr>
            <w:r w:rsidRPr="000407B0">
              <w:rPr>
                <w:rFonts w:cs="Arial"/>
                <w:szCs w:val="22"/>
              </w:rPr>
              <w:t>Pesquisadora</w:t>
            </w:r>
          </w:p>
        </w:tc>
        <w:tc>
          <w:tcPr>
            <w:tcW w:w="2595" w:type="dxa"/>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sidRPr="000407B0">
              <w:rPr>
                <w:rFonts w:cs="Arial"/>
                <w:szCs w:val="22"/>
              </w:rPr>
              <w:t>-</w:t>
            </w:r>
          </w:p>
        </w:tc>
      </w:tr>
      <w:tr w:rsidR="00FE5F26" w:rsidRPr="00236D82" w:rsidTr="002268E3">
        <w:trPr>
          <w:cantSplit/>
          <w:trHeight w:val="525"/>
          <w:jc w:val="center"/>
        </w:trPr>
        <w:tc>
          <w:tcPr>
            <w:tcW w:w="2334" w:type="dxa"/>
            <w:gridSpan w:val="2"/>
            <w:vMerge/>
            <w:tcBorders>
              <w:top w:val="single" w:sz="4" w:space="0" w:color="auto"/>
              <w:left w:val="single" w:sz="4" w:space="0" w:color="auto"/>
              <w:bottom w:val="nil"/>
              <w:right w:val="single" w:sz="4" w:space="0" w:color="auto"/>
            </w:tcBorders>
            <w:shd w:val="clear" w:color="auto" w:fill="FABF8F" w:themeFill="accent6" w:themeFillTint="99"/>
            <w:vAlign w:val="center"/>
          </w:tcPr>
          <w:p w:rsidR="00FE5F26" w:rsidRPr="00236D82" w:rsidRDefault="00FE5F26" w:rsidP="00F04018">
            <w:pPr>
              <w:spacing w:line="240" w:lineRule="auto"/>
              <w:jc w:val="center"/>
              <w:rPr>
                <w:rFonts w:cs="Arial"/>
                <w:sz w:val="20"/>
              </w:rPr>
            </w:pPr>
          </w:p>
        </w:tc>
        <w:tc>
          <w:tcPr>
            <w:tcW w:w="2378" w:type="dxa"/>
            <w:gridSpan w:val="3"/>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Pr>
                <w:rFonts w:cs="Arial"/>
                <w:szCs w:val="22"/>
              </w:rPr>
              <w:t>Arturo Bermudez Figueiras Júnior</w:t>
            </w:r>
          </w:p>
        </w:tc>
        <w:tc>
          <w:tcPr>
            <w:tcW w:w="2407" w:type="dxa"/>
            <w:gridSpan w:val="3"/>
            <w:tcBorders>
              <w:left w:val="single" w:sz="4" w:space="0" w:color="auto"/>
            </w:tcBorders>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Pr>
                <w:rFonts w:cs="Arial"/>
                <w:szCs w:val="22"/>
              </w:rPr>
              <w:t>Técnico de Campo</w:t>
            </w:r>
          </w:p>
        </w:tc>
        <w:tc>
          <w:tcPr>
            <w:tcW w:w="2595" w:type="dxa"/>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p>
        </w:tc>
      </w:tr>
      <w:tr w:rsidR="00FE5F26" w:rsidRPr="00236D82" w:rsidTr="002268E3">
        <w:trPr>
          <w:cantSplit/>
          <w:trHeight w:val="870"/>
          <w:jc w:val="center"/>
        </w:trPr>
        <w:tc>
          <w:tcPr>
            <w:tcW w:w="2334" w:type="dxa"/>
            <w:gridSpan w:val="2"/>
            <w:vMerge/>
            <w:tcBorders>
              <w:top w:val="single" w:sz="4" w:space="0" w:color="auto"/>
              <w:left w:val="single" w:sz="4" w:space="0" w:color="auto"/>
              <w:bottom w:val="nil"/>
              <w:right w:val="single" w:sz="4" w:space="0" w:color="auto"/>
            </w:tcBorders>
            <w:shd w:val="clear" w:color="auto" w:fill="FABF8F" w:themeFill="accent6" w:themeFillTint="99"/>
            <w:vAlign w:val="center"/>
          </w:tcPr>
          <w:p w:rsidR="00FE5F26" w:rsidRPr="00236D82" w:rsidRDefault="00FE5F26" w:rsidP="00F04018">
            <w:pPr>
              <w:spacing w:line="240" w:lineRule="auto"/>
              <w:jc w:val="center"/>
              <w:rPr>
                <w:rFonts w:cs="Arial"/>
                <w:sz w:val="20"/>
              </w:rPr>
            </w:pPr>
          </w:p>
        </w:tc>
        <w:tc>
          <w:tcPr>
            <w:tcW w:w="2378" w:type="dxa"/>
            <w:gridSpan w:val="3"/>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Pr>
                <w:rFonts w:cs="Arial"/>
                <w:szCs w:val="22"/>
              </w:rPr>
              <w:t>Karolina Giroletto</w:t>
            </w:r>
          </w:p>
        </w:tc>
        <w:tc>
          <w:tcPr>
            <w:tcW w:w="2407" w:type="dxa"/>
            <w:gridSpan w:val="3"/>
            <w:tcBorders>
              <w:left w:val="single" w:sz="4" w:space="0" w:color="auto"/>
            </w:tcBorders>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Pr>
                <w:rFonts w:cs="Arial"/>
                <w:szCs w:val="22"/>
              </w:rPr>
              <w:t>Técnica de Laboratório</w:t>
            </w:r>
          </w:p>
        </w:tc>
        <w:tc>
          <w:tcPr>
            <w:tcW w:w="2595" w:type="dxa"/>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p>
        </w:tc>
      </w:tr>
      <w:tr w:rsidR="00FE5F26" w:rsidRPr="00236D82" w:rsidTr="002268E3">
        <w:trPr>
          <w:cantSplit/>
          <w:trHeight w:val="831"/>
          <w:jc w:val="center"/>
        </w:trPr>
        <w:tc>
          <w:tcPr>
            <w:tcW w:w="2334" w:type="dxa"/>
            <w:gridSpan w:val="2"/>
            <w:vMerge/>
            <w:tcBorders>
              <w:top w:val="single" w:sz="4" w:space="0" w:color="auto"/>
              <w:left w:val="single" w:sz="4" w:space="0" w:color="auto"/>
              <w:bottom w:val="nil"/>
              <w:right w:val="single" w:sz="4" w:space="0" w:color="auto"/>
            </w:tcBorders>
            <w:shd w:val="clear" w:color="auto" w:fill="FABF8F" w:themeFill="accent6" w:themeFillTint="99"/>
            <w:vAlign w:val="center"/>
          </w:tcPr>
          <w:p w:rsidR="00FE5F26" w:rsidRPr="00236D82" w:rsidRDefault="00FE5F26" w:rsidP="00F04018">
            <w:pPr>
              <w:spacing w:line="240" w:lineRule="auto"/>
              <w:jc w:val="center"/>
              <w:rPr>
                <w:rFonts w:cs="Arial"/>
                <w:sz w:val="20"/>
              </w:rPr>
            </w:pPr>
          </w:p>
        </w:tc>
        <w:tc>
          <w:tcPr>
            <w:tcW w:w="2378" w:type="dxa"/>
            <w:gridSpan w:val="3"/>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sidRPr="000407B0">
              <w:rPr>
                <w:rFonts w:cs="Arial"/>
                <w:szCs w:val="22"/>
              </w:rPr>
              <w:t xml:space="preserve">Jorge Luiz Chagas da Silva </w:t>
            </w:r>
          </w:p>
        </w:tc>
        <w:tc>
          <w:tcPr>
            <w:tcW w:w="2407" w:type="dxa"/>
            <w:gridSpan w:val="3"/>
            <w:tcBorders>
              <w:left w:val="single" w:sz="4" w:space="0" w:color="auto"/>
            </w:tcBorders>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sidRPr="000407B0">
              <w:rPr>
                <w:rFonts w:cs="Arial"/>
                <w:szCs w:val="22"/>
              </w:rPr>
              <w:t>Sistemas de Informação</w:t>
            </w:r>
          </w:p>
        </w:tc>
        <w:tc>
          <w:tcPr>
            <w:tcW w:w="2595" w:type="dxa"/>
            <w:shd w:val="clear" w:color="auto" w:fill="FABF8F" w:themeFill="accent6" w:themeFillTint="99"/>
            <w:vAlign w:val="center"/>
          </w:tcPr>
          <w:p w:rsidR="00FE5F26" w:rsidRPr="000407B0" w:rsidRDefault="00FE5F26" w:rsidP="00F04018">
            <w:pPr>
              <w:spacing w:before="120" w:after="120" w:line="240" w:lineRule="auto"/>
              <w:jc w:val="left"/>
              <w:rPr>
                <w:rFonts w:cs="Arial"/>
                <w:szCs w:val="22"/>
              </w:rPr>
            </w:pPr>
            <w:r w:rsidRPr="000407B0">
              <w:rPr>
                <w:rFonts w:cs="Arial"/>
                <w:szCs w:val="22"/>
              </w:rPr>
              <w:t>-</w:t>
            </w:r>
          </w:p>
        </w:tc>
      </w:tr>
      <w:tr w:rsidR="00B25511" w:rsidRPr="00236D82" w:rsidTr="00F04018">
        <w:trPr>
          <w:cantSplit/>
          <w:trHeight w:val="461"/>
          <w:jc w:val="center"/>
        </w:trPr>
        <w:tc>
          <w:tcPr>
            <w:tcW w:w="9714" w:type="dxa"/>
            <w:gridSpan w:val="9"/>
            <w:shd w:val="clear" w:color="auto" w:fill="D9D9D9"/>
            <w:vAlign w:val="center"/>
          </w:tcPr>
          <w:p w:rsidR="00B25511" w:rsidRPr="00B907BB" w:rsidRDefault="00B25511" w:rsidP="00F04018">
            <w:pPr>
              <w:spacing w:line="240" w:lineRule="auto"/>
              <w:jc w:val="left"/>
              <w:rPr>
                <w:rFonts w:cs="Arial"/>
                <w:szCs w:val="22"/>
              </w:rPr>
            </w:pPr>
            <w:r w:rsidRPr="00A204BF">
              <w:rPr>
                <w:rFonts w:cs="Arial"/>
                <w:b/>
                <w:szCs w:val="22"/>
              </w:rPr>
              <w:t>CARTOGRAFIA</w:t>
            </w:r>
          </w:p>
        </w:tc>
      </w:tr>
      <w:tr w:rsidR="00B25511" w:rsidRPr="00236D82" w:rsidTr="00F04018">
        <w:trPr>
          <w:cantSplit/>
          <w:trHeight w:val="557"/>
          <w:jc w:val="center"/>
        </w:trPr>
        <w:tc>
          <w:tcPr>
            <w:tcW w:w="2334" w:type="dxa"/>
            <w:gridSpan w:val="2"/>
            <w:vMerge w:val="restart"/>
            <w:shd w:val="clear" w:color="auto" w:fill="FBD4B4"/>
            <w:vAlign w:val="center"/>
          </w:tcPr>
          <w:p w:rsidR="00B25511" w:rsidRPr="00B907BB" w:rsidRDefault="00B25511" w:rsidP="00F04018">
            <w:pPr>
              <w:spacing w:line="240" w:lineRule="auto"/>
              <w:jc w:val="left"/>
              <w:rPr>
                <w:rFonts w:cs="Arial"/>
                <w:szCs w:val="22"/>
              </w:rPr>
            </w:pPr>
            <w:r w:rsidRPr="00B907BB">
              <w:rPr>
                <w:rFonts w:cs="Arial"/>
                <w:szCs w:val="22"/>
              </w:rPr>
              <w:t>Cartografia, Geo</w:t>
            </w:r>
            <w:r>
              <w:rPr>
                <w:rFonts w:cs="Arial"/>
                <w:szCs w:val="22"/>
              </w:rPr>
              <w:t>rreferenciamento</w:t>
            </w:r>
            <w:r w:rsidRPr="00B907BB">
              <w:rPr>
                <w:rFonts w:cs="Arial"/>
                <w:szCs w:val="22"/>
              </w:rPr>
              <w:t xml:space="preserve">SIG - Sistema de Informação Geográfica </w:t>
            </w:r>
          </w:p>
        </w:tc>
        <w:tc>
          <w:tcPr>
            <w:tcW w:w="2368" w:type="dxa"/>
            <w:gridSpan w:val="2"/>
            <w:shd w:val="clear" w:color="auto" w:fill="FBD4B4"/>
            <w:vAlign w:val="center"/>
          </w:tcPr>
          <w:p w:rsidR="00B25511" w:rsidRPr="00B907BB" w:rsidRDefault="00B25511" w:rsidP="00F04018">
            <w:pPr>
              <w:spacing w:line="240" w:lineRule="auto"/>
              <w:jc w:val="left"/>
              <w:rPr>
                <w:rFonts w:cs="Arial"/>
                <w:szCs w:val="22"/>
              </w:rPr>
            </w:pPr>
            <w:r w:rsidRPr="00B907BB">
              <w:rPr>
                <w:rFonts w:cs="Arial"/>
                <w:szCs w:val="22"/>
              </w:rPr>
              <w:t>Cláudio Nakandakari</w:t>
            </w:r>
          </w:p>
        </w:tc>
        <w:tc>
          <w:tcPr>
            <w:tcW w:w="2407" w:type="dxa"/>
            <w:gridSpan w:val="3"/>
            <w:shd w:val="clear" w:color="auto" w:fill="FBD4B4"/>
            <w:vAlign w:val="center"/>
          </w:tcPr>
          <w:p w:rsidR="00B25511" w:rsidRPr="00B907BB" w:rsidRDefault="00B25511" w:rsidP="00F04018">
            <w:pPr>
              <w:spacing w:line="240" w:lineRule="auto"/>
              <w:jc w:val="left"/>
              <w:rPr>
                <w:rFonts w:cs="Arial"/>
                <w:szCs w:val="22"/>
              </w:rPr>
            </w:pPr>
            <w:r w:rsidRPr="00B907BB">
              <w:rPr>
                <w:rFonts w:cs="Arial"/>
                <w:szCs w:val="22"/>
              </w:rPr>
              <w:t>Geógrafo</w:t>
            </w:r>
          </w:p>
        </w:tc>
        <w:tc>
          <w:tcPr>
            <w:tcW w:w="2605" w:type="dxa"/>
            <w:gridSpan w:val="2"/>
            <w:shd w:val="clear" w:color="auto" w:fill="FBD4B4"/>
            <w:vAlign w:val="center"/>
          </w:tcPr>
          <w:p w:rsidR="00B25511" w:rsidRPr="00B907BB" w:rsidRDefault="00B25511" w:rsidP="00E603A3">
            <w:pPr>
              <w:spacing w:line="240" w:lineRule="auto"/>
              <w:jc w:val="left"/>
              <w:rPr>
                <w:rFonts w:cs="Arial"/>
                <w:szCs w:val="22"/>
              </w:rPr>
            </w:pPr>
            <w:r w:rsidRPr="00B907BB">
              <w:rPr>
                <w:rFonts w:cs="Arial"/>
                <w:szCs w:val="22"/>
              </w:rPr>
              <w:t>CREA/SP</w:t>
            </w:r>
            <w:r w:rsidR="008C32BC" w:rsidRPr="00B907BB">
              <w:rPr>
                <w:rFonts w:cs="Arial"/>
                <w:szCs w:val="22"/>
              </w:rPr>
              <w:t xml:space="preserve"> </w:t>
            </w:r>
            <w:r w:rsidRPr="00B907BB">
              <w:rPr>
                <w:rFonts w:cs="Arial"/>
                <w:szCs w:val="22"/>
              </w:rPr>
              <w:t>5061091767</w:t>
            </w:r>
          </w:p>
        </w:tc>
      </w:tr>
      <w:tr w:rsidR="00B25511" w:rsidRPr="00236D82" w:rsidTr="00F04018">
        <w:trPr>
          <w:cantSplit/>
          <w:trHeight w:val="551"/>
          <w:jc w:val="center"/>
        </w:trPr>
        <w:tc>
          <w:tcPr>
            <w:tcW w:w="2334" w:type="dxa"/>
            <w:gridSpan w:val="2"/>
            <w:vMerge/>
            <w:shd w:val="clear" w:color="auto" w:fill="FBD4B4"/>
            <w:vAlign w:val="center"/>
          </w:tcPr>
          <w:p w:rsidR="00B25511" w:rsidRPr="00B907BB" w:rsidRDefault="00B25511" w:rsidP="00F04018">
            <w:pPr>
              <w:spacing w:line="240" w:lineRule="auto"/>
              <w:jc w:val="center"/>
              <w:rPr>
                <w:rFonts w:cs="Arial"/>
                <w:szCs w:val="22"/>
              </w:rPr>
            </w:pPr>
          </w:p>
        </w:tc>
        <w:tc>
          <w:tcPr>
            <w:tcW w:w="2368" w:type="dxa"/>
            <w:gridSpan w:val="2"/>
            <w:shd w:val="clear" w:color="auto" w:fill="FBD4B4"/>
            <w:vAlign w:val="center"/>
          </w:tcPr>
          <w:p w:rsidR="00B25511" w:rsidRPr="00B907BB" w:rsidRDefault="00B25511" w:rsidP="00F04018">
            <w:pPr>
              <w:spacing w:line="240" w:lineRule="auto"/>
              <w:jc w:val="left"/>
              <w:rPr>
                <w:rFonts w:cs="Arial"/>
                <w:szCs w:val="22"/>
              </w:rPr>
            </w:pPr>
            <w:r w:rsidRPr="00B907BB">
              <w:rPr>
                <w:rFonts w:cs="Arial"/>
                <w:szCs w:val="22"/>
              </w:rPr>
              <w:t>Alexandre Freitas Ribeiro Soares</w:t>
            </w:r>
          </w:p>
        </w:tc>
        <w:tc>
          <w:tcPr>
            <w:tcW w:w="2407" w:type="dxa"/>
            <w:gridSpan w:val="3"/>
            <w:shd w:val="clear" w:color="auto" w:fill="FBD4B4"/>
            <w:vAlign w:val="center"/>
          </w:tcPr>
          <w:p w:rsidR="00B25511" w:rsidRPr="00B907BB" w:rsidRDefault="00B25511" w:rsidP="00F04018">
            <w:pPr>
              <w:spacing w:line="240" w:lineRule="auto"/>
              <w:jc w:val="left"/>
              <w:rPr>
                <w:rFonts w:cs="Arial"/>
                <w:szCs w:val="22"/>
              </w:rPr>
            </w:pPr>
            <w:r w:rsidRPr="00B907BB">
              <w:rPr>
                <w:rFonts w:cs="Arial"/>
                <w:szCs w:val="22"/>
              </w:rPr>
              <w:t>Geógrafo</w:t>
            </w:r>
          </w:p>
        </w:tc>
        <w:tc>
          <w:tcPr>
            <w:tcW w:w="2605" w:type="dxa"/>
            <w:gridSpan w:val="2"/>
            <w:shd w:val="clear" w:color="auto" w:fill="FBD4B4"/>
            <w:vAlign w:val="center"/>
          </w:tcPr>
          <w:p w:rsidR="00B25511" w:rsidRPr="00B907BB" w:rsidRDefault="00B25511" w:rsidP="008C32BC">
            <w:pPr>
              <w:spacing w:line="240" w:lineRule="auto"/>
              <w:jc w:val="left"/>
              <w:rPr>
                <w:rFonts w:cs="Arial"/>
                <w:szCs w:val="22"/>
              </w:rPr>
            </w:pPr>
            <w:r w:rsidRPr="00B907BB">
              <w:rPr>
                <w:rFonts w:cs="Arial"/>
                <w:szCs w:val="22"/>
              </w:rPr>
              <w:t xml:space="preserve">CREA/DF </w:t>
            </w:r>
            <w:r w:rsidR="008C32BC">
              <w:rPr>
                <w:rFonts w:cs="Arial"/>
                <w:szCs w:val="22"/>
              </w:rPr>
              <w:t>n</w:t>
            </w:r>
            <w:r w:rsidR="008C32BC" w:rsidRPr="008C32BC">
              <w:rPr>
                <w:rFonts w:cs="Arial"/>
                <w:szCs w:val="22"/>
                <w:u w:val="single"/>
                <w:vertAlign w:val="superscript"/>
              </w:rPr>
              <w:t>o</w:t>
            </w:r>
            <w:r w:rsidRPr="00B907BB">
              <w:rPr>
                <w:rFonts w:cs="Arial"/>
                <w:szCs w:val="22"/>
              </w:rPr>
              <w:t xml:space="preserve"> 10.931/D</w:t>
            </w:r>
          </w:p>
        </w:tc>
      </w:tr>
      <w:tr w:rsidR="00B25511" w:rsidRPr="00236D82" w:rsidTr="00F04018">
        <w:trPr>
          <w:cantSplit/>
          <w:trHeight w:val="551"/>
          <w:jc w:val="center"/>
        </w:trPr>
        <w:tc>
          <w:tcPr>
            <w:tcW w:w="2334" w:type="dxa"/>
            <w:gridSpan w:val="2"/>
            <w:vMerge/>
            <w:shd w:val="clear" w:color="auto" w:fill="FBD4B4"/>
            <w:vAlign w:val="center"/>
          </w:tcPr>
          <w:p w:rsidR="00B25511" w:rsidRPr="00B907BB" w:rsidRDefault="00B25511" w:rsidP="00F04018">
            <w:pPr>
              <w:spacing w:line="240" w:lineRule="auto"/>
              <w:jc w:val="center"/>
              <w:rPr>
                <w:rFonts w:cs="Arial"/>
                <w:szCs w:val="22"/>
              </w:rPr>
            </w:pPr>
          </w:p>
        </w:tc>
        <w:tc>
          <w:tcPr>
            <w:tcW w:w="2368" w:type="dxa"/>
            <w:gridSpan w:val="2"/>
            <w:shd w:val="clear" w:color="auto" w:fill="FBD4B4"/>
            <w:vAlign w:val="center"/>
          </w:tcPr>
          <w:p w:rsidR="00B25511" w:rsidRPr="00B907BB" w:rsidRDefault="00B25511" w:rsidP="00F04018">
            <w:pPr>
              <w:spacing w:line="240" w:lineRule="auto"/>
              <w:jc w:val="left"/>
              <w:rPr>
                <w:rFonts w:cs="Arial"/>
                <w:szCs w:val="22"/>
              </w:rPr>
            </w:pPr>
            <w:r>
              <w:rPr>
                <w:rFonts w:cs="Arial"/>
                <w:szCs w:val="22"/>
              </w:rPr>
              <w:t xml:space="preserve">Raimundo Nonato Cutrim </w:t>
            </w:r>
          </w:p>
        </w:tc>
        <w:tc>
          <w:tcPr>
            <w:tcW w:w="2407" w:type="dxa"/>
            <w:gridSpan w:val="3"/>
            <w:shd w:val="clear" w:color="auto" w:fill="FBD4B4"/>
            <w:vAlign w:val="center"/>
          </w:tcPr>
          <w:p w:rsidR="00B25511" w:rsidRPr="00B907BB" w:rsidRDefault="00B25511" w:rsidP="00F04018">
            <w:pPr>
              <w:spacing w:line="240" w:lineRule="auto"/>
              <w:jc w:val="left"/>
              <w:rPr>
                <w:rFonts w:cs="Arial"/>
                <w:szCs w:val="22"/>
              </w:rPr>
            </w:pPr>
            <w:r>
              <w:rPr>
                <w:rFonts w:cs="Arial"/>
                <w:szCs w:val="22"/>
              </w:rPr>
              <w:t>Projetista</w:t>
            </w:r>
          </w:p>
        </w:tc>
        <w:tc>
          <w:tcPr>
            <w:tcW w:w="2605" w:type="dxa"/>
            <w:gridSpan w:val="2"/>
            <w:shd w:val="clear" w:color="auto" w:fill="FBD4B4"/>
            <w:vAlign w:val="center"/>
          </w:tcPr>
          <w:p w:rsidR="00B25511" w:rsidRPr="00B907BB" w:rsidRDefault="00B25511" w:rsidP="00F04018">
            <w:pPr>
              <w:spacing w:line="240" w:lineRule="auto"/>
              <w:jc w:val="left"/>
              <w:rPr>
                <w:rFonts w:cs="Arial"/>
                <w:szCs w:val="22"/>
              </w:rPr>
            </w:pPr>
          </w:p>
        </w:tc>
      </w:tr>
      <w:tr w:rsidR="00B25511" w:rsidRPr="00236D82" w:rsidTr="00F04018">
        <w:trPr>
          <w:cantSplit/>
          <w:trHeight w:val="419"/>
          <w:jc w:val="center"/>
        </w:trPr>
        <w:tc>
          <w:tcPr>
            <w:tcW w:w="2334" w:type="dxa"/>
            <w:gridSpan w:val="2"/>
            <w:vMerge/>
            <w:shd w:val="clear" w:color="auto" w:fill="FBD4B4"/>
            <w:vAlign w:val="center"/>
          </w:tcPr>
          <w:p w:rsidR="00B25511" w:rsidRPr="00B907BB" w:rsidRDefault="00B25511" w:rsidP="00F04018">
            <w:pPr>
              <w:spacing w:line="240" w:lineRule="auto"/>
              <w:jc w:val="center"/>
              <w:rPr>
                <w:rFonts w:cs="Arial"/>
                <w:szCs w:val="22"/>
              </w:rPr>
            </w:pPr>
          </w:p>
        </w:tc>
        <w:tc>
          <w:tcPr>
            <w:tcW w:w="2368" w:type="dxa"/>
            <w:gridSpan w:val="2"/>
            <w:shd w:val="clear" w:color="auto" w:fill="FBD4B4"/>
            <w:vAlign w:val="center"/>
          </w:tcPr>
          <w:p w:rsidR="00B25511" w:rsidRPr="00B907BB" w:rsidRDefault="00B25511" w:rsidP="00F04018">
            <w:pPr>
              <w:spacing w:line="240" w:lineRule="auto"/>
              <w:jc w:val="left"/>
              <w:rPr>
                <w:rFonts w:cs="Arial"/>
                <w:szCs w:val="22"/>
              </w:rPr>
            </w:pPr>
            <w:r>
              <w:rPr>
                <w:rFonts w:cs="Arial"/>
                <w:szCs w:val="22"/>
              </w:rPr>
              <w:t>Iz</w:t>
            </w:r>
            <w:r w:rsidRPr="00B907BB">
              <w:rPr>
                <w:rFonts w:cs="Arial"/>
                <w:szCs w:val="22"/>
              </w:rPr>
              <w:t xml:space="preserve">abel </w:t>
            </w:r>
            <w:r>
              <w:rPr>
                <w:rFonts w:cs="Arial"/>
                <w:szCs w:val="22"/>
              </w:rPr>
              <w:t>Borges Ferreira</w:t>
            </w:r>
          </w:p>
        </w:tc>
        <w:tc>
          <w:tcPr>
            <w:tcW w:w="2407" w:type="dxa"/>
            <w:gridSpan w:val="3"/>
            <w:shd w:val="clear" w:color="auto" w:fill="FBD4B4"/>
            <w:vAlign w:val="center"/>
          </w:tcPr>
          <w:p w:rsidR="00B25511" w:rsidRPr="00B907BB" w:rsidRDefault="00B25511" w:rsidP="00F04018">
            <w:pPr>
              <w:spacing w:line="240" w:lineRule="auto"/>
              <w:jc w:val="left"/>
              <w:rPr>
                <w:rFonts w:cs="Arial"/>
                <w:szCs w:val="22"/>
              </w:rPr>
            </w:pPr>
            <w:r>
              <w:rPr>
                <w:rFonts w:cs="Arial"/>
                <w:szCs w:val="22"/>
              </w:rPr>
              <w:t>Projetista</w:t>
            </w:r>
          </w:p>
        </w:tc>
        <w:tc>
          <w:tcPr>
            <w:tcW w:w="2605" w:type="dxa"/>
            <w:gridSpan w:val="2"/>
            <w:shd w:val="clear" w:color="auto" w:fill="FBD4B4"/>
            <w:vAlign w:val="center"/>
          </w:tcPr>
          <w:p w:rsidR="00B25511" w:rsidRPr="00B907BB" w:rsidRDefault="00B25511" w:rsidP="00F04018">
            <w:pPr>
              <w:spacing w:line="240" w:lineRule="auto"/>
              <w:jc w:val="left"/>
              <w:rPr>
                <w:rFonts w:cs="Arial"/>
                <w:szCs w:val="22"/>
              </w:rPr>
            </w:pPr>
          </w:p>
        </w:tc>
      </w:tr>
      <w:tr w:rsidR="00B25511" w:rsidRPr="00236D82" w:rsidTr="00F04018">
        <w:trPr>
          <w:cantSplit/>
          <w:trHeight w:val="525"/>
          <w:jc w:val="center"/>
        </w:trPr>
        <w:tc>
          <w:tcPr>
            <w:tcW w:w="2334" w:type="dxa"/>
            <w:gridSpan w:val="2"/>
            <w:vMerge/>
            <w:shd w:val="clear" w:color="auto" w:fill="FBD4B4"/>
            <w:vAlign w:val="center"/>
          </w:tcPr>
          <w:p w:rsidR="00B25511" w:rsidRPr="00B907BB" w:rsidRDefault="00B25511" w:rsidP="00F04018">
            <w:pPr>
              <w:spacing w:line="240" w:lineRule="auto"/>
              <w:jc w:val="center"/>
              <w:rPr>
                <w:rFonts w:cs="Arial"/>
                <w:szCs w:val="22"/>
              </w:rPr>
            </w:pPr>
          </w:p>
        </w:tc>
        <w:tc>
          <w:tcPr>
            <w:tcW w:w="2368" w:type="dxa"/>
            <w:gridSpan w:val="2"/>
            <w:shd w:val="clear" w:color="auto" w:fill="FBD4B4"/>
            <w:vAlign w:val="center"/>
          </w:tcPr>
          <w:p w:rsidR="00B25511" w:rsidRPr="00B907BB" w:rsidRDefault="00B25511" w:rsidP="00F04018">
            <w:pPr>
              <w:spacing w:line="240" w:lineRule="auto"/>
              <w:jc w:val="left"/>
              <w:rPr>
                <w:rFonts w:cs="Arial"/>
                <w:szCs w:val="22"/>
              </w:rPr>
            </w:pPr>
            <w:r w:rsidRPr="00B907BB">
              <w:rPr>
                <w:rFonts w:cs="Arial"/>
                <w:szCs w:val="22"/>
              </w:rPr>
              <w:t>Danilo</w:t>
            </w:r>
            <w:r>
              <w:rPr>
                <w:rFonts w:cs="Arial"/>
                <w:szCs w:val="22"/>
              </w:rPr>
              <w:t xml:space="preserve"> A. Chaves Gambetti</w:t>
            </w:r>
          </w:p>
        </w:tc>
        <w:tc>
          <w:tcPr>
            <w:tcW w:w="2407" w:type="dxa"/>
            <w:gridSpan w:val="3"/>
            <w:shd w:val="clear" w:color="auto" w:fill="FBD4B4"/>
            <w:vAlign w:val="center"/>
          </w:tcPr>
          <w:p w:rsidR="00B25511" w:rsidRPr="00B907BB" w:rsidRDefault="00B25511" w:rsidP="00F04018">
            <w:pPr>
              <w:spacing w:line="240" w:lineRule="auto"/>
              <w:jc w:val="left"/>
              <w:rPr>
                <w:rFonts w:cs="Arial"/>
                <w:szCs w:val="22"/>
              </w:rPr>
            </w:pPr>
            <w:r>
              <w:rPr>
                <w:rFonts w:cs="Arial"/>
                <w:szCs w:val="22"/>
              </w:rPr>
              <w:t>Projetista</w:t>
            </w:r>
          </w:p>
        </w:tc>
        <w:tc>
          <w:tcPr>
            <w:tcW w:w="2605" w:type="dxa"/>
            <w:gridSpan w:val="2"/>
            <w:shd w:val="clear" w:color="auto" w:fill="FBD4B4"/>
            <w:vAlign w:val="center"/>
          </w:tcPr>
          <w:p w:rsidR="00B25511" w:rsidRPr="00B907BB" w:rsidRDefault="00B25511" w:rsidP="00F04018">
            <w:pPr>
              <w:spacing w:line="240" w:lineRule="auto"/>
              <w:jc w:val="left"/>
              <w:rPr>
                <w:rFonts w:cs="Arial"/>
                <w:szCs w:val="22"/>
              </w:rPr>
            </w:pPr>
          </w:p>
        </w:tc>
      </w:tr>
      <w:tr w:rsidR="00B25511" w:rsidRPr="00236D82" w:rsidTr="00F04018">
        <w:trPr>
          <w:cantSplit/>
          <w:trHeight w:val="547"/>
          <w:jc w:val="center"/>
        </w:trPr>
        <w:tc>
          <w:tcPr>
            <w:tcW w:w="2334" w:type="dxa"/>
            <w:gridSpan w:val="2"/>
            <w:vMerge/>
            <w:shd w:val="clear" w:color="auto" w:fill="FBD4B4"/>
            <w:vAlign w:val="center"/>
          </w:tcPr>
          <w:p w:rsidR="00B25511" w:rsidRPr="00B907BB" w:rsidRDefault="00B25511" w:rsidP="00F04018">
            <w:pPr>
              <w:spacing w:line="240" w:lineRule="auto"/>
              <w:jc w:val="center"/>
              <w:rPr>
                <w:rFonts w:cs="Arial"/>
                <w:szCs w:val="22"/>
              </w:rPr>
            </w:pPr>
          </w:p>
        </w:tc>
        <w:tc>
          <w:tcPr>
            <w:tcW w:w="2368" w:type="dxa"/>
            <w:gridSpan w:val="2"/>
            <w:shd w:val="clear" w:color="auto" w:fill="FBD4B4"/>
            <w:vAlign w:val="center"/>
          </w:tcPr>
          <w:p w:rsidR="00B25511" w:rsidRPr="00B907BB" w:rsidRDefault="00B25511" w:rsidP="00F04018">
            <w:pPr>
              <w:spacing w:before="120" w:after="120" w:line="240" w:lineRule="auto"/>
              <w:jc w:val="left"/>
              <w:rPr>
                <w:rFonts w:cs="Arial"/>
                <w:szCs w:val="22"/>
              </w:rPr>
            </w:pPr>
            <w:r w:rsidRPr="00B907BB">
              <w:rPr>
                <w:rFonts w:cs="Arial"/>
                <w:szCs w:val="22"/>
              </w:rPr>
              <w:t xml:space="preserve">Marcio Dias da Silva </w:t>
            </w:r>
          </w:p>
        </w:tc>
        <w:tc>
          <w:tcPr>
            <w:tcW w:w="2407" w:type="dxa"/>
            <w:gridSpan w:val="3"/>
            <w:shd w:val="clear" w:color="auto" w:fill="FBD4B4"/>
            <w:vAlign w:val="center"/>
          </w:tcPr>
          <w:p w:rsidR="00B25511" w:rsidRPr="00B907BB" w:rsidRDefault="00B25511" w:rsidP="00F04018">
            <w:pPr>
              <w:spacing w:before="120" w:after="120" w:line="240" w:lineRule="auto"/>
              <w:jc w:val="left"/>
              <w:rPr>
                <w:rFonts w:cs="Arial"/>
                <w:szCs w:val="22"/>
              </w:rPr>
            </w:pPr>
            <w:r w:rsidRPr="00B907BB">
              <w:rPr>
                <w:rFonts w:cs="Arial"/>
                <w:szCs w:val="22"/>
              </w:rPr>
              <w:t>Estagiário em Geografia</w:t>
            </w:r>
          </w:p>
        </w:tc>
        <w:tc>
          <w:tcPr>
            <w:tcW w:w="2605" w:type="dxa"/>
            <w:gridSpan w:val="2"/>
            <w:shd w:val="clear" w:color="auto" w:fill="FBD4B4"/>
            <w:vAlign w:val="center"/>
          </w:tcPr>
          <w:p w:rsidR="00B25511" w:rsidRPr="00B907BB" w:rsidRDefault="00B25511" w:rsidP="00F04018">
            <w:pPr>
              <w:spacing w:line="240" w:lineRule="auto"/>
              <w:jc w:val="left"/>
              <w:rPr>
                <w:rFonts w:cs="Arial"/>
                <w:szCs w:val="22"/>
              </w:rPr>
            </w:pPr>
          </w:p>
        </w:tc>
      </w:tr>
      <w:tr w:rsidR="00B25511" w:rsidRPr="00236D82" w:rsidTr="00F04018">
        <w:trPr>
          <w:cantSplit/>
          <w:trHeight w:val="525"/>
          <w:jc w:val="center"/>
        </w:trPr>
        <w:tc>
          <w:tcPr>
            <w:tcW w:w="9714" w:type="dxa"/>
            <w:gridSpan w:val="9"/>
            <w:shd w:val="clear" w:color="auto" w:fill="D9D9D9"/>
            <w:vAlign w:val="center"/>
          </w:tcPr>
          <w:p w:rsidR="00B25511" w:rsidRPr="00A204BF" w:rsidRDefault="00B25511" w:rsidP="00F04018">
            <w:pPr>
              <w:spacing w:line="240" w:lineRule="auto"/>
              <w:jc w:val="left"/>
              <w:rPr>
                <w:rFonts w:cs="Arial"/>
                <w:b/>
                <w:szCs w:val="22"/>
              </w:rPr>
            </w:pPr>
            <w:r w:rsidRPr="00A204BF">
              <w:rPr>
                <w:rFonts w:cs="Arial"/>
                <w:b/>
                <w:szCs w:val="22"/>
              </w:rPr>
              <w:t>APOIO</w:t>
            </w:r>
          </w:p>
        </w:tc>
      </w:tr>
      <w:tr w:rsidR="00B25511" w:rsidRPr="00236D82" w:rsidTr="00B25511">
        <w:trPr>
          <w:cantSplit/>
          <w:trHeight w:val="405"/>
          <w:jc w:val="center"/>
        </w:trPr>
        <w:tc>
          <w:tcPr>
            <w:tcW w:w="2334" w:type="dxa"/>
            <w:gridSpan w:val="2"/>
            <w:shd w:val="clear" w:color="auto" w:fill="FABF8F"/>
            <w:vAlign w:val="center"/>
          </w:tcPr>
          <w:p w:rsidR="00B25511" w:rsidRDefault="00B25511" w:rsidP="00F04018">
            <w:pPr>
              <w:spacing w:line="240" w:lineRule="auto"/>
              <w:jc w:val="left"/>
              <w:rPr>
                <w:rFonts w:cs="Arial"/>
                <w:szCs w:val="22"/>
              </w:rPr>
            </w:pPr>
            <w:r>
              <w:rPr>
                <w:rFonts w:cs="Arial"/>
                <w:szCs w:val="22"/>
              </w:rPr>
              <w:t xml:space="preserve">Apoio Geral </w:t>
            </w:r>
          </w:p>
        </w:tc>
        <w:tc>
          <w:tcPr>
            <w:tcW w:w="2368" w:type="dxa"/>
            <w:gridSpan w:val="2"/>
            <w:shd w:val="clear" w:color="auto" w:fill="FABF8F"/>
            <w:vAlign w:val="center"/>
          </w:tcPr>
          <w:p w:rsidR="00B25511" w:rsidRPr="000A39CD" w:rsidRDefault="00B25511" w:rsidP="00F04018">
            <w:pPr>
              <w:spacing w:line="240" w:lineRule="auto"/>
              <w:jc w:val="left"/>
              <w:rPr>
                <w:rFonts w:cs="Arial"/>
                <w:szCs w:val="22"/>
              </w:rPr>
            </w:pPr>
            <w:r w:rsidRPr="000A39CD">
              <w:rPr>
                <w:rFonts w:cs="Arial"/>
                <w:szCs w:val="22"/>
              </w:rPr>
              <w:t>Marleide</w:t>
            </w:r>
            <w:r>
              <w:rPr>
                <w:rFonts w:cs="Arial"/>
                <w:szCs w:val="22"/>
              </w:rPr>
              <w:t xml:space="preserve"> Ferreira</w:t>
            </w:r>
          </w:p>
        </w:tc>
        <w:tc>
          <w:tcPr>
            <w:tcW w:w="2407" w:type="dxa"/>
            <w:gridSpan w:val="3"/>
            <w:shd w:val="clear" w:color="auto" w:fill="FABF8F"/>
            <w:vAlign w:val="center"/>
          </w:tcPr>
          <w:p w:rsidR="00B25511" w:rsidRPr="000A39CD" w:rsidRDefault="00B25511" w:rsidP="00F04018">
            <w:pPr>
              <w:spacing w:line="240" w:lineRule="auto"/>
              <w:jc w:val="left"/>
              <w:rPr>
                <w:rFonts w:cs="Arial"/>
                <w:szCs w:val="22"/>
              </w:rPr>
            </w:pPr>
            <w:r>
              <w:rPr>
                <w:rFonts w:cs="Arial"/>
                <w:szCs w:val="22"/>
              </w:rPr>
              <w:t>Secretária</w:t>
            </w:r>
          </w:p>
        </w:tc>
        <w:tc>
          <w:tcPr>
            <w:tcW w:w="2605" w:type="dxa"/>
            <w:gridSpan w:val="2"/>
            <w:shd w:val="clear" w:color="auto" w:fill="FABF8F"/>
            <w:vAlign w:val="center"/>
          </w:tcPr>
          <w:p w:rsidR="00B25511" w:rsidRPr="00B907BB" w:rsidRDefault="00B25511" w:rsidP="00F04018">
            <w:pPr>
              <w:spacing w:line="240" w:lineRule="auto"/>
              <w:jc w:val="left"/>
              <w:rPr>
                <w:rFonts w:cs="Arial"/>
                <w:szCs w:val="22"/>
              </w:rPr>
            </w:pPr>
          </w:p>
        </w:tc>
      </w:tr>
    </w:tbl>
    <w:p w:rsidR="002E07FF" w:rsidRDefault="002E07FF" w:rsidP="00B25511">
      <w:pPr>
        <w:autoSpaceDE w:val="0"/>
        <w:autoSpaceDN w:val="0"/>
        <w:adjustRightInd w:val="0"/>
        <w:spacing w:before="120" w:after="120" w:line="240" w:lineRule="auto"/>
        <w:rPr>
          <w:rFonts w:cs="Arial"/>
          <w:szCs w:val="22"/>
        </w:rPr>
      </w:pPr>
    </w:p>
    <w:p w:rsidR="002E07FF" w:rsidRDefault="002E07FF">
      <w:pPr>
        <w:spacing w:line="240" w:lineRule="auto"/>
        <w:jc w:val="left"/>
        <w:rPr>
          <w:rFonts w:cs="Arial"/>
          <w:szCs w:val="22"/>
        </w:rPr>
      </w:pPr>
    </w:p>
    <w:p w:rsidR="007C22CC" w:rsidRDefault="002E07FF" w:rsidP="006E430C">
      <w:pPr>
        <w:autoSpaceDE w:val="0"/>
        <w:autoSpaceDN w:val="0"/>
        <w:adjustRightInd w:val="0"/>
        <w:spacing w:before="120" w:after="120" w:line="240" w:lineRule="auto"/>
        <w:jc w:val="left"/>
        <w:rPr>
          <w:rFonts w:cs="Arial"/>
          <w:b/>
          <w:szCs w:val="22"/>
        </w:rPr>
      </w:pPr>
      <w:r w:rsidRPr="00A703D8">
        <w:rPr>
          <w:rFonts w:cs="Arial"/>
          <w:b/>
          <w:szCs w:val="22"/>
        </w:rPr>
        <w:t>DESENHOS</w:t>
      </w:r>
    </w:p>
    <w:p w:rsidR="006E430C" w:rsidRPr="00A703D8" w:rsidRDefault="006E430C" w:rsidP="006E430C">
      <w:pPr>
        <w:autoSpaceDE w:val="0"/>
        <w:autoSpaceDN w:val="0"/>
        <w:adjustRightInd w:val="0"/>
        <w:spacing w:before="120" w:after="120" w:line="240" w:lineRule="auto"/>
        <w:jc w:val="left"/>
        <w:rPr>
          <w:rFonts w:cs="Arial"/>
          <w:b/>
          <w:szCs w:val="22"/>
        </w:rPr>
      </w:pPr>
    </w:p>
    <w:p w:rsidR="002E07FF" w:rsidRDefault="0079329A" w:rsidP="0079329A">
      <w:pPr>
        <w:autoSpaceDE w:val="0"/>
        <w:autoSpaceDN w:val="0"/>
        <w:adjustRightInd w:val="0"/>
        <w:spacing w:before="120" w:after="120" w:line="240" w:lineRule="auto"/>
        <w:rPr>
          <w:rFonts w:cs="Arial"/>
          <w:szCs w:val="22"/>
        </w:rPr>
      </w:pPr>
      <w:r>
        <w:rPr>
          <w:rFonts w:cs="Arial"/>
          <w:szCs w:val="22"/>
        </w:rPr>
        <w:t>n</w:t>
      </w:r>
      <w:r>
        <w:rPr>
          <w:rFonts w:cs="Arial"/>
          <w:szCs w:val="22"/>
          <w:u w:val="single"/>
          <w:vertAlign w:val="superscript"/>
        </w:rPr>
        <w:t>o</w:t>
      </w:r>
      <w:r>
        <w:rPr>
          <w:rFonts w:cs="Arial"/>
          <w:szCs w:val="22"/>
        </w:rPr>
        <w:t xml:space="preserve"> </w:t>
      </w:r>
      <w:r w:rsidR="004F1C2F">
        <w:rPr>
          <w:rFonts w:cs="Arial"/>
          <w:szCs w:val="22"/>
        </w:rPr>
        <w:t>7188-45-GL-810-DE-00159</w:t>
      </w:r>
      <w:r>
        <w:rPr>
          <w:rFonts w:cs="Arial"/>
          <w:szCs w:val="22"/>
        </w:rPr>
        <w:tab/>
      </w:r>
      <w:r w:rsidR="00A703D8">
        <w:rPr>
          <w:rFonts w:cs="Arial"/>
          <w:szCs w:val="22"/>
        </w:rPr>
        <w:t xml:space="preserve">Estudo de Relocação das Estradas de Terra ADA </w:t>
      </w:r>
      <w:r>
        <w:rPr>
          <w:rFonts w:cs="Arial"/>
          <w:szCs w:val="22"/>
        </w:rPr>
        <w:t>-</w:t>
      </w:r>
      <w:r w:rsidR="00A703D8">
        <w:rPr>
          <w:rFonts w:cs="Arial"/>
          <w:szCs w:val="22"/>
        </w:rPr>
        <w:t xml:space="preserve"> Pedreira</w:t>
      </w:r>
    </w:p>
    <w:p w:rsidR="004F1C2F" w:rsidRDefault="0079329A" w:rsidP="0079329A">
      <w:pPr>
        <w:autoSpaceDE w:val="0"/>
        <w:autoSpaceDN w:val="0"/>
        <w:adjustRightInd w:val="0"/>
        <w:spacing w:before="120" w:after="120" w:line="240" w:lineRule="auto"/>
        <w:ind w:left="3402" w:hanging="3402"/>
        <w:rPr>
          <w:rFonts w:cs="Arial"/>
          <w:szCs w:val="22"/>
        </w:rPr>
      </w:pPr>
      <w:r>
        <w:rPr>
          <w:rFonts w:cs="Arial"/>
          <w:szCs w:val="22"/>
        </w:rPr>
        <w:t>n</w:t>
      </w:r>
      <w:r>
        <w:rPr>
          <w:rFonts w:cs="Arial"/>
          <w:szCs w:val="22"/>
          <w:u w:val="single"/>
          <w:vertAlign w:val="superscript"/>
        </w:rPr>
        <w:t>o</w:t>
      </w:r>
      <w:r>
        <w:rPr>
          <w:rFonts w:cs="Arial"/>
          <w:szCs w:val="22"/>
        </w:rPr>
        <w:t xml:space="preserve"> </w:t>
      </w:r>
      <w:r w:rsidR="004F1C2F">
        <w:rPr>
          <w:rFonts w:cs="Arial"/>
          <w:szCs w:val="22"/>
        </w:rPr>
        <w:t>7188-45-GL-810-DE-00160</w:t>
      </w:r>
      <w:r>
        <w:rPr>
          <w:rFonts w:cs="Arial"/>
          <w:szCs w:val="22"/>
        </w:rPr>
        <w:tab/>
      </w:r>
      <w:r w:rsidR="00A703D8">
        <w:rPr>
          <w:rFonts w:cs="Arial"/>
          <w:szCs w:val="22"/>
        </w:rPr>
        <w:t xml:space="preserve">Estudo de Relocação das Estradas de Terra ADA </w:t>
      </w:r>
      <w:r>
        <w:rPr>
          <w:rFonts w:cs="Arial"/>
          <w:szCs w:val="22"/>
        </w:rPr>
        <w:t>-</w:t>
      </w:r>
      <w:r w:rsidR="00A703D8">
        <w:rPr>
          <w:rFonts w:cs="Arial"/>
          <w:szCs w:val="22"/>
        </w:rPr>
        <w:t xml:space="preserve"> Duas Pontes</w:t>
      </w:r>
    </w:p>
    <w:p w:rsidR="004F1C2F" w:rsidRDefault="0079329A" w:rsidP="0079329A">
      <w:pPr>
        <w:autoSpaceDE w:val="0"/>
        <w:autoSpaceDN w:val="0"/>
        <w:adjustRightInd w:val="0"/>
        <w:spacing w:before="120" w:after="120" w:line="240" w:lineRule="auto"/>
        <w:ind w:left="3402" w:hanging="3402"/>
        <w:rPr>
          <w:rFonts w:cs="Arial"/>
          <w:szCs w:val="22"/>
        </w:rPr>
      </w:pPr>
      <w:r>
        <w:rPr>
          <w:rFonts w:cs="Arial"/>
          <w:szCs w:val="22"/>
        </w:rPr>
        <w:t>n</w:t>
      </w:r>
      <w:r>
        <w:rPr>
          <w:rFonts w:cs="Arial"/>
          <w:szCs w:val="22"/>
          <w:u w:val="single"/>
          <w:vertAlign w:val="superscript"/>
        </w:rPr>
        <w:t>o</w:t>
      </w:r>
      <w:r>
        <w:rPr>
          <w:rFonts w:cs="Arial"/>
          <w:szCs w:val="22"/>
        </w:rPr>
        <w:t xml:space="preserve"> </w:t>
      </w:r>
      <w:r w:rsidR="004F1C2F">
        <w:rPr>
          <w:rFonts w:cs="Arial"/>
          <w:szCs w:val="22"/>
        </w:rPr>
        <w:t>7188-45-GL-810-DE-00161</w:t>
      </w:r>
      <w:r>
        <w:rPr>
          <w:rFonts w:cs="Arial"/>
          <w:szCs w:val="22"/>
        </w:rPr>
        <w:tab/>
      </w:r>
      <w:r w:rsidR="006E430C">
        <w:rPr>
          <w:rFonts w:cs="Arial"/>
          <w:szCs w:val="22"/>
        </w:rPr>
        <w:t xml:space="preserve">Estudo de Implantação e Remanejamento das Redes Elétricas  ADA </w:t>
      </w:r>
      <w:r>
        <w:rPr>
          <w:rFonts w:cs="Arial"/>
          <w:szCs w:val="22"/>
        </w:rPr>
        <w:t>-</w:t>
      </w:r>
      <w:r w:rsidR="006E430C">
        <w:rPr>
          <w:rFonts w:cs="Arial"/>
          <w:szCs w:val="22"/>
        </w:rPr>
        <w:t xml:space="preserve"> Pedreira</w:t>
      </w:r>
    </w:p>
    <w:p w:rsidR="006E430C" w:rsidRPr="00B25511" w:rsidRDefault="0079329A" w:rsidP="0079329A">
      <w:pPr>
        <w:autoSpaceDE w:val="0"/>
        <w:autoSpaceDN w:val="0"/>
        <w:adjustRightInd w:val="0"/>
        <w:spacing w:before="120" w:after="120" w:line="240" w:lineRule="auto"/>
        <w:ind w:left="3402" w:hanging="3402"/>
        <w:rPr>
          <w:rFonts w:cs="Arial"/>
          <w:szCs w:val="22"/>
        </w:rPr>
      </w:pPr>
      <w:r>
        <w:rPr>
          <w:rFonts w:cs="Arial"/>
          <w:szCs w:val="22"/>
        </w:rPr>
        <w:t>n</w:t>
      </w:r>
      <w:r>
        <w:rPr>
          <w:rFonts w:cs="Arial"/>
          <w:szCs w:val="22"/>
          <w:u w:val="single"/>
          <w:vertAlign w:val="superscript"/>
        </w:rPr>
        <w:t>o</w:t>
      </w:r>
      <w:r>
        <w:rPr>
          <w:rFonts w:cs="Arial"/>
          <w:szCs w:val="22"/>
        </w:rPr>
        <w:t xml:space="preserve"> </w:t>
      </w:r>
      <w:r w:rsidR="004F1C2F">
        <w:rPr>
          <w:rFonts w:cs="Arial"/>
          <w:szCs w:val="22"/>
        </w:rPr>
        <w:t>7188-45-GL-810-DE-00162</w:t>
      </w:r>
      <w:r>
        <w:rPr>
          <w:rFonts w:cs="Arial"/>
          <w:szCs w:val="22"/>
        </w:rPr>
        <w:tab/>
      </w:r>
      <w:r w:rsidR="006E430C">
        <w:rPr>
          <w:rFonts w:cs="Arial"/>
          <w:szCs w:val="22"/>
        </w:rPr>
        <w:t xml:space="preserve">Estudo de Implantação e Remanejamento das Redes Elétricas ADA </w:t>
      </w:r>
      <w:r>
        <w:rPr>
          <w:rFonts w:cs="Arial"/>
          <w:szCs w:val="22"/>
        </w:rPr>
        <w:t>-</w:t>
      </w:r>
      <w:r w:rsidR="006E430C">
        <w:rPr>
          <w:rFonts w:cs="Arial"/>
          <w:szCs w:val="22"/>
        </w:rPr>
        <w:t xml:space="preserve"> Duas Pontes</w:t>
      </w:r>
    </w:p>
    <w:p w:rsidR="00A703D8" w:rsidRDefault="0079329A" w:rsidP="0079329A">
      <w:pPr>
        <w:autoSpaceDE w:val="0"/>
        <w:autoSpaceDN w:val="0"/>
        <w:adjustRightInd w:val="0"/>
        <w:spacing w:before="120" w:after="120" w:line="240" w:lineRule="auto"/>
        <w:rPr>
          <w:rFonts w:cs="Arial"/>
          <w:szCs w:val="22"/>
        </w:rPr>
      </w:pPr>
      <w:r>
        <w:rPr>
          <w:rFonts w:cs="Arial"/>
          <w:szCs w:val="22"/>
        </w:rPr>
        <w:t>n</w:t>
      </w:r>
      <w:r>
        <w:rPr>
          <w:rFonts w:cs="Arial"/>
          <w:szCs w:val="22"/>
          <w:u w:val="single"/>
          <w:vertAlign w:val="superscript"/>
        </w:rPr>
        <w:t>o</w:t>
      </w:r>
      <w:r>
        <w:rPr>
          <w:rFonts w:cs="Arial"/>
          <w:szCs w:val="22"/>
        </w:rPr>
        <w:t xml:space="preserve"> </w:t>
      </w:r>
      <w:r w:rsidR="00A703D8">
        <w:rPr>
          <w:rFonts w:cs="Arial"/>
          <w:szCs w:val="22"/>
        </w:rPr>
        <w:t>7188-46-GL-8</w:t>
      </w:r>
      <w:r w:rsidR="006E430C">
        <w:rPr>
          <w:rFonts w:cs="Arial"/>
          <w:szCs w:val="22"/>
        </w:rPr>
        <w:t>3</w:t>
      </w:r>
      <w:r w:rsidR="00A703D8">
        <w:rPr>
          <w:rFonts w:cs="Arial"/>
          <w:szCs w:val="22"/>
        </w:rPr>
        <w:t>0-DE-00</w:t>
      </w:r>
      <w:r w:rsidR="006E430C">
        <w:rPr>
          <w:rFonts w:cs="Arial"/>
          <w:szCs w:val="22"/>
        </w:rPr>
        <w:t>341</w:t>
      </w:r>
      <w:r>
        <w:rPr>
          <w:rFonts w:cs="Arial"/>
          <w:szCs w:val="22"/>
        </w:rPr>
        <w:tab/>
      </w:r>
      <w:r w:rsidR="006E430C">
        <w:rPr>
          <w:rFonts w:cs="Arial"/>
          <w:szCs w:val="22"/>
        </w:rPr>
        <w:t>Acesso as Barragens</w:t>
      </w:r>
    </w:p>
    <w:p w:rsidR="00A703D8" w:rsidRPr="00B25511" w:rsidRDefault="00A703D8" w:rsidP="0079329A">
      <w:pPr>
        <w:autoSpaceDE w:val="0"/>
        <w:autoSpaceDN w:val="0"/>
        <w:adjustRightInd w:val="0"/>
        <w:spacing w:before="120" w:after="120" w:line="240" w:lineRule="auto"/>
        <w:rPr>
          <w:rFonts w:cs="Arial"/>
          <w:szCs w:val="22"/>
        </w:rPr>
      </w:pPr>
    </w:p>
    <w:p w:rsidR="004F1C2F" w:rsidRPr="00B25511" w:rsidRDefault="004F1C2F" w:rsidP="00B25511">
      <w:pPr>
        <w:autoSpaceDE w:val="0"/>
        <w:autoSpaceDN w:val="0"/>
        <w:adjustRightInd w:val="0"/>
        <w:spacing w:before="120" w:after="120" w:line="240" w:lineRule="auto"/>
        <w:rPr>
          <w:rFonts w:cs="Arial"/>
          <w:szCs w:val="22"/>
        </w:rPr>
      </w:pPr>
    </w:p>
    <w:sectPr w:rsidR="004F1C2F" w:rsidRPr="00B25511" w:rsidSect="008204B6">
      <w:headerReference w:type="default" r:id="rId55"/>
      <w:footerReference w:type="default" r:id="rId56"/>
      <w:pgSz w:w="11907" w:h="16840" w:code="9"/>
      <w:pgMar w:top="1701" w:right="851" w:bottom="1134" w:left="1701" w:header="567" w:footer="567"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4387" w:rsidRDefault="00D84387">
      <w:r>
        <w:separator/>
      </w:r>
    </w:p>
  </w:endnote>
  <w:endnote w:type="continuationSeparator" w:id="0">
    <w:p w:rsidR="00D84387" w:rsidRDefault="00D843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Negrito">
    <w:panose1 w:val="00000000000000000000"/>
    <w:charset w:val="00"/>
    <w:family w:val="roman"/>
    <w:notTrueType/>
    <w:pitch w:val="default"/>
    <w:sig w:usb0="00000003" w:usb1="00000000" w:usb2="00000000" w:usb3="00000000" w:csb0="00000001" w:csb1="00000000"/>
  </w:font>
  <w:font w:name="Arial Negrito">
    <w:panose1 w:val="00000000000000000000"/>
    <w:charset w:val="00"/>
    <w:family w:val="roman"/>
    <w:notTrueType/>
    <w:pitch w:val="default"/>
  </w:font>
  <w:font w:name="ZapfHumnst Dm BT">
    <w:charset w:val="00"/>
    <w:family w:val="swiss"/>
    <w:pitch w:val="variable"/>
    <w:sig w:usb0="00000087" w:usb1="00000000" w:usb2="00000000" w:usb3="00000000" w:csb0="0000001B"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ZapfHumnst BT">
    <w:altName w:val="Segoe UI"/>
    <w:charset w:val="00"/>
    <w:family w:val="swiss"/>
    <w:pitch w:val="variable"/>
    <w:sig w:usb0="00000001" w:usb1="00000000" w:usb2="00000000" w:usb3="00000000" w:csb0="0000001B" w:csb1="00000000"/>
  </w:font>
  <w:font w:name="MS Gothic">
    <w:altName w:val="ＭＳ ゴシック"/>
    <w:panose1 w:val="020B0609070205080204"/>
    <w:charset w:val="80"/>
    <w:family w:val="modern"/>
    <w:pitch w:val="fixed"/>
    <w:sig w:usb0="E00002FF" w:usb1="6AC7FDFB" w:usb2="08000012" w:usb3="00000000" w:csb0="0002009F" w:csb1="00000000"/>
  </w:font>
  <w:font w:name="Trebuchet MS">
    <w:panose1 w:val="020B0603020202020204"/>
    <w:charset w:val="00"/>
    <w:family w:val="swiss"/>
    <w:pitch w:val="variable"/>
    <w:sig w:usb0="00000287" w:usb1="00000003" w:usb2="00000000" w:usb3="00000000" w:csb0="0000009F" w:csb1="00000000"/>
  </w:font>
  <w:font w:name="Lucida Grande">
    <w:altName w:val="Arial"/>
    <w:charset w:val="00"/>
    <w:family w:val="auto"/>
    <w:pitch w:val="variable"/>
    <w:sig w:usb0="E1000AEF" w:usb1="5000A1FF" w:usb2="00000000" w:usb3="00000000" w:csb0="000001BF" w:csb1="00000000"/>
  </w:font>
  <w:font w:name="Times">
    <w:panose1 w:val="02020603050405020304"/>
    <w:charset w:val="00"/>
    <w:family w:val="roman"/>
    <w:pitch w:val="variable"/>
    <w:sig w:usb0="E0002EFF" w:usb1="C0007843" w:usb2="00000009" w:usb3="00000000" w:csb0="000001FF" w:csb1="00000000"/>
  </w:font>
  <w:font w:name="MHPPGA+Arial,Bold">
    <w:altName w:val="Arial"/>
    <w:panose1 w:val="00000000000000000000"/>
    <w:charset w:val="00"/>
    <w:family w:val="swiss"/>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Frutiger 45 Light">
    <w:altName w:val="Frutiger"/>
    <w:panose1 w:val="00000000000000000000"/>
    <w:charset w:val="00"/>
    <w:family w:val="swiss"/>
    <w:notTrueType/>
    <w:pitch w:val="default"/>
    <w:sig w:usb0="00000003" w:usb1="00000000" w:usb2="00000000" w:usb3="00000000" w:csb0="00000001" w:csb1="00000000"/>
  </w:font>
  <w:font w:name="Frutiger-Cn">
    <w:altName w:val="Frutiger-Cn"/>
    <w:panose1 w:val="00000000000000000000"/>
    <w:charset w:val="00"/>
    <w:family w:val="swiss"/>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 w:name="Arial Black">
    <w:panose1 w:val="020B0A04020102020204"/>
    <w:charset w:val="00"/>
    <w:family w:val="swiss"/>
    <w:pitch w:val="variable"/>
    <w:sig w:usb0="A00002AF" w:usb1="400078FB" w:usb2="00000000" w:usb3="00000000" w:csb0="0000009F" w:csb1="00000000"/>
  </w:font>
  <w:font w:name="Helvetica-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Default="004258E8">
    <w:pPr>
      <w:pStyle w:val="Rodap"/>
      <w:tabs>
        <w:tab w:val="clear" w:pos="4419"/>
        <w:tab w:val="clear" w:pos="8838"/>
      </w:tabs>
      <w:spacing w:line="240"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Default="004258E8" w:rsidP="00620011">
    <w:pPr>
      <w:pStyle w:val="Rodap"/>
      <w:spacing w:before="120"/>
      <w:jc w:val="center"/>
    </w:pPr>
    <w:r>
      <w:rPr>
        <w:noProof/>
      </w:rPr>
      <w:drawing>
        <wp:anchor distT="0" distB="0" distL="114300" distR="114300" simplePos="0" relativeHeight="251524096" behindDoc="0" locked="0" layoutInCell="1" allowOverlap="1" wp14:anchorId="40786709" wp14:editId="66159C02">
          <wp:simplePos x="0" y="0"/>
          <wp:positionH relativeFrom="margin">
            <wp:posOffset>45085</wp:posOffset>
          </wp:positionH>
          <wp:positionV relativeFrom="margin">
            <wp:posOffset>9013825</wp:posOffset>
          </wp:positionV>
          <wp:extent cx="1505585" cy="449580"/>
          <wp:effectExtent l="0" t="0" r="0" b="7620"/>
          <wp:wrapSquare wrapText="bothSides"/>
          <wp:docPr id="17"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1"/>
                  <a:srcRect/>
                  <a:stretch>
                    <a:fillRect/>
                  </a:stretch>
                </pic:blipFill>
                <pic:spPr bwMode="auto">
                  <a:xfrm>
                    <a:off x="0" y="0"/>
                    <a:ext cx="1505585" cy="449580"/>
                  </a:xfrm>
                  <a:prstGeom prst="rect">
                    <a:avLst/>
                  </a:prstGeom>
                  <a:noFill/>
                  <a:ln w="9525">
                    <a:noFill/>
                    <a:miter lim="800000"/>
                    <a:headEnd/>
                    <a:tailEnd/>
                  </a:ln>
                </pic:spPr>
              </pic:pic>
            </a:graphicData>
          </a:graphic>
        </wp:anchor>
      </w:drawing>
    </w:r>
    <w:r>
      <w:rPr>
        <w:noProof/>
      </w:rPr>
      <w:drawing>
        <wp:anchor distT="0" distB="0" distL="114300" distR="114300" simplePos="0" relativeHeight="251528192" behindDoc="0" locked="0" layoutInCell="1" allowOverlap="1" wp14:anchorId="660EED76" wp14:editId="65B8C7EB">
          <wp:simplePos x="0" y="0"/>
          <wp:positionH relativeFrom="margin">
            <wp:posOffset>4368165</wp:posOffset>
          </wp:positionH>
          <wp:positionV relativeFrom="margin">
            <wp:posOffset>9055735</wp:posOffset>
          </wp:positionV>
          <wp:extent cx="1536700" cy="243205"/>
          <wp:effectExtent l="0" t="0" r="6350" b="4445"/>
          <wp:wrapSquare wrapText="bothSides"/>
          <wp:docPr id="22" name="Imagem 10"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escrição: the-azul"/>
                  <pic:cNvPicPr>
                    <a:picLocks noChangeAspect="1" noChangeArrowheads="1"/>
                  </pic:cNvPicPr>
                </pic:nvPicPr>
                <pic:blipFill>
                  <a:blip r:embed="rId2"/>
                  <a:srcRect/>
                  <a:stretch>
                    <a:fillRect/>
                  </a:stretch>
                </pic:blipFill>
                <pic:spPr bwMode="auto">
                  <a:xfrm>
                    <a:off x="0" y="0"/>
                    <a:ext cx="1536700" cy="243205"/>
                  </a:xfrm>
                  <a:prstGeom prst="rect">
                    <a:avLst/>
                  </a:prstGeom>
                  <a:noFill/>
                  <a:ln w="9525">
                    <a:noFill/>
                    <a:miter lim="800000"/>
                    <a:headEnd/>
                    <a:tailEnd/>
                  </a:ln>
                </pic:spPr>
              </pic:pic>
            </a:graphicData>
          </a:graphic>
        </wp:anchor>
      </w:drawing>
    </w:r>
    <w:r>
      <w:rPr>
        <w:noProof/>
      </w:rPr>
      <w:drawing>
        <wp:anchor distT="0" distB="0" distL="114300" distR="114300" simplePos="0" relativeHeight="251511808" behindDoc="0" locked="0" layoutInCell="1" allowOverlap="1" wp14:anchorId="7CDA6C77" wp14:editId="62801939">
          <wp:simplePos x="0" y="0"/>
          <wp:positionH relativeFrom="margin">
            <wp:posOffset>8028305</wp:posOffset>
          </wp:positionH>
          <wp:positionV relativeFrom="margin">
            <wp:posOffset>13116560</wp:posOffset>
          </wp:positionV>
          <wp:extent cx="1343025" cy="209550"/>
          <wp:effectExtent l="19050" t="0" r="9525" b="0"/>
          <wp:wrapSquare wrapText="bothSides"/>
          <wp:docPr id="23" name="Imagem 15"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descr="Descrição: the-azul"/>
                  <pic:cNvPicPr>
                    <a:picLocks noChangeAspect="1" noChangeArrowheads="1"/>
                  </pic:cNvPicPr>
                </pic:nvPicPr>
                <pic:blipFill>
                  <a:blip r:embed="rId3"/>
                  <a:srcRect/>
                  <a:stretch>
                    <a:fillRect/>
                  </a:stretch>
                </pic:blipFill>
                <pic:spPr bwMode="auto">
                  <a:xfrm>
                    <a:off x="0" y="0"/>
                    <a:ext cx="1343025" cy="209550"/>
                  </a:xfrm>
                  <a:prstGeom prst="rect">
                    <a:avLst/>
                  </a:prstGeom>
                  <a:noFill/>
                  <a:ln w="9525">
                    <a:noFill/>
                    <a:miter lim="800000"/>
                    <a:headEnd/>
                    <a:tailEnd/>
                  </a:ln>
                </pic:spPr>
              </pic:pic>
            </a:graphicData>
          </a:graphic>
        </wp:anchor>
      </w:drawing>
    </w:r>
    <w:r>
      <w:rPr>
        <w:noProof/>
      </w:rPr>
      <w:drawing>
        <wp:anchor distT="0" distB="0" distL="114300" distR="114300" simplePos="0" relativeHeight="251507712" behindDoc="0" locked="0" layoutInCell="1" allowOverlap="1" wp14:anchorId="6754939E" wp14:editId="32B01487">
          <wp:simplePos x="0" y="0"/>
          <wp:positionH relativeFrom="margin">
            <wp:posOffset>-876300</wp:posOffset>
          </wp:positionH>
          <wp:positionV relativeFrom="margin">
            <wp:posOffset>13116560</wp:posOffset>
          </wp:positionV>
          <wp:extent cx="1318260" cy="393700"/>
          <wp:effectExtent l="19050" t="0" r="0" b="0"/>
          <wp:wrapSquare wrapText="bothSides"/>
          <wp:docPr id="24"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1"/>
                  <a:srcRect/>
                  <a:stretch>
                    <a:fillRect/>
                  </a:stretch>
                </pic:blipFill>
                <pic:spPr bwMode="auto">
                  <a:xfrm>
                    <a:off x="0" y="0"/>
                    <a:ext cx="1318260" cy="393700"/>
                  </a:xfrm>
                  <a:prstGeom prst="rect">
                    <a:avLst/>
                  </a:prstGeom>
                  <a:noFill/>
                  <a:ln w="9525">
                    <a:noFill/>
                    <a:miter lim="800000"/>
                    <a:headEnd/>
                    <a:tailEnd/>
                  </a:ln>
                </pic:spPr>
              </pic:pic>
            </a:graphicData>
          </a:graphic>
        </wp:anchor>
      </w:drawing>
    </w:r>
    <w:r>
      <w:rPr>
        <w:noProof/>
      </w:rPr>
      <mc:AlternateContent>
        <mc:Choice Requires="wps">
          <w:drawing>
            <wp:anchor distT="4294967293" distB="4294967293" distL="114300" distR="114300" simplePos="0" relativeHeight="251637248" behindDoc="0" locked="0" layoutInCell="0" allowOverlap="1" wp14:anchorId="281049C0" wp14:editId="13EA01E6">
              <wp:simplePos x="0" y="0"/>
              <wp:positionH relativeFrom="column">
                <wp:posOffset>-13970</wp:posOffset>
              </wp:positionH>
              <wp:positionV relativeFrom="paragraph">
                <wp:posOffset>15239</wp:posOffset>
              </wp:positionV>
              <wp:extent cx="5979795" cy="0"/>
              <wp:effectExtent l="0" t="0" r="20955" b="19050"/>
              <wp:wrapNone/>
              <wp:docPr id="20"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979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63724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1pt,1.2pt" to="469.7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" o:allowincell="f"/>
          </w:pict>
        </mc:Fallback>
      </mc:AlternateContent>
    </w:r>
    <w:r>
      <w:fldChar w:fldCharType="begin"/>
    </w:r>
    <w:r>
      <w:instrText>PAGE   \* MERGEFORMAT</w:instrText>
    </w:r>
    <w:r>
      <w:fldChar w:fldCharType="separate"/>
    </w:r>
    <w:r w:rsidR="00316060">
      <w:rPr>
        <w:noProof/>
      </w:rPr>
      <w:t>x</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Default="004258E8" w:rsidP="00620011">
    <w:pPr>
      <w:pStyle w:val="Rodap"/>
      <w:spacing w:before="120"/>
      <w:jc w:val="center"/>
    </w:pPr>
    <w:r>
      <w:rPr>
        <w:noProof/>
      </w:rPr>
      <w:drawing>
        <wp:anchor distT="0" distB="0" distL="114300" distR="114300" simplePos="0" relativeHeight="251626496" behindDoc="0" locked="0" layoutInCell="1" allowOverlap="1" wp14:anchorId="76960765" wp14:editId="74A692FE">
          <wp:simplePos x="0" y="0"/>
          <wp:positionH relativeFrom="margin">
            <wp:posOffset>45085</wp:posOffset>
          </wp:positionH>
          <wp:positionV relativeFrom="margin">
            <wp:posOffset>8975725</wp:posOffset>
          </wp:positionV>
          <wp:extent cx="1505585" cy="449580"/>
          <wp:effectExtent l="0" t="0" r="0" b="7620"/>
          <wp:wrapSquare wrapText="bothSides"/>
          <wp:docPr id="225"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1"/>
                  <a:srcRect/>
                  <a:stretch>
                    <a:fillRect/>
                  </a:stretch>
                </pic:blipFill>
                <pic:spPr bwMode="auto">
                  <a:xfrm>
                    <a:off x="0" y="0"/>
                    <a:ext cx="1505585" cy="449580"/>
                  </a:xfrm>
                  <a:prstGeom prst="rect">
                    <a:avLst/>
                  </a:prstGeom>
                  <a:noFill/>
                  <a:ln w="9525">
                    <a:noFill/>
                    <a:miter lim="800000"/>
                    <a:headEnd/>
                    <a:tailEnd/>
                  </a:ln>
                </pic:spPr>
              </pic:pic>
            </a:graphicData>
          </a:graphic>
        </wp:anchor>
      </w:drawing>
    </w:r>
    <w:r>
      <w:rPr>
        <w:noProof/>
      </w:rPr>
      <w:drawing>
        <wp:anchor distT="0" distB="0" distL="114300" distR="114300" simplePos="0" relativeHeight="251630592" behindDoc="0" locked="0" layoutInCell="1" allowOverlap="1" wp14:anchorId="35620A4B" wp14:editId="0D31A801">
          <wp:simplePos x="0" y="0"/>
          <wp:positionH relativeFrom="margin">
            <wp:posOffset>4291965</wp:posOffset>
          </wp:positionH>
          <wp:positionV relativeFrom="margin">
            <wp:posOffset>9008110</wp:posOffset>
          </wp:positionV>
          <wp:extent cx="1536700" cy="243205"/>
          <wp:effectExtent l="0" t="0" r="6350" b="4445"/>
          <wp:wrapSquare wrapText="bothSides"/>
          <wp:docPr id="227" name="Imagem 10"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escrição: the-azul"/>
                  <pic:cNvPicPr>
                    <a:picLocks noChangeAspect="1" noChangeArrowheads="1"/>
                  </pic:cNvPicPr>
                </pic:nvPicPr>
                <pic:blipFill>
                  <a:blip r:embed="rId2"/>
                  <a:srcRect/>
                  <a:stretch>
                    <a:fillRect/>
                  </a:stretch>
                </pic:blipFill>
                <pic:spPr bwMode="auto">
                  <a:xfrm>
                    <a:off x="0" y="0"/>
                    <a:ext cx="1536700" cy="243205"/>
                  </a:xfrm>
                  <a:prstGeom prst="rect">
                    <a:avLst/>
                  </a:prstGeom>
                  <a:noFill/>
                  <a:ln w="9525">
                    <a:noFill/>
                    <a:miter lim="800000"/>
                    <a:headEnd/>
                    <a:tailEnd/>
                  </a:ln>
                </pic:spPr>
              </pic:pic>
            </a:graphicData>
          </a:graphic>
        </wp:anchor>
      </w:drawing>
    </w:r>
    <w:r>
      <w:rPr>
        <w:noProof/>
      </w:rPr>
      <w:drawing>
        <wp:anchor distT="0" distB="0" distL="114300" distR="114300" simplePos="0" relativeHeight="251622400" behindDoc="0" locked="0" layoutInCell="1" allowOverlap="1" wp14:anchorId="4506F026" wp14:editId="3637CE14">
          <wp:simplePos x="0" y="0"/>
          <wp:positionH relativeFrom="margin">
            <wp:posOffset>8028305</wp:posOffset>
          </wp:positionH>
          <wp:positionV relativeFrom="margin">
            <wp:posOffset>13116560</wp:posOffset>
          </wp:positionV>
          <wp:extent cx="1343025" cy="209550"/>
          <wp:effectExtent l="19050" t="0" r="9525" b="0"/>
          <wp:wrapSquare wrapText="bothSides"/>
          <wp:docPr id="228" name="Imagem 15"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descr="Descrição: the-azul"/>
                  <pic:cNvPicPr>
                    <a:picLocks noChangeAspect="1" noChangeArrowheads="1"/>
                  </pic:cNvPicPr>
                </pic:nvPicPr>
                <pic:blipFill>
                  <a:blip r:embed="rId3"/>
                  <a:srcRect/>
                  <a:stretch>
                    <a:fillRect/>
                  </a:stretch>
                </pic:blipFill>
                <pic:spPr bwMode="auto">
                  <a:xfrm>
                    <a:off x="0" y="0"/>
                    <a:ext cx="1343025" cy="209550"/>
                  </a:xfrm>
                  <a:prstGeom prst="rect">
                    <a:avLst/>
                  </a:prstGeom>
                  <a:noFill/>
                  <a:ln w="9525">
                    <a:noFill/>
                    <a:miter lim="800000"/>
                    <a:headEnd/>
                    <a:tailEnd/>
                  </a:ln>
                </pic:spPr>
              </pic:pic>
            </a:graphicData>
          </a:graphic>
        </wp:anchor>
      </w:drawing>
    </w:r>
    <w:r>
      <w:rPr>
        <w:noProof/>
      </w:rPr>
      <w:drawing>
        <wp:anchor distT="0" distB="0" distL="114300" distR="114300" simplePos="0" relativeHeight="251618304" behindDoc="0" locked="0" layoutInCell="1" allowOverlap="1" wp14:anchorId="15E99ACD" wp14:editId="3DE47387">
          <wp:simplePos x="0" y="0"/>
          <wp:positionH relativeFrom="margin">
            <wp:posOffset>-876300</wp:posOffset>
          </wp:positionH>
          <wp:positionV relativeFrom="margin">
            <wp:posOffset>13116560</wp:posOffset>
          </wp:positionV>
          <wp:extent cx="1318260" cy="393700"/>
          <wp:effectExtent l="19050" t="0" r="0" b="0"/>
          <wp:wrapSquare wrapText="bothSides"/>
          <wp:docPr id="229"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1"/>
                  <a:srcRect/>
                  <a:stretch>
                    <a:fillRect/>
                  </a:stretch>
                </pic:blipFill>
                <pic:spPr bwMode="auto">
                  <a:xfrm>
                    <a:off x="0" y="0"/>
                    <a:ext cx="1318260" cy="393700"/>
                  </a:xfrm>
                  <a:prstGeom prst="rect">
                    <a:avLst/>
                  </a:prstGeom>
                  <a:noFill/>
                  <a:ln w="9525">
                    <a:noFill/>
                    <a:miter lim="800000"/>
                    <a:headEnd/>
                    <a:tailEnd/>
                  </a:ln>
                </pic:spPr>
              </pic:pic>
            </a:graphicData>
          </a:graphic>
        </wp:anchor>
      </w:drawing>
    </w:r>
    <w:r>
      <w:rPr>
        <w:noProof/>
      </w:rPr>
      <mc:AlternateContent>
        <mc:Choice Requires="wps">
          <w:drawing>
            <wp:anchor distT="4294967293" distB="4294967293" distL="114300" distR="114300" simplePos="0" relativeHeight="251688448" behindDoc="0" locked="0" layoutInCell="0" allowOverlap="1" wp14:anchorId="0030DFB5" wp14:editId="6E02D82D">
              <wp:simplePos x="0" y="0"/>
              <wp:positionH relativeFrom="column">
                <wp:posOffset>-13970</wp:posOffset>
              </wp:positionH>
              <wp:positionV relativeFrom="paragraph">
                <wp:posOffset>15239</wp:posOffset>
              </wp:positionV>
              <wp:extent cx="5979795" cy="0"/>
              <wp:effectExtent l="0" t="0" r="20955" b="19050"/>
              <wp:wrapNone/>
              <wp:docPr id="21"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979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68844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1pt,1.2pt" to="469.7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" o:allowincell="f"/>
          </w:pict>
        </mc:Fallback>
      </mc:AlternateContent>
    </w:r>
    <w:r>
      <w:fldChar w:fldCharType="begin"/>
    </w:r>
    <w:r>
      <w:instrText>PAGE   \* MERGEFORMAT</w:instrText>
    </w:r>
    <w:r>
      <w:fldChar w:fldCharType="separate"/>
    </w:r>
    <w:r w:rsidR="00316060">
      <w:rPr>
        <w:noProof/>
      </w:rPr>
      <w:t>9</w:t>
    </w:r>
    <w:r>
      <w:rPr>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Default="004258E8" w:rsidP="00620011">
    <w:pPr>
      <w:pStyle w:val="Rodap"/>
      <w:spacing w:before="120"/>
      <w:jc w:val="center"/>
    </w:pPr>
    <w:r>
      <w:rPr>
        <w:noProof/>
      </w:rPr>
      <w:drawing>
        <wp:anchor distT="0" distB="0" distL="114300" distR="114300" simplePos="0" relativeHeight="251606016" behindDoc="0" locked="0" layoutInCell="1" allowOverlap="1" wp14:anchorId="2451D9E3" wp14:editId="7320A8F6">
          <wp:simplePos x="0" y="0"/>
          <wp:positionH relativeFrom="margin">
            <wp:posOffset>41275</wp:posOffset>
          </wp:positionH>
          <wp:positionV relativeFrom="margin">
            <wp:posOffset>8616315</wp:posOffset>
          </wp:positionV>
          <wp:extent cx="1667510" cy="497840"/>
          <wp:effectExtent l="0" t="0" r="8890" b="0"/>
          <wp:wrapSquare wrapText="bothSides"/>
          <wp:docPr id="233"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1"/>
                  <a:srcRect/>
                  <a:stretch>
                    <a:fillRect/>
                  </a:stretch>
                </pic:blipFill>
                <pic:spPr bwMode="auto">
                  <a:xfrm>
                    <a:off x="0" y="0"/>
                    <a:ext cx="1667510" cy="497840"/>
                  </a:xfrm>
                  <a:prstGeom prst="rect">
                    <a:avLst/>
                  </a:prstGeom>
                  <a:noFill/>
                  <a:ln w="9525">
                    <a:noFill/>
                    <a:miter lim="800000"/>
                    <a:headEnd/>
                    <a:tailEnd/>
                  </a:ln>
                </pic:spPr>
              </pic:pic>
            </a:graphicData>
          </a:graphic>
        </wp:anchor>
      </w:drawing>
    </w:r>
    <w:r>
      <w:rPr>
        <w:noProof/>
      </w:rPr>
      <mc:AlternateContent>
        <mc:Choice Requires="wps">
          <w:drawing>
            <wp:anchor distT="4294967293" distB="4294967293" distL="114300" distR="114300" simplePos="0" relativeHeight="251681280" behindDoc="0" locked="0" layoutInCell="0" allowOverlap="1" wp14:anchorId="46FEDADB" wp14:editId="3A1ED635">
              <wp:simplePos x="0" y="0"/>
              <wp:positionH relativeFrom="column">
                <wp:posOffset>-13335</wp:posOffset>
              </wp:positionH>
              <wp:positionV relativeFrom="paragraph">
                <wp:posOffset>15874</wp:posOffset>
              </wp:positionV>
              <wp:extent cx="13487400" cy="0"/>
              <wp:effectExtent l="0" t="0" r="19050" b="19050"/>
              <wp:wrapNone/>
              <wp:docPr id="19"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487400"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68128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05pt,1.25pt" to="1060.9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" o:allowincell="f"/>
          </w:pict>
        </mc:Fallback>
      </mc:AlternateContent>
    </w:r>
    <w:r>
      <w:rPr>
        <w:noProof/>
      </w:rPr>
      <w:drawing>
        <wp:anchor distT="0" distB="0" distL="114300" distR="114300" simplePos="0" relativeHeight="251610112" behindDoc="0" locked="0" layoutInCell="1" allowOverlap="1" wp14:anchorId="4C0C7024" wp14:editId="1436FA76">
          <wp:simplePos x="0" y="0"/>
          <wp:positionH relativeFrom="margin">
            <wp:posOffset>11751945</wp:posOffset>
          </wp:positionH>
          <wp:positionV relativeFrom="margin">
            <wp:posOffset>8617585</wp:posOffset>
          </wp:positionV>
          <wp:extent cx="1601470" cy="253365"/>
          <wp:effectExtent l="0" t="0" r="0" b="0"/>
          <wp:wrapSquare wrapText="bothSides"/>
          <wp:docPr id="234" name="Imagem 10"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escrição: the-azul"/>
                  <pic:cNvPicPr>
                    <a:picLocks noChangeAspect="1" noChangeArrowheads="1"/>
                  </pic:cNvPicPr>
                </pic:nvPicPr>
                <pic:blipFill>
                  <a:blip r:embed="rId2"/>
                  <a:srcRect/>
                  <a:stretch>
                    <a:fillRect/>
                  </a:stretch>
                </pic:blipFill>
                <pic:spPr bwMode="auto">
                  <a:xfrm>
                    <a:off x="0" y="0"/>
                    <a:ext cx="1601470" cy="253365"/>
                  </a:xfrm>
                  <a:prstGeom prst="rect">
                    <a:avLst/>
                  </a:prstGeom>
                  <a:noFill/>
                  <a:ln w="9525">
                    <a:noFill/>
                    <a:miter lim="800000"/>
                    <a:headEnd/>
                    <a:tailEnd/>
                  </a:ln>
                </pic:spPr>
              </pic:pic>
            </a:graphicData>
          </a:graphic>
        </wp:anchor>
      </w:drawing>
    </w:r>
    <w:r>
      <w:rPr>
        <w:noProof/>
      </w:rPr>
      <w:drawing>
        <wp:anchor distT="0" distB="0" distL="114300" distR="114300" simplePos="0" relativeHeight="251601920" behindDoc="0" locked="0" layoutInCell="1" allowOverlap="1" wp14:anchorId="1C332B21" wp14:editId="720A558C">
          <wp:simplePos x="0" y="0"/>
          <wp:positionH relativeFrom="margin">
            <wp:posOffset>8028305</wp:posOffset>
          </wp:positionH>
          <wp:positionV relativeFrom="margin">
            <wp:posOffset>13116560</wp:posOffset>
          </wp:positionV>
          <wp:extent cx="1343025" cy="209550"/>
          <wp:effectExtent l="19050" t="0" r="9525" b="0"/>
          <wp:wrapSquare wrapText="bothSides"/>
          <wp:docPr id="235" name="Imagem 15"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descr="Descrição: the-azul"/>
                  <pic:cNvPicPr>
                    <a:picLocks noChangeAspect="1" noChangeArrowheads="1"/>
                  </pic:cNvPicPr>
                </pic:nvPicPr>
                <pic:blipFill>
                  <a:blip r:embed="rId3"/>
                  <a:srcRect/>
                  <a:stretch>
                    <a:fillRect/>
                  </a:stretch>
                </pic:blipFill>
                <pic:spPr bwMode="auto">
                  <a:xfrm>
                    <a:off x="0" y="0"/>
                    <a:ext cx="1343025" cy="209550"/>
                  </a:xfrm>
                  <a:prstGeom prst="rect">
                    <a:avLst/>
                  </a:prstGeom>
                  <a:noFill/>
                  <a:ln w="9525">
                    <a:noFill/>
                    <a:miter lim="800000"/>
                    <a:headEnd/>
                    <a:tailEnd/>
                  </a:ln>
                </pic:spPr>
              </pic:pic>
            </a:graphicData>
          </a:graphic>
        </wp:anchor>
      </w:drawing>
    </w:r>
    <w:r>
      <w:rPr>
        <w:noProof/>
      </w:rPr>
      <w:drawing>
        <wp:anchor distT="0" distB="0" distL="114300" distR="114300" simplePos="0" relativeHeight="251597824" behindDoc="0" locked="0" layoutInCell="1" allowOverlap="1" wp14:anchorId="1180BD6B" wp14:editId="12EF7862">
          <wp:simplePos x="0" y="0"/>
          <wp:positionH relativeFrom="margin">
            <wp:posOffset>-876300</wp:posOffset>
          </wp:positionH>
          <wp:positionV relativeFrom="margin">
            <wp:posOffset>13116560</wp:posOffset>
          </wp:positionV>
          <wp:extent cx="1318260" cy="393700"/>
          <wp:effectExtent l="19050" t="0" r="0" b="0"/>
          <wp:wrapSquare wrapText="bothSides"/>
          <wp:docPr id="236"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1"/>
                  <a:srcRect/>
                  <a:stretch>
                    <a:fillRect/>
                  </a:stretch>
                </pic:blipFill>
                <pic:spPr bwMode="auto">
                  <a:xfrm>
                    <a:off x="0" y="0"/>
                    <a:ext cx="1318260" cy="393700"/>
                  </a:xfrm>
                  <a:prstGeom prst="rect">
                    <a:avLst/>
                  </a:prstGeom>
                  <a:noFill/>
                  <a:ln w="9525">
                    <a:noFill/>
                    <a:miter lim="800000"/>
                    <a:headEnd/>
                    <a:tailEnd/>
                  </a:ln>
                </pic:spPr>
              </pic:pic>
            </a:graphicData>
          </a:graphic>
        </wp:anchor>
      </w:drawing>
    </w:r>
    <w:r>
      <w:fldChar w:fldCharType="begin"/>
    </w:r>
    <w:r>
      <w:instrText>PAGE   \* MERGEFORMAT</w:instrText>
    </w:r>
    <w:r>
      <w:fldChar w:fldCharType="separate"/>
    </w:r>
    <w:r w:rsidR="00316060">
      <w:rPr>
        <w:noProof/>
      </w:rPr>
      <w:t>11</w:t>
    </w:r>
    <w:r>
      <w:rPr>
        <w:noProof/>
      </w:rPr>
      <w:fldChar w:fldCharType="end"/>
    </w:r>
  </w:p>
  <w:p w:rsidR="004258E8" w:rsidRDefault="004258E8" w:rsidP="009E1DAB">
    <w:pPr>
      <w:pStyle w:val="Rodap"/>
      <w:tabs>
        <w:tab w:val="clear" w:pos="4419"/>
        <w:tab w:val="clear" w:pos="8838"/>
        <w:tab w:val="left" w:pos="6990"/>
      </w:tabs>
      <w:jc w:val="left"/>
    </w:pPr>
  </w:p>
  <w:p w:rsidR="004258E8" w:rsidRDefault="004258E8">
    <w:pPr>
      <w:pStyle w:val="Rodap"/>
      <w:tabs>
        <w:tab w:val="clear" w:pos="4419"/>
        <w:tab w:val="clear" w:pos="8838"/>
      </w:tabs>
      <w:spacing w:line="240" w:lineRule="auto"/>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Default="004258E8" w:rsidP="00621697">
    <w:pPr>
      <w:pStyle w:val="Rodap"/>
      <w:spacing w:before="120"/>
      <w:jc w:val="center"/>
    </w:pPr>
    <w:r>
      <w:rPr>
        <w:noProof/>
      </w:rPr>
      <w:drawing>
        <wp:anchor distT="0" distB="0" distL="114300" distR="114300" simplePos="0" relativeHeight="251667456" behindDoc="0" locked="0" layoutInCell="1" allowOverlap="1" wp14:anchorId="1BFCC9CE" wp14:editId="4BD6AE2A">
          <wp:simplePos x="0" y="0"/>
          <wp:positionH relativeFrom="margin">
            <wp:posOffset>4349115</wp:posOffset>
          </wp:positionH>
          <wp:positionV relativeFrom="margin">
            <wp:posOffset>8855710</wp:posOffset>
          </wp:positionV>
          <wp:extent cx="1536700" cy="243205"/>
          <wp:effectExtent l="0" t="0" r="6350" b="4445"/>
          <wp:wrapSquare wrapText="bothSides"/>
          <wp:docPr id="241" name="Imagem 10"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escrição: the-azul"/>
                  <pic:cNvPicPr>
                    <a:picLocks noChangeAspect="1" noChangeArrowheads="1"/>
                  </pic:cNvPicPr>
                </pic:nvPicPr>
                <pic:blipFill>
                  <a:blip r:embed="rId1"/>
                  <a:srcRect/>
                  <a:stretch>
                    <a:fillRect/>
                  </a:stretch>
                </pic:blipFill>
                <pic:spPr bwMode="auto">
                  <a:xfrm>
                    <a:off x="0" y="0"/>
                    <a:ext cx="1536700" cy="243205"/>
                  </a:xfrm>
                  <a:prstGeom prst="rect">
                    <a:avLst/>
                  </a:prstGeom>
                  <a:noFill/>
                  <a:ln w="9525">
                    <a:noFill/>
                    <a:miter lim="800000"/>
                    <a:headEnd/>
                    <a:tailEnd/>
                  </a:ln>
                </pic:spPr>
              </pic:pic>
            </a:graphicData>
          </a:graphic>
        </wp:anchor>
      </w:drawing>
    </w:r>
    <w:r>
      <w:rPr>
        <w:noProof/>
      </w:rPr>
      <w:drawing>
        <wp:anchor distT="0" distB="0" distL="114300" distR="114300" simplePos="0" relativeHeight="251663360" behindDoc="0" locked="0" layoutInCell="1" allowOverlap="1" wp14:anchorId="05E4624B" wp14:editId="259B9357">
          <wp:simplePos x="0" y="0"/>
          <wp:positionH relativeFrom="margin">
            <wp:posOffset>60325</wp:posOffset>
          </wp:positionH>
          <wp:positionV relativeFrom="margin">
            <wp:posOffset>8851900</wp:posOffset>
          </wp:positionV>
          <wp:extent cx="1505585" cy="449580"/>
          <wp:effectExtent l="0" t="0" r="0" b="7620"/>
          <wp:wrapSquare wrapText="bothSides"/>
          <wp:docPr id="242"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2"/>
                  <a:srcRect/>
                  <a:stretch>
                    <a:fillRect/>
                  </a:stretch>
                </pic:blipFill>
                <pic:spPr bwMode="auto">
                  <a:xfrm>
                    <a:off x="0" y="0"/>
                    <a:ext cx="1505585" cy="449580"/>
                  </a:xfrm>
                  <a:prstGeom prst="rect">
                    <a:avLst/>
                  </a:prstGeom>
                  <a:noFill/>
                  <a:ln w="9525">
                    <a:noFill/>
                    <a:miter lim="800000"/>
                    <a:headEnd/>
                    <a:tailEnd/>
                  </a:ln>
                </pic:spPr>
              </pic:pic>
            </a:graphicData>
          </a:graphic>
        </wp:anchor>
      </w:drawing>
    </w:r>
    <w:r>
      <w:rPr>
        <w:noProof/>
      </w:rPr>
      <w:drawing>
        <wp:anchor distT="0" distB="0" distL="114300" distR="114300" simplePos="0" relativeHeight="251659264" behindDoc="0" locked="0" layoutInCell="1" allowOverlap="1" wp14:anchorId="5C703E01" wp14:editId="59079E8E">
          <wp:simplePos x="0" y="0"/>
          <wp:positionH relativeFrom="margin">
            <wp:posOffset>8028305</wp:posOffset>
          </wp:positionH>
          <wp:positionV relativeFrom="margin">
            <wp:posOffset>13116560</wp:posOffset>
          </wp:positionV>
          <wp:extent cx="1343025" cy="209550"/>
          <wp:effectExtent l="19050" t="0" r="9525" b="0"/>
          <wp:wrapSquare wrapText="bothSides"/>
          <wp:docPr id="243" name="Imagem 15"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descr="Descrição: the-azul"/>
                  <pic:cNvPicPr>
                    <a:picLocks noChangeAspect="1" noChangeArrowheads="1"/>
                  </pic:cNvPicPr>
                </pic:nvPicPr>
                <pic:blipFill>
                  <a:blip r:embed="rId3"/>
                  <a:srcRect/>
                  <a:stretch>
                    <a:fillRect/>
                  </a:stretch>
                </pic:blipFill>
                <pic:spPr bwMode="auto">
                  <a:xfrm>
                    <a:off x="0" y="0"/>
                    <a:ext cx="1343025" cy="209550"/>
                  </a:xfrm>
                  <a:prstGeom prst="rect">
                    <a:avLst/>
                  </a:prstGeom>
                  <a:noFill/>
                  <a:ln w="9525">
                    <a:noFill/>
                    <a:miter lim="800000"/>
                    <a:headEnd/>
                    <a:tailEnd/>
                  </a:ln>
                </pic:spPr>
              </pic:pic>
            </a:graphicData>
          </a:graphic>
        </wp:anchor>
      </w:drawing>
    </w:r>
    <w:r>
      <w:rPr>
        <w:noProof/>
      </w:rPr>
      <w:drawing>
        <wp:anchor distT="0" distB="0" distL="114300" distR="114300" simplePos="0" relativeHeight="251655168" behindDoc="0" locked="0" layoutInCell="1" allowOverlap="1" wp14:anchorId="145A8089" wp14:editId="6F01BE2A">
          <wp:simplePos x="0" y="0"/>
          <wp:positionH relativeFrom="margin">
            <wp:posOffset>-876300</wp:posOffset>
          </wp:positionH>
          <wp:positionV relativeFrom="margin">
            <wp:posOffset>13116560</wp:posOffset>
          </wp:positionV>
          <wp:extent cx="1318260" cy="393700"/>
          <wp:effectExtent l="19050" t="0" r="0" b="0"/>
          <wp:wrapSquare wrapText="bothSides"/>
          <wp:docPr id="244"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2"/>
                  <a:srcRect/>
                  <a:stretch>
                    <a:fillRect/>
                  </a:stretch>
                </pic:blipFill>
                <pic:spPr bwMode="auto">
                  <a:xfrm>
                    <a:off x="0" y="0"/>
                    <a:ext cx="1318260" cy="393700"/>
                  </a:xfrm>
                  <a:prstGeom prst="rect">
                    <a:avLst/>
                  </a:prstGeom>
                  <a:noFill/>
                  <a:ln w="9525">
                    <a:noFill/>
                    <a:miter lim="800000"/>
                    <a:headEnd/>
                    <a:tailEnd/>
                  </a:ln>
                </pic:spPr>
              </pic:pic>
            </a:graphicData>
          </a:graphic>
        </wp:anchor>
      </w:drawing>
    </w:r>
    <w:r>
      <w:rPr>
        <w:noProof/>
      </w:rPr>
      <mc:AlternateContent>
        <mc:Choice Requires="wps">
          <w:drawing>
            <wp:anchor distT="4294967293" distB="4294967293" distL="114300" distR="114300" simplePos="0" relativeHeight="251704832" behindDoc="0" locked="0" layoutInCell="0" allowOverlap="1" wp14:anchorId="30E94C84" wp14:editId="01293627">
              <wp:simplePos x="0" y="0"/>
              <wp:positionH relativeFrom="column">
                <wp:posOffset>-13970</wp:posOffset>
              </wp:positionH>
              <wp:positionV relativeFrom="paragraph">
                <wp:posOffset>15239</wp:posOffset>
              </wp:positionV>
              <wp:extent cx="5979795" cy="0"/>
              <wp:effectExtent l="0" t="0" r="20955" b="19050"/>
              <wp:wrapNone/>
              <wp:docPr id="226"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979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0483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1pt,1.2pt" to="469.7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" o:allowincell="f"/>
          </w:pict>
        </mc:Fallback>
      </mc:AlternateContent>
    </w:r>
    <w:r>
      <w:fldChar w:fldCharType="begin"/>
    </w:r>
    <w:r>
      <w:instrText>PAGE   \* MERGEFORMAT</w:instrText>
    </w:r>
    <w:r>
      <w:fldChar w:fldCharType="separate"/>
    </w:r>
    <w:r w:rsidR="00316060">
      <w:rPr>
        <w:noProof/>
      </w:rPr>
      <w:t>15</w:t>
    </w:r>
    <w:r>
      <w:rPr>
        <w:noProof/>
      </w:rPr>
      <w:fldChar w:fldCharType="end"/>
    </w:r>
  </w:p>
  <w:p w:rsidR="004258E8" w:rsidRDefault="004258E8">
    <w:pPr>
      <w:pStyle w:val="Rodap"/>
      <w:tabs>
        <w:tab w:val="clear" w:pos="4419"/>
        <w:tab w:val="clear" w:pos="8838"/>
      </w:tabs>
      <w:spacing w:line="240" w:lineRule="auto"/>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Default="004258E8" w:rsidP="00621697">
    <w:pPr>
      <w:pStyle w:val="Rodap"/>
      <w:spacing w:before="120"/>
      <w:jc w:val="center"/>
    </w:pPr>
    <w:r>
      <w:rPr>
        <w:noProof/>
      </w:rPr>
      <mc:AlternateContent>
        <mc:Choice Requires="wps">
          <w:drawing>
            <wp:anchor distT="4294967293" distB="4294967293" distL="114300" distR="114300" simplePos="0" relativeHeight="251710976" behindDoc="0" locked="0" layoutInCell="0" allowOverlap="1" wp14:anchorId="0043DCC3" wp14:editId="4678D445">
              <wp:simplePos x="0" y="0"/>
              <wp:positionH relativeFrom="column">
                <wp:posOffset>-13335</wp:posOffset>
              </wp:positionH>
              <wp:positionV relativeFrom="paragraph">
                <wp:posOffset>-26036</wp:posOffset>
              </wp:positionV>
              <wp:extent cx="9086850" cy="0"/>
              <wp:effectExtent l="0" t="0" r="19050" b="19050"/>
              <wp:wrapNone/>
              <wp:docPr id="231"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86850"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1097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05pt,-2.05pt" to="714.4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" o:allowincell="f"/>
          </w:pict>
        </mc:Fallback>
      </mc:AlternateContent>
    </w:r>
    <w:r>
      <w:rPr>
        <w:noProof/>
      </w:rPr>
      <w:drawing>
        <wp:anchor distT="0" distB="0" distL="114300" distR="114300" simplePos="0" relativeHeight="251712512" behindDoc="0" locked="0" layoutInCell="1" allowOverlap="1" wp14:anchorId="24743416" wp14:editId="18FEE9C4">
          <wp:simplePos x="0" y="0"/>
          <wp:positionH relativeFrom="margin">
            <wp:posOffset>7429500</wp:posOffset>
          </wp:positionH>
          <wp:positionV relativeFrom="margin">
            <wp:posOffset>5865495</wp:posOffset>
          </wp:positionV>
          <wp:extent cx="1536700" cy="243205"/>
          <wp:effectExtent l="0" t="0" r="6350" b="4445"/>
          <wp:wrapSquare wrapText="bothSides"/>
          <wp:docPr id="249" name="Imagem 10" descr="Descrição: the-azul"/>
          <wp:cNvGraphicFramePr/>
          <a:graphic xmlns:a="http://schemas.openxmlformats.org/drawingml/2006/main">
            <a:graphicData uri="http://schemas.openxmlformats.org/drawingml/2006/picture">
              <pic:pic xmlns:pic="http://schemas.openxmlformats.org/drawingml/2006/picture">
                <pic:nvPicPr>
                  <pic:cNvPr id="228" name="Imagem 10" descr="Descrição: the-azul"/>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36700" cy="243205"/>
                  </a:xfrm>
                  <a:prstGeom prst="rect">
                    <a:avLst/>
                  </a:prstGeom>
                  <a:noFill/>
                  <a:ln w="9525">
                    <a:noFill/>
                    <a:miter lim="800000"/>
                    <a:headEnd/>
                    <a:tailEnd/>
                  </a:ln>
                </pic:spPr>
              </pic:pic>
            </a:graphicData>
          </a:graphic>
        </wp:anchor>
      </w:drawing>
    </w:r>
    <w:r>
      <w:rPr>
        <w:noProof/>
      </w:rPr>
      <w:drawing>
        <wp:anchor distT="0" distB="0" distL="114300" distR="114300" simplePos="0" relativeHeight="251708416" behindDoc="0" locked="0" layoutInCell="1" allowOverlap="1" wp14:anchorId="065AB968" wp14:editId="61877CE8">
          <wp:simplePos x="0" y="0"/>
          <wp:positionH relativeFrom="margin">
            <wp:posOffset>47625</wp:posOffset>
          </wp:positionH>
          <wp:positionV relativeFrom="margin">
            <wp:posOffset>5814060</wp:posOffset>
          </wp:positionV>
          <wp:extent cx="1505585" cy="449580"/>
          <wp:effectExtent l="0" t="0" r="0" b="7620"/>
          <wp:wrapSquare wrapText="bothSides"/>
          <wp:docPr id="250" name="Imagem 14" descr="Descrição: Hidrostudio 4.bmp"/>
          <wp:cNvGraphicFramePr/>
          <a:graphic xmlns:a="http://schemas.openxmlformats.org/drawingml/2006/main">
            <a:graphicData uri="http://schemas.openxmlformats.org/drawingml/2006/picture">
              <pic:pic xmlns:pic="http://schemas.openxmlformats.org/drawingml/2006/picture">
                <pic:nvPicPr>
                  <pic:cNvPr id="227" name="Imagem 14" descr="Descrição: Hidrostudio 4.bmp"/>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05585" cy="449580"/>
                  </a:xfrm>
                  <a:prstGeom prst="rect">
                    <a:avLst/>
                  </a:prstGeom>
                  <a:noFill/>
                  <a:ln w="9525">
                    <a:noFill/>
                    <a:miter lim="800000"/>
                    <a:headEnd/>
                    <a:tailEnd/>
                  </a:ln>
                </pic:spPr>
              </pic:pic>
            </a:graphicData>
          </a:graphic>
        </wp:anchor>
      </w:drawing>
    </w:r>
    <w:r>
      <w:rPr>
        <w:noProof/>
      </w:rPr>
      <w:drawing>
        <wp:anchor distT="0" distB="0" distL="114300" distR="114300" simplePos="0" relativeHeight="251704320" behindDoc="0" locked="0" layoutInCell="1" allowOverlap="1" wp14:anchorId="25CFBDFA" wp14:editId="2DB7F6AA">
          <wp:simplePos x="0" y="0"/>
          <wp:positionH relativeFrom="margin">
            <wp:posOffset>212725</wp:posOffset>
          </wp:positionH>
          <wp:positionV relativeFrom="margin">
            <wp:posOffset>9004300</wp:posOffset>
          </wp:positionV>
          <wp:extent cx="1505585" cy="449580"/>
          <wp:effectExtent l="0" t="0" r="0" b="7620"/>
          <wp:wrapSquare wrapText="bothSides"/>
          <wp:docPr id="251"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2"/>
                  <a:srcRect/>
                  <a:stretch>
                    <a:fillRect/>
                  </a:stretch>
                </pic:blipFill>
                <pic:spPr bwMode="auto">
                  <a:xfrm>
                    <a:off x="0" y="0"/>
                    <a:ext cx="1505585" cy="449580"/>
                  </a:xfrm>
                  <a:prstGeom prst="rect">
                    <a:avLst/>
                  </a:prstGeom>
                  <a:noFill/>
                  <a:ln w="9525">
                    <a:noFill/>
                    <a:miter lim="800000"/>
                    <a:headEnd/>
                    <a:tailEnd/>
                  </a:ln>
                </pic:spPr>
              </pic:pic>
            </a:graphicData>
          </a:graphic>
        </wp:anchor>
      </w:drawing>
    </w:r>
    <w:r>
      <w:rPr>
        <w:noProof/>
      </w:rPr>
      <w:drawing>
        <wp:anchor distT="0" distB="0" distL="114300" distR="114300" simplePos="0" relativeHeight="251679744" behindDoc="0" locked="0" layoutInCell="1" allowOverlap="1" wp14:anchorId="057E9F3E" wp14:editId="65AFCBF0">
          <wp:simplePos x="0" y="0"/>
          <wp:positionH relativeFrom="margin">
            <wp:posOffset>41275</wp:posOffset>
          </wp:positionH>
          <wp:positionV relativeFrom="margin">
            <wp:posOffset>8616315</wp:posOffset>
          </wp:positionV>
          <wp:extent cx="1667510" cy="497840"/>
          <wp:effectExtent l="0" t="0" r="8890" b="0"/>
          <wp:wrapSquare wrapText="bothSides"/>
          <wp:docPr id="252"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2"/>
                  <a:srcRect/>
                  <a:stretch>
                    <a:fillRect/>
                  </a:stretch>
                </pic:blipFill>
                <pic:spPr bwMode="auto">
                  <a:xfrm>
                    <a:off x="0" y="0"/>
                    <a:ext cx="1667510" cy="497840"/>
                  </a:xfrm>
                  <a:prstGeom prst="rect">
                    <a:avLst/>
                  </a:prstGeom>
                  <a:noFill/>
                  <a:ln w="9525">
                    <a:noFill/>
                    <a:miter lim="800000"/>
                    <a:headEnd/>
                    <a:tailEnd/>
                  </a:ln>
                </pic:spPr>
              </pic:pic>
            </a:graphicData>
          </a:graphic>
        </wp:anchor>
      </w:drawing>
    </w:r>
    <w:r>
      <w:rPr>
        <w:noProof/>
      </w:rPr>
      <w:drawing>
        <wp:anchor distT="0" distB="0" distL="114300" distR="114300" simplePos="0" relativeHeight="251683840" behindDoc="0" locked="0" layoutInCell="1" allowOverlap="1" wp14:anchorId="242F9BCB" wp14:editId="517879E9">
          <wp:simplePos x="0" y="0"/>
          <wp:positionH relativeFrom="margin">
            <wp:posOffset>11751945</wp:posOffset>
          </wp:positionH>
          <wp:positionV relativeFrom="margin">
            <wp:posOffset>8617585</wp:posOffset>
          </wp:positionV>
          <wp:extent cx="1601470" cy="253365"/>
          <wp:effectExtent l="0" t="0" r="0" b="0"/>
          <wp:wrapSquare wrapText="bothSides"/>
          <wp:docPr id="253" name="Imagem 10"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escrição: the-azul"/>
                  <pic:cNvPicPr>
                    <a:picLocks noChangeAspect="1" noChangeArrowheads="1"/>
                  </pic:cNvPicPr>
                </pic:nvPicPr>
                <pic:blipFill>
                  <a:blip r:embed="rId1"/>
                  <a:srcRect/>
                  <a:stretch>
                    <a:fillRect/>
                  </a:stretch>
                </pic:blipFill>
                <pic:spPr bwMode="auto">
                  <a:xfrm>
                    <a:off x="0" y="0"/>
                    <a:ext cx="1601470" cy="253365"/>
                  </a:xfrm>
                  <a:prstGeom prst="rect">
                    <a:avLst/>
                  </a:prstGeom>
                  <a:noFill/>
                  <a:ln w="9525">
                    <a:noFill/>
                    <a:miter lim="800000"/>
                    <a:headEnd/>
                    <a:tailEnd/>
                  </a:ln>
                </pic:spPr>
              </pic:pic>
            </a:graphicData>
          </a:graphic>
        </wp:anchor>
      </w:drawing>
    </w:r>
    <w:r>
      <w:rPr>
        <w:noProof/>
      </w:rPr>
      <w:drawing>
        <wp:anchor distT="0" distB="0" distL="114300" distR="114300" simplePos="0" relativeHeight="251675648" behindDoc="0" locked="0" layoutInCell="1" allowOverlap="1" wp14:anchorId="15E9BE35" wp14:editId="4332B392">
          <wp:simplePos x="0" y="0"/>
          <wp:positionH relativeFrom="margin">
            <wp:posOffset>8028305</wp:posOffset>
          </wp:positionH>
          <wp:positionV relativeFrom="margin">
            <wp:posOffset>13116560</wp:posOffset>
          </wp:positionV>
          <wp:extent cx="1343025" cy="209550"/>
          <wp:effectExtent l="19050" t="0" r="9525" b="0"/>
          <wp:wrapSquare wrapText="bothSides"/>
          <wp:docPr id="254" name="Imagem 15"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descr="Descrição: the-azul"/>
                  <pic:cNvPicPr>
                    <a:picLocks noChangeAspect="1" noChangeArrowheads="1"/>
                  </pic:cNvPicPr>
                </pic:nvPicPr>
                <pic:blipFill>
                  <a:blip r:embed="rId3"/>
                  <a:srcRect/>
                  <a:stretch>
                    <a:fillRect/>
                  </a:stretch>
                </pic:blipFill>
                <pic:spPr bwMode="auto">
                  <a:xfrm>
                    <a:off x="0" y="0"/>
                    <a:ext cx="1343025" cy="209550"/>
                  </a:xfrm>
                  <a:prstGeom prst="rect">
                    <a:avLst/>
                  </a:prstGeom>
                  <a:noFill/>
                  <a:ln w="9525">
                    <a:noFill/>
                    <a:miter lim="800000"/>
                    <a:headEnd/>
                    <a:tailEnd/>
                  </a:ln>
                </pic:spPr>
              </pic:pic>
            </a:graphicData>
          </a:graphic>
        </wp:anchor>
      </w:drawing>
    </w:r>
    <w:r>
      <w:rPr>
        <w:noProof/>
      </w:rPr>
      <w:drawing>
        <wp:anchor distT="0" distB="0" distL="114300" distR="114300" simplePos="0" relativeHeight="251671552" behindDoc="0" locked="0" layoutInCell="1" allowOverlap="1" wp14:anchorId="0B1FCA59" wp14:editId="5DA277CB">
          <wp:simplePos x="0" y="0"/>
          <wp:positionH relativeFrom="margin">
            <wp:posOffset>-876300</wp:posOffset>
          </wp:positionH>
          <wp:positionV relativeFrom="margin">
            <wp:posOffset>13116560</wp:posOffset>
          </wp:positionV>
          <wp:extent cx="1318260" cy="393700"/>
          <wp:effectExtent l="19050" t="0" r="0" b="0"/>
          <wp:wrapSquare wrapText="bothSides"/>
          <wp:docPr id="255"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2"/>
                  <a:srcRect/>
                  <a:stretch>
                    <a:fillRect/>
                  </a:stretch>
                </pic:blipFill>
                <pic:spPr bwMode="auto">
                  <a:xfrm>
                    <a:off x="0" y="0"/>
                    <a:ext cx="1318260" cy="393700"/>
                  </a:xfrm>
                  <a:prstGeom prst="rect">
                    <a:avLst/>
                  </a:prstGeom>
                  <a:noFill/>
                  <a:ln w="9525">
                    <a:noFill/>
                    <a:miter lim="800000"/>
                    <a:headEnd/>
                    <a:tailEnd/>
                  </a:ln>
                </pic:spPr>
              </pic:pic>
            </a:graphicData>
          </a:graphic>
        </wp:anchor>
      </w:drawing>
    </w:r>
    <w:r>
      <w:fldChar w:fldCharType="begin"/>
    </w:r>
    <w:r>
      <w:instrText>PAGE   \* MERGEFORMAT</w:instrText>
    </w:r>
    <w:r>
      <w:fldChar w:fldCharType="separate"/>
    </w:r>
    <w:r w:rsidR="00316060">
      <w:rPr>
        <w:noProof/>
      </w:rPr>
      <w:t>16</w:t>
    </w:r>
    <w:r>
      <w:rPr>
        <w:noProof/>
      </w:rPr>
      <w:fldChar w:fldCharType="end"/>
    </w:r>
    <w:r>
      <w:rPr>
        <w:noProof/>
      </w:rPr>
      <w:drawing>
        <wp:anchor distT="0" distB="0" distL="114300" distR="114300" simplePos="0" relativeHeight="251696128" behindDoc="0" locked="0" layoutInCell="1" allowOverlap="1" wp14:anchorId="3CDAA12E" wp14:editId="2A6633E9">
          <wp:simplePos x="0" y="0"/>
          <wp:positionH relativeFrom="margin">
            <wp:posOffset>41275</wp:posOffset>
          </wp:positionH>
          <wp:positionV relativeFrom="margin">
            <wp:posOffset>8616315</wp:posOffset>
          </wp:positionV>
          <wp:extent cx="1667510" cy="497840"/>
          <wp:effectExtent l="0" t="0" r="8890" b="0"/>
          <wp:wrapSquare wrapText="bothSides"/>
          <wp:docPr id="32"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2"/>
                  <a:srcRect/>
                  <a:stretch>
                    <a:fillRect/>
                  </a:stretch>
                </pic:blipFill>
                <pic:spPr bwMode="auto">
                  <a:xfrm>
                    <a:off x="0" y="0"/>
                    <a:ext cx="1667510" cy="497840"/>
                  </a:xfrm>
                  <a:prstGeom prst="rect">
                    <a:avLst/>
                  </a:prstGeom>
                  <a:noFill/>
                  <a:ln w="9525">
                    <a:noFill/>
                    <a:miter lim="800000"/>
                    <a:headEnd/>
                    <a:tailEnd/>
                  </a:ln>
                </pic:spPr>
              </pic:pic>
            </a:graphicData>
          </a:graphic>
        </wp:anchor>
      </w:drawing>
    </w:r>
    <w:r>
      <w:rPr>
        <w:noProof/>
      </w:rPr>
      <w:drawing>
        <wp:anchor distT="0" distB="0" distL="114300" distR="114300" simplePos="0" relativeHeight="251700224" behindDoc="0" locked="0" layoutInCell="1" allowOverlap="1" wp14:anchorId="2DE22F16" wp14:editId="593536BB">
          <wp:simplePos x="0" y="0"/>
          <wp:positionH relativeFrom="margin">
            <wp:posOffset>11751945</wp:posOffset>
          </wp:positionH>
          <wp:positionV relativeFrom="margin">
            <wp:posOffset>8617585</wp:posOffset>
          </wp:positionV>
          <wp:extent cx="1601470" cy="253365"/>
          <wp:effectExtent l="0" t="0" r="0" b="0"/>
          <wp:wrapSquare wrapText="bothSides"/>
          <wp:docPr id="33" name="Imagem 10"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escrição: the-azul"/>
                  <pic:cNvPicPr>
                    <a:picLocks noChangeAspect="1" noChangeArrowheads="1"/>
                  </pic:cNvPicPr>
                </pic:nvPicPr>
                <pic:blipFill>
                  <a:blip r:embed="rId1"/>
                  <a:srcRect/>
                  <a:stretch>
                    <a:fillRect/>
                  </a:stretch>
                </pic:blipFill>
                <pic:spPr bwMode="auto">
                  <a:xfrm>
                    <a:off x="0" y="0"/>
                    <a:ext cx="1601470" cy="253365"/>
                  </a:xfrm>
                  <a:prstGeom prst="rect">
                    <a:avLst/>
                  </a:prstGeom>
                  <a:noFill/>
                  <a:ln w="9525">
                    <a:noFill/>
                    <a:miter lim="800000"/>
                    <a:headEnd/>
                    <a:tailEnd/>
                  </a:ln>
                </pic:spPr>
              </pic:pic>
            </a:graphicData>
          </a:graphic>
        </wp:anchor>
      </w:drawing>
    </w:r>
    <w:r>
      <w:rPr>
        <w:noProof/>
      </w:rPr>
      <w:drawing>
        <wp:anchor distT="0" distB="0" distL="114300" distR="114300" simplePos="0" relativeHeight="251692032" behindDoc="0" locked="0" layoutInCell="1" allowOverlap="1" wp14:anchorId="698198AB" wp14:editId="2BCAD82D">
          <wp:simplePos x="0" y="0"/>
          <wp:positionH relativeFrom="margin">
            <wp:posOffset>8028305</wp:posOffset>
          </wp:positionH>
          <wp:positionV relativeFrom="margin">
            <wp:posOffset>13116560</wp:posOffset>
          </wp:positionV>
          <wp:extent cx="1343025" cy="209550"/>
          <wp:effectExtent l="19050" t="0" r="9525" b="0"/>
          <wp:wrapSquare wrapText="bothSides"/>
          <wp:docPr id="34" name="Imagem 15"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descr="Descrição: the-azul"/>
                  <pic:cNvPicPr>
                    <a:picLocks noChangeAspect="1" noChangeArrowheads="1"/>
                  </pic:cNvPicPr>
                </pic:nvPicPr>
                <pic:blipFill>
                  <a:blip r:embed="rId3"/>
                  <a:srcRect/>
                  <a:stretch>
                    <a:fillRect/>
                  </a:stretch>
                </pic:blipFill>
                <pic:spPr bwMode="auto">
                  <a:xfrm>
                    <a:off x="0" y="0"/>
                    <a:ext cx="1343025" cy="209550"/>
                  </a:xfrm>
                  <a:prstGeom prst="rect">
                    <a:avLst/>
                  </a:prstGeom>
                  <a:noFill/>
                  <a:ln w="9525">
                    <a:noFill/>
                    <a:miter lim="800000"/>
                    <a:headEnd/>
                    <a:tailEnd/>
                  </a:ln>
                </pic:spPr>
              </pic:pic>
            </a:graphicData>
          </a:graphic>
        </wp:anchor>
      </w:drawing>
    </w:r>
    <w:r>
      <w:rPr>
        <w:noProof/>
      </w:rPr>
      <w:drawing>
        <wp:anchor distT="0" distB="0" distL="114300" distR="114300" simplePos="0" relativeHeight="251687936" behindDoc="0" locked="0" layoutInCell="1" allowOverlap="1" wp14:anchorId="1FD3FA16" wp14:editId="222DD943">
          <wp:simplePos x="0" y="0"/>
          <wp:positionH relativeFrom="margin">
            <wp:posOffset>-876300</wp:posOffset>
          </wp:positionH>
          <wp:positionV relativeFrom="margin">
            <wp:posOffset>13116560</wp:posOffset>
          </wp:positionV>
          <wp:extent cx="1318260" cy="393700"/>
          <wp:effectExtent l="19050" t="0" r="0" b="0"/>
          <wp:wrapSquare wrapText="bothSides"/>
          <wp:docPr id="35"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2"/>
                  <a:srcRect/>
                  <a:stretch>
                    <a:fillRect/>
                  </a:stretch>
                </pic:blipFill>
                <pic:spPr bwMode="auto">
                  <a:xfrm>
                    <a:off x="0" y="0"/>
                    <a:ext cx="1318260" cy="393700"/>
                  </a:xfrm>
                  <a:prstGeom prst="rect">
                    <a:avLst/>
                  </a:prstGeom>
                  <a:noFill/>
                  <a:ln w="9525">
                    <a:noFill/>
                    <a:miter lim="800000"/>
                    <a:headEnd/>
                    <a:tailEnd/>
                  </a:ln>
                </pic:spPr>
              </pic:pic>
            </a:graphicData>
          </a:graphic>
        </wp:anchor>
      </w:drawing>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Default="004258E8" w:rsidP="00AD7599">
    <w:pPr>
      <w:pStyle w:val="Rodap"/>
      <w:spacing w:before="120" w:line="240" w:lineRule="auto"/>
      <w:jc w:val="center"/>
    </w:pPr>
    <w:r>
      <w:rPr>
        <w:noProof/>
      </w:rPr>
      <mc:AlternateContent>
        <mc:Choice Requires="wps">
          <w:drawing>
            <wp:anchor distT="4294967293" distB="4294967293" distL="114300" distR="114300" simplePos="0" relativeHeight="251727360" behindDoc="0" locked="0" layoutInCell="0" allowOverlap="1" wp14:anchorId="29018AC4" wp14:editId="3B355799">
              <wp:simplePos x="0" y="0"/>
              <wp:positionH relativeFrom="column">
                <wp:posOffset>-13970</wp:posOffset>
              </wp:positionH>
              <wp:positionV relativeFrom="paragraph">
                <wp:posOffset>8254</wp:posOffset>
              </wp:positionV>
              <wp:extent cx="5979795" cy="0"/>
              <wp:effectExtent l="0" t="0" r="20955" b="19050"/>
              <wp:wrapNone/>
              <wp:docPr id="36"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979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273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1pt,.65pt" to="469.7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" o:allowincell="f"/>
          </w:pict>
        </mc:Fallback>
      </mc:AlternateContent>
    </w:r>
    <w:r>
      <w:rPr>
        <w:noProof/>
      </w:rPr>
      <w:drawing>
        <wp:anchor distT="0" distB="0" distL="114300" distR="114300" simplePos="0" relativeHeight="251724800" behindDoc="0" locked="0" layoutInCell="1" allowOverlap="1" wp14:anchorId="086E4C9F" wp14:editId="0A7E208B">
          <wp:simplePos x="0" y="0"/>
          <wp:positionH relativeFrom="margin">
            <wp:posOffset>66040</wp:posOffset>
          </wp:positionH>
          <wp:positionV relativeFrom="margin">
            <wp:posOffset>9090025</wp:posOffset>
          </wp:positionV>
          <wp:extent cx="1505585" cy="449580"/>
          <wp:effectExtent l="0" t="0" r="0" b="7620"/>
          <wp:wrapSquare wrapText="bothSides"/>
          <wp:docPr id="42"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1"/>
                  <a:srcRect/>
                  <a:stretch>
                    <a:fillRect/>
                  </a:stretch>
                </pic:blipFill>
                <pic:spPr bwMode="auto">
                  <a:xfrm>
                    <a:off x="0" y="0"/>
                    <a:ext cx="1505585" cy="449580"/>
                  </a:xfrm>
                  <a:prstGeom prst="rect">
                    <a:avLst/>
                  </a:prstGeom>
                  <a:noFill/>
                  <a:ln w="9525">
                    <a:noFill/>
                    <a:miter lim="800000"/>
                    <a:headEnd/>
                    <a:tailEnd/>
                  </a:ln>
                </pic:spPr>
              </pic:pic>
            </a:graphicData>
          </a:graphic>
        </wp:anchor>
      </w:drawing>
    </w:r>
    <w:r>
      <w:rPr>
        <w:noProof/>
      </w:rPr>
      <w:drawing>
        <wp:anchor distT="0" distB="0" distL="114300" distR="114300" simplePos="0" relativeHeight="251728896" behindDoc="0" locked="0" layoutInCell="1" allowOverlap="1" wp14:anchorId="23B3317D" wp14:editId="2C7E5CB5">
          <wp:simplePos x="0" y="0"/>
          <wp:positionH relativeFrom="margin">
            <wp:posOffset>4349115</wp:posOffset>
          </wp:positionH>
          <wp:positionV relativeFrom="margin">
            <wp:posOffset>9103360</wp:posOffset>
          </wp:positionV>
          <wp:extent cx="1536700" cy="243205"/>
          <wp:effectExtent l="0" t="0" r="6350" b="4445"/>
          <wp:wrapSquare wrapText="bothSides"/>
          <wp:docPr id="43" name="Imagem 10"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escrição: the-azul"/>
                  <pic:cNvPicPr>
                    <a:picLocks noChangeAspect="1" noChangeArrowheads="1"/>
                  </pic:cNvPicPr>
                </pic:nvPicPr>
                <pic:blipFill>
                  <a:blip r:embed="rId2"/>
                  <a:srcRect/>
                  <a:stretch>
                    <a:fillRect/>
                  </a:stretch>
                </pic:blipFill>
                <pic:spPr bwMode="auto">
                  <a:xfrm>
                    <a:off x="0" y="0"/>
                    <a:ext cx="1536700" cy="243205"/>
                  </a:xfrm>
                  <a:prstGeom prst="rect">
                    <a:avLst/>
                  </a:prstGeom>
                  <a:noFill/>
                  <a:ln w="9525">
                    <a:noFill/>
                    <a:miter lim="800000"/>
                    <a:headEnd/>
                    <a:tailEnd/>
                  </a:ln>
                </pic:spPr>
              </pic:pic>
            </a:graphicData>
          </a:graphic>
        </wp:anchor>
      </w:drawing>
    </w:r>
    <w:r>
      <w:rPr>
        <w:noProof/>
      </w:rPr>
      <w:drawing>
        <wp:anchor distT="0" distB="0" distL="114300" distR="114300" simplePos="0" relativeHeight="251720704" behindDoc="0" locked="0" layoutInCell="1" allowOverlap="1" wp14:anchorId="06B74C7F" wp14:editId="40FE5537">
          <wp:simplePos x="0" y="0"/>
          <wp:positionH relativeFrom="margin">
            <wp:posOffset>8028305</wp:posOffset>
          </wp:positionH>
          <wp:positionV relativeFrom="margin">
            <wp:posOffset>13116560</wp:posOffset>
          </wp:positionV>
          <wp:extent cx="1343025" cy="209550"/>
          <wp:effectExtent l="19050" t="0" r="9525" b="0"/>
          <wp:wrapSquare wrapText="bothSides"/>
          <wp:docPr id="44" name="Imagem 15"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descr="Descrição: the-azul"/>
                  <pic:cNvPicPr>
                    <a:picLocks noChangeAspect="1" noChangeArrowheads="1"/>
                  </pic:cNvPicPr>
                </pic:nvPicPr>
                <pic:blipFill>
                  <a:blip r:embed="rId3"/>
                  <a:srcRect/>
                  <a:stretch>
                    <a:fillRect/>
                  </a:stretch>
                </pic:blipFill>
                <pic:spPr bwMode="auto">
                  <a:xfrm>
                    <a:off x="0" y="0"/>
                    <a:ext cx="1343025" cy="209550"/>
                  </a:xfrm>
                  <a:prstGeom prst="rect">
                    <a:avLst/>
                  </a:prstGeom>
                  <a:noFill/>
                  <a:ln w="9525">
                    <a:noFill/>
                    <a:miter lim="800000"/>
                    <a:headEnd/>
                    <a:tailEnd/>
                  </a:ln>
                </pic:spPr>
              </pic:pic>
            </a:graphicData>
          </a:graphic>
        </wp:anchor>
      </w:drawing>
    </w:r>
    <w:r>
      <w:rPr>
        <w:noProof/>
      </w:rPr>
      <w:drawing>
        <wp:anchor distT="0" distB="0" distL="114300" distR="114300" simplePos="0" relativeHeight="251716608" behindDoc="0" locked="0" layoutInCell="1" allowOverlap="1" wp14:anchorId="7817F7D8" wp14:editId="4A8C03A4">
          <wp:simplePos x="0" y="0"/>
          <wp:positionH relativeFrom="margin">
            <wp:posOffset>-876300</wp:posOffset>
          </wp:positionH>
          <wp:positionV relativeFrom="margin">
            <wp:posOffset>13116560</wp:posOffset>
          </wp:positionV>
          <wp:extent cx="1318260" cy="393700"/>
          <wp:effectExtent l="19050" t="0" r="0" b="0"/>
          <wp:wrapSquare wrapText="bothSides"/>
          <wp:docPr id="45"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1"/>
                  <a:srcRect/>
                  <a:stretch>
                    <a:fillRect/>
                  </a:stretch>
                </pic:blipFill>
                <pic:spPr bwMode="auto">
                  <a:xfrm>
                    <a:off x="0" y="0"/>
                    <a:ext cx="1318260" cy="393700"/>
                  </a:xfrm>
                  <a:prstGeom prst="rect">
                    <a:avLst/>
                  </a:prstGeom>
                  <a:noFill/>
                  <a:ln w="9525">
                    <a:noFill/>
                    <a:miter lim="800000"/>
                    <a:headEnd/>
                    <a:tailEnd/>
                  </a:ln>
                </pic:spPr>
              </pic:pic>
            </a:graphicData>
          </a:graphic>
        </wp:anchor>
      </w:drawing>
    </w:r>
    <w:r>
      <w:fldChar w:fldCharType="begin"/>
    </w:r>
    <w:r>
      <w:instrText>PAGE   \* MERGEFORMAT</w:instrText>
    </w:r>
    <w:r>
      <w:fldChar w:fldCharType="separate"/>
    </w:r>
    <w:r w:rsidR="00316060">
      <w:rPr>
        <w:noProof/>
      </w:rPr>
      <w:t>49</w:t>
    </w:r>
    <w:r>
      <w:rPr>
        <w:noProof/>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9672393"/>
      <w:docPartObj>
        <w:docPartGallery w:val="Page Numbers (Bottom of Page)"/>
        <w:docPartUnique/>
      </w:docPartObj>
    </w:sdtPr>
    <w:sdtEndPr/>
    <w:sdtContent>
      <w:p w:rsidR="004258E8" w:rsidRDefault="004258E8">
        <w:pPr>
          <w:pStyle w:val="Rodap"/>
          <w:jc w:val="center"/>
        </w:pPr>
        <w:r>
          <w:rPr>
            <w:noProof/>
          </w:rPr>
          <w:drawing>
            <wp:anchor distT="0" distB="0" distL="114300" distR="114300" simplePos="0" relativeHeight="251741184" behindDoc="0" locked="0" layoutInCell="1" allowOverlap="1" wp14:anchorId="14C445D9" wp14:editId="48B85CCA">
              <wp:simplePos x="0" y="0"/>
              <wp:positionH relativeFrom="margin">
                <wp:posOffset>7482205</wp:posOffset>
              </wp:positionH>
              <wp:positionV relativeFrom="margin">
                <wp:posOffset>5752465</wp:posOffset>
              </wp:positionV>
              <wp:extent cx="1536700" cy="243205"/>
              <wp:effectExtent l="0" t="0" r="6350" b="4445"/>
              <wp:wrapSquare wrapText="bothSides"/>
              <wp:docPr id="51" name="Imagem 10" descr="Descrição: the-azul"/>
              <wp:cNvGraphicFramePr/>
              <a:graphic xmlns:a="http://schemas.openxmlformats.org/drawingml/2006/main">
                <a:graphicData uri="http://schemas.openxmlformats.org/drawingml/2006/picture">
                  <pic:pic xmlns:pic="http://schemas.openxmlformats.org/drawingml/2006/picture">
                    <pic:nvPicPr>
                      <pic:cNvPr id="37" name="Imagem 10" descr="Descrição: the-azul"/>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36700" cy="243205"/>
                      </a:xfrm>
                      <a:prstGeom prst="rect">
                        <a:avLst/>
                      </a:prstGeom>
                      <a:noFill/>
                      <a:ln w="9525">
                        <a:noFill/>
                        <a:miter lim="800000"/>
                        <a:headEnd/>
                        <a:tailEnd/>
                      </a:ln>
                    </pic:spPr>
                  </pic:pic>
                </a:graphicData>
              </a:graphic>
            </wp:anchor>
          </w:drawing>
        </w:r>
        <w:r>
          <w:rPr>
            <w:noProof/>
          </w:rPr>
          <w:drawing>
            <wp:anchor distT="0" distB="0" distL="114300" distR="114300" simplePos="0" relativeHeight="251737088" behindDoc="0" locked="0" layoutInCell="1" allowOverlap="1" wp14:anchorId="63CC8BBF" wp14:editId="3919FA79">
              <wp:simplePos x="0" y="0"/>
              <wp:positionH relativeFrom="margin">
                <wp:posOffset>95250</wp:posOffset>
              </wp:positionH>
              <wp:positionV relativeFrom="margin">
                <wp:posOffset>5748020</wp:posOffset>
              </wp:positionV>
              <wp:extent cx="1505585" cy="449580"/>
              <wp:effectExtent l="0" t="0" r="0" b="7620"/>
              <wp:wrapSquare wrapText="bothSides"/>
              <wp:docPr id="54" name="Imagem 14" descr="Descrição: Hidrostudio 4.bmp"/>
              <wp:cNvGraphicFramePr/>
              <a:graphic xmlns:a="http://schemas.openxmlformats.org/drawingml/2006/main">
                <a:graphicData uri="http://schemas.openxmlformats.org/drawingml/2006/picture">
                  <pic:pic xmlns:pic="http://schemas.openxmlformats.org/drawingml/2006/picture">
                    <pic:nvPicPr>
                      <pic:cNvPr id="38" name="Imagem 14" descr="Descrição: Hidrostudio 4.bmp"/>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05585" cy="449580"/>
                      </a:xfrm>
                      <a:prstGeom prst="rect">
                        <a:avLst/>
                      </a:prstGeom>
                      <a:noFill/>
                      <a:ln w="9525">
                        <a:noFill/>
                        <a:miter lim="800000"/>
                        <a:headEnd/>
                        <a:tailEnd/>
                      </a:ln>
                    </pic:spPr>
                  </pic:pic>
                </a:graphicData>
              </a:graphic>
            </wp:anchor>
          </w:drawing>
        </w:r>
        <w:r>
          <w:rPr>
            <w:noProof/>
            <w:sz w:val="20"/>
          </w:rPr>
          <mc:AlternateContent>
            <mc:Choice Requires="wps">
              <w:drawing>
                <wp:anchor distT="4294967295" distB="4294967295" distL="114300" distR="114300" simplePos="0" relativeHeight="251734528" behindDoc="0" locked="0" layoutInCell="1" allowOverlap="1" wp14:anchorId="34AAD6DD" wp14:editId="1901AD23">
                  <wp:simplePos x="0" y="0"/>
                  <wp:positionH relativeFrom="column">
                    <wp:posOffset>-13335</wp:posOffset>
                  </wp:positionH>
                  <wp:positionV relativeFrom="paragraph">
                    <wp:posOffset>-27306</wp:posOffset>
                  </wp:positionV>
                  <wp:extent cx="9105900" cy="0"/>
                  <wp:effectExtent l="0" t="0" r="19050" b="19050"/>
                  <wp:wrapNone/>
                  <wp:docPr id="49" name="Line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05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2" o:spid="_x0000_s1026" style="position:absolute;z-index:251734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05pt,-2.15pt" to="715.9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YVZ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"/>
              </w:pict>
            </mc:Fallback>
          </mc:AlternateContent>
        </w:r>
        <w:r>
          <w:fldChar w:fldCharType="begin"/>
        </w:r>
        <w:r>
          <w:instrText>PAGE   \* MERGEFORMAT</w:instrText>
        </w:r>
        <w:r>
          <w:fldChar w:fldCharType="separate"/>
        </w:r>
        <w:r w:rsidR="00316060">
          <w:rPr>
            <w:noProof/>
          </w:rPr>
          <w:t>51</w:t>
        </w:r>
        <w:r>
          <w:rPr>
            <w:noProof/>
          </w:rPr>
          <w:fldChar w:fldCharType="end"/>
        </w:r>
      </w:p>
    </w:sdtContent>
  </w:sdt>
  <w:p w:rsidR="004258E8" w:rsidRDefault="004258E8" w:rsidP="00AD7599">
    <w:pPr>
      <w:pStyle w:val="Rodap"/>
      <w:tabs>
        <w:tab w:val="clear" w:pos="4419"/>
        <w:tab w:val="clear" w:pos="8838"/>
      </w:tabs>
      <w:spacing w:line="240" w:lineRule="auto"/>
      <w:jc w:val="left"/>
    </w:pPr>
    <w:r>
      <w:rPr>
        <w:noProof/>
      </w:rPr>
      <w:drawing>
        <wp:anchor distT="0" distB="0" distL="114300" distR="114300" simplePos="0" relativeHeight="251732992" behindDoc="0" locked="0" layoutInCell="1" allowOverlap="1" wp14:anchorId="705BCAD0" wp14:editId="0C80891F">
          <wp:simplePos x="0" y="0"/>
          <wp:positionH relativeFrom="margin">
            <wp:posOffset>218440</wp:posOffset>
          </wp:positionH>
          <wp:positionV relativeFrom="margin">
            <wp:posOffset>9242425</wp:posOffset>
          </wp:positionV>
          <wp:extent cx="1505585" cy="449580"/>
          <wp:effectExtent l="0" t="0" r="0" b="7620"/>
          <wp:wrapSquare wrapText="bothSides"/>
          <wp:docPr id="57" name="Imagem 14" descr="Descrição: Hidrostudio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 descr="Descrição: Hidrostudio 4.bmp"/>
                  <pic:cNvPicPr>
                    <a:picLocks noChangeAspect="1" noChangeArrowheads="1"/>
                  </pic:cNvPicPr>
                </pic:nvPicPr>
                <pic:blipFill>
                  <a:blip r:embed="rId2"/>
                  <a:srcRect/>
                  <a:stretch>
                    <a:fillRect/>
                  </a:stretch>
                </pic:blipFill>
                <pic:spPr bwMode="auto">
                  <a:xfrm>
                    <a:off x="0" y="0"/>
                    <a:ext cx="1505585" cy="449580"/>
                  </a:xfrm>
                  <a:prstGeom prst="rect">
                    <a:avLst/>
                  </a:prstGeom>
                  <a:noFill/>
                  <a:ln w="9525">
                    <a:noFill/>
                    <a:miter lim="800000"/>
                    <a:headEnd/>
                    <a:tailEnd/>
                  </a:ln>
                </pic:spPr>
              </pic:pic>
            </a:graphicData>
          </a:graphic>
        </wp:anchor>
      </w:drawing>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2013342"/>
      <w:docPartObj>
        <w:docPartGallery w:val="Page Numbers (Bottom of Page)"/>
        <w:docPartUnique/>
      </w:docPartObj>
    </w:sdtPr>
    <w:sdtEndPr/>
    <w:sdtContent>
      <w:p w:rsidR="004258E8" w:rsidRDefault="004258E8">
        <w:pPr>
          <w:pStyle w:val="Rodap"/>
          <w:jc w:val="center"/>
        </w:pPr>
        <w:r>
          <w:rPr>
            <w:noProof/>
          </w:rPr>
          <w:drawing>
            <wp:anchor distT="0" distB="0" distL="114300" distR="114300" simplePos="0" relativeHeight="251749376" behindDoc="0" locked="0" layoutInCell="1" allowOverlap="1" wp14:anchorId="4B49FA80" wp14:editId="701BCAAD">
              <wp:simplePos x="0" y="0"/>
              <wp:positionH relativeFrom="margin">
                <wp:posOffset>72390</wp:posOffset>
              </wp:positionH>
              <wp:positionV relativeFrom="margin">
                <wp:posOffset>8778240</wp:posOffset>
              </wp:positionV>
              <wp:extent cx="1438275" cy="409575"/>
              <wp:effectExtent l="0" t="0" r="9525" b="9525"/>
              <wp:wrapSquare wrapText="bothSides"/>
              <wp:docPr id="63" name="Imagem 14" descr="Descrição: Hidrostudio 4.bmp"/>
              <wp:cNvGraphicFramePr/>
              <a:graphic xmlns:a="http://schemas.openxmlformats.org/drawingml/2006/main">
                <a:graphicData uri="http://schemas.openxmlformats.org/drawingml/2006/picture">
                  <pic:pic xmlns:pic="http://schemas.openxmlformats.org/drawingml/2006/picture">
                    <pic:nvPicPr>
                      <pic:cNvPr id="38" name="Imagem 14" descr="Descrição: Hidrostudio 4.bmp"/>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9575"/>
                      </a:xfrm>
                      <a:prstGeom prst="rect">
                        <a:avLst/>
                      </a:prstGeom>
                      <a:noFill/>
                      <a:ln w="9525">
                        <a:noFill/>
                        <a:miter lim="800000"/>
                        <a:headEnd/>
                        <a:tailEnd/>
                      </a:ln>
                    </pic:spPr>
                  </pic:pic>
                </a:graphicData>
              </a:graphic>
            </wp:anchor>
          </w:drawing>
        </w:r>
        <w:r>
          <w:rPr>
            <w:noProof/>
          </w:rPr>
          <mc:AlternateContent>
            <mc:Choice Requires="wps">
              <w:drawing>
                <wp:anchor distT="4294967293" distB="4294967293" distL="114300" distR="114300" simplePos="0" relativeHeight="251741696" behindDoc="0" locked="0" layoutInCell="0" allowOverlap="1" wp14:anchorId="753B484E" wp14:editId="7E51C31B">
                  <wp:simplePos x="0" y="0"/>
                  <wp:positionH relativeFrom="column">
                    <wp:posOffset>-23495</wp:posOffset>
                  </wp:positionH>
                  <wp:positionV relativeFrom="paragraph">
                    <wp:posOffset>-12701</wp:posOffset>
                  </wp:positionV>
                  <wp:extent cx="5979795" cy="0"/>
                  <wp:effectExtent l="0" t="0" r="20955" b="19050"/>
                  <wp:wrapNone/>
                  <wp:docPr id="58"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979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4169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85pt,-1pt" to="469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" o:allowincell="f"/>
              </w:pict>
            </mc:Fallback>
          </mc:AlternateContent>
        </w:r>
        <w:r>
          <w:rPr>
            <w:noProof/>
          </w:rPr>
          <w:drawing>
            <wp:anchor distT="0" distB="0" distL="114300" distR="114300" simplePos="0" relativeHeight="251745280" behindDoc="0" locked="0" layoutInCell="1" allowOverlap="1" wp14:anchorId="21B6DCDE" wp14:editId="7F440670">
              <wp:simplePos x="0" y="0"/>
              <wp:positionH relativeFrom="margin">
                <wp:posOffset>4394835</wp:posOffset>
              </wp:positionH>
              <wp:positionV relativeFrom="margin">
                <wp:posOffset>8827135</wp:posOffset>
              </wp:positionV>
              <wp:extent cx="1536700" cy="243205"/>
              <wp:effectExtent l="0" t="0" r="6350" b="4445"/>
              <wp:wrapSquare wrapText="bothSides"/>
              <wp:docPr id="256" name="Imagem 10"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escrição: the-azul"/>
                      <pic:cNvPicPr>
                        <a:picLocks noChangeAspect="1" noChangeArrowheads="1"/>
                      </pic:cNvPicPr>
                    </pic:nvPicPr>
                    <pic:blipFill>
                      <a:blip r:embed="rId2"/>
                      <a:srcRect/>
                      <a:stretch>
                        <a:fillRect/>
                      </a:stretch>
                    </pic:blipFill>
                    <pic:spPr bwMode="auto">
                      <a:xfrm>
                        <a:off x="0" y="0"/>
                        <a:ext cx="1536700" cy="243205"/>
                      </a:xfrm>
                      <a:prstGeom prst="rect">
                        <a:avLst/>
                      </a:prstGeom>
                      <a:noFill/>
                      <a:ln w="9525">
                        <a:noFill/>
                        <a:miter lim="800000"/>
                        <a:headEnd/>
                        <a:tailEnd/>
                      </a:ln>
                    </pic:spPr>
                  </pic:pic>
                </a:graphicData>
              </a:graphic>
            </wp:anchor>
          </w:drawing>
        </w:r>
        <w:r>
          <w:fldChar w:fldCharType="begin"/>
        </w:r>
        <w:r>
          <w:instrText>PAGE   \* MERGEFORMAT</w:instrText>
        </w:r>
        <w:r>
          <w:fldChar w:fldCharType="separate"/>
        </w:r>
        <w:r w:rsidR="00316060">
          <w:rPr>
            <w:noProof/>
          </w:rPr>
          <w:t>135</w:t>
        </w:r>
        <w:r>
          <w:rPr>
            <w:noProof/>
          </w:rPr>
          <w:fldChar w:fldCharType="end"/>
        </w:r>
      </w:p>
    </w:sdtContent>
  </w:sdt>
  <w:p w:rsidR="004258E8" w:rsidRDefault="004258E8" w:rsidP="00AD7599">
    <w:pPr>
      <w:pStyle w:val="Rodap"/>
      <w:tabs>
        <w:tab w:val="clear" w:pos="4419"/>
        <w:tab w:val="clear" w:pos="8838"/>
      </w:tabs>
      <w:spacing w:line="240" w:lineRule="auto"/>
      <w:jc w:val="lef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24723381"/>
      <w:docPartObj>
        <w:docPartGallery w:val="Page Numbers (Bottom of Page)"/>
        <w:docPartUnique/>
      </w:docPartObj>
    </w:sdtPr>
    <w:sdtEndPr/>
    <w:sdtContent>
      <w:p w:rsidR="004258E8" w:rsidRDefault="004258E8">
        <w:pPr>
          <w:pStyle w:val="Rodap"/>
          <w:jc w:val="center"/>
        </w:pPr>
        <w:r>
          <w:rPr>
            <w:noProof/>
          </w:rPr>
          <w:drawing>
            <wp:anchor distT="0" distB="0" distL="114300" distR="114300" simplePos="0" relativeHeight="251819008" behindDoc="0" locked="0" layoutInCell="1" allowOverlap="1" wp14:anchorId="11CE8D1A" wp14:editId="3C07E5DA">
              <wp:simplePos x="0" y="0"/>
              <wp:positionH relativeFrom="margin">
                <wp:posOffset>7264400</wp:posOffset>
              </wp:positionH>
              <wp:positionV relativeFrom="margin">
                <wp:posOffset>5689600</wp:posOffset>
              </wp:positionV>
              <wp:extent cx="1536065" cy="243840"/>
              <wp:effectExtent l="0" t="0" r="6985" b="3810"/>
              <wp:wrapSquare wrapText="bothSides"/>
              <wp:docPr id="267" name="Imagem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6065" cy="243840"/>
                      </a:xfrm>
                      <a:prstGeom prst="rect">
                        <a:avLst/>
                      </a:prstGeom>
                      <a:noFill/>
                    </pic:spPr>
                  </pic:pic>
                </a:graphicData>
              </a:graphic>
            </wp:anchor>
          </w:drawing>
        </w:r>
        <w:r>
          <w:rPr>
            <w:noProof/>
          </w:rPr>
          <w:drawing>
            <wp:anchor distT="0" distB="0" distL="114300" distR="114300" simplePos="0" relativeHeight="251823104" behindDoc="0" locked="0" layoutInCell="1" allowOverlap="1" wp14:anchorId="1609BA02" wp14:editId="0E31A217">
              <wp:simplePos x="0" y="0"/>
              <wp:positionH relativeFrom="margin">
                <wp:posOffset>95250</wp:posOffset>
              </wp:positionH>
              <wp:positionV relativeFrom="margin">
                <wp:posOffset>5643245</wp:posOffset>
              </wp:positionV>
              <wp:extent cx="1505585" cy="450850"/>
              <wp:effectExtent l="0" t="0" r="0" b="6350"/>
              <wp:wrapSquare wrapText="bothSides"/>
              <wp:docPr id="266" name="Imagem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05585" cy="450850"/>
                      </a:xfrm>
                      <a:prstGeom prst="rect">
                        <a:avLst/>
                      </a:prstGeom>
                      <a:noFill/>
                    </pic:spPr>
                  </pic:pic>
                </a:graphicData>
              </a:graphic>
            </wp:anchor>
          </w:drawing>
        </w:r>
        <w:r>
          <w:rPr>
            <w:noProof/>
          </w:rPr>
          <mc:AlternateContent>
            <mc:Choice Requires="wps">
              <w:drawing>
                <wp:anchor distT="4294967293" distB="4294967293" distL="114300" distR="114300" simplePos="0" relativeHeight="251784704" behindDoc="0" locked="0" layoutInCell="0" allowOverlap="1" wp14:anchorId="21240B26" wp14:editId="7ECC6C85">
                  <wp:simplePos x="0" y="0"/>
                  <wp:positionH relativeFrom="column">
                    <wp:posOffset>-23495</wp:posOffset>
                  </wp:positionH>
                  <wp:positionV relativeFrom="paragraph">
                    <wp:posOffset>-19051</wp:posOffset>
                  </wp:positionV>
                  <wp:extent cx="8964930" cy="0"/>
                  <wp:effectExtent l="0" t="0" r="26670" b="19050"/>
                  <wp:wrapNone/>
                  <wp:docPr id="487"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64930"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8470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85pt,-1.5pt" to="704.0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" o:allowincell="f"/>
              </w:pict>
            </mc:Fallback>
          </mc:AlternateContent>
        </w:r>
        <w:r>
          <w:rPr>
            <w:noProof/>
          </w:rPr>
          <w:drawing>
            <wp:anchor distT="0" distB="0" distL="114300" distR="114300" simplePos="0" relativeHeight="251802624" behindDoc="0" locked="0" layoutInCell="1" allowOverlap="1" wp14:anchorId="036C219B" wp14:editId="6651F160">
              <wp:simplePos x="0" y="0"/>
              <wp:positionH relativeFrom="margin">
                <wp:posOffset>85725</wp:posOffset>
              </wp:positionH>
              <wp:positionV relativeFrom="margin">
                <wp:posOffset>8796020</wp:posOffset>
              </wp:positionV>
              <wp:extent cx="1505585" cy="449580"/>
              <wp:effectExtent l="0" t="0" r="0" b="7620"/>
              <wp:wrapSquare wrapText="bothSides"/>
              <wp:docPr id="264" name="Imagem 14" descr="Descrição: Hidrostudio 4.bmp"/>
              <wp:cNvGraphicFramePr/>
              <a:graphic xmlns:a="http://schemas.openxmlformats.org/drawingml/2006/main">
                <a:graphicData uri="http://schemas.openxmlformats.org/drawingml/2006/picture">
                  <pic:pic xmlns:pic="http://schemas.openxmlformats.org/drawingml/2006/picture">
                    <pic:nvPicPr>
                      <pic:cNvPr id="38" name="Imagem 14" descr="Descrição: Hidrostudio 4.bmp"/>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05585" cy="449580"/>
                      </a:xfrm>
                      <a:prstGeom prst="rect">
                        <a:avLst/>
                      </a:prstGeom>
                      <a:noFill/>
                      <a:ln w="9525">
                        <a:noFill/>
                        <a:miter lim="800000"/>
                        <a:headEnd/>
                        <a:tailEnd/>
                      </a:ln>
                    </pic:spPr>
                  </pic:pic>
                </a:graphicData>
              </a:graphic>
            </wp:anchor>
          </w:drawing>
        </w:r>
        <w:r>
          <w:rPr>
            <w:noProof/>
          </w:rPr>
          <w:drawing>
            <wp:anchor distT="0" distB="0" distL="114300" distR="114300" simplePos="0" relativeHeight="251798528" behindDoc="0" locked="0" layoutInCell="1" allowOverlap="1" wp14:anchorId="70A5E74F" wp14:editId="27A7B012">
              <wp:simplePos x="0" y="0"/>
              <wp:positionH relativeFrom="margin">
                <wp:posOffset>4394835</wp:posOffset>
              </wp:positionH>
              <wp:positionV relativeFrom="margin">
                <wp:posOffset>8827135</wp:posOffset>
              </wp:positionV>
              <wp:extent cx="1536700" cy="243205"/>
              <wp:effectExtent l="0" t="0" r="6350" b="4445"/>
              <wp:wrapSquare wrapText="bothSides"/>
              <wp:docPr id="265" name="Imagem 10"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escrição: the-azul"/>
                      <pic:cNvPicPr>
                        <a:picLocks noChangeAspect="1" noChangeArrowheads="1"/>
                      </pic:cNvPicPr>
                    </pic:nvPicPr>
                    <pic:blipFill>
                      <a:blip r:embed="rId4"/>
                      <a:srcRect/>
                      <a:stretch>
                        <a:fillRect/>
                      </a:stretch>
                    </pic:blipFill>
                    <pic:spPr bwMode="auto">
                      <a:xfrm>
                        <a:off x="0" y="0"/>
                        <a:ext cx="1536700" cy="243205"/>
                      </a:xfrm>
                      <a:prstGeom prst="rect">
                        <a:avLst/>
                      </a:prstGeom>
                      <a:noFill/>
                      <a:ln w="9525">
                        <a:noFill/>
                        <a:miter lim="800000"/>
                        <a:headEnd/>
                        <a:tailEnd/>
                      </a:ln>
                    </pic:spPr>
                  </pic:pic>
                </a:graphicData>
              </a:graphic>
            </wp:anchor>
          </w:drawing>
        </w:r>
        <w:r>
          <w:fldChar w:fldCharType="begin"/>
        </w:r>
        <w:r>
          <w:instrText>PAGE   \* MERGEFORMAT</w:instrText>
        </w:r>
        <w:r>
          <w:fldChar w:fldCharType="separate"/>
        </w:r>
        <w:r w:rsidR="00316060">
          <w:rPr>
            <w:noProof/>
          </w:rPr>
          <w:t>136</w:t>
        </w:r>
        <w:r>
          <w:rPr>
            <w:noProof/>
          </w:rPr>
          <w:fldChar w:fldCharType="end"/>
        </w:r>
      </w:p>
    </w:sdtContent>
  </w:sdt>
  <w:p w:rsidR="004258E8" w:rsidRDefault="004258E8" w:rsidP="00662F35">
    <w:pPr>
      <w:pStyle w:val="Rodap"/>
      <w:tabs>
        <w:tab w:val="clear" w:pos="4419"/>
        <w:tab w:val="clear" w:pos="8838"/>
      </w:tabs>
      <w:spacing w:line="240" w:lineRule="auto"/>
      <w:jc w:val="left"/>
    </w:pPr>
    <w:r>
      <w:tab/>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8064308"/>
      <w:docPartObj>
        <w:docPartGallery w:val="Page Numbers (Bottom of Page)"/>
        <w:docPartUnique/>
      </w:docPartObj>
    </w:sdtPr>
    <w:sdtEndPr/>
    <w:sdtContent>
      <w:p w:rsidR="004258E8" w:rsidRDefault="004258E8">
        <w:pPr>
          <w:pStyle w:val="Rodap"/>
          <w:jc w:val="center"/>
        </w:pPr>
        <w:r>
          <w:rPr>
            <w:noProof/>
          </w:rPr>
          <w:drawing>
            <wp:anchor distT="0" distB="0" distL="114300" distR="114300" simplePos="0" relativeHeight="251794432" behindDoc="0" locked="0" layoutInCell="1" allowOverlap="1" wp14:anchorId="500A83C9" wp14:editId="3E6E9ED8">
              <wp:simplePos x="0" y="0"/>
              <wp:positionH relativeFrom="margin">
                <wp:posOffset>85725</wp:posOffset>
              </wp:positionH>
              <wp:positionV relativeFrom="margin">
                <wp:posOffset>8796020</wp:posOffset>
              </wp:positionV>
              <wp:extent cx="1505585" cy="449580"/>
              <wp:effectExtent l="0" t="0" r="0" b="7620"/>
              <wp:wrapSquare wrapText="bothSides"/>
              <wp:docPr id="273" name="Imagem 14" descr="Descrição: Hidrostudio 4.bmp"/>
              <wp:cNvGraphicFramePr/>
              <a:graphic xmlns:a="http://schemas.openxmlformats.org/drawingml/2006/main">
                <a:graphicData uri="http://schemas.openxmlformats.org/drawingml/2006/picture">
                  <pic:pic xmlns:pic="http://schemas.openxmlformats.org/drawingml/2006/picture">
                    <pic:nvPicPr>
                      <pic:cNvPr id="38" name="Imagem 14" descr="Descrição: Hidrostudio 4.bmp"/>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5585" cy="449580"/>
                      </a:xfrm>
                      <a:prstGeom prst="rect">
                        <a:avLst/>
                      </a:prstGeom>
                      <a:noFill/>
                      <a:ln w="9525">
                        <a:noFill/>
                        <a:miter lim="800000"/>
                        <a:headEnd/>
                        <a:tailEnd/>
                      </a:ln>
                    </pic:spPr>
                  </pic:pic>
                </a:graphicData>
              </a:graphic>
            </wp:anchor>
          </w:drawing>
        </w:r>
        <w:r>
          <w:rPr>
            <w:noProof/>
          </w:rPr>
          <mc:AlternateContent>
            <mc:Choice Requires="wps">
              <w:drawing>
                <wp:anchor distT="4294967293" distB="4294967293" distL="114300" distR="114300" simplePos="0" relativeHeight="251780608" behindDoc="0" locked="0" layoutInCell="0" allowOverlap="1" wp14:anchorId="34D0A2BB" wp14:editId="42FFA6BE">
                  <wp:simplePos x="0" y="0"/>
                  <wp:positionH relativeFrom="column">
                    <wp:posOffset>-23495</wp:posOffset>
                  </wp:positionH>
                  <wp:positionV relativeFrom="paragraph">
                    <wp:posOffset>-12701</wp:posOffset>
                  </wp:positionV>
                  <wp:extent cx="5979795" cy="0"/>
                  <wp:effectExtent l="0" t="0" r="20955" b="19050"/>
                  <wp:wrapNone/>
                  <wp:docPr id="484"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979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8060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85pt,-1pt" to="469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" o:allowincell="f"/>
              </w:pict>
            </mc:Fallback>
          </mc:AlternateContent>
        </w:r>
        <w:r>
          <w:rPr>
            <w:noProof/>
          </w:rPr>
          <w:drawing>
            <wp:anchor distT="0" distB="0" distL="114300" distR="114300" simplePos="0" relativeHeight="251790336" behindDoc="0" locked="0" layoutInCell="1" allowOverlap="1" wp14:anchorId="64AC9373" wp14:editId="4BA1871B">
              <wp:simplePos x="0" y="0"/>
              <wp:positionH relativeFrom="margin">
                <wp:posOffset>4394835</wp:posOffset>
              </wp:positionH>
              <wp:positionV relativeFrom="margin">
                <wp:posOffset>8827135</wp:posOffset>
              </wp:positionV>
              <wp:extent cx="1536700" cy="243205"/>
              <wp:effectExtent l="0" t="0" r="6350" b="4445"/>
              <wp:wrapSquare wrapText="bothSides"/>
              <wp:docPr id="274" name="Imagem 10" descr="Descrição: the-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escrição: the-azul"/>
                      <pic:cNvPicPr>
                        <a:picLocks noChangeAspect="1" noChangeArrowheads="1"/>
                      </pic:cNvPicPr>
                    </pic:nvPicPr>
                    <pic:blipFill>
                      <a:blip r:embed="rId2"/>
                      <a:srcRect/>
                      <a:stretch>
                        <a:fillRect/>
                      </a:stretch>
                    </pic:blipFill>
                    <pic:spPr bwMode="auto">
                      <a:xfrm>
                        <a:off x="0" y="0"/>
                        <a:ext cx="1536700" cy="243205"/>
                      </a:xfrm>
                      <a:prstGeom prst="rect">
                        <a:avLst/>
                      </a:prstGeom>
                      <a:noFill/>
                      <a:ln w="9525">
                        <a:noFill/>
                        <a:miter lim="800000"/>
                        <a:headEnd/>
                        <a:tailEnd/>
                      </a:ln>
                    </pic:spPr>
                  </pic:pic>
                </a:graphicData>
              </a:graphic>
            </wp:anchor>
          </w:drawing>
        </w:r>
        <w:r>
          <w:fldChar w:fldCharType="begin"/>
        </w:r>
        <w:r>
          <w:instrText>PAGE   \* MERGEFORMAT</w:instrText>
        </w:r>
        <w:r>
          <w:fldChar w:fldCharType="separate"/>
        </w:r>
        <w:r w:rsidR="00316060">
          <w:rPr>
            <w:noProof/>
          </w:rPr>
          <w:t>140</w:t>
        </w:r>
        <w:r>
          <w:rPr>
            <w:noProof/>
          </w:rPr>
          <w:fldChar w:fldCharType="end"/>
        </w:r>
      </w:p>
    </w:sdtContent>
  </w:sdt>
  <w:p w:rsidR="004258E8" w:rsidRDefault="004258E8" w:rsidP="00AD7599">
    <w:pPr>
      <w:pStyle w:val="Rodap"/>
      <w:tabs>
        <w:tab w:val="clear" w:pos="4419"/>
        <w:tab w:val="clear" w:pos="8838"/>
      </w:tabs>
      <w:spacing w:line="240" w:lineRule="auto"/>
      <w:jc w:val="left"/>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Default="004258E8">
    <w:pPr>
      <w:pStyle w:val="Rodap"/>
      <w:framePr w:wrap="around" w:vAnchor="text" w:hAnchor="margin" w:y="1"/>
      <w:rPr>
        <w:rStyle w:val="Nmerodepgina"/>
      </w:rPr>
    </w:pPr>
    <w:r>
      <w:rPr>
        <w:rStyle w:val="Nmerodepgina"/>
      </w:rPr>
      <w:fldChar w:fldCharType="begin"/>
    </w:r>
    <w:r>
      <w:rPr>
        <w:rStyle w:val="Nmerodepgina"/>
      </w:rPr>
      <w:instrText xml:space="preserve">PAGE  </w:instrText>
    </w:r>
    <w:r>
      <w:rPr>
        <w:rStyle w:val="Nmerodepgina"/>
      </w:rPr>
      <w:fldChar w:fldCharType="end"/>
    </w:r>
  </w:p>
  <w:p w:rsidR="004258E8" w:rsidRDefault="004258E8">
    <w:pPr>
      <w:pStyle w:val="Rodap"/>
      <w:ind w:firstLine="36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7631918"/>
      <w:docPartObj>
        <w:docPartGallery w:val="Page Numbers (Bottom of Page)"/>
        <w:docPartUnique/>
      </w:docPartObj>
    </w:sdtPr>
    <w:sdtEndPr/>
    <w:sdtContent>
      <w:p w:rsidR="004258E8" w:rsidRDefault="004258E8">
        <w:pPr>
          <w:pStyle w:val="Rodap"/>
          <w:jc w:val="center"/>
        </w:pPr>
        <w:r>
          <w:rPr>
            <w:noProof/>
          </w:rPr>
          <w:drawing>
            <wp:anchor distT="0" distB="0" distL="114300" distR="114300" simplePos="0" relativeHeight="251773952" behindDoc="0" locked="0" layoutInCell="1" allowOverlap="1" wp14:anchorId="1973D062" wp14:editId="0B0E0E81">
              <wp:simplePos x="0" y="0"/>
              <wp:positionH relativeFrom="margin">
                <wp:posOffset>7472680</wp:posOffset>
              </wp:positionH>
              <wp:positionV relativeFrom="margin">
                <wp:posOffset>5789295</wp:posOffset>
              </wp:positionV>
              <wp:extent cx="1536700" cy="243205"/>
              <wp:effectExtent l="0" t="0" r="6350" b="4445"/>
              <wp:wrapSquare wrapText="bothSides"/>
              <wp:docPr id="540" name="Imagem 10" descr="Descrição: the-azul"/>
              <wp:cNvGraphicFramePr/>
              <a:graphic xmlns:a="http://schemas.openxmlformats.org/drawingml/2006/main">
                <a:graphicData uri="http://schemas.openxmlformats.org/drawingml/2006/picture">
                  <pic:pic xmlns:pic="http://schemas.openxmlformats.org/drawingml/2006/picture">
                    <pic:nvPicPr>
                      <pic:cNvPr id="54" name="Imagem 10" descr="Descrição: the-azul"/>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36700" cy="243205"/>
                      </a:xfrm>
                      <a:prstGeom prst="rect">
                        <a:avLst/>
                      </a:prstGeom>
                      <a:noFill/>
                      <a:ln w="9525">
                        <a:noFill/>
                        <a:miter lim="800000"/>
                        <a:headEnd/>
                        <a:tailEnd/>
                      </a:ln>
                    </pic:spPr>
                  </pic:pic>
                </a:graphicData>
              </a:graphic>
            </wp:anchor>
          </w:drawing>
        </w:r>
        <w:r>
          <w:rPr>
            <w:noProof/>
          </w:rPr>
          <w:drawing>
            <wp:anchor distT="0" distB="0" distL="114300" distR="114300" simplePos="0" relativeHeight="251769856" behindDoc="0" locked="0" layoutInCell="1" allowOverlap="1" wp14:anchorId="354F289B" wp14:editId="38D58F8F">
              <wp:simplePos x="0" y="0"/>
              <wp:positionH relativeFrom="margin">
                <wp:posOffset>104775</wp:posOffset>
              </wp:positionH>
              <wp:positionV relativeFrom="margin">
                <wp:posOffset>5780405</wp:posOffset>
              </wp:positionV>
              <wp:extent cx="1505585" cy="449580"/>
              <wp:effectExtent l="0" t="0" r="0" b="7620"/>
              <wp:wrapSquare wrapText="bothSides"/>
              <wp:docPr id="541" name="Imagem 14" descr="Descrição: Hidrostudio 4.bmp"/>
              <wp:cNvGraphicFramePr/>
              <a:graphic xmlns:a="http://schemas.openxmlformats.org/drawingml/2006/main">
                <a:graphicData uri="http://schemas.openxmlformats.org/drawingml/2006/picture">
                  <pic:pic xmlns:pic="http://schemas.openxmlformats.org/drawingml/2006/picture">
                    <pic:nvPicPr>
                      <pic:cNvPr id="57" name="Imagem 14" descr="Descrição: Hidrostudio 4.bmp"/>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05585" cy="449580"/>
                      </a:xfrm>
                      <a:prstGeom prst="rect">
                        <a:avLst/>
                      </a:prstGeom>
                      <a:noFill/>
                      <a:ln w="9525">
                        <a:noFill/>
                        <a:miter lim="800000"/>
                        <a:headEnd/>
                        <a:tailEnd/>
                      </a:ln>
                    </pic:spPr>
                  </pic:pic>
                </a:graphicData>
              </a:graphic>
            </wp:anchor>
          </w:drawing>
        </w:r>
        <w:r>
          <w:rPr>
            <w:noProof/>
          </w:rPr>
          <mc:AlternateContent>
            <mc:Choice Requires="wps">
              <w:drawing>
                <wp:anchor distT="4294967293" distB="4294967293" distL="114300" distR="114300" simplePos="0" relativeHeight="251757056" behindDoc="0" locked="0" layoutInCell="0" allowOverlap="1" wp14:anchorId="73F14533" wp14:editId="09F8B715">
                  <wp:simplePos x="0" y="0"/>
                  <wp:positionH relativeFrom="column">
                    <wp:posOffset>-13335</wp:posOffset>
                  </wp:positionH>
                  <wp:positionV relativeFrom="paragraph">
                    <wp:posOffset>-92710</wp:posOffset>
                  </wp:positionV>
                  <wp:extent cx="9077325" cy="0"/>
                  <wp:effectExtent l="0" t="0" r="9525" b="19050"/>
                  <wp:wrapNone/>
                  <wp:docPr id="261"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7732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570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05pt,-7.3pt" to="713.7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" o:allowincell="f"/>
              </w:pict>
            </mc:Fallback>
          </mc:AlternateContent>
        </w:r>
        <w:r>
          <w:rPr>
            <w:noProof/>
          </w:rPr>
          <w:drawing>
            <wp:anchor distT="0" distB="0" distL="114300" distR="114300" simplePos="0" relativeHeight="251765760" behindDoc="0" locked="0" layoutInCell="1" allowOverlap="1" wp14:anchorId="2594565B" wp14:editId="46C19D9A">
              <wp:simplePos x="0" y="0"/>
              <wp:positionH relativeFrom="margin">
                <wp:posOffset>238125</wp:posOffset>
              </wp:positionH>
              <wp:positionV relativeFrom="margin">
                <wp:posOffset>8948420</wp:posOffset>
              </wp:positionV>
              <wp:extent cx="1505585" cy="449580"/>
              <wp:effectExtent l="0" t="0" r="0" b="7620"/>
              <wp:wrapSquare wrapText="bothSides"/>
              <wp:docPr id="542" name="Imagem 14" descr="Descrição: Hidrostudio 4.bmp"/>
              <wp:cNvGraphicFramePr/>
              <a:graphic xmlns:a="http://schemas.openxmlformats.org/drawingml/2006/main">
                <a:graphicData uri="http://schemas.openxmlformats.org/drawingml/2006/picture">
                  <pic:pic xmlns:pic="http://schemas.openxmlformats.org/drawingml/2006/picture">
                    <pic:nvPicPr>
                      <pic:cNvPr id="38" name="Imagem 14" descr="Descrição: Hidrostudio 4.bmp"/>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05585" cy="449580"/>
                      </a:xfrm>
                      <a:prstGeom prst="rect">
                        <a:avLst/>
                      </a:prstGeom>
                      <a:noFill/>
                      <a:ln w="9525">
                        <a:noFill/>
                        <a:miter lim="800000"/>
                        <a:headEnd/>
                        <a:tailEnd/>
                      </a:ln>
                    </pic:spPr>
                  </pic:pic>
                </a:graphicData>
              </a:graphic>
            </wp:anchor>
          </w:drawing>
        </w:r>
        <w:r>
          <w:fldChar w:fldCharType="begin"/>
        </w:r>
        <w:r>
          <w:instrText>PAGE   \* MERGEFORMAT</w:instrText>
        </w:r>
        <w:r>
          <w:fldChar w:fldCharType="separate"/>
        </w:r>
        <w:r w:rsidR="00316060">
          <w:rPr>
            <w:noProof/>
          </w:rPr>
          <w:t>151</w:t>
        </w:r>
        <w:r>
          <w:rPr>
            <w:noProof/>
          </w:rPr>
          <w:fldChar w:fldCharType="end"/>
        </w:r>
      </w:p>
    </w:sdtContent>
  </w:sdt>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3659722"/>
      <w:docPartObj>
        <w:docPartGallery w:val="Page Numbers (Bottom of Page)"/>
        <w:docPartUnique/>
      </w:docPartObj>
    </w:sdtPr>
    <w:sdtEndPr/>
    <w:sdtContent>
      <w:p w:rsidR="004258E8" w:rsidRDefault="004258E8">
        <w:pPr>
          <w:pStyle w:val="Rodap"/>
          <w:jc w:val="center"/>
        </w:pPr>
        <w:r>
          <w:rPr>
            <w:noProof/>
          </w:rPr>
          <w:drawing>
            <wp:anchor distT="0" distB="0" distL="114300" distR="114300" simplePos="0" relativeHeight="251766272" behindDoc="0" locked="0" layoutInCell="1" allowOverlap="1">
              <wp:simplePos x="0" y="0"/>
              <wp:positionH relativeFrom="margin">
                <wp:posOffset>76200</wp:posOffset>
              </wp:positionH>
              <wp:positionV relativeFrom="margin">
                <wp:posOffset>8923655</wp:posOffset>
              </wp:positionV>
              <wp:extent cx="1505585" cy="449580"/>
              <wp:effectExtent l="0" t="0" r="0" b="7620"/>
              <wp:wrapSquare wrapText="bothSides"/>
              <wp:docPr id="279" name="Imagem 14" descr="Descrição: Hidrostudio 4.bmp"/>
              <wp:cNvGraphicFramePr/>
              <a:graphic xmlns:a="http://schemas.openxmlformats.org/drawingml/2006/main">
                <a:graphicData uri="http://schemas.openxmlformats.org/drawingml/2006/picture">
                  <pic:pic xmlns:pic="http://schemas.openxmlformats.org/drawingml/2006/picture">
                    <pic:nvPicPr>
                      <pic:cNvPr id="57" name="Imagem 14" descr="Descrição: Hidrostudio 4.bmp"/>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5585" cy="449580"/>
                      </a:xfrm>
                      <a:prstGeom prst="rect">
                        <a:avLst/>
                      </a:prstGeom>
                      <a:noFill/>
                      <a:ln w="9525">
                        <a:noFill/>
                        <a:miter lim="800000"/>
                        <a:headEnd/>
                        <a:tailEnd/>
                      </a:ln>
                    </pic:spPr>
                  </pic:pic>
                </a:graphicData>
              </a:graphic>
            </wp:anchor>
          </w:drawing>
        </w:r>
        <w:r>
          <w:rPr>
            <w:noProof/>
          </w:rPr>
          <mc:AlternateContent>
            <mc:Choice Requires="wps">
              <w:drawing>
                <wp:anchor distT="4294967293" distB="4294967293" distL="114300" distR="114300" simplePos="0" relativeHeight="251771392" behindDoc="0" locked="0" layoutInCell="0" allowOverlap="1">
                  <wp:simplePos x="0" y="0"/>
                  <wp:positionH relativeFrom="column">
                    <wp:posOffset>-59690</wp:posOffset>
                  </wp:positionH>
                  <wp:positionV relativeFrom="paragraph">
                    <wp:posOffset>-40006</wp:posOffset>
                  </wp:positionV>
                  <wp:extent cx="5979795" cy="0"/>
                  <wp:effectExtent l="0" t="0" r="20955" b="19050"/>
                  <wp:wrapNone/>
                  <wp:docPr id="294"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979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7139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4.7pt,-3.15pt" to="466.1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" o:allowincell="f"/>
              </w:pict>
            </mc:Fallback>
          </mc:AlternateContent>
        </w:r>
        <w:r>
          <w:rPr>
            <w:noProof/>
          </w:rPr>
          <w:drawing>
            <wp:anchor distT="0" distB="0" distL="114300" distR="114300" simplePos="0" relativeHeight="251769344" behindDoc="0" locked="0" layoutInCell="1" allowOverlap="1">
              <wp:simplePos x="0" y="0"/>
              <wp:positionH relativeFrom="margin">
                <wp:posOffset>4321175</wp:posOffset>
              </wp:positionH>
              <wp:positionV relativeFrom="margin">
                <wp:posOffset>8959850</wp:posOffset>
              </wp:positionV>
              <wp:extent cx="1536700" cy="243205"/>
              <wp:effectExtent l="0" t="0" r="6350" b="4445"/>
              <wp:wrapSquare wrapText="bothSides"/>
              <wp:docPr id="289" name="Imagem 10" descr="Descrição: the-azul"/>
              <wp:cNvGraphicFramePr/>
              <a:graphic xmlns:a="http://schemas.openxmlformats.org/drawingml/2006/main">
                <a:graphicData uri="http://schemas.openxmlformats.org/drawingml/2006/picture">
                  <pic:pic xmlns:pic="http://schemas.openxmlformats.org/drawingml/2006/picture">
                    <pic:nvPicPr>
                      <pic:cNvPr id="264" name="Imagem 10" descr="Descrição: the-azul"/>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536700" cy="243205"/>
                      </a:xfrm>
                      <a:prstGeom prst="rect">
                        <a:avLst/>
                      </a:prstGeom>
                      <a:noFill/>
                      <a:ln w="9525">
                        <a:noFill/>
                        <a:miter lim="800000"/>
                        <a:headEnd/>
                        <a:tailEnd/>
                      </a:ln>
                    </pic:spPr>
                  </pic:pic>
                </a:graphicData>
              </a:graphic>
            </wp:anchor>
          </w:drawing>
        </w:r>
        <w:r>
          <w:fldChar w:fldCharType="begin"/>
        </w:r>
        <w:r>
          <w:instrText>PAGE   \* MERGEFORMAT</w:instrText>
        </w:r>
        <w:r>
          <w:fldChar w:fldCharType="separate"/>
        </w:r>
        <w:r w:rsidR="00316060">
          <w:rPr>
            <w:noProof/>
          </w:rPr>
          <w:t>311</w:t>
        </w:r>
        <w:r>
          <w:rPr>
            <w:noProof/>
          </w:rPr>
          <w:fldChar w:fldCharType="end"/>
        </w:r>
        <w:r>
          <w:rPr>
            <w:noProof/>
          </w:rPr>
          <w:drawing>
            <wp:anchor distT="0" distB="0" distL="114300" distR="114300" simplePos="0" relativeHeight="251768320" behindDoc="0" locked="0" layoutInCell="1" allowOverlap="1">
              <wp:simplePos x="0" y="0"/>
              <wp:positionH relativeFrom="margin">
                <wp:posOffset>7548880</wp:posOffset>
              </wp:positionH>
              <wp:positionV relativeFrom="margin">
                <wp:posOffset>5979795</wp:posOffset>
              </wp:positionV>
              <wp:extent cx="1536700" cy="243205"/>
              <wp:effectExtent l="0" t="0" r="6350" b="4445"/>
              <wp:wrapSquare wrapText="bothSides"/>
              <wp:docPr id="282" name="Imagem 10" descr="Descrição: the-azul"/>
              <wp:cNvGraphicFramePr/>
              <a:graphic xmlns:a="http://schemas.openxmlformats.org/drawingml/2006/main">
                <a:graphicData uri="http://schemas.openxmlformats.org/drawingml/2006/picture">
                  <pic:pic xmlns:pic="http://schemas.openxmlformats.org/drawingml/2006/picture">
                    <pic:nvPicPr>
                      <pic:cNvPr id="54" name="Imagem 10" descr="Descrição: the-azul"/>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536700" cy="243205"/>
                      </a:xfrm>
                      <a:prstGeom prst="rect">
                        <a:avLst/>
                      </a:prstGeom>
                      <a:noFill/>
                      <a:ln w="9525">
                        <a:noFill/>
                        <a:miter lim="800000"/>
                        <a:headEnd/>
                        <a:tailEnd/>
                      </a:ln>
                    </pic:spPr>
                  </pic:pic>
                </a:graphicData>
              </a:graphic>
            </wp:anchor>
          </w:drawing>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4387" w:rsidRDefault="00D84387">
      <w:r>
        <w:separator/>
      </w:r>
    </w:p>
  </w:footnote>
  <w:footnote w:type="continuationSeparator" w:id="0">
    <w:p w:rsidR="00D84387" w:rsidRDefault="00D84387">
      <w:r>
        <w:continuationSeparator/>
      </w:r>
    </w:p>
  </w:footnote>
  <w:footnote w:id="1">
    <w:p w:rsidR="004258E8" w:rsidRPr="005F5487" w:rsidRDefault="004258E8" w:rsidP="005F5487">
      <w:pPr>
        <w:pStyle w:val="Texto1"/>
        <w:jc w:val="both"/>
        <w:rPr>
          <w:b w:val="0"/>
          <w:sz w:val="18"/>
          <w:szCs w:val="18"/>
        </w:rPr>
      </w:pPr>
      <w:r w:rsidRPr="005F5487">
        <w:rPr>
          <w:rStyle w:val="Refdenotaderodap"/>
          <w:b w:val="0"/>
        </w:rPr>
        <w:footnoteRef/>
      </w:r>
      <w:r w:rsidRPr="005F5487">
        <w:rPr>
          <w:b w:val="0"/>
        </w:rPr>
        <w:t xml:space="preserve"> </w:t>
      </w:r>
      <w:r w:rsidRPr="005F5487">
        <w:rPr>
          <w:b w:val="0"/>
          <w:sz w:val="18"/>
          <w:szCs w:val="18"/>
        </w:rPr>
        <w:t>Este documento descreve detalhadamente todas as orientações e requisitos contidos no Parecer Técnico</w:t>
      </w:r>
      <w:r>
        <w:rPr>
          <w:b w:val="0"/>
          <w:sz w:val="18"/>
          <w:szCs w:val="18"/>
        </w:rPr>
        <w:t xml:space="preserve"> n</w:t>
      </w:r>
      <w:r w:rsidRPr="008604C1">
        <w:rPr>
          <w:b w:val="0"/>
          <w:sz w:val="18"/>
          <w:szCs w:val="18"/>
          <w:u w:val="single"/>
          <w:vertAlign w:val="superscript"/>
        </w:rPr>
        <w:t>o</w:t>
      </w:r>
      <w:r w:rsidRPr="005F5487">
        <w:rPr>
          <w:b w:val="0"/>
          <w:sz w:val="18"/>
          <w:szCs w:val="18"/>
        </w:rPr>
        <w:t xml:space="preserve"> 410/13/IE de 28/08/2013, elaborado pela Companhia Ambiental do Estado de São Paulo – CETESB, o qual é parte integrante e indissociável deste Termo de Referência e deve ser integralmente atendido na elaboração do EIA/RIMA.</w:t>
      </w:r>
    </w:p>
    <w:p w:rsidR="004258E8" w:rsidRPr="005F5487" w:rsidRDefault="004258E8" w:rsidP="005F5487">
      <w:pPr>
        <w:pStyle w:val="Textodenotaderodap"/>
      </w:pPr>
    </w:p>
  </w:footnote>
  <w:footnote w:id="2">
    <w:p w:rsidR="004258E8" w:rsidRPr="00113B1C" w:rsidRDefault="004258E8" w:rsidP="009E1DAB">
      <w:pPr>
        <w:pStyle w:val="Textodenotaderodap"/>
      </w:pPr>
      <w:r>
        <w:rPr>
          <w:rStyle w:val="Refdenotaderodap"/>
        </w:rPr>
        <w:footnoteRef/>
      </w:r>
      <w:r>
        <w:rPr>
          <w:sz w:val="18"/>
        </w:rPr>
        <w:t xml:space="preserve"> ACIESP. 1987. Glossário de Ecologia. 1</w:t>
      </w:r>
      <w:r>
        <w:rPr>
          <w:sz w:val="18"/>
          <w:u w:val="single"/>
          <w:vertAlign w:val="superscript"/>
        </w:rPr>
        <w:t>o</w:t>
      </w:r>
      <w:r>
        <w:rPr>
          <w:sz w:val="18"/>
        </w:rPr>
        <w:t xml:space="preserve">  ed. Publicação ACIESP, n</w:t>
      </w:r>
      <w:r>
        <w:rPr>
          <w:sz w:val="18"/>
          <w:u w:val="single"/>
          <w:vertAlign w:val="superscript"/>
        </w:rPr>
        <w:t>o</w:t>
      </w:r>
      <w:r>
        <w:rPr>
          <w:sz w:val="18"/>
        </w:rPr>
        <w:t xml:space="preserve"> 57. 271 p.</w:t>
      </w:r>
    </w:p>
  </w:footnote>
  <w:footnote w:id="3">
    <w:p w:rsidR="004258E8" w:rsidRPr="0026694B" w:rsidRDefault="004258E8" w:rsidP="0026694B">
      <w:pPr>
        <w:pStyle w:val="Textodenotaderodap"/>
        <w:spacing w:line="240" w:lineRule="auto"/>
      </w:pPr>
      <w:r>
        <w:rPr>
          <w:rStyle w:val="Refdenotaderodap"/>
        </w:rPr>
        <w:footnoteRef/>
      </w:r>
      <w:r>
        <w:t xml:space="preserve"> </w:t>
      </w:r>
      <w:r w:rsidRPr="0026694B">
        <w:rPr>
          <w:sz w:val="18"/>
          <w:szCs w:val="18"/>
        </w:rPr>
        <w:t>As vazões mensais mínimas nos rios Jaguari e Camanducaia, no local dos barramentos Pedreira e Duas Pontes, considerando a normal climatólógica no período 1930 – 2012, foi de 4,8 m³/s e 3,4 m³/s respectivamente.</w:t>
      </w:r>
    </w:p>
  </w:footnote>
  <w:footnote w:id="4">
    <w:p w:rsidR="004258E8" w:rsidRPr="0026694B" w:rsidRDefault="004258E8" w:rsidP="0026694B">
      <w:pPr>
        <w:pStyle w:val="Rodap"/>
      </w:pPr>
      <w:r>
        <w:rPr>
          <w:rStyle w:val="Refdenotaderodap"/>
        </w:rPr>
        <w:footnoteRef/>
      </w:r>
      <w:r>
        <w:t xml:space="preserve"> </w:t>
      </w:r>
      <w:r w:rsidRPr="0026694B">
        <w:rPr>
          <w:sz w:val="18"/>
          <w:szCs w:val="18"/>
        </w:rPr>
        <w:t>Estimativas das demandas totais projetadas entre 2014 e 2020.</w:t>
      </w:r>
    </w:p>
  </w:footnote>
  <w:footnote w:id="5">
    <w:p w:rsidR="004258E8" w:rsidRPr="007A5770" w:rsidRDefault="004258E8" w:rsidP="00623CE0">
      <w:pPr>
        <w:tabs>
          <w:tab w:val="left" w:pos="1134"/>
        </w:tabs>
        <w:spacing w:line="240" w:lineRule="auto"/>
        <w:rPr>
          <w:sz w:val="18"/>
          <w:szCs w:val="18"/>
        </w:rPr>
      </w:pPr>
      <w:r w:rsidRPr="007A5770">
        <w:rPr>
          <w:rStyle w:val="Refdenotaderodap"/>
          <w:sz w:val="18"/>
          <w:szCs w:val="18"/>
        </w:rPr>
        <w:footnoteRef/>
      </w:r>
      <w:r w:rsidRPr="007A5770">
        <w:rPr>
          <w:sz w:val="18"/>
          <w:szCs w:val="18"/>
        </w:rPr>
        <w:t xml:space="preserve"> São considerados hipossuficiente</w:t>
      </w:r>
      <w:r>
        <w:rPr>
          <w:sz w:val="18"/>
          <w:szCs w:val="18"/>
        </w:rPr>
        <w:t>s</w:t>
      </w:r>
      <w:r w:rsidRPr="007A5770">
        <w:rPr>
          <w:sz w:val="18"/>
          <w:szCs w:val="18"/>
        </w:rPr>
        <w:t xml:space="preserve"> aquela</w:t>
      </w:r>
      <w:r>
        <w:rPr>
          <w:sz w:val="18"/>
          <w:szCs w:val="18"/>
        </w:rPr>
        <w:t>s</w:t>
      </w:r>
      <w:r w:rsidRPr="007A5770">
        <w:rPr>
          <w:sz w:val="18"/>
          <w:szCs w:val="18"/>
        </w:rPr>
        <w:t xml:space="preserve"> pessoa</w:t>
      </w:r>
      <w:r>
        <w:rPr>
          <w:sz w:val="18"/>
          <w:szCs w:val="18"/>
        </w:rPr>
        <w:t>s</w:t>
      </w:r>
      <w:r w:rsidRPr="007A5770">
        <w:rPr>
          <w:sz w:val="18"/>
          <w:szCs w:val="18"/>
        </w:rPr>
        <w:t xml:space="preserve"> ou família</w:t>
      </w:r>
      <w:r>
        <w:rPr>
          <w:sz w:val="18"/>
          <w:szCs w:val="18"/>
        </w:rPr>
        <w:t>s</w:t>
      </w:r>
      <w:r w:rsidRPr="007A5770">
        <w:rPr>
          <w:sz w:val="18"/>
          <w:szCs w:val="18"/>
        </w:rPr>
        <w:t xml:space="preserve"> que </w:t>
      </w:r>
      <w:r w:rsidRPr="007A5770">
        <w:rPr>
          <w:rFonts w:cs="Arial"/>
          <w:color w:val="000000"/>
          <w:sz w:val="18"/>
          <w:szCs w:val="18"/>
          <w:shd w:val="clear" w:color="auto" w:fill="FFFFFF"/>
        </w:rPr>
        <w:t>não possu</w:t>
      </w:r>
      <w:r>
        <w:rPr>
          <w:rFonts w:cs="Arial"/>
          <w:color w:val="000000"/>
          <w:sz w:val="18"/>
          <w:szCs w:val="18"/>
          <w:shd w:val="clear" w:color="auto" w:fill="FFFFFF"/>
        </w:rPr>
        <w:t>em</w:t>
      </w:r>
      <w:r w:rsidRPr="007A5770">
        <w:rPr>
          <w:rFonts w:cs="Arial"/>
          <w:color w:val="000000"/>
          <w:sz w:val="18"/>
          <w:szCs w:val="18"/>
          <w:shd w:val="clear" w:color="auto" w:fill="FFFFFF"/>
        </w:rPr>
        <w:t xml:space="preserve"> condições financeiras para se sustentar, que não </w:t>
      </w:r>
      <w:r>
        <w:rPr>
          <w:rFonts w:cs="Arial"/>
          <w:color w:val="000000"/>
          <w:sz w:val="18"/>
          <w:szCs w:val="18"/>
          <w:shd w:val="clear" w:color="auto" w:fill="FFFFFF"/>
        </w:rPr>
        <w:t>são</w:t>
      </w:r>
      <w:r w:rsidRPr="007A5770">
        <w:rPr>
          <w:rFonts w:cs="Arial"/>
          <w:color w:val="000000"/>
          <w:sz w:val="18"/>
          <w:szCs w:val="18"/>
          <w:shd w:val="clear" w:color="auto" w:fill="FFFFFF"/>
        </w:rPr>
        <w:t xml:space="preserve"> autossuficient</w:t>
      </w:r>
      <w:r>
        <w:rPr>
          <w:rFonts w:cs="Arial"/>
          <w:color w:val="000000"/>
          <w:sz w:val="18"/>
          <w:szCs w:val="18"/>
          <w:shd w:val="clear" w:color="auto" w:fill="FFFFFF"/>
        </w:rPr>
        <w:t>es</w:t>
      </w:r>
      <w:r w:rsidRPr="007A5770">
        <w:rPr>
          <w:rFonts w:cs="Arial"/>
          <w:color w:val="000000"/>
          <w:sz w:val="18"/>
          <w:szCs w:val="18"/>
          <w:shd w:val="clear" w:color="auto" w:fill="FFFFFF"/>
        </w:rPr>
        <w:t>, ou que sobrevivem com o mínimo de condições financeiras</w:t>
      </w:r>
      <w:r>
        <w:rPr>
          <w:rFonts w:cs="Arial"/>
          <w:color w:val="000000"/>
          <w:sz w:val="18"/>
          <w:szCs w:val="18"/>
          <w:shd w:val="clear" w:color="auto" w:fill="FFFFFF"/>
        </w:rPr>
        <w:t>.</w:t>
      </w:r>
    </w:p>
  </w:footnote>
  <w:footnote w:id="6">
    <w:p w:rsidR="004258E8" w:rsidRPr="0083134A" w:rsidRDefault="004258E8" w:rsidP="00A355FE">
      <w:pPr>
        <w:pStyle w:val="Textodenotaderodap"/>
        <w:spacing w:line="240" w:lineRule="auto"/>
        <w:rPr>
          <w:sz w:val="18"/>
          <w:szCs w:val="18"/>
        </w:rPr>
      </w:pPr>
      <w:r w:rsidRPr="0083134A">
        <w:rPr>
          <w:rStyle w:val="Refdenotaderodap"/>
          <w:sz w:val="18"/>
          <w:szCs w:val="18"/>
        </w:rPr>
        <w:footnoteRef/>
      </w:r>
      <w:r w:rsidRPr="0083134A">
        <w:rPr>
          <w:sz w:val="18"/>
          <w:szCs w:val="18"/>
        </w:rPr>
        <w:t xml:space="preserve"> A</w:t>
      </w:r>
      <w:r w:rsidRPr="0083134A">
        <w:rPr>
          <w:rFonts w:eastAsia="Calibri" w:cs="Arial"/>
          <w:sz w:val="18"/>
          <w:szCs w:val="18"/>
        </w:rPr>
        <w:t>“vazão de referência” tem por objetivo oferecer uma base técnica para garantir os usos múltiplos e proteger os corpos hídricos, impedindo que os volumes outorgados venham a comprometer as condições necessárias à manutenção dos ecossistemas terrestres e aquáticos. A vazão de referência constitui também a base da gestão. A legislação no Estado de São Paulo, sob gestão do DAEE-SP, estabelece percentuais não maiores que 50% da vazão Q</w:t>
      </w:r>
      <w:r w:rsidRPr="0083134A">
        <w:rPr>
          <w:rFonts w:eastAsia="Calibri" w:cs="Arial"/>
          <w:sz w:val="18"/>
          <w:szCs w:val="18"/>
          <w:vertAlign w:val="subscript"/>
        </w:rPr>
        <w:t>7,10</w:t>
      </w:r>
      <w:r w:rsidRPr="0083134A">
        <w:rPr>
          <w:rFonts w:eastAsia="Calibri" w:cs="Arial"/>
          <w:sz w:val="18"/>
          <w:szCs w:val="18"/>
        </w:rPr>
        <w:t>, por bacia, de acordo com a Lei Estadual nº 9.034/94</w:t>
      </w:r>
      <w:r w:rsidRPr="0083134A">
        <w:rPr>
          <w:rFonts w:eastAsia="Calibri" w:cs="Arial"/>
          <w:b/>
          <w:i/>
          <w:sz w:val="18"/>
          <w:szCs w:val="18"/>
        </w:rPr>
        <w:t>.</w:t>
      </w:r>
      <w:r w:rsidRPr="0083134A">
        <w:rPr>
          <w:rFonts w:eastAsia="Calibri" w:cs="Arial"/>
          <w:sz w:val="18"/>
          <w:szCs w:val="18"/>
        </w:rPr>
        <w:t xml:space="preserve"> Esses percentuais representam os limites máximos de utilização da água na seção do rio ou reservatório. São as chamadas “vazões de restrição” ou ainda as “vazões ambientais” ou "ecológicas”, na medida em que estabelecem as “vazões mínimas remanescentes”, o que significa as vazões mínimas que devem permanecer no corpo hídrico </w:t>
      </w:r>
      <w:r>
        <w:rPr>
          <w:rFonts w:eastAsia="Calibri" w:cs="Arial"/>
          <w:sz w:val="18"/>
          <w:szCs w:val="18"/>
        </w:rPr>
        <w:t>atendendo os</w:t>
      </w:r>
      <w:r w:rsidRPr="0083134A">
        <w:rPr>
          <w:rFonts w:eastAsia="Calibri" w:cs="Arial"/>
          <w:sz w:val="18"/>
          <w:szCs w:val="18"/>
        </w:rPr>
        <w:t xml:space="preserve"> usos múltiplos e as exigências da biota. Tem-se, dessa forma, nessas vazões, a gestão da qualidade e da quantidade dos corpos hídricos (CUNHA, 2007).</w:t>
      </w:r>
    </w:p>
  </w:footnote>
  <w:footnote w:id="7">
    <w:p w:rsidR="004258E8" w:rsidRPr="0083134A" w:rsidRDefault="004258E8" w:rsidP="00A355FE">
      <w:pPr>
        <w:pStyle w:val="Textodenotaderodap"/>
        <w:spacing w:line="240" w:lineRule="auto"/>
        <w:rPr>
          <w:sz w:val="18"/>
          <w:szCs w:val="18"/>
        </w:rPr>
      </w:pPr>
      <w:r w:rsidRPr="0083134A">
        <w:rPr>
          <w:rStyle w:val="Refdenotaderodap"/>
          <w:sz w:val="18"/>
          <w:szCs w:val="18"/>
        </w:rPr>
        <w:footnoteRef/>
      </w:r>
      <w:r w:rsidRPr="0083134A">
        <w:rPr>
          <w:sz w:val="18"/>
          <w:szCs w:val="18"/>
        </w:rPr>
        <w:t xml:space="preserve"> </w:t>
      </w:r>
      <w:r w:rsidRPr="0083134A">
        <w:rPr>
          <w:rFonts w:eastAsia="Calibri" w:cs="Arial"/>
          <w:sz w:val="18"/>
          <w:szCs w:val="18"/>
        </w:rPr>
        <w:t xml:space="preserve">A agricultura da região contribui com 36% da produção avícola de corte e 27% da produção de laranja no Estado. Além disso, mais de uma centena de indústrias da RMC desenvolvem atividades voltadas para o comércio exterior, apresentado nos últimos três anos um volume de exportações agrícola-industriais de US$ 400 milhões. </w:t>
      </w:r>
      <w:r w:rsidRPr="0083134A">
        <w:rPr>
          <w:sz w:val="18"/>
          <w:szCs w:val="18"/>
        </w:rPr>
        <w:t>A Região Metropolitana de Campinas, por outro lado, utiliza quase 30% do montante dos créditos agrícolas estaduais.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Default="004258E8" w:rsidP="00D751C1">
    <w:pPr>
      <w:pStyle w:val="Cabealho"/>
      <w:spacing w:line="240" w:lineRule="auto"/>
      <w:jc w:val="center"/>
      <w:rPr>
        <w:rFonts w:cs="Arial"/>
        <w:b/>
        <w:sz w:val="16"/>
        <w:szCs w:val="16"/>
      </w:rPr>
    </w:pPr>
    <w:r>
      <w:rPr>
        <w:noProof/>
      </w:rPr>
      <w:drawing>
        <wp:anchor distT="0" distB="0" distL="114300" distR="114300" simplePos="0" relativeHeight="251614208" behindDoc="0" locked="0" layoutInCell="1" allowOverlap="1" wp14:anchorId="2C8DE5DA" wp14:editId="5AB79570">
          <wp:simplePos x="0" y="0"/>
          <wp:positionH relativeFrom="margin">
            <wp:posOffset>5349875</wp:posOffset>
          </wp:positionH>
          <wp:positionV relativeFrom="margin">
            <wp:posOffset>-659765</wp:posOffset>
          </wp:positionV>
          <wp:extent cx="371475" cy="466090"/>
          <wp:effectExtent l="19050" t="0" r="9525" b="0"/>
          <wp:wrapSquare wrapText="bothSides"/>
          <wp:docPr id="12"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515904" behindDoc="0" locked="0" layoutInCell="1" allowOverlap="1" wp14:anchorId="4FECE133" wp14:editId="4D883080">
          <wp:simplePos x="0" y="0"/>
          <wp:positionH relativeFrom="margin">
            <wp:posOffset>184785</wp:posOffset>
          </wp:positionH>
          <wp:positionV relativeFrom="margin">
            <wp:posOffset>-784860</wp:posOffset>
          </wp:positionV>
          <wp:extent cx="564515" cy="564515"/>
          <wp:effectExtent l="19050" t="0" r="6985" b="0"/>
          <wp:wrapSquare wrapText="bothSides"/>
          <wp:docPr id="14"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p>
  <w:p w:rsidR="004258E8" w:rsidRPr="002B324E" w:rsidRDefault="004258E8" w:rsidP="00D751C1">
    <w:pPr>
      <w:pStyle w:val="Cabealho"/>
      <w:spacing w:line="240" w:lineRule="auto"/>
      <w:jc w:val="center"/>
      <w:rPr>
        <w:rFonts w:cs="Arial"/>
        <w:b/>
        <w:sz w:val="16"/>
        <w:szCs w:val="16"/>
      </w:rPr>
    </w:pPr>
    <w:r>
      <w:rPr>
        <w:noProof/>
      </w:rPr>
      <w:drawing>
        <wp:anchor distT="0" distB="0" distL="114300" distR="114300" simplePos="0" relativeHeight="251520000" behindDoc="0" locked="0" layoutInCell="1" allowOverlap="1" wp14:anchorId="7CB98992" wp14:editId="74DF9588">
          <wp:simplePos x="0" y="0"/>
          <wp:positionH relativeFrom="margin">
            <wp:posOffset>11918950</wp:posOffset>
          </wp:positionH>
          <wp:positionV relativeFrom="margin">
            <wp:posOffset>-784860</wp:posOffset>
          </wp:positionV>
          <wp:extent cx="371475" cy="466090"/>
          <wp:effectExtent l="19050" t="0" r="9525" b="0"/>
          <wp:wrapSquare wrapText="bothSides"/>
          <wp:docPr id="16"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r w:rsidRPr="002B324E">
      <w:rPr>
        <w:rFonts w:cs="Arial"/>
        <w:b/>
        <w:sz w:val="16"/>
        <w:szCs w:val="16"/>
      </w:rPr>
      <w:t>SECRETARIA DE SANEAMENTO E RECURSOS HÍDRICOS</w:t>
    </w:r>
    <w:r>
      <w:rPr>
        <w:rFonts w:cs="Arial"/>
        <w:b/>
        <w:sz w:val="16"/>
        <w:szCs w:val="16"/>
      </w:rPr>
      <w:t xml:space="preserve"> </w:t>
    </w:r>
  </w:p>
  <w:p w:rsidR="004258E8" w:rsidRPr="002B324E" w:rsidRDefault="004258E8" w:rsidP="00D751C1">
    <w:pPr>
      <w:pStyle w:val="Cabealho"/>
      <w:pBdr>
        <w:bottom w:val="single" w:sz="4" w:space="1" w:color="auto"/>
      </w:pBdr>
      <w:spacing w:line="240" w:lineRule="auto"/>
      <w:jc w:val="center"/>
      <w:rPr>
        <w:b/>
        <w:sz w:val="16"/>
        <w:szCs w:val="16"/>
      </w:rPr>
    </w:pPr>
    <w:r w:rsidRPr="002B324E">
      <w:rPr>
        <w:rFonts w:cs="Arial"/>
        <w:b/>
        <w:sz w:val="16"/>
        <w:szCs w:val="16"/>
      </w:rPr>
      <w:t>DEPARTAMENTO DE ÁGUAS E ENERGIA</w:t>
    </w:r>
    <w:r>
      <w:rPr>
        <w:rFonts w:cs="Arial"/>
        <w:b/>
        <w:sz w:val="16"/>
        <w:szCs w:val="16"/>
      </w:rPr>
      <w:t xml:space="preserve"> ELÉTRICA</w:t>
    </w:r>
  </w:p>
  <w:p w:rsidR="004258E8" w:rsidRDefault="004258E8" w:rsidP="009E1DAB">
    <w:pPr>
      <w:pStyle w:val="Cabealho"/>
      <w:pBdr>
        <w:bottom w:val="single" w:sz="4" w:space="1"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Default="004258E8" w:rsidP="00D751C1">
    <w:pPr>
      <w:pStyle w:val="Cabealho"/>
      <w:spacing w:line="240" w:lineRule="auto"/>
      <w:jc w:val="center"/>
      <w:rPr>
        <w:rFonts w:cs="Arial"/>
        <w:b/>
        <w:sz w:val="16"/>
        <w:szCs w:val="16"/>
      </w:rPr>
    </w:pPr>
    <w:r>
      <w:rPr>
        <w:noProof/>
      </w:rPr>
      <w:drawing>
        <wp:anchor distT="0" distB="0" distL="114300" distR="114300" simplePos="0" relativeHeight="251642880" behindDoc="0" locked="0" layoutInCell="1" allowOverlap="1" wp14:anchorId="1357A269" wp14:editId="23FE3F0F">
          <wp:simplePos x="0" y="0"/>
          <wp:positionH relativeFrom="margin">
            <wp:posOffset>5454650</wp:posOffset>
          </wp:positionH>
          <wp:positionV relativeFrom="margin">
            <wp:posOffset>-685165</wp:posOffset>
          </wp:positionV>
          <wp:extent cx="371475" cy="466090"/>
          <wp:effectExtent l="0" t="0" r="9525" b="0"/>
          <wp:wrapSquare wrapText="bothSides"/>
          <wp:docPr id="25" name="Imagem 7"/>
          <wp:cNvGraphicFramePr/>
          <a:graphic xmlns:a="http://schemas.openxmlformats.org/drawingml/2006/main">
            <a:graphicData uri="http://schemas.openxmlformats.org/drawingml/2006/picture">
              <pic:pic xmlns:pic="http://schemas.openxmlformats.org/drawingml/2006/picture">
                <pic:nvPicPr>
                  <pic:cNvPr id="26" name="Imagem 7"/>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638784" behindDoc="0" locked="0" layoutInCell="1" allowOverlap="1" wp14:anchorId="6BC5DCAB" wp14:editId="20AF6B22">
          <wp:simplePos x="0" y="0"/>
          <wp:positionH relativeFrom="margin">
            <wp:posOffset>12912725</wp:posOffset>
          </wp:positionH>
          <wp:positionV relativeFrom="margin">
            <wp:posOffset>-687705</wp:posOffset>
          </wp:positionV>
          <wp:extent cx="371475" cy="466090"/>
          <wp:effectExtent l="0" t="0" r="9525" b="0"/>
          <wp:wrapSquare wrapText="bothSides"/>
          <wp:docPr id="26"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634688" behindDoc="0" locked="0" layoutInCell="1" allowOverlap="1" wp14:anchorId="04ADB71F" wp14:editId="1756C37B">
          <wp:simplePos x="0" y="0"/>
          <wp:positionH relativeFrom="margin">
            <wp:posOffset>184785</wp:posOffset>
          </wp:positionH>
          <wp:positionV relativeFrom="margin">
            <wp:posOffset>-784860</wp:posOffset>
          </wp:positionV>
          <wp:extent cx="564515" cy="564515"/>
          <wp:effectExtent l="19050" t="0" r="6985" b="0"/>
          <wp:wrapSquare wrapText="bothSides"/>
          <wp:docPr id="27"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p>
  <w:p w:rsidR="004258E8" w:rsidRPr="002B324E" w:rsidRDefault="004258E8" w:rsidP="00D751C1">
    <w:pPr>
      <w:pStyle w:val="Cabealho"/>
      <w:spacing w:line="240" w:lineRule="auto"/>
      <w:jc w:val="center"/>
      <w:rPr>
        <w:rFonts w:cs="Arial"/>
        <w:b/>
        <w:sz w:val="16"/>
        <w:szCs w:val="16"/>
      </w:rPr>
    </w:pPr>
    <w:r w:rsidRPr="002B324E">
      <w:rPr>
        <w:rFonts w:cs="Arial"/>
        <w:b/>
        <w:sz w:val="16"/>
        <w:szCs w:val="16"/>
      </w:rPr>
      <w:t>SECRETARIA DE SANEAMENTO E RECURSOS HÍDRICOS</w:t>
    </w:r>
    <w:r>
      <w:rPr>
        <w:rFonts w:cs="Arial"/>
        <w:b/>
        <w:sz w:val="16"/>
        <w:szCs w:val="16"/>
      </w:rPr>
      <w:t xml:space="preserve"> </w:t>
    </w:r>
  </w:p>
  <w:p w:rsidR="004258E8" w:rsidRPr="002B324E" w:rsidRDefault="004258E8" w:rsidP="00D751C1">
    <w:pPr>
      <w:pStyle w:val="Cabealho"/>
      <w:pBdr>
        <w:bottom w:val="single" w:sz="4" w:space="1" w:color="auto"/>
      </w:pBdr>
      <w:spacing w:line="240" w:lineRule="auto"/>
      <w:jc w:val="center"/>
      <w:rPr>
        <w:b/>
        <w:sz w:val="16"/>
        <w:szCs w:val="16"/>
      </w:rPr>
    </w:pPr>
    <w:r w:rsidRPr="002B324E">
      <w:rPr>
        <w:rFonts w:cs="Arial"/>
        <w:b/>
        <w:sz w:val="16"/>
        <w:szCs w:val="16"/>
      </w:rPr>
      <w:t>DEPARTAMENTO DE ÁGUAS E ENERGIA</w:t>
    </w:r>
    <w:r>
      <w:rPr>
        <w:rFonts w:cs="Arial"/>
        <w:b/>
        <w:sz w:val="16"/>
        <w:szCs w:val="16"/>
      </w:rPr>
      <w:t xml:space="preserve"> ELÉTRICA</w:t>
    </w:r>
  </w:p>
  <w:p w:rsidR="004258E8" w:rsidRDefault="004258E8" w:rsidP="009E1DAB">
    <w:pPr>
      <w:pStyle w:val="Cabealho"/>
      <w:pBdr>
        <w:bottom w:val="single" w:sz="4" w:space="1"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Default="004258E8" w:rsidP="00D751C1">
    <w:pPr>
      <w:pStyle w:val="Cabealho"/>
      <w:spacing w:line="240" w:lineRule="auto"/>
      <w:jc w:val="center"/>
      <w:rPr>
        <w:rFonts w:cs="Arial"/>
        <w:b/>
        <w:sz w:val="16"/>
        <w:szCs w:val="16"/>
      </w:rPr>
    </w:pPr>
    <w:r>
      <w:rPr>
        <w:noProof/>
      </w:rPr>
      <w:drawing>
        <wp:anchor distT="0" distB="0" distL="114300" distR="114300" simplePos="0" relativeHeight="251651072" behindDoc="0" locked="0" layoutInCell="1" allowOverlap="1" wp14:anchorId="7E2C23BE" wp14:editId="7E641FBD">
          <wp:simplePos x="0" y="0"/>
          <wp:positionH relativeFrom="margin">
            <wp:posOffset>12912725</wp:posOffset>
          </wp:positionH>
          <wp:positionV relativeFrom="margin">
            <wp:posOffset>-687705</wp:posOffset>
          </wp:positionV>
          <wp:extent cx="371475" cy="466090"/>
          <wp:effectExtent l="0" t="0" r="9525" b="0"/>
          <wp:wrapSquare wrapText="bothSides"/>
          <wp:docPr id="230"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646976" behindDoc="0" locked="0" layoutInCell="1" allowOverlap="1" wp14:anchorId="62228F44" wp14:editId="62DF1C69">
          <wp:simplePos x="0" y="0"/>
          <wp:positionH relativeFrom="margin">
            <wp:posOffset>184785</wp:posOffset>
          </wp:positionH>
          <wp:positionV relativeFrom="margin">
            <wp:posOffset>-784860</wp:posOffset>
          </wp:positionV>
          <wp:extent cx="564515" cy="564515"/>
          <wp:effectExtent l="19050" t="0" r="6985" b="0"/>
          <wp:wrapSquare wrapText="bothSides"/>
          <wp:docPr id="232"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p>
  <w:p w:rsidR="004258E8" w:rsidRPr="002B324E" w:rsidRDefault="004258E8" w:rsidP="00D751C1">
    <w:pPr>
      <w:pStyle w:val="Cabealho"/>
      <w:spacing w:line="240" w:lineRule="auto"/>
      <w:jc w:val="center"/>
      <w:rPr>
        <w:rFonts w:cs="Arial"/>
        <w:b/>
        <w:sz w:val="16"/>
        <w:szCs w:val="16"/>
      </w:rPr>
    </w:pPr>
    <w:r w:rsidRPr="002B324E">
      <w:rPr>
        <w:rFonts w:cs="Arial"/>
        <w:b/>
        <w:sz w:val="16"/>
        <w:szCs w:val="16"/>
      </w:rPr>
      <w:t>SECRETARIA DE SANEAMENTO E RECURSOS HÍDRICOS</w:t>
    </w:r>
    <w:r>
      <w:rPr>
        <w:rFonts w:cs="Arial"/>
        <w:b/>
        <w:sz w:val="16"/>
        <w:szCs w:val="16"/>
      </w:rPr>
      <w:t xml:space="preserve"> </w:t>
    </w:r>
  </w:p>
  <w:p w:rsidR="004258E8" w:rsidRPr="002B324E" w:rsidRDefault="004258E8" w:rsidP="00D751C1">
    <w:pPr>
      <w:pStyle w:val="Cabealho"/>
      <w:pBdr>
        <w:bottom w:val="single" w:sz="4" w:space="1" w:color="auto"/>
      </w:pBdr>
      <w:spacing w:line="240" w:lineRule="auto"/>
      <w:jc w:val="center"/>
      <w:rPr>
        <w:b/>
        <w:sz w:val="16"/>
        <w:szCs w:val="16"/>
      </w:rPr>
    </w:pPr>
    <w:r w:rsidRPr="002B324E">
      <w:rPr>
        <w:rFonts w:cs="Arial"/>
        <w:b/>
        <w:sz w:val="16"/>
        <w:szCs w:val="16"/>
      </w:rPr>
      <w:t>DEPARTAMENTO DE ÁGUAS E ENERGIA</w:t>
    </w:r>
    <w:r>
      <w:rPr>
        <w:rFonts w:cs="Arial"/>
        <w:b/>
        <w:sz w:val="16"/>
        <w:szCs w:val="16"/>
      </w:rPr>
      <w:t xml:space="preserve"> ELÉTRICA</w:t>
    </w:r>
  </w:p>
  <w:p w:rsidR="004258E8" w:rsidRDefault="004258E8" w:rsidP="009E1DAB">
    <w:pPr>
      <w:pStyle w:val="Cabealho"/>
      <w:pBdr>
        <w:bottom w:val="single" w:sz="4" w:space="1"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Pr="00991ACB" w:rsidRDefault="004258E8" w:rsidP="008B5ABD">
    <w:pPr>
      <w:pStyle w:val="Cabealho"/>
      <w:jc w:val="right"/>
      <w:rPr>
        <w:szCs w:val="22"/>
      </w:rPr>
    </w:pPr>
    <w:r>
      <w:rPr>
        <w:noProof/>
      </w:rPr>
      <w:drawing>
        <wp:anchor distT="0" distB="0" distL="114300" distR="114300" simplePos="0" relativeHeight="251544576" behindDoc="0" locked="0" layoutInCell="1" allowOverlap="1" wp14:anchorId="07E9F829" wp14:editId="35E1E4FB">
          <wp:simplePos x="0" y="0"/>
          <wp:positionH relativeFrom="margin">
            <wp:posOffset>5359400</wp:posOffset>
          </wp:positionH>
          <wp:positionV relativeFrom="margin">
            <wp:posOffset>-661035</wp:posOffset>
          </wp:positionV>
          <wp:extent cx="371475" cy="466090"/>
          <wp:effectExtent l="0" t="0" r="9525" b="0"/>
          <wp:wrapSquare wrapText="bothSides"/>
          <wp:docPr id="23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540480" behindDoc="0" locked="0" layoutInCell="1" allowOverlap="1" wp14:anchorId="361A51D8" wp14:editId="2AC28B16">
          <wp:simplePos x="0" y="0"/>
          <wp:positionH relativeFrom="margin">
            <wp:posOffset>294640</wp:posOffset>
          </wp:positionH>
          <wp:positionV relativeFrom="margin">
            <wp:posOffset>-712470</wp:posOffset>
          </wp:positionV>
          <wp:extent cx="564515" cy="564515"/>
          <wp:effectExtent l="19050" t="0" r="6985" b="0"/>
          <wp:wrapSquare wrapText="bothSides"/>
          <wp:docPr id="238"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r>
      <w:rPr>
        <w:noProof/>
      </w:rPr>
      <w:drawing>
        <wp:anchor distT="0" distB="0" distL="114300" distR="114300" simplePos="0" relativeHeight="251532288" behindDoc="0" locked="0" layoutInCell="1" allowOverlap="1" wp14:anchorId="045E86A4" wp14:editId="395FE52B">
          <wp:simplePos x="0" y="0"/>
          <wp:positionH relativeFrom="margin">
            <wp:posOffset>12131675</wp:posOffset>
          </wp:positionH>
          <wp:positionV relativeFrom="margin">
            <wp:posOffset>-389890</wp:posOffset>
          </wp:positionV>
          <wp:extent cx="918210" cy="259080"/>
          <wp:effectExtent l="19050" t="0" r="0" b="0"/>
          <wp:wrapSquare wrapText="bothSides"/>
          <wp:docPr id="239" name="Imagem 375" descr="D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75" descr="DH"/>
                  <pic:cNvPicPr>
                    <a:picLocks noChangeAspect="1" noChangeArrowheads="1"/>
                  </pic:cNvPicPr>
                </pic:nvPicPr>
                <pic:blipFill>
                  <a:blip r:embed="rId4"/>
                  <a:srcRect/>
                  <a:stretch>
                    <a:fillRect/>
                  </a:stretch>
                </pic:blipFill>
                <pic:spPr bwMode="auto">
                  <a:xfrm>
                    <a:off x="0" y="0"/>
                    <a:ext cx="918210" cy="259080"/>
                  </a:xfrm>
                  <a:prstGeom prst="rect">
                    <a:avLst/>
                  </a:prstGeom>
                  <a:noFill/>
                  <a:ln w="9525">
                    <a:noFill/>
                    <a:miter lim="800000"/>
                    <a:headEnd/>
                    <a:tailEnd/>
                  </a:ln>
                </pic:spPr>
              </pic:pic>
            </a:graphicData>
          </a:graphic>
        </wp:anchor>
      </w:drawing>
    </w:r>
    <w:r>
      <w:rPr>
        <w:noProof/>
      </w:rPr>
      <w:drawing>
        <wp:anchor distT="0" distB="0" distL="114300" distR="114300" simplePos="0" relativeHeight="251536384" behindDoc="0" locked="0" layoutInCell="1" allowOverlap="1" wp14:anchorId="2EE7872D" wp14:editId="03399A0D">
          <wp:simplePos x="0" y="0"/>
          <wp:positionH relativeFrom="margin">
            <wp:posOffset>294640</wp:posOffset>
          </wp:positionH>
          <wp:positionV relativeFrom="margin">
            <wp:posOffset>-758190</wp:posOffset>
          </wp:positionV>
          <wp:extent cx="564515" cy="564515"/>
          <wp:effectExtent l="19050" t="0" r="6985" b="0"/>
          <wp:wrapSquare wrapText="bothSides"/>
          <wp:docPr id="240"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p>
  <w:p w:rsidR="004258E8" w:rsidRPr="002B324E" w:rsidRDefault="004258E8" w:rsidP="008B5ABD">
    <w:pPr>
      <w:pStyle w:val="Cabealho"/>
      <w:spacing w:line="240" w:lineRule="auto"/>
      <w:jc w:val="center"/>
      <w:rPr>
        <w:rFonts w:cs="Arial"/>
        <w:b/>
        <w:sz w:val="16"/>
        <w:szCs w:val="16"/>
      </w:rPr>
    </w:pPr>
    <w:r w:rsidRPr="002B324E">
      <w:rPr>
        <w:rFonts w:cs="Arial"/>
        <w:b/>
        <w:sz w:val="16"/>
        <w:szCs w:val="16"/>
      </w:rPr>
      <w:t>SECRETARIA DE SANEAMENTO E RECURSOS HÍDRICOS</w:t>
    </w:r>
  </w:p>
  <w:p w:rsidR="004258E8" w:rsidRPr="002B324E" w:rsidRDefault="004258E8" w:rsidP="008B5ABD">
    <w:pPr>
      <w:pStyle w:val="Cabealho"/>
      <w:spacing w:line="240" w:lineRule="auto"/>
      <w:jc w:val="center"/>
      <w:rPr>
        <w:b/>
        <w:sz w:val="16"/>
        <w:szCs w:val="16"/>
      </w:rPr>
    </w:pPr>
    <w:r w:rsidRPr="002B324E">
      <w:rPr>
        <w:rFonts w:cs="Arial"/>
        <w:b/>
        <w:sz w:val="16"/>
        <w:szCs w:val="16"/>
      </w:rPr>
      <w:t>DEPARTAMENTO DE ÁGUAS E ENERGIA</w:t>
    </w:r>
    <w:r>
      <w:rPr>
        <w:rFonts w:cs="Arial"/>
        <w:b/>
        <w:sz w:val="16"/>
        <w:szCs w:val="16"/>
      </w:rPr>
      <w:t xml:space="preserve"> ELÉTRICA</w:t>
    </w:r>
    <w:r w:rsidRPr="002B324E">
      <w:rPr>
        <w:rFonts w:cs="Arial"/>
        <w:b/>
        <w:sz w:val="16"/>
        <w:szCs w:val="16"/>
      </w:rPr>
      <w:t xml:space="preserve"> </w:t>
    </w:r>
  </w:p>
  <w:p w:rsidR="004258E8" w:rsidRPr="00E75FE7" w:rsidRDefault="004258E8" w:rsidP="00E75FE7">
    <w:pPr>
      <w:pStyle w:val="Cabealho"/>
      <w:jc w:val="right"/>
      <w:rPr>
        <w:sz w:val="20"/>
      </w:rPr>
    </w:pPr>
    <w:r>
      <w:rPr>
        <w:noProof/>
        <w:sz w:val="20"/>
      </w:rPr>
      <mc:AlternateContent>
        <mc:Choice Requires="wps">
          <w:drawing>
            <wp:anchor distT="4294967295" distB="4294967295" distL="114300" distR="114300" simplePos="0" relativeHeight="251642368" behindDoc="0" locked="0" layoutInCell="1" allowOverlap="1" wp14:anchorId="53D789E3" wp14:editId="0ED1A6E8">
              <wp:simplePos x="0" y="0"/>
              <wp:positionH relativeFrom="column">
                <wp:posOffset>-38100</wp:posOffset>
              </wp:positionH>
              <wp:positionV relativeFrom="paragraph">
                <wp:posOffset>217804</wp:posOffset>
              </wp:positionV>
              <wp:extent cx="6035040" cy="0"/>
              <wp:effectExtent l="0" t="0" r="22860" b="19050"/>
              <wp:wrapNone/>
              <wp:docPr id="18" name="Line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350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5" o:spid="_x0000_s1026" style="position:absolute;z-index:2516423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pt,17.15pt" to="472.2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ZnvEw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"/>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Pr="00991ACB" w:rsidRDefault="004258E8" w:rsidP="008B5ABD">
    <w:pPr>
      <w:pStyle w:val="Cabealho"/>
      <w:jc w:val="right"/>
      <w:rPr>
        <w:szCs w:val="22"/>
      </w:rPr>
    </w:pPr>
    <w:r>
      <w:rPr>
        <w:noProof/>
      </w:rPr>
      <w:drawing>
        <wp:anchor distT="0" distB="0" distL="114300" distR="114300" simplePos="0" relativeHeight="251560960" behindDoc="0" locked="0" layoutInCell="1" allowOverlap="1" wp14:anchorId="250F339C" wp14:editId="533BBF6A">
          <wp:simplePos x="0" y="0"/>
          <wp:positionH relativeFrom="margin">
            <wp:posOffset>8328660</wp:posOffset>
          </wp:positionH>
          <wp:positionV relativeFrom="margin">
            <wp:posOffset>-613410</wp:posOffset>
          </wp:positionV>
          <wp:extent cx="371475" cy="466090"/>
          <wp:effectExtent l="0" t="0" r="9525" b="0"/>
          <wp:wrapSquare wrapText="bothSides"/>
          <wp:docPr id="245"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556864" behindDoc="0" locked="0" layoutInCell="1" allowOverlap="1" wp14:anchorId="362B1F63" wp14:editId="2F5FDAFA">
          <wp:simplePos x="0" y="0"/>
          <wp:positionH relativeFrom="margin">
            <wp:posOffset>294640</wp:posOffset>
          </wp:positionH>
          <wp:positionV relativeFrom="margin">
            <wp:posOffset>-712470</wp:posOffset>
          </wp:positionV>
          <wp:extent cx="564515" cy="564515"/>
          <wp:effectExtent l="19050" t="0" r="6985" b="0"/>
          <wp:wrapSquare wrapText="bothSides"/>
          <wp:docPr id="246"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r>
      <w:rPr>
        <w:noProof/>
      </w:rPr>
      <w:drawing>
        <wp:anchor distT="0" distB="0" distL="114300" distR="114300" simplePos="0" relativeHeight="251548672" behindDoc="0" locked="0" layoutInCell="1" allowOverlap="1" wp14:anchorId="0B6083A3" wp14:editId="10A6BD63">
          <wp:simplePos x="0" y="0"/>
          <wp:positionH relativeFrom="margin">
            <wp:posOffset>12131675</wp:posOffset>
          </wp:positionH>
          <wp:positionV relativeFrom="margin">
            <wp:posOffset>-389890</wp:posOffset>
          </wp:positionV>
          <wp:extent cx="918210" cy="259080"/>
          <wp:effectExtent l="19050" t="0" r="0" b="0"/>
          <wp:wrapSquare wrapText="bothSides"/>
          <wp:docPr id="247" name="Imagem 375" descr="D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75" descr="DH"/>
                  <pic:cNvPicPr>
                    <a:picLocks noChangeAspect="1" noChangeArrowheads="1"/>
                  </pic:cNvPicPr>
                </pic:nvPicPr>
                <pic:blipFill>
                  <a:blip r:embed="rId4"/>
                  <a:srcRect/>
                  <a:stretch>
                    <a:fillRect/>
                  </a:stretch>
                </pic:blipFill>
                <pic:spPr bwMode="auto">
                  <a:xfrm>
                    <a:off x="0" y="0"/>
                    <a:ext cx="918210" cy="259080"/>
                  </a:xfrm>
                  <a:prstGeom prst="rect">
                    <a:avLst/>
                  </a:prstGeom>
                  <a:noFill/>
                  <a:ln w="9525">
                    <a:noFill/>
                    <a:miter lim="800000"/>
                    <a:headEnd/>
                    <a:tailEnd/>
                  </a:ln>
                </pic:spPr>
              </pic:pic>
            </a:graphicData>
          </a:graphic>
        </wp:anchor>
      </w:drawing>
    </w:r>
    <w:r>
      <w:rPr>
        <w:noProof/>
      </w:rPr>
      <w:drawing>
        <wp:anchor distT="0" distB="0" distL="114300" distR="114300" simplePos="0" relativeHeight="251552768" behindDoc="0" locked="0" layoutInCell="1" allowOverlap="1" wp14:anchorId="67BC4924" wp14:editId="3D4EE38A">
          <wp:simplePos x="0" y="0"/>
          <wp:positionH relativeFrom="margin">
            <wp:posOffset>294640</wp:posOffset>
          </wp:positionH>
          <wp:positionV relativeFrom="margin">
            <wp:posOffset>-758190</wp:posOffset>
          </wp:positionV>
          <wp:extent cx="564515" cy="564515"/>
          <wp:effectExtent l="19050" t="0" r="6985" b="0"/>
          <wp:wrapSquare wrapText="bothSides"/>
          <wp:docPr id="248"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p>
  <w:p w:rsidR="004258E8" w:rsidRPr="002B324E" w:rsidRDefault="004258E8" w:rsidP="008B5ABD">
    <w:pPr>
      <w:pStyle w:val="Cabealho"/>
      <w:spacing w:line="240" w:lineRule="auto"/>
      <w:jc w:val="center"/>
      <w:rPr>
        <w:rFonts w:cs="Arial"/>
        <w:b/>
        <w:sz w:val="16"/>
        <w:szCs w:val="16"/>
      </w:rPr>
    </w:pPr>
    <w:r w:rsidRPr="002B324E">
      <w:rPr>
        <w:rFonts w:cs="Arial"/>
        <w:b/>
        <w:sz w:val="16"/>
        <w:szCs w:val="16"/>
      </w:rPr>
      <w:t>SECRETARIA DE SANEAMENTO E RECURSOS HÍDRICOS</w:t>
    </w:r>
  </w:p>
  <w:p w:rsidR="004258E8" w:rsidRPr="002B324E" w:rsidRDefault="004258E8" w:rsidP="008B5ABD">
    <w:pPr>
      <w:pStyle w:val="Cabealho"/>
      <w:spacing w:line="240" w:lineRule="auto"/>
      <w:jc w:val="center"/>
      <w:rPr>
        <w:b/>
        <w:sz w:val="16"/>
        <w:szCs w:val="16"/>
      </w:rPr>
    </w:pPr>
    <w:r w:rsidRPr="002B324E">
      <w:rPr>
        <w:rFonts w:cs="Arial"/>
        <w:b/>
        <w:sz w:val="16"/>
        <w:szCs w:val="16"/>
      </w:rPr>
      <w:t>DEPARTAMENTO DE ÁGUAS E ENERGIA</w:t>
    </w:r>
    <w:r>
      <w:rPr>
        <w:rFonts w:cs="Arial"/>
        <w:b/>
        <w:sz w:val="16"/>
        <w:szCs w:val="16"/>
      </w:rPr>
      <w:t xml:space="preserve"> ELÉTRICA</w:t>
    </w:r>
    <w:r w:rsidRPr="002B324E">
      <w:rPr>
        <w:rFonts w:cs="Arial"/>
        <w:b/>
        <w:sz w:val="16"/>
        <w:szCs w:val="16"/>
      </w:rPr>
      <w:t xml:space="preserve"> </w:t>
    </w:r>
  </w:p>
  <w:p w:rsidR="004258E8" w:rsidRPr="00E75FE7" w:rsidRDefault="004258E8" w:rsidP="00E75FE7">
    <w:pPr>
      <w:pStyle w:val="Cabealho"/>
      <w:jc w:val="right"/>
      <w:rPr>
        <w:sz w:val="20"/>
      </w:rPr>
    </w:pPr>
    <w:r>
      <w:rPr>
        <w:noProof/>
        <w:sz w:val="20"/>
      </w:rPr>
      <mc:AlternateContent>
        <mc:Choice Requires="wps">
          <w:drawing>
            <wp:anchor distT="4294967295" distB="4294967295" distL="114300" distR="114300" simplePos="0" relativeHeight="251650560" behindDoc="0" locked="0" layoutInCell="1" allowOverlap="1" wp14:anchorId="167BE978" wp14:editId="2AB86D3F">
              <wp:simplePos x="0" y="0"/>
              <wp:positionH relativeFrom="column">
                <wp:posOffset>-38100</wp:posOffset>
              </wp:positionH>
              <wp:positionV relativeFrom="paragraph">
                <wp:posOffset>158749</wp:posOffset>
              </wp:positionV>
              <wp:extent cx="9005570" cy="0"/>
              <wp:effectExtent l="0" t="0" r="24130" b="19050"/>
              <wp:wrapNone/>
              <wp:docPr id="15"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0055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4" o:spid="_x0000_s1026" style="position:absolute;flip:y;z-index:2516505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pt,12.5pt" to="706.1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"/>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Pr="00991ACB" w:rsidRDefault="004258E8" w:rsidP="008B5ABD">
    <w:pPr>
      <w:pStyle w:val="Cabealho"/>
      <w:jc w:val="right"/>
      <w:rPr>
        <w:szCs w:val="22"/>
      </w:rPr>
    </w:pPr>
    <w:r>
      <w:rPr>
        <w:noProof/>
      </w:rPr>
      <w:drawing>
        <wp:anchor distT="0" distB="0" distL="114300" distR="114300" simplePos="0" relativeHeight="251577344" behindDoc="0" locked="0" layoutInCell="1" allowOverlap="1" wp14:anchorId="53F4ACD1" wp14:editId="6C96A0B8">
          <wp:simplePos x="0" y="0"/>
          <wp:positionH relativeFrom="margin">
            <wp:posOffset>5426075</wp:posOffset>
          </wp:positionH>
          <wp:positionV relativeFrom="margin">
            <wp:posOffset>-661035</wp:posOffset>
          </wp:positionV>
          <wp:extent cx="371475" cy="466090"/>
          <wp:effectExtent l="0" t="0" r="9525" b="0"/>
          <wp:wrapSquare wrapText="bothSides"/>
          <wp:docPr id="3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573248" behindDoc="0" locked="0" layoutInCell="1" allowOverlap="1" wp14:anchorId="69A0A808" wp14:editId="535B180B">
          <wp:simplePos x="0" y="0"/>
          <wp:positionH relativeFrom="margin">
            <wp:posOffset>294640</wp:posOffset>
          </wp:positionH>
          <wp:positionV relativeFrom="margin">
            <wp:posOffset>-712470</wp:posOffset>
          </wp:positionV>
          <wp:extent cx="564515" cy="564515"/>
          <wp:effectExtent l="19050" t="0" r="6985" b="0"/>
          <wp:wrapSquare wrapText="bothSides"/>
          <wp:docPr id="38"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r>
      <w:rPr>
        <w:noProof/>
      </w:rPr>
      <w:drawing>
        <wp:anchor distT="0" distB="0" distL="114300" distR="114300" simplePos="0" relativeHeight="251565056" behindDoc="0" locked="0" layoutInCell="1" allowOverlap="1" wp14:anchorId="68B62F5E" wp14:editId="30440D07">
          <wp:simplePos x="0" y="0"/>
          <wp:positionH relativeFrom="margin">
            <wp:posOffset>12131675</wp:posOffset>
          </wp:positionH>
          <wp:positionV relativeFrom="margin">
            <wp:posOffset>-389890</wp:posOffset>
          </wp:positionV>
          <wp:extent cx="918210" cy="259080"/>
          <wp:effectExtent l="19050" t="0" r="0" b="0"/>
          <wp:wrapSquare wrapText="bothSides"/>
          <wp:docPr id="40" name="Imagem 375" descr="D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75" descr="DH"/>
                  <pic:cNvPicPr>
                    <a:picLocks noChangeAspect="1" noChangeArrowheads="1"/>
                  </pic:cNvPicPr>
                </pic:nvPicPr>
                <pic:blipFill>
                  <a:blip r:embed="rId4"/>
                  <a:srcRect/>
                  <a:stretch>
                    <a:fillRect/>
                  </a:stretch>
                </pic:blipFill>
                <pic:spPr bwMode="auto">
                  <a:xfrm>
                    <a:off x="0" y="0"/>
                    <a:ext cx="918210" cy="259080"/>
                  </a:xfrm>
                  <a:prstGeom prst="rect">
                    <a:avLst/>
                  </a:prstGeom>
                  <a:noFill/>
                  <a:ln w="9525">
                    <a:noFill/>
                    <a:miter lim="800000"/>
                    <a:headEnd/>
                    <a:tailEnd/>
                  </a:ln>
                </pic:spPr>
              </pic:pic>
            </a:graphicData>
          </a:graphic>
        </wp:anchor>
      </w:drawing>
    </w:r>
    <w:r>
      <w:rPr>
        <w:noProof/>
      </w:rPr>
      <w:drawing>
        <wp:anchor distT="0" distB="0" distL="114300" distR="114300" simplePos="0" relativeHeight="251569152" behindDoc="0" locked="0" layoutInCell="1" allowOverlap="1" wp14:anchorId="3DB4A441" wp14:editId="560E1BDE">
          <wp:simplePos x="0" y="0"/>
          <wp:positionH relativeFrom="margin">
            <wp:posOffset>294640</wp:posOffset>
          </wp:positionH>
          <wp:positionV relativeFrom="margin">
            <wp:posOffset>-758190</wp:posOffset>
          </wp:positionV>
          <wp:extent cx="564515" cy="564515"/>
          <wp:effectExtent l="19050" t="0" r="6985" b="0"/>
          <wp:wrapSquare wrapText="bothSides"/>
          <wp:docPr id="41"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p>
  <w:p w:rsidR="004258E8" w:rsidRPr="002B324E" w:rsidRDefault="004258E8" w:rsidP="008B5ABD">
    <w:pPr>
      <w:pStyle w:val="Cabealho"/>
      <w:spacing w:line="240" w:lineRule="auto"/>
      <w:jc w:val="center"/>
      <w:rPr>
        <w:rFonts w:cs="Arial"/>
        <w:b/>
        <w:sz w:val="16"/>
        <w:szCs w:val="16"/>
      </w:rPr>
    </w:pPr>
    <w:r w:rsidRPr="002B324E">
      <w:rPr>
        <w:rFonts w:cs="Arial"/>
        <w:b/>
        <w:sz w:val="16"/>
        <w:szCs w:val="16"/>
      </w:rPr>
      <w:t>SECRETARIA DE SANEAMENTO E RECURSOS HÍDRICOS</w:t>
    </w:r>
  </w:p>
  <w:p w:rsidR="004258E8" w:rsidRPr="002B324E" w:rsidRDefault="004258E8" w:rsidP="008B5ABD">
    <w:pPr>
      <w:pStyle w:val="Cabealho"/>
      <w:spacing w:line="240" w:lineRule="auto"/>
      <w:jc w:val="center"/>
      <w:rPr>
        <w:b/>
        <w:sz w:val="16"/>
        <w:szCs w:val="16"/>
      </w:rPr>
    </w:pPr>
    <w:r w:rsidRPr="002B324E">
      <w:rPr>
        <w:rFonts w:cs="Arial"/>
        <w:b/>
        <w:sz w:val="16"/>
        <w:szCs w:val="16"/>
      </w:rPr>
      <w:t>DEPARTAMENTO DE ÁGUAS E ENERGIA</w:t>
    </w:r>
    <w:r>
      <w:rPr>
        <w:rFonts w:cs="Arial"/>
        <w:b/>
        <w:sz w:val="16"/>
        <w:szCs w:val="16"/>
      </w:rPr>
      <w:t xml:space="preserve"> ELÉTRICA</w:t>
    </w:r>
  </w:p>
  <w:p w:rsidR="004258E8" w:rsidRPr="00E75FE7" w:rsidRDefault="004258E8" w:rsidP="00E75FE7">
    <w:pPr>
      <w:pStyle w:val="Cabealho"/>
      <w:jc w:val="right"/>
      <w:rPr>
        <w:sz w:val="20"/>
      </w:rPr>
    </w:pPr>
    <w:r>
      <w:rPr>
        <w:noProof/>
        <w:sz w:val="20"/>
      </w:rPr>
      <mc:AlternateContent>
        <mc:Choice Requires="wps">
          <w:drawing>
            <wp:anchor distT="4294967295" distB="4294967295" distL="114300" distR="114300" simplePos="0" relativeHeight="251658752" behindDoc="0" locked="0" layoutInCell="1" allowOverlap="1" wp14:anchorId="764FEDB6" wp14:editId="735F45B1">
              <wp:simplePos x="0" y="0"/>
              <wp:positionH relativeFrom="column">
                <wp:posOffset>-38100</wp:posOffset>
              </wp:positionH>
              <wp:positionV relativeFrom="paragraph">
                <wp:posOffset>170179</wp:posOffset>
              </wp:positionV>
              <wp:extent cx="6035040" cy="0"/>
              <wp:effectExtent l="0" t="0" r="22860" b="19050"/>
              <wp:wrapNone/>
              <wp:docPr id="13" name="Lin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350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2" o:spid="_x0000_s1026" style="position:absolute;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pt,13.4pt" to="472.2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o4BFQIAACs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"/>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Pr="00991ACB" w:rsidRDefault="004258E8" w:rsidP="008B5ABD">
    <w:pPr>
      <w:pStyle w:val="Cabealho"/>
      <w:jc w:val="right"/>
      <w:rPr>
        <w:szCs w:val="22"/>
      </w:rPr>
    </w:pPr>
    <w:r>
      <w:rPr>
        <w:noProof/>
      </w:rPr>
      <w:drawing>
        <wp:anchor distT="0" distB="0" distL="114300" distR="114300" simplePos="0" relativeHeight="251593728" behindDoc="0" locked="0" layoutInCell="1" allowOverlap="1" wp14:anchorId="78749340" wp14:editId="2B41F4F0">
          <wp:simplePos x="0" y="0"/>
          <wp:positionH relativeFrom="margin">
            <wp:posOffset>8426450</wp:posOffset>
          </wp:positionH>
          <wp:positionV relativeFrom="margin">
            <wp:posOffset>-661035</wp:posOffset>
          </wp:positionV>
          <wp:extent cx="371475" cy="466090"/>
          <wp:effectExtent l="0" t="0" r="9525" b="0"/>
          <wp:wrapSquare wrapText="bothSides"/>
          <wp:docPr id="46"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589632" behindDoc="0" locked="0" layoutInCell="1" allowOverlap="1" wp14:anchorId="1C5E6A3D" wp14:editId="6D1E71D6">
          <wp:simplePos x="0" y="0"/>
          <wp:positionH relativeFrom="margin">
            <wp:posOffset>294640</wp:posOffset>
          </wp:positionH>
          <wp:positionV relativeFrom="margin">
            <wp:posOffset>-712470</wp:posOffset>
          </wp:positionV>
          <wp:extent cx="564515" cy="564515"/>
          <wp:effectExtent l="19050" t="0" r="6985" b="0"/>
          <wp:wrapSquare wrapText="bothSides"/>
          <wp:docPr id="47"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r>
      <w:rPr>
        <w:noProof/>
      </w:rPr>
      <w:drawing>
        <wp:anchor distT="0" distB="0" distL="114300" distR="114300" simplePos="0" relativeHeight="251581440" behindDoc="0" locked="0" layoutInCell="1" allowOverlap="1" wp14:anchorId="44020A1D" wp14:editId="1D4ADF9E">
          <wp:simplePos x="0" y="0"/>
          <wp:positionH relativeFrom="margin">
            <wp:posOffset>12131675</wp:posOffset>
          </wp:positionH>
          <wp:positionV relativeFrom="margin">
            <wp:posOffset>-389890</wp:posOffset>
          </wp:positionV>
          <wp:extent cx="918210" cy="259080"/>
          <wp:effectExtent l="19050" t="0" r="0" b="0"/>
          <wp:wrapSquare wrapText="bothSides"/>
          <wp:docPr id="48" name="Imagem 375" descr="D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75" descr="DH"/>
                  <pic:cNvPicPr>
                    <a:picLocks noChangeAspect="1" noChangeArrowheads="1"/>
                  </pic:cNvPicPr>
                </pic:nvPicPr>
                <pic:blipFill>
                  <a:blip r:embed="rId4"/>
                  <a:srcRect/>
                  <a:stretch>
                    <a:fillRect/>
                  </a:stretch>
                </pic:blipFill>
                <pic:spPr bwMode="auto">
                  <a:xfrm>
                    <a:off x="0" y="0"/>
                    <a:ext cx="918210" cy="259080"/>
                  </a:xfrm>
                  <a:prstGeom prst="rect">
                    <a:avLst/>
                  </a:prstGeom>
                  <a:noFill/>
                  <a:ln w="9525">
                    <a:noFill/>
                    <a:miter lim="800000"/>
                    <a:headEnd/>
                    <a:tailEnd/>
                  </a:ln>
                </pic:spPr>
              </pic:pic>
            </a:graphicData>
          </a:graphic>
        </wp:anchor>
      </w:drawing>
    </w:r>
    <w:r>
      <w:rPr>
        <w:noProof/>
      </w:rPr>
      <w:drawing>
        <wp:anchor distT="0" distB="0" distL="114300" distR="114300" simplePos="0" relativeHeight="251585536" behindDoc="0" locked="0" layoutInCell="1" allowOverlap="1" wp14:anchorId="5C716526" wp14:editId="054237DA">
          <wp:simplePos x="0" y="0"/>
          <wp:positionH relativeFrom="margin">
            <wp:posOffset>294640</wp:posOffset>
          </wp:positionH>
          <wp:positionV relativeFrom="margin">
            <wp:posOffset>-758190</wp:posOffset>
          </wp:positionV>
          <wp:extent cx="564515" cy="564515"/>
          <wp:effectExtent l="19050" t="0" r="6985" b="0"/>
          <wp:wrapSquare wrapText="bothSides"/>
          <wp:docPr id="50"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p>
  <w:p w:rsidR="004258E8" w:rsidRPr="002B324E" w:rsidRDefault="004258E8" w:rsidP="008B5ABD">
    <w:pPr>
      <w:pStyle w:val="Cabealho"/>
      <w:spacing w:line="240" w:lineRule="auto"/>
      <w:jc w:val="center"/>
      <w:rPr>
        <w:rFonts w:cs="Arial"/>
        <w:b/>
        <w:sz w:val="16"/>
        <w:szCs w:val="16"/>
      </w:rPr>
    </w:pPr>
    <w:r w:rsidRPr="002B324E">
      <w:rPr>
        <w:rFonts w:cs="Arial"/>
        <w:b/>
        <w:sz w:val="16"/>
        <w:szCs w:val="16"/>
      </w:rPr>
      <w:t>SECRETARIA DE SANEAMENTO E RECURSOS HÍDRICOS</w:t>
    </w:r>
  </w:p>
  <w:p w:rsidR="004258E8" w:rsidRPr="002B324E" w:rsidRDefault="004258E8" w:rsidP="008B5ABD">
    <w:pPr>
      <w:pStyle w:val="Cabealho"/>
      <w:spacing w:line="240" w:lineRule="auto"/>
      <w:jc w:val="center"/>
      <w:rPr>
        <w:b/>
        <w:sz w:val="16"/>
        <w:szCs w:val="16"/>
      </w:rPr>
    </w:pPr>
    <w:r w:rsidRPr="002B324E">
      <w:rPr>
        <w:rFonts w:cs="Arial"/>
        <w:b/>
        <w:sz w:val="16"/>
        <w:szCs w:val="16"/>
      </w:rPr>
      <w:t>DEPARTAMENTO DE ÁGUAS E ENERGIA</w:t>
    </w:r>
    <w:r>
      <w:rPr>
        <w:rFonts w:cs="Arial"/>
        <w:b/>
        <w:sz w:val="16"/>
        <w:szCs w:val="16"/>
      </w:rPr>
      <w:t xml:space="preserve"> ELÉTRICA</w:t>
    </w:r>
    <w:r w:rsidRPr="002B324E">
      <w:rPr>
        <w:rFonts w:cs="Arial"/>
        <w:b/>
        <w:sz w:val="16"/>
        <w:szCs w:val="16"/>
      </w:rPr>
      <w:t xml:space="preserve"> </w:t>
    </w:r>
  </w:p>
  <w:p w:rsidR="004258E8" w:rsidRPr="00E75FE7" w:rsidRDefault="004258E8" w:rsidP="00E75FE7">
    <w:pPr>
      <w:pStyle w:val="Cabealho"/>
      <w:jc w:val="right"/>
      <w:rPr>
        <w:sz w:val="20"/>
      </w:rPr>
    </w:pPr>
    <w:r>
      <w:rPr>
        <w:noProof/>
        <w:sz w:val="20"/>
      </w:rPr>
      <mc:AlternateContent>
        <mc:Choice Requires="wps">
          <w:drawing>
            <wp:anchor distT="4294967295" distB="4294967295" distL="114300" distR="114300" simplePos="0" relativeHeight="251668992" behindDoc="0" locked="0" layoutInCell="1" allowOverlap="1" wp14:anchorId="58655FE4" wp14:editId="441C826C">
              <wp:simplePos x="0" y="0"/>
              <wp:positionH relativeFrom="column">
                <wp:posOffset>-13335</wp:posOffset>
              </wp:positionH>
              <wp:positionV relativeFrom="paragraph">
                <wp:posOffset>203834</wp:posOffset>
              </wp:positionV>
              <wp:extent cx="9105900" cy="0"/>
              <wp:effectExtent l="0" t="0" r="19050" b="19050"/>
              <wp:wrapNone/>
              <wp:docPr id="11" name="Line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05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2" o:spid="_x0000_s1026" style="position:absolute;z-index:2516689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05pt,16.05pt" to="715.9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"/>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Pr="00C56FD2" w:rsidRDefault="004258E8" w:rsidP="00620011">
    <w:pPr>
      <w:pStyle w:val="Cabealho"/>
      <w:rPr>
        <w:rFonts w:cs="Arial"/>
        <w:b/>
        <w:sz w:val="16"/>
        <w:szCs w:val="16"/>
      </w:rPr>
    </w:pPr>
    <w:r>
      <w:rPr>
        <w:noProof/>
      </w:rPr>
      <w:drawing>
        <wp:anchor distT="0" distB="0" distL="114300" distR="114300" simplePos="0" relativeHeight="251499520" behindDoc="0" locked="0" layoutInCell="1" allowOverlap="1" wp14:anchorId="3A1931F8" wp14:editId="739ECA69">
          <wp:simplePos x="0" y="0"/>
          <wp:positionH relativeFrom="margin">
            <wp:posOffset>5264150</wp:posOffset>
          </wp:positionH>
          <wp:positionV relativeFrom="margin">
            <wp:posOffset>-659765</wp:posOffset>
          </wp:positionV>
          <wp:extent cx="371475" cy="466090"/>
          <wp:effectExtent l="19050" t="0" r="9525" b="0"/>
          <wp:wrapSquare wrapText="bothSides"/>
          <wp:docPr id="60"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495424" behindDoc="0" locked="0" layoutInCell="1" allowOverlap="1" wp14:anchorId="2DC81DC0" wp14:editId="712A0F1C">
          <wp:simplePos x="0" y="0"/>
          <wp:positionH relativeFrom="margin">
            <wp:posOffset>294640</wp:posOffset>
          </wp:positionH>
          <wp:positionV relativeFrom="margin">
            <wp:posOffset>-758190</wp:posOffset>
          </wp:positionV>
          <wp:extent cx="564515" cy="564515"/>
          <wp:effectExtent l="19050" t="0" r="6985" b="0"/>
          <wp:wrapSquare wrapText="bothSides"/>
          <wp:docPr id="61"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p>
  <w:p w:rsidR="004258E8" w:rsidRPr="002B324E" w:rsidRDefault="004258E8" w:rsidP="00620011">
    <w:pPr>
      <w:pStyle w:val="Cabealho"/>
      <w:spacing w:line="240" w:lineRule="auto"/>
      <w:jc w:val="center"/>
      <w:rPr>
        <w:rFonts w:cs="Arial"/>
        <w:b/>
        <w:sz w:val="16"/>
        <w:szCs w:val="16"/>
      </w:rPr>
    </w:pPr>
    <w:r>
      <w:rPr>
        <w:noProof/>
      </w:rPr>
      <w:drawing>
        <wp:anchor distT="0" distB="0" distL="114300" distR="114300" simplePos="0" relativeHeight="251503616" behindDoc="0" locked="0" layoutInCell="1" allowOverlap="1" wp14:anchorId="7592A67F" wp14:editId="160A439C">
          <wp:simplePos x="0" y="0"/>
          <wp:positionH relativeFrom="margin">
            <wp:posOffset>294640</wp:posOffset>
          </wp:positionH>
          <wp:positionV relativeFrom="margin">
            <wp:posOffset>-758190</wp:posOffset>
          </wp:positionV>
          <wp:extent cx="564515" cy="564515"/>
          <wp:effectExtent l="19050" t="0" r="6985" b="0"/>
          <wp:wrapSquare wrapText="bothSides"/>
          <wp:docPr id="62"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r w:rsidRPr="002B324E">
      <w:rPr>
        <w:rFonts w:cs="Arial"/>
        <w:b/>
        <w:sz w:val="16"/>
        <w:szCs w:val="16"/>
      </w:rPr>
      <w:t>SECRETARIA DE SANEAMENTO E RECURSOS HÍDRICOS</w:t>
    </w:r>
  </w:p>
  <w:p w:rsidR="004258E8" w:rsidRPr="002B324E" w:rsidRDefault="004258E8" w:rsidP="00620011">
    <w:pPr>
      <w:pStyle w:val="Cabealho"/>
      <w:spacing w:line="240" w:lineRule="auto"/>
      <w:jc w:val="center"/>
      <w:rPr>
        <w:b/>
        <w:sz w:val="16"/>
        <w:szCs w:val="16"/>
      </w:rPr>
    </w:pPr>
    <w:r w:rsidRPr="002B324E">
      <w:rPr>
        <w:rFonts w:cs="Arial"/>
        <w:b/>
        <w:sz w:val="16"/>
        <w:szCs w:val="16"/>
      </w:rPr>
      <w:t xml:space="preserve">DEPARTAMENTO DE ÁGUAS E ENERGIA </w:t>
    </w:r>
    <w:r>
      <w:rPr>
        <w:rFonts w:cs="Arial"/>
        <w:b/>
        <w:sz w:val="16"/>
        <w:szCs w:val="16"/>
      </w:rPr>
      <w:t>ELÉTRICA</w:t>
    </w:r>
  </w:p>
  <w:p w:rsidR="004258E8" w:rsidRPr="00793D65" w:rsidRDefault="004258E8" w:rsidP="00B20DDD">
    <w:pPr>
      <w:pStyle w:val="Cabealho"/>
      <w:spacing w:after="100" w:afterAutospacing="1"/>
      <w:jc w:val="right"/>
      <w:rPr>
        <w:sz w:val="20"/>
      </w:rPr>
    </w:pPr>
    <w:r>
      <w:rPr>
        <w:noProof/>
      </w:rPr>
      <mc:AlternateContent>
        <mc:Choice Requires="wps">
          <w:drawing>
            <wp:anchor distT="4294967293" distB="4294967293" distL="114300" distR="114300" simplePos="0" relativeHeight="251634176" behindDoc="0" locked="0" layoutInCell="0" allowOverlap="1" wp14:anchorId="22D079B0" wp14:editId="32D90963">
              <wp:simplePos x="0" y="0"/>
              <wp:positionH relativeFrom="column">
                <wp:posOffset>-13970</wp:posOffset>
              </wp:positionH>
              <wp:positionV relativeFrom="paragraph">
                <wp:posOffset>330199</wp:posOffset>
              </wp:positionV>
              <wp:extent cx="5979795" cy="0"/>
              <wp:effectExtent l="0" t="0" r="20955" b="19050"/>
              <wp:wrapNone/>
              <wp:docPr id="10"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979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63417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1pt,26pt" to="469.7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" o:allowincell="f"/>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Pr="00C56FD2" w:rsidRDefault="004258E8" w:rsidP="00620011">
    <w:pPr>
      <w:pStyle w:val="Cabealho"/>
      <w:rPr>
        <w:rFonts w:cs="Arial"/>
        <w:b/>
        <w:sz w:val="16"/>
        <w:szCs w:val="16"/>
      </w:rPr>
    </w:pPr>
    <w:r>
      <w:rPr>
        <w:noProof/>
      </w:rPr>
      <w:drawing>
        <wp:anchor distT="0" distB="0" distL="114300" distR="114300" simplePos="0" relativeHeight="251810816" behindDoc="0" locked="0" layoutInCell="1" allowOverlap="1" wp14:anchorId="6FB7F610" wp14:editId="7F67BBEB">
          <wp:simplePos x="0" y="0"/>
          <wp:positionH relativeFrom="margin">
            <wp:posOffset>8375015</wp:posOffset>
          </wp:positionH>
          <wp:positionV relativeFrom="margin">
            <wp:posOffset>-767080</wp:posOffset>
          </wp:positionV>
          <wp:extent cx="371475" cy="466090"/>
          <wp:effectExtent l="0" t="0" r="9525" b="0"/>
          <wp:wrapSquare wrapText="bothSides"/>
          <wp:docPr id="260"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806720" behindDoc="0" locked="0" layoutInCell="1" allowOverlap="1" wp14:anchorId="49A12D2B" wp14:editId="474E9BC5">
          <wp:simplePos x="0" y="0"/>
          <wp:positionH relativeFrom="margin">
            <wp:posOffset>294640</wp:posOffset>
          </wp:positionH>
          <wp:positionV relativeFrom="margin">
            <wp:posOffset>-758190</wp:posOffset>
          </wp:positionV>
          <wp:extent cx="564515" cy="564515"/>
          <wp:effectExtent l="19050" t="0" r="6985" b="0"/>
          <wp:wrapSquare wrapText="bothSides"/>
          <wp:docPr id="262"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p>
  <w:p w:rsidR="004258E8" w:rsidRPr="002B324E" w:rsidRDefault="004258E8" w:rsidP="00620011">
    <w:pPr>
      <w:pStyle w:val="Cabealho"/>
      <w:spacing w:line="240" w:lineRule="auto"/>
      <w:jc w:val="center"/>
      <w:rPr>
        <w:rFonts w:cs="Arial"/>
        <w:b/>
        <w:sz w:val="16"/>
        <w:szCs w:val="16"/>
      </w:rPr>
    </w:pPr>
    <w:r>
      <w:rPr>
        <w:noProof/>
      </w:rPr>
      <w:drawing>
        <wp:anchor distT="0" distB="0" distL="114300" distR="114300" simplePos="0" relativeHeight="251814912" behindDoc="0" locked="0" layoutInCell="1" allowOverlap="1" wp14:anchorId="2DBAA38B" wp14:editId="6C20D034">
          <wp:simplePos x="0" y="0"/>
          <wp:positionH relativeFrom="margin">
            <wp:posOffset>294640</wp:posOffset>
          </wp:positionH>
          <wp:positionV relativeFrom="margin">
            <wp:posOffset>-758190</wp:posOffset>
          </wp:positionV>
          <wp:extent cx="564515" cy="564515"/>
          <wp:effectExtent l="19050" t="0" r="6985" b="0"/>
          <wp:wrapSquare wrapText="bothSides"/>
          <wp:docPr id="263"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r w:rsidRPr="002B324E">
      <w:rPr>
        <w:rFonts w:cs="Arial"/>
        <w:b/>
        <w:sz w:val="16"/>
        <w:szCs w:val="16"/>
      </w:rPr>
      <w:t>SECRETARIA DE SANEAMENTO E RECURSOS HÍDRICOS</w:t>
    </w:r>
  </w:p>
  <w:p w:rsidR="004258E8" w:rsidRPr="002B324E" w:rsidRDefault="004258E8" w:rsidP="000B758F">
    <w:pPr>
      <w:pStyle w:val="Cabealho"/>
      <w:tabs>
        <w:tab w:val="center" w:pos="7002"/>
        <w:tab w:val="left" w:pos="10473"/>
      </w:tabs>
      <w:spacing w:line="240" w:lineRule="auto"/>
      <w:jc w:val="left"/>
      <w:rPr>
        <w:b/>
        <w:sz w:val="16"/>
        <w:szCs w:val="16"/>
      </w:rPr>
    </w:pPr>
    <w:r>
      <w:rPr>
        <w:rFonts w:cs="Arial"/>
        <w:b/>
        <w:sz w:val="16"/>
        <w:szCs w:val="16"/>
      </w:rPr>
      <w:tab/>
    </w:r>
    <w:r>
      <w:rPr>
        <w:rFonts w:cs="Arial"/>
        <w:b/>
        <w:sz w:val="16"/>
        <w:szCs w:val="16"/>
      </w:rPr>
      <w:tab/>
    </w:r>
    <w:r w:rsidRPr="002B324E">
      <w:rPr>
        <w:rFonts w:cs="Arial"/>
        <w:b/>
        <w:sz w:val="16"/>
        <w:szCs w:val="16"/>
      </w:rPr>
      <w:t xml:space="preserve">DEPARTAMENTO DE ÁGUAS E ENERGIA </w:t>
    </w:r>
    <w:r>
      <w:rPr>
        <w:rFonts w:cs="Arial"/>
        <w:b/>
        <w:sz w:val="16"/>
        <w:szCs w:val="16"/>
      </w:rPr>
      <w:t>ELÉTRICA</w:t>
    </w:r>
  </w:p>
  <w:p w:rsidR="004258E8" w:rsidRPr="00793D65" w:rsidRDefault="004258E8" w:rsidP="00B20DDD">
    <w:pPr>
      <w:pStyle w:val="Cabealho"/>
      <w:spacing w:after="100" w:afterAutospacing="1"/>
      <w:jc w:val="right"/>
      <w:rPr>
        <w:sz w:val="20"/>
      </w:rPr>
    </w:pPr>
    <w:r>
      <w:rPr>
        <w:noProof/>
      </w:rPr>
      <mc:AlternateContent>
        <mc:Choice Requires="wps">
          <w:drawing>
            <wp:anchor distT="4294967293" distB="4294967293" distL="114300" distR="114300" simplePos="0" relativeHeight="251789824" behindDoc="0" locked="0" layoutInCell="0" allowOverlap="1" wp14:anchorId="41E04A62" wp14:editId="5492763B">
              <wp:simplePos x="0" y="0"/>
              <wp:positionH relativeFrom="column">
                <wp:posOffset>-11430</wp:posOffset>
              </wp:positionH>
              <wp:positionV relativeFrom="paragraph">
                <wp:posOffset>335279</wp:posOffset>
              </wp:positionV>
              <wp:extent cx="8954135" cy="0"/>
              <wp:effectExtent l="0" t="0" r="18415" b="19050"/>
              <wp:wrapNone/>
              <wp:docPr id="490"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413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898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9pt,26.4pt" to="704.15pt,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" o:allowincell="f"/>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Pr="00C56FD2" w:rsidRDefault="004258E8" w:rsidP="00620011">
    <w:pPr>
      <w:pStyle w:val="Cabealho"/>
      <w:rPr>
        <w:rFonts w:cs="Arial"/>
        <w:b/>
        <w:sz w:val="16"/>
        <w:szCs w:val="16"/>
      </w:rPr>
    </w:pPr>
    <w:r>
      <w:rPr>
        <w:noProof/>
      </w:rPr>
      <w:drawing>
        <wp:anchor distT="0" distB="0" distL="114300" distR="114300" simplePos="0" relativeHeight="251782144" behindDoc="0" locked="0" layoutInCell="1" allowOverlap="1" wp14:anchorId="671A6B71" wp14:editId="7B98C422">
          <wp:simplePos x="0" y="0"/>
          <wp:positionH relativeFrom="margin">
            <wp:posOffset>5264150</wp:posOffset>
          </wp:positionH>
          <wp:positionV relativeFrom="margin">
            <wp:posOffset>-659765</wp:posOffset>
          </wp:positionV>
          <wp:extent cx="371475" cy="466090"/>
          <wp:effectExtent l="19050" t="0" r="9525" b="0"/>
          <wp:wrapSquare wrapText="bothSides"/>
          <wp:docPr id="268"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778048" behindDoc="0" locked="0" layoutInCell="1" allowOverlap="1" wp14:anchorId="2EA956BF" wp14:editId="3171A3BF">
          <wp:simplePos x="0" y="0"/>
          <wp:positionH relativeFrom="margin">
            <wp:posOffset>294640</wp:posOffset>
          </wp:positionH>
          <wp:positionV relativeFrom="margin">
            <wp:posOffset>-758190</wp:posOffset>
          </wp:positionV>
          <wp:extent cx="564515" cy="564515"/>
          <wp:effectExtent l="19050" t="0" r="6985" b="0"/>
          <wp:wrapSquare wrapText="bothSides"/>
          <wp:docPr id="269"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p>
  <w:p w:rsidR="004258E8" w:rsidRPr="002B324E" w:rsidRDefault="004258E8" w:rsidP="00620011">
    <w:pPr>
      <w:pStyle w:val="Cabealho"/>
      <w:spacing w:line="240" w:lineRule="auto"/>
      <w:jc w:val="center"/>
      <w:rPr>
        <w:rFonts w:cs="Arial"/>
        <w:b/>
        <w:sz w:val="16"/>
        <w:szCs w:val="16"/>
      </w:rPr>
    </w:pPr>
    <w:r>
      <w:rPr>
        <w:noProof/>
      </w:rPr>
      <w:drawing>
        <wp:anchor distT="0" distB="0" distL="114300" distR="114300" simplePos="0" relativeHeight="251786240" behindDoc="0" locked="0" layoutInCell="1" allowOverlap="1" wp14:anchorId="6FA39F5D" wp14:editId="7325AFD6">
          <wp:simplePos x="0" y="0"/>
          <wp:positionH relativeFrom="margin">
            <wp:posOffset>294640</wp:posOffset>
          </wp:positionH>
          <wp:positionV relativeFrom="margin">
            <wp:posOffset>-758190</wp:posOffset>
          </wp:positionV>
          <wp:extent cx="564515" cy="564515"/>
          <wp:effectExtent l="19050" t="0" r="6985" b="0"/>
          <wp:wrapSquare wrapText="bothSides"/>
          <wp:docPr id="270"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r w:rsidRPr="002B324E">
      <w:rPr>
        <w:rFonts w:cs="Arial"/>
        <w:b/>
        <w:sz w:val="16"/>
        <w:szCs w:val="16"/>
      </w:rPr>
      <w:t>SECRETARIA DE SANEAMENTO E RECURSOS HÍDRICOS</w:t>
    </w:r>
  </w:p>
  <w:p w:rsidR="004258E8" w:rsidRPr="002B324E" w:rsidRDefault="004258E8" w:rsidP="00620011">
    <w:pPr>
      <w:pStyle w:val="Cabealho"/>
      <w:spacing w:line="240" w:lineRule="auto"/>
      <w:jc w:val="center"/>
      <w:rPr>
        <w:b/>
        <w:sz w:val="16"/>
        <w:szCs w:val="16"/>
      </w:rPr>
    </w:pPr>
    <w:r w:rsidRPr="002B324E">
      <w:rPr>
        <w:rFonts w:cs="Arial"/>
        <w:b/>
        <w:sz w:val="16"/>
        <w:szCs w:val="16"/>
      </w:rPr>
      <w:t xml:space="preserve">DEPARTAMENTO DE ÁGUAS E ENERGIA </w:t>
    </w:r>
    <w:r>
      <w:rPr>
        <w:rFonts w:cs="Arial"/>
        <w:b/>
        <w:sz w:val="16"/>
        <w:szCs w:val="16"/>
      </w:rPr>
      <w:t>ELÉTRICA</w:t>
    </w:r>
  </w:p>
  <w:p w:rsidR="004258E8" w:rsidRPr="00793D65" w:rsidRDefault="004258E8" w:rsidP="00B20DDD">
    <w:pPr>
      <w:pStyle w:val="Cabealho"/>
      <w:spacing w:after="100" w:afterAutospacing="1"/>
      <w:jc w:val="right"/>
      <w:rPr>
        <w:sz w:val="20"/>
      </w:rPr>
    </w:pPr>
    <w:r>
      <w:rPr>
        <w:noProof/>
      </w:rPr>
      <mc:AlternateContent>
        <mc:Choice Requires="wps">
          <w:drawing>
            <wp:anchor distT="4294967293" distB="4294967293" distL="114300" distR="114300" simplePos="0" relativeHeight="251776512" behindDoc="0" locked="0" layoutInCell="0" allowOverlap="1" wp14:anchorId="07D7AB18" wp14:editId="77CB5F0E">
              <wp:simplePos x="0" y="0"/>
              <wp:positionH relativeFrom="column">
                <wp:posOffset>-13970</wp:posOffset>
              </wp:positionH>
              <wp:positionV relativeFrom="paragraph">
                <wp:posOffset>330199</wp:posOffset>
              </wp:positionV>
              <wp:extent cx="5979795" cy="0"/>
              <wp:effectExtent l="0" t="0" r="20955" b="19050"/>
              <wp:wrapNone/>
              <wp:docPr id="480"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979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765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1pt,26pt" to="469.7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" o:allowincell="f"/>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Default="004258E8" w:rsidP="00C942E4">
    <w:pPr>
      <w:pStyle w:val="Cabealho"/>
      <w:spacing w:line="240" w:lineRule="auto"/>
      <w:jc w:val="center"/>
      <w:rPr>
        <w:rFonts w:cs="Arial"/>
        <w:b/>
        <w:sz w:val="16"/>
        <w:szCs w:val="16"/>
      </w:rPr>
    </w:pPr>
    <w:r>
      <w:rPr>
        <w:noProof/>
      </w:rPr>
      <w:drawing>
        <wp:anchor distT="0" distB="0" distL="114300" distR="114300" simplePos="0" relativeHeight="251757568" behindDoc="0" locked="0" layoutInCell="1" allowOverlap="1" wp14:anchorId="0EC8F8F8" wp14:editId="4F03F39F">
          <wp:simplePos x="0" y="0"/>
          <wp:positionH relativeFrom="margin">
            <wp:posOffset>8493125</wp:posOffset>
          </wp:positionH>
          <wp:positionV relativeFrom="margin">
            <wp:posOffset>-706120</wp:posOffset>
          </wp:positionV>
          <wp:extent cx="371475" cy="466090"/>
          <wp:effectExtent l="0" t="0" r="9525" b="0"/>
          <wp:wrapSquare wrapText="bothSides"/>
          <wp:docPr id="53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p>
  <w:p w:rsidR="004258E8" w:rsidRPr="002B324E" w:rsidRDefault="004258E8" w:rsidP="00C942E4">
    <w:pPr>
      <w:pStyle w:val="Cabealho"/>
      <w:spacing w:line="240" w:lineRule="auto"/>
      <w:jc w:val="center"/>
      <w:rPr>
        <w:rFonts w:cs="Arial"/>
        <w:b/>
        <w:sz w:val="16"/>
        <w:szCs w:val="16"/>
      </w:rPr>
    </w:pPr>
    <w:r>
      <w:rPr>
        <w:noProof/>
      </w:rPr>
      <w:drawing>
        <wp:anchor distT="0" distB="0" distL="114300" distR="114300" simplePos="0" relativeHeight="251753472" behindDoc="0" locked="0" layoutInCell="1" allowOverlap="1" wp14:anchorId="65A5F712" wp14:editId="2B04655A">
          <wp:simplePos x="0" y="0"/>
          <wp:positionH relativeFrom="margin">
            <wp:posOffset>294640</wp:posOffset>
          </wp:positionH>
          <wp:positionV relativeFrom="margin">
            <wp:posOffset>-758190</wp:posOffset>
          </wp:positionV>
          <wp:extent cx="564515" cy="564515"/>
          <wp:effectExtent l="19050" t="0" r="6985" b="0"/>
          <wp:wrapSquare wrapText="bothSides"/>
          <wp:docPr id="538"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r>
      <w:rPr>
        <w:noProof/>
      </w:rPr>
      <w:drawing>
        <wp:anchor distT="0" distB="0" distL="114300" distR="114300" simplePos="0" relativeHeight="251761664" behindDoc="0" locked="0" layoutInCell="1" allowOverlap="1" wp14:anchorId="62B0F22E" wp14:editId="3947A94D">
          <wp:simplePos x="0" y="0"/>
          <wp:positionH relativeFrom="margin">
            <wp:posOffset>294640</wp:posOffset>
          </wp:positionH>
          <wp:positionV relativeFrom="margin">
            <wp:posOffset>-758190</wp:posOffset>
          </wp:positionV>
          <wp:extent cx="564515" cy="564515"/>
          <wp:effectExtent l="19050" t="0" r="6985" b="0"/>
          <wp:wrapSquare wrapText="bothSides"/>
          <wp:docPr id="539"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r w:rsidRPr="002B324E">
      <w:rPr>
        <w:rFonts w:cs="Arial"/>
        <w:b/>
        <w:sz w:val="16"/>
        <w:szCs w:val="16"/>
      </w:rPr>
      <w:t>SECRETARIA DE SANEAMENTO E RECURSOS HÍDRICOS</w:t>
    </w:r>
  </w:p>
  <w:p w:rsidR="004258E8" w:rsidRPr="002B324E" w:rsidRDefault="004258E8" w:rsidP="00C942E4">
    <w:pPr>
      <w:pStyle w:val="Cabealho"/>
      <w:spacing w:line="240" w:lineRule="auto"/>
      <w:jc w:val="center"/>
      <w:rPr>
        <w:b/>
        <w:sz w:val="16"/>
        <w:szCs w:val="16"/>
      </w:rPr>
    </w:pPr>
    <w:r w:rsidRPr="002B324E">
      <w:rPr>
        <w:rFonts w:cs="Arial"/>
        <w:b/>
        <w:sz w:val="16"/>
        <w:szCs w:val="16"/>
      </w:rPr>
      <w:t xml:space="preserve">DEPARTAMENTO DE ÁGUAS E ENERGIA </w:t>
    </w:r>
    <w:r>
      <w:rPr>
        <w:rFonts w:cs="Arial"/>
        <w:b/>
        <w:sz w:val="16"/>
        <w:szCs w:val="16"/>
      </w:rPr>
      <w:t>ELÉTRICA</w:t>
    </w:r>
  </w:p>
  <w:p w:rsidR="004258E8" w:rsidRPr="00793D65" w:rsidRDefault="004258E8" w:rsidP="00C942E4">
    <w:pPr>
      <w:pStyle w:val="Cabealho"/>
      <w:spacing w:after="100" w:afterAutospacing="1"/>
      <w:jc w:val="right"/>
      <w:rPr>
        <w:sz w:val="20"/>
      </w:rPr>
    </w:pPr>
    <w:r>
      <w:rPr>
        <w:noProof/>
      </w:rPr>
      <mc:AlternateContent>
        <mc:Choice Requires="wps">
          <w:drawing>
            <wp:anchor distT="4294967293" distB="4294967293" distL="114300" distR="114300" simplePos="0" relativeHeight="251746816" behindDoc="0" locked="0" layoutInCell="0" allowOverlap="1" wp14:anchorId="0D36B99B" wp14:editId="077B1F7E">
              <wp:simplePos x="0" y="0"/>
              <wp:positionH relativeFrom="column">
                <wp:posOffset>-13335</wp:posOffset>
              </wp:positionH>
              <wp:positionV relativeFrom="paragraph">
                <wp:posOffset>278130</wp:posOffset>
              </wp:positionV>
              <wp:extent cx="9077325" cy="0"/>
              <wp:effectExtent l="0" t="0" r="9525" b="19050"/>
              <wp:wrapNone/>
              <wp:docPr id="59"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7732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4681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05pt,21.9pt" to="713.7pt,2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" o:allowincell="f"/>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58E8" w:rsidRPr="00C56FD2" w:rsidRDefault="004258E8" w:rsidP="00620011">
    <w:pPr>
      <w:pStyle w:val="Cabealho"/>
      <w:rPr>
        <w:rFonts w:cs="Arial"/>
        <w:b/>
        <w:sz w:val="16"/>
        <w:szCs w:val="16"/>
      </w:rPr>
    </w:pPr>
    <w:r>
      <w:rPr>
        <w:noProof/>
      </w:rPr>
      <w:drawing>
        <wp:anchor distT="0" distB="0" distL="114300" distR="114300" simplePos="0" relativeHeight="251764224" behindDoc="0" locked="0" layoutInCell="1" allowOverlap="1">
          <wp:simplePos x="0" y="0"/>
          <wp:positionH relativeFrom="margin">
            <wp:posOffset>5485130</wp:posOffset>
          </wp:positionH>
          <wp:positionV relativeFrom="margin">
            <wp:posOffset>-752475</wp:posOffset>
          </wp:positionV>
          <wp:extent cx="371475" cy="466090"/>
          <wp:effectExtent l="0" t="0" r="9525" b="0"/>
          <wp:wrapSquare wrapText="bothSides"/>
          <wp:docPr id="272" name="Imagem 7"/>
          <wp:cNvGraphicFramePr/>
          <a:graphic xmlns:a="http://schemas.openxmlformats.org/drawingml/2006/main">
            <a:graphicData uri="http://schemas.openxmlformats.org/drawingml/2006/picture">
              <pic:pic xmlns:pic="http://schemas.openxmlformats.org/drawingml/2006/picture">
                <pic:nvPicPr>
                  <pic:cNvPr id="60" name="Imagem 7"/>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752960" behindDoc="0" locked="0" layoutInCell="1" allowOverlap="1">
          <wp:simplePos x="0" y="0"/>
          <wp:positionH relativeFrom="margin">
            <wp:posOffset>8216900</wp:posOffset>
          </wp:positionH>
          <wp:positionV relativeFrom="margin">
            <wp:posOffset>-755015</wp:posOffset>
          </wp:positionV>
          <wp:extent cx="371475" cy="466090"/>
          <wp:effectExtent l="0" t="0" r="9525" b="0"/>
          <wp:wrapSquare wrapText="bothSides"/>
          <wp:docPr id="258"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r>
      <w:rPr>
        <w:noProof/>
      </w:rPr>
      <w:drawing>
        <wp:anchor distT="0" distB="0" distL="114300" distR="114300" simplePos="0" relativeHeight="251751936" behindDoc="0" locked="0" layoutInCell="1" allowOverlap="1">
          <wp:simplePos x="0" y="0"/>
          <wp:positionH relativeFrom="margin">
            <wp:posOffset>294640</wp:posOffset>
          </wp:positionH>
          <wp:positionV relativeFrom="margin">
            <wp:posOffset>-758190</wp:posOffset>
          </wp:positionV>
          <wp:extent cx="564515" cy="564515"/>
          <wp:effectExtent l="19050" t="0" r="6985" b="0"/>
          <wp:wrapSquare wrapText="bothSides"/>
          <wp:docPr id="259" name="il_fi" descr="Descrição: http://www.ifsc.usp.br/svpessoal/images/stories/sao_paul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ção: http://www.ifsc.usp.br/svpessoal/images/stories/sao_paulo.gif"/>
                  <pic:cNvPicPr>
                    <a:picLocks noChangeAspect="1" noChangeArrowheads="1"/>
                  </pic:cNvPicPr>
                </pic:nvPicPr>
                <pic:blipFill>
                  <a:blip r:embed="rId2" r:link="rId3"/>
                  <a:srcRect/>
                  <a:stretch>
                    <a:fillRect/>
                  </a:stretch>
                </pic:blipFill>
                <pic:spPr bwMode="auto">
                  <a:xfrm>
                    <a:off x="0" y="0"/>
                    <a:ext cx="564515" cy="564515"/>
                  </a:xfrm>
                  <a:prstGeom prst="rect">
                    <a:avLst/>
                  </a:prstGeom>
                  <a:noFill/>
                  <a:ln w="9525">
                    <a:noFill/>
                    <a:miter lim="800000"/>
                    <a:headEnd/>
                    <a:tailEnd/>
                  </a:ln>
                </pic:spPr>
              </pic:pic>
            </a:graphicData>
          </a:graphic>
        </wp:anchor>
      </w:drawing>
    </w:r>
  </w:p>
  <w:p w:rsidR="004258E8" w:rsidRPr="002B324E" w:rsidRDefault="004258E8" w:rsidP="00620011">
    <w:pPr>
      <w:pStyle w:val="Cabealho"/>
      <w:spacing w:line="240" w:lineRule="auto"/>
      <w:jc w:val="center"/>
      <w:rPr>
        <w:rFonts w:cs="Arial"/>
        <w:b/>
        <w:sz w:val="16"/>
        <w:szCs w:val="16"/>
      </w:rPr>
    </w:pPr>
    <w:r w:rsidRPr="002B324E">
      <w:rPr>
        <w:rFonts w:cs="Arial"/>
        <w:b/>
        <w:sz w:val="16"/>
        <w:szCs w:val="16"/>
      </w:rPr>
      <w:t>SECRETARIA DE SANEAMENTO E RECURSOS HÍDRICOS</w:t>
    </w:r>
  </w:p>
  <w:p w:rsidR="004258E8" w:rsidRPr="002B324E" w:rsidRDefault="004258E8" w:rsidP="00620011">
    <w:pPr>
      <w:pStyle w:val="Cabealho"/>
      <w:spacing w:line="240" w:lineRule="auto"/>
      <w:jc w:val="center"/>
      <w:rPr>
        <w:b/>
        <w:sz w:val="16"/>
        <w:szCs w:val="16"/>
      </w:rPr>
    </w:pPr>
    <w:r w:rsidRPr="002B324E">
      <w:rPr>
        <w:rFonts w:cs="Arial"/>
        <w:b/>
        <w:sz w:val="16"/>
        <w:szCs w:val="16"/>
      </w:rPr>
      <w:t xml:space="preserve">DEPARTAMENTO DE ÁGUAS E ENERGIA </w:t>
    </w:r>
    <w:r>
      <w:rPr>
        <w:rFonts w:cs="Arial"/>
        <w:b/>
        <w:sz w:val="16"/>
        <w:szCs w:val="16"/>
      </w:rPr>
      <w:t>ELÉTRICA</w:t>
    </w:r>
  </w:p>
  <w:p w:rsidR="004258E8" w:rsidRPr="00793D65" w:rsidRDefault="004258E8" w:rsidP="00B20DDD">
    <w:pPr>
      <w:pStyle w:val="Cabealho"/>
      <w:spacing w:after="100" w:afterAutospacing="1"/>
      <w:jc w:val="right"/>
      <w:rPr>
        <w:sz w:val="20"/>
      </w:rPr>
    </w:pPr>
    <w:r>
      <w:rPr>
        <w:noProof/>
      </w:rPr>
      <mc:AlternateContent>
        <mc:Choice Requires="wps">
          <w:drawing>
            <wp:anchor distT="4294967293" distB="4294967293" distL="114300" distR="114300" simplePos="0" relativeHeight="251755008" behindDoc="0" locked="0" layoutInCell="0" allowOverlap="1">
              <wp:simplePos x="0" y="0"/>
              <wp:positionH relativeFrom="column">
                <wp:posOffset>-13970</wp:posOffset>
              </wp:positionH>
              <wp:positionV relativeFrom="paragraph">
                <wp:posOffset>263524</wp:posOffset>
              </wp:positionV>
              <wp:extent cx="5979795" cy="0"/>
              <wp:effectExtent l="0" t="0" r="20955" b="19050"/>
              <wp:wrapNone/>
              <wp:docPr id="257"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9795" cy="0"/>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5500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1pt,20.75pt" to="469.75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" o:allowincell="f"/>
          </w:pict>
        </mc:Fallback>
      </mc:AlternateContent>
    </w:r>
    <w:r>
      <w:rPr>
        <w:noProof/>
      </w:rPr>
      <w:drawing>
        <wp:anchor distT="0" distB="0" distL="114300" distR="114300" simplePos="0" relativeHeight="251763200" behindDoc="0" locked="0" layoutInCell="1" allowOverlap="1">
          <wp:simplePos x="0" y="0"/>
          <wp:positionH relativeFrom="margin">
            <wp:posOffset>8616950</wp:posOffset>
          </wp:positionH>
          <wp:positionV relativeFrom="margin">
            <wp:posOffset>-601980</wp:posOffset>
          </wp:positionV>
          <wp:extent cx="371475" cy="466090"/>
          <wp:effectExtent l="0" t="0" r="9525" b="0"/>
          <wp:wrapSquare wrapText="bothSides"/>
          <wp:docPr id="271"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srcRect/>
                  <a:stretch>
                    <a:fillRect/>
                  </a:stretch>
                </pic:blipFill>
                <pic:spPr bwMode="auto">
                  <a:xfrm>
                    <a:off x="0" y="0"/>
                    <a:ext cx="371475" cy="466090"/>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1B4C856"/>
    <w:styleLink w:val="1ai4"/>
    <w:lvl w:ilvl="0">
      <w:start w:val="1"/>
      <w:numFmt w:val="bullet"/>
      <w:pStyle w:val="Commarcadores2"/>
      <w:lvlText w:val=""/>
      <w:lvlJc w:val="left"/>
      <w:pPr>
        <w:ind w:left="6314" w:hanging="360"/>
      </w:pPr>
      <w:rPr>
        <w:rFonts w:ascii="Wingdings" w:hAnsi="Wingdings" w:hint="default"/>
        <w:sz w:val="22"/>
      </w:rPr>
    </w:lvl>
  </w:abstractNum>
  <w:abstractNum w:abstractNumId="1">
    <w:nsid w:val="FFFFFF89"/>
    <w:multiLevelType w:val="singleLevel"/>
    <w:tmpl w:val="F13884B0"/>
    <w:lvl w:ilvl="0">
      <w:start w:val="1"/>
      <w:numFmt w:val="bullet"/>
      <w:pStyle w:val="Commarcadores"/>
      <w:lvlText w:val=""/>
      <w:lvlJc w:val="left"/>
      <w:pPr>
        <w:tabs>
          <w:tab w:val="num" w:pos="360"/>
        </w:tabs>
        <w:ind w:left="360" w:hanging="360"/>
      </w:pPr>
      <w:rPr>
        <w:rFonts w:ascii="Symbol" w:hAnsi="Symbol" w:hint="default"/>
      </w:rPr>
    </w:lvl>
  </w:abstractNum>
  <w:abstractNum w:abstractNumId="2">
    <w:nsid w:val="00000005"/>
    <w:multiLevelType w:val="singleLevel"/>
    <w:tmpl w:val="00000005"/>
    <w:name w:val="WW8Num5"/>
    <w:lvl w:ilvl="0">
      <w:start w:val="1"/>
      <w:numFmt w:val="bullet"/>
      <w:lvlText w:val=""/>
      <w:lvlJc w:val="left"/>
      <w:pPr>
        <w:tabs>
          <w:tab w:val="num" w:pos="720"/>
        </w:tabs>
        <w:ind w:left="720" w:hanging="360"/>
      </w:pPr>
      <w:rPr>
        <w:rFonts w:ascii="Symbol" w:hAnsi="Symbol"/>
      </w:rPr>
    </w:lvl>
  </w:abstractNum>
  <w:abstractNum w:abstractNumId="3">
    <w:nsid w:val="0000000B"/>
    <w:multiLevelType w:val="singleLevel"/>
    <w:tmpl w:val="0000000B"/>
    <w:name w:val="WW8Num11"/>
    <w:lvl w:ilvl="0">
      <w:start w:val="1"/>
      <w:numFmt w:val="bullet"/>
      <w:lvlText w:val=""/>
      <w:lvlJc w:val="left"/>
      <w:pPr>
        <w:tabs>
          <w:tab w:val="num" w:pos="720"/>
        </w:tabs>
        <w:ind w:left="720" w:hanging="360"/>
      </w:pPr>
      <w:rPr>
        <w:rFonts w:ascii="Symbol" w:hAnsi="Symbol"/>
      </w:rPr>
    </w:lvl>
  </w:abstractNum>
  <w:abstractNum w:abstractNumId="4">
    <w:nsid w:val="007D7AC5"/>
    <w:multiLevelType w:val="hybridMultilevel"/>
    <w:tmpl w:val="530A1034"/>
    <w:lvl w:ilvl="0" w:tplc="4E36FF4E">
      <w:start w:val="4"/>
      <w:numFmt w:val="bullet"/>
      <w:pStyle w:val="Item-Trainho"/>
      <w:lvlText w:val="-"/>
      <w:lvlJc w:val="left"/>
      <w:pPr>
        <w:tabs>
          <w:tab w:val="num" w:pos="397"/>
        </w:tabs>
        <w:ind w:left="397" w:hanging="397"/>
      </w:pPr>
      <w:rPr>
        <w:rFonts w:ascii="Times New Roman" w:hAnsi="Times New Roman" w:cs="Times New Roman" w:hint="default"/>
      </w:rPr>
    </w:lvl>
    <w:lvl w:ilvl="1" w:tplc="7E564044">
      <w:start w:val="1"/>
      <w:numFmt w:val="bullet"/>
      <w:lvlText w:val=""/>
      <w:lvlJc w:val="left"/>
      <w:pPr>
        <w:tabs>
          <w:tab w:val="num" w:pos="1477"/>
        </w:tabs>
        <w:ind w:left="1477" w:hanging="397"/>
      </w:pPr>
      <w:rPr>
        <w:rFonts w:ascii="Symbol" w:hAnsi="Symbol" w:cs="Times New Roman" w:hint="default"/>
        <w:sz w:val="20"/>
        <w:szCs w:val="20"/>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5">
    <w:nsid w:val="025057FF"/>
    <w:multiLevelType w:val="hybridMultilevel"/>
    <w:tmpl w:val="26BED53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nsid w:val="03871061"/>
    <w:multiLevelType w:val="hybridMultilevel"/>
    <w:tmpl w:val="989C45D8"/>
    <w:styleLink w:val="1ai2"/>
    <w:lvl w:ilvl="0" w:tplc="20D4F16E">
      <w:start w:val="1"/>
      <w:numFmt w:val="lowerLetter"/>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7">
    <w:nsid w:val="0428196C"/>
    <w:multiLevelType w:val="singleLevel"/>
    <w:tmpl w:val="10D2A7F6"/>
    <w:lvl w:ilvl="0">
      <w:start w:val="1"/>
      <w:numFmt w:val="bullet"/>
      <w:pStyle w:val="Ttulo7"/>
      <w:lvlText w:val=""/>
      <w:lvlJc w:val="left"/>
      <w:pPr>
        <w:tabs>
          <w:tab w:val="num" w:pos="360"/>
        </w:tabs>
        <w:ind w:left="340" w:hanging="340"/>
      </w:pPr>
      <w:rPr>
        <w:rFonts w:ascii="Symbol" w:hAnsi="Symbol" w:hint="default"/>
        <w:caps w:val="0"/>
        <w:strike w:val="0"/>
        <w:dstrike w:val="0"/>
        <w:vanish w:val="0"/>
        <w:color w:val="000000"/>
        <w:sz w:val="22"/>
        <w:vertAlign w:val="baseline"/>
      </w:rPr>
    </w:lvl>
  </w:abstractNum>
  <w:abstractNum w:abstractNumId="8">
    <w:nsid w:val="0A4D569E"/>
    <w:multiLevelType w:val="hybridMultilevel"/>
    <w:tmpl w:val="73283604"/>
    <w:lvl w:ilvl="0" w:tplc="E286F20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D632FCA"/>
    <w:multiLevelType w:val="hybridMultilevel"/>
    <w:tmpl w:val="C99A94F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pStyle w:val="Quote1"/>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0DC26DF7"/>
    <w:multiLevelType w:val="singleLevel"/>
    <w:tmpl w:val="2800E976"/>
    <w:lvl w:ilvl="0">
      <w:start w:val="1"/>
      <w:numFmt w:val="bullet"/>
      <w:pStyle w:val="Bolinha"/>
      <w:lvlText w:val=""/>
      <w:lvlJc w:val="left"/>
      <w:pPr>
        <w:tabs>
          <w:tab w:val="num" w:pos="360"/>
        </w:tabs>
        <w:ind w:left="360" w:hanging="360"/>
      </w:pPr>
      <w:rPr>
        <w:rFonts w:ascii="Symbol" w:hAnsi="Symbol" w:hint="default"/>
        <w:sz w:val="16"/>
      </w:rPr>
    </w:lvl>
  </w:abstractNum>
  <w:abstractNum w:abstractNumId="11">
    <w:nsid w:val="10455E4D"/>
    <w:multiLevelType w:val="hybridMultilevel"/>
    <w:tmpl w:val="E38ABFFC"/>
    <w:styleLink w:val="Artigoseo1"/>
    <w:lvl w:ilvl="0" w:tplc="DC2AD976">
      <w:start w:val="1"/>
      <w:numFmt w:val="bullet"/>
      <w:pStyle w:val="1traco"/>
      <w:lvlText w:val=""/>
      <w:lvlJc w:val="left"/>
      <w:pPr>
        <w:tabs>
          <w:tab w:val="num" w:pos="360"/>
        </w:tabs>
        <w:ind w:left="340" w:hanging="340"/>
      </w:pPr>
      <w:rPr>
        <w:rFonts w:ascii="Symbol" w:hAnsi="Symbol" w:hint="default"/>
        <w:color w:val="auto"/>
        <w:sz w:val="18"/>
      </w:rPr>
    </w:lvl>
    <w:lvl w:ilvl="1" w:tplc="04160003" w:tentative="1">
      <w:start w:val="1"/>
      <w:numFmt w:val="bullet"/>
      <w:lvlText w:val="o"/>
      <w:lvlJc w:val="left"/>
      <w:pPr>
        <w:tabs>
          <w:tab w:val="num" w:pos="1440"/>
        </w:tabs>
        <w:ind w:left="1440" w:hanging="360"/>
      </w:pPr>
      <w:rPr>
        <w:rFonts w:ascii="Courier New" w:hAnsi="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2">
    <w:nsid w:val="10D5700F"/>
    <w:multiLevelType w:val="singleLevel"/>
    <w:tmpl w:val="08E20554"/>
    <w:lvl w:ilvl="0">
      <w:start w:val="1"/>
      <w:numFmt w:val="bullet"/>
      <w:pStyle w:val="BOLOTA"/>
      <w:lvlText w:val=""/>
      <w:lvlJc w:val="left"/>
      <w:pPr>
        <w:tabs>
          <w:tab w:val="num" w:pos="360"/>
        </w:tabs>
        <w:ind w:left="360" w:hanging="360"/>
      </w:pPr>
      <w:rPr>
        <w:rFonts w:ascii="Symbol" w:hAnsi="Symbol" w:hint="default"/>
        <w:sz w:val="18"/>
      </w:rPr>
    </w:lvl>
  </w:abstractNum>
  <w:abstractNum w:abstractNumId="13">
    <w:nsid w:val="11661AF6"/>
    <w:multiLevelType w:val="multilevel"/>
    <w:tmpl w:val="21E229A2"/>
    <w:lvl w:ilvl="0">
      <w:start w:val="4"/>
      <w:numFmt w:val="decimal"/>
      <w:lvlText w:val="%1."/>
      <w:lvlJc w:val="left"/>
      <w:pPr>
        <w:ind w:left="360" w:hanging="36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4">
    <w:nsid w:val="11FB6E3B"/>
    <w:multiLevelType w:val="hybridMultilevel"/>
    <w:tmpl w:val="572A72C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5">
    <w:nsid w:val="123772D2"/>
    <w:multiLevelType w:val="hybridMultilevel"/>
    <w:tmpl w:val="4170CF6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6">
    <w:nsid w:val="12A45081"/>
    <w:multiLevelType w:val="hybridMultilevel"/>
    <w:tmpl w:val="30220A9E"/>
    <w:lvl w:ilvl="0" w:tplc="0416000F">
      <w:start w:val="1"/>
      <w:numFmt w:val="decimal"/>
      <w:lvlText w:val="%1."/>
      <w:lvlJc w:val="left"/>
      <w:pPr>
        <w:tabs>
          <w:tab w:val="num" w:pos="397"/>
        </w:tabs>
        <w:ind w:left="397" w:hanging="397"/>
      </w:pPr>
      <w:rPr>
        <w:rFonts w:hint="default"/>
      </w:rPr>
    </w:lvl>
    <w:lvl w:ilvl="1" w:tplc="7E564044">
      <w:start w:val="1"/>
      <w:numFmt w:val="bullet"/>
      <w:lvlText w:val=""/>
      <w:lvlJc w:val="left"/>
      <w:pPr>
        <w:tabs>
          <w:tab w:val="num" w:pos="1477"/>
        </w:tabs>
        <w:ind w:left="1477" w:hanging="397"/>
      </w:pPr>
      <w:rPr>
        <w:rFonts w:ascii="Symbol" w:hAnsi="Symbol" w:cs="Times New Roman" w:hint="default"/>
        <w:sz w:val="20"/>
        <w:szCs w:val="20"/>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7">
    <w:nsid w:val="13F95A08"/>
    <w:multiLevelType w:val="multilevel"/>
    <w:tmpl w:val="E8C46CF4"/>
    <w:lvl w:ilvl="0">
      <w:start w:val="1"/>
      <w:numFmt w:val="decimal"/>
      <w:lvlText w:val="%1."/>
      <w:lvlJc w:val="left"/>
      <w:pPr>
        <w:tabs>
          <w:tab w:val="num" w:pos="1211"/>
        </w:tabs>
        <w:ind w:left="1211" w:hanging="360"/>
      </w:pPr>
      <w:rPr>
        <w:rFonts w:hint="default"/>
      </w:rPr>
    </w:lvl>
    <w:lvl w:ilvl="1">
      <w:start w:val="7"/>
      <w:numFmt w:val="decimal"/>
      <w:isLgl/>
      <w:lvlText w:val="%1.%2."/>
      <w:lvlJc w:val="left"/>
      <w:pPr>
        <w:ind w:left="720" w:hanging="720"/>
      </w:pPr>
      <w:rPr>
        <w:rFonts w:hint="default"/>
      </w:rPr>
    </w:lvl>
    <w:lvl w:ilvl="2">
      <w:start w:val="5"/>
      <w:numFmt w:val="decimal"/>
      <w:isLgl/>
      <w:lvlText w:val="%1.%2.%3."/>
      <w:lvlJc w:val="left"/>
      <w:pPr>
        <w:ind w:left="720" w:hanging="720"/>
      </w:pPr>
      <w:rPr>
        <w:rFonts w:hint="default"/>
      </w:rPr>
    </w:lvl>
    <w:lvl w:ilvl="3">
      <w:start w:val="3"/>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nsid w:val="19BF6CAC"/>
    <w:multiLevelType w:val="hybridMultilevel"/>
    <w:tmpl w:val="2D9E63EC"/>
    <w:styleLink w:val="1ai1"/>
    <w:lvl w:ilvl="0" w:tplc="0416000B">
      <w:start w:val="1"/>
      <w:numFmt w:val="bullet"/>
      <w:lvlText w:val=""/>
      <w:lvlJc w:val="left"/>
      <w:pPr>
        <w:ind w:left="643"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nsid w:val="1A920B25"/>
    <w:multiLevelType w:val="hybridMultilevel"/>
    <w:tmpl w:val="7C462354"/>
    <w:lvl w:ilvl="0" w:tplc="FFFFFFFF">
      <w:start w:val="1"/>
      <w:numFmt w:val="bullet"/>
      <w:lvlText w:val=""/>
      <w:lvlJc w:val="left"/>
      <w:pPr>
        <w:ind w:left="777" w:hanging="360"/>
      </w:pPr>
      <w:rPr>
        <w:rFonts w:ascii="Symbol" w:hAnsi="Symbol" w:hint="default"/>
        <w:color w:val="auto"/>
        <w:sz w:val="24"/>
      </w:rPr>
    </w:lvl>
    <w:lvl w:ilvl="1" w:tplc="04160003" w:tentative="1">
      <w:start w:val="1"/>
      <w:numFmt w:val="bullet"/>
      <w:lvlText w:val="o"/>
      <w:lvlJc w:val="left"/>
      <w:pPr>
        <w:ind w:left="1497" w:hanging="360"/>
      </w:pPr>
      <w:rPr>
        <w:rFonts w:ascii="Courier New" w:hAnsi="Courier New" w:cs="Courier New" w:hint="default"/>
      </w:rPr>
    </w:lvl>
    <w:lvl w:ilvl="2" w:tplc="04160005" w:tentative="1">
      <w:start w:val="1"/>
      <w:numFmt w:val="bullet"/>
      <w:lvlText w:val=""/>
      <w:lvlJc w:val="left"/>
      <w:pPr>
        <w:ind w:left="2217" w:hanging="360"/>
      </w:pPr>
      <w:rPr>
        <w:rFonts w:ascii="Wingdings" w:hAnsi="Wingdings" w:hint="default"/>
      </w:rPr>
    </w:lvl>
    <w:lvl w:ilvl="3" w:tplc="04160001" w:tentative="1">
      <w:start w:val="1"/>
      <w:numFmt w:val="bullet"/>
      <w:lvlText w:val=""/>
      <w:lvlJc w:val="left"/>
      <w:pPr>
        <w:ind w:left="2937" w:hanging="360"/>
      </w:pPr>
      <w:rPr>
        <w:rFonts w:ascii="Symbol" w:hAnsi="Symbol" w:hint="default"/>
      </w:rPr>
    </w:lvl>
    <w:lvl w:ilvl="4" w:tplc="04160003" w:tentative="1">
      <w:start w:val="1"/>
      <w:numFmt w:val="bullet"/>
      <w:lvlText w:val="o"/>
      <w:lvlJc w:val="left"/>
      <w:pPr>
        <w:ind w:left="3657" w:hanging="360"/>
      </w:pPr>
      <w:rPr>
        <w:rFonts w:ascii="Courier New" w:hAnsi="Courier New" w:cs="Courier New" w:hint="default"/>
      </w:rPr>
    </w:lvl>
    <w:lvl w:ilvl="5" w:tplc="04160005" w:tentative="1">
      <w:start w:val="1"/>
      <w:numFmt w:val="bullet"/>
      <w:lvlText w:val=""/>
      <w:lvlJc w:val="left"/>
      <w:pPr>
        <w:ind w:left="4377" w:hanging="360"/>
      </w:pPr>
      <w:rPr>
        <w:rFonts w:ascii="Wingdings" w:hAnsi="Wingdings" w:hint="default"/>
      </w:rPr>
    </w:lvl>
    <w:lvl w:ilvl="6" w:tplc="04160001" w:tentative="1">
      <w:start w:val="1"/>
      <w:numFmt w:val="bullet"/>
      <w:lvlText w:val=""/>
      <w:lvlJc w:val="left"/>
      <w:pPr>
        <w:ind w:left="5097" w:hanging="360"/>
      </w:pPr>
      <w:rPr>
        <w:rFonts w:ascii="Symbol" w:hAnsi="Symbol" w:hint="default"/>
      </w:rPr>
    </w:lvl>
    <w:lvl w:ilvl="7" w:tplc="04160003" w:tentative="1">
      <w:start w:val="1"/>
      <w:numFmt w:val="bullet"/>
      <w:lvlText w:val="o"/>
      <w:lvlJc w:val="left"/>
      <w:pPr>
        <w:ind w:left="5817" w:hanging="360"/>
      </w:pPr>
      <w:rPr>
        <w:rFonts w:ascii="Courier New" w:hAnsi="Courier New" w:cs="Courier New" w:hint="default"/>
      </w:rPr>
    </w:lvl>
    <w:lvl w:ilvl="8" w:tplc="04160005" w:tentative="1">
      <w:start w:val="1"/>
      <w:numFmt w:val="bullet"/>
      <w:lvlText w:val=""/>
      <w:lvlJc w:val="left"/>
      <w:pPr>
        <w:ind w:left="6537" w:hanging="360"/>
      </w:pPr>
      <w:rPr>
        <w:rFonts w:ascii="Wingdings" w:hAnsi="Wingdings" w:hint="default"/>
      </w:rPr>
    </w:lvl>
  </w:abstractNum>
  <w:abstractNum w:abstractNumId="20">
    <w:nsid w:val="1CF23868"/>
    <w:multiLevelType w:val="hybridMultilevel"/>
    <w:tmpl w:val="7402FFA6"/>
    <w:styleLink w:val="Artigoseo"/>
    <w:lvl w:ilvl="0" w:tplc="4E36FF4E">
      <w:start w:val="1"/>
      <w:numFmt w:val="bullet"/>
      <w:lvlText w:val=""/>
      <w:lvlJc w:val="left"/>
      <w:pPr>
        <w:tabs>
          <w:tab w:val="num" w:pos="360"/>
        </w:tabs>
        <w:ind w:left="360" w:hanging="360"/>
      </w:pPr>
      <w:rPr>
        <w:rFonts w:ascii="Symbol" w:hAnsi="Symbol" w:hint="default"/>
      </w:rPr>
    </w:lvl>
    <w:lvl w:ilvl="1" w:tplc="7E564044">
      <w:start w:val="1"/>
      <w:numFmt w:val="bullet"/>
      <w:lvlText w:val=""/>
      <w:lvlJc w:val="left"/>
      <w:pPr>
        <w:tabs>
          <w:tab w:val="num" w:pos="1477"/>
        </w:tabs>
        <w:ind w:left="1477" w:hanging="397"/>
      </w:pPr>
      <w:rPr>
        <w:rFonts w:ascii="Symbol" w:hAnsi="Symbol" w:cs="Times New Roman" w:hint="default"/>
        <w:sz w:val="20"/>
        <w:szCs w:val="20"/>
      </w:rPr>
    </w:lvl>
    <w:lvl w:ilvl="2" w:tplc="04160005">
      <w:start w:val="1"/>
      <w:numFmt w:val="bullet"/>
      <w:lvlText w:val=""/>
      <w:lvlJc w:val="left"/>
      <w:pPr>
        <w:tabs>
          <w:tab w:val="num" w:pos="2160"/>
        </w:tabs>
        <w:ind w:left="2160" w:hanging="360"/>
      </w:pPr>
      <w:rPr>
        <w:rFonts w:ascii="Wingdings" w:hAnsi="Wingdings" w:hint="default"/>
      </w:rPr>
    </w:lvl>
    <w:lvl w:ilvl="3" w:tplc="04160001">
      <w:start w:val="1"/>
      <w:numFmt w:val="bullet"/>
      <w:lvlText w:val=""/>
      <w:lvlJc w:val="left"/>
      <w:pPr>
        <w:tabs>
          <w:tab w:val="num" w:pos="2880"/>
        </w:tabs>
        <w:ind w:left="2880" w:hanging="360"/>
      </w:pPr>
      <w:rPr>
        <w:rFonts w:ascii="Symbol" w:hAnsi="Symbol" w:hint="default"/>
      </w:rPr>
    </w:lvl>
    <w:lvl w:ilvl="4" w:tplc="B1C43032">
      <w:start w:val="2"/>
      <w:numFmt w:val="bullet"/>
      <w:lvlText w:val="-"/>
      <w:lvlJc w:val="left"/>
      <w:pPr>
        <w:ind w:left="3600" w:hanging="360"/>
      </w:pPr>
      <w:rPr>
        <w:rFonts w:ascii="Arial" w:eastAsia="Times New Roman" w:hAnsi="Arial" w:cs="Arial"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1">
    <w:nsid w:val="1D353B1C"/>
    <w:multiLevelType w:val="hybridMultilevel"/>
    <w:tmpl w:val="9D741BC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nsid w:val="1E7A73BA"/>
    <w:multiLevelType w:val="hybridMultilevel"/>
    <w:tmpl w:val="AFD4F12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1F9B3309"/>
    <w:multiLevelType w:val="hybridMultilevel"/>
    <w:tmpl w:val="F8A8F57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228C1E85"/>
    <w:multiLevelType w:val="singleLevel"/>
    <w:tmpl w:val="DCEAAB9A"/>
    <w:lvl w:ilvl="0">
      <w:numFmt w:val="bullet"/>
      <w:pStyle w:val="trao1"/>
      <w:lvlText w:val="-"/>
      <w:lvlJc w:val="left"/>
      <w:pPr>
        <w:tabs>
          <w:tab w:val="num" w:pos="360"/>
        </w:tabs>
        <w:ind w:left="360" w:hanging="360"/>
      </w:pPr>
      <w:rPr>
        <w:rFonts w:ascii="Times New Roman" w:hAnsi="Times New Roman" w:hint="default"/>
      </w:rPr>
    </w:lvl>
  </w:abstractNum>
  <w:abstractNum w:abstractNumId="25">
    <w:nsid w:val="23CD36A4"/>
    <w:multiLevelType w:val="hybridMultilevel"/>
    <w:tmpl w:val="C8CCD232"/>
    <w:lvl w:ilvl="0" w:tplc="D88AA0EC">
      <w:start w:val="1"/>
      <w:numFmt w:val="lowerLetter"/>
      <w:pStyle w:val="Letras"/>
      <w:lvlText w:val="%1)"/>
      <w:lvlJc w:val="left"/>
      <w:pPr>
        <w:tabs>
          <w:tab w:val="num" w:pos="360"/>
        </w:tabs>
        <w:ind w:left="340" w:hanging="340"/>
      </w:pPr>
      <w:rPr>
        <w:rFont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nsid w:val="25902FDB"/>
    <w:multiLevelType w:val="multilevel"/>
    <w:tmpl w:val="35C299F4"/>
    <w:lvl w:ilvl="0">
      <w:start w:val="3"/>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nsid w:val="267213FB"/>
    <w:multiLevelType w:val="multilevel"/>
    <w:tmpl w:val="64A441E2"/>
    <w:lvl w:ilvl="0">
      <w:start w:val="3"/>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nsid w:val="27A64F94"/>
    <w:multiLevelType w:val="multilevel"/>
    <w:tmpl w:val="DE2CFB1C"/>
    <w:lvl w:ilvl="0">
      <w:start w:val="1"/>
      <w:numFmt w:val="decimal"/>
      <w:pStyle w:val="Ttulo1"/>
      <w:lvlText w:val="%1."/>
      <w:lvlJc w:val="left"/>
      <w:pPr>
        <w:ind w:left="360" w:hanging="360"/>
      </w:pPr>
      <w:rPr>
        <w:rFonts w:hint="default"/>
        <w:b/>
      </w:rPr>
    </w:lvl>
    <w:lvl w:ilvl="1">
      <w:start w:val="1"/>
      <w:numFmt w:val="decimal"/>
      <w:lvlText w:val="%1.%2."/>
      <w:lvlJc w:val="left"/>
      <w:pPr>
        <w:ind w:left="720" w:hanging="720"/>
      </w:pPr>
      <w:rPr>
        <w:rFonts w:hint="default"/>
      </w:rPr>
    </w:lvl>
    <w:lvl w:ilvl="2">
      <w:start w:val="1"/>
      <w:numFmt w:val="decimal"/>
      <w:lvlText w:val="%1.%2.%3."/>
      <w:lvlJc w:val="left"/>
      <w:pPr>
        <w:ind w:left="1004"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nsid w:val="294326F9"/>
    <w:multiLevelType w:val="hybridMultilevel"/>
    <w:tmpl w:val="D6CE207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30">
    <w:nsid w:val="2A6E7642"/>
    <w:multiLevelType w:val="hybridMultilevel"/>
    <w:tmpl w:val="3BC6858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2C6C696E"/>
    <w:multiLevelType w:val="hybridMultilevel"/>
    <w:tmpl w:val="CA48C7B4"/>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32">
    <w:nsid w:val="2C736C49"/>
    <w:multiLevelType w:val="hybridMultilevel"/>
    <w:tmpl w:val="EBBAC890"/>
    <w:lvl w:ilvl="0" w:tplc="04160001">
      <w:start w:val="1"/>
      <w:numFmt w:val="bullet"/>
      <w:pStyle w:val="Citao1"/>
      <w:lvlText w:val=""/>
      <w:lvlJc w:val="left"/>
      <w:pPr>
        <w:tabs>
          <w:tab w:val="num" w:pos="1287"/>
        </w:tabs>
        <w:ind w:left="1287" w:hanging="360"/>
      </w:pPr>
      <w:rPr>
        <w:rFonts w:ascii="Symbol" w:hAnsi="Symbol" w:hint="default"/>
        <w:color w:val="auto"/>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3">
    <w:nsid w:val="2F825305"/>
    <w:multiLevelType w:val="hybridMultilevel"/>
    <w:tmpl w:val="E0EC55A8"/>
    <w:styleLink w:val="1ai24"/>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4">
    <w:nsid w:val="305D0DDC"/>
    <w:multiLevelType w:val="multilevel"/>
    <w:tmpl w:val="BE0C82AA"/>
    <w:lvl w:ilvl="0">
      <w:start w:val="1"/>
      <w:numFmt w:val="decimal"/>
      <w:lvlText w:val="%1."/>
      <w:lvlJc w:val="left"/>
      <w:pPr>
        <w:ind w:left="720" w:hanging="360"/>
      </w:pPr>
      <w:rPr>
        <w:rFonts w:hint="default"/>
      </w:rPr>
    </w:lvl>
    <w:lvl w:ilvl="1">
      <w:start w:val="3"/>
      <w:numFmt w:val="decimal"/>
      <w:isLgl/>
      <w:lvlText w:val="%1.%2."/>
      <w:lvlJc w:val="left"/>
      <w:pPr>
        <w:ind w:left="1155" w:hanging="795"/>
      </w:pPr>
      <w:rPr>
        <w:rFonts w:hint="default"/>
      </w:rPr>
    </w:lvl>
    <w:lvl w:ilvl="2">
      <w:start w:val="1"/>
      <w:numFmt w:val="decimal"/>
      <w:isLgl/>
      <w:lvlText w:val="%1.%2.%3."/>
      <w:lvlJc w:val="left"/>
      <w:pPr>
        <w:ind w:left="1155" w:hanging="795"/>
      </w:pPr>
      <w:rPr>
        <w:rFonts w:hint="default"/>
      </w:rPr>
    </w:lvl>
    <w:lvl w:ilvl="3">
      <w:start w:val="8"/>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5">
    <w:nsid w:val="31181141"/>
    <w:multiLevelType w:val="hybridMultilevel"/>
    <w:tmpl w:val="7D2EEF0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nsid w:val="32E95B0C"/>
    <w:multiLevelType w:val="hybridMultilevel"/>
    <w:tmpl w:val="0C7A1D8A"/>
    <w:lvl w:ilvl="0" w:tplc="E628106C">
      <w:start w:val="3"/>
      <w:numFmt w:val="bullet"/>
      <w:lvlText w:val="-"/>
      <w:lvlJc w:val="left"/>
      <w:pPr>
        <w:ind w:left="1429" w:hanging="360"/>
      </w:pPr>
      <w:rPr>
        <w:rFonts w:ascii="Times New Roman Negrito" w:hAnsi="Times New Roman Negrito" w:cs="Times New Roman" w:hint="default"/>
        <w:b/>
        <w:i w:val="0"/>
        <w:sz w:val="22"/>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7">
    <w:nsid w:val="33E8175D"/>
    <w:multiLevelType w:val="multilevel"/>
    <w:tmpl w:val="0082FC94"/>
    <w:lvl w:ilvl="0">
      <w:start w:val="3"/>
      <w:numFmt w:val="decimal"/>
      <w:lvlText w:val="%1."/>
      <w:lvlJc w:val="left"/>
      <w:pPr>
        <w:ind w:left="720" w:hanging="72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6"/>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nsid w:val="341B3672"/>
    <w:multiLevelType w:val="multilevel"/>
    <w:tmpl w:val="EDE05468"/>
    <w:lvl w:ilvl="0">
      <w:start w:val="1"/>
      <w:numFmt w:val="lowerLetter"/>
      <w:suff w:val="space"/>
      <w:lvlText w:val="%1)"/>
      <w:lvlJc w:val="left"/>
      <w:pPr>
        <w:ind w:left="0" w:firstLine="0"/>
      </w:pPr>
      <w:rPr>
        <w:i w:val="0"/>
      </w:rPr>
    </w:lvl>
    <w:lvl w:ilvl="1">
      <w:start w:val="1"/>
      <w:numFmt w:val="decimal"/>
      <w:suff w:val="space"/>
      <w:lvlText w:val="%1.%2)"/>
      <w:lvlJc w:val="left"/>
      <w:pPr>
        <w:ind w:left="0" w:firstLine="0"/>
      </w:pPr>
    </w:lvl>
    <w:lvl w:ilvl="2">
      <w:start w:val="1"/>
      <w:numFmt w:val="decimal"/>
      <w:suff w:val="space"/>
      <w:lvlText w:val="%1.%2.%3 -"/>
      <w:lvlJc w:val="left"/>
      <w:pPr>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39">
    <w:nsid w:val="367A35D2"/>
    <w:multiLevelType w:val="hybridMultilevel"/>
    <w:tmpl w:val="EE306C3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0">
    <w:nsid w:val="3823507A"/>
    <w:multiLevelType w:val="singleLevel"/>
    <w:tmpl w:val="96360D6A"/>
    <w:lvl w:ilvl="0">
      <w:start w:val="1"/>
      <w:numFmt w:val="bullet"/>
      <w:pStyle w:val="Itens"/>
      <w:lvlText w:val=""/>
      <w:lvlJc w:val="left"/>
      <w:pPr>
        <w:tabs>
          <w:tab w:val="num" w:pos="360"/>
        </w:tabs>
        <w:ind w:left="360" w:hanging="360"/>
      </w:pPr>
      <w:rPr>
        <w:rFonts w:ascii="Symbol" w:hAnsi="Symbol" w:hint="default"/>
      </w:rPr>
    </w:lvl>
  </w:abstractNum>
  <w:abstractNum w:abstractNumId="41">
    <w:nsid w:val="39873B76"/>
    <w:multiLevelType w:val="singleLevel"/>
    <w:tmpl w:val="882EC1FC"/>
    <w:lvl w:ilvl="0">
      <w:start w:val="1"/>
      <w:numFmt w:val="lowerLetter"/>
      <w:pStyle w:val="Ttulo5"/>
      <w:lvlText w:val="(%1)"/>
      <w:lvlJc w:val="left"/>
      <w:pPr>
        <w:tabs>
          <w:tab w:val="num" w:pos="360"/>
        </w:tabs>
        <w:ind w:left="360" w:hanging="360"/>
      </w:pPr>
    </w:lvl>
  </w:abstractNum>
  <w:abstractNum w:abstractNumId="42">
    <w:nsid w:val="3A5B05C6"/>
    <w:multiLevelType w:val="multilevel"/>
    <w:tmpl w:val="7F348CBC"/>
    <w:name w:val="1"/>
    <w:styleLink w:val="1ai23"/>
    <w:lvl w:ilvl="0">
      <w:start w:val="1"/>
      <w:numFmt w:val="decimal"/>
      <w:pStyle w:val="Bullet"/>
      <w:lvlText w:val="%1."/>
      <w:lvlJc w:val="left"/>
      <w:pPr>
        <w:tabs>
          <w:tab w:val="num" w:pos="1211"/>
        </w:tabs>
        <w:ind w:left="1211" w:hanging="360"/>
      </w:pPr>
      <w:rPr>
        <w:rFonts w:hint="default"/>
      </w:rPr>
    </w:lvl>
    <w:lvl w:ilvl="1">
      <w:start w:val="7"/>
      <w:numFmt w:val="decimal"/>
      <w:isLgl/>
      <w:lvlText w:val="%1.%2."/>
      <w:lvlJc w:val="left"/>
      <w:pPr>
        <w:ind w:left="1080" w:hanging="720"/>
      </w:pPr>
      <w:rPr>
        <w:rFonts w:hint="default"/>
      </w:rPr>
    </w:lvl>
    <w:lvl w:ilvl="2">
      <w:start w:val="5"/>
      <w:numFmt w:val="decimal"/>
      <w:isLgl/>
      <w:lvlText w:val="%1.%2.%3."/>
      <w:lvlJc w:val="left"/>
      <w:pPr>
        <w:ind w:left="1080" w:hanging="720"/>
      </w:pPr>
      <w:rPr>
        <w:rFonts w:hint="default"/>
      </w:rPr>
    </w:lvl>
    <w:lvl w:ilvl="3">
      <w:start w:val="3"/>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3">
    <w:nsid w:val="3B393EE7"/>
    <w:multiLevelType w:val="hybridMultilevel"/>
    <w:tmpl w:val="F31AD4AA"/>
    <w:lvl w:ilvl="0" w:tplc="4858E59C">
      <w:start w:val="1"/>
      <w:numFmt w:val="bullet"/>
      <w:lvlText w:val=""/>
      <w:lvlJc w:val="left"/>
      <w:pPr>
        <w:ind w:left="720" w:hanging="360"/>
      </w:pPr>
      <w:rPr>
        <w:rFonts w:ascii="Symbol" w:hAnsi="Symbol" w:hint="default"/>
      </w:rPr>
    </w:lvl>
    <w:lvl w:ilvl="1" w:tplc="52F4B398" w:tentative="1">
      <w:start w:val="1"/>
      <w:numFmt w:val="bullet"/>
      <w:lvlText w:val="o"/>
      <w:lvlJc w:val="left"/>
      <w:pPr>
        <w:ind w:left="1440" w:hanging="360"/>
      </w:pPr>
      <w:rPr>
        <w:rFonts w:ascii="Courier New" w:hAnsi="Courier New" w:cs="Courier New" w:hint="default"/>
      </w:rPr>
    </w:lvl>
    <w:lvl w:ilvl="2" w:tplc="7EDADC54" w:tentative="1">
      <w:start w:val="1"/>
      <w:numFmt w:val="bullet"/>
      <w:lvlText w:val=""/>
      <w:lvlJc w:val="left"/>
      <w:pPr>
        <w:ind w:left="2160" w:hanging="360"/>
      </w:pPr>
      <w:rPr>
        <w:rFonts w:ascii="Wingdings" w:hAnsi="Wingdings" w:hint="default"/>
      </w:rPr>
    </w:lvl>
    <w:lvl w:ilvl="3" w:tplc="07F6ECD8" w:tentative="1">
      <w:start w:val="1"/>
      <w:numFmt w:val="bullet"/>
      <w:lvlText w:val=""/>
      <w:lvlJc w:val="left"/>
      <w:pPr>
        <w:ind w:left="2880" w:hanging="360"/>
      </w:pPr>
      <w:rPr>
        <w:rFonts w:ascii="Symbol" w:hAnsi="Symbol" w:hint="default"/>
      </w:rPr>
    </w:lvl>
    <w:lvl w:ilvl="4" w:tplc="C4E4D326" w:tentative="1">
      <w:start w:val="1"/>
      <w:numFmt w:val="bullet"/>
      <w:lvlText w:val="o"/>
      <w:lvlJc w:val="left"/>
      <w:pPr>
        <w:ind w:left="3600" w:hanging="360"/>
      </w:pPr>
      <w:rPr>
        <w:rFonts w:ascii="Courier New" w:hAnsi="Courier New" w:cs="Courier New" w:hint="default"/>
      </w:rPr>
    </w:lvl>
    <w:lvl w:ilvl="5" w:tplc="018E10EE" w:tentative="1">
      <w:start w:val="1"/>
      <w:numFmt w:val="bullet"/>
      <w:lvlText w:val=""/>
      <w:lvlJc w:val="left"/>
      <w:pPr>
        <w:ind w:left="4320" w:hanging="360"/>
      </w:pPr>
      <w:rPr>
        <w:rFonts w:ascii="Wingdings" w:hAnsi="Wingdings" w:hint="default"/>
      </w:rPr>
    </w:lvl>
    <w:lvl w:ilvl="6" w:tplc="D9B46C32" w:tentative="1">
      <w:start w:val="1"/>
      <w:numFmt w:val="bullet"/>
      <w:lvlText w:val=""/>
      <w:lvlJc w:val="left"/>
      <w:pPr>
        <w:ind w:left="5040" w:hanging="360"/>
      </w:pPr>
      <w:rPr>
        <w:rFonts w:ascii="Symbol" w:hAnsi="Symbol" w:hint="default"/>
      </w:rPr>
    </w:lvl>
    <w:lvl w:ilvl="7" w:tplc="454E4FBA" w:tentative="1">
      <w:start w:val="1"/>
      <w:numFmt w:val="bullet"/>
      <w:lvlText w:val="o"/>
      <w:lvlJc w:val="left"/>
      <w:pPr>
        <w:ind w:left="5760" w:hanging="360"/>
      </w:pPr>
      <w:rPr>
        <w:rFonts w:ascii="Courier New" w:hAnsi="Courier New" w:cs="Courier New" w:hint="default"/>
      </w:rPr>
    </w:lvl>
    <w:lvl w:ilvl="8" w:tplc="224060DC" w:tentative="1">
      <w:start w:val="1"/>
      <w:numFmt w:val="bullet"/>
      <w:lvlText w:val=""/>
      <w:lvlJc w:val="left"/>
      <w:pPr>
        <w:ind w:left="6480" w:hanging="360"/>
      </w:pPr>
      <w:rPr>
        <w:rFonts w:ascii="Wingdings" w:hAnsi="Wingdings" w:hint="default"/>
      </w:rPr>
    </w:lvl>
  </w:abstractNum>
  <w:abstractNum w:abstractNumId="44">
    <w:nsid w:val="3B724CBD"/>
    <w:multiLevelType w:val="hybridMultilevel"/>
    <w:tmpl w:val="FBAC7C60"/>
    <w:styleLink w:val="1ai211"/>
    <w:lvl w:ilvl="0" w:tplc="5F1AEB5C">
      <w:start w:val="1"/>
      <w:numFmt w:val="decimal"/>
      <w:lvlText w:val="%1."/>
      <w:lvlJc w:val="left"/>
      <w:pPr>
        <w:tabs>
          <w:tab w:val="num" w:pos="720"/>
        </w:tabs>
        <w:ind w:left="720" w:hanging="360"/>
      </w:pPr>
      <w:rPr>
        <w:rFonts w:hint="default"/>
        <w:b/>
      </w:rPr>
    </w:lvl>
    <w:lvl w:ilvl="1" w:tplc="EAC88E7A" w:tentative="1">
      <w:start w:val="1"/>
      <w:numFmt w:val="lowerLetter"/>
      <w:lvlText w:val="%2."/>
      <w:lvlJc w:val="left"/>
      <w:pPr>
        <w:tabs>
          <w:tab w:val="num" w:pos="1440"/>
        </w:tabs>
        <w:ind w:left="1440" w:hanging="360"/>
      </w:pPr>
    </w:lvl>
    <w:lvl w:ilvl="2" w:tplc="67B4F688" w:tentative="1">
      <w:start w:val="1"/>
      <w:numFmt w:val="lowerRoman"/>
      <w:lvlText w:val="%3."/>
      <w:lvlJc w:val="right"/>
      <w:pPr>
        <w:tabs>
          <w:tab w:val="num" w:pos="2160"/>
        </w:tabs>
        <w:ind w:left="2160" w:hanging="180"/>
      </w:pPr>
    </w:lvl>
    <w:lvl w:ilvl="3" w:tplc="63621B40" w:tentative="1">
      <w:start w:val="1"/>
      <w:numFmt w:val="decimal"/>
      <w:lvlText w:val="%4."/>
      <w:lvlJc w:val="left"/>
      <w:pPr>
        <w:tabs>
          <w:tab w:val="num" w:pos="2880"/>
        </w:tabs>
        <w:ind w:left="2880" w:hanging="360"/>
      </w:pPr>
    </w:lvl>
    <w:lvl w:ilvl="4" w:tplc="C726AC3C" w:tentative="1">
      <w:start w:val="1"/>
      <w:numFmt w:val="lowerLetter"/>
      <w:lvlText w:val="%5."/>
      <w:lvlJc w:val="left"/>
      <w:pPr>
        <w:tabs>
          <w:tab w:val="num" w:pos="3600"/>
        </w:tabs>
        <w:ind w:left="3600" w:hanging="360"/>
      </w:pPr>
    </w:lvl>
    <w:lvl w:ilvl="5" w:tplc="E9E6CD74" w:tentative="1">
      <w:start w:val="1"/>
      <w:numFmt w:val="lowerRoman"/>
      <w:lvlText w:val="%6."/>
      <w:lvlJc w:val="right"/>
      <w:pPr>
        <w:tabs>
          <w:tab w:val="num" w:pos="4320"/>
        </w:tabs>
        <w:ind w:left="4320" w:hanging="180"/>
      </w:pPr>
    </w:lvl>
    <w:lvl w:ilvl="6" w:tplc="929867E4" w:tentative="1">
      <w:start w:val="1"/>
      <w:numFmt w:val="decimal"/>
      <w:lvlText w:val="%7."/>
      <w:lvlJc w:val="left"/>
      <w:pPr>
        <w:tabs>
          <w:tab w:val="num" w:pos="5040"/>
        </w:tabs>
        <w:ind w:left="5040" w:hanging="360"/>
      </w:pPr>
    </w:lvl>
    <w:lvl w:ilvl="7" w:tplc="3640BD46" w:tentative="1">
      <w:start w:val="1"/>
      <w:numFmt w:val="lowerLetter"/>
      <w:lvlText w:val="%8."/>
      <w:lvlJc w:val="left"/>
      <w:pPr>
        <w:tabs>
          <w:tab w:val="num" w:pos="5760"/>
        </w:tabs>
        <w:ind w:left="5760" w:hanging="360"/>
      </w:pPr>
    </w:lvl>
    <w:lvl w:ilvl="8" w:tplc="DEEA618E" w:tentative="1">
      <w:start w:val="1"/>
      <w:numFmt w:val="lowerRoman"/>
      <w:lvlText w:val="%9."/>
      <w:lvlJc w:val="right"/>
      <w:pPr>
        <w:tabs>
          <w:tab w:val="num" w:pos="6480"/>
        </w:tabs>
        <w:ind w:left="6480" w:hanging="180"/>
      </w:pPr>
    </w:lvl>
  </w:abstractNum>
  <w:abstractNum w:abstractNumId="45">
    <w:nsid w:val="3B9B7B3D"/>
    <w:multiLevelType w:val="hybridMultilevel"/>
    <w:tmpl w:val="7116EFC6"/>
    <w:styleLink w:val="1ai12"/>
    <w:lvl w:ilvl="0" w:tplc="D34EE070">
      <w:start w:val="1"/>
      <w:numFmt w:val="bullet"/>
      <w:lvlText w:val=""/>
      <w:lvlJc w:val="left"/>
      <w:pPr>
        <w:tabs>
          <w:tab w:val="num" w:pos="360"/>
        </w:tabs>
        <w:ind w:left="360" w:hanging="360"/>
      </w:pPr>
      <w:rPr>
        <w:rFonts w:ascii="Symbol" w:hAnsi="Symbol" w:hint="default"/>
        <w:sz w:val="24"/>
      </w:rPr>
    </w:lvl>
    <w:lvl w:ilvl="1" w:tplc="DC14903A">
      <w:start w:val="1"/>
      <w:numFmt w:val="bullet"/>
      <w:lvlText w:val="o"/>
      <w:lvlJc w:val="left"/>
      <w:pPr>
        <w:ind w:left="1080" w:hanging="360"/>
      </w:pPr>
      <w:rPr>
        <w:rFonts w:ascii="Courier New" w:hAnsi="Courier New" w:cs="Courier New" w:hint="default"/>
      </w:rPr>
    </w:lvl>
    <w:lvl w:ilvl="2" w:tplc="8A34790C" w:tentative="1">
      <w:start w:val="1"/>
      <w:numFmt w:val="bullet"/>
      <w:lvlText w:val=""/>
      <w:lvlJc w:val="left"/>
      <w:pPr>
        <w:ind w:left="1800" w:hanging="360"/>
      </w:pPr>
      <w:rPr>
        <w:rFonts w:ascii="Wingdings" w:hAnsi="Wingdings" w:hint="default"/>
      </w:rPr>
    </w:lvl>
    <w:lvl w:ilvl="3" w:tplc="2190D6EE" w:tentative="1">
      <w:start w:val="1"/>
      <w:numFmt w:val="bullet"/>
      <w:lvlText w:val=""/>
      <w:lvlJc w:val="left"/>
      <w:pPr>
        <w:ind w:left="2520" w:hanging="360"/>
      </w:pPr>
      <w:rPr>
        <w:rFonts w:ascii="Symbol" w:hAnsi="Symbol" w:hint="default"/>
      </w:rPr>
    </w:lvl>
    <w:lvl w:ilvl="4" w:tplc="080C13C0" w:tentative="1">
      <w:start w:val="1"/>
      <w:numFmt w:val="bullet"/>
      <w:lvlText w:val="o"/>
      <w:lvlJc w:val="left"/>
      <w:pPr>
        <w:ind w:left="3240" w:hanging="360"/>
      </w:pPr>
      <w:rPr>
        <w:rFonts w:ascii="Courier New" w:hAnsi="Courier New" w:cs="Courier New" w:hint="default"/>
      </w:rPr>
    </w:lvl>
    <w:lvl w:ilvl="5" w:tplc="0CB4B49E" w:tentative="1">
      <w:start w:val="1"/>
      <w:numFmt w:val="bullet"/>
      <w:lvlText w:val=""/>
      <w:lvlJc w:val="left"/>
      <w:pPr>
        <w:ind w:left="3960" w:hanging="360"/>
      </w:pPr>
      <w:rPr>
        <w:rFonts w:ascii="Wingdings" w:hAnsi="Wingdings" w:hint="default"/>
      </w:rPr>
    </w:lvl>
    <w:lvl w:ilvl="6" w:tplc="8CFC1B7E" w:tentative="1">
      <w:start w:val="1"/>
      <w:numFmt w:val="bullet"/>
      <w:lvlText w:val=""/>
      <w:lvlJc w:val="left"/>
      <w:pPr>
        <w:ind w:left="4680" w:hanging="360"/>
      </w:pPr>
      <w:rPr>
        <w:rFonts w:ascii="Symbol" w:hAnsi="Symbol" w:hint="default"/>
      </w:rPr>
    </w:lvl>
    <w:lvl w:ilvl="7" w:tplc="F37A200A" w:tentative="1">
      <w:start w:val="1"/>
      <w:numFmt w:val="bullet"/>
      <w:lvlText w:val="o"/>
      <w:lvlJc w:val="left"/>
      <w:pPr>
        <w:ind w:left="5400" w:hanging="360"/>
      </w:pPr>
      <w:rPr>
        <w:rFonts w:ascii="Courier New" w:hAnsi="Courier New" w:cs="Courier New" w:hint="default"/>
      </w:rPr>
    </w:lvl>
    <w:lvl w:ilvl="8" w:tplc="75DE4DE0" w:tentative="1">
      <w:start w:val="1"/>
      <w:numFmt w:val="bullet"/>
      <w:lvlText w:val=""/>
      <w:lvlJc w:val="left"/>
      <w:pPr>
        <w:ind w:left="6120" w:hanging="360"/>
      </w:pPr>
      <w:rPr>
        <w:rFonts w:ascii="Wingdings" w:hAnsi="Wingdings" w:hint="default"/>
      </w:rPr>
    </w:lvl>
  </w:abstractNum>
  <w:abstractNum w:abstractNumId="46">
    <w:nsid w:val="3C2E79C1"/>
    <w:multiLevelType w:val="hybridMultilevel"/>
    <w:tmpl w:val="4A40E1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7">
    <w:nsid w:val="3D750176"/>
    <w:multiLevelType w:val="hybridMultilevel"/>
    <w:tmpl w:val="FCF02056"/>
    <w:lvl w:ilvl="0" w:tplc="04160001">
      <w:start w:val="1"/>
      <w:numFmt w:val="bullet"/>
      <w:lvlText w:val=""/>
      <w:lvlJc w:val="left"/>
      <w:pPr>
        <w:ind w:left="409" w:hanging="360"/>
      </w:pPr>
      <w:rPr>
        <w:rFonts w:ascii="Wingdings" w:hAnsi="Wingdings" w:hint="default"/>
      </w:rPr>
    </w:lvl>
    <w:lvl w:ilvl="1" w:tplc="04160003" w:tentative="1">
      <w:start w:val="1"/>
      <w:numFmt w:val="bullet"/>
      <w:lvlText w:val="o"/>
      <w:lvlJc w:val="left"/>
      <w:pPr>
        <w:ind w:left="1129" w:hanging="360"/>
      </w:pPr>
      <w:rPr>
        <w:rFonts w:ascii="Courier New" w:hAnsi="Courier New" w:cs="Courier New" w:hint="default"/>
      </w:rPr>
    </w:lvl>
    <w:lvl w:ilvl="2" w:tplc="04160005" w:tentative="1">
      <w:start w:val="1"/>
      <w:numFmt w:val="bullet"/>
      <w:lvlText w:val=""/>
      <w:lvlJc w:val="left"/>
      <w:pPr>
        <w:ind w:left="1849" w:hanging="360"/>
      </w:pPr>
      <w:rPr>
        <w:rFonts w:ascii="Wingdings" w:hAnsi="Wingdings" w:hint="default"/>
      </w:rPr>
    </w:lvl>
    <w:lvl w:ilvl="3" w:tplc="04160001" w:tentative="1">
      <w:start w:val="1"/>
      <w:numFmt w:val="bullet"/>
      <w:lvlText w:val=""/>
      <w:lvlJc w:val="left"/>
      <w:pPr>
        <w:ind w:left="2569" w:hanging="360"/>
      </w:pPr>
      <w:rPr>
        <w:rFonts w:ascii="Symbol" w:hAnsi="Symbol" w:hint="default"/>
      </w:rPr>
    </w:lvl>
    <w:lvl w:ilvl="4" w:tplc="04160003" w:tentative="1">
      <w:start w:val="1"/>
      <w:numFmt w:val="bullet"/>
      <w:lvlText w:val="o"/>
      <w:lvlJc w:val="left"/>
      <w:pPr>
        <w:ind w:left="3289" w:hanging="360"/>
      </w:pPr>
      <w:rPr>
        <w:rFonts w:ascii="Courier New" w:hAnsi="Courier New" w:cs="Courier New" w:hint="default"/>
      </w:rPr>
    </w:lvl>
    <w:lvl w:ilvl="5" w:tplc="04160005" w:tentative="1">
      <w:start w:val="1"/>
      <w:numFmt w:val="bullet"/>
      <w:lvlText w:val=""/>
      <w:lvlJc w:val="left"/>
      <w:pPr>
        <w:ind w:left="4009" w:hanging="360"/>
      </w:pPr>
      <w:rPr>
        <w:rFonts w:ascii="Wingdings" w:hAnsi="Wingdings" w:hint="default"/>
      </w:rPr>
    </w:lvl>
    <w:lvl w:ilvl="6" w:tplc="04160001" w:tentative="1">
      <w:start w:val="1"/>
      <w:numFmt w:val="bullet"/>
      <w:lvlText w:val=""/>
      <w:lvlJc w:val="left"/>
      <w:pPr>
        <w:ind w:left="4729" w:hanging="360"/>
      </w:pPr>
      <w:rPr>
        <w:rFonts w:ascii="Symbol" w:hAnsi="Symbol" w:hint="default"/>
      </w:rPr>
    </w:lvl>
    <w:lvl w:ilvl="7" w:tplc="04160003" w:tentative="1">
      <w:start w:val="1"/>
      <w:numFmt w:val="bullet"/>
      <w:lvlText w:val="o"/>
      <w:lvlJc w:val="left"/>
      <w:pPr>
        <w:ind w:left="5449" w:hanging="360"/>
      </w:pPr>
      <w:rPr>
        <w:rFonts w:ascii="Courier New" w:hAnsi="Courier New" w:cs="Courier New" w:hint="default"/>
      </w:rPr>
    </w:lvl>
    <w:lvl w:ilvl="8" w:tplc="04160005" w:tentative="1">
      <w:start w:val="1"/>
      <w:numFmt w:val="bullet"/>
      <w:lvlText w:val=""/>
      <w:lvlJc w:val="left"/>
      <w:pPr>
        <w:ind w:left="6169" w:hanging="360"/>
      </w:pPr>
      <w:rPr>
        <w:rFonts w:ascii="Wingdings" w:hAnsi="Wingdings" w:hint="default"/>
      </w:rPr>
    </w:lvl>
  </w:abstractNum>
  <w:abstractNum w:abstractNumId="48">
    <w:nsid w:val="3E2F48D5"/>
    <w:multiLevelType w:val="hybridMultilevel"/>
    <w:tmpl w:val="B308DFF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9">
    <w:nsid w:val="412F632C"/>
    <w:multiLevelType w:val="singleLevel"/>
    <w:tmpl w:val="A8F8D55C"/>
    <w:lvl w:ilvl="0">
      <w:start w:val="1"/>
      <w:numFmt w:val="bullet"/>
      <w:pStyle w:val="Ttulo8"/>
      <w:lvlText w:val=""/>
      <w:lvlJc w:val="left"/>
      <w:pPr>
        <w:tabs>
          <w:tab w:val="num" w:pos="624"/>
        </w:tabs>
        <w:ind w:left="624" w:hanging="454"/>
      </w:pPr>
      <w:rPr>
        <w:rFonts w:ascii="Symbol" w:hAnsi="Symbol" w:hint="default"/>
        <w:sz w:val="16"/>
      </w:rPr>
    </w:lvl>
  </w:abstractNum>
  <w:abstractNum w:abstractNumId="50">
    <w:nsid w:val="41B878D6"/>
    <w:multiLevelType w:val="hybridMultilevel"/>
    <w:tmpl w:val="0DEC6626"/>
    <w:lvl w:ilvl="0" w:tplc="04160005">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1">
    <w:nsid w:val="431A6E28"/>
    <w:multiLevelType w:val="hybridMultilevel"/>
    <w:tmpl w:val="7D64C158"/>
    <w:lvl w:ilvl="0" w:tplc="0416000F">
      <w:start w:val="1"/>
      <w:numFmt w:val="decimal"/>
      <w:lvlText w:val="%1."/>
      <w:lvlJc w:val="left"/>
      <w:pPr>
        <w:tabs>
          <w:tab w:val="num" w:pos="397"/>
        </w:tabs>
        <w:ind w:left="397" w:hanging="397"/>
      </w:pPr>
      <w:rPr>
        <w:rFonts w:hint="default"/>
      </w:rPr>
    </w:lvl>
    <w:lvl w:ilvl="1" w:tplc="7E564044">
      <w:start w:val="1"/>
      <w:numFmt w:val="bullet"/>
      <w:lvlText w:val=""/>
      <w:lvlJc w:val="left"/>
      <w:pPr>
        <w:tabs>
          <w:tab w:val="num" w:pos="1477"/>
        </w:tabs>
        <w:ind w:left="1477" w:hanging="397"/>
      </w:pPr>
      <w:rPr>
        <w:rFonts w:ascii="Symbol" w:hAnsi="Symbol" w:cs="Times New Roman" w:hint="default"/>
        <w:sz w:val="20"/>
        <w:szCs w:val="20"/>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52">
    <w:nsid w:val="44BD436B"/>
    <w:multiLevelType w:val="hybridMultilevel"/>
    <w:tmpl w:val="4EE2C038"/>
    <w:lvl w:ilvl="0" w:tplc="AAE0BE02">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3">
    <w:nsid w:val="456D3C57"/>
    <w:multiLevelType w:val="hybridMultilevel"/>
    <w:tmpl w:val="6836643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4">
    <w:nsid w:val="45F877BC"/>
    <w:multiLevelType w:val="hybridMultilevel"/>
    <w:tmpl w:val="7318BBD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nsid w:val="46C23F98"/>
    <w:multiLevelType w:val="hybridMultilevel"/>
    <w:tmpl w:val="790C2624"/>
    <w:lvl w:ilvl="0" w:tplc="51860688">
      <w:start w:val="1"/>
      <w:numFmt w:val="bullet"/>
      <w:pStyle w:val="Texto"/>
      <w:lvlText w:val=""/>
      <w:lvlJc w:val="left"/>
      <w:pPr>
        <w:ind w:left="1080" w:hanging="360"/>
      </w:pPr>
      <w:rPr>
        <w:rFonts w:ascii="Symbol" w:hAnsi="Symbol" w:hint="default"/>
      </w:rPr>
    </w:lvl>
    <w:lvl w:ilvl="1" w:tplc="09D226A8" w:tentative="1">
      <w:start w:val="1"/>
      <w:numFmt w:val="bullet"/>
      <w:lvlText w:val="o"/>
      <w:lvlJc w:val="left"/>
      <w:pPr>
        <w:ind w:left="1800" w:hanging="360"/>
      </w:pPr>
      <w:rPr>
        <w:rFonts w:ascii="Courier New" w:hAnsi="Courier New" w:cs="Courier New" w:hint="default"/>
      </w:rPr>
    </w:lvl>
    <w:lvl w:ilvl="2" w:tplc="8604D89A" w:tentative="1">
      <w:start w:val="1"/>
      <w:numFmt w:val="bullet"/>
      <w:lvlText w:val=""/>
      <w:lvlJc w:val="left"/>
      <w:pPr>
        <w:ind w:left="2520" w:hanging="360"/>
      </w:pPr>
      <w:rPr>
        <w:rFonts w:ascii="Wingdings" w:hAnsi="Wingdings" w:hint="default"/>
      </w:rPr>
    </w:lvl>
    <w:lvl w:ilvl="3" w:tplc="2CC60FE4" w:tentative="1">
      <w:start w:val="1"/>
      <w:numFmt w:val="bullet"/>
      <w:lvlText w:val=""/>
      <w:lvlJc w:val="left"/>
      <w:pPr>
        <w:ind w:left="3240" w:hanging="360"/>
      </w:pPr>
      <w:rPr>
        <w:rFonts w:ascii="Symbol" w:hAnsi="Symbol" w:hint="default"/>
      </w:rPr>
    </w:lvl>
    <w:lvl w:ilvl="4" w:tplc="EA8A4A20" w:tentative="1">
      <w:start w:val="1"/>
      <w:numFmt w:val="bullet"/>
      <w:lvlText w:val="o"/>
      <w:lvlJc w:val="left"/>
      <w:pPr>
        <w:ind w:left="3960" w:hanging="360"/>
      </w:pPr>
      <w:rPr>
        <w:rFonts w:ascii="Courier New" w:hAnsi="Courier New" w:cs="Courier New" w:hint="default"/>
      </w:rPr>
    </w:lvl>
    <w:lvl w:ilvl="5" w:tplc="070A6686" w:tentative="1">
      <w:start w:val="1"/>
      <w:numFmt w:val="bullet"/>
      <w:lvlText w:val=""/>
      <w:lvlJc w:val="left"/>
      <w:pPr>
        <w:ind w:left="4680" w:hanging="360"/>
      </w:pPr>
      <w:rPr>
        <w:rFonts w:ascii="Wingdings" w:hAnsi="Wingdings" w:hint="default"/>
      </w:rPr>
    </w:lvl>
    <w:lvl w:ilvl="6" w:tplc="A68E4658" w:tentative="1">
      <w:start w:val="1"/>
      <w:numFmt w:val="bullet"/>
      <w:lvlText w:val=""/>
      <w:lvlJc w:val="left"/>
      <w:pPr>
        <w:ind w:left="5400" w:hanging="360"/>
      </w:pPr>
      <w:rPr>
        <w:rFonts w:ascii="Symbol" w:hAnsi="Symbol" w:hint="default"/>
      </w:rPr>
    </w:lvl>
    <w:lvl w:ilvl="7" w:tplc="262CD6BA" w:tentative="1">
      <w:start w:val="1"/>
      <w:numFmt w:val="bullet"/>
      <w:lvlText w:val="o"/>
      <w:lvlJc w:val="left"/>
      <w:pPr>
        <w:ind w:left="6120" w:hanging="360"/>
      </w:pPr>
      <w:rPr>
        <w:rFonts w:ascii="Courier New" w:hAnsi="Courier New" w:cs="Courier New" w:hint="default"/>
      </w:rPr>
    </w:lvl>
    <w:lvl w:ilvl="8" w:tplc="24E8286E" w:tentative="1">
      <w:start w:val="1"/>
      <w:numFmt w:val="bullet"/>
      <w:lvlText w:val=""/>
      <w:lvlJc w:val="left"/>
      <w:pPr>
        <w:ind w:left="6840" w:hanging="360"/>
      </w:pPr>
      <w:rPr>
        <w:rFonts w:ascii="Wingdings" w:hAnsi="Wingdings" w:hint="default"/>
      </w:rPr>
    </w:lvl>
  </w:abstractNum>
  <w:abstractNum w:abstractNumId="56">
    <w:nsid w:val="47F24239"/>
    <w:multiLevelType w:val="hybridMultilevel"/>
    <w:tmpl w:val="A384AC8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7">
    <w:nsid w:val="48C60D54"/>
    <w:multiLevelType w:val="hybridMultilevel"/>
    <w:tmpl w:val="23168402"/>
    <w:lvl w:ilvl="0" w:tplc="E628106C">
      <w:start w:val="3"/>
      <w:numFmt w:val="bullet"/>
      <w:lvlText w:val="-"/>
      <w:lvlJc w:val="left"/>
      <w:pPr>
        <w:ind w:left="720" w:hanging="360"/>
      </w:pPr>
      <w:rPr>
        <w:rFonts w:ascii="Times New Roman Negrito" w:hAnsi="Times New Roman Negrito" w:cs="Times New Roman" w:hint="default"/>
        <w:b/>
        <w:i w:val="0"/>
        <w:sz w:val="22"/>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8">
    <w:nsid w:val="497F59E2"/>
    <w:multiLevelType w:val="hybridMultilevel"/>
    <w:tmpl w:val="9BA0BFA4"/>
    <w:styleLink w:val="1ai21"/>
    <w:lvl w:ilvl="0" w:tplc="04160001">
      <w:start w:val="1"/>
      <w:numFmt w:val="decimal"/>
      <w:lvlText w:val="%1."/>
      <w:lvlJc w:val="left"/>
      <w:pPr>
        <w:tabs>
          <w:tab w:val="num" w:pos="360"/>
        </w:tabs>
        <w:ind w:left="360" w:hanging="360"/>
      </w:pPr>
      <w:rPr>
        <w:rFonts w:hint="default"/>
      </w:rPr>
    </w:lvl>
    <w:lvl w:ilvl="1" w:tplc="04160003">
      <w:start w:val="1"/>
      <w:numFmt w:val="bullet"/>
      <w:lvlText w:val=""/>
      <w:lvlJc w:val="left"/>
      <w:pPr>
        <w:tabs>
          <w:tab w:val="num" w:pos="1477"/>
        </w:tabs>
        <w:ind w:left="1477" w:hanging="397"/>
      </w:pPr>
      <w:rPr>
        <w:rFonts w:ascii="Symbol" w:hAnsi="Symbol" w:cs="Times New Roman" w:hint="default"/>
        <w:sz w:val="20"/>
        <w:szCs w:val="20"/>
      </w:rPr>
    </w:lvl>
    <w:lvl w:ilvl="2" w:tplc="04160005">
      <w:start w:val="1"/>
      <w:numFmt w:val="bullet"/>
      <w:lvlText w:val=""/>
      <w:lvlJc w:val="left"/>
      <w:pPr>
        <w:tabs>
          <w:tab w:val="num" w:pos="2160"/>
        </w:tabs>
        <w:ind w:left="2160" w:hanging="360"/>
      </w:pPr>
      <w:rPr>
        <w:rFonts w:ascii="Wingdings" w:hAnsi="Wingdings" w:hint="default"/>
      </w:rPr>
    </w:lvl>
    <w:lvl w:ilvl="3" w:tplc="04160001">
      <w:start w:val="1"/>
      <w:numFmt w:val="bullet"/>
      <w:lvlText w:val=""/>
      <w:lvlJc w:val="left"/>
      <w:pPr>
        <w:tabs>
          <w:tab w:val="num" w:pos="2880"/>
        </w:tabs>
        <w:ind w:left="2880" w:hanging="360"/>
      </w:pPr>
      <w:rPr>
        <w:rFonts w:ascii="Symbol" w:hAnsi="Symbol" w:hint="default"/>
      </w:rPr>
    </w:lvl>
    <w:lvl w:ilvl="4" w:tplc="04160003">
      <w:start w:val="2"/>
      <w:numFmt w:val="bullet"/>
      <w:lvlText w:val="-"/>
      <w:lvlJc w:val="left"/>
      <w:pPr>
        <w:ind w:left="3600" w:hanging="360"/>
      </w:pPr>
      <w:rPr>
        <w:rFonts w:ascii="Arial" w:eastAsia="Times New Roman" w:hAnsi="Arial" w:cs="Arial"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59">
    <w:nsid w:val="54DC41E9"/>
    <w:multiLevelType w:val="hybridMultilevel"/>
    <w:tmpl w:val="C024D59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0">
    <w:nsid w:val="56DF6945"/>
    <w:multiLevelType w:val="hybridMultilevel"/>
    <w:tmpl w:val="D7242E46"/>
    <w:styleLink w:val="1ai112"/>
    <w:lvl w:ilvl="0" w:tplc="0416000F">
      <w:start w:val="1"/>
      <w:numFmt w:val="decimal"/>
      <w:lvlText w:val="%1."/>
      <w:lvlJc w:val="left"/>
      <w:pPr>
        <w:tabs>
          <w:tab w:val="num" w:pos="360"/>
        </w:tabs>
        <w:ind w:left="360" w:hanging="360"/>
      </w:pPr>
      <w:rPr>
        <w:rFonts w:hint="default"/>
      </w:rPr>
    </w:lvl>
    <w:lvl w:ilvl="1" w:tplc="7E564044">
      <w:start w:val="1"/>
      <w:numFmt w:val="bullet"/>
      <w:lvlText w:val=""/>
      <w:lvlJc w:val="left"/>
      <w:pPr>
        <w:tabs>
          <w:tab w:val="num" w:pos="1477"/>
        </w:tabs>
        <w:ind w:left="1477" w:hanging="397"/>
      </w:pPr>
      <w:rPr>
        <w:rFonts w:ascii="Symbol" w:hAnsi="Symbol" w:cs="Times New Roman" w:hint="default"/>
        <w:sz w:val="20"/>
        <w:szCs w:val="20"/>
      </w:rPr>
    </w:lvl>
    <w:lvl w:ilvl="2" w:tplc="04160005">
      <w:start w:val="1"/>
      <w:numFmt w:val="bullet"/>
      <w:lvlText w:val=""/>
      <w:lvlJc w:val="left"/>
      <w:pPr>
        <w:tabs>
          <w:tab w:val="num" w:pos="2160"/>
        </w:tabs>
        <w:ind w:left="2160" w:hanging="360"/>
      </w:pPr>
      <w:rPr>
        <w:rFonts w:ascii="Wingdings" w:hAnsi="Wingdings" w:hint="default"/>
      </w:rPr>
    </w:lvl>
    <w:lvl w:ilvl="3" w:tplc="04160001">
      <w:start w:val="1"/>
      <w:numFmt w:val="bullet"/>
      <w:lvlText w:val=""/>
      <w:lvlJc w:val="left"/>
      <w:pPr>
        <w:tabs>
          <w:tab w:val="num" w:pos="2880"/>
        </w:tabs>
        <w:ind w:left="2880" w:hanging="360"/>
      </w:pPr>
      <w:rPr>
        <w:rFonts w:ascii="Symbol" w:hAnsi="Symbol" w:hint="default"/>
      </w:rPr>
    </w:lvl>
    <w:lvl w:ilvl="4" w:tplc="B1C43032">
      <w:start w:val="2"/>
      <w:numFmt w:val="bullet"/>
      <w:lvlText w:val="-"/>
      <w:lvlJc w:val="left"/>
      <w:pPr>
        <w:ind w:left="3600" w:hanging="360"/>
      </w:pPr>
      <w:rPr>
        <w:rFonts w:ascii="Arial" w:eastAsia="Times New Roman" w:hAnsi="Arial" w:cs="Arial" w:hint="default"/>
      </w:rPr>
    </w:lvl>
    <w:lvl w:ilvl="5" w:tplc="04160005">
      <w:start w:val="1"/>
      <w:numFmt w:val="lowerLetter"/>
      <w:lvlText w:val="%6)"/>
      <w:lvlJc w:val="left"/>
      <w:pPr>
        <w:ind w:left="4472" w:hanging="360"/>
      </w:pPr>
      <w:rPr>
        <w:rFont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61">
    <w:nsid w:val="58660164"/>
    <w:multiLevelType w:val="hybridMultilevel"/>
    <w:tmpl w:val="2B9E9E00"/>
    <w:lvl w:ilvl="0" w:tplc="FFFFFFFF">
      <w:start w:val="4"/>
      <w:numFmt w:val="bullet"/>
      <w:pStyle w:val="Item-Bolinha"/>
      <w:lvlText w:val=""/>
      <w:lvlJc w:val="left"/>
      <w:pPr>
        <w:tabs>
          <w:tab w:val="num" w:pos="360"/>
        </w:tabs>
        <w:ind w:left="340" w:hanging="340"/>
      </w:pPr>
      <w:rPr>
        <w:rFonts w:ascii="Symbol" w:hAnsi="Symbol" w:hint="default"/>
        <w:color w:val="auto"/>
        <w:sz w:val="18"/>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94F02BBE"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2">
    <w:nsid w:val="5AA109C8"/>
    <w:multiLevelType w:val="hybridMultilevel"/>
    <w:tmpl w:val="F7843302"/>
    <w:lvl w:ilvl="0" w:tplc="E286F20C">
      <w:start w:val="1"/>
      <w:numFmt w:val="bullet"/>
      <w:lvlText w:val=""/>
      <w:lvlJc w:val="left"/>
      <w:pPr>
        <w:tabs>
          <w:tab w:val="num" w:pos="1428"/>
        </w:tabs>
        <w:ind w:left="1428" w:hanging="360"/>
      </w:pPr>
      <w:rPr>
        <w:rFonts w:ascii="Symbol" w:hAnsi="Symbol" w:hint="default"/>
        <w:sz w:val="24"/>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63">
    <w:nsid w:val="5D11294C"/>
    <w:multiLevelType w:val="hybridMultilevel"/>
    <w:tmpl w:val="5AE454D4"/>
    <w:lvl w:ilvl="0" w:tplc="E0ACABE8">
      <w:start w:val="1"/>
      <w:numFmt w:val="bullet"/>
      <w:pStyle w:val="Marcador3"/>
      <w:lvlText w:val=""/>
      <w:lvlJc w:val="left"/>
      <w:pPr>
        <w:tabs>
          <w:tab w:val="num" w:pos="1191"/>
        </w:tabs>
        <w:ind w:left="1191" w:hanging="397"/>
      </w:pPr>
      <w:rPr>
        <w:rFonts w:ascii="Symbol" w:hAnsi="Symbol" w:hint="default"/>
        <w:b w:val="0"/>
        <w:i w:val="0"/>
        <w:color w:val="0079A2"/>
        <w:sz w:val="18"/>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64">
    <w:nsid w:val="60864005"/>
    <w:multiLevelType w:val="hybridMultilevel"/>
    <w:tmpl w:val="9138A1A4"/>
    <w:lvl w:ilvl="0" w:tplc="04160001">
      <w:start w:val="1"/>
      <w:numFmt w:val="bullet"/>
      <w:lvlText w:val=""/>
      <w:lvlJc w:val="left"/>
      <w:pPr>
        <w:ind w:left="720" w:hanging="360"/>
      </w:pPr>
      <w:rPr>
        <w:rFonts w:ascii="Symbol" w:hAnsi="Symbol" w:hint="default"/>
        <w:b w:val="0"/>
        <w:i w:val="0"/>
        <w:color w:val="auto"/>
        <w:sz w:val="22"/>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5">
    <w:nsid w:val="61E00AF5"/>
    <w:multiLevelType w:val="hybridMultilevel"/>
    <w:tmpl w:val="083AE7D6"/>
    <w:lvl w:ilvl="0" w:tplc="04160001">
      <w:start w:val="1"/>
      <w:numFmt w:val="bullet"/>
      <w:pStyle w:val="Numerada"/>
      <w:lvlText w:val=""/>
      <w:lvlJc w:val="left"/>
      <w:pPr>
        <w:ind w:left="787" w:hanging="360"/>
      </w:pPr>
      <w:rPr>
        <w:rFonts w:ascii="Symbol" w:hAnsi="Symbol" w:hint="default"/>
      </w:rPr>
    </w:lvl>
    <w:lvl w:ilvl="1" w:tplc="04160003" w:tentative="1">
      <w:start w:val="1"/>
      <w:numFmt w:val="bullet"/>
      <w:lvlText w:val="o"/>
      <w:lvlJc w:val="left"/>
      <w:pPr>
        <w:ind w:left="1507" w:hanging="360"/>
      </w:pPr>
      <w:rPr>
        <w:rFonts w:ascii="Courier New" w:hAnsi="Courier New" w:cs="Courier New" w:hint="default"/>
      </w:rPr>
    </w:lvl>
    <w:lvl w:ilvl="2" w:tplc="04160005" w:tentative="1">
      <w:start w:val="1"/>
      <w:numFmt w:val="bullet"/>
      <w:lvlText w:val=""/>
      <w:lvlJc w:val="left"/>
      <w:pPr>
        <w:ind w:left="2227" w:hanging="360"/>
      </w:pPr>
      <w:rPr>
        <w:rFonts w:ascii="Wingdings" w:hAnsi="Wingdings" w:hint="default"/>
      </w:rPr>
    </w:lvl>
    <w:lvl w:ilvl="3" w:tplc="04160001" w:tentative="1">
      <w:start w:val="1"/>
      <w:numFmt w:val="bullet"/>
      <w:lvlText w:val=""/>
      <w:lvlJc w:val="left"/>
      <w:pPr>
        <w:ind w:left="2947" w:hanging="360"/>
      </w:pPr>
      <w:rPr>
        <w:rFonts w:ascii="Symbol" w:hAnsi="Symbol" w:hint="default"/>
      </w:rPr>
    </w:lvl>
    <w:lvl w:ilvl="4" w:tplc="04160003" w:tentative="1">
      <w:start w:val="1"/>
      <w:numFmt w:val="bullet"/>
      <w:lvlText w:val="o"/>
      <w:lvlJc w:val="left"/>
      <w:pPr>
        <w:ind w:left="3667" w:hanging="360"/>
      </w:pPr>
      <w:rPr>
        <w:rFonts w:ascii="Courier New" w:hAnsi="Courier New" w:cs="Courier New" w:hint="default"/>
      </w:rPr>
    </w:lvl>
    <w:lvl w:ilvl="5" w:tplc="04160005" w:tentative="1">
      <w:start w:val="1"/>
      <w:numFmt w:val="bullet"/>
      <w:lvlText w:val=""/>
      <w:lvlJc w:val="left"/>
      <w:pPr>
        <w:ind w:left="4387" w:hanging="360"/>
      </w:pPr>
      <w:rPr>
        <w:rFonts w:ascii="Wingdings" w:hAnsi="Wingdings" w:hint="default"/>
      </w:rPr>
    </w:lvl>
    <w:lvl w:ilvl="6" w:tplc="04160001" w:tentative="1">
      <w:start w:val="1"/>
      <w:numFmt w:val="bullet"/>
      <w:lvlText w:val=""/>
      <w:lvlJc w:val="left"/>
      <w:pPr>
        <w:ind w:left="5107" w:hanging="360"/>
      </w:pPr>
      <w:rPr>
        <w:rFonts w:ascii="Symbol" w:hAnsi="Symbol" w:hint="default"/>
      </w:rPr>
    </w:lvl>
    <w:lvl w:ilvl="7" w:tplc="04160003" w:tentative="1">
      <w:start w:val="1"/>
      <w:numFmt w:val="bullet"/>
      <w:lvlText w:val="o"/>
      <w:lvlJc w:val="left"/>
      <w:pPr>
        <w:ind w:left="5827" w:hanging="360"/>
      </w:pPr>
      <w:rPr>
        <w:rFonts w:ascii="Courier New" w:hAnsi="Courier New" w:cs="Courier New" w:hint="default"/>
      </w:rPr>
    </w:lvl>
    <w:lvl w:ilvl="8" w:tplc="04160005" w:tentative="1">
      <w:start w:val="1"/>
      <w:numFmt w:val="bullet"/>
      <w:lvlText w:val=""/>
      <w:lvlJc w:val="left"/>
      <w:pPr>
        <w:ind w:left="6547" w:hanging="360"/>
      </w:pPr>
      <w:rPr>
        <w:rFonts w:ascii="Wingdings" w:hAnsi="Wingdings" w:hint="default"/>
      </w:rPr>
    </w:lvl>
  </w:abstractNum>
  <w:abstractNum w:abstractNumId="66">
    <w:nsid w:val="62132D63"/>
    <w:multiLevelType w:val="hybridMultilevel"/>
    <w:tmpl w:val="999A0F7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nsid w:val="633D5E34"/>
    <w:multiLevelType w:val="hybridMultilevel"/>
    <w:tmpl w:val="650E242A"/>
    <w:name w:val="Tabela"/>
    <w:lvl w:ilvl="0" w:tplc="6CE2AA08">
      <w:start w:val="1"/>
      <w:numFmt w:val="bullet"/>
      <w:lvlText w:val=""/>
      <w:lvlJc w:val="left"/>
      <w:pPr>
        <w:ind w:left="720" w:hanging="360"/>
      </w:pPr>
      <w:rPr>
        <w:rFonts w:ascii="Symbol" w:hAnsi="Symbol" w:hint="default"/>
      </w:rPr>
    </w:lvl>
    <w:lvl w:ilvl="1" w:tplc="A0B8203C" w:tentative="1">
      <w:start w:val="1"/>
      <w:numFmt w:val="bullet"/>
      <w:lvlText w:val="o"/>
      <w:lvlJc w:val="left"/>
      <w:pPr>
        <w:ind w:left="1440" w:hanging="360"/>
      </w:pPr>
      <w:rPr>
        <w:rFonts w:ascii="Courier New" w:hAnsi="Courier New" w:cs="Courier New" w:hint="default"/>
      </w:rPr>
    </w:lvl>
    <w:lvl w:ilvl="2" w:tplc="07801C56" w:tentative="1">
      <w:start w:val="1"/>
      <w:numFmt w:val="bullet"/>
      <w:lvlText w:val=""/>
      <w:lvlJc w:val="left"/>
      <w:pPr>
        <w:ind w:left="2160" w:hanging="360"/>
      </w:pPr>
      <w:rPr>
        <w:rFonts w:ascii="Wingdings" w:hAnsi="Wingdings" w:hint="default"/>
      </w:rPr>
    </w:lvl>
    <w:lvl w:ilvl="3" w:tplc="948A1DC4" w:tentative="1">
      <w:start w:val="1"/>
      <w:numFmt w:val="bullet"/>
      <w:lvlText w:val=""/>
      <w:lvlJc w:val="left"/>
      <w:pPr>
        <w:ind w:left="2880" w:hanging="360"/>
      </w:pPr>
      <w:rPr>
        <w:rFonts w:ascii="Symbol" w:hAnsi="Symbol" w:hint="default"/>
      </w:rPr>
    </w:lvl>
    <w:lvl w:ilvl="4" w:tplc="659A2BCC" w:tentative="1">
      <w:start w:val="1"/>
      <w:numFmt w:val="bullet"/>
      <w:lvlText w:val="o"/>
      <w:lvlJc w:val="left"/>
      <w:pPr>
        <w:ind w:left="3600" w:hanging="360"/>
      </w:pPr>
      <w:rPr>
        <w:rFonts w:ascii="Courier New" w:hAnsi="Courier New" w:cs="Courier New" w:hint="default"/>
      </w:rPr>
    </w:lvl>
    <w:lvl w:ilvl="5" w:tplc="7728D2D8" w:tentative="1">
      <w:start w:val="1"/>
      <w:numFmt w:val="bullet"/>
      <w:lvlText w:val=""/>
      <w:lvlJc w:val="left"/>
      <w:pPr>
        <w:ind w:left="4320" w:hanging="360"/>
      </w:pPr>
      <w:rPr>
        <w:rFonts w:ascii="Wingdings" w:hAnsi="Wingdings" w:hint="default"/>
      </w:rPr>
    </w:lvl>
    <w:lvl w:ilvl="6" w:tplc="519C329A" w:tentative="1">
      <w:start w:val="1"/>
      <w:numFmt w:val="bullet"/>
      <w:lvlText w:val=""/>
      <w:lvlJc w:val="left"/>
      <w:pPr>
        <w:ind w:left="5040" w:hanging="360"/>
      </w:pPr>
      <w:rPr>
        <w:rFonts w:ascii="Symbol" w:hAnsi="Symbol" w:hint="default"/>
      </w:rPr>
    </w:lvl>
    <w:lvl w:ilvl="7" w:tplc="B958F634" w:tentative="1">
      <w:start w:val="1"/>
      <w:numFmt w:val="bullet"/>
      <w:lvlText w:val="o"/>
      <w:lvlJc w:val="left"/>
      <w:pPr>
        <w:ind w:left="5760" w:hanging="360"/>
      </w:pPr>
      <w:rPr>
        <w:rFonts w:ascii="Courier New" w:hAnsi="Courier New" w:cs="Courier New" w:hint="default"/>
      </w:rPr>
    </w:lvl>
    <w:lvl w:ilvl="8" w:tplc="C74400F6" w:tentative="1">
      <w:start w:val="1"/>
      <w:numFmt w:val="bullet"/>
      <w:lvlText w:val=""/>
      <w:lvlJc w:val="left"/>
      <w:pPr>
        <w:ind w:left="6480" w:hanging="360"/>
      </w:pPr>
      <w:rPr>
        <w:rFonts w:ascii="Wingdings" w:hAnsi="Wingdings" w:hint="default"/>
      </w:rPr>
    </w:lvl>
  </w:abstractNum>
  <w:abstractNum w:abstractNumId="68">
    <w:nsid w:val="63CF53A5"/>
    <w:multiLevelType w:val="hybridMultilevel"/>
    <w:tmpl w:val="3AE0EC3A"/>
    <w:lvl w:ilvl="0" w:tplc="FFFFFFFF">
      <w:start w:val="1"/>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9">
    <w:nsid w:val="67963166"/>
    <w:multiLevelType w:val="hybridMultilevel"/>
    <w:tmpl w:val="9E1E8D70"/>
    <w:styleLink w:val="1ai212"/>
    <w:lvl w:ilvl="0" w:tplc="04160001">
      <w:start w:val="1"/>
      <w:numFmt w:val="bullet"/>
      <w:pStyle w:val="Tracinho"/>
      <w:lvlText w:val=""/>
      <w:lvlJc w:val="left"/>
      <w:pPr>
        <w:tabs>
          <w:tab w:val="num" w:pos="284"/>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70">
    <w:nsid w:val="6BDB7B32"/>
    <w:multiLevelType w:val="hybridMultilevel"/>
    <w:tmpl w:val="F474AFF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1">
    <w:nsid w:val="6D1D3CE8"/>
    <w:multiLevelType w:val="multilevel"/>
    <w:tmpl w:val="C70A4F38"/>
    <w:lvl w:ilvl="0">
      <w:start w:val="3"/>
      <w:numFmt w:val="decimal"/>
      <w:lvlText w:val="%1."/>
      <w:lvlJc w:val="left"/>
      <w:pPr>
        <w:ind w:left="540" w:hanging="54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2">
    <w:nsid w:val="6D580979"/>
    <w:multiLevelType w:val="multilevel"/>
    <w:tmpl w:val="ED00BF52"/>
    <w:lvl w:ilvl="0">
      <w:start w:val="1"/>
      <w:numFmt w:val="lowerLetter"/>
      <w:suff w:val="space"/>
      <w:lvlText w:val="%1)"/>
      <w:lvlJc w:val="left"/>
      <w:pPr>
        <w:ind w:left="0" w:firstLine="0"/>
      </w:pPr>
      <w:rPr>
        <w:b/>
        <w:i w:val="0"/>
      </w:rPr>
    </w:lvl>
    <w:lvl w:ilvl="1">
      <w:start w:val="1"/>
      <w:numFmt w:val="decimal"/>
      <w:suff w:val="space"/>
      <w:lvlText w:val="%1.%2)"/>
      <w:lvlJc w:val="left"/>
      <w:pPr>
        <w:ind w:left="0" w:firstLine="0"/>
      </w:pPr>
    </w:lvl>
    <w:lvl w:ilvl="2">
      <w:start w:val="1"/>
      <w:numFmt w:val="decimal"/>
      <w:suff w:val="space"/>
      <w:lvlText w:val="%1.%2.%3 -"/>
      <w:lvlJc w:val="left"/>
      <w:pPr>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73">
    <w:nsid w:val="6DB4739F"/>
    <w:multiLevelType w:val="multilevel"/>
    <w:tmpl w:val="E448312E"/>
    <w:lvl w:ilvl="0">
      <w:start w:val="4"/>
      <w:numFmt w:val="decimal"/>
      <w:lvlText w:val="%1.5.2"/>
      <w:lvlJc w:val="left"/>
      <w:pPr>
        <w:tabs>
          <w:tab w:val="num" w:pos="567"/>
        </w:tabs>
        <w:ind w:left="567" w:hanging="567"/>
      </w:pPr>
      <w:rPr>
        <w:rFonts w:ascii="Arial Negrito" w:hAnsi="Arial Negrito" w:cs="Times New Roman" w:hint="default"/>
        <w:b/>
        <w:i w:val="0"/>
        <w:sz w:val="22"/>
        <w:szCs w:val="22"/>
      </w:rPr>
    </w:lvl>
    <w:lvl w:ilvl="1">
      <w:start w:val="5"/>
      <w:numFmt w:val="decimal"/>
      <w:lvlRestart w:val="0"/>
      <w:suff w:val="nothing"/>
      <w:lvlText w:val="%1.%2.2.1"/>
      <w:lvlJc w:val="left"/>
      <w:pPr>
        <w:ind w:left="567" w:hanging="567"/>
      </w:pPr>
      <w:rPr>
        <w:rFonts w:ascii="Arial Negrito" w:hAnsi="Arial Negrito" w:cs="Times New Roman" w:hint="default"/>
        <w:b/>
        <w:i w:val="0"/>
        <w:color w:val="auto"/>
        <w:sz w:val="22"/>
        <w:szCs w:val="22"/>
      </w:rPr>
    </w:lvl>
    <w:lvl w:ilvl="2">
      <w:start w:val="2"/>
      <w:numFmt w:val="decimal"/>
      <w:lvlRestart w:val="0"/>
      <w:pStyle w:val="QuadroFonte"/>
      <w:lvlText w:val="%1.%2.%3.1"/>
      <w:lvlJc w:val="left"/>
      <w:pPr>
        <w:tabs>
          <w:tab w:val="num" w:pos="851"/>
        </w:tabs>
        <w:ind w:left="851" w:hanging="851"/>
      </w:pPr>
      <w:rPr>
        <w:rFonts w:ascii="Arial Negrito" w:hAnsi="Arial Negrito" w:cs="Times New Roman" w:hint="default"/>
        <w:b/>
        <w:i w:val="0"/>
        <w:color w:val="auto"/>
        <w:sz w:val="22"/>
        <w:szCs w:val="22"/>
      </w:rPr>
    </w:lvl>
    <w:lvl w:ilvl="3">
      <w:start w:val="1"/>
      <w:numFmt w:val="decimal"/>
      <w:lvlText w:val="%1.%2.%3.%4.1"/>
      <w:lvlJc w:val="left"/>
      <w:pPr>
        <w:tabs>
          <w:tab w:val="num" w:pos="1080"/>
        </w:tabs>
        <w:ind w:left="1021" w:hanging="1021"/>
      </w:pPr>
      <w:rPr>
        <w:rFonts w:ascii="Arial Negrito" w:hAnsi="Arial Negrito" w:cs="Times New Roman" w:hint="default"/>
        <w:b/>
        <w:i w:val="0"/>
        <w:sz w:val="22"/>
        <w:szCs w:val="22"/>
      </w:rPr>
    </w:lvl>
    <w:lvl w:ilvl="4">
      <w:start w:val="1"/>
      <w:numFmt w:val="none"/>
      <w:lvlText w:val="-"/>
      <w:lvlJc w:val="left"/>
      <w:pPr>
        <w:tabs>
          <w:tab w:val="num" w:pos="567"/>
        </w:tabs>
        <w:ind w:left="284" w:hanging="284"/>
      </w:pPr>
      <w:rPr>
        <w:rFonts w:cs="Times New Roman" w:hint="default"/>
      </w:rPr>
    </w:lvl>
    <w:lvl w:ilvl="5">
      <w:start w:val="1"/>
      <w:numFmt w:val="bullet"/>
      <w:lvlText w:val=""/>
      <w:lvlJc w:val="left"/>
      <w:pPr>
        <w:tabs>
          <w:tab w:val="num" w:pos="284"/>
        </w:tabs>
        <w:ind w:left="284" w:hanging="284"/>
      </w:pPr>
      <w:rPr>
        <w:rFonts w:ascii="Symbol" w:hAnsi="Symbol" w:hint="default"/>
        <w:color w:val="auto"/>
      </w:rPr>
    </w:lvl>
    <w:lvl w:ilvl="6">
      <w:start w:val="1"/>
      <w:numFmt w:val="lowerLetter"/>
      <w:lvlText w:val="%7)"/>
      <w:lvlJc w:val="left"/>
      <w:pPr>
        <w:tabs>
          <w:tab w:val="num" w:pos="397"/>
        </w:tabs>
        <w:ind w:left="340" w:hanging="340"/>
      </w:pPr>
      <w:rPr>
        <w:rFonts w:ascii="Arial" w:hAnsi="Arial" w:cs="Times New Roman" w:hint="default"/>
        <w:b w:val="0"/>
        <w:i w:val="0"/>
        <w:sz w:val="22"/>
        <w:szCs w:val="22"/>
      </w:rPr>
    </w:lvl>
    <w:lvl w:ilvl="7">
      <w:start w:val="1"/>
      <w:numFmt w:val="decimal"/>
      <w:lvlText w:val="%1.%2.%3.%4.%5.%6.%7.%8"/>
      <w:lvlJc w:val="left"/>
      <w:pPr>
        <w:tabs>
          <w:tab w:val="num" w:pos="1440"/>
        </w:tabs>
        <w:ind w:left="567" w:hanging="567"/>
      </w:pPr>
      <w:rPr>
        <w:rFonts w:cs="Times New Roman" w:hint="default"/>
      </w:rPr>
    </w:lvl>
    <w:lvl w:ilvl="8">
      <w:start w:val="1"/>
      <w:numFmt w:val="decimal"/>
      <w:lvlText w:val="%1.%2.%3.%4.%5.%6.%7.%8.%9"/>
      <w:lvlJc w:val="left"/>
      <w:pPr>
        <w:tabs>
          <w:tab w:val="num" w:pos="1800"/>
        </w:tabs>
        <w:ind w:left="567" w:hanging="567"/>
      </w:pPr>
      <w:rPr>
        <w:rFonts w:cs="Times New Roman" w:hint="default"/>
      </w:rPr>
    </w:lvl>
  </w:abstractNum>
  <w:abstractNum w:abstractNumId="74">
    <w:nsid w:val="6E0B7674"/>
    <w:multiLevelType w:val="multilevel"/>
    <w:tmpl w:val="07663EAE"/>
    <w:styleLink w:val="WWOutlineListStyle"/>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upperLetter"/>
      <w:lvlText w:val="%5)"/>
      <w:lvlJc w:val="left"/>
    </w:lvl>
    <w:lvl w:ilvl="5">
      <w:start w:val="1"/>
      <w:numFmt w:val="lowerLetter"/>
      <w:lvlText w:val="%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75">
    <w:nsid w:val="6E4806A8"/>
    <w:multiLevelType w:val="multilevel"/>
    <w:tmpl w:val="8EEA1C26"/>
    <w:lvl w:ilvl="0">
      <w:start w:val="1"/>
      <w:numFmt w:val="upperRoman"/>
      <w:pStyle w:val="Anexo"/>
      <w:lvlText w:val="Anexo %1."/>
      <w:lvlJc w:val="left"/>
      <w:pPr>
        <w:tabs>
          <w:tab w:val="num" w:pos="1985"/>
        </w:tabs>
        <w:ind w:left="1985" w:hanging="1985"/>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6">
    <w:nsid w:val="70012608"/>
    <w:multiLevelType w:val="singleLevel"/>
    <w:tmpl w:val="4748FF12"/>
    <w:lvl w:ilvl="0">
      <w:start w:val="1"/>
      <w:numFmt w:val="lowerLetter"/>
      <w:pStyle w:val="Numerada1"/>
      <w:lvlText w:val="%1)"/>
      <w:lvlJc w:val="left"/>
      <w:pPr>
        <w:tabs>
          <w:tab w:val="num" w:pos="360"/>
        </w:tabs>
        <w:ind w:left="360" w:hanging="360"/>
      </w:pPr>
      <w:rPr>
        <w:rFonts w:ascii="ZapfHumnst Dm BT" w:hAnsi="ZapfHumnst Dm BT" w:cs="ZapfHumnst Dm BT" w:hint="default"/>
        <w:b/>
        <w:bCs/>
        <w:i/>
        <w:iCs/>
        <w:sz w:val="24"/>
        <w:szCs w:val="24"/>
      </w:rPr>
    </w:lvl>
  </w:abstractNum>
  <w:abstractNum w:abstractNumId="77">
    <w:nsid w:val="70A65950"/>
    <w:multiLevelType w:val="multilevel"/>
    <w:tmpl w:val="2064FE80"/>
    <w:lvl w:ilvl="0">
      <w:start w:val="3"/>
      <w:numFmt w:val="decimal"/>
      <w:lvlText w:val="%1."/>
      <w:lvlJc w:val="left"/>
      <w:pPr>
        <w:ind w:left="720" w:hanging="720"/>
      </w:pPr>
      <w:rPr>
        <w:rFonts w:hint="default"/>
      </w:rPr>
    </w:lvl>
    <w:lvl w:ilvl="1">
      <w:start w:val="5"/>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8">
    <w:nsid w:val="70C63CC7"/>
    <w:multiLevelType w:val="multilevel"/>
    <w:tmpl w:val="012C65D2"/>
    <w:lvl w:ilvl="0">
      <w:start w:val="3"/>
      <w:numFmt w:val="decimal"/>
      <w:lvlText w:val="%1."/>
      <w:lvlJc w:val="left"/>
      <w:pPr>
        <w:ind w:left="720" w:hanging="72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9">
    <w:nsid w:val="71C900AF"/>
    <w:multiLevelType w:val="singleLevel"/>
    <w:tmpl w:val="5DAAB308"/>
    <w:lvl w:ilvl="0">
      <w:start w:val="1"/>
      <w:numFmt w:val="bullet"/>
      <w:pStyle w:val="Ttulo6"/>
      <w:lvlText w:val=""/>
      <w:lvlJc w:val="left"/>
      <w:pPr>
        <w:tabs>
          <w:tab w:val="num" w:pos="360"/>
        </w:tabs>
        <w:ind w:left="340" w:hanging="340"/>
      </w:pPr>
      <w:rPr>
        <w:rFonts w:ascii="Symbol" w:hAnsi="Symbol" w:hint="default"/>
        <w:sz w:val="22"/>
      </w:rPr>
    </w:lvl>
  </w:abstractNum>
  <w:abstractNum w:abstractNumId="80">
    <w:nsid w:val="73640D02"/>
    <w:multiLevelType w:val="multilevel"/>
    <w:tmpl w:val="7F348CBC"/>
    <w:styleLink w:val="1ai3"/>
    <w:lvl w:ilvl="0">
      <w:start w:val="1"/>
      <w:numFmt w:val="decimal"/>
      <w:lvlText w:val="%1."/>
      <w:lvlJc w:val="left"/>
      <w:pPr>
        <w:tabs>
          <w:tab w:val="num" w:pos="1211"/>
        </w:tabs>
        <w:ind w:left="1211" w:hanging="360"/>
      </w:pPr>
      <w:rPr>
        <w:rFonts w:hint="default"/>
      </w:rPr>
    </w:lvl>
    <w:lvl w:ilvl="1">
      <w:start w:val="7"/>
      <w:numFmt w:val="decimal"/>
      <w:isLgl/>
      <w:lvlText w:val="%1.%2."/>
      <w:lvlJc w:val="left"/>
      <w:pPr>
        <w:ind w:left="1080" w:hanging="720"/>
      </w:pPr>
      <w:rPr>
        <w:rFonts w:hint="default"/>
      </w:rPr>
    </w:lvl>
    <w:lvl w:ilvl="2">
      <w:start w:val="5"/>
      <w:numFmt w:val="decimal"/>
      <w:isLgl/>
      <w:lvlText w:val="%1.%2.%3."/>
      <w:lvlJc w:val="left"/>
      <w:pPr>
        <w:ind w:left="1080" w:hanging="720"/>
      </w:pPr>
      <w:rPr>
        <w:rFonts w:hint="default"/>
      </w:rPr>
    </w:lvl>
    <w:lvl w:ilvl="3">
      <w:start w:val="3"/>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1">
    <w:nsid w:val="73BD581B"/>
    <w:multiLevelType w:val="hybridMultilevel"/>
    <w:tmpl w:val="A10A6378"/>
    <w:styleLink w:val="1ai13"/>
    <w:lvl w:ilvl="0" w:tplc="532669F6">
      <w:start w:val="1"/>
      <w:numFmt w:val="bullet"/>
      <w:lvlText w:val=""/>
      <w:lvlJc w:val="left"/>
      <w:pPr>
        <w:ind w:left="720" w:hanging="360"/>
      </w:pPr>
      <w:rPr>
        <w:rFonts w:ascii="Symbol" w:hAnsi="Symbol" w:hint="default"/>
      </w:rPr>
    </w:lvl>
    <w:lvl w:ilvl="1" w:tplc="75443608" w:tentative="1">
      <w:start w:val="1"/>
      <w:numFmt w:val="bullet"/>
      <w:lvlText w:val="o"/>
      <w:lvlJc w:val="left"/>
      <w:pPr>
        <w:ind w:left="1440" w:hanging="360"/>
      </w:pPr>
      <w:rPr>
        <w:rFonts w:ascii="Courier New" w:hAnsi="Courier New" w:cs="Courier New" w:hint="default"/>
      </w:rPr>
    </w:lvl>
    <w:lvl w:ilvl="2" w:tplc="5638FA2E" w:tentative="1">
      <w:start w:val="1"/>
      <w:numFmt w:val="bullet"/>
      <w:lvlText w:val=""/>
      <w:lvlJc w:val="left"/>
      <w:pPr>
        <w:ind w:left="2160" w:hanging="360"/>
      </w:pPr>
      <w:rPr>
        <w:rFonts w:ascii="Wingdings" w:hAnsi="Wingdings" w:hint="default"/>
      </w:rPr>
    </w:lvl>
    <w:lvl w:ilvl="3" w:tplc="6882B184" w:tentative="1">
      <w:start w:val="1"/>
      <w:numFmt w:val="bullet"/>
      <w:lvlText w:val=""/>
      <w:lvlJc w:val="left"/>
      <w:pPr>
        <w:ind w:left="2880" w:hanging="360"/>
      </w:pPr>
      <w:rPr>
        <w:rFonts w:ascii="Symbol" w:hAnsi="Symbol" w:hint="default"/>
      </w:rPr>
    </w:lvl>
    <w:lvl w:ilvl="4" w:tplc="9AD68378" w:tentative="1">
      <w:start w:val="1"/>
      <w:numFmt w:val="bullet"/>
      <w:lvlText w:val="o"/>
      <w:lvlJc w:val="left"/>
      <w:pPr>
        <w:ind w:left="3600" w:hanging="360"/>
      </w:pPr>
      <w:rPr>
        <w:rFonts w:ascii="Courier New" w:hAnsi="Courier New" w:cs="Courier New" w:hint="default"/>
      </w:rPr>
    </w:lvl>
    <w:lvl w:ilvl="5" w:tplc="26169B6E" w:tentative="1">
      <w:start w:val="1"/>
      <w:numFmt w:val="bullet"/>
      <w:lvlText w:val=""/>
      <w:lvlJc w:val="left"/>
      <w:pPr>
        <w:ind w:left="4320" w:hanging="360"/>
      </w:pPr>
      <w:rPr>
        <w:rFonts w:ascii="Wingdings" w:hAnsi="Wingdings" w:hint="default"/>
      </w:rPr>
    </w:lvl>
    <w:lvl w:ilvl="6" w:tplc="609478E6" w:tentative="1">
      <w:start w:val="1"/>
      <w:numFmt w:val="bullet"/>
      <w:lvlText w:val=""/>
      <w:lvlJc w:val="left"/>
      <w:pPr>
        <w:ind w:left="5040" w:hanging="360"/>
      </w:pPr>
      <w:rPr>
        <w:rFonts w:ascii="Symbol" w:hAnsi="Symbol" w:hint="default"/>
      </w:rPr>
    </w:lvl>
    <w:lvl w:ilvl="7" w:tplc="945E8614" w:tentative="1">
      <w:start w:val="1"/>
      <w:numFmt w:val="bullet"/>
      <w:lvlText w:val="o"/>
      <w:lvlJc w:val="left"/>
      <w:pPr>
        <w:ind w:left="5760" w:hanging="360"/>
      </w:pPr>
      <w:rPr>
        <w:rFonts w:ascii="Courier New" w:hAnsi="Courier New" w:cs="Courier New" w:hint="default"/>
      </w:rPr>
    </w:lvl>
    <w:lvl w:ilvl="8" w:tplc="2B0CF128" w:tentative="1">
      <w:start w:val="1"/>
      <w:numFmt w:val="bullet"/>
      <w:lvlText w:val=""/>
      <w:lvlJc w:val="left"/>
      <w:pPr>
        <w:ind w:left="6480" w:hanging="360"/>
      </w:pPr>
      <w:rPr>
        <w:rFonts w:ascii="Wingdings" w:hAnsi="Wingdings" w:hint="default"/>
      </w:rPr>
    </w:lvl>
  </w:abstractNum>
  <w:abstractNum w:abstractNumId="82">
    <w:nsid w:val="73F26C4E"/>
    <w:multiLevelType w:val="hybridMultilevel"/>
    <w:tmpl w:val="9C0E2DC0"/>
    <w:lvl w:ilvl="0" w:tplc="04160001">
      <w:start w:val="1"/>
      <w:numFmt w:val="bullet"/>
      <w:pStyle w:val="SPE-Lista1tracinho"/>
      <w:lvlText w:val=""/>
      <w:lvlJc w:val="left"/>
      <w:pPr>
        <w:tabs>
          <w:tab w:val="num" w:pos="1066"/>
        </w:tabs>
        <w:ind w:left="1066" w:hanging="357"/>
      </w:pPr>
      <w:rPr>
        <w:rFonts w:ascii="Symbol" w:hAnsi="Symbol" w:hint="default"/>
      </w:rPr>
    </w:lvl>
    <w:lvl w:ilvl="1" w:tplc="04160003">
      <w:start w:val="1"/>
      <w:numFmt w:val="bullet"/>
      <w:lvlText w:val=""/>
      <w:lvlJc w:val="left"/>
      <w:pPr>
        <w:tabs>
          <w:tab w:val="num" w:pos="2146"/>
        </w:tabs>
        <w:ind w:left="2146" w:hanging="357"/>
      </w:pPr>
      <w:rPr>
        <w:rFonts w:ascii="Wingdings" w:hAnsi="Wingdings" w:hint="default"/>
      </w:rPr>
    </w:lvl>
    <w:lvl w:ilvl="2" w:tplc="04160005" w:tentative="1">
      <w:start w:val="1"/>
      <w:numFmt w:val="bullet"/>
      <w:lvlText w:val=""/>
      <w:lvlJc w:val="left"/>
      <w:pPr>
        <w:tabs>
          <w:tab w:val="num" w:pos="2869"/>
        </w:tabs>
        <w:ind w:left="2869" w:hanging="360"/>
      </w:pPr>
      <w:rPr>
        <w:rFonts w:ascii="Wingdings" w:hAnsi="Wingdings" w:hint="default"/>
      </w:rPr>
    </w:lvl>
    <w:lvl w:ilvl="3" w:tplc="04160001" w:tentative="1">
      <w:start w:val="1"/>
      <w:numFmt w:val="bullet"/>
      <w:lvlText w:val=""/>
      <w:lvlJc w:val="left"/>
      <w:pPr>
        <w:tabs>
          <w:tab w:val="num" w:pos="3589"/>
        </w:tabs>
        <w:ind w:left="3589" w:hanging="360"/>
      </w:pPr>
      <w:rPr>
        <w:rFonts w:ascii="Symbol" w:hAnsi="Symbol" w:hint="default"/>
      </w:rPr>
    </w:lvl>
    <w:lvl w:ilvl="4" w:tplc="04160003" w:tentative="1">
      <w:start w:val="1"/>
      <w:numFmt w:val="bullet"/>
      <w:lvlText w:val="o"/>
      <w:lvlJc w:val="left"/>
      <w:pPr>
        <w:tabs>
          <w:tab w:val="num" w:pos="4309"/>
        </w:tabs>
        <w:ind w:left="4309" w:hanging="360"/>
      </w:pPr>
      <w:rPr>
        <w:rFonts w:ascii="Courier New" w:hAnsi="Courier New" w:hint="default"/>
      </w:rPr>
    </w:lvl>
    <w:lvl w:ilvl="5" w:tplc="04160005" w:tentative="1">
      <w:start w:val="1"/>
      <w:numFmt w:val="bullet"/>
      <w:lvlText w:val=""/>
      <w:lvlJc w:val="left"/>
      <w:pPr>
        <w:tabs>
          <w:tab w:val="num" w:pos="5029"/>
        </w:tabs>
        <w:ind w:left="5029" w:hanging="360"/>
      </w:pPr>
      <w:rPr>
        <w:rFonts w:ascii="Wingdings" w:hAnsi="Wingdings" w:hint="default"/>
      </w:rPr>
    </w:lvl>
    <w:lvl w:ilvl="6" w:tplc="04160001" w:tentative="1">
      <w:start w:val="1"/>
      <w:numFmt w:val="bullet"/>
      <w:lvlText w:val=""/>
      <w:lvlJc w:val="left"/>
      <w:pPr>
        <w:tabs>
          <w:tab w:val="num" w:pos="5749"/>
        </w:tabs>
        <w:ind w:left="5749" w:hanging="360"/>
      </w:pPr>
      <w:rPr>
        <w:rFonts w:ascii="Symbol" w:hAnsi="Symbol" w:hint="default"/>
      </w:rPr>
    </w:lvl>
    <w:lvl w:ilvl="7" w:tplc="04160003" w:tentative="1">
      <w:start w:val="1"/>
      <w:numFmt w:val="bullet"/>
      <w:lvlText w:val="o"/>
      <w:lvlJc w:val="left"/>
      <w:pPr>
        <w:tabs>
          <w:tab w:val="num" w:pos="6469"/>
        </w:tabs>
        <w:ind w:left="6469" w:hanging="360"/>
      </w:pPr>
      <w:rPr>
        <w:rFonts w:ascii="Courier New" w:hAnsi="Courier New" w:hint="default"/>
      </w:rPr>
    </w:lvl>
    <w:lvl w:ilvl="8" w:tplc="04160005" w:tentative="1">
      <w:start w:val="1"/>
      <w:numFmt w:val="bullet"/>
      <w:lvlText w:val=""/>
      <w:lvlJc w:val="left"/>
      <w:pPr>
        <w:tabs>
          <w:tab w:val="num" w:pos="7189"/>
        </w:tabs>
        <w:ind w:left="7189" w:hanging="360"/>
      </w:pPr>
      <w:rPr>
        <w:rFonts w:ascii="Wingdings" w:hAnsi="Wingdings" w:hint="default"/>
      </w:rPr>
    </w:lvl>
  </w:abstractNum>
  <w:abstractNum w:abstractNumId="83">
    <w:nsid w:val="76196C55"/>
    <w:multiLevelType w:val="hybridMultilevel"/>
    <w:tmpl w:val="8D104212"/>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84">
    <w:nsid w:val="7C907398"/>
    <w:multiLevelType w:val="hybridMultilevel"/>
    <w:tmpl w:val="C400ABEE"/>
    <w:styleLink w:val="1ai2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5">
    <w:nsid w:val="7D810000"/>
    <w:multiLevelType w:val="hybridMultilevel"/>
    <w:tmpl w:val="F48C519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nsid w:val="7D863F96"/>
    <w:multiLevelType w:val="hybridMultilevel"/>
    <w:tmpl w:val="4C863014"/>
    <w:lvl w:ilvl="0" w:tplc="8050F22A">
      <w:start w:val="2"/>
      <w:numFmt w:val="bullet"/>
      <w:lvlText w:val=""/>
      <w:lvlJc w:val="left"/>
      <w:pPr>
        <w:ind w:left="720" w:hanging="360"/>
      </w:pPr>
      <w:rPr>
        <w:rFonts w:ascii="Symbol" w:hAnsi="Symbol" w:cs="Symbol" w:hint="default"/>
        <w:b w:val="0"/>
        <w:bCs w:val="0"/>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7">
    <w:nsid w:val="7F9264DE"/>
    <w:multiLevelType w:val="hybridMultilevel"/>
    <w:tmpl w:val="7D189E2E"/>
    <w:lvl w:ilvl="0" w:tplc="A1A6F0C6">
      <w:start w:val="1"/>
      <w:numFmt w:val="bullet"/>
      <w:pStyle w:val="Marcador2"/>
      <w:lvlText w:val=""/>
      <w:lvlJc w:val="left"/>
      <w:pPr>
        <w:tabs>
          <w:tab w:val="num" w:pos="794"/>
        </w:tabs>
        <w:ind w:left="794" w:hanging="397"/>
      </w:pPr>
      <w:rPr>
        <w:rFonts w:ascii="Symbol" w:hAnsi="Symbol" w:hint="default"/>
        <w:b/>
        <w:i w:val="0"/>
        <w:caps w:val="0"/>
        <w:strike w:val="0"/>
        <w:dstrike w:val="0"/>
        <w:vanish w:val="0"/>
        <w:color w:val="007EA1"/>
        <w:sz w:val="28"/>
        <w:u w:color="008080"/>
        <w:vertAlign w:val="baseline"/>
      </w:rPr>
    </w:lvl>
    <w:lvl w:ilvl="1" w:tplc="E5381B18">
      <w:start w:val="1"/>
      <w:numFmt w:val="bullet"/>
      <w:lvlText w:val="–"/>
      <w:lvlJc w:val="left"/>
      <w:pPr>
        <w:tabs>
          <w:tab w:val="num" w:pos="1440"/>
        </w:tabs>
        <w:ind w:left="1440" w:hanging="360"/>
      </w:pPr>
      <w:rPr>
        <w:rFonts w:ascii="Times New Roman" w:eastAsia="Times New Roman" w:hAnsi="Times New Roman" w:cs="Times New Roman"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88">
    <w:nsid w:val="7FEE1035"/>
    <w:multiLevelType w:val="hybridMultilevel"/>
    <w:tmpl w:val="E5545FC6"/>
    <w:lvl w:ilvl="0" w:tplc="04160001">
      <w:start w:val="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41"/>
  </w:num>
  <w:num w:numId="2">
    <w:abstractNumId w:val="79"/>
  </w:num>
  <w:num w:numId="3">
    <w:abstractNumId w:val="7"/>
  </w:num>
  <w:num w:numId="4">
    <w:abstractNumId w:val="49"/>
  </w:num>
  <w:num w:numId="5">
    <w:abstractNumId w:val="10"/>
  </w:num>
  <w:num w:numId="6">
    <w:abstractNumId w:val="24"/>
  </w:num>
  <w:num w:numId="7">
    <w:abstractNumId w:val="40"/>
  </w:num>
  <w:num w:numId="8">
    <w:abstractNumId w:val="4"/>
  </w:num>
  <w:num w:numId="9">
    <w:abstractNumId w:val="61"/>
  </w:num>
  <w:num w:numId="10">
    <w:abstractNumId w:val="12"/>
  </w:num>
  <w:num w:numId="11">
    <w:abstractNumId w:val="6"/>
  </w:num>
  <w:num w:numId="12">
    <w:abstractNumId w:val="69"/>
  </w:num>
  <w:num w:numId="13">
    <w:abstractNumId w:val="25"/>
  </w:num>
  <w:num w:numId="14">
    <w:abstractNumId w:val="42"/>
  </w:num>
  <w:num w:numId="15">
    <w:abstractNumId w:val="9"/>
  </w:num>
  <w:num w:numId="16">
    <w:abstractNumId w:val="11"/>
  </w:num>
  <w:num w:numId="17">
    <w:abstractNumId w:val="0"/>
  </w:num>
  <w:num w:numId="18">
    <w:abstractNumId w:val="33"/>
  </w:num>
  <w:num w:numId="19">
    <w:abstractNumId w:val="17"/>
  </w:num>
  <w:num w:numId="20">
    <w:abstractNumId w:val="20"/>
  </w:num>
  <w:num w:numId="21">
    <w:abstractNumId w:val="60"/>
  </w:num>
  <w:num w:numId="22">
    <w:abstractNumId w:val="80"/>
    <w:lvlOverride w:ilvl="0">
      <w:startOverride w:val="1"/>
    </w:lvlOverride>
    <w:lvlOverride w:ilvl="1">
      <w:startOverride w:val="7"/>
    </w:lvlOverride>
    <w:lvlOverride w:ilvl="2">
      <w:startOverride w:val="5"/>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8"/>
  </w:num>
  <w:num w:numId="24">
    <w:abstractNumId w:val="44"/>
  </w:num>
  <w:num w:numId="25">
    <w:abstractNumId w:val="81"/>
  </w:num>
  <w:num w:numId="26">
    <w:abstractNumId w:val="18"/>
  </w:num>
  <w:num w:numId="27">
    <w:abstractNumId w:val="84"/>
  </w:num>
  <w:num w:numId="28">
    <w:abstractNumId w:val="38"/>
  </w:num>
  <w:num w:numId="29">
    <w:abstractNumId w:val="72"/>
  </w:num>
  <w:num w:numId="30">
    <w:abstractNumId w:val="47"/>
  </w:num>
  <w:num w:numId="31">
    <w:abstractNumId w:val="32"/>
  </w:num>
  <w:num w:numId="32">
    <w:abstractNumId w:val="73"/>
  </w:num>
  <w:num w:numId="33">
    <w:abstractNumId w:val="45"/>
  </w:num>
  <w:num w:numId="34">
    <w:abstractNumId w:val="28"/>
  </w:num>
  <w:num w:numId="35">
    <w:abstractNumId w:val="56"/>
  </w:num>
  <w:num w:numId="36">
    <w:abstractNumId w:val="43"/>
  </w:num>
  <w:num w:numId="37">
    <w:abstractNumId w:val="65"/>
  </w:num>
  <w:num w:numId="38">
    <w:abstractNumId w:val="88"/>
  </w:num>
  <w:num w:numId="39">
    <w:abstractNumId w:val="70"/>
  </w:num>
  <w:num w:numId="40">
    <w:abstractNumId w:val="62"/>
  </w:num>
  <w:num w:numId="41">
    <w:abstractNumId w:val="50"/>
  </w:num>
  <w:num w:numId="42">
    <w:abstractNumId w:val="46"/>
  </w:num>
  <w:num w:numId="43">
    <w:abstractNumId w:val="82"/>
  </w:num>
  <w:num w:numId="44">
    <w:abstractNumId w:val="14"/>
  </w:num>
  <w:num w:numId="45">
    <w:abstractNumId w:val="29"/>
  </w:num>
  <w:num w:numId="46">
    <w:abstractNumId w:val="48"/>
  </w:num>
  <w:num w:numId="47">
    <w:abstractNumId w:val="31"/>
  </w:num>
  <w:num w:numId="48">
    <w:abstractNumId w:val="15"/>
  </w:num>
  <w:num w:numId="49">
    <w:abstractNumId w:val="26"/>
  </w:num>
  <w:num w:numId="50">
    <w:abstractNumId w:val="39"/>
  </w:num>
  <w:num w:numId="51">
    <w:abstractNumId w:val="27"/>
  </w:num>
  <w:num w:numId="52">
    <w:abstractNumId w:val="71"/>
  </w:num>
  <w:num w:numId="53">
    <w:abstractNumId w:val="59"/>
  </w:num>
  <w:num w:numId="54">
    <w:abstractNumId w:val="53"/>
  </w:num>
  <w:num w:numId="55">
    <w:abstractNumId w:val="36"/>
  </w:num>
  <w:num w:numId="56">
    <w:abstractNumId w:val="57"/>
  </w:num>
  <w:num w:numId="57">
    <w:abstractNumId w:val="64"/>
  </w:num>
  <w:num w:numId="58">
    <w:abstractNumId w:val="85"/>
  </w:num>
  <w:num w:numId="59">
    <w:abstractNumId w:val="34"/>
  </w:num>
  <w:num w:numId="60">
    <w:abstractNumId w:val="76"/>
  </w:num>
  <w:num w:numId="61">
    <w:abstractNumId w:val="75"/>
  </w:num>
  <w:num w:numId="62">
    <w:abstractNumId w:val="55"/>
  </w:num>
  <w:num w:numId="63">
    <w:abstractNumId w:val="23"/>
  </w:num>
  <w:num w:numId="64">
    <w:abstractNumId w:val="35"/>
  </w:num>
  <w:num w:numId="65">
    <w:abstractNumId w:val="54"/>
  </w:num>
  <w:num w:numId="66">
    <w:abstractNumId w:val="66"/>
  </w:num>
  <w:num w:numId="67">
    <w:abstractNumId w:val="8"/>
  </w:num>
  <w:num w:numId="68">
    <w:abstractNumId w:val="80"/>
  </w:num>
  <w:num w:numId="69">
    <w:abstractNumId w:val="1"/>
  </w:num>
  <w:num w:numId="70">
    <w:abstractNumId w:val="37"/>
  </w:num>
  <w:num w:numId="71">
    <w:abstractNumId w:val="77"/>
  </w:num>
  <w:num w:numId="72">
    <w:abstractNumId w:val="87"/>
  </w:num>
  <w:num w:numId="73">
    <w:abstractNumId w:val="63"/>
  </w:num>
  <w:num w:numId="74">
    <w:abstractNumId w:val="74"/>
  </w:num>
  <w:num w:numId="75">
    <w:abstractNumId w:val="22"/>
  </w:num>
  <w:num w:numId="76">
    <w:abstractNumId w:val="19"/>
  </w:num>
  <w:num w:numId="77">
    <w:abstractNumId w:val="68"/>
  </w:num>
  <w:num w:numId="78">
    <w:abstractNumId w:val="52"/>
  </w:num>
  <w:num w:numId="79">
    <w:abstractNumId w:val="83"/>
  </w:num>
  <w:num w:numId="80">
    <w:abstractNumId w:val="30"/>
  </w:num>
  <w:num w:numId="81">
    <w:abstractNumId w:val="16"/>
  </w:num>
  <w:num w:numId="82">
    <w:abstractNumId w:val="51"/>
  </w:num>
  <w:num w:numId="83">
    <w:abstractNumId w:val="13"/>
  </w:num>
  <w:num w:numId="84">
    <w:abstractNumId w:val="78"/>
  </w:num>
  <w:num w:numId="85">
    <w:abstractNumId w:val="86"/>
  </w:num>
  <w:num w:numId="86">
    <w:abstractNumId w:val="61"/>
  </w:num>
  <w:num w:numId="87">
    <w:abstractNumId w:val="5"/>
  </w:num>
  <w:num w:numId="88">
    <w:abstractNumId w:val="21"/>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134"/>
  <w:hyphenationZone w:val="425"/>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067D"/>
    <w:rsid w:val="000000D1"/>
    <w:rsid w:val="000014A4"/>
    <w:rsid w:val="00002CD5"/>
    <w:rsid w:val="00002D1C"/>
    <w:rsid w:val="00003887"/>
    <w:rsid w:val="00003927"/>
    <w:rsid w:val="00003E81"/>
    <w:rsid w:val="00006CDF"/>
    <w:rsid w:val="00006DF5"/>
    <w:rsid w:val="000073D3"/>
    <w:rsid w:val="00007A9D"/>
    <w:rsid w:val="00007DA4"/>
    <w:rsid w:val="000103BD"/>
    <w:rsid w:val="00010B77"/>
    <w:rsid w:val="00011899"/>
    <w:rsid w:val="00011CCE"/>
    <w:rsid w:val="00012B20"/>
    <w:rsid w:val="00020569"/>
    <w:rsid w:val="0002215C"/>
    <w:rsid w:val="00022775"/>
    <w:rsid w:val="00022954"/>
    <w:rsid w:val="000230EA"/>
    <w:rsid w:val="00024169"/>
    <w:rsid w:val="00027344"/>
    <w:rsid w:val="00027356"/>
    <w:rsid w:val="00027EB7"/>
    <w:rsid w:val="00031D63"/>
    <w:rsid w:val="000322D2"/>
    <w:rsid w:val="000335EB"/>
    <w:rsid w:val="00033AA4"/>
    <w:rsid w:val="00034800"/>
    <w:rsid w:val="00035C42"/>
    <w:rsid w:val="00037429"/>
    <w:rsid w:val="0003785F"/>
    <w:rsid w:val="00037D5E"/>
    <w:rsid w:val="0004067D"/>
    <w:rsid w:val="00040A7E"/>
    <w:rsid w:val="00040F5C"/>
    <w:rsid w:val="00042D6E"/>
    <w:rsid w:val="00045770"/>
    <w:rsid w:val="00051AF2"/>
    <w:rsid w:val="000538F8"/>
    <w:rsid w:val="00055148"/>
    <w:rsid w:val="00057C86"/>
    <w:rsid w:val="00061111"/>
    <w:rsid w:val="000619ED"/>
    <w:rsid w:val="000623CE"/>
    <w:rsid w:val="00070152"/>
    <w:rsid w:val="00070571"/>
    <w:rsid w:val="000729FB"/>
    <w:rsid w:val="000742A1"/>
    <w:rsid w:val="00075112"/>
    <w:rsid w:val="000761E6"/>
    <w:rsid w:val="00076658"/>
    <w:rsid w:val="000773F8"/>
    <w:rsid w:val="000774C8"/>
    <w:rsid w:val="00077884"/>
    <w:rsid w:val="000822C6"/>
    <w:rsid w:val="0008317C"/>
    <w:rsid w:val="00084F04"/>
    <w:rsid w:val="0008639B"/>
    <w:rsid w:val="0008766F"/>
    <w:rsid w:val="000878A8"/>
    <w:rsid w:val="00087C57"/>
    <w:rsid w:val="00094A10"/>
    <w:rsid w:val="00094EB3"/>
    <w:rsid w:val="00095C28"/>
    <w:rsid w:val="00096D99"/>
    <w:rsid w:val="0009787E"/>
    <w:rsid w:val="00097CCA"/>
    <w:rsid w:val="000A16AF"/>
    <w:rsid w:val="000A4A6C"/>
    <w:rsid w:val="000A587B"/>
    <w:rsid w:val="000A6584"/>
    <w:rsid w:val="000A65DF"/>
    <w:rsid w:val="000A7A79"/>
    <w:rsid w:val="000B04F5"/>
    <w:rsid w:val="000B1985"/>
    <w:rsid w:val="000B1E7D"/>
    <w:rsid w:val="000B347D"/>
    <w:rsid w:val="000B4061"/>
    <w:rsid w:val="000B4DAF"/>
    <w:rsid w:val="000B653D"/>
    <w:rsid w:val="000B669D"/>
    <w:rsid w:val="000B6EAA"/>
    <w:rsid w:val="000B758F"/>
    <w:rsid w:val="000B769F"/>
    <w:rsid w:val="000B79BE"/>
    <w:rsid w:val="000C2115"/>
    <w:rsid w:val="000C25AC"/>
    <w:rsid w:val="000C4338"/>
    <w:rsid w:val="000C4970"/>
    <w:rsid w:val="000C58DA"/>
    <w:rsid w:val="000C5C7A"/>
    <w:rsid w:val="000C6484"/>
    <w:rsid w:val="000C716D"/>
    <w:rsid w:val="000D1E36"/>
    <w:rsid w:val="000D3F44"/>
    <w:rsid w:val="000D5DA4"/>
    <w:rsid w:val="000D706C"/>
    <w:rsid w:val="000D7CB9"/>
    <w:rsid w:val="000E1A66"/>
    <w:rsid w:val="000E1D69"/>
    <w:rsid w:val="000E1EAC"/>
    <w:rsid w:val="000E268E"/>
    <w:rsid w:val="000E2E80"/>
    <w:rsid w:val="000E36B3"/>
    <w:rsid w:val="000E3A50"/>
    <w:rsid w:val="000E43A8"/>
    <w:rsid w:val="000E5772"/>
    <w:rsid w:val="000E6C46"/>
    <w:rsid w:val="000F0151"/>
    <w:rsid w:val="000F0749"/>
    <w:rsid w:val="000F1C3C"/>
    <w:rsid w:val="000F2607"/>
    <w:rsid w:val="000F34B5"/>
    <w:rsid w:val="000F3C96"/>
    <w:rsid w:val="000F4087"/>
    <w:rsid w:val="000F4B70"/>
    <w:rsid w:val="000F546F"/>
    <w:rsid w:val="000F694F"/>
    <w:rsid w:val="000F69FA"/>
    <w:rsid w:val="000F796F"/>
    <w:rsid w:val="00100474"/>
    <w:rsid w:val="001007A9"/>
    <w:rsid w:val="0010142D"/>
    <w:rsid w:val="001014FE"/>
    <w:rsid w:val="00102AE8"/>
    <w:rsid w:val="00104A0B"/>
    <w:rsid w:val="00105821"/>
    <w:rsid w:val="00106135"/>
    <w:rsid w:val="001105B7"/>
    <w:rsid w:val="001114D1"/>
    <w:rsid w:val="0011181F"/>
    <w:rsid w:val="001120BC"/>
    <w:rsid w:val="001123F1"/>
    <w:rsid w:val="001133BB"/>
    <w:rsid w:val="0011423B"/>
    <w:rsid w:val="001168F3"/>
    <w:rsid w:val="001169C6"/>
    <w:rsid w:val="00120143"/>
    <w:rsid w:val="00121A31"/>
    <w:rsid w:val="00121F44"/>
    <w:rsid w:val="0012263B"/>
    <w:rsid w:val="001240C8"/>
    <w:rsid w:val="001252A7"/>
    <w:rsid w:val="0012535F"/>
    <w:rsid w:val="00125F44"/>
    <w:rsid w:val="0013054F"/>
    <w:rsid w:val="0013317E"/>
    <w:rsid w:val="00133193"/>
    <w:rsid w:val="00134FC5"/>
    <w:rsid w:val="00135A95"/>
    <w:rsid w:val="00136253"/>
    <w:rsid w:val="00136C69"/>
    <w:rsid w:val="00141B2A"/>
    <w:rsid w:val="00142374"/>
    <w:rsid w:val="00143F79"/>
    <w:rsid w:val="00144825"/>
    <w:rsid w:val="001453C3"/>
    <w:rsid w:val="00145C4B"/>
    <w:rsid w:val="00145C71"/>
    <w:rsid w:val="00146ADE"/>
    <w:rsid w:val="00150AE4"/>
    <w:rsid w:val="00151788"/>
    <w:rsid w:val="00151DB2"/>
    <w:rsid w:val="00153D6D"/>
    <w:rsid w:val="0015631C"/>
    <w:rsid w:val="00160817"/>
    <w:rsid w:val="00162549"/>
    <w:rsid w:val="001629A9"/>
    <w:rsid w:val="001640A7"/>
    <w:rsid w:val="00166326"/>
    <w:rsid w:val="00166954"/>
    <w:rsid w:val="00167639"/>
    <w:rsid w:val="00171A0D"/>
    <w:rsid w:val="001762CF"/>
    <w:rsid w:val="00176F1A"/>
    <w:rsid w:val="00177FEF"/>
    <w:rsid w:val="0018141E"/>
    <w:rsid w:val="001835E6"/>
    <w:rsid w:val="00184EF9"/>
    <w:rsid w:val="001856B7"/>
    <w:rsid w:val="00185C35"/>
    <w:rsid w:val="001869E4"/>
    <w:rsid w:val="00186E81"/>
    <w:rsid w:val="00187E27"/>
    <w:rsid w:val="001916FF"/>
    <w:rsid w:val="00192698"/>
    <w:rsid w:val="001930B4"/>
    <w:rsid w:val="001936D9"/>
    <w:rsid w:val="00194CBB"/>
    <w:rsid w:val="00194D5B"/>
    <w:rsid w:val="001976FE"/>
    <w:rsid w:val="00197970"/>
    <w:rsid w:val="001A05AF"/>
    <w:rsid w:val="001A063B"/>
    <w:rsid w:val="001A0C6A"/>
    <w:rsid w:val="001A0D28"/>
    <w:rsid w:val="001A1CD8"/>
    <w:rsid w:val="001A2171"/>
    <w:rsid w:val="001A3E12"/>
    <w:rsid w:val="001A4731"/>
    <w:rsid w:val="001A4BA1"/>
    <w:rsid w:val="001A4FBA"/>
    <w:rsid w:val="001A55E8"/>
    <w:rsid w:val="001A573D"/>
    <w:rsid w:val="001A7BC2"/>
    <w:rsid w:val="001B3482"/>
    <w:rsid w:val="001B42EC"/>
    <w:rsid w:val="001B460E"/>
    <w:rsid w:val="001B5A45"/>
    <w:rsid w:val="001B5B4C"/>
    <w:rsid w:val="001B7276"/>
    <w:rsid w:val="001C07A6"/>
    <w:rsid w:val="001C3659"/>
    <w:rsid w:val="001C4C20"/>
    <w:rsid w:val="001C5534"/>
    <w:rsid w:val="001C6F2A"/>
    <w:rsid w:val="001C76C7"/>
    <w:rsid w:val="001C7708"/>
    <w:rsid w:val="001D07AD"/>
    <w:rsid w:val="001D1DA6"/>
    <w:rsid w:val="001D2046"/>
    <w:rsid w:val="001D2EEF"/>
    <w:rsid w:val="001D2EFA"/>
    <w:rsid w:val="001D33A2"/>
    <w:rsid w:val="001D3C8E"/>
    <w:rsid w:val="001D3D2D"/>
    <w:rsid w:val="001D5114"/>
    <w:rsid w:val="001D6281"/>
    <w:rsid w:val="001D71FA"/>
    <w:rsid w:val="001E1EE1"/>
    <w:rsid w:val="001E2B92"/>
    <w:rsid w:val="001E3472"/>
    <w:rsid w:val="001E3D24"/>
    <w:rsid w:val="001E4C04"/>
    <w:rsid w:val="001E4F22"/>
    <w:rsid w:val="001E59D9"/>
    <w:rsid w:val="001E674A"/>
    <w:rsid w:val="001E6D88"/>
    <w:rsid w:val="001E7B89"/>
    <w:rsid w:val="001F1BF2"/>
    <w:rsid w:val="001F268D"/>
    <w:rsid w:val="001F2869"/>
    <w:rsid w:val="001F458D"/>
    <w:rsid w:val="001F4BC5"/>
    <w:rsid w:val="001F7B00"/>
    <w:rsid w:val="001F7FF7"/>
    <w:rsid w:val="002014D7"/>
    <w:rsid w:val="00201B97"/>
    <w:rsid w:val="0020302B"/>
    <w:rsid w:val="00203FDC"/>
    <w:rsid w:val="00204C6C"/>
    <w:rsid w:val="00204CBF"/>
    <w:rsid w:val="002102F0"/>
    <w:rsid w:val="00210DB1"/>
    <w:rsid w:val="00211392"/>
    <w:rsid w:val="00215DDA"/>
    <w:rsid w:val="00216750"/>
    <w:rsid w:val="00216894"/>
    <w:rsid w:val="00217667"/>
    <w:rsid w:val="00217CCA"/>
    <w:rsid w:val="00220032"/>
    <w:rsid w:val="002207FE"/>
    <w:rsid w:val="002210BF"/>
    <w:rsid w:val="00221129"/>
    <w:rsid w:val="0022220A"/>
    <w:rsid w:val="002239BC"/>
    <w:rsid w:val="00223DC0"/>
    <w:rsid w:val="00224A98"/>
    <w:rsid w:val="002268E3"/>
    <w:rsid w:val="002308F6"/>
    <w:rsid w:val="00232C9C"/>
    <w:rsid w:val="0023391A"/>
    <w:rsid w:val="00234212"/>
    <w:rsid w:val="002356B7"/>
    <w:rsid w:val="00236B4D"/>
    <w:rsid w:val="00236D82"/>
    <w:rsid w:val="0024021F"/>
    <w:rsid w:val="0024037F"/>
    <w:rsid w:val="0024221E"/>
    <w:rsid w:val="00243639"/>
    <w:rsid w:val="00246161"/>
    <w:rsid w:val="0024748F"/>
    <w:rsid w:val="00252B3D"/>
    <w:rsid w:val="00254F74"/>
    <w:rsid w:val="00255AC8"/>
    <w:rsid w:val="00257450"/>
    <w:rsid w:val="00260287"/>
    <w:rsid w:val="002602A4"/>
    <w:rsid w:val="00261120"/>
    <w:rsid w:val="00263BFE"/>
    <w:rsid w:val="00263CAA"/>
    <w:rsid w:val="00264141"/>
    <w:rsid w:val="002652A5"/>
    <w:rsid w:val="002659CB"/>
    <w:rsid w:val="002662FB"/>
    <w:rsid w:val="0026694B"/>
    <w:rsid w:val="00267805"/>
    <w:rsid w:val="00267B12"/>
    <w:rsid w:val="00270CB4"/>
    <w:rsid w:val="002732BC"/>
    <w:rsid w:val="002732BE"/>
    <w:rsid w:val="00273438"/>
    <w:rsid w:val="00273A51"/>
    <w:rsid w:val="002743DF"/>
    <w:rsid w:val="00274476"/>
    <w:rsid w:val="002766BC"/>
    <w:rsid w:val="00277166"/>
    <w:rsid w:val="002774E2"/>
    <w:rsid w:val="00280B9A"/>
    <w:rsid w:val="00280D58"/>
    <w:rsid w:val="002811CE"/>
    <w:rsid w:val="00283118"/>
    <w:rsid w:val="00284BCA"/>
    <w:rsid w:val="002864B7"/>
    <w:rsid w:val="002868C2"/>
    <w:rsid w:val="00286F85"/>
    <w:rsid w:val="0029108A"/>
    <w:rsid w:val="002911B5"/>
    <w:rsid w:val="002914CA"/>
    <w:rsid w:val="0029158C"/>
    <w:rsid w:val="002922CB"/>
    <w:rsid w:val="00293271"/>
    <w:rsid w:val="00295240"/>
    <w:rsid w:val="00295DD1"/>
    <w:rsid w:val="00295F17"/>
    <w:rsid w:val="002962A2"/>
    <w:rsid w:val="002963A7"/>
    <w:rsid w:val="002A0665"/>
    <w:rsid w:val="002A0B25"/>
    <w:rsid w:val="002A1FB9"/>
    <w:rsid w:val="002A3B43"/>
    <w:rsid w:val="002A5B77"/>
    <w:rsid w:val="002A63E3"/>
    <w:rsid w:val="002A725A"/>
    <w:rsid w:val="002B1BDD"/>
    <w:rsid w:val="002B1E92"/>
    <w:rsid w:val="002B2DAA"/>
    <w:rsid w:val="002B347C"/>
    <w:rsid w:val="002B5041"/>
    <w:rsid w:val="002B5F5F"/>
    <w:rsid w:val="002B72B8"/>
    <w:rsid w:val="002C0476"/>
    <w:rsid w:val="002C0D71"/>
    <w:rsid w:val="002C206D"/>
    <w:rsid w:val="002C4586"/>
    <w:rsid w:val="002C534B"/>
    <w:rsid w:val="002C72A1"/>
    <w:rsid w:val="002D01AC"/>
    <w:rsid w:val="002D030E"/>
    <w:rsid w:val="002D0AB5"/>
    <w:rsid w:val="002D289A"/>
    <w:rsid w:val="002D52CA"/>
    <w:rsid w:val="002D68F1"/>
    <w:rsid w:val="002D6EDB"/>
    <w:rsid w:val="002D7BE9"/>
    <w:rsid w:val="002D7CDA"/>
    <w:rsid w:val="002E0189"/>
    <w:rsid w:val="002E049A"/>
    <w:rsid w:val="002E07FF"/>
    <w:rsid w:val="002E2454"/>
    <w:rsid w:val="002E27C6"/>
    <w:rsid w:val="002E29E3"/>
    <w:rsid w:val="002E3B92"/>
    <w:rsid w:val="002E4A2D"/>
    <w:rsid w:val="002E7028"/>
    <w:rsid w:val="002F0D66"/>
    <w:rsid w:val="002F301C"/>
    <w:rsid w:val="002F34F0"/>
    <w:rsid w:val="002F3B5F"/>
    <w:rsid w:val="002F4017"/>
    <w:rsid w:val="002F4620"/>
    <w:rsid w:val="002F49BF"/>
    <w:rsid w:val="002F50CE"/>
    <w:rsid w:val="002F58D9"/>
    <w:rsid w:val="002F6096"/>
    <w:rsid w:val="00300081"/>
    <w:rsid w:val="003007B3"/>
    <w:rsid w:val="0030101C"/>
    <w:rsid w:val="00301508"/>
    <w:rsid w:val="00301F73"/>
    <w:rsid w:val="003031D7"/>
    <w:rsid w:val="0030626C"/>
    <w:rsid w:val="00306A81"/>
    <w:rsid w:val="00307D69"/>
    <w:rsid w:val="00311919"/>
    <w:rsid w:val="00315D76"/>
    <w:rsid w:val="00315F37"/>
    <w:rsid w:val="00316060"/>
    <w:rsid w:val="003163E4"/>
    <w:rsid w:val="003177DF"/>
    <w:rsid w:val="00317B8E"/>
    <w:rsid w:val="00320C76"/>
    <w:rsid w:val="0032368C"/>
    <w:rsid w:val="00326A83"/>
    <w:rsid w:val="0033085E"/>
    <w:rsid w:val="00331D3B"/>
    <w:rsid w:val="00332B98"/>
    <w:rsid w:val="00335C7A"/>
    <w:rsid w:val="00336C26"/>
    <w:rsid w:val="003372BD"/>
    <w:rsid w:val="00337ED6"/>
    <w:rsid w:val="00340587"/>
    <w:rsid w:val="00341589"/>
    <w:rsid w:val="00343892"/>
    <w:rsid w:val="00343E59"/>
    <w:rsid w:val="003442CE"/>
    <w:rsid w:val="00346419"/>
    <w:rsid w:val="00346EC5"/>
    <w:rsid w:val="0034790C"/>
    <w:rsid w:val="00350516"/>
    <w:rsid w:val="00350900"/>
    <w:rsid w:val="00351E52"/>
    <w:rsid w:val="0035216F"/>
    <w:rsid w:val="0035350B"/>
    <w:rsid w:val="00354D41"/>
    <w:rsid w:val="00355E35"/>
    <w:rsid w:val="003566D4"/>
    <w:rsid w:val="00356E4D"/>
    <w:rsid w:val="00362418"/>
    <w:rsid w:val="00362911"/>
    <w:rsid w:val="00363321"/>
    <w:rsid w:val="00363501"/>
    <w:rsid w:val="0036490E"/>
    <w:rsid w:val="0036556C"/>
    <w:rsid w:val="00365E18"/>
    <w:rsid w:val="00366715"/>
    <w:rsid w:val="00367690"/>
    <w:rsid w:val="00370B08"/>
    <w:rsid w:val="00370B36"/>
    <w:rsid w:val="00370E3E"/>
    <w:rsid w:val="00373099"/>
    <w:rsid w:val="0037524D"/>
    <w:rsid w:val="003759EC"/>
    <w:rsid w:val="003820AB"/>
    <w:rsid w:val="003822AE"/>
    <w:rsid w:val="00383A78"/>
    <w:rsid w:val="00384F09"/>
    <w:rsid w:val="003861F7"/>
    <w:rsid w:val="00386B50"/>
    <w:rsid w:val="003878A9"/>
    <w:rsid w:val="00392B0D"/>
    <w:rsid w:val="00394639"/>
    <w:rsid w:val="003953AB"/>
    <w:rsid w:val="00396D2B"/>
    <w:rsid w:val="0039726F"/>
    <w:rsid w:val="0039752B"/>
    <w:rsid w:val="003A21F6"/>
    <w:rsid w:val="003A422E"/>
    <w:rsid w:val="003A5159"/>
    <w:rsid w:val="003A71B0"/>
    <w:rsid w:val="003A72C6"/>
    <w:rsid w:val="003A778E"/>
    <w:rsid w:val="003B0EBF"/>
    <w:rsid w:val="003B225E"/>
    <w:rsid w:val="003B2F9A"/>
    <w:rsid w:val="003B40AC"/>
    <w:rsid w:val="003B560B"/>
    <w:rsid w:val="003B5D66"/>
    <w:rsid w:val="003C2CD5"/>
    <w:rsid w:val="003C2D4F"/>
    <w:rsid w:val="003C4051"/>
    <w:rsid w:val="003C4386"/>
    <w:rsid w:val="003C5C65"/>
    <w:rsid w:val="003C5FC0"/>
    <w:rsid w:val="003C7652"/>
    <w:rsid w:val="003D14B5"/>
    <w:rsid w:val="003D1B7E"/>
    <w:rsid w:val="003D2AD3"/>
    <w:rsid w:val="003D2B40"/>
    <w:rsid w:val="003D2C66"/>
    <w:rsid w:val="003D335C"/>
    <w:rsid w:val="003D3A24"/>
    <w:rsid w:val="003D5A9B"/>
    <w:rsid w:val="003D68CB"/>
    <w:rsid w:val="003D7782"/>
    <w:rsid w:val="003E1A5A"/>
    <w:rsid w:val="003E1D7E"/>
    <w:rsid w:val="003E4CBD"/>
    <w:rsid w:val="003F0EB6"/>
    <w:rsid w:val="003F1583"/>
    <w:rsid w:val="003F4886"/>
    <w:rsid w:val="003F5D4A"/>
    <w:rsid w:val="003F7A2B"/>
    <w:rsid w:val="0040045C"/>
    <w:rsid w:val="00401138"/>
    <w:rsid w:val="004016BD"/>
    <w:rsid w:val="0040225E"/>
    <w:rsid w:val="00402E81"/>
    <w:rsid w:val="0040383A"/>
    <w:rsid w:val="00403881"/>
    <w:rsid w:val="00403935"/>
    <w:rsid w:val="004045D8"/>
    <w:rsid w:val="004048E4"/>
    <w:rsid w:val="0041080F"/>
    <w:rsid w:val="00420847"/>
    <w:rsid w:val="00421ADD"/>
    <w:rsid w:val="00422D89"/>
    <w:rsid w:val="0042420E"/>
    <w:rsid w:val="004258E8"/>
    <w:rsid w:val="0042690C"/>
    <w:rsid w:val="00430FFB"/>
    <w:rsid w:val="00431219"/>
    <w:rsid w:val="00431A97"/>
    <w:rsid w:val="00432921"/>
    <w:rsid w:val="004334F5"/>
    <w:rsid w:val="004342A6"/>
    <w:rsid w:val="00434A65"/>
    <w:rsid w:val="004368B5"/>
    <w:rsid w:val="00436A91"/>
    <w:rsid w:val="00437395"/>
    <w:rsid w:val="00437813"/>
    <w:rsid w:val="00441F18"/>
    <w:rsid w:val="0044307C"/>
    <w:rsid w:val="00443A78"/>
    <w:rsid w:val="00447BBB"/>
    <w:rsid w:val="00447D99"/>
    <w:rsid w:val="00450252"/>
    <w:rsid w:val="00450372"/>
    <w:rsid w:val="00451E90"/>
    <w:rsid w:val="00451F73"/>
    <w:rsid w:val="004521D9"/>
    <w:rsid w:val="004526F3"/>
    <w:rsid w:val="00455ED9"/>
    <w:rsid w:val="00460514"/>
    <w:rsid w:val="00460820"/>
    <w:rsid w:val="00462E2B"/>
    <w:rsid w:val="00463FC6"/>
    <w:rsid w:val="00464D26"/>
    <w:rsid w:val="004651D8"/>
    <w:rsid w:val="00465F53"/>
    <w:rsid w:val="00466155"/>
    <w:rsid w:val="004711BB"/>
    <w:rsid w:val="00471A8B"/>
    <w:rsid w:val="00472C5B"/>
    <w:rsid w:val="00472CC1"/>
    <w:rsid w:val="00472EB7"/>
    <w:rsid w:val="004735C8"/>
    <w:rsid w:val="00480F87"/>
    <w:rsid w:val="004812B5"/>
    <w:rsid w:val="0048291A"/>
    <w:rsid w:val="00482BB1"/>
    <w:rsid w:val="004843DD"/>
    <w:rsid w:val="00484620"/>
    <w:rsid w:val="004847B0"/>
    <w:rsid w:val="00485513"/>
    <w:rsid w:val="0048748A"/>
    <w:rsid w:val="004904F8"/>
    <w:rsid w:val="00490734"/>
    <w:rsid w:val="00490956"/>
    <w:rsid w:val="00491922"/>
    <w:rsid w:val="00491985"/>
    <w:rsid w:val="00491DC8"/>
    <w:rsid w:val="00492098"/>
    <w:rsid w:val="004927E5"/>
    <w:rsid w:val="00492964"/>
    <w:rsid w:val="00493F90"/>
    <w:rsid w:val="00493F91"/>
    <w:rsid w:val="00495C18"/>
    <w:rsid w:val="004A0CA2"/>
    <w:rsid w:val="004A1774"/>
    <w:rsid w:val="004A45EA"/>
    <w:rsid w:val="004B52C1"/>
    <w:rsid w:val="004B7730"/>
    <w:rsid w:val="004C2664"/>
    <w:rsid w:val="004C39FA"/>
    <w:rsid w:val="004C5482"/>
    <w:rsid w:val="004C7369"/>
    <w:rsid w:val="004D2D4F"/>
    <w:rsid w:val="004D3D0C"/>
    <w:rsid w:val="004D4140"/>
    <w:rsid w:val="004D664E"/>
    <w:rsid w:val="004D68E8"/>
    <w:rsid w:val="004D6BA9"/>
    <w:rsid w:val="004D6E35"/>
    <w:rsid w:val="004D7A04"/>
    <w:rsid w:val="004E07FD"/>
    <w:rsid w:val="004E11EF"/>
    <w:rsid w:val="004E2744"/>
    <w:rsid w:val="004E353D"/>
    <w:rsid w:val="004E392B"/>
    <w:rsid w:val="004E3A60"/>
    <w:rsid w:val="004E3BDB"/>
    <w:rsid w:val="004E43D6"/>
    <w:rsid w:val="004E46F7"/>
    <w:rsid w:val="004E4A60"/>
    <w:rsid w:val="004E4B28"/>
    <w:rsid w:val="004E549D"/>
    <w:rsid w:val="004E61C7"/>
    <w:rsid w:val="004E7360"/>
    <w:rsid w:val="004F0B7D"/>
    <w:rsid w:val="004F1C2F"/>
    <w:rsid w:val="004F1D85"/>
    <w:rsid w:val="004F2320"/>
    <w:rsid w:val="004F4FB8"/>
    <w:rsid w:val="004F538D"/>
    <w:rsid w:val="004F6F92"/>
    <w:rsid w:val="00500BF4"/>
    <w:rsid w:val="00501BCC"/>
    <w:rsid w:val="00504078"/>
    <w:rsid w:val="005047AF"/>
    <w:rsid w:val="005054C2"/>
    <w:rsid w:val="00505DEA"/>
    <w:rsid w:val="0050755C"/>
    <w:rsid w:val="0050761C"/>
    <w:rsid w:val="00510822"/>
    <w:rsid w:val="00510C8D"/>
    <w:rsid w:val="00510EE2"/>
    <w:rsid w:val="005114AD"/>
    <w:rsid w:val="00511E28"/>
    <w:rsid w:val="00513105"/>
    <w:rsid w:val="00515564"/>
    <w:rsid w:val="00516516"/>
    <w:rsid w:val="005171B6"/>
    <w:rsid w:val="00517FA3"/>
    <w:rsid w:val="00522022"/>
    <w:rsid w:val="005242B0"/>
    <w:rsid w:val="005246EE"/>
    <w:rsid w:val="00524AEF"/>
    <w:rsid w:val="005252F1"/>
    <w:rsid w:val="0052735B"/>
    <w:rsid w:val="005278D8"/>
    <w:rsid w:val="005302A3"/>
    <w:rsid w:val="00530B8A"/>
    <w:rsid w:val="00530E61"/>
    <w:rsid w:val="0053177A"/>
    <w:rsid w:val="00531A7A"/>
    <w:rsid w:val="00533681"/>
    <w:rsid w:val="00535048"/>
    <w:rsid w:val="00535BBB"/>
    <w:rsid w:val="0053626B"/>
    <w:rsid w:val="00536645"/>
    <w:rsid w:val="00540C06"/>
    <w:rsid w:val="00541C22"/>
    <w:rsid w:val="00542335"/>
    <w:rsid w:val="00542D7F"/>
    <w:rsid w:val="00542DB4"/>
    <w:rsid w:val="005432A8"/>
    <w:rsid w:val="00544998"/>
    <w:rsid w:val="00544DE1"/>
    <w:rsid w:val="00545905"/>
    <w:rsid w:val="00545B96"/>
    <w:rsid w:val="00547E9D"/>
    <w:rsid w:val="00550C2D"/>
    <w:rsid w:val="00551063"/>
    <w:rsid w:val="005529EC"/>
    <w:rsid w:val="00554D81"/>
    <w:rsid w:val="00555533"/>
    <w:rsid w:val="0055586F"/>
    <w:rsid w:val="00555C1A"/>
    <w:rsid w:val="00555FD6"/>
    <w:rsid w:val="00556987"/>
    <w:rsid w:val="00560A2A"/>
    <w:rsid w:val="005617C5"/>
    <w:rsid w:val="00562904"/>
    <w:rsid w:val="00563C12"/>
    <w:rsid w:val="0056421B"/>
    <w:rsid w:val="005666C1"/>
    <w:rsid w:val="00567E61"/>
    <w:rsid w:val="005701A4"/>
    <w:rsid w:val="005702A0"/>
    <w:rsid w:val="0057298B"/>
    <w:rsid w:val="00574CE6"/>
    <w:rsid w:val="00575207"/>
    <w:rsid w:val="00575879"/>
    <w:rsid w:val="005800A1"/>
    <w:rsid w:val="005827C8"/>
    <w:rsid w:val="00583F0C"/>
    <w:rsid w:val="0058538A"/>
    <w:rsid w:val="00585635"/>
    <w:rsid w:val="00585EAE"/>
    <w:rsid w:val="00586120"/>
    <w:rsid w:val="00590615"/>
    <w:rsid w:val="00591228"/>
    <w:rsid w:val="00594032"/>
    <w:rsid w:val="0059476D"/>
    <w:rsid w:val="00594911"/>
    <w:rsid w:val="00594D9E"/>
    <w:rsid w:val="005959C7"/>
    <w:rsid w:val="00597248"/>
    <w:rsid w:val="00597443"/>
    <w:rsid w:val="005A0026"/>
    <w:rsid w:val="005A0C8C"/>
    <w:rsid w:val="005A0F29"/>
    <w:rsid w:val="005A1D01"/>
    <w:rsid w:val="005A4425"/>
    <w:rsid w:val="005A49CB"/>
    <w:rsid w:val="005A4BC8"/>
    <w:rsid w:val="005A715D"/>
    <w:rsid w:val="005A736A"/>
    <w:rsid w:val="005B2AF7"/>
    <w:rsid w:val="005B3073"/>
    <w:rsid w:val="005B31B8"/>
    <w:rsid w:val="005B31D8"/>
    <w:rsid w:val="005B46E9"/>
    <w:rsid w:val="005B6D82"/>
    <w:rsid w:val="005C0AEC"/>
    <w:rsid w:val="005C123C"/>
    <w:rsid w:val="005C1825"/>
    <w:rsid w:val="005C3302"/>
    <w:rsid w:val="005C4565"/>
    <w:rsid w:val="005C4F7A"/>
    <w:rsid w:val="005C64E0"/>
    <w:rsid w:val="005D0325"/>
    <w:rsid w:val="005D1F87"/>
    <w:rsid w:val="005D245F"/>
    <w:rsid w:val="005D2B61"/>
    <w:rsid w:val="005D31FF"/>
    <w:rsid w:val="005D40B1"/>
    <w:rsid w:val="005D5845"/>
    <w:rsid w:val="005D593E"/>
    <w:rsid w:val="005D6FEB"/>
    <w:rsid w:val="005E0BD4"/>
    <w:rsid w:val="005E106F"/>
    <w:rsid w:val="005E1F04"/>
    <w:rsid w:val="005E2F1B"/>
    <w:rsid w:val="005E3230"/>
    <w:rsid w:val="005E32E8"/>
    <w:rsid w:val="005E330D"/>
    <w:rsid w:val="005E3672"/>
    <w:rsid w:val="005E3CAB"/>
    <w:rsid w:val="005E572F"/>
    <w:rsid w:val="005F232A"/>
    <w:rsid w:val="005F5487"/>
    <w:rsid w:val="00601292"/>
    <w:rsid w:val="006016CC"/>
    <w:rsid w:val="00601D47"/>
    <w:rsid w:val="006023BB"/>
    <w:rsid w:val="006040BD"/>
    <w:rsid w:val="0060447A"/>
    <w:rsid w:val="00611AC7"/>
    <w:rsid w:val="00613B87"/>
    <w:rsid w:val="00614A1D"/>
    <w:rsid w:val="00614B80"/>
    <w:rsid w:val="006151F2"/>
    <w:rsid w:val="006162B2"/>
    <w:rsid w:val="00616553"/>
    <w:rsid w:val="00616F6B"/>
    <w:rsid w:val="00617984"/>
    <w:rsid w:val="00620011"/>
    <w:rsid w:val="00621697"/>
    <w:rsid w:val="00622417"/>
    <w:rsid w:val="00623CE0"/>
    <w:rsid w:val="006241E2"/>
    <w:rsid w:val="0062587B"/>
    <w:rsid w:val="00625CBF"/>
    <w:rsid w:val="00627FA2"/>
    <w:rsid w:val="0063124A"/>
    <w:rsid w:val="00632128"/>
    <w:rsid w:val="0063239A"/>
    <w:rsid w:val="0063616C"/>
    <w:rsid w:val="00642790"/>
    <w:rsid w:val="00642B41"/>
    <w:rsid w:val="006432C6"/>
    <w:rsid w:val="006434C6"/>
    <w:rsid w:val="00643FC3"/>
    <w:rsid w:val="0064618E"/>
    <w:rsid w:val="006504E5"/>
    <w:rsid w:val="0065280A"/>
    <w:rsid w:val="00656EA3"/>
    <w:rsid w:val="006600FE"/>
    <w:rsid w:val="006602A8"/>
    <w:rsid w:val="00661090"/>
    <w:rsid w:val="0066142C"/>
    <w:rsid w:val="006617E4"/>
    <w:rsid w:val="00661D79"/>
    <w:rsid w:val="00662F35"/>
    <w:rsid w:val="00663FCE"/>
    <w:rsid w:val="006664B2"/>
    <w:rsid w:val="006668A4"/>
    <w:rsid w:val="006671BA"/>
    <w:rsid w:val="00671850"/>
    <w:rsid w:val="0067285D"/>
    <w:rsid w:val="00674497"/>
    <w:rsid w:val="00674D40"/>
    <w:rsid w:val="00674E3A"/>
    <w:rsid w:val="006761FE"/>
    <w:rsid w:val="00676D63"/>
    <w:rsid w:val="00677E36"/>
    <w:rsid w:val="006836E5"/>
    <w:rsid w:val="0068391C"/>
    <w:rsid w:val="00683A91"/>
    <w:rsid w:val="006856BC"/>
    <w:rsid w:val="006867FB"/>
    <w:rsid w:val="00686FB2"/>
    <w:rsid w:val="0068702E"/>
    <w:rsid w:val="00691827"/>
    <w:rsid w:val="0069238B"/>
    <w:rsid w:val="0069337F"/>
    <w:rsid w:val="0069393D"/>
    <w:rsid w:val="0069493E"/>
    <w:rsid w:val="00695769"/>
    <w:rsid w:val="00695FB8"/>
    <w:rsid w:val="00697F3B"/>
    <w:rsid w:val="006A1864"/>
    <w:rsid w:val="006A2826"/>
    <w:rsid w:val="006A2DF6"/>
    <w:rsid w:val="006A43AF"/>
    <w:rsid w:val="006A5421"/>
    <w:rsid w:val="006B0625"/>
    <w:rsid w:val="006B084C"/>
    <w:rsid w:val="006B10D9"/>
    <w:rsid w:val="006B2B09"/>
    <w:rsid w:val="006B4A5E"/>
    <w:rsid w:val="006B687D"/>
    <w:rsid w:val="006B6FC8"/>
    <w:rsid w:val="006C05A3"/>
    <w:rsid w:val="006C1414"/>
    <w:rsid w:val="006C2F28"/>
    <w:rsid w:val="006C36C3"/>
    <w:rsid w:val="006C40A6"/>
    <w:rsid w:val="006C5355"/>
    <w:rsid w:val="006C5A8D"/>
    <w:rsid w:val="006C7885"/>
    <w:rsid w:val="006C7C4A"/>
    <w:rsid w:val="006D0CB7"/>
    <w:rsid w:val="006D1730"/>
    <w:rsid w:val="006D20EA"/>
    <w:rsid w:val="006D5341"/>
    <w:rsid w:val="006D5422"/>
    <w:rsid w:val="006D7A9C"/>
    <w:rsid w:val="006E2280"/>
    <w:rsid w:val="006E2C12"/>
    <w:rsid w:val="006E2D94"/>
    <w:rsid w:val="006E430C"/>
    <w:rsid w:val="006E4A2E"/>
    <w:rsid w:val="006E4E20"/>
    <w:rsid w:val="006E68E5"/>
    <w:rsid w:val="006E73A0"/>
    <w:rsid w:val="006F141D"/>
    <w:rsid w:val="006F27CD"/>
    <w:rsid w:val="006F412D"/>
    <w:rsid w:val="006F445D"/>
    <w:rsid w:val="006F4A2D"/>
    <w:rsid w:val="006F4DA4"/>
    <w:rsid w:val="006F4F38"/>
    <w:rsid w:val="006F5200"/>
    <w:rsid w:val="006F5411"/>
    <w:rsid w:val="006F619B"/>
    <w:rsid w:val="006F6774"/>
    <w:rsid w:val="006F6DCD"/>
    <w:rsid w:val="006F7636"/>
    <w:rsid w:val="00700EBC"/>
    <w:rsid w:val="00701820"/>
    <w:rsid w:val="00702310"/>
    <w:rsid w:val="00702D6C"/>
    <w:rsid w:val="0070355D"/>
    <w:rsid w:val="00704E80"/>
    <w:rsid w:val="007061EE"/>
    <w:rsid w:val="007072C2"/>
    <w:rsid w:val="00707A52"/>
    <w:rsid w:val="007116F1"/>
    <w:rsid w:val="0071272C"/>
    <w:rsid w:val="00714125"/>
    <w:rsid w:val="00714369"/>
    <w:rsid w:val="007144F6"/>
    <w:rsid w:val="007158EF"/>
    <w:rsid w:val="00717CB3"/>
    <w:rsid w:val="007211B7"/>
    <w:rsid w:val="007228AB"/>
    <w:rsid w:val="00722C3B"/>
    <w:rsid w:val="00722DCD"/>
    <w:rsid w:val="00723C3E"/>
    <w:rsid w:val="00724992"/>
    <w:rsid w:val="00727621"/>
    <w:rsid w:val="00730F7D"/>
    <w:rsid w:val="00733F07"/>
    <w:rsid w:val="00734D2D"/>
    <w:rsid w:val="007351D2"/>
    <w:rsid w:val="007358B5"/>
    <w:rsid w:val="0073681B"/>
    <w:rsid w:val="00741AA4"/>
    <w:rsid w:val="0074366F"/>
    <w:rsid w:val="00744136"/>
    <w:rsid w:val="007441F1"/>
    <w:rsid w:val="00744298"/>
    <w:rsid w:val="007453AE"/>
    <w:rsid w:val="0074627D"/>
    <w:rsid w:val="007469FC"/>
    <w:rsid w:val="00747712"/>
    <w:rsid w:val="00750413"/>
    <w:rsid w:val="00750E0E"/>
    <w:rsid w:val="007517F9"/>
    <w:rsid w:val="00751AA8"/>
    <w:rsid w:val="0075268F"/>
    <w:rsid w:val="00752DB4"/>
    <w:rsid w:val="007548E9"/>
    <w:rsid w:val="00755065"/>
    <w:rsid w:val="007562F0"/>
    <w:rsid w:val="007617AD"/>
    <w:rsid w:val="0076266B"/>
    <w:rsid w:val="007637B9"/>
    <w:rsid w:val="0076458C"/>
    <w:rsid w:val="00765EED"/>
    <w:rsid w:val="00767C6E"/>
    <w:rsid w:val="00771A0C"/>
    <w:rsid w:val="0077210A"/>
    <w:rsid w:val="00772ADD"/>
    <w:rsid w:val="00773040"/>
    <w:rsid w:val="00773D96"/>
    <w:rsid w:val="00775A07"/>
    <w:rsid w:val="007762D3"/>
    <w:rsid w:val="007765D7"/>
    <w:rsid w:val="0077718D"/>
    <w:rsid w:val="00777993"/>
    <w:rsid w:val="007829EC"/>
    <w:rsid w:val="00782C32"/>
    <w:rsid w:val="007832DD"/>
    <w:rsid w:val="00783F0C"/>
    <w:rsid w:val="007849EB"/>
    <w:rsid w:val="00784EE4"/>
    <w:rsid w:val="00784EF2"/>
    <w:rsid w:val="0078531B"/>
    <w:rsid w:val="00785A33"/>
    <w:rsid w:val="00786754"/>
    <w:rsid w:val="00786BE5"/>
    <w:rsid w:val="007874D5"/>
    <w:rsid w:val="007878C6"/>
    <w:rsid w:val="00787BDF"/>
    <w:rsid w:val="00791560"/>
    <w:rsid w:val="00791DD0"/>
    <w:rsid w:val="00791E53"/>
    <w:rsid w:val="0079329A"/>
    <w:rsid w:val="00795B18"/>
    <w:rsid w:val="007961ED"/>
    <w:rsid w:val="00796DF4"/>
    <w:rsid w:val="00797745"/>
    <w:rsid w:val="007977FA"/>
    <w:rsid w:val="007A08CD"/>
    <w:rsid w:val="007A178B"/>
    <w:rsid w:val="007A1A2E"/>
    <w:rsid w:val="007A2DD1"/>
    <w:rsid w:val="007A3613"/>
    <w:rsid w:val="007A3816"/>
    <w:rsid w:val="007A4AFD"/>
    <w:rsid w:val="007A4FD2"/>
    <w:rsid w:val="007A70CA"/>
    <w:rsid w:val="007A786C"/>
    <w:rsid w:val="007B1089"/>
    <w:rsid w:val="007B1F01"/>
    <w:rsid w:val="007B23AC"/>
    <w:rsid w:val="007B3A9C"/>
    <w:rsid w:val="007B43A4"/>
    <w:rsid w:val="007B7178"/>
    <w:rsid w:val="007B792C"/>
    <w:rsid w:val="007B797E"/>
    <w:rsid w:val="007C0B16"/>
    <w:rsid w:val="007C22CC"/>
    <w:rsid w:val="007C25B7"/>
    <w:rsid w:val="007D1315"/>
    <w:rsid w:val="007D1885"/>
    <w:rsid w:val="007D1A4D"/>
    <w:rsid w:val="007D3A3A"/>
    <w:rsid w:val="007D3FF6"/>
    <w:rsid w:val="007D4692"/>
    <w:rsid w:val="007D4C4E"/>
    <w:rsid w:val="007D5D4F"/>
    <w:rsid w:val="007E11A0"/>
    <w:rsid w:val="007E1482"/>
    <w:rsid w:val="007E2729"/>
    <w:rsid w:val="007E2795"/>
    <w:rsid w:val="007E38A6"/>
    <w:rsid w:val="007E4C43"/>
    <w:rsid w:val="007E634C"/>
    <w:rsid w:val="007E754E"/>
    <w:rsid w:val="007E7C06"/>
    <w:rsid w:val="007F05CF"/>
    <w:rsid w:val="007F08B3"/>
    <w:rsid w:val="007F24F9"/>
    <w:rsid w:val="007F327D"/>
    <w:rsid w:val="007F3512"/>
    <w:rsid w:val="007F41B3"/>
    <w:rsid w:val="007F6278"/>
    <w:rsid w:val="007F6650"/>
    <w:rsid w:val="007F7FA5"/>
    <w:rsid w:val="0080234F"/>
    <w:rsid w:val="00802B04"/>
    <w:rsid w:val="008035C2"/>
    <w:rsid w:val="00805F29"/>
    <w:rsid w:val="008062BB"/>
    <w:rsid w:val="00806394"/>
    <w:rsid w:val="008067A2"/>
    <w:rsid w:val="008069CA"/>
    <w:rsid w:val="0080724A"/>
    <w:rsid w:val="008072F3"/>
    <w:rsid w:val="00810CA3"/>
    <w:rsid w:val="00811352"/>
    <w:rsid w:val="00811C6D"/>
    <w:rsid w:val="0081497F"/>
    <w:rsid w:val="0081567E"/>
    <w:rsid w:val="00820375"/>
    <w:rsid w:val="008204B6"/>
    <w:rsid w:val="00821112"/>
    <w:rsid w:val="00822193"/>
    <w:rsid w:val="00823E5C"/>
    <w:rsid w:val="00824528"/>
    <w:rsid w:val="00825811"/>
    <w:rsid w:val="00825AAD"/>
    <w:rsid w:val="00827929"/>
    <w:rsid w:val="00827D70"/>
    <w:rsid w:val="00830266"/>
    <w:rsid w:val="00830EC3"/>
    <w:rsid w:val="008315B4"/>
    <w:rsid w:val="008327EB"/>
    <w:rsid w:val="00833161"/>
    <w:rsid w:val="008337A4"/>
    <w:rsid w:val="00835898"/>
    <w:rsid w:val="00835BED"/>
    <w:rsid w:val="008365FF"/>
    <w:rsid w:val="00837600"/>
    <w:rsid w:val="008435E5"/>
    <w:rsid w:val="008447E7"/>
    <w:rsid w:val="00844A91"/>
    <w:rsid w:val="008453E4"/>
    <w:rsid w:val="00845407"/>
    <w:rsid w:val="008464FB"/>
    <w:rsid w:val="00847F92"/>
    <w:rsid w:val="008523D5"/>
    <w:rsid w:val="00854139"/>
    <w:rsid w:val="0085527B"/>
    <w:rsid w:val="00855EE0"/>
    <w:rsid w:val="008571D9"/>
    <w:rsid w:val="00857735"/>
    <w:rsid w:val="00857DB4"/>
    <w:rsid w:val="008604C1"/>
    <w:rsid w:val="00861361"/>
    <w:rsid w:val="00862C6D"/>
    <w:rsid w:val="00863F69"/>
    <w:rsid w:val="0086474A"/>
    <w:rsid w:val="008649E4"/>
    <w:rsid w:val="008664FE"/>
    <w:rsid w:val="0086732F"/>
    <w:rsid w:val="00867CCE"/>
    <w:rsid w:val="00870CD7"/>
    <w:rsid w:val="00873960"/>
    <w:rsid w:val="00875F02"/>
    <w:rsid w:val="00876024"/>
    <w:rsid w:val="008774EC"/>
    <w:rsid w:val="00880060"/>
    <w:rsid w:val="0088223E"/>
    <w:rsid w:val="00883D6C"/>
    <w:rsid w:val="008854C8"/>
    <w:rsid w:val="00885913"/>
    <w:rsid w:val="00885973"/>
    <w:rsid w:val="00885F18"/>
    <w:rsid w:val="00885FA2"/>
    <w:rsid w:val="00887645"/>
    <w:rsid w:val="008878C5"/>
    <w:rsid w:val="00887C1B"/>
    <w:rsid w:val="008902D1"/>
    <w:rsid w:val="008902F7"/>
    <w:rsid w:val="00891B01"/>
    <w:rsid w:val="00893623"/>
    <w:rsid w:val="00893F72"/>
    <w:rsid w:val="0089497C"/>
    <w:rsid w:val="00894996"/>
    <w:rsid w:val="00895FB9"/>
    <w:rsid w:val="00897996"/>
    <w:rsid w:val="00897AB6"/>
    <w:rsid w:val="008A03BE"/>
    <w:rsid w:val="008A212D"/>
    <w:rsid w:val="008A261D"/>
    <w:rsid w:val="008A4133"/>
    <w:rsid w:val="008A5821"/>
    <w:rsid w:val="008A7364"/>
    <w:rsid w:val="008B0822"/>
    <w:rsid w:val="008B2359"/>
    <w:rsid w:val="008B3AE3"/>
    <w:rsid w:val="008B4D46"/>
    <w:rsid w:val="008B5ABD"/>
    <w:rsid w:val="008B6975"/>
    <w:rsid w:val="008B6C24"/>
    <w:rsid w:val="008C04BA"/>
    <w:rsid w:val="008C15C3"/>
    <w:rsid w:val="008C32BC"/>
    <w:rsid w:val="008C4E4D"/>
    <w:rsid w:val="008C5DB0"/>
    <w:rsid w:val="008C5DE8"/>
    <w:rsid w:val="008D01E6"/>
    <w:rsid w:val="008D0D02"/>
    <w:rsid w:val="008D0D70"/>
    <w:rsid w:val="008D0F18"/>
    <w:rsid w:val="008D0F69"/>
    <w:rsid w:val="008D1171"/>
    <w:rsid w:val="008D197D"/>
    <w:rsid w:val="008D3780"/>
    <w:rsid w:val="008D3A12"/>
    <w:rsid w:val="008D4EA8"/>
    <w:rsid w:val="008D76DA"/>
    <w:rsid w:val="008D7B51"/>
    <w:rsid w:val="008E118A"/>
    <w:rsid w:val="008E14E0"/>
    <w:rsid w:val="008E1A03"/>
    <w:rsid w:val="008E46ED"/>
    <w:rsid w:val="008E5197"/>
    <w:rsid w:val="008E5D96"/>
    <w:rsid w:val="008E6AF6"/>
    <w:rsid w:val="008E79F2"/>
    <w:rsid w:val="008F254A"/>
    <w:rsid w:val="008F377E"/>
    <w:rsid w:val="008F4A45"/>
    <w:rsid w:val="008F4D63"/>
    <w:rsid w:val="008F57E4"/>
    <w:rsid w:val="008F7C9E"/>
    <w:rsid w:val="008F7D16"/>
    <w:rsid w:val="00900B42"/>
    <w:rsid w:val="00901341"/>
    <w:rsid w:val="0090403E"/>
    <w:rsid w:val="00905202"/>
    <w:rsid w:val="009073F7"/>
    <w:rsid w:val="00907A83"/>
    <w:rsid w:val="009136B6"/>
    <w:rsid w:val="00913E14"/>
    <w:rsid w:val="00915F0D"/>
    <w:rsid w:val="0092000C"/>
    <w:rsid w:val="00921B15"/>
    <w:rsid w:val="00921FF6"/>
    <w:rsid w:val="0092235E"/>
    <w:rsid w:val="00926F95"/>
    <w:rsid w:val="009306DD"/>
    <w:rsid w:val="00932871"/>
    <w:rsid w:val="00933794"/>
    <w:rsid w:val="00934068"/>
    <w:rsid w:val="009373BB"/>
    <w:rsid w:val="00940ACE"/>
    <w:rsid w:val="00942106"/>
    <w:rsid w:val="0094352A"/>
    <w:rsid w:val="00944DE9"/>
    <w:rsid w:val="0094521A"/>
    <w:rsid w:val="009453A2"/>
    <w:rsid w:val="00946FA3"/>
    <w:rsid w:val="00951C99"/>
    <w:rsid w:val="009526BB"/>
    <w:rsid w:val="00953D6C"/>
    <w:rsid w:val="0095613B"/>
    <w:rsid w:val="00957CC3"/>
    <w:rsid w:val="00960F61"/>
    <w:rsid w:val="00961C37"/>
    <w:rsid w:val="00964000"/>
    <w:rsid w:val="009659C0"/>
    <w:rsid w:val="00966259"/>
    <w:rsid w:val="00967581"/>
    <w:rsid w:val="009711CE"/>
    <w:rsid w:val="00972FEF"/>
    <w:rsid w:val="009736BB"/>
    <w:rsid w:val="00973BCF"/>
    <w:rsid w:val="00974697"/>
    <w:rsid w:val="009746CB"/>
    <w:rsid w:val="009748CB"/>
    <w:rsid w:val="009751E3"/>
    <w:rsid w:val="0097589A"/>
    <w:rsid w:val="00977CD5"/>
    <w:rsid w:val="00977D4A"/>
    <w:rsid w:val="009802E1"/>
    <w:rsid w:val="009812B0"/>
    <w:rsid w:val="00981CA0"/>
    <w:rsid w:val="00981E4A"/>
    <w:rsid w:val="00982472"/>
    <w:rsid w:val="00982762"/>
    <w:rsid w:val="00984DE2"/>
    <w:rsid w:val="00985197"/>
    <w:rsid w:val="009908ED"/>
    <w:rsid w:val="00990F9D"/>
    <w:rsid w:val="00992915"/>
    <w:rsid w:val="00993F00"/>
    <w:rsid w:val="009941AC"/>
    <w:rsid w:val="00995F5C"/>
    <w:rsid w:val="00997347"/>
    <w:rsid w:val="009A0361"/>
    <w:rsid w:val="009A2A29"/>
    <w:rsid w:val="009A58CA"/>
    <w:rsid w:val="009A64F1"/>
    <w:rsid w:val="009A6CCA"/>
    <w:rsid w:val="009A7F0A"/>
    <w:rsid w:val="009B0CE4"/>
    <w:rsid w:val="009B1C6B"/>
    <w:rsid w:val="009B2DF6"/>
    <w:rsid w:val="009B417A"/>
    <w:rsid w:val="009B4BC4"/>
    <w:rsid w:val="009B4D00"/>
    <w:rsid w:val="009C3543"/>
    <w:rsid w:val="009C6783"/>
    <w:rsid w:val="009C6A8B"/>
    <w:rsid w:val="009D13EB"/>
    <w:rsid w:val="009D13FA"/>
    <w:rsid w:val="009D15E8"/>
    <w:rsid w:val="009D1822"/>
    <w:rsid w:val="009D1B48"/>
    <w:rsid w:val="009D3369"/>
    <w:rsid w:val="009E1D91"/>
    <w:rsid w:val="009E1DAB"/>
    <w:rsid w:val="009E4483"/>
    <w:rsid w:val="009E5FD8"/>
    <w:rsid w:val="009E7FDF"/>
    <w:rsid w:val="009F0144"/>
    <w:rsid w:val="009F02D3"/>
    <w:rsid w:val="009F0DB6"/>
    <w:rsid w:val="009F155F"/>
    <w:rsid w:val="009F3AD4"/>
    <w:rsid w:val="009F43B3"/>
    <w:rsid w:val="009F467A"/>
    <w:rsid w:val="009F6C28"/>
    <w:rsid w:val="00A100B4"/>
    <w:rsid w:val="00A122D0"/>
    <w:rsid w:val="00A12398"/>
    <w:rsid w:val="00A13A2D"/>
    <w:rsid w:val="00A13E5D"/>
    <w:rsid w:val="00A1509C"/>
    <w:rsid w:val="00A150D4"/>
    <w:rsid w:val="00A16456"/>
    <w:rsid w:val="00A167D8"/>
    <w:rsid w:val="00A1770C"/>
    <w:rsid w:val="00A17D09"/>
    <w:rsid w:val="00A206D2"/>
    <w:rsid w:val="00A211FE"/>
    <w:rsid w:val="00A21332"/>
    <w:rsid w:val="00A25955"/>
    <w:rsid w:val="00A31EB8"/>
    <w:rsid w:val="00A34031"/>
    <w:rsid w:val="00A350D3"/>
    <w:rsid w:val="00A35204"/>
    <w:rsid w:val="00A355FE"/>
    <w:rsid w:val="00A35CF3"/>
    <w:rsid w:val="00A36C6A"/>
    <w:rsid w:val="00A374DE"/>
    <w:rsid w:val="00A40A50"/>
    <w:rsid w:val="00A4247D"/>
    <w:rsid w:val="00A42969"/>
    <w:rsid w:val="00A46430"/>
    <w:rsid w:val="00A50AE4"/>
    <w:rsid w:val="00A517F7"/>
    <w:rsid w:val="00A52729"/>
    <w:rsid w:val="00A53F87"/>
    <w:rsid w:val="00A5590E"/>
    <w:rsid w:val="00A55F92"/>
    <w:rsid w:val="00A63234"/>
    <w:rsid w:val="00A646B4"/>
    <w:rsid w:val="00A66C31"/>
    <w:rsid w:val="00A66CA9"/>
    <w:rsid w:val="00A6732A"/>
    <w:rsid w:val="00A703D8"/>
    <w:rsid w:val="00A70908"/>
    <w:rsid w:val="00A7101A"/>
    <w:rsid w:val="00A71088"/>
    <w:rsid w:val="00A71868"/>
    <w:rsid w:val="00A73873"/>
    <w:rsid w:val="00A740C2"/>
    <w:rsid w:val="00A75142"/>
    <w:rsid w:val="00A7622B"/>
    <w:rsid w:val="00A7629A"/>
    <w:rsid w:val="00A76338"/>
    <w:rsid w:val="00A82448"/>
    <w:rsid w:val="00A827C1"/>
    <w:rsid w:val="00A82FDC"/>
    <w:rsid w:val="00A83BBA"/>
    <w:rsid w:val="00A83C5A"/>
    <w:rsid w:val="00A84314"/>
    <w:rsid w:val="00A8759C"/>
    <w:rsid w:val="00A902CE"/>
    <w:rsid w:val="00A9136A"/>
    <w:rsid w:val="00A91D8C"/>
    <w:rsid w:val="00A91FE3"/>
    <w:rsid w:val="00A94986"/>
    <w:rsid w:val="00A94DD4"/>
    <w:rsid w:val="00A95117"/>
    <w:rsid w:val="00A9687D"/>
    <w:rsid w:val="00AA0546"/>
    <w:rsid w:val="00AA324C"/>
    <w:rsid w:val="00AA341C"/>
    <w:rsid w:val="00AA6383"/>
    <w:rsid w:val="00AA776E"/>
    <w:rsid w:val="00AB17DC"/>
    <w:rsid w:val="00AB272B"/>
    <w:rsid w:val="00AB6276"/>
    <w:rsid w:val="00AB635B"/>
    <w:rsid w:val="00AB7576"/>
    <w:rsid w:val="00AB76EA"/>
    <w:rsid w:val="00AB7A5F"/>
    <w:rsid w:val="00AC0086"/>
    <w:rsid w:val="00AC035E"/>
    <w:rsid w:val="00AC08E8"/>
    <w:rsid w:val="00AC1CEE"/>
    <w:rsid w:val="00AC32C6"/>
    <w:rsid w:val="00AC4115"/>
    <w:rsid w:val="00AC42F4"/>
    <w:rsid w:val="00AC67B7"/>
    <w:rsid w:val="00AC7DA0"/>
    <w:rsid w:val="00AD09B7"/>
    <w:rsid w:val="00AD2A10"/>
    <w:rsid w:val="00AD2F7B"/>
    <w:rsid w:val="00AD3EF8"/>
    <w:rsid w:val="00AD62B5"/>
    <w:rsid w:val="00AD6360"/>
    <w:rsid w:val="00AD7599"/>
    <w:rsid w:val="00AE11B8"/>
    <w:rsid w:val="00AE388D"/>
    <w:rsid w:val="00AE4701"/>
    <w:rsid w:val="00AE4870"/>
    <w:rsid w:val="00AE65ED"/>
    <w:rsid w:val="00AE68E4"/>
    <w:rsid w:val="00AF03F8"/>
    <w:rsid w:val="00AF05FE"/>
    <w:rsid w:val="00AF0F8B"/>
    <w:rsid w:val="00AF16A8"/>
    <w:rsid w:val="00AF1CD9"/>
    <w:rsid w:val="00AF1DD3"/>
    <w:rsid w:val="00AF1F0C"/>
    <w:rsid w:val="00AF22BF"/>
    <w:rsid w:val="00AF26FD"/>
    <w:rsid w:val="00AF44D9"/>
    <w:rsid w:val="00AF7D92"/>
    <w:rsid w:val="00B00CA7"/>
    <w:rsid w:val="00B00F03"/>
    <w:rsid w:val="00B01BC2"/>
    <w:rsid w:val="00B01BDE"/>
    <w:rsid w:val="00B025DB"/>
    <w:rsid w:val="00B03A46"/>
    <w:rsid w:val="00B04DAB"/>
    <w:rsid w:val="00B0507A"/>
    <w:rsid w:val="00B07EE4"/>
    <w:rsid w:val="00B10751"/>
    <w:rsid w:val="00B1151E"/>
    <w:rsid w:val="00B11777"/>
    <w:rsid w:val="00B1188B"/>
    <w:rsid w:val="00B11E51"/>
    <w:rsid w:val="00B140B2"/>
    <w:rsid w:val="00B20DDD"/>
    <w:rsid w:val="00B20FDE"/>
    <w:rsid w:val="00B22209"/>
    <w:rsid w:val="00B25511"/>
    <w:rsid w:val="00B2744D"/>
    <w:rsid w:val="00B27E92"/>
    <w:rsid w:val="00B30642"/>
    <w:rsid w:val="00B32206"/>
    <w:rsid w:val="00B3500B"/>
    <w:rsid w:val="00B3706C"/>
    <w:rsid w:val="00B371D8"/>
    <w:rsid w:val="00B4091F"/>
    <w:rsid w:val="00B41376"/>
    <w:rsid w:val="00B42047"/>
    <w:rsid w:val="00B435F8"/>
    <w:rsid w:val="00B44716"/>
    <w:rsid w:val="00B44C8E"/>
    <w:rsid w:val="00B44D88"/>
    <w:rsid w:val="00B45409"/>
    <w:rsid w:val="00B4569C"/>
    <w:rsid w:val="00B4777E"/>
    <w:rsid w:val="00B50999"/>
    <w:rsid w:val="00B51B0A"/>
    <w:rsid w:val="00B52FDC"/>
    <w:rsid w:val="00B53AA8"/>
    <w:rsid w:val="00B55600"/>
    <w:rsid w:val="00B55701"/>
    <w:rsid w:val="00B607CF"/>
    <w:rsid w:val="00B61748"/>
    <w:rsid w:val="00B62210"/>
    <w:rsid w:val="00B635BB"/>
    <w:rsid w:val="00B651E4"/>
    <w:rsid w:val="00B65834"/>
    <w:rsid w:val="00B662D2"/>
    <w:rsid w:val="00B66B47"/>
    <w:rsid w:val="00B71543"/>
    <w:rsid w:val="00B731C6"/>
    <w:rsid w:val="00B73D6E"/>
    <w:rsid w:val="00B7463A"/>
    <w:rsid w:val="00B764AA"/>
    <w:rsid w:val="00B77679"/>
    <w:rsid w:val="00B77D91"/>
    <w:rsid w:val="00B80A05"/>
    <w:rsid w:val="00B81B1A"/>
    <w:rsid w:val="00B821A4"/>
    <w:rsid w:val="00B82665"/>
    <w:rsid w:val="00B8279D"/>
    <w:rsid w:val="00B82977"/>
    <w:rsid w:val="00B83321"/>
    <w:rsid w:val="00B85B16"/>
    <w:rsid w:val="00B85B47"/>
    <w:rsid w:val="00B863C9"/>
    <w:rsid w:val="00B873DF"/>
    <w:rsid w:val="00B878A5"/>
    <w:rsid w:val="00B90902"/>
    <w:rsid w:val="00B93772"/>
    <w:rsid w:val="00B94421"/>
    <w:rsid w:val="00B96AAD"/>
    <w:rsid w:val="00B96CB8"/>
    <w:rsid w:val="00B96F89"/>
    <w:rsid w:val="00B97393"/>
    <w:rsid w:val="00BA0495"/>
    <w:rsid w:val="00BA2AFC"/>
    <w:rsid w:val="00BA37C1"/>
    <w:rsid w:val="00BA54DE"/>
    <w:rsid w:val="00BA57E8"/>
    <w:rsid w:val="00BA5F6B"/>
    <w:rsid w:val="00BA6466"/>
    <w:rsid w:val="00BB0521"/>
    <w:rsid w:val="00BB1278"/>
    <w:rsid w:val="00BB12DB"/>
    <w:rsid w:val="00BB16E4"/>
    <w:rsid w:val="00BB2F17"/>
    <w:rsid w:val="00BB47A8"/>
    <w:rsid w:val="00BB4A3C"/>
    <w:rsid w:val="00BB680D"/>
    <w:rsid w:val="00BB766D"/>
    <w:rsid w:val="00BC1EC1"/>
    <w:rsid w:val="00BC2F93"/>
    <w:rsid w:val="00BC3D19"/>
    <w:rsid w:val="00BC46F2"/>
    <w:rsid w:val="00BC4A3D"/>
    <w:rsid w:val="00BC5169"/>
    <w:rsid w:val="00BC6507"/>
    <w:rsid w:val="00BC68A7"/>
    <w:rsid w:val="00BC7330"/>
    <w:rsid w:val="00BC7E61"/>
    <w:rsid w:val="00BD074C"/>
    <w:rsid w:val="00BD08FC"/>
    <w:rsid w:val="00BD0987"/>
    <w:rsid w:val="00BD17DB"/>
    <w:rsid w:val="00BD3FB6"/>
    <w:rsid w:val="00BD4D37"/>
    <w:rsid w:val="00BD56D6"/>
    <w:rsid w:val="00BD7F54"/>
    <w:rsid w:val="00BE0261"/>
    <w:rsid w:val="00BE5CD2"/>
    <w:rsid w:val="00BF15D6"/>
    <w:rsid w:val="00BF1E70"/>
    <w:rsid w:val="00BF3063"/>
    <w:rsid w:val="00BF3EF1"/>
    <w:rsid w:val="00BF46EA"/>
    <w:rsid w:val="00BF6717"/>
    <w:rsid w:val="00C0011E"/>
    <w:rsid w:val="00C007A0"/>
    <w:rsid w:val="00C019B6"/>
    <w:rsid w:val="00C02605"/>
    <w:rsid w:val="00C02F2A"/>
    <w:rsid w:val="00C0305C"/>
    <w:rsid w:val="00C032E5"/>
    <w:rsid w:val="00C038AE"/>
    <w:rsid w:val="00C05FCD"/>
    <w:rsid w:val="00C061B2"/>
    <w:rsid w:val="00C074A7"/>
    <w:rsid w:val="00C0775B"/>
    <w:rsid w:val="00C11183"/>
    <w:rsid w:val="00C1441E"/>
    <w:rsid w:val="00C1453F"/>
    <w:rsid w:val="00C168B5"/>
    <w:rsid w:val="00C2103A"/>
    <w:rsid w:val="00C21A08"/>
    <w:rsid w:val="00C22D4A"/>
    <w:rsid w:val="00C237C5"/>
    <w:rsid w:val="00C2457B"/>
    <w:rsid w:val="00C24C86"/>
    <w:rsid w:val="00C250A6"/>
    <w:rsid w:val="00C256C4"/>
    <w:rsid w:val="00C2657F"/>
    <w:rsid w:val="00C2659A"/>
    <w:rsid w:val="00C265FC"/>
    <w:rsid w:val="00C26E04"/>
    <w:rsid w:val="00C339A9"/>
    <w:rsid w:val="00C348DC"/>
    <w:rsid w:val="00C37AD3"/>
    <w:rsid w:val="00C37DA1"/>
    <w:rsid w:val="00C40284"/>
    <w:rsid w:val="00C43B84"/>
    <w:rsid w:val="00C43CC3"/>
    <w:rsid w:val="00C43D25"/>
    <w:rsid w:val="00C46936"/>
    <w:rsid w:val="00C47051"/>
    <w:rsid w:val="00C50DD2"/>
    <w:rsid w:val="00C52F91"/>
    <w:rsid w:val="00C53C39"/>
    <w:rsid w:val="00C53E66"/>
    <w:rsid w:val="00C55FEC"/>
    <w:rsid w:val="00C569BC"/>
    <w:rsid w:val="00C61A1D"/>
    <w:rsid w:val="00C622F4"/>
    <w:rsid w:val="00C64127"/>
    <w:rsid w:val="00C66643"/>
    <w:rsid w:val="00C705BB"/>
    <w:rsid w:val="00C73C83"/>
    <w:rsid w:val="00C76D6A"/>
    <w:rsid w:val="00C776A1"/>
    <w:rsid w:val="00C77C49"/>
    <w:rsid w:val="00C818CF"/>
    <w:rsid w:val="00C81961"/>
    <w:rsid w:val="00C81F89"/>
    <w:rsid w:val="00C82C35"/>
    <w:rsid w:val="00C8464D"/>
    <w:rsid w:val="00C85203"/>
    <w:rsid w:val="00C8524B"/>
    <w:rsid w:val="00C86B69"/>
    <w:rsid w:val="00C90F76"/>
    <w:rsid w:val="00C92DAC"/>
    <w:rsid w:val="00C93B47"/>
    <w:rsid w:val="00C93C81"/>
    <w:rsid w:val="00C942E4"/>
    <w:rsid w:val="00C94558"/>
    <w:rsid w:val="00C9459C"/>
    <w:rsid w:val="00C94E07"/>
    <w:rsid w:val="00C96894"/>
    <w:rsid w:val="00C96B1A"/>
    <w:rsid w:val="00CA04C4"/>
    <w:rsid w:val="00CA2242"/>
    <w:rsid w:val="00CA2E5B"/>
    <w:rsid w:val="00CA31A6"/>
    <w:rsid w:val="00CA38B2"/>
    <w:rsid w:val="00CA39F8"/>
    <w:rsid w:val="00CA5534"/>
    <w:rsid w:val="00CA6BBE"/>
    <w:rsid w:val="00CA7098"/>
    <w:rsid w:val="00CA765A"/>
    <w:rsid w:val="00CB0F1B"/>
    <w:rsid w:val="00CB1126"/>
    <w:rsid w:val="00CB130A"/>
    <w:rsid w:val="00CB2C87"/>
    <w:rsid w:val="00CB39D9"/>
    <w:rsid w:val="00CB611A"/>
    <w:rsid w:val="00CB6967"/>
    <w:rsid w:val="00CB7A26"/>
    <w:rsid w:val="00CC0154"/>
    <w:rsid w:val="00CC033F"/>
    <w:rsid w:val="00CC03FB"/>
    <w:rsid w:val="00CC0433"/>
    <w:rsid w:val="00CC0BAB"/>
    <w:rsid w:val="00CC0EE9"/>
    <w:rsid w:val="00CC1FA6"/>
    <w:rsid w:val="00CC3C99"/>
    <w:rsid w:val="00CC3FF6"/>
    <w:rsid w:val="00CC4348"/>
    <w:rsid w:val="00CC44B6"/>
    <w:rsid w:val="00CC6E63"/>
    <w:rsid w:val="00CD11E0"/>
    <w:rsid w:val="00CD37E1"/>
    <w:rsid w:val="00CD3877"/>
    <w:rsid w:val="00CD6D82"/>
    <w:rsid w:val="00CD759F"/>
    <w:rsid w:val="00CD7D51"/>
    <w:rsid w:val="00CE077F"/>
    <w:rsid w:val="00CE0DD5"/>
    <w:rsid w:val="00CE1B0C"/>
    <w:rsid w:val="00CE1E8C"/>
    <w:rsid w:val="00CE2B29"/>
    <w:rsid w:val="00CE2C40"/>
    <w:rsid w:val="00CE315A"/>
    <w:rsid w:val="00CE5A06"/>
    <w:rsid w:val="00CF0FC4"/>
    <w:rsid w:val="00CF11C2"/>
    <w:rsid w:val="00CF2F9B"/>
    <w:rsid w:val="00CF5BF9"/>
    <w:rsid w:val="00CF685C"/>
    <w:rsid w:val="00CF74F0"/>
    <w:rsid w:val="00D033F1"/>
    <w:rsid w:val="00D05B30"/>
    <w:rsid w:val="00D0668D"/>
    <w:rsid w:val="00D078EE"/>
    <w:rsid w:val="00D1055C"/>
    <w:rsid w:val="00D12E8F"/>
    <w:rsid w:val="00D130EB"/>
    <w:rsid w:val="00D13981"/>
    <w:rsid w:val="00D14A23"/>
    <w:rsid w:val="00D15934"/>
    <w:rsid w:val="00D15BE9"/>
    <w:rsid w:val="00D16410"/>
    <w:rsid w:val="00D21357"/>
    <w:rsid w:val="00D21FC0"/>
    <w:rsid w:val="00D225A7"/>
    <w:rsid w:val="00D225D5"/>
    <w:rsid w:val="00D2327B"/>
    <w:rsid w:val="00D2378F"/>
    <w:rsid w:val="00D241BD"/>
    <w:rsid w:val="00D24B6A"/>
    <w:rsid w:val="00D25FC2"/>
    <w:rsid w:val="00D2668F"/>
    <w:rsid w:val="00D27ABB"/>
    <w:rsid w:val="00D31821"/>
    <w:rsid w:val="00D320DB"/>
    <w:rsid w:val="00D32996"/>
    <w:rsid w:val="00D32F47"/>
    <w:rsid w:val="00D339F2"/>
    <w:rsid w:val="00D405CC"/>
    <w:rsid w:val="00D42007"/>
    <w:rsid w:val="00D43C65"/>
    <w:rsid w:val="00D46774"/>
    <w:rsid w:val="00D46EAE"/>
    <w:rsid w:val="00D4740B"/>
    <w:rsid w:val="00D475EF"/>
    <w:rsid w:val="00D47896"/>
    <w:rsid w:val="00D47C26"/>
    <w:rsid w:val="00D507B7"/>
    <w:rsid w:val="00D507FB"/>
    <w:rsid w:val="00D50B8D"/>
    <w:rsid w:val="00D50F31"/>
    <w:rsid w:val="00D51088"/>
    <w:rsid w:val="00D523D1"/>
    <w:rsid w:val="00D5686D"/>
    <w:rsid w:val="00D62EB2"/>
    <w:rsid w:val="00D64EEF"/>
    <w:rsid w:val="00D64F47"/>
    <w:rsid w:val="00D661BA"/>
    <w:rsid w:val="00D67FCF"/>
    <w:rsid w:val="00D71945"/>
    <w:rsid w:val="00D7417F"/>
    <w:rsid w:val="00D74313"/>
    <w:rsid w:val="00D74AB6"/>
    <w:rsid w:val="00D751C1"/>
    <w:rsid w:val="00D76ECF"/>
    <w:rsid w:val="00D8020D"/>
    <w:rsid w:val="00D80357"/>
    <w:rsid w:val="00D82557"/>
    <w:rsid w:val="00D8265E"/>
    <w:rsid w:val="00D84387"/>
    <w:rsid w:val="00D84473"/>
    <w:rsid w:val="00D84557"/>
    <w:rsid w:val="00D85A22"/>
    <w:rsid w:val="00D866D8"/>
    <w:rsid w:val="00D8737B"/>
    <w:rsid w:val="00D91A38"/>
    <w:rsid w:val="00D94BB1"/>
    <w:rsid w:val="00D96345"/>
    <w:rsid w:val="00D96403"/>
    <w:rsid w:val="00D97BDA"/>
    <w:rsid w:val="00DA0C23"/>
    <w:rsid w:val="00DA178B"/>
    <w:rsid w:val="00DA45AB"/>
    <w:rsid w:val="00DA6C42"/>
    <w:rsid w:val="00DA6DEA"/>
    <w:rsid w:val="00DA7308"/>
    <w:rsid w:val="00DA741F"/>
    <w:rsid w:val="00DB0C26"/>
    <w:rsid w:val="00DB5AC5"/>
    <w:rsid w:val="00DB6D30"/>
    <w:rsid w:val="00DB6EAC"/>
    <w:rsid w:val="00DC3344"/>
    <w:rsid w:val="00DD072B"/>
    <w:rsid w:val="00DD334B"/>
    <w:rsid w:val="00DD4F74"/>
    <w:rsid w:val="00DD675F"/>
    <w:rsid w:val="00DD76BB"/>
    <w:rsid w:val="00DE0067"/>
    <w:rsid w:val="00DE2CDF"/>
    <w:rsid w:val="00DE2DD0"/>
    <w:rsid w:val="00DE3A6F"/>
    <w:rsid w:val="00DE43A8"/>
    <w:rsid w:val="00DE46A4"/>
    <w:rsid w:val="00DE5C4A"/>
    <w:rsid w:val="00DE61F7"/>
    <w:rsid w:val="00DE6671"/>
    <w:rsid w:val="00DF29B0"/>
    <w:rsid w:val="00DF3E0B"/>
    <w:rsid w:val="00DF458B"/>
    <w:rsid w:val="00DF49A1"/>
    <w:rsid w:val="00DF4AE2"/>
    <w:rsid w:val="00DF59ED"/>
    <w:rsid w:val="00DF6C16"/>
    <w:rsid w:val="00DF7A9A"/>
    <w:rsid w:val="00E02139"/>
    <w:rsid w:val="00E03C62"/>
    <w:rsid w:val="00E04720"/>
    <w:rsid w:val="00E04E8E"/>
    <w:rsid w:val="00E051EC"/>
    <w:rsid w:val="00E051FC"/>
    <w:rsid w:val="00E0520E"/>
    <w:rsid w:val="00E06951"/>
    <w:rsid w:val="00E06F33"/>
    <w:rsid w:val="00E13307"/>
    <w:rsid w:val="00E13690"/>
    <w:rsid w:val="00E14A3E"/>
    <w:rsid w:val="00E155C0"/>
    <w:rsid w:val="00E1656E"/>
    <w:rsid w:val="00E202C0"/>
    <w:rsid w:val="00E203B3"/>
    <w:rsid w:val="00E234FB"/>
    <w:rsid w:val="00E26761"/>
    <w:rsid w:val="00E26A76"/>
    <w:rsid w:val="00E27749"/>
    <w:rsid w:val="00E27765"/>
    <w:rsid w:val="00E27882"/>
    <w:rsid w:val="00E33517"/>
    <w:rsid w:val="00E34F0A"/>
    <w:rsid w:val="00E3617C"/>
    <w:rsid w:val="00E36456"/>
    <w:rsid w:val="00E369DA"/>
    <w:rsid w:val="00E379BE"/>
    <w:rsid w:val="00E40380"/>
    <w:rsid w:val="00E4056B"/>
    <w:rsid w:val="00E42EED"/>
    <w:rsid w:val="00E43555"/>
    <w:rsid w:val="00E45151"/>
    <w:rsid w:val="00E47F9E"/>
    <w:rsid w:val="00E50234"/>
    <w:rsid w:val="00E521F7"/>
    <w:rsid w:val="00E536E3"/>
    <w:rsid w:val="00E54FF9"/>
    <w:rsid w:val="00E60204"/>
    <w:rsid w:val="00E603A3"/>
    <w:rsid w:val="00E61020"/>
    <w:rsid w:val="00E61F56"/>
    <w:rsid w:val="00E6237F"/>
    <w:rsid w:val="00E62F3E"/>
    <w:rsid w:val="00E6387C"/>
    <w:rsid w:val="00E63AFA"/>
    <w:rsid w:val="00E650E8"/>
    <w:rsid w:val="00E657FF"/>
    <w:rsid w:val="00E660FD"/>
    <w:rsid w:val="00E70466"/>
    <w:rsid w:val="00E7062C"/>
    <w:rsid w:val="00E711EF"/>
    <w:rsid w:val="00E732A3"/>
    <w:rsid w:val="00E73761"/>
    <w:rsid w:val="00E742D3"/>
    <w:rsid w:val="00E75FE7"/>
    <w:rsid w:val="00E76997"/>
    <w:rsid w:val="00E80468"/>
    <w:rsid w:val="00E80CC8"/>
    <w:rsid w:val="00E80D78"/>
    <w:rsid w:val="00E80E63"/>
    <w:rsid w:val="00E81486"/>
    <w:rsid w:val="00E82283"/>
    <w:rsid w:val="00E827B8"/>
    <w:rsid w:val="00E82C7F"/>
    <w:rsid w:val="00E83063"/>
    <w:rsid w:val="00E835A1"/>
    <w:rsid w:val="00E86004"/>
    <w:rsid w:val="00E87066"/>
    <w:rsid w:val="00E90004"/>
    <w:rsid w:val="00E90823"/>
    <w:rsid w:val="00E90C41"/>
    <w:rsid w:val="00E9141C"/>
    <w:rsid w:val="00E93E5D"/>
    <w:rsid w:val="00E95EB2"/>
    <w:rsid w:val="00E95F6D"/>
    <w:rsid w:val="00E979C1"/>
    <w:rsid w:val="00EA17F5"/>
    <w:rsid w:val="00EA22BB"/>
    <w:rsid w:val="00EA4325"/>
    <w:rsid w:val="00EA4CB2"/>
    <w:rsid w:val="00EA64C7"/>
    <w:rsid w:val="00EA75B8"/>
    <w:rsid w:val="00EB085E"/>
    <w:rsid w:val="00EB1906"/>
    <w:rsid w:val="00EB211D"/>
    <w:rsid w:val="00EB4578"/>
    <w:rsid w:val="00EB4687"/>
    <w:rsid w:val="00EB57EE"/>
    <w:rsid w:val="00EB58FE"/>
    <w:rsid w:val="00EB63CE"/>
    <w:rsid w:val="00EB64FE"/>
    <w:rsid w:val="00EC0120"/>
    <w:rsid w:val="00EC055F"/>
    <w:rsid w:val="00EC0D05"/>
    <w:rsid w:val="00EC4728"/>
    <w:rsid w:val="00EC4A0C"/>
    <w:rsid w:val="00EC4B92"/>
    <w:rsid w:val="00EC4DF0"/>
    <w:rsid w:val="00EC6242"/>
    <w:rsid w:val="00EC6319"/>
    <w:rsid w:val="00ED16DB"/>
    <w:rsid w:val="00ED1A3F"/>
    <w:rsid w:val="00ED3CA3"/>
    <w:rsid w:val="00ED5813"/>
    <w:rsid w:val="00ED5BC8"/>
    <w:rsid w:val="00ED7222"/>
    <w:rsid w:val="00ED73D1"/>
    <w:rsid w:val="00EE17E4"/>
    <w:rsid w:val="00EE28C9"/>
    <w:rsid w:val="00EE40BE"/>
    <w:rsid w:val="00EE486A"/>
    <w:rsid w:val="00EE4A61"/>
    <w:rsid w:val="00EE4D46"/>
    <w:rsid w:val="00EE59F2"/>
    <w:rsid w:val="00EE73EC"/>
    <w:rsid w:val="00EF06E3"/>
    <w:rsid w:val="00EF0B90"/>
    <w:rsid w:val="00EF38FD"/>
    <w:rsid w:val="00EF55EF"/>
    <w:rsid w:val="00EF6B5D"/>
    <w:rsid w:val="00EF7A4B"/>
    <w:rsid w:val="00F021F7"/>
    <w:rsid w:val="00F024EC"/>
    <w:rsid w:val="00F04018"/>
    <w:rsid w:val="00F056DF"/>
    <w:rsid w:val="00F06CAB"/>
    <w:rsid w:val="00F07784"/>
    <w:rsid w:val="00F12AEA"/>
    <w:rsid w:val="00F13E35"/>
    <w:rsid w:val="00F1493A"/>
    <w:rsid w:val="00F205C0"/>
    <w:rsid w:val="00F207F1"/>
    <w:rsid w:val="00F217AF"/>
    <w:rsid w:val="00F224C0"/>
    <w:rsid w:val="00F22878"/>
    <w:rsid w:val="00F2398A"/>
    <w:rsid w:val="00F239DF"/>
    <w:rsid w:val="00F242F2"/>
    <w:rsid w:val="00F249F7"/>
    <w:rsid w:val="00F2591B"/>
    <w:rsid w:val="00F25AD7"/>
    <w:rsid w:val="00F265B6"/>
    <w:rsid w:val="00F2710F"/>
    <w:rsid w:val="00F276F8"/>
    <w:rsid w:val="00F301A7"/>
    <w:rsid w:val="00F30A51"/>
    <w:rsid w:val="00F30BC7"/>
    <w:rsid w:val="00F31D18"/>
    <w:rsid w:val="00F32A98"/>
    <w:rsid w:val="00F347A7"/>
    <w:rsid w:val="00F408DD"/>
    <w:rsid w:val="00F42470"/>
    <w:rsid w:val="00F42F79"/>
    <w:rsid w:val="00F430D2"/>
    <w:rsid w:val="00F469E4"/>
    <w:rsid w:val="00F46D6D"/>
    <w:rsid w:val="00F472D0"/>
    <w:rsid w:val="00F514CC"/>
    <w:rsid w:val="00F51944"/>
    <w:rsid w:val="00F5201A"/>
    <w:rsid w:val="00F527E6"/>
    <w:rsid w:val="00F53033"/>
    <w:rsid w:val="00F53947"/>
    <w:rsid w:val="00F62B93"/>
    <w:rsid w:val="00F64700"/>
    <w:rsid w:val="00F658AA"/>
    <w:rsid w:val="00F65A03"/>
    <w:rsid w:val="00F665CF"/>
    <w:rsid w:val="00F67A36"/>
    <w:rsid w:val="00F67F21"/>
    <w:rsid w:val="00F711E8"/>
    <w:rsid w:val="00F71737"/>
    <w:rsid w:val="00F71F01"/>
    <w:rsid w:val="00F72F42"/>
    <w:rsid w:val="00F73F34"/>
    <w:rsid w:val="00F74075"/>
    <w:rsid w:val="00F74459"/>
    <w:rsid w:val="00F75047"/>
    <w:rsid w:val="00F7710C"/>
    <w:rsid w:val="00F775F7"/>
    <w:rsid w:val="00F803E4"/>
    <w:rsid w:val="00F80CF3"/>
    <w:rsid w:val="00F820D6"/>
    <w:rsid w:val="00F8244E"/>
    <w:rsid w:val="00F83100"/>
    <w:rsid w:val="00F843E4"/>
    <w:rsid w:val="00F84974"/>
    <w:rsid w:val="00F87893"/>
    <w:rsid w:val="00F90A06"/>
    <w:rsid w:val="00F9371A"/>
    <w:rsid w:val="00F941AB"/>
    <w:rsid w:val="00F94909"/>
    <w:rsid w:val="00FA13C5"/>
    <w:rsid w:val="00FA17EF"/>
    <w:rsid w:val="00FA40C2"/>
    <w:rsid w:val="00FA546F"/>
    <w:rsid w:val="00FA6107"/>
    <w:rsid w:val="00FA6606"/>
    <w:rsid w:val="00FB0E4F"/>
    <w:rsid w:val="00FB4C2C"/>
    <w:rsid w:val="00FB516E"/>
    <w:rsid w:val="00FB566B"/>
    <w:rsid w:val="00FB5938"/>
    <w:rsid w:val="00FB5E6D"/>
    <w:rsid w:val="00FB6DA5"/>
    <w:rsid w:val="00FC0840"/>
    <w:rsid w:val="00FC0A43"/>
    <w:rsid w:val="00FC11E5"/>
    <w:rsid w:val="00FC177D"/>
    <w:rsid w:val="00FC2FC5"/>
    <w:rsid w:val="00FC3B4E"/>
    <w:rsid w:val="00FC42B4"/>
    <w:rsid w:val="00FC4658"/>
    <w:rsid w:val="00FC59A6"/>
    <w:rsid w:val="00FC6387"/>
    <w:rsid w:val="00FC668C"/>
    <w:rsid w:val="00FC6E0F"/>
    <w:rsid w:val="00FC7BC4"/>
    <w:rsid w:val="00FD1707"/>
    <w:rsid w:val="00FD1C05"/>
    <w:rsid w:val="00FD2308"/>
    <w:rsid w:val="00FD2FB6"/>
    <w:rsid w:val="00FD3E84"/>
    <w:rsid w:val="00FD4160"/>
    <w:rsid w:val="00FD41CD"/>
    <w:rsid w:val="00FD4BB9"/>
    <w:rsid w:val="00FD511A"/>
    <w:rsid w:val="00FD58D8"/>
    <w:rsid w:val="00FD7F7F"/>
    <w:rsid w:val="00FE1992"/>
    <w:rsid w:val="00FE3351"/>
    <w:rsid w:val="00FE3B18"/>
    <w:rsid w:val="00FE3DAE"/>
    <w:rsid w:val="00FE3E05"/>
    <w:rsid w:val="00FE4098"/>
    <w:rsid w:val="00FE5E40"/>
    <w:rsid w:val="00FE5F26"/>
    <w:rsid w:val="00FE768B"/>
    <w:rsid w:val="00FF0FF8"/>
    <w:rsid w:val="00FF206A"/>
    <w:rsid w:val="00FF252F"/>
    <w:rsid w:val="00FF254D"/>
    <w:rsid w:val="00FF5296"/>
    <w:rsid w:val="00FF64D3"/>
    <w:rsid w:val="00FF65A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99"/>
    <w:lsdException w:name="header" w:uiPriority="99"/>
    <w:lsdException w:name="footer" w:uiPriority="99"/>
    <w:lsdException w:name="caption" w:qFormat="1"/>
    <w:lsdException w:name="table of figures" w:uiPriority="99"/>
    <w:lsdException w:name="annotation reference" w:uiPriority="99"/>
    <w:lsdException w:name="List Bullet 2" w:qFormat="1"/>
    <w:lsdException w:name="Title" w:uiPriority="99" w:qFormat="1"/>
    <w:lsdException w:name="Subtitle" w:uiPriority="11" w:qFormat="1"/>
    <w:lsdException w:name="Body Text 3" w:uiPriority="99"/>
    <w:lsdException w:name="Hyperlink" w:uiPriority="99"/>
    <w:lsdException w:name="Strong" w:uiPriority="22" w:qFormat="1"/>
    <w:lsdException w:name="Emphasis" w:uiPriority="20" w:qFormat="1"/>
    <w:lsdException w:name="Document Map" w:uiPriority="99"/>
    <w:lsdException w:name="Normal (Web)" w:uiPriority="99"/>
    <w:lsdException w:name="No List" w:uiPriority="99"/>
    <w:lsdException w:name="Outline List 2" w:uiPriority="99"/>
    <w:lsdException w:name="Table Grid" w:uiPriority="5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D2AD3"/>
    <w:pPr>
      <w:spacing w:line="360" w:lineRule="auto"/>
      <w:jc w:val="both"/>
    </w:pPr>
    <w:rPr>
      <w:rFonts w:ascii="Arial" w:hAnsi="Arial"/>
      <w:sz w:val="22"/>
    </w:rPr>
  </w:style>
  <w:style w:type="paragraph" w:styleId="Ttulo1">
    <w:name w:val="heading 1"/>
    <w:aliases w:val="1 ghost,g,Ghost,Ghost Char,AGROFLOR TÍTULO 1.1,Char Char1,Char Char Char Char Char1,Char Char Char Char,Char Char Char Char Char2, Char, Char Char Char Char,Char Char Char,TTC 1, Char Char Char Char Char Char Char Char Char,CVRD,Char"/>
    <w:basedOn w:val="Normal"/>
    <w:next w:val="Normal"/>
    <w:link w:val="Ttulo1Char"/>
    <w:autoRedefine/>
    <w:qFormat/>
    <w:rsid w:val="00C81961"/>
    <w:pPr>
      <w:keepNext/>
      <w:numPr>
        <w:numId w:val="34"/>
      </w:numPr>
      <w:tabs>
        <w:tab w:val="left" w:pos="0"/>
      </w:tabs>
      <w:spacing w:before="240" w:after="240" w:line="240" w:lineRule="auto"/>
      <w:ind w:left="357" w:hanging="357"/>
      <w:jc w:val="left"/>
      <w:outlineLvl w:val="0"/>
    </w:pPr>
    <w:rPr>
      <w:b/>
      <w:caps/>
      <w:kern w:val="28"/>
    </w:rPr>
  </w:style>
  <w:style w:type="paragraph" w:styleId="Ttulo2">
    <w:name w:val="heading 2"/>
    <w:aliases w:val="sub item2 niveis tetra,2 headline,h,TTC 2,Titulo 2,Titulo2 + À esque...,Titulo2,Título 2-MA Char Char Char Char Char Char,Título 2-MA"/>
    <w:basedOn w:val="Normal"/>
    <w:next w:val="Normal"/>
    <w:link w:val="Ttulo2Char"/>
    <w:qFormat/>
    <w:rsid w:val="00835BED"/>
    <w:pPr>
      <w:keepNext/>
      <w:spacing w:before="200" w:after="100"/>
      <w:outlineLvl w:val="1"/>
    </w:pPr>
    <w:rPr>
      <w:b/>
    </w:rPr>
  </w:style>
  <w:style w:type="paragraph" w:styleId="Ttulo3">
    <w:name w:val="heading 3"/>
    <w:aliases w:val="3 bullet,b,2,TTC 3,B1,SECOND,Second,bill,palatino,blank1,2-HEADER,se...,second,b1,bullet pt,BLANK2,bullet,h3,dot,3bullet,DASH TABLA,Heading 31,Título 31,Titulo3"/>
    <w:basedOn w:val="Normal"/>
    <w:next w:val="Normal"/>
    <w:link w:val="Ttulo3Char"/>
    <w:qFormat/>
    <w:rsid w:val="00835BED"/>
    <w:pPr>
      <w:keepNext/>
      <w:spacing w:before="240" w:after="60"/>
      <w:outlineLvl w:val="2"/>
    </w:pPr>
    <w:rPr>
      <w:b/>
    </w:rPr>
  </w:style>
  <w:style w:type="paragraph" w:styleId="Ttulo4">
    <w:name w:val="heading 4"/>
    <w:basedOn w:val="Normal"/>
    <w:next w:val="Normal"/>
    <w:link w:val="Ttulo4Char"/>
    <w:qFormat/>
    <w:rsid w:val="00835BED"/>
    <w:pPr>
      <w:keepNext/>
      <w:spacing w:before="240" w:after="60"/>
      <w:outlineLvl w:val="3"/>
    </w:pPr>
    <w:rPr>
      <w:b/>
    </w:rPr>
  </w:style>
  <w:style w:type="paragraph" w:styleId="Ttulo5">
    <w:name w:val="heading 5"/>
    <w:aliases w:val="quadros,Título Impacto Char,Título Impacto"/>
    <w:basedOn w:val="Normal"/>
    <w:next w:val="Normal"/>
    <w:link w:val="Ttulo5Char"/>
    <w:qFormat/>
    <w:rsid w:val="00835BED"/>
    <w:pPr>
      <w:numPr>
        <w:numId w:val="1"/>
      </w:numPr>
      <w:spacing w:before="120" w:after="120" w:line="240" w:lineRule="auto"/>
      <w:ind w:left="357" w:hanging="357"/>
      <w:outlineLvl w:val="4"/>
    </w:pPr>
  </w:style>
  <w:style w:type="paragraph" w:styleId="Ttulo6">
    <w:name w:val="heading 6"/>
    <w:basedOn w:val="Normal"/>
    <w:next w:val="Normal"/>
    <w:link w:val="Ttulo6Char"/>
    <w:qFormat/>
    <w:rsid w:val="00835BED"/>
    <w:pPr>
      <w:numPr>
        <w:numId w:val="2"/>
      </w:numPr>
      <w:spacing w:before="240" w:after="60"/>
      <w:outlineLvl w:val="5"/>
    </w:pPr>
  </w:style>
  <w:style w:type="paragraph" w:styleId="Ttulo7">
    <w:name w:val="heading 7"/>
    <w:basedOn w:val="Normal"/>
    <w:next w:val="Normal"/>
    <w:link w:val="Ttulo7Char"/>
    <w:qFormat/>
    <w:rsid w:val="00835BED"/>
    <w:pPr>
      <w:numPr>
        <w:numId w:val="3"/>
      </w:numPr>
      <w:spacing w:before="120" w:after="120" w:line="240" w:lineRule="auto"/>
      <w:outlineLvl w:val="6"/>
    </w:pPr>
  </w:style>
  <w:style w:type="paragraph" w:styleId="Ttulo8">
    <w:name w:val="heading 8"/>
    <w:basedOn w:val="Normal"/>
    <w:next w:val="Normal"/>
    <w:link w:val="Ttulo8Char"/>
    <w:qFormat/>
    <w:rsid w:val="00835BED"/>
    <w:pPr>
      <w:numPr>
        <w:numId w:val="4"/>
      </w:numPr>
      <w:tabs>
        <w:tab w:val="clear" w:pos="624"/>
        <w:tab w:val="num" w:pos="709"/>
      </w:tabs>
      <w:spacing w:before="240" w:after="60"/>
      <w:ind w:left="794"/>
      <w:outlineLvl w:val="7"/>
    </w:pPr>
  </w:style>
  <w:style w:type="paragraph" w:styleId="Ttulo9">
    <w:name w:val="heading 9"/>
    <w:basedOn w:val="Normal"/>
    <w:next w:val="Normal"/>
    <w:link w:val="Ttulo9Char"/>
    <w:qFormat/>
    <w:rsid w:val="00835BED"/>
    <w:pPr>
      <w:spacing w:before="240" w:after="60"/>
      <w:outlineLvl w:val="8"/>
    </w:pPr>
    <w:rPr>
      <w:b/>
      <w:i/>
      <w:sz w:val="1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P1">
    <w:name w:val="P1"/>
    <w:basedOn w:val="Normal"/>
    <w:rsid w:val="00835BED"/>
    <w:pPr>
      <w:tabs>
        <w:tab w:val="left" w:pos="1021"/>
        <w:tab w:val="left" w:pos="1440"/>
      </w:tabs>
      <w:spacing w:before="120" w:after="120" w:line="240" w:lineRule="auto"/>
    </w:pPr>
    <w:rPr>
      <w:rFonts w:cs="Arial"/>
    </w:rPr>
  </w:style>
  <w:style w:type="paragraph" w:styleId="Rodap">
    <w:name w:val="footer"/>
    <w:basedOn w:val="Normal"/>
    <w:link w:val="RodapChar"/>
    <w:uiPriority w:val="99"/>
    <w:rsid w:val="00835BED"/>
    <w:pPr>
      <w:tabs>
        <w:tab w:val="center" w:pos="4419"/>
        <w:tab w:val="right" w:pos="8838"/>
      </w:tabs>
    </w:pPr>
  </w:style>
  <w:style w:type="character" w:styleId="Nmerodepgina">
    <w:name w:val="page number"/>
    <w:basedOn w:val="Fontepargpadro"/>
    <w:rsid w:val="00835BED"/>
  </w:style>
  <w:style w:type="paragraph" w:styleId="Cabealho">
    <w:name w:val="header"/>
    <w:aliases w:val="Cabeçalho1,Cabeçalho superior, Char8,Char8"/>
    <w:basedOn w:val="Normal"/>
    <w:link w:val="CabealhoChar"/>
    <w:uiPriority w:val="99"/>
    <w:rsid w:val="00835BED"/>
    <w:pPr>
      <w:tabs>
        <w:tab w:val="center" w:pos="4419"/>
        <w:tab w:val="right" w:pos="8838"/>
      </w:tabs>
    </w:pPr>
  </w:style>
  <w:style w:type="paragraph" w:styleId="Sumrio5">
    <w:name w:val="toc 5"/>
    <w:basedOn w:val="Normal"/>
    <w:next w:val="Normal"/>
    <w:autoRedefine/>
    <w:uiPriority w:val="39"/>
    <w:rsid w:val="00835BED"/>
    <w:pPr>
      <w:ind w:left="880"/>
    </w:pPr>
  </w:style>
  <w:style w:type="paragraph" w:styleId="Sumrio1">
    <w:name w:val="toc 1"/>
    <w:basedOn w:val="Normal"/>
    <w:next w:val="Normal"/>
    <w:autoRedefine/>
    <w:uiPriority w:val="39"/>
    <w:rsid w:val="0078531B"/>
    <w:pPr>
      <w:tabs>
        <w:tab w:val="left" w:pos="426"/>
        <w:tab w:val="right" w:leader="dot" w:pos="9345"/>
      </w:tabs>
      <w:spacing w:before="120" w:after="120" w:line="240" w:lineRule="auto"/>
      <w:ind w:left="34"/>
      <w:jc w:val="left"/>
    </w:pPr>
    <w:rPr>
      <w:b/>
      <w:caps/>
      <w:noProof/>
    </w:rPr>
  </w:style>
  <w:style w:type="paragraph" w:customStyle="1" w:styleId="CAPA">
    <w:name w:val="CAPA"/>
    <w:basedOn w:val="Normal"/>
    <w:rsid w:val="00835BED"/>
    <w:pPr>
      <w:spacing w:line="240" w:lineRule="auto"/>
      <w:jc w:val="left"/>
    </w:pPr>
    <w:rPr>
      <w:sz w:val="24"/>
    </w:rPr>
  </w:style>
  <w:style w:type="paragraph" w:styleId="Sumrio3">
    <w:name w:val="toc 3"/>
    <w:basedOn w:val="Normal"/>
    <w:next w:val="Normal"/>
    <w:autoRedefine/>
    <w:uiPriority w:val="39"/>
    <w:rsid w:val="00DF458B"/>
    <w:pPr>
      <w:tabs>
        <w:tab w:val="left" w:pos="709"/>
        <w:tab w:val="left" w:pos="1320"/>
        <w:tab w:val="right" w:leader="dot" w:pos="9356"/>
      </w:tabs>
      <w:spacing w:before="120" w:after="120" w:line="240" w:lineRule="auto"/>
      <w:ind w:left="284" w:right="141"/>
    </w:pPr>
    <w:rPr>
      <w:b/>
      <w:noProof/>
      <w:szCs w:val="22"/>
    </w:rPr>
  </w:style>
  <w:style w:type="paragraph" w:styleId="Sumrio4">
    <w:name w:val="toc 4"/>
    <w:basedOn w:val="Normal"/>
    <w:next w:val="Normal"/>
    <w:autoRedefine/>
    <w:uiPriority w:val="39"/>
    <w:rsid w:val="001105B7"/>
    <w:pPr>
      <w:tabs>
        <w:tab w:val="left" w:pos="1276"/>
        <w:tab w:val="left" w:pos="1540"/>
        <w:tab w:val="right" w:leader="dot" w:pos="9345"/>
      </w:tabs>
      <w:spacing w:before="120" w:after="120" w:line="240" w:lineRule="auto"/>
      <w:ind w:left="284"/>
    </w:pPr>
    <w:rPr>
      <w:b/>
      <w:noProof/>
    </w:rPr>
  </w:style>
  <w:style w:type="paragraph" w:styleId="Sumrio6">
    <w:name w:val="toc 6"/>
    <w:basedOn w:val="Normal"/>
    <w:next w:val="Normal"/>
    <w:autoRedefine/>
    <w:uiPriority w:val="39"/>
    <w:rsid w:val="00835BED"/>
    <w:pPr>
      <w:ind w:left="1100"/>
    </w:pPr>
  </w:style>
  <w:style w:type="paragraph" w:styleId="Sumrio7">
    <w:name w:val="toc 7"/>
    <w:basedOn w:val="Normal"/>
    <w:next w:val="Normal"/>
    <w:autoRedefine/>
    <w:uiPriority w:val="39"/>
    <w:rsid w:val="00835BED"/>
    <w:pPr>
      <w:ind w:left="1320"/>
    </w:pPr>
  </w:style>
  <w:style w:type="paragraph" w:styleId="Sumrio8">
    <w:name w:val="toc 8"/>
    <w:basedOn w:val="Normal"/>
    <w:next w:val="Normal"/>
    <w:autoRedefine/>
    <w:uiPriority w:val="39"/>
    <w:rsid w:val="00835BED"/>
    <w:pPr>
      <w:ind w:left="1540"/>
    </w:pPr>
  </w:style>
  <w:style w:type="paragraph" w:styleId="Sumrio9">
    <w:name w:val="toc 9"/>
    <w:basedOn w:val="Normal"/>
    <w:next w:val="Normal"/>
    <w:autoRedefine/>
    <w:uiPriority w:val="39"/>
    <w:rsid w:val="00835BED"/>
    <w:pPr>
      <w:ind w:left="1760"/>
    </w:pPr>
  </w:style>
  <w:style w:type="paragraph" w:styleId="Textodecomentrio">
    <w:name w:val="annotation text"/>
    <w:aliases w:val="Char6, Char6"/>
    <w:basedOn w:val="Normal"/>
    <w:link w:val="TextodecomentrioChar1"/>
    <w:uiPriority w:val="99"/>
    <w:rsid w:val="00835BED"/>
    <w:rPr>
      <w:sz w:val="20"/>
    </w:rPr>
  </w:style>
  <w:style w:type="paragraph" w:customStyle="1" w:styleId="Estilo1">
    <w:name w:val="Estilo1"/>
    <w:basedOn w:val="Ttulo2"/>
    <w:next w:val="Normal"/>
    <w:rsid w:val="00835BED"/>
  </w:style>
  <w:style w:type="paragraph" w:styleId="Legenda">
    <w:name w:val="caption"/>
    <w:aliases w:val="Legenda_1,Legenda Char Char,-,Legenda Char Char Char Char Char Char Char,Legenda Char Char Char Char,Legenda Char Char Char Char Char Char,tabela_leg,Legenda Char Char Char Char Char Char Char Char Char Char,Legenda Char Char Char2 Char Char,Cha"/>
    <w:basedOn w:val="Normal"/>
    <w:next w:val="Normal"/>
    <w:link w:val="LegendaChar"/>
    <w:qFormat/>
    <w:rsid w:val="00835BED"/>
    <w:pPr>
      <w:spacing w:before="120" w:after="120"/>
    </w:pPr>
    <w:rPr>
      <w:b/>
      <w:i/>
    </w:rPr>
  </w:style>
  <w:style w:type="paragraph" w:styleId="Ttulo">
    <w:name w:val="Title"/>
    <w:basedOn w:val="Normal"/>
    <w:next w:val="Normal"/>
    <w:link w:val="TtuloChar"/>
    <w:uiPriority w:val="99"/>
    <w:qFormat/>
    <w:rsid w:val="00835BED"/>
    <w:pPr>
      <w:pageBreakBefore/>
      <w:spacing w:before="240" w:after="60"/>
      <w:jc w:val="center"/>
      <w:outlineLvl w:val="0"/>
    </w:pPr>
    <w:rPr>
      <w:b/>
      <w:caps/>
      <w:kern w:val="28"/>
    </w:rPr>
  </w:style>
  <w:style w:type="paragraph" w:styleId="ndicedeilustraes">
    <w:name w:val="table of figures"/>
    <w:basedOn w:val="Normal"/>
    <w:next w:val="Normal"/>
    <w:uiPriority w:val="99"/>
    <w:rsid w:val="00835BED"/>
    <w:pPr>
      <w:ind w:left="440" w:hanging="440"/>
    </w:pPr>
    <w:rPr>
      <w:smallCaps/>
    </w:rPr>
  </w:style>
  <w:style w:type="paragraph" w:styleId="Textoembloco">
    <w:name w:val="Block Text"/>
    <w:basedOn w:val="Normal"/>
    <w:rsid w:val="00835BED"/>
    <w:pPr>
      <w:spacing w:after="120"/>
      <w:ind w:left="1440" w:right="1440"/>
    </w:pPr>
  </w:style>
  <w:style w:type="paragraph" w:styleId="Sumrio2">
    <w:name w:val="toc 2"/>
    <w:basedOn w:val="Normal"/>
    <w:next w:val="Normal"/>
    <w:uiPriority w:val="39"/>
    <w:rsid w:val="00835BED"/>
    <w:pPr>
      <w:tabs>
        <w:tab w:val="left" w:pos="851"/>
        <w:tab w:val="right" w:leader="dot" w:pos="9345"/>
      </w:tabs>
    </w:pPr>
    <w:rPr>
      <w:b/>
      <w:smallCaps/>
      <w:noProof/>
    </w:rPr>
  </w:style>
  <w:style w:type="paragraph" w:customStyle="1" w:styleId="textobloco1">
    <w:name w:val="textobloco1"/>
    <w:basedOn w:val="Normal"/>
    <w:rsid w:val="00835BED"/>
    <w:pPr>
      <w:spacing w:before="120" w:after="120" w:line="240" w:lineRule="auto"/>
    </w:pPr>
    <w:rPr>
      <w:rFonts w:ascii="Verdana" w:hAnsi="Verdana"/>
      <w:snapToGrid w:val="0"/>
      <w:sz w:val="21"/>
    </w:rPr>
  </w:style>
  <w:style w:type="paragraph" w:customStyle="1" w:styleId="Bolinha">
    <w:name w:val="Bolinha"/>
    <w:basedOn w:val="textobloco1"/>
    <w:rsid w:val="00835BED"/>
    <w:pPr>
      <w:numPr>
        <w:numId w:val="5"/>
      </w:numPr>
    </w:pPr>
  </w:style>
  <w:style w:type="paragraph" w:customStyle="1" w:styleId="trao1">
    <w:name w:val="traço1"/>
    <w:basedOn w:val="textobloco1"/>
    <w:rsid w:val="00835BED"/>
    <w:pPr>
      <w:numPr>
        <w:numId w:val="6"/>
      </w:numPr>
      <w:tabs>
        <w:tab w:val="clear" w:pos="360"/>
      </w:tabs>
      <w:ind w:left="284" w:hanging="284"/>
    </w:pPr>
  </w:style>
  <w:style w:type="paragraph" w:customStyle="1" w:styleId="tabela">
    <w:name w:val="tabela"/>
    <w:basedOn w:val="Normal"/>
    <w:rsid w:val="00835BED"/>
    <w:pPr>
      <w:spacing w:before="120" w:after="240" w:line="240" w:lineRule="auto"/>
      <w:ind w:left="2381" w:right="-851" w:hanging="1247"/>
    </w:pPr>
    <w:rPr>
      <w:b/>
      <w:i/>
      <w:caps/>
    </w:rPr>
  </w:style>
  <w:style w:type="paragraph" w:styleId="Recuodecorpodetexto">
    <w:name w:val="Body Text Indent"/>
    <w:basedOn w:val="Normal"/>
    <w:rsid w:val="00835BED"/>
    <w:pPr>
      <w:numPr>
        <w:ilvl w:val="12"/>
      </w:numPr>
      <w:spacing w:after="240"/>
      <w:ind w:left="1418" w:hanging="284"/>
    </w:pPr>
    <w:rPr>
      <w:sz w:val="23"/>
    </w:rPr>
  </w:style>
  <w:style w:type="paragraph" w:customStyle="1" w:styleId="Itens">
    <w:name w:val="Itens"/>
    <w:basedOn w:val="Normal"/>
    <w:rsid w:val="00835BED"/>
    <w:pPr>
      <w:numPr>
        <w:numId w:val="7"/>
      </w:numPr>
      <w:spacing w:line="240" w:lineRule="auto"/>
    </w:pPr>
  </w:style>
  <w:style w:type="character" w:styleId="Hyperlink">
    <w:name w:val="Hyperlink"/>
    <w:uiPriority w:val="99"/>
    <w:rsid w:val="00835BED"/>
    <w:rPr>
      <w:color w:val="0000FF"/>
      <w:u w:val="single"/>
    </w:rPr>
  </w:style>
  <w:style w:type="paragraph" w:customStyle="1" w:styleId="Item-Trainho">
    <w:name w:val="Item-Traçinho"/>
    <w:basedOn w:val="Normal"/>
    <w:link w:val="Item-TrainhoChar"/>
    <w:rsid w:val="00835BED"/>
    <w:pPr>
      <w:numPr>
        <w:numId w:val="8"/>
      </w:numPr>
      <w:spacing w:before="120" w:after="120" w:line="240" w:lineRule="auto"/>
    </w:pPr>
  </w:style>
  <w:style w:type="paragraph" w:customStyle="1" w:styleId="Item-Bolinha">
    <w:name w:val="Item-Bolinha"/>
    <w:basedOn w:val="Normal"/>
    <w:rsid w:val="00835BED"/>
    <w:pPr>
      <w:numPr>
        <w:numId w:val="9"/>
      </w:numPr>
      <w:spacing w:before="120" w:after="120" w:line="240" w:lineRule="auto"/>
    </w:pPr>
  </w:style>
  <w:style w:type="paragraph" w:customStyle="1" w:styleId="Letras">
    <w:name w:val="Letras"/>
    <w:basedOn w:val="Normal"/>
    <w:rsid w:val="00835BED"/>
    <w:pPr>
      <w:numPr>
        <w:numId w:val="13"/>
      </w:numPr>
      <w:spacing w:before="120" w:after="120" w:line="240" w:lineRule="auto"/>
      <w:jc w:val="left"/>
    </w:pPr>
  </w:style>
  <w:style w:type="paragraph" w:styleId="Recuodecorpodetexto2">
    <w:name w:val="Body Text Indent 2"/>
    <w:basedOn w:val="Normal"/>
    <w:rsid w:val="00835BED"/>
    <w:pPr>
      <w:spacing w:before="120" w:after="120" w:line="240" w:lineRule="auto"/>
      <w:ind w:left="567" w:hanging="567"/>
    </w:pPr>
  </w:style>
  <w:style w:type="paragraph" w:styleId="Corpodetexto">
    <w:name w:val="Body Text"/>
    <w:aliases w:val="Body Text Char Char Char Char Char Char Char Char,Body Text Char,Body Text Char Char Char Char Char Char Char Char Char Char Char Char Char Char Char,Corpo de texto Char Char,Corpo de texto Char Char Char,Corpo de textor, Char Char Char"/>
    <w:basedOn w:val="Normal"/>
    <w:link w:val="CorpodetextoChar"/>
    <w:rsid w:val="00835BED"/>
    <w:pPr>
      <w:spacing w:before="120" w:after="120" w:line="240" w:lineRule="auto"/>
    </w:pPr>
  </w:style>
  <w:style w:type="paragraph" w:customStyle="1" w:styleId="BOLOTA">
    <w:name w:val="BOLOTA"/>
    <w:basedOn w:val="Normal"/>
    <w:rsid w:val="00835BED"/>
    <w:pPr>
      <w:numPr>
        <w:numId w:val="10"/>
      </w:numPr>
      <w:spacing w:before="120" w:after="120" w:line="240" w:lineRule="auto"/>
    </w:pPr>
  </w:style>
  <w:style w:type="paragraph" w:customStyle="1" w:styleId="Letrasab">
    <w:name w:val="Letras a) b)"/>
    <w:basedOn w:val="Normal"/>
    <w:rsid w:val="00835BED"/>
  </w:style>
  <w:style w:type="paragraph" w:customStyle="1" w:styleId="Tracinho">
    <w:name w:val="Tracinho"/>
    <w:basedOn w:val="Bolinha"/>
    <w:autoRedefine/>
    <w:rsid w:val="00835BED"/>
    <w:pPr>
      <w:numPr>
        <w:numId w:val="12"/>
      </w:numPr>
      <w:spacing w:before="0" w:after="0"/>
    </w:pPr>
  </w:style>
  <w:style w:type="paragraph" w:customStyle="1" w:styleId="Marcador1">
    <w:name w:val="Marcador 1"/>
    <w:basedOn w:val="Normal"/>
    <w:link w:val="Marcador1Char1"/>
    <w:uiPriority w:val="99"/>
    <w:qFormat/>
    <w:rsid w:val="00835BED"/>
  </w:style>
  <w:style w:type="paragraph" w:styleId="Textodenotaderodap">
    <w:name w:val="footnote text"/>
    <w:aliases w:val="nota de rodapé,nota_rodapé,Texto de rodapé,Texto de rodapé Char"/>
    <w:basedOn w:val="Normal"/>
    <w:link w:val="TextodenotaderodapChar"/>
    <w:qFormat/>
    <w:rsid w:val="00835BED"/>
    <w:rPr>
      <w:sz w:val="20"/>
    </w:rPr>
  </w:style>
  <w:style w:type="character" w:styleId="Refdenotaderodap">
    <w:name w:val="footnote reference"/>
    <w:rsid w:val="00835BED"/>
    <w:rPr>
      <w:vertAlign w:val="superscript"/>
    </w:rPr>
  </w:style>
  <w:style w:type="character" w:customStyle="1" w:styleId="RodapChar">
    <w:name w:val="Rodapé Char"/>
    <w:link w:val="Rodap"/>
    <w:uiPriority w:val="99"/>
    <w:locked/>
    <w:rsid w:val="007B43A4"/>
    <w:rPr>
      <w:rFonts w:ascii="Arial" w:hAnsi="Arial"/>
      <w:sz w:val="22"/>
      <w:lang w:val="pt-BR" w:eastAsia="pt-BR" w:bidi="ar-SA"/>
    </w:rPr>
  </w:style>
  <w:style w:type="character" w:customStyle="1" w:styleId="CabealhoChar">
    <w:name w:val="Cabeçalho Char"/>
    <w:aliases w:val="Cabeçalho1 Char,Cabeçalho superior Char, Char8 Char,Char8 Char"/>
    <w:link w:val="Cabealho"/>
    <w:uiPriority w:val="99"/>
    <w:locked/>
    <w:rsid w:val="007B43A4"/>
    <w:rPr>
      <w:rFonts w:ascii="Arial" w:hAnsi="Arial"/>
      <w:sz w:val="22"/>
      <w:lang w:val="pt-BR" w:eastAsia="pt-BR" w:bidi="ar-SA"/>
    </w:rPr>
  </w:style>
  <w:style w:type="paragraph" w:customStyle="1" w:styleId="item-trainho0">
    <w:name w:val="item-trainho"/>
    <w:basedOn w:val="Normal"/>
    <w:rsid w:val="00835BED"/>
    <w:pPr>
      <w:tabs>
        <w:tab w:val="num" w:pos="360"/>
      </w:tabs>
      <w:spacing w:before="120" w:after="120" w:line="240" w:lineRule="auto"/>
      <w:ind w:left="397" w:hanging="397"/>
    </w:pPr>
    <w:rPr>
      <w:rFonts w:cs="Arial"/>
      <w:szCs w:val="22"/>
    </w:rPr>
  </w:style>
  <w:style w:type="paragraph" w:customStyle="1" w:styleId="P">
    <w:name w:val="P"/>
    <w:basedOn w:val="Normal"/>
    <w:rsid w:val="00835BED"/>
    <w:pPr>
      <w:overflowPunct w:val="0"/>
      <w:autoSpaceDE w:val="0"/>
      <w:autoSpaceDN w:val="0"/>
      <w:adjustRightInd w:val="0"/>
      <w:spacing w:before="120" w:after="120" w:line="280" w:lineRule="atLeast"/>
      <w:ind w:firstLine="454"/>
      <w:textAlignment w:val="baseline"/>
    </w:pPr>
    <w:rPr>
      <w:sz w:val="19"/>
    </w:rPr>
  </w:style>
  <w:style w:type="table" w:styleId="Tabelacomgrade">
    <w:name w:val="Table Grid"/>
    <w:basedOn w:val="Tabelanormal"/>
    <w:uiPriority w:val="59"/>
    <w:rsid w:val="00FA610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link w:val="PargrafodaListaChar"/>
    <w:uiPriority w:val="34"/>
    <w:qFormat/>
    <w:rsid w:val="0071272C"/>
    <w:pPr>
      <w:spacing w:after="200" w:line="276" w:lineRule="auto"/>
      <w:ind w:left="720"/>
      <w:contextualSpacing/>
      <w:jc w:val="left"/>
    </w:pPr>
    <w:rPr>
      <w:rFonts w:ascii="Calibri" w:eastAsia="Calibri" w:hAnsi="Calibri"/>
      <w:szCs w:val="22"/>
      <w:lang w:eastAsia="en-US"/>
    </w:rPr>
  </w:style>
  <w:style w:type="numbering" w:styleId="1ai">
    <w:name w:val="Outline List 1"/>
    <w:basedOn w:val="Semlista"/>
    <w:rsid w:val="00045770"/>
  </w:style>
  <w:style w:type="character" w:customStyle="1" w:styleId="CorpodetextoChar">
    <w:name w:val="Corpo de texto Char"/>
    <w:aliases w:val="Body Text Char Char Char Char Char Char Char Char Char,Body Text Char Char,Body Text Char Char Char Char Char Char Char Char Char Char Char Char Char Char Char Char,Corpo de texto Char Char Char1,Corpo de texto Char Char Char Char"/>
    <w:link w:val="Corpodetexto"/>
    <w:uiPriority w:val="99"/>
    <w:rsid w:val="00045770"/>
    <w:rPr>
      <w:rFonts w:ascii="Arial" w:hAnsi="Arial"/>
      <w:sz w:val="22"/>
    </w:rPr>
  </w:style>
  <w:style w:type="numbering" w:customStyle="1" w:styleId="1ai2">
    <w:name w:val="1 / a / i2"/>
    <w:basedOn w:val="Semlista"/>
    <w:next w:val="1ai"/>
    <w:rsid w:val="00045770"/>
    <w:pPr>
      <w:numPr>
        <w:numId w:val="11"/>
      </w:numPr>
    </w:pPr>
  </w:style>
  <w:style w:type="character" w:customStyle="1" w:styleId="TtuloChar">
    <w:name w:val="Título Char"/>
    <w:link w:val="Ttulo"/>
    <w:uiPriority w:val="99"/>
    <w:rsid w:val="00045770"/>
    <w:rPr>
      <w:rFonts w:ascii="Arial" w:hAnsi="Arial"/>
      <w:b/>
      <w:caps/>
      <w:kern w:val="28"/>
      <w:sz w:val="22"/>
    </w:rPr>
  </w:style>
  <w:style w:type="paragraph" w:customStyle="1" w:styleId="Texto1">
    <w:name w:val="Texto 1"/>
    <w:basedOn w:val="Normal"/>
    <w:link w:val="Texto1Char"/>
    <w:autoRedefine/>
    <w:qFormat/>
    <w:rsid w:val="00045770"/>
    <w:pPr>
      <w:tabs>
        <w:tab w:val="left" w:pos="0"/>
      </w:tabs>
      <w:spacing w:before="120" w:after="120" w:line="240" w:lineRule="auto"/>
      <w:jc w:val="center"/>
    </w:pPr>
    <w:rPr>
      <w:rFonts w:eastAsia="Batang"/>
      <w:b/>
      <w:szCs w:val="22"/>
      <w:lang w:eastAsia="en-US"/>
    </w:rPr>
  </w:style>
  <w:style w:type="character" w:customStyle="1" w:styleId="Texto1Char">
    <w:name w:val="Texto 1 Char"/>
    <w:link w:val="Texto1"/>
    <w:rsid w:val="00045770"/>
    <w:rPr>
      <w:rFonts w:ascii="Arial" w:eastAsia="Batang" w:hAnsi="Arial"/>
      <w:b/>
      <w:sz w:val="22"/>
      <w:szCs w:val="22"/>
      <w:lang w:eastAsia="en-US"/>
    </w:rPr>
  </w:style>
  <w:style w:type="paragraph" w:styleId="Citao">
    <w:name w:val="Quote"/>
    <w:basedOn w:val="Normal"/>
    <w:next w:val="Normal"/>
    <w:link w:val="CitaoChar"/>
    <w:uiPriority w:val="29"/>
    <w:qFormat/>
    <w:rsid w:val="00045770"/>
    <w:pPr>
      <w:spacing w:before="120" w:after="120" w:line="240" w:lineRule="auto"/>
      <w:jc w:val="left"/>
    </w:pPr>
    <w:rPr>
      <w:i/>
      <w:iCs/>
      <w:color w:val="000000"/>
      <w:sz w:val="18"/>
    </w:rPr>
  </w:style>
  <w:style w:type="character" w:customStyle="1" w:styleId="CitaoChar">
    <w:name w:val="Citação Char"/>
    <w:link w:val="Citao"/>
    <w:uiPriority w:val="29"/>
    <w:rsid w:val="00045770"/>
    <w:rPr>
      <w:rFonts w:ascii="Arial" w:hAnsi="Arial"/>
      <w:i/>
      <w:iCs/>
      <w:color w:val="000000"/>
      <w:sz w:val="18"/>
    </w:rPr>
  </w:style>
  <w:style w:type="paragraph" w:customStyle="1" w:styleId="Default">
    <w:name w:val="Default"/>
    <w:rsid w:val="00045770"/>
    <w:pPr>
      <w:autoSpaceDE w:val="0"/>
      <w:autoSpaceDN w:val="0"/>
      <w:adjustRightInd w:val="0"/>
    </w:pPr>
    <w:rPr>
      <w:rFonts w:ascii="Arial" w:hAnsi="Arial" w:cs="Arial"/>
      <w:color w:val="000000"/>
      <w:sz w:val="24"/>
      <w:szCs w:val="24"/>
    </w:rPr>
  </w:style>
  <w:style w:type="character" w:customStyle="1" w:styleId="apple-converted-space">
    <w:name w:val="apple-converted-space"/>
    <w:rsid w:val="00045770"/>
  </w:style>
  <w:style w:type="paragraph" w:styleId="Textodenotadefim">
    <w:name w:val="endnote text"/>
    <w:basedOn w:val="Normal"/>
    <w:link w:val="TextodenotadefimChar"/>
    <w:rsid w:val="00045770"/>
    <w:pPr>
      <w:spacing w:before="120" w:after="120" w:line="240" w:lineRule="auto"/>
    </w:pPr>
    <w:rPr>
      <w:sz w:val="20"/>
    </w:rPr>
  </w:style>
  <w:style w:type="character" w:customStyle="1" w:styleId="TextodenotadefimChar">
    <w:name w:val="Texto de nota de fim Char"/>
    <w:link w:val="Textodenotadefim"/>
    <w:rsid w:val="00045770"/>
    <w:rPr>
      <w:rFonts w:ascii="Arial" w:hAnsi="Arial"/>
    </w:rPr>
  </w:style>
  <w:style w:type="character" w:styleId="Refdenotadefim">
    <w:name w:val="endnote reference"/>
    <w:rsid w:val="00045770"/>
    <w:rPr>
      <w:vertAlign w:val="superscript"/>
    </w:rPr>
  </w:style>
  <w:style w:type="character" w:customStyle="1" w:styleId="Item-TrainhoChar">
    <w:name w:val="Item-Traçinho Char"/>
    <w:link w:val="Item-Trainho"/>
    <w:rsid w:val="00045770"/>
    <w:rPr>
      <w:rFonts w:ascii="Arial" w:hAnsi="Arial"/>
      <w:sz w:val="22"/>
    </w:rPr>
  </w:style>
  <w:style w:type="paragraph" w:styleId="NormalWeb">
    <w:name w:val="Normal (Web)"/>
    <w:basedOn w:val="Normal"/>
    <w:uiPriority w:val="99"/>
    <w:unhideWhenUsed/>
    <w:rsid w:val="00045770"/>
    <w:pPr>
      <w:spacing w:before="100" w:beforeAutospacing="1" w:after="100" w:afterAutospacing="1" w:line="240" w:lineRule="auto"/>
      <w:jc w:val="left"/>
    </w:pPr>
    <w:rPr>
      <w:rFonts w:ascii="Times New Roman" w:hAnsi="Times New Roman"/>
      <w:sz w:val="24"/>
      <w:szCs w:val="24"/>
    </w:rPr>
  </w:style>
  <w:style w:type="character" w:customStyle="1" w:styleId="qtdfotos">
    <w:name w:val="qtdfotos"/>
    <w:rsid w:val="00045770"/>
  </w:style>
  <w:style w:type="character" w:customStyle="1" w:styleId="contador">
    <w:name w:val="contador"/>
    <w:rsid w:val="00045770"/>
  </w:style>
  <w:style w:type="character" w:styleId="nfase">
    <w:name w:val="Emphasis"/>
    <w:uiPriority w:val="20"/>
    <w:qFormat/>
    <w:rsid w:val="00045770"/>
    <w:rPr>
      <w:i/>
      <w:iCs/>
    </w:rPr>
  </w:style>
  <w:style w:type="character" w:customStyle="1" w:styleId="a">
    <w:name w:val="a"/>
    <w:rsid w:val="00045770"/>
  </w:style>
  <w:style w:type="character" w:customStyle="1" w:styleId="l6">
    <w:name w:val="l6"/>
    <w:rsid w:val="00045770"/>
  </w:style>
  <w:style w:type="character" w:customStyle="1" w:styleId="l9">
    <w:name w:val="l9"/>
    <w:rsid w:val="00045770"/>
  </w:style>
  <w:style w:type="character" w:customStyle="1" w:styleId="l8">
    <w:name w:val="l8"/>
    <w:rsid w:val="00045770"/>
  </w:style>
  <w:style w:type="character" w:customStyle="1" w:styleId="Ttulo1Char">
    <w:name w:val="Título 1 Char"/>
    <w:aliases w:val="1 ghost Char,g Char1,Ghost Char1,Ghost Char Char,AGROFLOR TÍTULO 1.1 Char,Char Char1 Char,Char Char Char Char Char1 Char,Char Char Char Char Char,Char Char Char Char Char2 Char, Char Char, Char Char Char Char Char,Char Char Char Char1"/>
    <w:link w:val="Ttulo1"/>
    <w:rsid w:val="00C81961"/>
    <w:rPr>
      <w:rFonts w:ascii="Arial" w:hAnsi="Arial"/>
      <w:b/>
      <w:caps/>
      <w:kern w:val="28"/>
      <w:sz w:val="22"/>
    </w:rPr>
  </w:style>
  <w:style w:type="character" w:customStyle="1" w:styleId="LegendaChar">
    <w:name w:val="Legenda Char"/>
    <w:aliases w:val="Legenda_1 Char,Legenda Char Char Char,- Char,Legenda Char Char Char Char Char Char Char Char,Legenda Char Char Char Char Char,Legenda Char Char Char Char Char Char Char1,tabela_leg Char,Legenda Char Char Char2 Char Char Char,Cha Char"/>
    <w:link w:val="Legenda"/>
    <w:locked/>
    <w:rsid w:val="00045770"/>
    <w:rPr>
      <w:rFonts w:ascii="Arial" w:hAnsi="Arial"/>
      <w:b/>
      <w:i/>
      <w:sz w:val="22"/>
    </w:rPr>
  </w:style>
  <w:style w:type="character" w:customStyle="1" w:styleId="Ttulo3Char">
    <w:name w:val="Título 3 Char"/>
    <w:aliases w:val="3 bullet Char,b Char,2 Char,TTC 3 Char,B1 Char,SECOND Char,Second Char,bill Char,palatino Char,blank1 Char,2-HEADER Char,se... Char,second Char,b1 Char,bullet pt Char,BLANK2 Char,bullet Char,h3 Char,dot Char,3bullet Char,DASH TABLA Char"/>
    <w:link w:val="Ttulo3"/>
    <w:rsid w:val="00045770"/>
    <w:rPr>
      <w:rFonts w:ascii="Arial" w:hAnsi="Arial"/>
      <w:b/>
      <w:sz w:val="22"/>
    </w:rPr>
  </w:style>
  <w:style w:type="character" w:customStyle="1" w:styleId="style70">
    <w:name w:val="style70"/>
    <w:rsid w:val="00045770"/>
  </w:style>
  <w:style w:type="character" w:customStyle="1" w:styleId="style116">
    <w:name w:val="style116"/>
    <w:rsid w:val="00045770"/>
  </w:style>
  <w:style w:type="character" w:customStyle="1" w:styleId="style100">
    <w:name w:val="style100"/>
    <w:rsid w:val="00045770"/>
  </w:style>
  <w:style w:type="character" w:customStyle="1" w:styleId="style115">
    <w:name w:val="style115"/>
    <w:rsid w:val="00045770"/>
  </w:style>
  <w:style w:type="character" w:styleId="Forte">
    <w:name w:val="Strong"/>
    <w:uiPriority w:val="22"/>
    <w:qFormat/>
    <w:rsid w:val="00045770"/>
    <w:rPr>
      <w:b/>
      <w:bCs/>
    </w:rPr>
  </w:style>
  <w:style w:type="character" w:customStyle="1" w:styleId="TextodenotaderodapChar">
    <w:name w:val="Texto de nota de rodapé Char"/>
    <w:aliases w:val="nota de rodapé Char,nota_rodapé Char,Texto de rodapé Char1,Texto de rodapé Char Char"/>
    <w:link w:val="Textodenotaderodap"/>
    <w:rsid w:val="00045770"/>
    <w:rPr>
      <w:rFonts w:ascii="Arial" w:hAnsi="Arial"/>
    </w:rPr>
  </w:style>
  <w:style w:type="paragraph" w:customStyle="1" w:styleId="Rodap1">
    <w:name w:val="Rodapé 1"/>
    <w:basedOn w:val="Textodenotaderodap"/>
    <w:link w:val="Rodap1Char"/>
    <w:qFormat/>
    <w:rsid w:val="00045770"/>
    <w:pPr>
      <w:overflowPunct w:val="0"/>
      <w:autoSpaceDE w:val="0"/>
      <w:autoSpaceDN w:val="0"/>
      <w:adjustRightInd w:val="0"/>
      <w:spacing w:before="120" w:after="120" w:line="240" w:lineRule="auto"/>
      <w:textAlignment w:val="baseline"/>
    </w:pPr>
    <w:rPr>
      <w:sz w:val="24"/>
    </w:rPr>
  </w:style>
  <w:style w:type="character" w:customStyle="1" w:styleId="Rodap1Char">
    <w:name w:val="Rodapé 1 Char"/>
    <w:link w:val="Rodap1"/>
    <w:rsid w:val="00045770"/>
    <w:rPr>
      <w:rFonts w:ascii="Arial" w:hAnsi="Arial"/>
      <w:sz w:val="24"/>
    </w:rPr>
  </w:style>
  <w:style w:type="paragraph" w:customStyle="1" w:styleId="Rodap2">
    <w:name w:val="Rodapé 2"/>
    <w:basedOn w:val="Rodap1"/>
    <w:link w:val="Rodap2Char"/>
    <w:qFormat/>
    <w:rsid w:val="00045770"/>
    <w:pPr>
      <w:spacing w:after="0"/>
      <w:ind w:left="340"/>
    </w:pPr>
  </w:style>
  <w:style w:type="paragraph" w:customStyle="1" w:styleId="Texto1recuado">
    <w:name w:val="Texto 1 recuado"/>
    <w:basedOn w:val="Texto1"/>
    <w:link w:val="Texto1recuadoChar"/>
    <w:qFormat/>
    <w:rsid w:val="00045770"/>
    <w:pPr>
      <w:ind w:left="907" w:hanging="340"/>
    </w:pPr>
    <w:rPr>
      <w:sz w:val="24"/>
    </w:rPr>
  </w:style>
  <w:style w:type="character" w:customStyle="1" w:styleId="Rodap2Char">
    <w:name w:val="Rodapé 2 Char"/>
    <w:link w:val="Rodap2"/>
    <w:rsid w:val="00045770"/>
    <w:rPr>
      <w:rFonts w:ascii="Arial" w:hAnsi="Arial"/>
      <w:sz w:val="24"/>
    </w:rPr>
  </w:style>
  <w:style w:type="paragraph" w:customStyle="1" w:styleId="Titulo1recuadoeitalico">
    <w:name w:val="Titulo 1 recuado e italico"/>
    <w:basedOn w:val="Texto1recuado"/>
    <w:link w:val="Titulo1recuadoeitalicoChar"/>
    <w:qFormat/>
    <w:rsid w:val="00045770"/>
    <w:pPr>
      <w:ind w:left="567" w:firstLine="0"/>
    </w:pPr>
    <w:rPr>
      <w:i/>
    </w:rPr>
  </w:style>
  <w:style w:type="character" w:customStyle="1" w:styleId="Texto1recuadoChar">
    <w:name w:val="Texto 1 recuado Char"/>
    <w:link w:val="Texto1recuado"/>
    <w:rsid w:val="00045770"/>
    <w:rPr>
      <w:rFonts w:ascii="Arial" w:eastAsia="Batang" w:hAnsi="Arial"/>
      <w:b/>
      <w:sz w:val="24"/>
      <w:szCs w:val="22"/>
    </w:rPr>
  </w:style>
  <w:style w:type="character" w:customStyle="1" w:styleId="Titulo1recuadoeitalicoChar">
    <w:name w:val="Titulo 1 recuado e italico Char"/>
    <w:link w:val="Titulo1recuadoeitalico"/>
    <w:rsid w:val="00045770"/>
    <w:rPr>
      <w:rFonts w:ascii="Arial" w:eastAsia="Batang" w:hAnsi="Arial"/>
      <w:b/>
      <w:i/>
      <w:sz w:val="24"/>
      <w:szCs w:val="22"/>
    </w:rPr>
  </w:style>
  <w:style w:type="paragraph" w:styleId="Reviso">
    <w:name w:val="Revision"/>
    <w:hidden/>
    <w:uiPriority w:val="99"/>
    <w:semiHidden/>
    <w:rsid w:val="00045770"/>
    <w:rPr>
      <w:rFonts w:ascii="Arial" w:hAnsi="Arial"/>
      <w:sz w:val="22"/>
    </w:rPr>
  </w:style>
  <w:style w:type="paragraph" w:styleId="Textodebalo">
    <w:name w:val="Balloon Text"/>
    <w:basedOn w:val="Normal"/>
    <w:link w:val="TextodebaloChar"/>
    <w:rsid w:val="00045770"/>
    <w:pPr>
      <w:spacing w:before="120" w:after="120" w:line="240" w:lineRule="auto"/>
    </w:pPr>
    <w:rPr>
      <w:rFonts w:ascii="Tahoma" w:hAnsi="Tahoma"/>
      <w:sz w:val="16"/>
      <w:szCs w:val="16"/>
    </w:rPr>
  </w:style>
  <w:style w:type="character" w:customStyle="1" w:styleId="TextodebaloChar">
    <w:name w:val="Texto de balão Char"/>
    <w:link w:val="Textodebalo"/>
    <w:rsid w:val="00045770"/>
    <w:rPr>
      <w:rFonts w:ascii="Tahoma" w:hAnsi="Tahoma"/>
      <w:sz w:val="16"/>
      <w:szCs w:val="16"/>
    </w:rPr>
  </w:style>
  <w:style w:type="paragraph" w:styleId="Commarcadores2">
    <w:name w:val="List Bullet 2"/>
    <w:basedOn w:val="Normal"/>
    <w:unhideWhenUsed/>
    <w:qFormat/>
    <w:rsid w:val="00045770"/>
    <w:pPr>
      <w:numPr>
        <w:numId w:val="17"/>
      </w:numPr>
      <w:spacing w:before="120" w:after="120" w:line="240" w:lineRule="auto"/>
    </w:pPr>
  </w:style>
  <w:style w:type="character" w:customStyle="1" w:styleId="Ttulo2Char">
    <w:name w:val="Título 2 Char"/>
    <w:aliases w:val="sub item2 niveis tetra Char,2 headline Char,h Char,TTC 2 Char,Titulo 2 Char,Titulo2 + À esque... Char,Titulo2 Char,Título 2-MA Char Char Char Char Char Char Char,Título 2-MA Char"/>
    <w:link w:val="Ttulo2"/>
    <w:rsid w:val="00045770"/>
    <w:rPr>
      <w:rFonts w:ascii="Arial" w:hAnsi="Arial"/>
      <w:b/>
      <w:sz w:val="22"/>
    </w:rPr>
  </w:style>
  <w:style w:type="character" w:styleId="Refdecomentrio">
    <w:name w:val="annotation reference"/>
    <w:uiPriority w:val="99"/>
    <w:unhideWhenUsed/>
    <w:rsid w:val="00045770"/>
    <w:rPr>
      <w:sz w:val="16"/>
      <w:szCs w:val="16"/>
    </w:rPr>
  </w:style>
  <w:style w:type="character" w:customStyle="1" w:styleId="TextodecomentrioChar1">
    <w:name w:val="Texto de comentário Char1"/>
    <w:aliases w:val="Char6 Char1, Char6 Char"/>
    <w:link w:val="Textodecomentrio"/>
    <w:uiPriority w:val="99"/>
    <w:rsid w:val="00045770"/>
    <w:rPr>
      <w:rFonts w:ascii="Arial" w:hAnsi="Arial"/>
    </w:rPr>
  </w:style>
  <w:style w:type="paragraph" w:customStyle="1" w:styleId="ListaColorida-nfase11">
    <w:name w:val="Lista Colorida - Ênfase 11"/>
    <w:basedOn w:val="Normal"/>
    <w:uiPriority w:val="34"/>
    <w:qFormat/>
    <w:rsid w:val="00045770"/>
    <w:pPr>
      <w:spacing w:before="120" w:after="120" w:line="240" w:lineRule="auto"/>
      <w:ind w:left="720"/>
      <w:contextualSpacing/>
      <w:jc w:val="center"/>
    </w:pPr>
    <w:rPr>
      <w:rFonts w:eastAsia="Arial"/>
      <w:szCs w:val="22"/>
      <w:lang w:eastAsia="en-US"/>
    </w:rPr>
  </w:style>
  <w:style w:type="character" w:customStyle="1" w:styleId="Ttulo4Char">
    <w:name w:val="Título 4 Char"/>
    <w:link w:val="Ttulo4"/>
    <w:rsid w:val="00045770"/>
    <w:rPr>
      <w:rFonts w:ascii="Arial" w:hAnsi="Arial"/>
      <w:b/>
      <w:sz w:val="22"/>
    </w:rPr>
  </w:style>
  <w:style w:type="character" w:customStyle="1" w:styleId="PargrafodaListaChar">
    <w:name w:val="Parágrafo da Lista Char"/>
    <w:link w:val="PargrafodaLista"/>
    <w:rsid w:val="00045770"/>
    <w:rPr>
      <w:rFonts w:ascii="Calibri" w:eastAsia="Calibri" w:hAnsi="Calibri"/>
      <w:sz w:val="22"/>
      <w:szCs w:val="22"/>
      <w:lang w:eastAsia="en-US"/>
    </w:rPr>
  </w:style>
  <w:style w:type="character" w:customStyle="1" w:styleId="badge">
    <w:name w:val="badge"/>
    <w:rsid w:val="00045770"/>
  </w:style>
  <w:style w:type="paragraph" w:customStyle="1" w:styleId="chamada">
    <w:name w:val="chamada"/>
    <w:basedOn w:val="Normal"/>
    <w:rsid w:val="00045770"/>
    <w:pPr>
      <w:spacing w:before="100" w:beforeAutospacing="1" w:after="100" w:afterAutospacing="1" w:line="240" w:lineRule="auto"/>
      <w:jc w:val="left"/>
    </w:pPr>
    <w:rPr>
      <w:rFonts w:ascii="Times New Roman" w:hAnsi="Times New Roman"/>
      <w:sz w:val="24"/>
      <w:szCs w:val="24"/>
    </w:rPr>
  </w:style>
  <w:style w:type="character" w:customStyle="1" w:styleId="numbers">
    <w:name w:val="numbers"/>
    <w:rsid w:val="00045770"/>
  </w:style>
  <w:style w:type="character" w:customStyle="1" w:styleId="apple-style-span">
    <w:name w:val="apple-style-span"/>
    <w:rsid w:val="00045770"/>
  </w:style>
  <w:style w:type="paragraph" w:styleId="Corpodetexto3">
    <w:name w:val="Body Text 3"/>
    <w:basedOn w:val="Normal"/>
    <w:link w:val="Corpodetexto3Char"/>
    <w:uiPriority w:val="99"/>
    <w:unhideWhenUsed/>
    <w:rsid w:val="00045770"/>
    <w:pPr>
      <w:spacing w:before="120" w:after="120" w:line="276" w:lineRule="auto"/>
      <w:jc w:val="left"/>
    </w:pPr>
    <w:rPr>
      <w:rFonts w:ascii="Calibri" w:eastAsia="Calibri" w:hAnsi="Calibri"/>
      <w:sz w:val="16"/>
      <w:szCs w:val="16"/>
      <w:lang w:eastAsia="en-US"/>
    </w:rPr>
  </w:style>
  <w:style w:type="character" w:customStyle="1" w:styleId="Corpodetexto3Char">
    <w:name w:val="Corpo de texto 3 Char"/>
    <w:link w:val="Corpodetexto3"/>
    <w:uiPriority w:val="99"/>
    <w:rsid w:val="00045770"/>
    <w:rPr>
      <w:rFonts w:ascii="Calibri" w:eastAsia="Calibri" w:hAnsi="Calibri"/>
      <w:sz w:val="16"/>
      <w:szCs w:val="16"/>
      <w:lang w:eastAsia="en-US"/>
    </w:rPr>
  </w:style>
  <w:style w:type="paragraph" w:customStyle="1" w:styleId="texto10">
    <w:name w:val="texto1"/>
    <w:basedOn w:val="Normal"/>
    <w:rsid w:val="00045770"/>
    <w:pPr>
      <w:spacing w:before="100" w:beforeAutospacing="1" w:after="100" w:afterAutospacing="1" w:line="240" w:lineRule="auto"/>
      <w:jc w:val="left"/>
    </w:pPr>
    <w:rPr>
      <w:rFonts w:ascii="Times New Roman" w:hAnsi="Times New Roman"/>
      <w:sz w:val="24"/>
      <w:szCs w:val="24"/>
    </w:rPr>
  </w:style>
  <w:style w:type="paragraph" w:styleId="CabealhodoSumrio">
    <w:name w:val="TOC Heading"/>
    <w:basedOn w:val="Ttulo1"/>
    <w:next w:val="Normal"/>
    <w:uiPriority w:val="39"/>
    <w:semiHidden/>
    <w:unhideWhenUsed/>
    <w:qFormat/>
    <w:rsid w:val="00E27749"/>
    <w:pPr>
      <w:keepLines/>
      <w:spacing w:before="480" w:after="0" w:line="276" w:lineRule="auto"/>
      <w:outlineLvl w:val="9"/>
    </w:pPr>
    <w:rPr>
      <w:rFonts w:ascii="Cambria" w:hAnsi="Cambria"/>
      <w:bCs/>
      <w:caps w:val="0"/>
      <w:color w:val="365F91"/>
      <w:kern w:val="0"/>
      <w:sz w:val="28"/>
      <w:szCs w:val="28"/>
    </w:rPr>
  </w:style>
  <w:style w:type="paragraph" w:customStyle="1" w:styleId="p10">
    <w:name w:val="p1"/>
    <w:basedOn w:val="Normal"/>
    <w:rsid w:val="00363321"/>
    <w:pPr>
      <w:tabs>
        <w:tab w:val="left" w:pos="1134"/>
      </w:tabs>
      <w:spacing w:before="120" w:after="120"/>
    </w:pPr>
    <w:rPr>
      <w:color w:val="000000"/>
    </w:rPr>
  </w:style>
  <w:style w:type="numbering" w:customStyle="1" w:styleId="Artigoseo1">
    <w:name w:val="Artigo / seção1"/>
    <w:basedOn w:val="Semlista"/>
    <w:next w:val="Artigoseo"/>
    <w:rsid w:val="00907A83"/>
    <w:pPr>
      <w:numPr>
        <w:numId w:val="16"/>
      </w:numPr>
    </w:pPr>
  </w:style>
  <w:style w:type="numbering" w:customStyle="1" w:styleId="1111111">
    <w:name w:val="1 / 1.1 / 1.1.11"/>
    <w:basedOn w:val="Semlista"/>
    <w:next w:val="111111"/>
    <w:uiPriority w:val="99"/>
    <w:rsid w:val="00907A83"/>
  </w:style>
  <w:style w:type="numbering" w:styleId="Artigoseo">
    <w:name w:val="Outline List 3"/>
    <w:basedOn w:val="Semlista"/>
    <w:rsid w:val="00907A83"/>
    <w:pPr>
      <w:numPr>
        <w:numId w:val="20"/>
      </w:numPr>
    </w:pPr>
  </w:style>
  <w:style w:type="numbering" w:styleId="111111">
    <w:name w:val="Outline List 2"/>
    <w:basedOn w:val="Semlista"/>
    <w:uiPriority w:val="99"/>
    <w:rsid w:val="00907A83"/>
  </w:style>
  <w:style w:type="numbering" w:customStyle="1" w:styleId="1ai21">
    <w:name w:val="1 / a / i21"/>
    <w:basedOn w:val="Semlista"/>
    <w:next w:val="1ai"/>
    <w:rsid w:val="00907A83"/>
    <w:pPr>
      <w:numPr>
        <w:numId w:val="23"/>
      </w:numPr>
    </w:pPr>
  </w:style>
  <w:style w:type="character" w:customStyle="1" w:styleId="Ttulo5Char">
    <w:name w:val="Título 5 Char"/>
    <w:aliases w:val="quadros Char,Título Impacto Char Char,Título Impacto Char1"/>
    <w:link w:val="Ttulo5"/>
    <w:rsid w:val="00F469E4"/>
    <w:rPr>
      <w:rFonts w:ascii="Arial" w:hAnsi="Arial"/>
      <w:sz w:val="22"/>
    </w:rPr>
  </w:style>
  <w:style w:type="paragraph" w:customStyle="1" w:styleId="quadroscabealho">
    <w:name w:val="quadros_cabeçalho"/>
    <w:basedOn w:val="Normal"/>
    <w:qFormat/>
    <w:rsid w:val="00F469E4"/>
    <w:pPr>
      <w:spacing w:before="40" w:after="40" w:line="320" w:lineRule="exact"/>
      <w:jc w:val="center"/>
    </w:pPr>
    <w:rPr>
      <w:rFonts w:ascii="ZapfHumnst BT" w:hAnsi="ZapfHumnst BT"/>
      <w:b/>
      <w:sz w:val="24"/>
    </w:rPr>
  </w:style>
  <w:style w:type="paragraph" w:customStyle="1" w:styleId="Normal1">
    <w:name w:val="Normal_1"/>
    <w:basedOn w:val="Ttulo5"/>
    <w:link w:val="Normal1Char"/>
    <w:qFormat/>
    <w:rsid w:val="00F469E4"/>
    <w:pPr>
      <w:numPr>
        <w:numId w:val="0"/>
      </w:numPr>
      <w:spacing w:before="40" w:after="40" w:line="320" w:lineRule="exact"/>
      <w:jc w:val="center"/>
    </w:pPr>
    <w:rPr>
      <w:rFonts w:ascii="ZapfHumnst BT" w:hAnsi="ZapfHumnst BT"/>
      <w:caps/>
      <w:sz w:val="18"/>
    </w:rPr>
  </w:style>
  <w:style w:type="character" w:customStyle="1" w:styleId="Normal1Char">
    <w:name w:val="Normal_1 Char"/>
    <w:link w:val="Normal1"/>
    <w:rsid w:val="00F469E4"/>
    <w:rPr>
      <w:rFonts w:ascii="ZapfHumnst BT" w:hAnsi="ZapfHumnst BT"/>
      <w:caps/>
      <w:sz w:val="18"/>
    </w:rPr>
  </w:style>
  <w:style w:type="table" w:customStyle="1" w:styleId="Tabelacomgrade1">
    <w:name w:val="Tabela com grade1"/>
    <w:basedOn w:val="Tabelanormal"/>
    <w:next w:val="Tabelacomgrade"/>
    <w:uiPriority w:val="59"/>
    <w:rsid w:val="00F469E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
    <w:name w:val="Tabela com grade2"/>
    <w:basedOn w:val="Tabelanormal"/>
    <w:next w:val="Tabelacomgrade"/>
    <w:uiPriority w:val="59"/>
    <w:rsid w:val="000F546F"/>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3">
    <w:name w:val="Tabela com grade3"/>
    <w:basedOn w:val="Tabelanormal"/>
    <w:next w:val="Tabelacomgrade"/>
    <w:uiPriority w:val="59"/>
    <w:rsid w:val="000F546F"/>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ssuntodocomentrio">
    <w:name w:val="annotation subject"/>
    <w:basedOn w:val="Textodecomentrio"/>
    <w:next w:val="Textodecomentrio"/>
    <w:link w:val="AssuntodocomentrioChar"/>
    <w:rsid w:val="006C2F28"/>
    <w:rPr>
      <w:b/>
      <w:bCs/>
    </w:rPr>
  </w:style>
  <w:style w:type="character" w:customStyle="1" w:styleId="AssuntodocomentrioChar">
    <w:name w:val="Assunto do comentário Char"/>
    <w:link w:val="Assuntodocomentrio"/>
    <w:rsid w:val="006C2F28"/>
    <w:rPr>
      <w:rFonts w:ascii="Arial" w:hAnsi="Arial"/>
      <w:b/>
      <w:bCs/>
    </w:rPr>
  </w:style>
  <w:style w:type="character" w:customStyle="1" w:styleId="Ttulo7Char">
    <w:name w:val="Título 7 Char"/>
    <w:link w:val="Ttulo7"/>
    <w:rsid w:val="009E1DAB"/>
    <w:rPr>
      <w:rFonts w:ascii="Arial" w:hAnsi="Arial"/>
      <w:sz w:val="22"/>
    </w:rPr>
  </w:style>
  <w:style w:type="paragraph" w:customStyle="1" w:styleId="QT1">
    <w:name w:val="QT1"/>
    <w:basedOn w:val="Normal"/>
    <w:rsid w:val="009E1DAB"/>
    <w:pPr>
      <w:spacing w:before="120" w:after="120" w:line="240" w:lineRule="auto"/>
      <w:jc w:val="center"/>
    </w:pPr>
    <w:rPr>
      <w:b/>
      <w:sz w:val="18"/>
      <w:lang w:eastAsia="zh-CN"/>
    </w:rPr>
  </w:style>
  <w:style w:type="paragraph" w:customStyle="1" w:styleId="QT2">
    <w:name w:val="QT2"/>
    <w:basedOn w:val="Normal"/>
    <w:rsid w:val="009E1DAB"/>
    <w:pPr>
      <w:spacing w:before="40" w:after="40" w:line="240" w:lineRule="auto"/>
    </w:pPr>
    <w:rPr>
      <w:sz w:val="16"/>
      <w:lang w:eastAsia="zh-CN"/>
    </w:rPr>
  </w:style>
  <w:style w:type="numbering" w:customStyle="1" w:styleId="1ai22">
    <w:name w:val="1 / a / i22"/>
    <w:basedOn w:val="Semlista"/>
    <w:next w:val="1ai"/>
    <w:rsid w:val="009E1DAB"/>
    <w:pPr>
      <w:numPr>
        <w:numId w:val="27"/>
      </w:numPr>
    </w:pPr>
  </w:style>
  <w:style w:type="numbering" w:customStyle="1" w:styleId="1ai1">
    <w:name w:val="1 / a / i1"/>
    <w:basedOn w:val="Semlista"/>
    <w:next w:val="1ai"/>
    <w:rsid w:val="009E1DAB"/>
    <w:pPr>
      <w:numPr>
        <w:numId w:val="26"/>
      </w:numPr>
    </w:pPr>
  </w:style>
  <w:style w:type="numbering" w:customStyle="1" w:styleId="Semlista1">
    <w:name w:val="Sem lista1"/>
    <w:next w:val="Semlista"/>
    <w:uiPriority w:val="99"/>
    <w:semiHidden/>
    <w:rsid w:val="009E1DAB"/>
  </w:style>
  <w:style w:type="character" w:customStyle="1" w:styleId="Ttulo6Char">
    <w:name w:val="Título 6 Char"/>
    <w:link w:val="Ttulo6"/>
    <w:rsid w:val="009E1DAB"/>
    <w:rPr>
      <w:rFonts w:ascii="Arial" w:hAnsi="Arial"/>
      <w:sz w:val="22"/>
    </w:rPr>
  </w:style>
  <w:style w:type="character" w:customStyle="1" w:styleId="Ttulo8Char">
    <w:name w:val="Título 8 Char"/>
    <w:link w:val="Ttulo8"/>
    <w:rsid w:val="009E1DAB"/>
    <w:rPr>
      <w:rFonts w:ascii="Arial" w:hAnsi="Arial"/>
      <w:sz w:val="22"/>
    </w:rPr>
  </w:style>
  <w:style w:type="character" w:customStyle="1" w:styleId="Ttulo9Char">
    <w:name w:val="Título 9 Char"/>
    <w:link w:val="Ttulo9"/>
    <w:rsid w:val="009E1DAB"/>
    <w:rPr>
      <w:rFonts w:ascii="Arial" w:hAnsi="Arial"/>
      <w:b/>
      <w:i/>
      <w:sz w:val="18"/>
    </w:rPr>
  </w:style>
  <w:style w:type="paragraph" w:customStyle="1" w:styleId="T3">
    <w:name w:val="T3"/>
    <w:basedOn w:val="Normal"/>
    <w:rsid w:val="009E1DAB"/>
    <w:pPr>
      <w:spacing w:before="120" w:after="120" w:line="240" w:lineRule="auto"/>
      <w:ind w:left="1276"/>
    </w:pPr>
    <w:rPr>
      <w:rFonts w:ascii="Times New Roman" w:hAnsi="Times New Roman"/>
      <w:sz w:val="20"/>
      <w:lang w:eastAsia="zh-CN"/>
    </w:rPr>
  </w:style>
  <w:style w:type="paragraph" w:styleId="Data">
    <w:name w:val="Date"/>
    <w:basedOn w:val="Normal"/>
    <w:next w:val="Normal"/>
    <w:link w:val="DataChar"/>
    <w:rsid w:val="009E1DAB"/>
    <w:pPr>
      <w:spacing w:before="120" w:after="120" w:line="240" w:lineRule="auto"/>
    </w:pPr>
  </w:style>
  <w:style w:type="character" w:customStyle="1" w:styleId="DataChar">
    <w:name w:val="Data Char"/>
    <w:link w:val="Data"/>
    <w:rsid w:val="009E1DAB"/>
    <w:rPr>
      <w:rFonts w:ascii="Arial" w:hAnsi="Arial"/>
      <w:sz w:val="22"/>
    </w:rPr>
  </w:style>
  <w:style w:type="paragraph" w:customStyle="1" w:styleId="p3">
    <w:name w:val="p3"/>
    <w:basedOn w:val="Normal"/>
    <w:rsid w:val="009E1DAB"/>
    <w:pPr>
      <w:spacing w:before="120" w:after="120" w:line="240" w:lineRule="auto"/>
      <w:ind w:left="1814"/>
    </w:pPr>
    <w:rPr>
      <w:color w:val="000000"/>
    </w:rPr>
  </w:style>
  <w:style w:type="paragraph" w:customStyle="1" w:styleId="PONTOT">
    <w:name w:val="PONTO T"/>
    <w:basedOn w:val="Normal"/>
    <w:rsid w:val="009E1DAB"/>
    <w:pPr>
      <w:spacing w:before="120" w:after="120" w:line="240" w:lineRule="auto"/>
      <w:ind w:left="1701"/>
    </w:pPr>
    <w:rPr>
      <w:rFonts w:ascii="Times New Roman" w:hAnsi="Times New Roman"/>
      <w:sz w:val="20"/>
    </w:rPr>
  </w:style>
  <w:style w:type="character" w:customStyle="1" w:styleId="TextodecomentrioChar">
    <w:name w:val="Texto de comentário Char"/>
    <w:aliases w:val="Char6 Char"/>
    <w:rsid w:val="009E1DAB"/>
    <w:rPr>
      <w:rFonts w:ascii="Arial" w:hAnsi="Arial"/>
    </w:rPr>
  </w:style>
  <w:style w:type="character" w:customStyle="1" w:styleId="Heading1Char1">
    <w:name w:val="Heading 1 Char1"/>
    <w:aliases w:val="1 ghost Char1,g Char"/>
    <w:locked/>
    <w:rsid w:val="009E1DAB"/>
    <w:rPr>
      <w:rFonts w:ascii="Arial" w:hAnsi="Arial" w:cs="Arial"/>
      <w:b/>
      <w:kern w:val="32"/>
      <w:sz w:val="32"/>
      <w:szCs w:val="32"/>
    </w:rPr>
  </w:style>
  <w:style w:type="character" w:customStyle="1" w:styleId="Heading3Char1">
    <w:name w:val="Heading 3 Char1"/>
    <w:locked/>
    <w:rsid w:val="009E1DAB"/>
    <w:rPr>
      <w:rFonts w:ascii="Arial" w:hAnsi="Arial" w:cs="Arial"/>
      <w:b/>
      <w:bCs/>
      <w:sz w:val="22"/>
      <w:szCs w:val="22"/>
      <w:lang w:eastAsia="en-US"/>
    </w:rPr>
  </w:style>
  <w:style w:type="character" w:customStyle="1" w:styleId="Heading4Char1">
    <w:name w:val="Heading 4 Char1"/>
    <w:locked/>
    <w:rsid w:val="009E1DAB"/>
    <w:rPr>
      <w:rFonts w:ascii="Arial" w:hAnsi="Arial" w:cs="Arial"/>
      <w:b/>
      <w:iCs/>
      <w:sz w:val="22"/>
      <w:szCs w:val="22"/>
      <w:lang w:val="fr-FR" w:eastAsia="en-US"/>
    </w:rPr>
  </w:style>
  <w:style w:type="paragraph" w:styleId="Subttulo">
    <w:name w:val="Subtitle"/>
    <w:basedOn w:val="Normal"/>
    <w:link w:val="SubttuloChar"/>
    <w:uiPriority w:val="11"/>
    <w:qFormat/>
    <w:rsid w:val="009E1DAB"/>
    <w:pPr>
      <w:spacing w:before="120" w:after="60" w:line="240" w:lineRule="auto"/>
      <w:jc w:val="center"/>
      <w:outlineLvl w:val="1"/>
    </w:pPr>
    <w:rPr>
      <w:rFonts w:ascii="Cambria" w:eastAsia="MS Gothic" w:hAnsi="Cambria"/>
      <w:sz w:val="24"/>
      <w:szCs w:val="24"/>
      <w:lang w:eastAsia="en-US"/>
    </w:rPr>
  </w:style>
  <w:style w:type="character" w:customStyle="1" w:styleId="SubttuloChar">
    <w:name w:val="Subtítulo Char"/>
    <w:link w:val="Subttulo"/>
    <w:uiPriority w:val="11"/>
    <w:rsid w:val="009E1DAB"/>
    <w:rPr>
      <w:rFonts w:ascii="Cambria" w:eastAsia="MS Gothic" w:hAnsi="Cambria"/>
      <w:sz w:val="24"/>
      <w:szCs w:val="24"/>
      <w:lang w:eastAsia="en-US"/>
    </w:rPr>
  </w:style>
  <w:style w:type="paragraph" w:customStyle="1" w:styleId="ColorfulList-Accent11">
    <w:name w:val="Colorful List - Accent 11"/>
    <w:basedOn w:val="Normal"/>
    <w:link w:val="ColorfulList-Accent1Char"/>
    <w:uiPriority w:val="34"/>
    <w:qFormat/>
    <w:rsid w:val="009E1DAB"/>
    <w:pPr>
      <w:spacing w:before="120" w:after="120" w:line="240" w:lineRule="auto"/>
      <w:ind w:left="708"/>
      <w:jc w:val="left"/>
    </w:pPr>
    <w:rPr>
      <w:rFonts w:ascii="Calibri" w:eastAsia="Calibri" w:hAnsi="Calibri"/>
      <w:szCs w:val="22"/>
      <w:lang w:eastAsia="en-US"/>
    </w:rPr>
  </w:style>
  <w:style w:type="character" w:customStyle="1" w:styleId="ColorfulList-Accent1Char">
    <w:name w:val="Colorful List - Accent 1 Char"/>
    <w:link w:val="ColorfulList-Accent11"/>
    <w:uiPriority w:val="34"/>
    <w:rsid w:val="009E1DAB"/>
    <w:rPr>
      <w:rFonts w:ascii="Calibri" w:eastAsia="Calibri" w:hAnsi="Calibri"/>
      <w:sz w:val="22"/>
      <w:szCs w:val="22"/>
      <w:lang w:eastAsia="en-US"/>
    </w:rPr>
  </w:style>
  <w:style w:type="paragraph" w:customStyle="1" w:styleId="ColorfulGrid-Accent11">
    <w:name w:val="Colorful Grid - Accent 11"/>
    <w:basedOn w:val="Normal"/>
    <w:next w:val="Normal"/>
    <w:uiPriority w:val="29"/>
    <w:qFormat/>
    <w:rsid w:val="009E1DAB"/>
    <w:pPr>
      <w:spacing w:before="120" w:after="120" w:line="240" w:lineRule="auto"/>
      <w:jc w:val="left"/>
    </w:pPr>
    <w:rPr>
      <w:rFonts w:ascii="Times New Roman" w:hAnsi="Times New Roman"/>
      <w:i/>
      <w:iCs/>
      <w:color w:val="000000"/>
      <w:sz w:val="24"/>
      <w:szCs w:val="24"/>
    </w:rPr>
  </w:style>
  <w:style w:type="character" w:customStyle="1" w:styleId="QuoteChar">
    <w:name w:val="Quote Char"/>
    <w:link w:val="Quote1"/>
    <w:semiHidden/>
    <w:rsid w:val="009E1DAB"/>
    <w:rPr>
      <w:rFonts w:ascii="Arial" w:hAnsi="Arial"/>
      <w:i/>
      <w:iCs/>
      <w:color w:val="000000"/>
      <w:sz w:val="22"/>
      <w:szCs w:val="22"/>
    </w:rPr>
  </w:style>
  <w:style w:type="paragraph" w:customStyle="1" w:styleId="Quote1">
    <w:name w:val="Quote1"/>
    <w:basedOn w:val="Normal"/>
    <w:next w:val="Normal"/>
    <w:link w:val="QuoteChar"/>
    <w:semiHidden/>
    <w:rsid w:val="009E1DAB"/>
    <w:pPr>
      <w:widowControl w:val="0"/>
      <w:numPr>
        <w:ilvl w:val="2"/>
        <w:numId w:val="15"/>
      </w:numPr>
      <w:autoSpaceDE w:val="0"/>
      <w:autoSpaceDN w:val="0"/>
      <w:adjustRightInd w:val="0"/>
      <w:spacing w:before="120" w:after="120" w:line="240" w:lineRule="auto"/>
      <w:jc w:val="left"/>
    </w:pPr>
    <w:rPr>
      <w:i/>
      <w:iCs/>
      <w:color w:val="000000"/>
      <w:szCs w:val="22"/>
    </w:rPr>
  </w:style>
  <w:style w:type="character" w:customStyle="1" w:styleId="QuoteChar1">
    <w:name w:val="Quote Char1"/>
    <w:rsid w:val="009E1DAB"/>
    <w:rPr>
      <w:rFonts w:ascii="Arial" w:hAnsi="Arial"/>
      <w:iCs/>
      <w:color w:val="000000"/>
      <w:lang w:val="pt-BR" w:eastAsia="pt-BR" w:bidi="ar-SA"/>
    </w:rPr>
  </w:style>
  <w:style w:type="character" w:customStyle="1" w:styleId="IntenseEmphasis1">
    <w:name w:val="Intense Emphasis1"/>
    <w:rsid w:val="009E1DAB"/>
    <w:rPr>
      <w:b/>
      <w:bCs/>
      <w:i/>
      <w:iCs/>
      <w:color w:val="4F81BD"/>
    </w:rPr>
  </w:style>
  <w:style w:type="paragraph" w:customStyle="1" w:styleId="TOCHeading1">
    <w:name w:val="TOC Heading1"/>
    <w:basedOn w:val="Ttulo1"/>
    <w:next w:val="Normal"/>
    <w:uiPriority w:val="39"/>
    <w:semiHidden/>
    <w:unhideWhenUsed/>
    <w:qFormat/>
    <w:rsid w:val="009E1DAB"/>
    <w:pPr>
      <w:numPr>
        <w:numId w:val="0"/>
      </w:numPr>
      <w:tabs>
        <w:tab w:val="clear" w:pos="0"/>
        <w:tab w:val="num" w:pos="360"/>
      </w:tabs>
      <w:spacing w:after="60"/>
      <w:ind w:left="432" w:hanging="432"/>
      <w:outlineLvl w:val="9"/>
    </w:pPr>
    <w:rPr>
      <w:rFonts w:ascii="Cambria" w:eastAsia="MS Gothic" w:hAnsi="Cambria"/>
      <w:bCs/>
      <w:caps w:val="0"/>
      <w:kern w:val="32"/>
      <w:sz w:val="32"/>
      <w:szCs w:val="32"/>
    </w:rPr>
  </w:style>
  <w:style w:type="paragraph" w:customStyle="1" w:styleId="ListParagraph1">
    <w:name w:val="List Paragraph1"/>
    <w:basedOn w:val="Normal"/>
    <w:link w:val="ListParagraphChar"/>
    <w:rsid w:val="009E1DAB"/>
    <w:pPr>
      <w:spacing w:before="120" w:after="120" w:line="240" w:lineRule="auto"/>
      <w:ind w:left="720"/>
      <w:jc w:val="left"/>
    </w:pPr>
    <w:rPr>
      <w:rFonts w:eastAsia="Calibri"/>
      <w:szCs w:val="22"/>
    </w:rPr>
  </w:style>
  <w:style w:type="character" w:customStyle="1" w:styleId="ListParagraphChar">
    <w:name w:val="List Paragraph Char"/>
    <w:link w:val="ListParagraph1"/>
    <w:locked/>
    <w:rsid w:val="009E1DAB"/>
    <w:rPr>
      <w:rFonts w:ascii="Arial" w:eastAsia="Calibri" w:hAnsi="Arial"/>
      <w:sz w:val="22"/>
      <w:szCs w:val="22"/>
    </w:rPr>
  </w:style>
  <w:style w:type="paragraph" w:customStyle="1" w:styleId="Textotabela">
    <w:name w:val="Texto tabela"/>
    <w:basedOn w:val="Normal"/>
    <w:next w:val="Normal"/>
    <w:link w:val="TextotabelaChar"/>
    <w:semiHidden/>
    <w:rsid w:val="009E1DAB"/>
    <w:pPr>
      <w:spacing w:before="20" w:after="20" w:line="240" w:lineRule="auto"/>
      <w:jc w:val="left"/>
    </w:pPr>
    <w:rPr>
      <w:rFonts w:eastAsia="Calibri"/>
      <w:sz w:val="20"/>
    </w:rPr>
  </w:style>
  <w:style w:type="character" w:customStyle="1" w:styleId="TextotabelaChar">
    <w:name w:val="Texto tabela Char"/>
    <w:link w:val="Textotabela"/>
    <w:semiHidden/>
    <w:rsid w:val="009E1DAB"/>
    <w:rPr>
      <w:rFonts w:ascii="Arial" w:eastAsia="Calibri" w:hAnsi="Arial"/>
    </w:rPr>
  </w:style>
  <w:style w:type="paragraph" w:customStyle="1" w:styleId="Citao-1">
    <w:name w:val="Citação-1"/>
    <w:basedOn w:val="Normal"/>
    <w:next w:val="Normal"/>
    <w:semiHidden/>
    <w:rsid w:val="009E1DAB"/>
    <w:pPr>
      <w:spacing w:before="120" w:after="240" w:line="240" w:lineRule="auto"/>
      <w:ind w:left="851"/>
      <w:jc w:val="left"/>
    </w:pPr>
    <w:rPr>
      <w:rFonts w:ascii="Times New Roman" w:hAnsi="Times New Roman"/>
      <w:sz w:val="24"/>
      <w:szCs w:val="24"/>
    </w:rPr>
  </w:style>
  <w:style w:type="paragraph" w:customStyle="1" w:styleId="Figura1">
    <w:name w:val="Figura 1"/>
    <w:basedOn w:val="Normal"/>
    <w:next w:val="Normal"/>
    <w:rsid w:val="009E1DAB"/>
    <w:pPr>
      <w:spacing w:before="120" w:after="120" w:line="240" w:lineRule="auto"/>
      <w:jc w:val="center"/>
    </w:pPr>
    <w:rPr>
      <w:rFonts w:ascii="Arial Negrito" w:hAnsi="Arial Negrito"/>
      <w:b/>
      <w:caps/>
      <w:sz w:val="24"/>
      <w:szCs w:val="24"/>
    </w:rPr>
  </w:style>
  <w:style w:type="paragraph" w:customStyle="1" w:styleId="Quadro1">
    <w:name w:val="Quadro 1"/>
    <w:basedOn w:val="Normal"/>
    <w:next w:val="Normal"/>
    <w:semiHidden/>
    <w:rsid w:val="009E1DAB"/>
    <w:pPr>
      <w:spacing w:before="120" w:after="120" w:line="240" w:lineRule="auto"/>
      <w:jc w:val="center"/>
    </w:pPr>
    <w:rPr>
      <w:rFonts w:ascii="Times New Roman" w:hAnsi="Times New Roman"/>
      <w:b/>
      <w:sz w:val="24"/>
      <w:szCs w:val="24"/>
    </w:rPr>
  </w:style>
  <w:style w:type="paragraph" w:customStyle="1" w:styleId="Tabela1">
    <w:name w:val="Tabela 1"/>
    <w:basedOn w:val="Normal"/>
    <w:next w:val="Normal"/>
    <w:link w:val="Tabela1Char1"/>
    <w:rsid w:val="009E1DAB"/>
    <w:pPr>
      <w:spacing w:before="120" w:after="120" w:line="240" w:lineRule="auto"/>
      <w:jc w:val="center"/>
    </w:pPr>
    <w:rPr>
      <w:rFonts w:ascii="Arial Negrito" w:eastAsia="Calibri" w:hAnsi="Arial Negrito"/>
      <w:b/>
      <w:caps/>
      <w:szCs w:val="22"/>
    </w:rPr>
  </w:style>
  <w:style w:type="character" w:customStyle="1" w:styleId="Tabela1Char1">
    <w:name w:val="Tabela 1 Char1"/>
    <w:link w:val="Tabela1"/>
    <w:rsid w:val="009E1DAB"/>
    <w:rPr>
      <w:rFonts w:ascii="Arial Negrito" w:eastAsia="Calibri" w:hAnsi="Arial Negrito"/>
      <w:b/>
      <w:caps/>
      <w:sz w:val="22"/>
      <w:szCs w:val="22"/>
    </w:rPr>
  </w:style>
  <w:style w:type="paragraph" w:customStyle="1" w:styleId="Citao1">
    <w:name w:val="Citação 1"/>
    <w:basedOn w:val="Normal"/>
    <w:semiHidden/>
    <w:rsid w:val="009E1DAB"/>
    <w:pPr>
      <w:numPr>
        <w:numId w:val="31"/>
      </w:numPr>
      <w:tabs>
        <w:tab w:val="clear" w:pos="1287"/>
      </w:tabs>
      <w:spacing w:before="120" w:after="240" w:line="240" w:lineRule="auto"/>
      <w:ind w:left="851" w:firstLine="0"/>
      <w:jc w:val="left"/>
    </w:pPr>
    <w:rPr>
      <w:rFonts w:ascii="Times New Roman" w:hAnsi="Times New Roman"/>
      <w:i/>
      <w:sz w:val="24"/>
      <w:szCs w:val="24"/>
    </w:rPr>
  </w:style>
  <w:style w:type="paragraph" w:customStyle="1" w:styleId="Fonte">
    <w:name w:val="Fonte"/>
    <w:basedOn w:val="Normal"/>
    <w:rsid w:val="009E1DAB"/>
    <w:pPr>
      <w:suppressAutoHyphens/>
      <w:spacing w:before="120" w:after="120" w:line="240" w:lineRule="auto"/>
      <w:jc w:val="left"/>
    </w:pPr>
    <w:rPr>
      <w:rFonts w:ascii="Times New Roman" w:hAnsi="Times New Roman"/>
      <w:sz w:val="24"/>
      <w:szCs w:val="24"/>
    </w:rPr>
  </w:style>
  <w:style w:type="paragraph" w:customStyle="1" w:styleId="Bullet">
    <w:name w:val="Bullet"/>
    <w:basedOn w:val="Normal"/>
    <w:link w:val="BulletCharChar"/>
    <w:unhideWhenUsed/>
    <w:rsid w:val="009E1DAB"/>
    <w:pPr>
      <w:numPr>
        <w:numId w:val="14"/>
      </w:numPr>
      <w:tabs>
        <w:tab w:val="left" w:pos="851"/>
      </w:tabs>
      <w:suppressAutoHyphens/>
      <w:spacing w:before="120" w:after="120" w:line="240" w:lineRule="auto"/>
      <w:jc w:val="left"/>
    </w:pPr>
    <w:rPr>
      <w:rFonts w:eastAsia="Calibri"/>
      <w:szCs w:val="22"/>
    </w:rPr>
  </w:style>
  <w:style w:type="character" w:customStyle="1" w:styleId="BulletCharChar">
    <w:name w:val="Bullet Char Char"/>
    <w:link w:val="Bullet"/>
    <w:locked/>
    <w:rsid w:val="009E1DAB"/>
    <w:rPr>
      <w:rFonts w:ascii="Arial" w:eastAsia="Calibri" w:hAnsi="Arial"/>
      <w:sz w:val="22"/>
      <w:szCs w:val="22"/>
    </w:rPr>
  </w:style>
  <w:style w:type="paragraph" w:customStyle="1" w:styleId="Tabela0">
    <w:name w:val="Tabela"/>
    <w:basedOn w:val="Normal"/>
    <w:semiHidden/>
    <w:rsid w:val="009E1DAB"/>
    <w:pPr>
      <w:keepNext/>
      <w:spacing w:before="120" w:after="120" w:line="240" w:lineRule="auto"/>
      <w:jc w:val="left"/>
    </w:pPr>
    <w:rPr>
      <w:rFonts w:ascii="Times New Roman" w:hAnsi="Times New Roman"/>
      <w:sz w:val="24"/>
      <w:szCs w:val="24"/>
    </w:rPr>
  </w:style>
  <w:style w:type="paragraph" w:customStyle="1" w:styleId="RefBibliogrficas">
    <w:name w:val="Ref. Bibliográficas"/>
    <w:basedOn w:val="Normal"/>
    <w:semiHidden/>
    <w:rsid w:val="009E1DAB"/>
    <w:pPr>
      <w:spacing w:before="120" w:after="120" w:line="240" w:lineRule="auto"/>
      <w:ind w:left="709" w:hanging="709"/>
      <w:jc w:val="left"/>
    </w:pPr>
    <w:rPr>
      <w:rFonts w:ascii="Times New Roman" w:hAnsi="Times New Roman"/>
      <w:sz w:val="24"/>
      <w:szCs w:val="24"/>
    </w:rPr>
  </w:style>
  <w:style w:type="paragraph" w:customStyle="1" w:styleId="Quadro">
    <w:name w:val="Quadro"/>
    <w:basedOn w:val="Normal"/>
    <w:link w:val="QuadroChar"/>
    <w:semiHidden/>
    <w:rsid w:val="009E1DAB"/>
    <w:pPr>
      <w:keepNext/>
      <w:spacing w:before="60" w:after="120" w:line="240" w:lineRule="auto"/>
      <w:jc w:val="left"/>
    </w:pPr>
    <w:rPr>
      <w:rFonts w:ascii="Trebuchet MS" w:eastAsia="Calibri" w:hAnsi="Trebuchet MS"/>
      <w:sz w:val="20"/>
    </w:rPr>
  </w:style>
  <w:style w:type="character" w:customStyle="1" w:styleId="QuadroChar">
    <w:name w:val="Quadro Char"/>
    <w:link w:val="Quadro"/>
    <w:semiHidden/>
    <w:locked/>
    <w:rsid w:val="009E1DAB"/>
    <w:rPr>
      <w:rFonts w:ascii="Trebuchet MS" w:eastAsia="Calibri" w:hAnsi="Trebuchet MS"/>
    </w:rPr>
  </w:style>
  <w:style w:type="paragraph" w:customStyle="1" w:styleId="QuadroFonte">
    <w:name w:val="Quadro Fonte"/>
    <w:basedOn w:val="Normal"/>
    <w:next w:val="Normal"/>
    <w:semiHidden/>
    <w:rsid w:val="009E1DAB"/>
    <w:pPr>
      <w:numPr>
        <w:ilvl w:val="2"/>
        <w:numId w:val="32"/>
      </w:numPr>
      <w:tabs>
        <w:tab w:val="clear" w:pos="851"/>
      </w:tabs>
      <w:spacing w:before="120" w:after="120" w:line="240" w:lineRule="auto"/>
      <w:ind w:left="0" w:firstLine="0"/>
      <w:jc w:val="left"/>
    </w:pPr>
    <w:rPr>
      <w:rFonts w:ascii="Tahoma" w:hAnsi="Tahoma"/>
      <w:sz w:val="18"/>
      <w:szCs w:val="24"/>
    </w:rPr>
  </w:style>
  <w:style w:type="paragraph" w:customStyle="1" w:styleId="NoSpacing1">
    <w:name w:val="No Spacing1"/>
    <w:semiHidden/>
    <w:rsid w:val="009E1DAB"/>
    <w:rPr>
      <w:rFonts w:ascii="Calibri" w:eastAsia="Calibri" w:hAnsi="Calibri"/>
      <w:sz w:val="22"/>
      <w:szCs w:val="22"/>
      <w:lang w:eastAsia="en-US"/>
    </w:rPr>
  </w:style>
  <w:style w:type="paragraph" w:customStyle="1" w:styleId="LightList-Accent31">
    <w:name w:val="Light List - Accent 31"/>
    <w:hidden/>
    <w:uiPriority w:val="71"/>
    <w:rsid w:val="009E1DAB"/>
    <w:rPr>
      <w:sz w:val="24"/>
      <w:szCs w:val="24"/>
    </w:rPr>
  </w:style>
  <w:style w:type="character" w:customStyle="1" w:styleId="textomateria2">
    <w:name w:val="textomateria2"/>
    <w:rsid w:val="009E1DAB"/>
    <w:rPr>
      <w:rFonts w:ascii="Verdana" w:hAnsi="Verdana" w:hint="default"/>
      <w:b w:val="0"/>
      <w:bCs w:val="0"/>
      <w:color w:val="000000"/>
      <w:sz w:val="15"/>
      <w:szCs w:val="15"/>
    </w:rPr>
  </w:style>
  <w:style w:type="paragraph" w:customStyle="1" w:styleId="1textoChar">
    <w:name w:val="#1texto Char"/>
    <w:link w:val="1textoCharChar"/>
    <w:rsid w:val="009E1DAB"/>
    <w:pPr>
      <w:spacing w:after="240"/>
      <w:jc w:val="both"/>
    </w:pPr>
    <w:rPr>
      <w:rFonts w:ascii="Arial" w:eastAsia="Calibri" w:hAnsi="Arial"/>
      <w:sz w:val="22"/>
    </w:rPr>
  </w:style>
  <w:style w:type="character" w:customStyle="1" w:styleId="1textoCharChar">
    <w:name w:val="#1texto Char Char"/>
    <w:link w:val="1textoChar"/>
    <w:locked/>
    <w:rsid w:val="009E1DAB"/>
    <w:rPr>
      <w:rFonts w:ascii="Arial" w:eastAsia="Calibri" w:hAnsi="Arial"/>
      <w:sz w:val="22"/>
      <w:lang w:bidi="ar-SA"/>
    </w:rPr>
  </w:style>
  <w:style w:type="paragraph" w:customStyle="1" w:styleId="1traco">
    <w:name w:val="#1traco"/>
    <w:basedOn w:val="1textoChar"/>
    <w:rsid w:val="009E1DAB"/>
    <w:pPr>
      <w:numPr>
        <w:numId w:val="16"/>
      </w:numPr>
      <w:tabs>
        <w:tab w:val="left" w:pos="567"/>
        <w:tab w:val="num" w:pos="645"/>
        <w:tab w:val="num" w:pos="780"/>
      </w:tabs>
      <w:spacing w:after="120"/>
      <w:ind w:left="645"/>
    </w:pPr>
    <w:rPr>
      <w:noProof/>
    </w:rPr>
  </w:style>
  <w:style w:type="paragraph" w:styleId="MapadoDocumento">
    <w:name w:val="Document Map"/>
    <w:basedOn w:val="Normal"/>
    <w:link w:val="MapadoDocumentoChar"/>
    <w:uiPriority w:val="99"/>
    <w:unhideWhenUsed/>
    <w:rsid w:val="009E1DAB"/>
    <w:pPr>
      <w:spacing w:before="120" w:after="120" w:line="240" w:lineRule="auto"/>
      <w:jc w:val="left"/>
    </w:pPr>
    <w:rPr>
      <w:rFonts w:ascii="Lucida Grande" w:hAnsi="Lucida Grande"/>
      <w:sz w:val="24"/>
      <w:szCs w:val="24"/>
    </w:rPr>
  </w:style>
  <w:style w:type="character" w:customStyle="1" w:styleId="MapadoDocumentoChar">
    <w:name w:val="Mapa do Documento Char"/>
    <w:link w:val="MapadoDocumento"/>
    <w:uiPriority w:val="99"/>
    <w:rsid w:val="009E1DAB"/>
    <w:rPr>
      <w:rFonts w:ascii="Lucida Grande" w:hAnsi="Lucida Grande"/>
      <w:sz w:val="24"/>
      <w:szCs w:val="24"/>
    </w:rPr>
  </w:style>
  <w:style w:type="paragraph" w:customStyle="1" w:styleId="LightGrid-Accent31">
    <w:name w:val="Light Grid - Accent 31"/>
    <w:basedOn w:val="Normal"/>
    <w:uiPriority w:val="34"/>
    <w:qFormat/>
    <w:rsid w:val="009E1DAB"/>
    <w:pPr>
      <w:spacing w:before="120" w:after="120" w:line="240" w:lineRule="auto"/>
      <w:ind w:left="720"/>
      <w:contextualSpacing/>
      <w:jc w:val="left"/>
    </w:pPr>
    <w:rPr>
      <w:rFonts w:ascii="Times New Roman" w:hAnsi="Times New Roman"/>
      <w:sz w:val="24"/>
      <w:szCs w:val="24"/>
    </w:rPr>
  </w:style>
  <w:style w:type="paragraph" w:customStyle="1" w:styleId="artigo">
    <w:name w:val="artigo"/>
    <w:basedOn w:val="Normal"/>
    <w:rsid w:val="009E1DAB"/>
    <w:pPr>
      <w:spacing w:before="100" w:beforeAutospacing="1" w:after="100" w:afterAutospacing="1" w:line="240" w:lineRule="auto"/>
      <w:jc w:val="left"/>
    </w:pPr>
    <w:rPr>
      <w:rFonts w:ascii="Times New Roman" w:hAnsi="Times New Roman"/>
      <w:sz w:val="24"/>
      <w:szCs w:val="24"/>
    </w:rPr>
  </w:style>
  <w:style w:type="paragraph" w:customStyle="1" w:styleId="texto0">
    <w:name w:val="texto"/>
    <w:basedOn w:val="Normal"/>
    <w:rsid w:val="009E1DAB"/>
    <w:pPr>
      <w:spacing w:before="100" w:beforeAutospacing="1" w:after="100" w:afterAutospacing="1" w:line="240" w:lineRule="auto"/>
      <w:jc w:val="left"/>
    </w:pPr>
    <w:rPr>
      <w:rFonts w:ascii="Times" w:eastAsia="Calibri" w:hAnsi="Times"/>
      <w:sz w:val="20"/>
      <w:lang w:eastAsia="en-US"/>
    </w:rPr>
  </w:style>
  <w:style w:type="paragraph" w:customStyle="1" w:styleId="MediumList2-Accent21">
    <w:name w:val="Medium List 2 - Accent 21"/>
    <w:hidden/>
    <w:uiPriority w:val="71"/>
    <w:semiHidden/>
    <w:rsid w:val="009E1DAB"/>
    <w:rPr>
      <w:sz w:val="24"/>
      <w:szCs w:val="24"/>
    </w:rPr>
  </w:style>
  <w:style w:type="paragraph" w:customStyle="1" w:styleId="QuadroseFigurasTtuloeNumerao">
    <w:name w:val="Quadros e Figuras (Título e Numeração)"/>
    <w:basedOn w:val="Normal"/>
    <w:link w:val="QuadroseFigurasTtuloeNumeraoChar"/>
    <w:qFormat/>
    <w:rsid w:val="009E1DAB"/>
    <w:pPr>
      <w:keepNext/>
      <w:autoSpaceDE w:val="0"/>
      <w:autoSpaceDN w:val="0"/>
      <w:adjustRightInd w:val="0"/>
      <w:spacing w:before="120" w:after="120" w:line="240" w:lineRule="auto"/>
      <w:jc w:val="center"/>
    </w:pPr>
    <w:rPr>
      <w:b/>
    </w:rPr>
  </w:style>
  <w:style w:type="paragraph" w:styleId="SemEspaamento">
    <w:name w:val="No Spacing"/>
    <w:link w:val="SemEspaamentoChar"/>
    <w:qFormat/>
    <w:rsid w:val="009E1DAB"/>
    <w:rPr>
      <w:rFonts w:ascii="Calibri" w:hAnsi="Calibri"/>
      <w:sz w:val="22"/>
      <w:szCs w:val="22"/>
    </w:rPr>
  </w:style>
  <w:style w:type="character" w:customStyle="1" w:styleId="QuadroseFigurasTtuloeNumeraoChar">
    <w:name w:val="Quadros e Figuras (Título e Numeração) Char"/>
    <w:link w:val="QuadroseFigurasTtuloeNumerao"/>
    <w:rsid w:val="009E1DAB"/>
    <w:rPr>
      <w:rFonts w:ascii="Arial" w:hAnsi="Arial"/>
      <w:b/>
      <w:sz w:val="22"/>
    </w:rPr>
  </w:style>
  <w:style w:type="character" w:customStyle="1" w:styleId="SemEspaamentoChar">
    <w:name w:val="Sem Espaçamento Char"/>
    <w:link w:val="SemEspaamento"/>
    <w:rsid w:val="009E1DAB"/>
    <w:rPr>
      <w:rFonts w:ascii="Calibri" w:hAnsi="Calibri"/>
      <w:sz w:val="22"/>
      <w:szCs w:val="22"/>
      <w:lang w:bidi="ar-SA"/>
    </w:rPr>
  </w:style>
  <w:style w:type="paragraph" w:customStyle="1" w:styleId="CM7">
    <w:name w:val="CM7"/>
    <w:basedOn w:val="Normal"/>
    <w:next w:val="Normal"/>
    <w:rsid w:val="009E1DAB"/>
    <w:pPr>
      <w:widowControl w:val="0"/>
      <w:autoSpaceDE w:val="0"/>
      <w:autoSpaceDN w:val="0"/>
      <w:adjustRightInd w:val="0"/>
      <w:spacing w:after="560" w:line="240" w:lineRule="auto"/>
      <w:jc w:val="left"/>
    </w:pPr>
    <w:rPr>
      <w:rFonts w:ascii="MHPPGA+Arial,Bold" w:hAnsi="MHPPGA+Arial,Bold" w:cs="MHPPGA+Arial,Bold"/>
      <w:sz w:val="24"/>
      <w:szCs w:val="24"/>
    </w:rPr>
  </w:style>
  <w:style w:type="character" w:customStyle="1" w:styleId="CorpodeTexto0">
    <w:name w:val="Corpo de Texto"/>
    <w:rsid w:val="009E1DAB"/>
    <w:rPr>
      <w:rFonts w:ascii="Arial" w:hAnsi="Arial"/>
      <w:bCs/>
      <w:iCs/>
      <w:dstrike w:val="0"/>
      <w:sz w:val="22"/>
      <w:vertAlign w:val="baseline"/>
    </w:rPr>
  </w:style>
  <w:style w:type="paragraph" w:customStyle="1" w:styleId="Estilo2">
    <w:name w:val="Estilo2"/>
    <w:basedOn w:val="Ttulo2"/>
    <w:link w:val="Estilo2Char"/>
    <w:autoRedefine/>
    <w:qFormat/>
    <w:rsid w:val="000014A4"/>
    <w:pPr>
      <w:tabs>
        <w:tab w:val="left" w:pos="709"/>
      </w:tabs>
      <w:spacing w:before="240" w:after="240" w:line="240" w:lineRule="auto"/>
    </w:pPr>
    <w:rPr>
      <w:b w:val="0"/>
    </w:rPr>
  </w:style>
  <w:style w:type="character" w:customStyle="1" w:styleId="Estilo2Char">
    <w:name w:val="Estilo2 Char"/>
    <w:link w:val="Estilo2"/>
    <w:rsid w:val="000014A4"/>
    <w:rPr>
      <w:rFonts w:ascii="Arial" w:hAnsi="Arial"/>
      <w:sz w:val="22"/>
    </w:rPr>
  </w:style>
  <w:style w:type="paragraph" w:customStyle="1" w:styleId="DESTAQUE">
    <w:name w:val="DESTAQUE"/>
    <w:basedOn w:val="Ttulo5"/>
    <w:rsid w:val="009E1DAB"/>
    <w:pPr>
      <w:numPr>
        <w:numId w:val="0"/>
      </w:numPr>
      <w:suppressAutoHyphens/>
      <w:spacing w:before="0"/>
      <w:ind w:left="1276"/>
    </w:pPr>
    <w:rPr>
      <w:rFonts w:ascii="Times New Roman Negrito" w:hAnsi="Times New Roman Negrito"/>
      <w:i/>
      <w:snapToGrid w:val="0"/>
      <w:sz w:val="20"/>
    </w:rPr>
  </w:style>
  <w:style w:type="character" w:customStyle="1" w:styleId="ListaColorida-nfase1Char">
    <w:name w:val="Lista Colorida - Ênfase 1 Char"/>
    <w:link w:val="ListaColorida-nfase1"/>
    <w:uiPriority w:val="34"/>
    <w:rsid w:val="009E1DAB"/>
    <w:rPr>
      <w:rFonts w:ascii="Arial" w:eastAsia="Calibri" w:hAnsi="Arial"/>
      <w:szCs w:val="22"/>
      <w:lang w:eastAsia="en-US"/>
    </w:rPr>
  </w:style>
  <w:style w:type="paragraph" w:customStyle="1" w:styleId="GradeMdia21">
    <w:name w:val="Grade Média 21"/>
    <w:link w:val="GradeMdia2Char"/>
    <w:qFormat/>
    <w:rsid w:val="009E1DAB"/>
    <w:rPr>
      <w:rFonts w:ascii="Calibri" w:hAnsi="Calibri"/>
      <w:sz w:val="22"/>
      <w:szCs w:val="22"/>
    </w:rPr>
  </w:style>
  <w:style w:type="character" w:customStyle="1" w:styleId="GradeMdia2Char">
    <w:name w:val="Grade Média 2 Char"/>
    <w:link w:val="GradeMdia21"/>
    <w:rsid w:val="009E1DAB"/>
    <w:rPr>
      <w:rFonts w:ascii="Calibri" w:hAnsi="Calibri"/>
      <w:sz w:val="22"/>
      <w:szCs w:val="22"/>
      <w:lang w:bidi="ar-SA"/>
    </w:rPr>
  </w:style>
  <w:style w:type="table" w:styleId="ListaColorida-nfase1">
    <w:name w:val="Colorful List Accent 1"/>
    <w:basedOn w:val="Tabelanormal"/>
    <w:link w:val="ListaColorida-nfase1Char"/>
    <w:uiPriority w:val="34"/>
    <w:rsid w:val="009E1DAB"/>
    <w:rPr>
      <w:rFonts w:ascii="Arial" w:eastAsia="Calibri" w:hAnsi="Arial"/>
      <w:szCs w:val="22"/>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Estilo3">
    <w:name w:val="Estilo3"/>
    <w:basedOn w:val="Normal"/>
    <w:link w:val="Estilo3Char"/>
    <w:qFormat/>
    <w:rsid w:val="009E1DAB"/>
    <w:pPr>
      <w:tabs>
        <w:tab w:val="left" w:pos="1440"/>
      </w:tabs>
      <w:spacing w:before="120" w:line="240" w:lineRule="auto"/>
      <w:ind w:left="1440" w:firstLine="289"/>
    </w:pPr>
    <w:rPr>
      <w:szCs w:val="22"/>
    </w:rPr>
  </w:style>
  <w:style w:type="paragraph" w:customStyle="1" w:styleId="Estilo6">
    <w:name w:val="Estilo6"/>
    <w:basedOn w:val="Normal"/>
    <w:link w:val="Estilo6Char"/>
    <w:autoRedefine/>
    <w:uiPriority w:val="99"/>
    <w:rsid w:val="009E1DAB"/>
    <w:pPr>
      <w:spacing w:before="120" w:after="120" w:line="240" w:lineRule="auto"/>
    </w:pPr>
  </w:style>
  <w:style w:type="character" w:customStyle="1" w:styleId="Estilo6Char">
    <w:name w:val="Estilo6 Char"/>
    <w:link w:val="Estilo6"/>
    <w:uiPriority w:val="99"/>
    <w:locked/>
    <w:rsid w:val="009E1DAB"/>
    <w:rPr>
      <w:rFonts w:ascii="Arial" w:hAnsi="Arial"/>
      <w:sz w:val="22"/>
    </w:rPr>
  </w:style>
  <w:style w:type="paragraph" w:customStyle="1" w:styleId="EstiloJustificadoAntes6ptDepoisde6pt">
    <w:name w:val="Estilo Justificado Antes:  6 pt Depois de:  6 pt"/>
    <w:basedOn w:val="Normal"/>
    <w:rsid w:val="009E1DAB"/>
    <w:pPr>
      <w:spacing w:before="120" w:after="120" w:line="240" w:lineRule="auto"/>
      <w:ind w:firstLine="709"/>
    </w:pPr>
    <w:rPr>
      <w:rFonts w:ascii="Times New Roman" w:hAnsi="Times New Roman"/>
      <w:sz w:val="24"/>
    </w:rPr>
  </w:style>
  <w:style w:type="character" w:customStyle="1" w:styleId="nfaseIntensa1">
    <w:name w:val="Ênfase Intensa1"/>
    <w:uiPriority w:val="21"/>
    <w:qFormat/>
    <w:rsid w:val="009E1DAB"/>
    <w:rPr>
      <w:b/>
      <w:bCs/>
      <w:i/>
      <w:iCs/>
      <w:color w:val="4F81BD"/>
    </w:rPr>
  </w:style>
  <w:style w:type="paragraph" w:customStyle="1" w:styleId="CabealhodoSumrio1">
    <w:name w:val="Cabeçalho do Sumário1"/>
    <w:basedOn w:val="Ttulo1"/>
    <w:next w:val="Normal"/>
    <w:uiPriority w:val="39"/>
    <w:unhideWhenUsed/>
    <w:qFormat/>
    <w:rsid w:val="009E1DAB"/>
    <w:pPr>
      <w:numPr>
        <w:numId w:val="0"/>
      </w:numPr>
      <w:tabs>
        <w:tab w:val="clear" w:pos="0"/>
        <w:tab w:val="num" w:pos="360"/>
      </w:tabs>
      <w:spacing w:after="60"/>
      <w:ind w:left="357" w:hanging="357"/>
      <w:jc w:val="both"/>
      <w:outlineLvl w:val="9"/>
    </w:pPr>
    <w:rPr>
      <w:rFonts w:ascii="Cambria" w:eastAsia="MS Gothic" w:hAnsi="Cambria"/>
      <w:bCs/>
      <w:caps w:val="0"/>
      <w:kern w:val="32"/>
      <w:sz w:val="32"/>
      <w:szCs w:val="32"/>
      <w:lang w:eastAsia="zh-CN"/>
    </w:rPr>
  </w:style>
  <w:style w:type="paragraph" w:customStyle="1" w:styleId="ListaMdia2-nfase41">
    <w:name w:val="Lista Média 2 - Ênfase 41"/>
    <w:basedOn w:val="Normal"/>
    <w:uiPriority w:val="34"/>
    <w:qFormat/>
    <w:rsid w:val="009E1DAB"/>
    <w:pPr>
      <w:spacing w:before="120" w:after="120" w:line="240" w:lineRule="auto"/>
      <w:ind w:left="720"/>
      <w:contextualSpacing/>
    </w:pPr>
  </w:style>
  <w:style w:type="paragraph" w:customStyle="1" w:styleId="NoSpacing2">
    <w:name w:val="No Spacing2"/>
    <w:uiPriority w:val="1"/>
    <w:qFormat/>
    <w:rsid w:val="009E1DAB"/>
    <w:rPr>
      <w:rFonts w:ascii="Calibri" w:hAnsi="Calibri" w:cs="Calibri"/>
      <w:sz w:val="22"/>
      <w:szCs w:val="22"/>
      <w:lang w:eastAsia="zh-CN"/>
    </w:rPr>
  </w:style>
  <w:style w:type="paragraph" w:customStyle="1" w:styleId="GradeMdia1-nfase21">
    <w:name w:val="Grade Média 1 - Ênfase 21"/>
    <w:basedOn w:val="Normal"/>
    <w:uiPriority w:val="34"/>
    <w:qFormat/>
    <w:rsid w:val="009E1DAB"/>
    <w:pPr>
      <w:spacing w:before="120" w:after="120" w:line="400" w:lineRule="exact"/>
      <w:ind w:left="720" w:firstLine="454"/>
      <w:contextualSpacing/>
    </w:pPr>
    <w:rPr>
      <w:rFonts w:ascii="Calibri" w:hAnsi="Calibri" w:cs="Arial"/>
      <w:color w:val="000000"/>
      <w:lang w:eastAsia="en-US"/>
    </w:rPr>
  </w:style>
  <w:style w:type="paragraph" w:customStyle="1" w:styleId="RefernciasABNTCharChar">
    <w:name w:val="Referências ABNT Char Char"/>
    <w:basedOn w:val="Normal"/>
    <w:link w:val="RefernciasABNTCharCharChar"/>
    <w:qFormat/>
    <w:rsid w:val="009E1DAB"/>
    <w:pPr>
      <w:widowControl w:val="0"/>
      <w:spacing w:before="120" w:after="480" w:line="240" w:lineRule="auto"/>
    </w:pPr>
    <w:rPr>
      <w:szCs w:val="22"/>
      <w:lang w:eastAsia="en-US"/>
    </w:rPr>
  </w:style>
  <w:style w:type="character" w:customStyle="1" w:styleId="RefernciasABNTCharCharChar">
    <w:name w:val="Referências ABNT Char Char Char"/>
    <w:link w:val="RefernciasABNTCharChar"/>
    <w:rsid w:val="009E1DAB"/>
    <w:rPr>
      <w:rFonts w:ascii="Arial" w:hAnsi="Arial"/>
      <w:sz w:val="22"/>
      <w:szCs w:val="22"/>
      <w:lang w:eastAsia="en-US"/>
    </w:rPr>
  </w:style>
  <w:style w:type="paragraph" w:customStyle="1" w:styleId="rodap0">
    <w:name w:val="rodapé"/>
    <w:basedOn w:val="Normal"/>
    <w:link w:val="rodapChar0"/>
    <w:autoRedefine/>
    <w:qFormat/>
    <w:rsid w:val="009E1DAB"/>
    <w:pPr>
      <w:spacing w:before="120" w:after="120" w:line="240" w:lineRule="auto"/>
    </w:pPr>
    <w:rPr>
      <w:noProof/>
      <w:color w:val="808080"/>
      <w:sz w:val="16"/>
    </w:rPr>
  </w:style>
  <w:style w:type="character" w:customStyle="1" w:styleId="rodapChar0">
    <w:name w:val="rodapé Char"/>
    <w:link w:val="rodap0"/>
    <w:rsid w:val="009E1DAB"/>
    <w:rPr>
      <w:rFonts w:ascii="Arial" w:hAnsi="Arial"/>
      <w:noProof/>
      <w:color w:val="808080"/>
      <w:sz w:val="16"/>
    </w:rPr>
  </w:style>
  <w:style w:type="character" w:customStyle="1" w:styleId="Estilo3Char">
    <w:name w:val="Estilo3 Char"/>
    <w:link w:val="Estilo3"/>
    <w:rsid w:val="009E1DAB"/>
    <w:rPr>
      <w:rFonts w:ascii="Arial" w:hAnsi="Arial"/>
      <w:sz w:val="22"/>
      <w:szCs w:val="22"/>
    </w:rPr>
  </w:style>
  <w:style w:type="paragraph" w:customStyle="1" w:styleId="TabelaCentro">
    <w:name w:val="Tabela Centro"/>
    <w:basedOn w:val="Normal"/>
    <w:autoRedefine/>
    <w:qFormat/>
    <w:rsid w:val="009E1DAB"/>
    <w:pPr>
      <w:keepNext/>
      <w:autoSpaceDE w:val="0"/>
      <w:autoSpaceDN w:val="0"/>
      <w:adjustRightInd w:val="0"/>
      <w:spacing w:before="40" w:after="40" w:line="240" w:lineRule="auto"/>
      <w:ind w:right="-643"/>
      <w:jc w:val="center"/>
    </w:pPr>
    <w:rPr>
      <w:rFonts w:eastAsia="Arial Negrito" w:cs="Arial"/>
      <w:bCs/>
      <w:sz w:val="18"/>
      <w:szCs w:val="18"/>
    </w:rPr>
  </w:style>
  <w:style w:type="paragraph" w:customStyle="1" w:styleId="TabelaCabealho">
    <w:name w:val="Tabela Cabeçalho"/>
    <w:basedOn w:val="Normal"/>
    <w:autoRedefine/>
    <w:qFormat/>
    <w:rsid w:val="009E1DAB"/>
    <w:pPr>
      <w:spacing w:before="40" w:after="40" w:line="240" w:lineRule="auto"/>
      <w:jc w:val="center"/>
    </w:pPr>
    <w:rPr>
      <w:rFonts w:eastAsia="Arial Negrito" w:cs="Arial"/>
      <w:b/>
      <w:bCs/>
      <w:sz w:val="18"/>
      <w:szCs w:val="18"/>
    </w:rPr>
  </w:style>
  <w:style w:type="paragraph" w:customStyle="1" w:styleId="Tabela-ttulo">
    <w:name w:val="Tabela - título"/>
    <w:basedOn w:val="Normal"/>
    <w:link w:val="Tabela-ttuloChar"/>
    <w:autoRedefine/>
    <w:qFormat/>
    <w:rsid w:val="009E1DAB"/>
    <w:pPr>
      <w:spacing w:before="40" w:after="40" w:line="240" w:lineRule="auto"/>
      <w:jc w:val="center"/>
    </w:pPr>
    <w:rPr>
      <w:rFonts w:cs="Arial"/>
      <w:b/>
      <w:kern w:val="32"/>
      <w:sz w:val="18"/>
      <w:szCs w:val="18"/>
      <w:lang w:eastAsia="en-US" w:bidi="he-IL"/>
    </w:rPr>
  </w:style>
  <w:style w:type="character" w:customStyle="1" w:styleId="Tabela-ttuloChar">
    <w:name w:val="Tabela - título Char"/>
    <w:link w:val="Tabela-ttulo"/>
    <w:rsid w:val="009E1DAB"/>
    <w:rPr>
      <w:rFonts w:ascii="Arial" w:hAnsi="Arial" w:cs="Arial"/>
      <w:b/>
      <w:kern w:val="32"/>
      <w:sz w:val="18"/>
      <w:szCs w:val="18"/>
      <w:lang w:eastAsia="en-US" w:bidi="he-IL"/>
    </w:rPr>
  </w:style>
  <w:style w:type="paragraph" w:customStyle="1" w:styleId="Tabelacorpo">
    <w:name w:val="Tabela corpo"/>
    <w:basedOn w:val="Normal"/>
    <w:qFormat/>
    <w:rsid w:val="009E1DAB"/>
    <w:pPr>
      <w:spacing w:before="40" w:after="40" w:line="240" w:lineRule="auto"/>
    </w:pPr>
    <w:rPr>
      <w:sz w:val="18"/>
      <w:szCs w:val="22"/>
      <w:lang w:eastAsia="en-US"/>
    </w:rPr>
  </w:style>
  <w:style w:type="paragraph" w:customStyle="1" w:styleId="Ttulo1ALasca">
    <w:name w:val="Título 1 A Lasca"/>
    <w:basedOn w:val="Normal"/>
    <w:link w:val="Ttulo1ALascaChar"/>
    <w:qFormat/>
    <w:rsid w:val="009E1DAB"/>
    <w:pPr>
      <w:spacing w:before="120" w:after="120" w:line="240" w:lineRule="auto"/>
    </w:pPr>
    <w:rPr>
      <w:b/>
      <w:u w:color="993300"/>
    </w:rPr>
  </w:style>
  <w:style w:type="character" w:customStyle="1" w:styleId="Ttulo1ALascaChar">
    <w:name w:val="Título 1 A Lasca Char"/>
    <w:link w:val="Ttulo1ALasca"/>
    <w:rsid w:val="009E1DAB"/>
    <w:rPr>
      <w:rFonts w:ascii="Arial" w:hAnsi="Arial"/>
      <w:b/>
      <w:sz w:val="22"/>
      <w:u w:color="993300"/>
    </w:rPr>
  </w:style>
  <w:style w:type="paragraph" w:customStyle="1" w:styleId="titulo3">
    <w:name w:val="titulo3"/>
    <w:basedOn w:val="Normal"/>
    <w:link w:val="titulo3Char"/>
    <w:qFormat/>
    <w:rsid w:val="009E1DAB"/>
    <w:pPr>
      <w:widowControl w:val="0"/>
      <w:spacing w:before="120" w:after="120" w:line="240" w:lineRule="auto"/>
    </w:pPr>
    <w:rPr>
      <w:b/>
    </w:rPr>
  </w:style>
  <w:style w:type="character" w:customStyle="1" w:styleId="titulo3Char">
    <w:name w:val="titulo3 Char"/>
    <w:link w:val="titulo3"/>
    <w:rsid w:val="009E1DAB"/>
    <w:rPr>
      <w:rFonts w:ascii="Arial" w:hAnsi="Arial"/>
      <w:b/>
      <w:sz w:val="22"/>
    </w:rPr>
  </w:style>
  <w:style w:type="numbering" w:customStyle="1" w:styleId="1ai11">
    <w:name w:val="1 / a / i11"/>
    <w:basedOn w:val="Semlista"/>
    <w:next w:val="1ai"/>
    <w:rsid w:val="009E1DAB"/>
  </w:style>
  <w:style w:type="numbering" w:customStyle="1" w:styleId="1ai12">
    <w:name w:val="1 / a / i12"/>
    <w:basedOn w:val="Semlista"/>
    <w:next w:val="1ai"/>
    <w:rsid w:val="009E1DAB"/>
    <w:pPr>
      <w:numPr>
        <w:numId w:val="33"/>
      </w:numPr>
    </w:pPr>
  </w:style>
  <w:style w:type="paragraph" w:customStyle="1" w:styleId="Normal10">
    <w:name w:val="Normal1"/>
    <w:basedOn w:val="Normal"/>
    <w:next w:val="Normal"/>
    <w:link w:val="normalChar"/>
    <w:qFormat/>
    <w:rsid w:val="009E1DAB"/>
    <w:pPr>
      <w:spacing w:before="120" w:after="120" w:line="240" w:lineRule="auto"/>
    </w:pPr>
    <w:rPr>
      <w:szCs w:val="22"/>
      <w:lang w:val="fr-FR" w:eastAsia="en-US"/>
    </w:rPr>
  </w:style>
  <w:style w:type="character" w:customStyle="1" w:styleId="normalChar">
    <w:name w:val="normal Char"/>
    <w:link w:val="Normal10"/>
    <w:rsid w:val="009E1DAB"/>
    <w:rPr>
      <w:rFonts w:ascii="Arial" w:hAnsi="Arial"/>
      <w:sz w:val="22"/>
      <w:szCs w:val="22"/>
      <w:lang w:val="fr-FR" w:eastAsia="en-US"/>
    </w:rPr>
  </w:style>
  <w:style w:type="numbering" w:customStyle="1" w:styleId="1ai211">
    <w:name w:val="1 / a / i211"/>
    <w:basedOn w:val="Semlista"/>
    <w:next w:val="1ai"/>
    <w:rsid w:val="009E1DAB"/>
    <w:pPr>
      <w:numPr>
        <w:numId w:val="24"/>
      </w:numPr>
    </w:pPr>
  </w:style>
  <w:style w:type="character" w:customStyle="1" w:styleId="font01">
    <w:name w:val="font01"/>
    <w:rsid w:val="009E1DAB"/>
  </w:style>
  <w:style w:type="character" w:customStyle="1" w:styleId="il">
    <w:name w:val="il"/>
    <w:rsid w:val="009E1DAB"/>
  </w:style>
  <w:style w:type="table" w:styleId="Tabelaclssica1">
    <w:name w:val="Table Classic 1"/>
    <w:basedOn w:val="Tabelanormal"/>
    <w:rsid w:val="009E1DAB"/>
    <w:pPr>
      <w:spacing w:line="360" w:lineRule="auto"/>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Semlista2">
    <w:name w:val="Sem lista2"/>
    <w:next w:val="Semlista"/>
    <w:uiPriority w:val="99"/>
    <w:semiHidden/>
    <w:rsid w:val="005B6D82"/>
  </w:style>
  <w:style w:type="numbering" w:customStyle="1" w:styleId="1ai111">
    <w:name w:val="1 / a / i111"/>
    <w:basedOn w:val="Semlista"/>
    <w:next w:val="1ai"/>
    <w:rsid w:val="005B6D82"/>
  </w:style>
  <w:style w:type="numbering" w:customStyle="1" w:styleId="1ai3">
    <w:name w:val="1 / a / i3"/>
    <w:basedOn w:val="Semlista"/>
    <w:next w:val="1ai"/>
    <w:rsid w:val="005B6D82"/>
    <w:pPr>
      <w:numPr>
        <w:numId w:val="68"/>
      </w:numPr>
    </w:pPr>
  </w:style>
  <w:style w:type="numbering" w:customStyle="1" w:styleId="1ai23">
    <w:name w:val="1 / a / i23"/>
    <w:basedOn w:val="Semlista"/>
    <w:next w:val="1ai"/>
    <w:rsid w:val="005B6D82"/>
    <w:pPr>
      <w:numPr>
        <w:numId w:val="14"/>
      </w:numPr>
    </w:pPr>
  </w:style>
  <w:style w:type="table" w:customStyle="1" w:styleId="Tabelacomgrade4">
    <w:name w:val="Tabela com grade4"/>
    <w:basedOn w:val="Tabelanormal"/>
    <w:next w:val="Tabelacomgrade"/>
    <w:uiPriority w:val="59"/>
    <w:rsid w:val="00DE3A6F"/>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5">
    <w:name w:val="Tabela com grade5"/>
    <w:basedOn w:val="Tabelanormal"/>
    <w:next w:val="Tabelacomgrade"/>
    <w:uiPriority w:val="59"/>
    <w:rsid w:val="00FA40C2"/>
    <w:rPr>
      <w:rFonts w:ascii="Arial" w:eastAsia="Calibri" w:hAnsi="Arial"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6">
    <w:name w:val="Tabela com grade6"/>
    <w:basedOn w:val="Tabelanormal"/>
    <w:next w:val="Tabelacomgrade"/>
    <w:uiPriority w:val="59"/>
    <w:rsid w:val="001762CF"/>
    <w:rPr>
      <w:rFonts w:ascii="Arial" w:eastAsia="Calibri" w:hAnsi="Arial"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7">
    <w:name w:val="Tabela com grade7"/>
    <w:basedOn w:val="Tabelanormal"/>
    <w:next w:val="Tabelacomgrade"/>
    <w:uiPriority w:val="59"/>
    <w:rsid w:val="00946FA3"/>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E-Texto">
    <w:name w:val="SPE - Texto"/>
    <w:basedOn w:val="Normal"/>
    <w:link w:val="SPE-TextoChar"/>
    <w:qFormat/>
    <w:rsid w:val="00A82FDC"/>
    <w:pPr>
      <w:spacing w:before="200" w:after="180" w:line="240" w:lineRule="atLeast"/>
    </w:pPr>
    <w:rPr>
      <w:rFonts w:ascii="Trebuchet MS" w:hAnsi="Trebuchet MS"/>
      <w:sz w:val="21"/>
      <w:szCs w:val="24"/>
    </w:rPr>
  </w:style>
  <w:style w:type="character" w:customStyle="1" w:styleId="SPE-TextoChar">
    <w:name w:val="SPE - Texto Char"/>
    <w:link w:val="SPE-Texto"/>
    <w:locked/>
    <w:rsid w:val="00A82FDC"/>
    <w:rPr>
      <w:rFonts w:ascii="Trebuchet MS" w:hAnsi="Trebuchet MS"/>
      <w:sz w:val="21"/>
      <w:szCs w:val="24"/>
    </w:rPr>
  </w:style>
  <w:style w:type="paragraph" w:customStyle="1" w:styleId="Itens8">
    <w:name w:val="Itens8"/>
    <w:basedOn w:val="Normal"/>
    <w:rsid w:val="00A82FDC"/>
    <w:pPr>
      <w:tabs>
        <w:tab w:val="num" w:pos="360"/>
      </w:tabs>
      <w:spacing w:line="240" w:lineRule="auto"/>
      <w:ind w:left="360" w:hanging="360"/>
    </w:pPr>
  </w:style>
  <w:style w:type="paragraph" w:customStyle="1" w:styleId="Itens9">
    <w:name w:val="Itens9"/>
    <w:basedOn w:val="Normal"/>
    <w:rsid w:val="00A82FDC"/>
    <w:pPr>
      <w:tabs>
        <w:tab w:val="num" w:pos="360"/>
      </w:tabs>
      <w:spacing w:line="240" w:lineRule="auto"/>
      <w:ind w:left="360" w:hanging="360"/>
    </w:pPr>
  </w:style>
  <w:style w:type="paragraph" w:customStyle="1" w:styleId="CorpodetextoBodyTextCharCharCharCharCharCharCharCharBodyTextCharBodyTextCharCharCharCharCharCharCharCharCharCharCharCharCharCharChar">
    <w:name w:val="Corpo de texto.Body Text Char Char Char Char Char Char Char Char.Body Text Char.Body Text Char Char Char Char Char Char Char Char Char Char Char Char Char Char Char"/>
    <w:basedOn w:val="Normal"/>
    <w:rsid w:val="00727621"/>
    <w:pPr>
      <w:spacing w:before="120" w:after="120" w:line="240" w:lineRule="auto"/>
    </w:pPr>
  </w:style>
  <w:style w:type="paragraph" w:customStyle="1" w:styleId="NormalPargrafo">
    <w:name w:val="Normal Parágrafo"/>
    <w:basedOn w:val="Normal"/>
    <w:link w:val="NormalPargrafoChar"/>
    <w:rsid w:val="00F73F34"/>
    <w:pPr>
      <w:spacing w:before="200" w:line="280" w:lineRule="atLeast"/>
    </w:pPr>
    <w:rPr>
      <w:szCs w:val="18"/>
      <w:lang w:eastAsia="en-GB"/>
    </w:rPr>
  </w:style>
  <w:style w:type="character" w:customStyle="1" w:styleId="NormalPargrafoChar">
    <w:name w:val="Normal Parágrafo Char"/>
    <w:link w:val="NormalPargrafo"/>
    <w:rsid w:val="00F73F34"/>
    <w:rPr>
      <w:rFonts w:ascii="Arial" w:hAnsi="Arial"/>
      <w:sz w:val="22"/>
      <w:szCs w:val="18"/>
      <w:lang w:eastAsia="en-GB"/>
    </w:rPr>
  </w:style>
  <w:style w:type="character" w:customStyle="1" w:styleId="Marcador1Char1">
    <w:name w:val="Marcador 1 Char1"/>
    <w:link w:val="Marcador1"/>
    <w:rsid w:val="00F73F34"/>
    <w:rPr>
      <w:rFonts w:ascii="Arial" w:hAnsi="Arial"/>
      <w:sz w:val="22"/>
    </w:rPr>
  </w:style>
  <w:style w:type="paragraph" w:customStyle="1" w:styleId="SPE-Titulo5">
    <w:name w:val="SPE - Titulo 5"/>
    <w:basedOn w:val="SPE-Texto"/>
    <w:next w:val="SPE-Texto"/>
    <w:rsid w:val="00D033F1"/>
    <w:pPr>
      <w:keepNext/>
      <w:spacing w:before="300" w:line="280" w:lineRule="atLeast"/>
    </w:pPr>
    <w:rPr>
      <w:b/>
      <w:color w:val="595959"/>
      <w:sz w:val="22"/>
      <w:szCs w:val="22"/>
    </w:rPr>
  </w:style>
  <w:style w:type="paragraph" w:customStyle="1" w:styleId="SPE-Lista1tracinho">
    <w:name w:val="SPE - Lista 1 tracinho"/>
    <w:basedOn w:val="SPE-Texto"/>
    <w:rsid w:val="00D033F1"/>
    <w:pPr>
      <w:numPr>
        <w:numId w:val="43"/>
      </w:numPr>
      <w:tabs>
        <w:tab w:val="left" w:pos="567"/>
      </w:tabs>
      <w:spacing w:before="0"/>
    </w:pPr>
  </w:style>
  <w:style w:type="character" w:styleId="HiperlinkVisitado">
    <w:name w:val="FollowedHyperlink"/>
    <w:rsid w:val="00857735"/>
    <w:rPr>
      <w:color w:val="800080"/>
      <w:u w:val="single"/>
    </w:rPr>
  </w:style>
  <w:style w:type="paragraph" w:customStyle="1" w:styleId="p12">
    <w:name w:val="p12"/>
    <w:basedOn w:val="Normal"/>
    <w:rsid w:val="00EC4728"/>
    <w:pPr>
      <w:spacing w:before="120" w:after="120" w:line="240" w:lineRule="auto"/>
    </w:pPr>
  </w:style>
  <w:style w:type="paragraph" w:customStyle="1" w:styleId="JHSF-Texto">
    <w:name w:val="JHSF - Texto"/>
    <w:basedOn w:val="Normal"/>
    <w:qFormat/>
    <w:rsid w:val="00BC6507"/>
    <w:pPr>
      <w:spacing w:before="240" w:after="240" w:line="240" w:lineRule="auto"/>
    </w:pPr>
    <w:rPr>
      <w:rFonts w:ascii="Century Gothic" w:eastAsia="Calibri" w:hAnsi="Century Gothic"/>
      <w:szCs w:val="22"/>
      <w:lang w:eastAsia="en-US"/>
    </w:rPr>
  </w:style>
  <w:style w:type="paragraph" w:customStyle="1" w:styleId="JHSF-Ttulo3">
    <w:name w:val="JHSF - Título 3"/>
    <w:basedOn w:val="Ttulo3"/>
    <w:qFormat/>
    <w:rsid w:val="00BC6507"/>
    <w:pPr>
      <w:tabs>
        <w:tab w:val="left" w:pos="1134"/>
      </w:tabs>
      <w:spacing w:before="360" w:after="240" w:line="240" w:lineRule="auto"/>
    </w:pPr>
    <w:rPr>
      <w:rFonts w:ascii="Century Gothic" w:hAnsi="Century Gothic"/>
      <w:bCs/>
      <w:smallCaps/>
      <w:color w:val="404040"/>
      <w:sz w:val="25"/>
    </w:rPr>
  </w:style>
  <w:style w:type="paragraph" w:customStyle="1" w:styleId="APM-Lista1tracinho">
    <w:name w:val="APM - Lista 1 tracinho"/>
    <w:basedOn w:val="Normal"/>
    <w:rsid w:val="00BC6507"/>
    <w:pPr>
      <w:tabs>
        <w:tab w:val="num" w:pos="357"/>
      </w:tabs>
      <w:spacing w:after="240" w:line="240" w:lineRule="atLeast"/>
      <w:ind w:left="357" w:hanging="357"/>
    </w:pPr>
    <w:rPr>
      <w:rFonts w:ascii="Tahoma" w:hAnsi="Tahoma"/>
      <w:szCs w:val="24"/>
    </w:rPr>
  </w:style>
  <w:style w:type="paragraph" w:customStyle="1" w:styleId="Mineral-Texto">
    <w:name w:val="Mineral - Texto"/>
    <w:basedOn w:val="Normal"/>
    <w:link w:val="Mineral-TextoChar"/>
    <w:qFormat/>
    <w:rsid w:val="0033085E"/>
    <w:pPr>
      <w:spacing w:after="240" w:line="240" w:lineRule="atLeast"/>
    </w:pPr>
    <w:rPr>
      <w:rFonts w:eastAsia="Calibri"/>
      <w:szCs w:val="22"/>
      <w:lang w:eastAsia="en-US"/>
    </w:rPr>
  </w:style>
  <w:style w:type="character" w:customStyle="1" w:styleId="Mineral-TextoChar">
    <w:name w:val="Mineral - Texto Char"/>
    <w:link w:val="Mineral-Texto"/>
    <w:rsid w:val="0033085E"/>
    <w:rPr>
      <w:rFonts w:ascii="Arial" w:eastAsia="Calibri" w:hAnsi="Arial"/>
      <w:sz w:val="22"/>
      <w:szCs w:val="22"/>
      <w:lang w:eastAsia="en-US"/>
    </w:rPr>
  </w:style>
  <w:style w:type="paragraph" w:customStyle="1" w:styleId="SPE-DentrodoQuadro9">
    <w:name w:val="SPE - Dentro do Quadro 9"/>
    <w:basedOn w:val="SPE-Texto"/>
    <w:rsid w:val="0033085E"/>
    <w:pPr>
      <w:spacing w:before="40" w:after="40" w:line="240" w:lineRule="auto"/>
      <w:jc w:val="center"/>
    </w:pPr>
    <w:rPr>
      <w:sz w:val="18"/>
      <w:szCs w:val="18"/>
    </w:rPr>
  </w:style>
  <w:style w:type="paragraph" w:customStyle="1" w:styleId="SPE-Fontes">
    <w:name w:val="SPE - Fontes"/>
    <w:basedOn w:val="SPE-Texto"/>
    <w:next w:val="SPE-Texto"/>
    <w:rsid w:val="0033085E"/>
    <w:pPr>
      <w:spacing w:before="0" w:after="360"/>
    </w:pPr>
    <w:rPr>
      <w:sz w:val="14"/>
      <w:szCs w:val="16"/>
    </w:rPr>
  </w:style>
  <w:style w:type="paragraph" w:customStyle="1" w:styleId="SPE-NotasdeRodap">
    <w:name w:val="SPE - Notas de Rodapé"/>
    <w:basedOn w:val="Textodenotaderodap"/>
    <w:qFormat/>
    <w:rsid w:val="0033085E"/>
    <w:pPr>
      <w:spacing w:after="120" w:line="240" w:lineRule="auto"/>
      <w:jc w:val="left"/>
    </w:pPr>
    <w:rPr>
      <w:rFonts w:ascii="Trebuchet MS" w:hAnsi="Trebuchet MS"/>
      <w:sz w:val="16"/>
      <w:szCs w:val="18"/>
    </w:rPr>
  </w:style>
  <w:style w:type="table" w:customStyle="1" w:styleId="Tabelacomgrade8">
    <w:name w:val="Tabela com grade8"/>
    <w:basedOn w:val="Tabelanormal"/>
    <w:next w:val="Tabelacomgrade"/>
    <w:uiPriority w:val="59"/>
    <w:rsid w:val="004B52C1"/>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9">
    <w:name w:val="Tabela com grade9"/>
    <w:basedOn w:val="Tabelanormal"/>
    <w:next w:val="Tabelacomgrade"/>
    <w:uiPriority w:val="59"/>
    <w:rsid w:val="000F3C96"/>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0">
    <w:name w:val="Tabela com grade10"/>
    <w:basedOn w:val="Tabelanormal"/>
    <w:next w:val="Tabelacomgrade"/>
    <w:uiPriority w:val="59"/>
    <w:rsid w:val="000F3C96"/>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1">
    <w:name w:val="Tabela com grade11"/>
    <w:basedOn w:val="Tabelanormal"/>
    <w:next w:val="Tabelacomgrade"/>
    <w:uiPriority w:val="59"/>
    <w:rsid w:val="000F3C96"/>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2">
    <w:name w:val="Tabela com grade12"/>
    <w:basedOn w:val="Tabelanormal"/>
    <w:next w:val="Tabelacomgrade"/>
    <w:uiPriority w:val="59"/>
    <w:rsid w:val="000F3C96"/>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3">
    <w:name w:val="Tabela com grade13"/>
    <w:basedOn w:val="Tabelanormal"/>
    <w:next w:val="Tabelacomgrade"/>
    <w:uiPriority w:val="59"/>
    <w:rsid w:val="00E27765"/>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4">
    <w:name w:val="Tabela com grade14"/>
    <w:basedOn w:val="Tabelanormal"/>
    <w:next w:val="Tabelacomgrade"/>
    <w:uiPriority w:val="59"/>
    <w:rsid w:val="00E27765"/>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5">
    <w:name w:val="Tabela com grade15"/>
    <w:basedOn w:val="Tabelanormal"/>
    <w:next w:val="Tabelacomgrade"/>
    <w:uiPriority w:val="59"/>
    <w:rsid w:val="00E27765"/>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6">
    <w:name w:val="Tabela com grade16"/>
    <w:basedOn w:val="Tabelanormal"/>
    <w:next w:val="Tabelacomgrade"/>
    <w:uiPriority w:val="59"/>
    <w:rsid w:val="001835E6"/>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4">
    <w:name w:val="Estilo4"/>
    <w:basedOn w:val="Normal"/>
    <w:next w:val="Normal"/>
    <w:rsid w:val="00F7710C"/>
    <w:pPr>
      <w:spacing w:before="60"/>
      <w:ind w:left="1440"/>
    </w:pPr>
    <w:rPr>
      <w:sz w:val="20"/>
    </w:rPr>
  </w:style>
  <w:style w:type="table" w:customStyle="1" w:styleId="Tabelacomgrade17">
    <w:name w:val="Tabela com grade17"/>
    <w:basedOn w:val="Tabelanormal"/>
    <w:next w:val="Tabelacomgrade"/>
    <w:uiPriority w:val="59"/>
    <w:rsid w:val="008F4D63"/>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8">
    <w:name w:val="Tabela com grade18"/>
    <w:basedOn w:val="Tabelanormal"/>
    <w:next w:val="Tabelacomgrade"/>
    <w:uiPriority w:val="59"/>
    <w:rsid w:val="005252F1"/>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9">
    <w:name w:val="Tabela com grade19"/>
    <w:basedOn w:val="Tabelanormal"/>
    <w:next w:val="Tabelacomgrade"/>
    <w:uiPriority w:val="59"/>
    <w:rsid w:val="005252F1"/>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0">
    <w:name w:val="Tabela com grade20"/>
    <w:basedOn w:val="Tabelanormal"/>
    <w:next w:val="Tabelacomgrade"/>
    <w:uiPriority w:val="59"/>
    <w:rsid w:val="00822193"/>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1">
    <w:name w:val="Tabela com grade21"/>
    <w:basedOn w:val="Tabelanormal"/>
    <w:next w:val="Tabelacomgrade"/>
    <w:uiPriority w:val="59"/>
    <w:rsid w:val="006664B2"/>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2">
    <w:name w:val="Tabela com grade22"/>
    <w:basedOn w:val="Tabelanormal"/>
    <w:next w:val="Tabelacomgrade"/>
    <w:uiPriority w:val="59"/>
    <w:rsid w:val="001E2B92"/>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3">
    <w:name w:val="Tabela com grade23"/>
    <w:basedOn w:val="Tabelanormal"/>
    <w:next w:val="Tabelacomgrade"/>
    <w:uiPriority w:val="59"/>
    <w:rsid w:val="00EB63CE"/>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4">
    <w:name w:val="Tabela com grade24"/>
    <w:basedOn w:val="Tabelanormal"/>
    <w:next w:val="Tabelacomgrade"/>
    <w:uiPriority w:val="59"/>
    <w:rsid w:val="00F75047"/>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odoTexto">
    <w:name w:val="# Corpo do Texto"/>
    <w:basedOn w:val="Normal"/>
    <w:link w:val="CorpodoTextoChar"/>
    <w:rsid w:val="00B90902"/>
    <w:pPr>
      <w:spacing w:before="120" w:after="120" w:line="240" w:lineRule="auto"/>
    </w:pPr>
    <w:rPr>
      <w:szCs w:val="24"/>
    </w:rPr>
  </w:style>
  <w:style w:type="character" w:customStyle="1" w:styleId="CorpodoTextoChar">
    <w:name w:val="# Corpo do Texto Char"/>
    <w:link w:val="CorpodoTexto"/>
    <w:rsid w:val="00B90902"/>
    <w:rPr>
      <w:rFonts w:ascii="Arial" w:hAnsi="Arial"/>
      <w:sz w:val="22"/>
      <w:szCs w:val="24"/>
    </w:rPr>
  </w:style>
  <w:style w:type="numbering" w:customStyle="1" w:styleId="1ai24">
    <w:name w:val="1 / a / i24"/>
    <w:basedOn w:val="Semlista"/>
    <w:next w:val="1ai"/>
    <w:rsid w:val="00627FA2"/>
    <w:pPr>
      <w:numPr>
        <w:numId w:val="18"/>
      </w:numPr>
    </w:pPr>
  </w:style>
  <w:style w:type="numbering" w:customStyle="1" w:styleId="1ai4">
    <w:name w:val="1 / a / i4"/>
    <w:basedOn w:val="Semlista"/>
    <w:next w:val="1ai"/>
    <w:rsid w:val="00627FA2"/>
    <w:pPr>
      <w:numPr>
        <w:numId w:val="17"/>
      </w:numPr>
    </w:pPr>
  </w:style>
  <w:style w:type="paragraph" w:customStyle="1" w:styleId="GradeMdia22">
    <w:name w:val="Grade Média 22"/>
    <w:qFormat/>
    <w:rsid w:val="00627FA2"/>
    <w:rPr>
      <w:rFonts w:ascii="Calibri" w:hAnsi="Calibri"/>
      <w:sz w:val="22"/>
      <w:szCs w:val="22"/>
    </w:rPr>
  </w:style>
  <w:style w:type="numbering" w:customStyle="1" w:styleId="1ai112">
    <w:name w:val="1 / a / i112"/>
    <w:basedOn w:val="Semlista"/>
    <w:next w:val="1ai"/>
    <w:rsid w:val="00627FA2"/>
    <w:pPr>
      <w:numPr>
        <w:numId w:val="21"/>
      </w:numPr>
    </w:pPr>
  </w:style>
  <w:style w:type="numbering" w:customStyle="1" w:styleId="1ai13">
    <w:name w:val="1 / a / i13"/>
    <w:basedOn w:val="Semlista"/>
    <w:next w:val="1ai"/>
    <w:rsid w:val="00627FA2"/>
    <w:pPr>
      <w:numPr>
        <w:numId w:val="25"/>
      </w:numPr>
    </w:pPr>
  </w:style>
  <w:style w:type="numbering" w:customStyle="1" w:styleId="1ai212">
    <w:name w:val="1 / a / i212"/>
    <w:basedOn w:val="Semlista"/>
    <w:next w:val="1ai"/>
    <w:rsid w:val="00627FA2"/>
    <w:pPr>
      <w:numPr>
        <w:numId w:val="12"/>
      </w:numPr>
    </w:pPr>
  </w:style>
  <w:style w:type="paragraph" w:customStyle="1" w:styleId="Clula1">
    <w:name w:val="Célula 1"/>
    <w:basedOn w:val="Normal"/>
    <w:link w:val="Clula1Char"/>
    <w:qFormat/>
    <w:rsid w:val="00627FA2"/>
    <w:pPr>
      <w:spacing w:before="120" w:after="120" w:line="240" w:lineRule="auto"/>
      <w:jc w:val="center"/>
    </w:pPr>
    <w:rPr>
      <w:b/>
      <w:color w:val="FFFFFF"/>
      <w:sz w:val="20"/>
      <w:szCs w:val="24"/>
    </w:rPr>
  </w:style>
  <w:style w:type="paragraph" w:customStyle="1" w:styleId="Clula2">
    <w:name w:val="Célula 2"/>
    <w:basedOn w:val="Normal"/>
    <w:link w:val="Clula2Char"/>
    <w:qFormat/>
    <w:rsid w:val="00627FA2"/>
    <w:pPr>
      <w:spacing w:before="60" w:after="60" w:line="240" w:lineRule="auto"/>
      <w:jc w:val="left"/>
    </w:pPr>
    <w:rPr>
      <w:sz w:val="20"/>
      <w:szCs w:val="24"/>
    </w:rPr>
  </w:style>
  <w:style w:type="paragraph" w:customStyle="1" w:styleId="Clula3">
    <w:name w:val="Célula 3"/>
    <w:basedOn w:val="Normal"/>
    <w:link w:val="Clula3Char"/>
    <w:rsid w:val="00627FA2"/>
    <w:pPr>
      <w:spacing w:before="60" w:after="60" w:line="240" w:lineRule="auto"/>
      <w:jc w:val="center"/>
    </w:pPr>
    <w:rPr>
      <w:sz w:val="20"/>
      <w:szCs w:val="24"/>
    </w:rPr>
  </w:style>
  <w:style w:type="character" w:customStyle="1" w:styleId="Clula2Char">
    <w:name w:val="Célula 2 Char"/>
    <w:link w:val="Clula2"/>
    <w:uiPriority w:val="99"/>
    <w:rsid w:val="00627FA2"/>
    <w:rPr>
      <w:rFonts w:ascii="Arial" w:hAnsi="Arial"/>
      <w:szCs w:val="24"/>
    </w:rPr>
  </w:style>
  <w:style w:type="character" w:customStyle="1" w:styleId="Clula1Char">
    <w:name w:val="Célula 1 Char"/>
    <w:link w:val="Clula1"/>
    <w:locked/>
    <w:rsid w:val="00627FA2"/>
    <w:rPr>
      <w:rFonts w:ascii="Arial" w:hAnsi="Arial"/>
      <w:b/>
      <w:color w:val="FFFFFF"/>
      <w:szCs w:val="24"/>
    </w:rPr>
  </w:style>
  <w:style w:type="paragraph" w:customStyle="1" w:styleId="Numerada1">
    <w:name w:val="Numerada 1"/>
    <w:basedOn w:val="Numerada"/>
    <w:semiHidden/>
    <w:rsid w:val="00627FA2"/>
    <w:pPr>
      <w:numPr>
        <w:numId w:val="60"/>
      </w:numPr>
      <w:tabs>
        <w:tab w:val="clear" w:pos="360"/>
        <w:tab w:val="num" w:pos="113"/>
        <w:tab w:val="num" w:pos="1134"/>
        <w:tab w:val="num" w:pos="1162"/>
      </w:tabs>
      <w:spacing w:after="220" w:line="320" w:lineRule="exact"/>
      <w:ind w:left="0" w:firstLine="0"/>
      <w:contextualSpacing w:val="0"/>
    </w:pPr>
    <w:rPr>
      <w:rFonts w:ascii="Verdana" w:hAnsi="Verdana" w:cs="Verdana"/>
      <w:b/>
      <w:bCs/>
      <w:szCs w:val="22"/>
    </w:rPr>
  </w:style>
  <w:style w:type="character" w:customStyle="1" w:styleId="Clula3Char">
    <w:name w:val="Célula 3 Char"/>
    <w:link w:val="Clula3"/>
    <w:locked/>
    <w:rsid w:val="00627FA2"/>
    <w:rPr>
      <w:rFonts w:ascii="Arial" w:hAnsi="Arial"/>
      <w:szCs w:val="24"/>
    </w:rPr>
  </w:style>
  <w:style w:type="paragraph" w:styleId="Numerada">
    <w:name w:val="List Number"/>
    <w:basedOn w:val="Normal"/>
    <w:rsid w:val="00627FA2"/>
    <w:pPr>
      <w:numPr>
        <w:numId w:val="37"/>
      </w:numPr>
      <w:contextualSpacing/>
    </w:pPr>
  </w:style>
  <w:style w:type="paragraph" w:customStyle="1" w:styleId="NormalManchete">
    <w:name w:val="Normal Manchete"/>
    <w:basedOn w:val="Normal"/>
    <w:next w:val="Normal"/>
    <w:link w:val="NormalMancheteChar1"/>
    <w:rsid w:val="00627FA2"/>
    <w:pPr>
      <w:spacing w:after="240" w:line="280" w:lineRule="atLeast"/>
      <w:jc w:val="left"/>
    </w:pPr>
    <w:rPr>
      <w:b/>
      <w:i/>
      <w:color w:val="007EA1"/>
      <w:sz w:val="24"/>
      <w:szCs w:val="18"/>
      <w:lang w:eastAsia="en-GB"/>
    </w:rPr>
  </w:style>
  <w:style w:type="paragraph" w:customStyle="1" w:styleId="Anexo">
    <w:name w:val="Anexo"/>
    <w:basedOn w:val="Normal"/>
    <w:next w:val="Normal"/>
    <w:rsid w:val="00627FA2"/>
    <w:pPr>
      <w:keepNext/>
      <w:keepLines/>
      <w:pageBreakBefore/>
      <w:numPr>
        <w:numId w:val="61"/>
      </w:numPr>
      <w:spacing w:before="600" w:after="360" w:line="280" w:lineRule="atLeast"/>
      <w:jc w:val="left"/>
    </w:pPr>
    <w:rPr>
      <w:color w:val="0079A2"/>
      <w:sz w:val="40"/>
      <w:szCs w:val="18"/>
      <w:lang w:eastAsia="en-GB"/>
    </w:rPr>
  </w:style>
  <w:style w:type="character" w:customStyle="1" w:styleId="NormalMancheteChar1">
    <w:name w:val="Normal Manchete Char1"/>
    <w:link w:val="NormalManchete"/>
    <w:rsid w:val="00627FA2"/>
    <w:rPr>
      <w:rFonts w:ascii="Arial" w:hAnsi="Arial"/>
      <w:b/>
      <w:i/>
      <w:color w:val="007EA1"/>
      <w:sz w:val="24"/>
      <w:szCs w:val="18"/>
      <w:lang w:eastAsia="en-GB"/>
    </w:rPr>
  </w:style>
  <w:style w:type="character" w:customStyle="1" w:styleId="Marcador1Char">
    <w:name w:val="Marcador 1 Char"/>
    <w:rsid w:val="00627FA2"/>
    <w:rPr>
      <w:rFonts w:ascii="Arial" w:hAnsi="Arial"/>
      <w:sz w:val="22"/>
    </w:rPr>
  </w:style>
  <w:style w:type="paragraph" w:customStyle="1" w:styleId="CBE-Texto">
    <w:name w:val="CBE - Texto"/>
    <w:basedOn w:val="Normal"/>
    <w:link w:val="CBE-TextoChar"/>
    <w:qFormat/>
    <w:rsid w:val="00627FA2"/>
    <w:pPr>
      <w:spacing w:before="120" w:after="240" w:line="240" w:lineRule="atLeast"/>
    </w:pPr>
    <w:rPr>
      <w:rFonts w:ascii="Century Gothic" w:hAnsi="Century Gothic"/>
      <w:szCs w:val="24"/>
    </w:rPr>
  </w:style>
  <w:style w:type="character" w:customStyle="1" w:styleId="CBE-TextoChar">
    <w:name w:val="CBE - Texto Char"/>
    <w:link w:val="CBE-Texto"/>
    <w:rsid w:val="00627FA2"/>
    <w:rPr>
      <w:rFonts w:ascii="Century Gothic" w:hAnsi="Century Gothic"/>
      <w:sz w:val="22"/>
      <w:szCs w:val="24"/>
    </w:rPr>
  </w:style>
  <w:style w:type="paragraph" w:customStyle="1" w:styleId="corpotexto">
    <w:name w:val="corpo texto"/>
    <w:rsid w:val="00627FA2"/>
    <w:pPr>
      <w:suppressAutoHyphens/>
      <w:spacing w:after="240" w:line="280" w:lineRule="atLeast"/>
      <w:jc w:val="both"/>
    </w:pPr>
    <w:rPr>
      <w:rFonts w:ascii="Arial" w:hAnsi="Arial"/>
      <w:sz w:val="22"/>
      <w:szCs w:val="24"/>
    </w:rPr>
  </w:style>
  <w:style w:type="paragraph" w:customStyle="1" w:styleId="Texto">
    <w:name w:val="Texto"/>
    <w:basedOn w:val="Normal"/>
    <w:link w:val="TextoChar"/>
    <w:autoRedefine/>
    <w:uiPriority w:val="99"/>
    <w:rsid w:val="00627FA2"/>
    <w:pPr>
      <w:numPr>
        <w:numId w:val="62"/>
      </w:numPr>
      <w:spacing w:after="240" w:line="300" w:lineRule="auto"/>
    </w:pPr>
    <w:rPr>
      <w:noProof/>
      <w:szCs w:val="22"/>
    </w:rPr>
  </w:style>
  <w:style w:type="paragraph" w:customStyle="1" w:styleId="Pa18">
    <w:name w:val="Pa18"/>
    <w:basedOn w:val="Default"/>
    <w:next w:val="Default"/>
    <w:uiPriority w:val="99"/>
    <w:rsid w:val="00627FA2"/>
    <w:pPr>
      <w:spacing w:line="161" w:lineRule="atLeast"/>
    </w:pPr>
    <w:rPr>
      <w:rFonts w:ascii="Frutiger 45 Light" w:hAnsi="Frutiger 45 Light" w:cs="Times New Roman"/>
      <w:color w:val="auto"/>
    </w:rPr>
  </w:style>
  <w:style w:type="paragraph" w:customStyle="1" w:styleId="Pa20">
    <w:name w:val="Pa20"/>
    <w:basedOn w:val="Default"/>
    <w:next w:val="Default"/>
    <w:uiPriority w:val="99"/>
    <w:rsid w:val="00627FA2"/>
    <w:pPr>
      <w:spacing w:line="161" w:lineRule="atLeast"/>
    </w:pPr>
    <w:rPr>
      <w:rFonts w:ascii="Frutiger 45 Light" w:hAnsi="Frutiger 45 Light" w:cs="Times New Roman"/>
      <w:color w:val="auto"/>
    </w:rPr>
  </w:style>
  <w:style w:type="character" w:customStyle="1" w:styleId="CorpodetextoChar1">
    <w:name w:val="Corpo de texto Char1"/>
    <w:aliases w:val="Body Text Char Char Char Char Char Char Char Char Char1,Body Text Char Char1,Body Text Char Char Char Char Char Char Char Char Char Char Char Char Char Char Char Char1"/>
    <w:uiPriority w:val="99"/>
    <w:rsid w:val="00627FA2"/>
    <w:rPr>
      <w:rFonts w:ascii="Arial" w:hAnsi="Arial"/>
      <w:sz w:val="22"/>
    </w:rPr>
  </w:style>
  <w:style w:type="paragraph" w:styleId="Listadecontinuao3">
    <w:name w:val="List Continue 3"/>
    <w:basedOn w:val="Normal"/>
    <w:rsid w:val="00627FA2"/>
    <w:pPr>
      <w:spacing w:after="120"/>
      <w:ind w:left="849"/>
      <w:contextualSpacing/>
    </w:pPr>
  </w:style>
  <w:style w:type="paragraph" w:customStyle="1" w:styleId="Pa36">
    <w:name w:val="Pa36"/>
    <w:basedOn w:val="Normal"/>
    <w:next w:val="Normal"/>
    <w:uiPriority w:val="99"/>
    <w:rsid w:val="00627FA2"/>
    <w:pPr>
      <w:autoSpaceDE w:val="0"/>
      <w:autoSpaceDN w:val="0"/>
      <w:adjustRightInd w:val="0"/>
      <w:spacing w:line="141" w:lineRule="atLeast"/>
      <w:jc w:val="left"/>
    </w:pPr>
    <w:rPr>
      <w:rFonts w:ascii="Frutiger-Cn" w:hAnsi="Frutiger-Cn"/>
      <w:sz w:val="24"/>
      <w:szCs w:val="24"/>
    </w:rPr>
  </w:style>
  <w:style w:type="character" w:customStyle="1" w:styleId="TextoChar">
    <w:name w:val="Texto Char"/>
    <w:link w:val="Texto"/>
    <w:uiPriority w:val="99"/>
    <w:locked/>
    <w:rsid w:val="00627FA2"/>
    <w:rPr>
      <w:rFonts w:ascii="Arial" w:hAnsi="Arial"/>
      <w:noProof/>
      <w:sz w:val="22"/>
      <w:szCs w:val="22"/>
    </w:rPr>
  </w:style>
  <w:style w:type="paragraph" w:customStyle="1" w:styleId="TtuloFigura">
    <w:name w:val="Título Figura"/>
    <w:basedOn w:val="Normal"/>
    <w:next w:val="Normal"/>
    <w:rsid w:val="00627FA2"/>
    <w:pPr>
      <w:spacing w:before="120" w:after="240" w:line="300" w:lineRule="auto"/>
    </w:pPr>
    <w:rPr>
      <w:sz w:val="20"/>
      <w:szCs w:val="18"/>
      <w:lang w:eastAsia="en-GB"/>
    </w:rPr>
  </w:style>
  <w:style w:type="paragraph" w:styleId="Commarcadores">
    <w:name w:val="List Bullet"/>
    <w:basedOn w:val="Normal"/>
    <w:rsid w:val="001936D9"/>
    <w:pPr>
      <w:numPr>
        <w:numId w:val="69"/>
      </w:numPr>
      <w:contextualSpacing/>
    </w:pPr>
  </w:style>
  <w:style w:type="paragraph" w:customStyle="1" w:styleId="TitulodoRelatorio">
    <w:name w:val="Titulo do Relatorio"/>
    <w:basedOn w:val="Normal"/>
    <w:next w:val="Normal"/>
    <w:rsid w:val="00AF1DD3"/>
    <w:pPr>
      <w:spacing w:after="240" w:line="280" w:lineRule="atLeast"/>
    </w:pPr>
    <w:rPr>
      <w:b/>
      <w:color w:val="0079A2"/>
      <w:sz w:val="28"/>
      <w:szCs w:val="24"/>
      <w:lang w:eastAsia="en-GB"/>
    </w:rPr>
  </w:style>
  <w:style w:type="character" w:customStyle="1" w:styleId="NormalDestaque">
    <w:name w:val="Normal Destaque"/>
    <w:rsid w:val="00AF1DD3"/>
    <w:rPr>
      <w:b/>
      <w:bCs/>
      <w:color w:val="0079A2"/>
    </w:rPr>
  </w:style>
  <w:style w:type="paragraph" w:customStyle="1" w:styleId="ndice">
    <w:name w:val="Índice"/>
    <w:basedOn w:val="Normal"/>
    <w:next w:val="Normal"/>
    <w:rsid w:val="00AF1DD3"/>
    <w:pPr>
      <w:keepNext/>
      <w:keepLines/>
      <w:spacing w:before="240" w:after="120" w:line="280" w:lineRule="atLeast"/>
    </w:pPr>
    <w:rPr>
      <w:color w:val="0079A2"/>
      <w:sz w:val="32"/>
      <w:szCs w:val="18"/>
      <w:lang w:eastAsia="en-GB"/>
    </w:rPr>
  </w:style>
  <w:style w:type="paragraph" w:customStyle="1" w:styleId="Marcador2">
    <w:name w:val="Marcador 2"/>
    <w:basedOn w:val="Normal"/>
    <w:rsid w:val="00AF1DD3"/>
    <w:pPr>
      <w:numPr>
        <w:numId w:val="72"/>
      </w:numPr>
      <w:spacing w:before="60" w:line="280" w:lineRule="atLeast"/>
    </w:pPr>
    <w:rPr>
      <w:szCs w:val="18"/>
      <w:lang w:eastAsia="en-GB"/>
    </w:rPr>
  </w:style>
  <w:style w:type="paragraph" w:customStyle="1" w:styleId="NormalAzulCinza">
    <w:name w:val="Normal Azul Cinza"/>
    <w:basedOn w:val="Normal"/>
    <w:rsid w:val="00AF1DD3"/>
    <w:pPr>
      <w:shd w:val="clear" w:color="auto" w:fill="E6E6E6"/>
      <w:spacing w:after="240" w:line="280" w:lineRule="atLeast"/>
    </w:pPr>
    <w:rPr>
      <w:color w:val="0079A2"/>
      <w:lang w:eastAsia="en-GB"/>
    </w:rPr>
  </w:style>
  <w:style w:type="paragraph" w:customStyle="1" w:styleId="Pr-Ttulo">
    <w:name w:val="Pré-Título"/>
    <w:basedOn w:val="Normal"/>
    <w:next w:val="Normal"/>
    <w:rsid w:val="00AF1DD3"/>
    <w:pPr>
      <w:keepNext/>
      <w:keepLines/>
      <w:pageBreakBefore/>
      <w:spacing w:before="600" w:after="360" w:line="280" w:lineRule="atLeast"/>
      <w:jc w:val="left"/>
    </w:pPr>
    <w:rPr>
      <w:color w:val="0079A2"/>
      <w:sz w:val="40"/>
      <w:szCs w:val="48"/>
      <w:lang w:eastAsia="en-GB"/>
    </w:rPr>
  </w:style>
  <w:style w:type="paragraph" w:customStyle="1" w:styleId="Marcador3">
    <w:name w:val="Marcador 3"/>
    <w:basedOn w:val="Normal"/>
    <w:rsid w:val="00AF1DD3"/>
    <w:pPr>
      <w:numPr>
        <w:numId w:val="73"/>
      </w:numPr>
      <w:spacing w:before="60" w:line="280" w:lineRule="atLeast"/>
    </w:pPr>
    <w:rPr>
      <w:szCs w:val="18"/>
      <w:lang w:eastAsia="en-GB"/>
    </w:rPr>
  </w:style>
  <w:style w:type="paragraph" w:customStyle="1" w:styleId="Normal2semespaamento">
    <w:name w:val="Normal 2_sem espaçamento"/>
    <w:basedOn w:val="Normal"/>
    <w:rsid w:val="00AF1DD3"/>
    <w:pPr>
      <w:spacing w:line="280" w:lineRule="atLeast"/>
    </w:pPr>
    <w:rPr>
      <w:szCs w:val="18"/>
      <w:lang w:eastAsia="en-GB"/>
    </w:rPr>
  </w:style>
  <w:style w:type="table" w:customStyle="1" w:styleId="ModeloTetra">
    <w:name w:val="Modelo Tetra"/>
    <w:basedOn w:val="Tabelanormal"/>
    <w:rsid w:val="00AF1DD3"/>
    <w:pPr>
      <w:jc w:val="center"/>
    </w:pPr>
    <w:rPr>
      <w:rFonts w:ascii="Arial" w:hAnsi="Arial"/>
    </w:rPr>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6E6E6"/>
      <w:vAlign w:val="center"/>
    </w:tcPr>
    <w:tblStylePr w:type="firstRow">
      <w:pPr>
        <w:jc w:val="center"/>
      </w:pPr>
      <w:rPr>
        <w:rFonts w:ascii="Arial" w:hAnsi="Arial"/>
        <w:b/>
        <w:color w:val="FFFFFF"/>
        <w:sz w:val="20"/>
      </w:rPr>
      <w:tblPr/>
      <w:tcPr>
        <w:shd w:val="clear" w:color="auto" w:fill="007EA1"/>
      </w:tcPr>
    </w:tblStylePr>
    <w:tblStylePr w:type="lastRow">
      <w:rPr>
        <w:rFonts w:ascii="Arial" w:hAnsi="Arial"/>
        <w:b/>
        <w:sz w:val="20"/>
      </w:rPr>
      <w:tblPr/>
      <w:tcPr>
        <w:shd w:val="clear" w:color="auto" w:fill="CCCCCC"/>
      </w:tcPr>
    </w:tblStylePr>
    <w:tblStylePr w:type="firstCol">
      <w:pPr>
        <w:jc w:val="left"/>
      </w:pPr>
    </w:tblStylePr>
  </w:style>
  <w:style w:type="table" w:styleId="Tabelaprofissional">
    <w:name w:val="Table Professional"/>
    <w:aliases w:val="Tabela Modelo Tetra"/>
    <w:basedOn w:val="Tabelanormal"/>
    <w:rsid w:val="00AF1DD3"/>
    <w:pPr>
      <w:spacing w:after="240" w:line="280" w:lineRule="atLeast"/>
      <w:jc w:val="center"/>
    </w:pPr>
    <w:tblPr>
      <w:tblBorders>
        <w:top w:val="single" w:sz="6" w:space="0" w:color="FFFFFF"/>
        <w:left w:val="single" w:sz="6" w:space="0" w:color="FFFFFF"/>
        <w:bottom w:val="single" w:sz="6" w:space="0" w:color="FFFFFF"/>
        <w:right w:val="single" w:sz="6" w:space="0" w:color="FFFFFF"/>
        <w:insideH w:val="single" w:sz="6" w:space="0" w:color="FFFFFF"/>
        <w:insideV w:val="single" w:sz="6" w:space="0" w:color="FFFFFF"/>
      </w:tblBorders>
    </w:tblPr>
    <w:tcPr>
      <w:shd w:val="clear" w:color="auto" w:fill="E6E6E6"/>
      <w:vAlign w:val="center"/>
    </w:tcPr>
    <w:tblStylePr w:type="firstRow">
      <w:pPr>
        <w:jc w:val="center"/>
      </w:pPr>
      <w:rPr>
        <w:b/>
        <w:bCs/>
        <w:color w:val="FFFFFF"/>
      </w:rPr>
      <w:tblPr/>
      <w:tcPr>
        <w:shd w:val="clear" w:color="auto" w:fill="007EA1"/>
        <w:vAlign w:val="top"/>
      </w:tcPr>
    </w:tblStylePr>
    <w:tblStylePr w:type="lastRow">
      <w:rPr>
        <w:rFonts w:ascii="Arial" w:hAnsi="Arial"/>
        <w:b/>
        <w:sz w:val="20"/>
      </w:rPr>
    </w:tblStylePr>
  </w:style>
  <w:style w:type="table" w:customStyle="1" w:styleId="EstilodeTabelaModeloTetra">
    <w:name w:val="Estilo de Tabela Modelo Tetra"/>
    <w:basedOn w:val="Tabelanormal"/>
    <w:rsid w:val="00AF1DD3"/>
    <w:pPr>
      <w:jc w:val="center"/>
    </w:pPr>
    <w:rPr>
      <w:rFonts w:ascii="Arial" w:hAnsi="Arial"/>
    </w:rPr>
    <w:tblPr>
      <w:tblBorders>
        <w:top w:val="single" w:sz="6" w:space="0" w:color="FFFFFF"/>
        <w:left w:val="single" w:sz="6" w:space="0" w:color="FFFFFF"/>
        <w:bottom w:val="single" w:sz="6" w:space="0" w:color="FFFFFF"/>
        <w:right w:val="single" w:sz="6" w:space="0" w:color="FFFFFF"/>
        <w:insideH w:val="single" w:sz="6" w:space="0" w:color="FFFFFF"/>
        <w:insideV w:val="single" w:sz="6" w:space="0" w:color="FFFFFF"/>
      </w:tblBorders>
    </w:tblPr>
    <w:tcPr>
      <w:shd w:val="clear" w:color="auto" w:fill="E6E6E6"/>
      <w:vAlign w:val="center"/>
    </w:tcPr>
    <w:tblStylePr w:type="firstRow">
      <w:pPr>
        <w:jc w:val="center"/>
      </w:pPr>
      <w:rPr>
        <w:b/>
        <w:color w:val="FFFFFF"/>
      </w:rPr>
      <w:tblPr/>
      <w:tcPr>
        <w:shd w:val="clear" w:color="auto" w:fill="007EA1"/>
      </w:tcPr>
    </w:tblStylePr>
    <w:tblStylePr w:type="lastRow">
      <w:rPr>
        <w:b/>
      </w:rPr>
      <w:tblPr/>
      <w:tcPr>
        <w:shd w:val="clear" w:color="auto" w:fill="CCCCCC"/>
      </w:tcPr>
    </w:tblStylePr>
    <w:tblStylePr w:type="firstCol">
      <w:pPr>
        <w:jc w:val="left"/>
      </w:pPr>
    </w:tblStylePr>
  </w:style>
  <w:style w:type="paragraph" w:customStyle="1" w:styleId="UNIDUTO-Texto">
    <w:name w:val="UNIDUTO - Texto"/>
    <w:basedOn w:val="Normal"/>
    <w:link w:val="UNIDUTO-TextoChar"/>
    <w:qFormat/>
    <w:rsid w:val="00AF1DD3"/>
    <w:pPr>
      <w:spacing w:after="240" w:line="240" w:lineRule="atLeast"/>
    </w:pPr>
    <w:rPr>
      <w:rFonts w:ascii="Tahoma" w:hAnsi="Tahoma"/>
      <w:szCs w:val="24"/>
    </w:rPr>
  </w:style>
  <w:style w:type="character" w:customStyle="1" w:styleId="UNIDUTO-TextoChar">
    <w:name w:val="UNIDUTO - Texto Char"/>
    <w:link w:val="UNIDUTO-Texto"/>
    <w:rsid w:val="00AF1DD3"/>
    <w:rPr>
      <w:rFonts w:ascii="Tahoma" w:hAnsi="Tahoma"/>
      <w:sz w:val="22"/>
      <w:szCs w:val="24"/>
    </w:rPr>
  </w:style>
  <w:style w:type="numbering" w:customStyle="1" w:styleId="WWOutlineListStyle">
    <w:name w:val="WW_OutlineListStyle"/>
    <w:basedOn w:val="Semlista"/>
    <w:rsid w:val="00AF1DD3"/>
    <w:pPr>
      <w:numPr>
        <w:numId w:val="74"/>
      </w:numPr>
    </w:pPr>
  </w:style>
  <w:style w:type="paragraph" w:customStyle="1" w:styleId="normalpargrafo0">
    <w:name w:val="normal parágrafo"/>
    <w:basedOn w:val="Normal"/>
    <w:autoRedefine/>
    <w:semiHidden/>
    <w:rsid w:val="00AF1DD3"/>
    <w:pPr>
      <w:spacing w:before="120" w:after="120" w:line="240" w:lineRule="atLeast"/>
    </w:pPr>
    <w:rPr>
      <w:bCs/>
      <w:iCs/>
      <w:color w:val="0000FF"/>
      <w:szCs w:val="24"/>
      <w:lang w:eastAsia="en-GB"/>
    </w:rPr>
  </w:style>
  <w:style w:type="paragraph" w:customStyle="1" w:styleId="TEXTOECONSULT">
    <w:name w:val="TEXTO ECONSULT"/>
    <w:basedOn w:val="Normal"/>
    <w:link w:val="TEXTOECONSULTChar"/>
    <w:autoRedefine/>
    <w:rsid w:val="00AF1DD3"/>
    <w:pPr>
      <w:spacing w:before="120" w:after="240" w:line="300" w:lineRule="auto"/>
    </w:pPr>
  </w:style>
  <w:style w:type="character" w:customStyle="1" w:styleId="TEXTOECONSULTChar">
    <w:name w:val="TEXTO ECONSULT Char"/>
    <w:link w:val="TEXTOECONSULT"/>
    <w:rsid w:val="00AF1DD3"/>
    <w:rPr>
      <w:rFonts w:ascii="Arial" w:hAnsi="Arial"/>
      <w:sz w:val="22"/>
    </w:rPr>
  </w:style>
  <w:style w:type="paragraph" w:customStyle="1" w:styleId="TEXTO2">
    <w:name w:val="** TEXTO"/>
    <w:link w:val="TEXTOChar0"/>
    <w:rsid w:val="00AF1DD3"/>
    <w:pPr>
      <w:spacing w:line="312" w:lineRule="auto"/>
      <w:ind w:firstLine="284"/>
      <w:jc w:val="both"/>
    </w:pPr>
    <w:rPr>
      <w:rFonts w:ascii="Garamond" w:eastAsia="PMingLiU" w:hAnsi="Garamond"/>
      <w:sz w:val="24"/>
      <w:szCs w:val="22"/>
      <w:lang w:eastAsia="zh-TW"/>
    </w:rPr>
  </w:style>
  <w:style w:type="character" w:customStyle="1" w:styleId="TEXTOChar0">
    <w:name w:val="** TEXTO Char"/>
    <w:link w:val="TEXTO2"/>
    <w:locked/>
    <w:rsid w:val="00AF1DD3"/>
    <w:rPr>
      <w:rFonts w:ascii="Garamond" w:eastAsia="PMingLiU" w:hAnsi="Garamond"/>
      <w:sz w:val="24"/>
      <w:szCs w:val="22"/>
      <w:lang w:eastAsia="zh-TW"/>
    </w:rPr>
  </w:style>
  <w:style w:type="paragraph" w:styleId="Numerada5">
    <w:name w:val="List Number 5"/>
    <w:basedOn w:val="Normal"/>
    <w:rsid w:val="00AF1DD3"/>
    <w:pPr>
      <w:tabs>
        <w:tab w:val="num" w:pos="1492"/>
      </w:tabs>
      <w:spacing w:before="120" w:after="60" w:line="240" w:lineRule="auto"/>
      <w:ind w:left="1492" w:hanging="360"/>
    </w:pPr>
    <w:rPr>
      <w:sz w:val="24"/>
      <w:lang w:eastAsia="en-US"/>
    </w:rPr>
  </w:style>
  <w:style w:type="paragraph" w:customStyle="1" w:styleId="Corpodotexto0">
    <w:name w:val="Corpo do texto"/>
    <w:basedOn w:val="Normal"/>
    <w:link w:val="CorpodotextoChar0"/>
    <w:rsid w:val="00AF1DD3"/>
    <w:pPr>
      <w:suppressAutoHyphens/>
      <w:overflowPunct w:val="0"/>
      <w:autoSpaceDE w:val="0"/>
      <w:autoSpaceDN w:val="0"/>
      <w:adjustRightInd w:val="0"/>
      <w:spacing w:line="240" w:lineRule="auto"/>
      <w:textAlignment w:val="baseline"/>
    </w:pPr>
    <w:rPr>
      <w:noProof/>
    </w:rPr>
  </w:style>
  <w:style w:type="character" w:customStyle="1" w:styleId="CorpodotextoChar0">
    <w:name w:val="Corpo do texto Char"/>
    <w:link w:val="Corpodotexto0"/>
    <w:rsid w:val="00AF1DD3"/>
    <w:rPr>
      <w:rFonts w:ascii="Arial" w:hAnsi="Arial"/>
      <w:noProof/>
      <w:sz w:val="22"/>
    </w:rPr>
  </w:style>
  <w:style w:type="paragraph" w:customStyle="1" w:styleId="Estilo01">
    <w:name w:val="Estilo.01"/>
    <w:basedOn w:val="Normal"/>
    <w:rsid w:val="00AF1DD3"/>
    <w:pPr>
      <w:keepNext/>
      <w:tabs>
        <w:tab w:val="left" w:pos="567"/>
      </w:tabs>
      <w:spacing w:after="240" w:line="240" w:lineRule="auto"/>
    </w:pPr>
    <w:rPr>
      <w:rFonts w:ascii="Times New Roman" w:hAnsi="Times New Roman"/>
      <w:b/>
      <w:sz w:val="24"/>
    </w:rPr>
  </w:style>
  <w:style w:type="paragraph" w:customStyle="1" w:styleId="APM-Titulo2">
    <w:name w:val="APM - Titulo 2"/>
    <w:basedOn w:val="Normal"/>
    <w:next w:val="Normal"/>
    <w:qFormat/>
    <w:rsid w:val="00AF1DD3"/>
    <w:pPr>
      <w:keepNext/>
      <w:spacing w:after="240" w:line="240" w:lineRule="atLeast"/>
      <w:ind w:left="709" w:hanging="709"/>
    </w:pPr>
    <w:rPr>
      <w:rFonts w:ascii="Tahoma" w:hAnsi="Tahoma"/>
      <w:b/>
      <w:caps/>
      <w:sz w:val="26"/>
      <w:szCs w:val="24"/>
    </w:rPr>
  </w:style>
  <w:style w:type="paragraph" w:customStyle="1" w:styleId="JHSF-Ttulo1">
    <w:name w:val="JHSF - Título 1"/>
    <w:basedOn w:val="Ttulo1"/>
    <w:qFormat/>
    <w:rsid w:val="00AF1DD3"/>
    <w:pPr>
      <w:keepLines/>
      <w:numPr>
        <w:numId w:val="0"/>
      </w:numPr>
      <w:tabs>
        <w:tab w:val="clear" w:pos="0"/>
        <w:tab w:val="left" w:pos="567"/>
      </w:tabs>
      <w:spacing w:before="480"/>
      <w:jc w:val="both"/>
    </w:pPr>
    <w:rPr>
      <w:rFonts w:ascii="Century Gothic" w:hAnsi="Century Gothic"/>
      <w:bCs/>
      <w:color w:val="404040"/>
      <w:kern w:val="0"/>
      <w:sz w:val="28"/>
      <w:szCs w:val="28"/>
      <w:lang w:eastAsia="en-US"/>
    </w:rPr>
  </w:style>
  <w:style w:type="paragraph" w:customStyle="1" w:styleId="JHSF-Ttulo2">
    <w:name w:val="JHSF - Título 2"/>
    <w:basedOn w:val="Ttulo2"/>
    <w:qFormat/>
    <w:rsid w:val="00AF1DD3"/>
    <w:pPr>
      <w:tabs>
        <w:tab w:val="left" w:pos="851"/>
      </w:tabs>
      <w:suppressAutoHyphens/>
      <w:spacing w:before="360" w:after="240" w:line="240" w:lineRule="auto"/>
    </w:pPr>
    <w:rPr>
      <w:rFonts w:ascii="Century Gothic" w:hAnsi="Century Gothic"/>
      <w:bCs/>
      <w:caps/>
      <w:color w:val="404040"/>
      <w:sz w:val="26"/>
      <w:szCs w:val="26"/>
      <w:lang w:eastAsia="en-US"/>
    </w:rPr>
  </w:style>
  <w:style w:type="paragraph" w:customStyle="1" w:styleId="CBE-TtuloTabelas">
    <w:name w:val="CBE - Título Tabelas"/>
    <w:basedOn w:val="Normal"/>
    <w:next w:val="Normal"/>
    <w:qFormat/>
    <w:rsid w:val="00AF1DD3"/>
    <w:pPr>
      <w:keepNext/>
      <w:spacing w:after="240" w:line="240" w:lineRule="atLeast"/>
      <w:jc w:val="center"/>
    </w:pPr>
    <w:rPr>
      <w:rFonts w:ascii="Century Gothic" w:hAnsi="Century Gothic"/>
      <w:b/>
      <w:caps/>
      <w:color w:val="7F7F7F"/>
      <w:sz w:val="20"/>
      <w:szCs w:val="22"/>
    </w:rPr>
  </w:style>
  <w:style w:type="paragraph" w:customStyle="1" w:styleId="ementa">
    <w:name w:val="ementa"/>
    <w:basedOn w:val="Normal"/>
    <w:rsid w:val="00AF1DD3"/>
    <w:pPr>
      <w:spacing w:before="100" w:beforeAutospacing="1" w:after="100" w:afterAutospacing="1" w:line="240" w:lineRule="auto"/>
      <w:jc w:val="left"/>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99"/>
    <w:lsdException w:name="header" w:uiPriority="99"/>
    <w:lsdException w:name="footer" w:uiPriority="99"/>
    <w:lsdException w:name="caption" w:qFormat="1"/>
    <w:lsdException w:name="table of figures" w:uiPriority="99"/>
    <w:lsdException w:name="annotation reference" w:uiPriority="99"/>
    <w:lsdException w:name="List Bullet 2" w:qFormat="1"/>
    <w:lsdException w:name="Title" w:uiPriority="99" w:qFormat="1"/>
    <w:lsdException w:name="Subtitle" w:uiPriority="11" w:qFormat="1"/>
    <w:lsdException w:name="Body Text 3" w:uiPriority="99"/>
    <w:lsdException w:name="Hyperlink" w:uiPriority="99"/>
    <w:lsdException w:name="Strong" w:uiPriority="22" w:qFormat="1"/>
    <w:lsdException w:name="Emphasis" w:uiPriority="20" w:qFormat="1"/>
    <w:lsdException w:name="Document Map" w:uiPriority="99"/>
    <w:lsdException w:name="Normal (Web)" w:uiPriority="99"/>
    <w:lsdException w:name="No List" w:uiPriority="99"/>
    <w:lsdException w:name="Outline List 2" w:uiPriority="99"/>
    <w:lsdException w:name="Table Grid" w:uiPriority="5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D2AD3"/>
    <w:pPr>
      <w:spacing w:line="360" w:lineRule="auto"/>
      <w:jc w:val="both"/>
    </w:pPr>
    <w:rPr>
      <w:rFonts w:ascii="Arial" w:hAnsi="Arial"/>
      <w:sz w:val="22"/>
    </w:rPr>
  </w:style>
  <w:style w:type="paragraph" w:styleId="Ttulo1">
    <w:name w:val="heading 1"/>
    <w:aliases w:val="1 ghost,g,Ghost,Ghost Char,AGROFLOR TÍTULO 1.1,Char Char1,Char Char Char Char Char1,Char Char Char Char,Char Char Char Char Char2, Char, Char Char Char Char,Char Char Char,TTC 1, Char Char Char Char Char Char Char Char Char,CVRD,Char"/>
    <w:basedOn w:val="Normal"/>
    <w:next w:val="Normal"/>
    <w:link w:val="Ttulo1Char"/>
    <w:autoRedefine/>
    <w:qFormat/>
    <w:rsid w:val="00C81961"/>
    <w:pPr>
      <w:keepNext/>
      <w:numPr>
        <w:numId w:val="34"/>
      </w:numPr>
      <w:tabs>
        <w:tab w:val="left" w:pos="0"/>
      </w:tabs>
      <w:spacing w:before="240" w:after="240" w:line="240" w:lineRule="auto"/>
      <w:ind w:left="357" w:hanging="357"/>
      <w:jc w:val="left"/>
      <w:outlineLvl w:val="0"/>
    </w:pPr>
    <w:rPr>
      <w:b/>
      <w:caps/>
      <w:kern w:val="28"/>
    </w:rPr>
  </w:style>
  <w:style w:type="paragraph" w:styleId="Ttulo2">
    <w:name w:val="heading 2"/>
    <w:aliases w:val="sub item2 niveis tetra,2 headline,h,TTC 2,Titulo 2,Titulo2 + À esque...,Titulo2,Título 2-MA Char Char Char Char Char Char,Título 2-MA"/>
    <w:basedOn w:val="Normal"/>
    <w:next w:val="Normal"/>
    <w:link w:val="Ttulo2Char"/>
    <w:qFormat/>
    <w:rsid w:val="00835BED"/>
    <w:pPr>
      <w:keepNext/>
      <w:spacing w:before="200" w:after="100"/>
      <w:outlineLvl w:val="1"/>
    </w:pPr>
    <w:rPr>
      <w:b/>
    </w:rPr>
  </w:style>
  <w:style w:type="paragraph" w:styleId="Ttulo3">
    <w:name w:val="heading 3"/>
    <w:aliases w:val="3 bullet,b,2,TTC 3,B1,SECOND,Second,bill,palatino,blank1,2-HEADER,se...,second,b1,bullet pt,BLANK2,bullet,h3,dot,3bullet,DASH TABLA,Heading 31,Título 31,Titulo3"/>
    <w:basedOn w:val="Normal"/>
    <w:next w:val="Normal"/>
    <w:link w:val="Ttulo3Char"/>
    <w:qFormat/>
    <w:rsid w:val="00835BED"/>
    <w:pPr>
      <w:keepNext/>
      <w:spacing w:before="240" w:after="60"/>
      <w:outlineLvl w:val="2"/>
    </w:pPr>
    <w:rPr>
      <w:b/>
    </w:rPr>
  </w:style>
  <w:style w:type="paragraph" w:styleId="Ttulo4">
    <w:name w:val="heading 4"/>
    <w:basedOn w:val="Normal"/>
    <w:next w:val="Normal"/>
    <w:link w:val="Ttulo4Char"/>
    <w:qFormat/>
    <w:rsid w:val="00835BED"/>
    <w:pPr>
      <w:keepNext/>
      <w:spacing w:before="240" w:after="60"/>
      <w:outlineLvl w:val="3"/>
    </w:pPr>
    <w:rPr>
      <w:b/>
    </w:rPr>
  </w:style>
  <w:style w:type="paragraph" w:styleId="Ttulo5">
    <w:name w:val="heading 5"/>
    <w:aliases w:val="quadros,Título Impacto Char,Título Impacto"/>
    <w:basedOn w:val="Normal"/>
    <w:next w:val="Normal"/>
    <w:link w:val="Ttulo5Char"/>
    <w:qFormat/>
    <w:rsid w:val="00835BED"/>
    <w:pPr>
      <w:numPr>
        <w:numId w:val="1"/>
      </w:numPr>
      <w:spacing w:before="120" w:after="120" w:line="240" w:lineRule="auto"/>
      <w:ind w:left="357" w:hanging="357"/>
      <w:outlineLvl w:val="4"/>
    </w:pPr>
  </w:style>
  <w:style w:type="paragraph" w:styleId="Ttulo6">
    <w:name w:val="heading 6"/>
    <w:basedOn w:val="Normal"/>
    <w:next w:val="Normal"/>
    <w:link w:val="Ttulo6Char"/>
    <w:qFormat/>
    <w:rsid w:val="00835BED"/>
    <w:pPr>
      <w:numPr>
        <w:numId w:val="2"/>
      </w:numPr>
      <w:spacing w:before="240" w:after="60"/>
      <w:outlineLvl w:val="5"/>
    </w:pPr>
  </w:style>
  <w:style w:type="paragraph" w:styleId="Ttulo7">
    <w:name w:val="heading 7"/>
    <w:basedOn w:val="Normal"/>
    <w:next w:val="Normal"/>
    <w:link w:val="Ttulo7Char"/>
    <w:qFormat/>
    <w:rsid w:val="00835BED"/>
    <w:pPr>
      <w:numPr>
        <w:numId w:val="3"/>
      </w:numPr>
      <w:spacing w:before="120" w:after="120" w:line="240" w:lineRule="auto"/>
      <w:outlineLvl w:val="6"/>
    </w:pPr>
  </w:style>
  <w:style w:type="paragraph" w:styleId="Ttulo8">
    <w:name w:val="heading 8"/>
    <w:basedOn w:val="Normal"/>
    <w:next w:val="Normal"/>
    <w:link w:val="Ttulo8Char"/>
    <w:qFormat/>
    <w:rsid w:val="00835BED"/>
    <w:pPr>
      <w:numPr>
        <w:numId w:val="4"/>
      </w:numPr>
      <w:tabs>
        <w:tab w:val="clear" w:pos="624"/>
        <w:tab w:val="num" w:pos="709"/>
      </w:tabs>
      <w:spacing w:before="240" w:after="60"/>
      <w:ind w:left="794"/>
      <w:outlineLvl w:val="7"/>
    </w:pPr>
  </w:style>
  <w:style w:type="paragraph" w:styleId="Ttulo9">
    <w:name w:val="heading 9"/>
    <w:basedOn w:val="Normal"/>
    <w:next w:val="Normal"/>
    <w:link w:val="Ttulo9Char"/>
    <w:qFormat/>
    <w:rsid w:val="00835BED"/>
    <w:pPr>
      <w:spacing w:before="240" w:after="60"/>
      <w:outlineLvl w:val="8"/>
    </w:pPr>
    <w:rPr>
      <w:b/>
      <w:i/>
      <w:sz w:val="1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P1">
    <w:name w:val="P1"/>
    <w:basedOn w:val="Normal"/>
    <w:rsid w:val="00835BED"/>
    <w:pPr>
      <w:tabs>
        <w:tab w:val="left" w:pos="1021"/>
        <w:tab w:val="left" w:pos="1440"/>
      </w:tabs>
      <w:spacing w:before="120" w:after="120" w:line="240" w:lineRule="auto"/>
    </w:pPr>
    <w:rPr>
      <w:rFonts w:cs="Arial"/>
    </w:rPr>
  </w:style>
  <w:style w:type="paragraph" w:styleId="Rodap">
    <w:name w:val="footer"/>
    <w:basedOn w:val="Normal"/>
    <w:link w:val="RodapChar"/>
    <w:uiPriority w:val="99"/>
    <w:rsid w:val="00835BED"/>
    <w:pPr>
      <w:tabs>
        <w:tab w:val="center" w:pos="4419"/>
        <w:tab w:val="right" w:pos="8838"/>
      </w:tabs>
    </w:pPr>
  </w:style>
  <w:style w:type="character" w:styleId="Nmerodepgina">
    <w:name w:val="page number"/>
    <w:basedOn w:val="Fontepargpadro"/>
    <w:rsid w:val="00835BED"/>
  </w:style>
  <w:style w:type="paragraph" w:styleId="Cabealho">
    <w:name w:val="header"/>
    <w:aliases w:val="Cabeçalho1,Cabeçalho superior, Char8,Char8"/>
    <w:basedOn w:val="Normal"/>
    <w:link w:val="CabealhoChar"/>
    <w:uiPriority w:val="99"/>
    <w:rsid w:val="00835BED"/>
    <w:pPr>
      <w:tabs>
        <w:tab w:val="center" w:pos="4419"/>
        <w:tab w:val="right" w:pos="8838"/>
      </w:tabs>
    </w:pPr>
  </w:style>
  <w:style w:type="paragraph" w:styleId="Sumrio5">
    <w:name w:val="toc 5"/>
    <w:basedOn w:val="Normal"/>
    <w:next w:val="Normal"/>
    <w:autoRedefine/>
    <w:uiPriority w:val="39"/>
    <w:rsid w:val="00835BED"/>
    <w:pPr>
      <w:ind w:left="880"/>
    </w:pPr>
  </w:style>
  <w:style w:type="paragraph" w:styleId="Sumrio1">
    <w:name w:val="toc 1"/>
    <w:basedOn w:val="Normal"/>
    <w:next w:val="Normal"/>
    <w:autoRedefine/>
    <w:uiPriority w:val="39"/>
    <w:rsid w:val="0078531B"/>
    <w:pPr>
      <w:tabs>
        <w:tab w:val="left" w:pos="426"/>
        <w:tab w:val="right" w:leader="dot" w:pos="9345"/>
      </w:tabs>
      <w:spacing w:before="120" w:after="120" w:line="240" w:lineRule="auto"/>
      <w:ind w:left="34"/>
      <w:jc w:val="left"/>
    </w:pPr>
    <w:rPr>
      <w:b/>
      <w:caps/>
      <w:noProof/>
    </w:rPr>
  </w:style>
  <w:style w:type="paragraph" w:customStyle="1" w:styleId="CAPA">
    <w:name w:val="CAPA"/>
    <w:basedOn w:val="Normal"/>
    <w:rsid w:val="00835BED"/>
    <w:pPr>
      <w:spacing w:line="240" w:lineRule="auto"/>
      <w:jc w:val="left"/>
    </w:pPr>
    <w:rPr>
      <w:sz w:val="24"/>
    </w:rPr>
  </w:style>
  <w:style w:type="paragraph" w:styleId="Sumrio3">
    <w:name w:val="toc 3"/>
    <w:basedOn w:val="Normal"/>
    <w:next w:val="Normal"/>
    <w:autoRedefine/>
    <w:uiPriority w:val="39"/>
    <w:rsid w:val="00DF458B"/>
    <w:pPr>
      <w:tabs>
        <w:tab w:val="left" w:pos="709"/>
        <w:tab w:val="left" w:pos="1320"/>
        <w:tab w:val="right" w:leader="dot" w:pos="9356"/>
      </w:tabs>
      <w:spacing w:before="120" w:after="120" w:line="240" w:lineRule="auto"/>
      <w:ind w:left="284" w:right="141"/>
    </w:pPr>
    <w:rPr>
      <w:b/>
      <w:noProof/>
      <w:szCs w:val="22"/>
    </w:rPr>
  </w:style>
  <w:style w:type="paragraph" w:styleId="Sumrio4">
    <w:name w:val="toc 4"/>
    <w:basedOn w:val="Normal"/>
    <w:next w:val="Normal"/>
    <w:autoRedefine/>
    <w:uiPriority w:val="39"/>
    <w:rsid w:val="001105B7"/>
    <w:pPr>
      <w:tabs>
        <w:tab w:val="left" w:pos="1276"/>
        <w:tab w:val="left" w:pos="1540"/>
        <w:tab w:val="right" w:leader="dot" w:pos="9345"/>
      </w:tabs>
      <w:spacing w:before="120" w:after="120" w:line="240" w:lineRule="auto"/>
      <w:ind w:left="284"/>
    </w:pPr>
    <w:rPr>
      <w:b/>
      <w:noProof/>
    </w:rPr>
  </w:style>
  <w:style w:type="paragraph" w:styleId="Sumrio6">
    <w:name w:val="toc 6"/>
    <w:basedOn w:val="Normal"/>
    <w:next w:val="Normal"/>
    <w:autoRedefine/>
    <w:uiPriority w:val="39"/>
    <w:rsid w:val="00835BED"/>
    <w:pPr>
      <w:ind w:left="1100"/>
    </w:pPr>
  </w:style>
  <w:style w:type="paragraph" w:styleId="Sumrio7">
    <w:name w:val="toc 7"/>
    <w:basedOn w:val="Normal"/>
    <w:next w:val="Normal"/>
    <w:autoRedefine/>
    <w:uiPriority w:val="39"/>
    <w:rsid w:val="00835BED"/>
    <w:pPr>
      <w:ind w:left="1320"/>
    </w:pPr>
  </w:style>
  <w:style w:type="paragraph" w:styleId="Sumrio8">
    <w:name w:val="toc 8"/>
    <w:basedOn w:val="Normal"/>
    <w:next w:val="Normal"/>
    <w:autoRedefine/>
    <w:uiPriority w:val="39"/>
    <w:rsid w:val="00835BED"/>
    <w:pPr>
      <w:ind w:left="1540"/>
    </w:pPr>
  </w:style>
  <w:style w:type="paragraph" w:styleId="Sumrio9">
    <w:name w:val="toc 9"/>
    <w:basedOn w:val="Normal"/>
    <w:next w:val="Normal"/>
    <w:autoRedefine/>
    <w:uiPriority w:val="39"/>
    <w:rsid w:val="00835BED"/>
    <w:pPr>
      <w:ind w:left="1760"/>
    </w:pPr>
  </w:style>
  <w:style w:type="paragraph" w:styleId="Textodecomentrio">
    <w:name w:val="annotation text"/>
    <w:aliases w:val="Char6, Char6"/>
    <w:basedOn w:val="Normal"/>
    <w:link w:val="TextodecomentrioChar1"/>
    <w:uiPriority w:val="99"/>
    <w:rsid w:val="00835BED"/>
    <w:rPr>
      <w:sz w:val="20"/>
    </w:rPr>
  </w:style>
  <w:style w:type="paragraph" w:customStyle="1" w:styleId="Estilo1">
    <w:name w:val="Estilo1"/>
    <w:basedOn w:val="Ttulo2"/>
    <w:next w:val="Normal"/>
    <w:rsid w:val="00835BED"/>
  </w:style>
  <w:style w:type="paragraph" w:styleId="Legenda">
    <w:name w:val="caption"/>
    <w:aliases w:val="Legenda_1,Legenda Char Char,-,Legenda Char Char Char Char Char Char Char,Legenda Char Char Char Char,Legenda Char Char Char Char Char Char,tabela_leg,Legenda Char Char Char Char Char Char Char Char Char Char,Legenda Char Char Char2 Char Char,Cha"/>
    <w:basedOn w:val="Normal"/>
    <w:next w:val="Normal"/>
    <w:link w:val="LegendaChar"/>
    <w:qFormat/>
    <w:rsid w:val="00835BED"/>
    <w:pPr>
      <w:spacing w:before="120" w:after="120"/>
    </w:pPr>
    <w:rPr>
      <w:b/>
      <w:i/>
    </w:rPr>
  </w:style>
  <w:style w:type="paragraph" w:styleId="Ttulo">
    <w:name w:val="Title"/>
    <w:basedOn w:val="Normal"/>
    <w:next w:val="Normal"/>
    <w:link w:val="TtuloChar"/>
    <w:uiPriority w:val="99"/>
    <w:qFormat/>
    <w:rsid w:val="00835BED"/>
    <w:pPr>
      <w:pageBreakBefore/>
      <w:spacing w:before="240" w:after="60"/>
      <w:jc w:val="center"/>
      <w:outlineLvl w:val="0"/>
    </w:pPr>
    <w:rPr>
      <w:b/>
      <w:caps/>
      <w:kern w:val="28"/>
    </w:rPr>
  </w:style>
  <w:style w:type="paragraph" w:styleId="ndicedeilustraes">
    <w:name w:val="table of figures"/>
    <w:basedOn w:val="Normal"/>
    <w:next w:val="Normal"/>
    <w:uiPriority w:val="99"/>
    <w:rsid w:val="00835BED"/>
    <w:pPr>
      <w:ind w:left="440" w:hanging="440"/>
    </w:pPr>
    <w:rPr>
      <w:smallCaps/>
    </w:rPr>
  </w:style>
  <w:style w:type="paragraph" w:styleId="Textoembloco">
    <w:name w:val="Block Text"/>
    <w:basedOn w:val="Normal"/>
    <w:rsid w:val="00835BED"/>
    <w:pPr>
      <w:spacing w:after="120"/>
      <w:ind w:left="1440" w:right="1440"/>
    </w:pPr>
  </w:style>
  <w:style w:type="paragraph" w:styleId="Sumrio2">
    <w:name w:val="toc 2"/>
    <w:basedOn w:val="Normal"/>
    <w:next w:val="Normal"/>
    <w:uiPriority w:val="39"/>
    <w:rsid w:val="00835BED"/>
    <w:pPr>
      <w:tabs>
        <w:tab w:val="left" w:pos="851"/>
        <w:tab w:val="right" w:leader="dot" w:pos="9345"/>
      </w:tabs>
    </w:pPr>
    <w:rPr>
      <w:b/>
      <w:smallCaps/>
      <w:noProof/>
    </w:rPr>
  </w:style>
  <w:style w:type="paragraph" w:customStyle="1" w:styleId="textobloco1">
    <w:name w:val="textobloco1"/>
    <w:basedOn w:val="Normal"/>
    <w:rsid w:val="00835BED"/>
    <w:pPr>
      <w:spacing w:before="120" w:after="120" w:line="240" w:lineRule="auto"/>
    </w:pPr>
    <w:rPr>
      <w:rFonts w:ascii="Verdana" w:hAnsi="Verdana"/>
      <w:snapToGrid w:val="0"/>
      <w:sz w:val="21"/>
    </w:rPr>
  </w:style>
  <w:style w:type="paragraph" w:customStyle="1" w:styleId="Bolinha">
    <w:name w:val="Bolinha"/>
    <w:basedOn w:val="textobloco1"/>
    <w:rsid w:val="00835BED"/>
    <w:pPr>
      <w:numPr>
        <w:numId w:val="5"/>
      </w:numPr>
    </w:pPr>
  </w:style>
  <w:style w:type="paragraph" w:customStyle="1" w:styleId="trao1">
    <w:name w:val="traço1"/>
    <w:basedOn w:val="textobloco1"/>
    <w:rsid w:val="00835BED"/>
    <w:pPr>
      <w:numPr>
        <w:numId w:val="6"/>
      </w:numPr>
      <w:tabs>
        <w:tab w:val="clear" w:pos="360"/>
      </w:tabs>
      <w:ind w:left="284" w:hanging="284"/>
    </w:pPr>
  </w:style>
  <w:style w:type="paragraph" w:customStyle="1" w:styleId="tabela">
    <w:name w:val="tabela"/>
    <w:basedOn w:val="Normal"/>
    <w:rsid w:val="00835BED"/>
    <w:pPr>
      <w:spacing w:before="120" w:after="240" w:line="240" w:lineRule="auto"/>
      <w:ind w:left="2381" w:right="-851" w:hanging="1247"/>
    </w:pPr>
    <w:rPr>
      <w:b/>
      <w:i/>
      <w:caps/>
    </w:rPr>
  </w:style>
  <w:style w:type="paragraph" w:styleId="Recuodecorpodetexto">
    <w:name w:val="Body Text Indent"/>
    <w:basedOn w:val="Normal"/>
    <w:rsid w:val="00835BED"/>
    <w:pPr>
      <w:numPr>
        <w:ilvl w:val="12"/>
      </w:numPr>
      <w:spacing w:after="240"/>
      <w:ind w:left="1418" w:hanging="284"/>
    </w:pPr>
    <w:rPr>
      <w:sz w:val="23"/>
    </w:rPr>
  </w:style>
  <w:style w:type="paragraph" w:customStyle="1" w:styleId="Itens">
    <w:name w:val="Itens"/>
    <w:basedOn w:val="Normal"/>
    <w:rsid w:val="00835BED"/>
    <w:pPr>
      <w:numPr>
        <w:numId w:val="7"/>
      </w:numPr>
      <w:spacing w:line="240" w:lineRule="auto"/>
    </w:pPr>
  </w:style>
  <w:style w:type="character" w:styleId="Hyperlink">
    <w:name w:val="Hyperlink"/>
    <w:uiPriority w:val="99"/>
    <w:rsid w:val="00835BED"/>
    <w:rPr>
      <w:color w:val="0000FF"/>
      <w:u w:val="single"/>
    </w:rPr>
  </w:style>
  <w:style w:type="paragraph" w:customStyle="1" w:styleId="Item-Trainho">
    <w:name w:val="Item-Traçinho"/>
    <w:basedOn w:val="Normal"/>
    <w:link w:val="Item-TrainhoChar"/>
    <w:rsid w:val="00835BED"/>
    <w:pPr>
      <w:numPr>
        <w:numId w:val="8"/>
      </w:numPr>
      <w:spacing w:before="120" w:after="120" w:line="240" w:lineRule="auto"/>
    </w:pPr>
  </w:style>
  <w:style w:type="paragraph" w:customStyle="1" w:styleId="Item-Bolinha">
    <w:name w:val="Item-Bolinha"/>
    <w:basedOn w:val="Normal"/>
    <w:rsid w:val="00835BED"/>
    <w:pPr>
      <w:numPr>
        <w:numId w:val="9"/>
      </w:numPr>
      <w:spacing w:before="120" w:after="120" w:line="240" w:lineRule="auto"/>
    </w:pPr>
  </w:style>
  <w:style w:type="paragraph" w:customStyle="1" w:styleId="Letras">
    <w:name w:val="Letras"/>
    <w:basedOn w:val="Normal"/>
    <w:rsid w:val="00835BED"/>
    <w:pPr>
      <w:numPr>
        <w:numId w:val="13"/>
      </w:numPr>
      <w:spacing w:before="120" w:after="120" w:line="240" w:lineRule="auto"/>
      <w:jc w:val="left"/>
    </w:pPr>
  </w:style>
  <w:style w:type="paragraph" w:styleId="Recuodecorpodetexto2">
    <w:name w:val="Body Text Indent 2"/>
    <w:basedOn w:val="Normal"/>
    <w:rsid w:val="00835BED"/>
    <w:pPr>
      <w:spacing w:before="120" w:after="120" w:line="240" w:lineRule="auto"/>
      <w:ind w:left="567" w:hanging="567"/>
    </w:pPr>
  </w:style>
  <w:style w:type="paragraph" w:styleId="Corpodetexto">
    <w:name w:val="Body Text"/>
    <w:aliases w:val="Body Text Char Char Char Char Char Char Char Char,Body Text Char,Body Text Char Char Char Char Char Char Char Char Char Char Char Char Char Char Char,Corpo de texto Char Char,Corpo de texto Char Char Char,Corpo de textor, Char Char Char"/>
    <w:basedOn w:val="Normal"/>
    <w:link w:val="CorpodetextoChar"/>
    <w:rsid w:val="00835BED"/>
    <w:pPr>
      <w:spacing w:before="120" w:after="120" w:line="240" w:lineRule="auto"/>
    </w:pPr>
  </w:style>
  <w:style w:type="paragraph" w:customStyle="1" w:styleId="BOLOTA">
    <w:name w:val="BOLOTA"/>
    <w:basedOn w:val="Normal"/>
    <w:rsid w:val="00835BED"/>
    <w:pPr>
      <w:numPr>
        <w:numId w:val="10"/>
      </w:numPr>
      <w:spacing w:before="120" w:after="120" w:line="240" w:lineRule="auto"/>
    </w:pPr>
  </w:style>
  <w:style w:type="paragraph" w:customStyle="1" w:styleId="Letrasab">
    <w:name w:val="Letras a) b)"/>
    <w:basedOn w:val="Normal"/>
    <w:rsid w:val="00835BED"/>
  </w:style>
  <w:style w:type="paragraph" w:customStyle="1" w:styleId="Tracinho">
    <w:name w:val="Tracinho"/>
    <w:basedOn w:val="Bolinha"/>
    <w:autoRedefine/>
    <w:rsid w:val="00835BED"/>
    <w:pPr>
      <w:numPr>
        <w:numId w:val="12"/>
      </w:numPr>
      <w:spacing w:before="0" w:after="0"/>
    </w:pPr>
  </w:style>
  <w:style w:type="paragraph" w:customStyle="1" w:styleId="Marcador1">
    <w:name w:val="Marcador 1"/>
    <w:basedOn w:val="Normal"/>
    <w:link w:val="Marcador1Char1"/>
    <w:uiPriority w:val="99"/>
    <w:qFormat/>
    <w:rsid w:val="00835BED"/>
  </w:style>
  <w:style w:type="paragraph" w:styleId="Textodenotaderodap">
    <w:name w:val="footnote text"/>
    <w:aliases w:val="nota de rodapé,nota_rodapé,Texto de rodapé,Texto de rodapé Char"/>
    <w:basedOn w:val="Normal"/>
    <w:link w:val="TextodenotaderodapChar"/>
    <w:qFormat/>
    <w:rsid w:val="00835BED"/>
    <w:rPr>
      <w:sz w:val="20"/>
    </w:rPr>
  </w:style>
  <w:style w:type="character" w:styleId="Refdenotaderodap">
    <w:name w:val="footnote reference"/>
    <w:rsid w:val="00835BED"/>
    <w:rPr>
      <w:vertAlign w:val="superscript"/>
    </w:rPr>
  </w:style>
  <w:style w:type="character" w:customStyle="1" w:styleId="RodapChar">
    <w:name w:val="Rodapé Char"/>
    <w:link w:val="Rodap"/>
    <w:uiPriority w:val="99"/>
    <w:locked/>
    <w:rsid w:val="007B43A4"/>
    <w:rPr>
      <w:rFonts w:ascii="Arial" w:hAnsi="Arial"/>
      <w:sz w:val="22"/>
      <w:lang w:val="pt-BR" w:eastAsia="pt-BR" w:bidi="ar-SA"/>
    </w:rPr>
  </w:style>
  <w:style w:type="character" w:customStyle="1" w:styleId="CabealhoChar">
    <w:name w:val="Cabeçalho Char"/>
    <w:aliases w:val="Cabeçalho1 Char,Cabeçalho superior Char, Char8 Char,Char8 Char"/>
    <w:link w:val="Cabealho"/>
    <w:uiPriority w:val="99"/>
    <w:locked/>
    <w:rsid w:val="007B43A4"/>
    <w:rPr>
      <w:rFonts w:ascii="Arial" w:hAnsi="Arial"/>
      <w:sz w:val="22"/>
      <w:lang w:val="pt-BR" w:eastAsia="pt-BR" w:bidi="ar-SA"/>
    </w:rPr>
  </w:style>
  <w:style w:type="paragraph" w:customStyle="1" w:styleId="item-trainho0">
    <w:name w:val="item-trainho"/>
    <w:basedOn w:val="Normal"/>
    <w:rsid w:val="00835BED"/>
    <w:pPr>
      <w:tabs>
        <w:tab w:val="num" w:pos="360"/>
      </w:tabs>
      <w:spacing w:before="120" w:after="120" w:line="240" w:lineRule="auto"/>
      <w:ind w:left="397" w:hanging="397"/>
    </w:pPr>
    <w:rPr>
      <w:rFonts w:cs="Arial"/>
      <w:szCs w:val="22"/>
    </w:rPr>
  </w:style>
  <w:style w:type="paragraph" w:customStyle="1" w:styleId="P">
    <w:name w:val="P"/>
    <w:basedOn w:val="Normal"/>
    <w:rsid w:val="00835BED"/>
    <w:pPr>
      <w:overflowPunct w:val="0"/>
      <w:autoSpaceDE w:val="0"/>
      <w:autoSpaceDN w:val="0"/>
      <w:adjustRightInd w:val="0"/>
      <w:spacing w:before="120" w:after="120" w:line="280" w:lineRule="atLeast"/>
      <w:ind w:firstLine="454"/>
      <w:textAlignment w:val="baseline"/>
    </w:pPr>
    <w:rPr>
      <w:sz w:val="19"/>
    </w:rPr>
  </w:style>
  <w:style w:type="table" w:styleId="Tabelacomgrade">
    <w:name w:val="Table Grid"/>
    <w:basedOn w:val="Tabelanormal"/>
    <w:uiPriority w:val="59"/>
    <w:rsid w:val="00FA610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link w:val="PargrafodaListaChar"/>
    <w:uiPriority w:val="34"/>
    <w:qFormat/>
    <w:rsid w:val="0071272C"/>
    <w:pPr>
      <w:spacing w:after="200" w:line="276" w:lineRule="auto"/>
      <w:ind w:left="720"/>
      <w:contextualSpacing/>
      <w:jc w:val="left"/>
    </w:pPr>
    <w:rPr>
      <w:rFonts w:ascii="Calibri" w:eastAsia="Calibri" w:hAnsi="Calibri"/>
      <w:szCs w:val="22"/>
      <w:lang w:eastAsia="en-US"/>
    </w:rPr>
  </w:style>
  <w:style w:type="numbering" w:styleId="1ai">
    <w:name w:val="Outline List 1"/>
    <w:basedOn w:val="Semlista"/>
    <w:rsid w:val="00045770"/>
  </w:style>
  <w:style w:type="character" w:customStyle="1" w:styleId="CorpodetextoChar">
    <w:name w:val="Corpo de texto Char"/>
    <w:aliases w:val="Body Text Char Char Char Char Char Char Char Char Char,Body Text Char Char,Body Text Char Char Char Char Char Char Char Char Char Char Char Char Char Char Char Char,Corpo de texto Char Char Char1,Corpo de texto Char Char Char Char"/>
    <w:link w:val="Corpodetexto"/>
    <w:uiPriority w:val="99"/>
    <w:rsid w:val="00045770"/>
    <w:rPr>
      <w:rFonts w:ascii="Arial" w:hAnsi="Arial"/>
      <w:sz w:val="22"/>
    </w:rPr>
  </w:style>
  <w:style w:type="numbering" w:customStyle="1" w:styleId="1ai2">
    <w:name w:val="1 / a / i2"/>
    <w:basedOn w:val="Semlista"/>
    <w:next w:val="1ai"/>
    <w:rsid w:val="00045770"/>
    <w:pPr>
      <w:numPr>
        <w:numId w:val="11"/>
      </w:numPr>
    </w:pPr>
  </w:style>
  <w:style w:type="character" w:customStyle="1" w:styleId="TtuloChar">
    <w:name w:val="Título Char"/>
    <w:link w:val="Ttulo"/>
    <w:uiPriority w:val="99"/>
    <w:rsid w:val="00045770"/>
    <w:rPr>
      <w:rFonts w:ascii="Arial" w:hAnsi="Arial"/>
      <w:b/>
      <w:caps/>
      <w:kern w:val="28"/>
      <w:sz w:val="22"/>
    </w:rPr>
  </w:style>
  <w:style w:type="paragraph" w:customStyle="1" w:styleId="Texto1">
    <w:name w:val="Texto 1"/>
    <w:basedOn w:val="Normal"/>
    <w:link w:val="Texto1Char"/>
    <w:autoRedefine/>
    <w:qFormat/>
    <w:rsid w:val="00045770"/>
    <w:pPr>
      <w:tabs>
        <w:tab w:val="left" w:pos="0"/>
      </w:tabs>
      <w:spacing w:before="120" w:after="120" w:line="240" w:lineRule="auto"/>
      <w:jc w:val="center"/>
    </w:pPr>
    <w:rPr>
      <w:rFonts w:eastAsia="Batang"/>
      <w:b/>
      <w:szCs w:val="22"/>
      <w:lang w:eastAsia="en-US"/>
    </w:rPr>
  </w:style>
  <w:style w:type="character" w:customStyle="1" w:styleId="Texto1Char">
    <w:name w:val="Texto 1 Char"/>
    <w:link w:val="Texto1"/>
    <w:rsid w:val="00045770"/>
    <w:rPr>
      <w:rFonts w:ascii="Arial" w:eastAsia="Batang" w:hAnsi="Arial"/>
      <w:b/>
      <w:sz w:val="22"/>
      <w:szCs w:val="22"/>
      <w:lang w:eastAsia="en-US"/>
    </w:rPr>
  </w:style>
  <w:style w:type="paragraph" w:styleId="Citao">
    <w:name w:val="Quote"/>
    <w:basedOn w:val="Normal"/>
    <w:next w:val="Normal"/>
    <w:link w:val="CitaoChar"/>
    <w:uiPriority w:val="29"/>
    <w:qFormat/>
    <w:rsid w:val="00045770"/>
    <w:pPr>
      <w:spacing w:before="120" w:after="120" w:line="240" w:lineRule="auto"/>
      <w:jc w:val="left"/>
    </w:pPr>
    <w:rPr>
      <w:i/>
      <w:iCs/>
      <w:color w:val="000000"/>
      <w:sz w:val="18"/>
    </w:rPr>
  </w:style>
  <w:style w:type="character" w:customStyle="1" w:styleId="CitaoChar">
    <w:name w:val="Citação Char"/>
    <w:link w:val="Citao"/>
    <w:uiPriority w:val="29"/>
    <w:rsid w:val="00045770"/>
    <w:rPr>
      <w:rFonts w:ascii="Arial" w:hAnsi="Arial"/>
      <w:i/>
      <w:iCs/>
      <w:color w:val="000000"/>
      <w:sz w:val="18"/>
    </w:rPr>
  </w:style>
  <w:style w:type="paragraph" w:customStyle="1" w:styleId="Default">
    <w:name w:val="Default"/>
    <w:rsid w:val="00045770"/>
    <w:pPr>
      <w:autoSpaceDE w:val="0"/>
      <w:autoSpaceDN w:val="0"/>
      <w:adjustRightInd w:val="0"/>
    </w:pPr>
    <w:rPr>
      <w:rFonts w:ascii="Arial" w:hAnsi="Arial" w:cs="Arial"/>
      <w:color w:val="000000"/>
      <w:sz w:val="24"/>
      <w:szCs w:val="24"/>
    </w:rPr>
  </w:style>
  <w:style w:type="character" w:customStyle="1" w:styleId="apple-converted-space">
    <w:name w:val="apple-converted-space"/>
    <w:rsid w:val="00045770"/>
  </w:style>
  <w:style w:type="paragraph" w:styleId="Textodenotadefim">
    <w:name w:val="endnote text"/>
    <w:basedOn w:val="Normal"/>
    <w:link w:val="TextodenotadefimChar"/>
    <w:rsid w:val="00045770"/>
    <w:pPr>
      <w:spacing w:before="120" w:after="120" w:line="240" w:lineRule="auto"/>
    </w:pPr>
    <w:rPr>
      <w:sz w:val="20"/>
    </w:rPr>
  </w:style>
  <w:style w:type="character" w:customStyle="1" w:styleId="TextodenotadefimChar">
    <w:name w:val="Texto de nota de fim Char"/>
    <w:link w:val="Textodenotadefim"/>
    <w:rsid w:val="00045770"/>
    <w:rPr>
      <w:rFonts w:ascii="Arial" w:hAnsi="Arial"/>
    </w:rPr>
  </w:style>
  <w:style w:type="character" w:styleId="Refdenotadefim">
    <w:name w:val="endnote reference"/>
    <w:rsid w:val="00045770"/>
    <w:rPr>
      <w:vertAlign w:val="superscript"/>
    </w:rPr>
  </w:style>
  <w:style w:type="character" w:customStyle="1" w:styleId="Item-TrainhoChar">
    <w:name w:val="Item-Traçinho Char"/>
    <w:link w:val="Item-Trainho"/>
    <w:rsid w:val="00045770"/>
    <w:rPr>
      <w:rFonts w:ascii="Arial" w:hAnsi="Arial"/>
      <w:sz w:val="22"/>
    </w:rPr>
  </w:style>
  <w:style w:type="paragraph" w:styleId="NormalWeb">
    <w:name w:val="Normal (Web)"/>
    <w:basedOn w:val="Normal"/>
    <w:uiPriority w:val="99"/>
    <w:unhideWhenUsed/>
    <w:rsid w:val="00045770"/>
    <w:pPr>
      <w:spacing w:before="100" w:beforeAutospacing="1" w:after="100" w:afterAutospacing="1" w:line="240" w:lineRule="auto"/>
      <w:jc w:val="left"/>
    </w:pPr>
    <w:rPr>
      <w:rFonts w:ascii="Times New Roman" w:hAnsi="Times New Roman"/>
      <w:sz w:val="24"/>
      <w:szCs w:val="24"/>
    </w:rPr>
  </w:style>
  <w:style w:type="character" w:customStyle="1" w:styleId="qtdfotos">
    <w:name w:val="qtdfotos"/>
    <w:rsid w:val="00045770"/>
  </w:style>
  <w:style w:type="character" w:customStyle="1" w:styleId="contador">
    <w:name w:val="contador"/>
    <w:rsid w:val="00045770"/>
  </w:style>
  <w:style w:type="character" w:styleId="nfase">
    <w:name w:val="Emphasis"/>
    <w:uiPriority w:val="20"/>
    <w:qFormat/>
    <w:rsid w:val="00045770"/>
    <w:rPr>
      <w:i/>
      <w:iCs/>
    </w:rPr>
  </w:style>
  <w:style w:type="character" w:customStyle="1" w:styleId="a">
    <w:name w:val="a"/>
    <w:rsid w:val="00045770"/>
  </w:style>
  <w:style w:type="character" w:customStyle="1" w:styleId="l6">
    <w:name w:val="l6"/>
    <w:rsid w:val="00045770"/>
  </w:style>
  <w:style w:type="character" w:customStyle="1" w:styleId="l9">
    <w:name w:val="l9"/>
    <w:rsid w:val="00045770"/>
  </w:style>
  <w:style w:type="character" w:customStyle="1" w:styleId="l8">
    <w:name w:val="l8"/>
    <w:rsid w:val="00045770"/>
  </w:style>
  <w:style w:type="character" w:customStyle="1" w:styleId="Ttulo1Char">
    <w:name w:val="Título 1 Char"/>
    <w:aliases w:val="1 ghost Char,g Char1,Ghost Char1,Ghost Char Char,AGROFLOR TÍTULO 1.1 Char,Char Char1 Char,Char Char Char Char Char1 Char,Char Char Char Char Char,Char Char Char Char Char2 Char, Char Char, Char Char Char Char Char,Char Char Char Char1"/>
    <w:link w:val="Ttulo1"/>
    <w:rsid w:val="00C81961"/>
    <w:rPr>
      <w:rFonts w:ascii="Arial" w:hAnsi="Arial"/>
      <w:b/>
      <w:caps/>
      <w:kern w:val="28"/>
      <w:sz w:val="22"/>
    </w:rPr>
  </w:style>
  <w:style w:type="character" w:customStyle="1" w:styleId="LegendaChar">
    <w:name w:val="Legenda Char"/>
    <w:aliases w:val="Legenda_1 Char,Legenda Char Char Char,- Char,Legenda Char Char Char Char Char Char Char Char,Legenda Char Char Char Char Char,Legenda Char Char Char Char Char Char Char1,tabela_leg Char,Legenda Char Char Char2 Char Char Char,Cha Char"/>
    <w:link w:val="Legenda"/>
    <w:locked/>
    <w:rsid w:val="00045770"/>
    <w:rPr>
      <w:rFonts w:ascii="Arial" w:hAnsi="Arial"/>
      <w:b/>
      <w:i/>
      <w:sz w:val="22"/>
    </w:rPr>
  </w:style>
  <w:style w:type="character" w:customStyle="1" w:styleId="Ttulo3Char">
    <w:name w:val="Título 3 Char"/>
    <w:aliases w:val="3 bullet Char,b Char,2 Char,TTC 3 Char,B1 Char,SECOND Char,Second Char,bill Char,palatino Char,blank1 Char,2-HEADER Char,se... Char,second Char,b1 Char,bullet pt Char,BLANK2 Char,bullet Char,h3 Char,dot Char,3bullet Char,DASH TABLA Char"/>
    <w:link w:val="Ttulo3"/>
    <w:rsid w:val="00045770"/>
    <w:rPr>
      <w:rFonts w:ascii="Arial" w:hAnsi="Arial"/>
      <w:b/>
      <w:sz w:val="22"/>
    </w:rPr>
  </w:style>
  <w:style w:type="character" w:customStyle="1" w:styleId="style70">
    <w:name w:val="style70"/>
    <w:rsid w:val="00045770"/>
  </w:style>
  <w:style w:type="character" w:customStyle="1" w:styleId="style116">
    <w:name w:val="style116"/>
    <w:rsid w:val="00045770"/>
  </w:style>
  <w:style w:type="character" w:customStyle="1" w:styleId="style100">
    <w:name w:val="style100"/>
    <w:rsid w:val="00045770"/>
  </w:style>
  <w:style w:type="character" w:customStyle="1" w:styleId="style115">
    <w:name w:val="style115"/>
    <w:rsid w:val="00045770"/>
  </w:style>
  <w:style w:type="character" w:styleId="Forte">
    <w:name w:val="Strong"/>
    <w:uiPriority w:val="22"/>
    <w:qFormat/>
    <w:rsid w:val="00045770"/>
    <w:rPr>
      <w:b/>
      <w:bCs/>
    </w:rPr>
  </w:style>
  <w:style w:type="character" w:customStyle="1" w:styleId="TextodenotaderodapChar">
    <w:name w:val="Texto de nota de rodapé Char"/>
    <w:aliases w:val="nota de rodapé Char,nota_rodapé Char,Texto de rodapé Char1,Texto de rodapé Char Char"/>
    <w:link w:val="Textodenotaderodap"/>
    <w:rsid w:val="00045770"/>
    <w:rPr>
      <w:rFonts w:ascii="Arial" w:hAnsi="Arial"/>
    </w:rPr>
  </w:style>
  <w:style w:type="paragraph" w:customStyle="1" w:styleId="Rodap1">
    <w:name w:val="Rodapé 1"/>
    <w:basedOn w:val="Textodenotaderodap"/>
    <w:link w:val="Rodap1Char"/>
    <w:qFormat/>
    <w:rsid w:val="00045770"/>
    <w:pPr>
      <w:overflowPunct w:val="0"/>
      <w:autoSpaceDE w:val="0"/>
      <w:autoSpaceDN w:val="0"/>
      <w:adjustRightInd w:val="0"/>
      <w:spacing w:before="120" w:after="120" w:line="240" w:lineRule="auto"/>
      <w:textAlignment w:val="baseline"/>
    </w:pPr>
    <w:rPr>
      <w:sz w:val="24"/>
    </w:rPr>
  </w:style>
  <w:style w:type="character" w:customStyle="1" w:styleId="Rodap1Char">
    <w:name w:val="Rodapé 1 Char"/>
    <w:link w:val="Rodap1"/>
    <w:rsid w:val="00045770"/>
    <w:rPr>
      <w:rFonts w:ascii="Arial" w:hAnsi="Arial"/>
      <w:sz w:val="24"/>
    </w:rPr>
  </w:style>
  <w:style w:type="paragraph" w:customStyle="1" w:styleId="Rodap2">
    <w:name w:val="Rodapé 2"/>
    <w:basedOn w:val="Rodap1"/>
    <w:link w:val="Rodap2Char"/>
    <w:qFormat/>
    <w:rsid w:val="00045770"/>
    <w:pPr>
      <w:spacing w:after="0"/>
      <w:ind w:left="340"/>
    </w:pPr>
  </w:style>
  <w:style w:type="paragraph" w:customStyle="1" w:styleId="Texto1recuado">
    <w:name w:val="Texto 1 recuado"/>
    <w:basedOn w:val="Texto1"/>
    <w:link w:val="Texto1recuadoChar"/>
    <w:qFormat/>
    <w:rsid w:val="00045770"/>
    <w:pPr>
      <w:ind w:left="907" w:hanging="340"/>
    </w:pPr>
    <w:rPr>
      <w:sz w:val="24"/>
    </w:rPr>
  </w:style>
  <w:style w:type="character" w:customStyle="1" w:styleId="Rodap2Char">
    <w:name w:val="Rodapé 2 Char"/>
    <w:link w:val="Rodap2"/>
    <w:rsid w:val="00045770"/>
    <w:rPr>
      <w:rFonts w:ascii="Arial" w:hAnsi="Arial"/>
      <w:sz w:val="24"/>
    </w:rPr>
  </w:style>
  <w:style w:type="paragraph" w:customStyle="1" w:styleId="Titulo1recuadoeitalico">
    <w:name w:val="Titulo 1 recuado e italico"/>
    <w:basedOn w:val="Texto1recuado"/>
    <w:link w:val="Titulo1recuadoeitalicoChar"/>
    <w:qFormat/>
    <w:rsid w:val="00045770"/>
    <w:pPr>
      <w:ind w:left="567" w:firstLine="0"/>
    </w:pPr>
    <w:rPr>
      <w:i/>
    </w:rPr>
  </w:style>
  <w:style w:type="character" w:customStyle="1" w:styleId="Texto1recuadoChar">
    <w:name w:val="Texto 1 recuado Char"/>
    <w:link w:val="Texto1recuado"/>
    <w:rsid w:val="00045770"/>
    <w:rPr>
      <w:rFonts w:ascii="Arial" w:eastAsia="Batang" w:hAnsi="Arial"/>
      <w:b/>
      <w:sz w:val="24"/>
      <w:szCs w:val="22"/>
    </w:rPr>
  </w:style>
  <w:style w:type="character" w:customStyle="1" w:styleId="Titulo1recuadoeitalicoChar">
    <w:name w:val="Titulo 1 recuado e italico Char"/>
    <w:link w:val="Titulo1recuadoeitalico"/>
    <w:rsid w:val="00045770"/>
    <w:rPr>
      <w:rFonts w:ascii="Arial" w:eastAsia="Batang" w:hAnsi="Arial"/>
      <w:b/>
      <w:i/>
      <w:sz w:val="24"/>
      <w:szCs w:val="22"/>
    </w:rPr>
  </w:style>
  <w:style w:type="paragraph" w:styleId="Reviso">
    <w:name w:val="Revision"/>
    <w:hidden/>
    <w:uiPriority w:val="99"/>
    <w:semiHidden/>
    <w:rsid w:val="00045770"/>
    <w:rPr>
      <w:rFonts w:ascii="Arial" w:hAnsi="Arial"/>
      <w:sz w:val="22"/>
    </w:rPr>
  </w:style>
  <w:style w:type="paragraph" w:styleId="Textodebalo">
    <w:name w:val="Balloon Text"/>
    <w:basedOn w:val="Normal"/>
    <w:link w:val="TextodebaloChar"/>
    <w:rsid w:val="00045770"/>
    <w:pPr>
      <w:spacing w:before="120" w:after="120" w:line="240" w:lineRule="auto"/>
    </w:pPr>
    <w:rPr>
      <w:rFonts w:ascii="Tahoma" w:hAnsi="Tahoma"/>
      <w:sz w:val="16"/>
      <w:szCs w:val="16"/>
    </w:rPr>
  </w:style>
  <w:style w:type="character" w:customStyle="1" w:styleId="TextodebaloChar">
    <w:name w:val="Texto de balão Char"/>
    <w:link w:val="Textodebalo"/>
    <w:rsid w:val="00045770"/>
    <w:rPr>
      <w:rFonts w:ascii="Tahoma" w:hAnsi="Tahoma"/>
      <w:sz w:val="16"/>
      <w:szCs w:val="16"/>
    </w:rPr>
  </w:style>
  <w:style w:type="paragraph" w:styleId="Commarcadores2">
    <w:name w:val="List Bullet 2"/>
    <w:basedOn w:val="Normal"/>
    <w:unhideWhenUsed/>
    <w:qFormat/>
    <w:rsid w:val="00045770"/>
    <w:pPr>
      <w:numPr>
        <w:numId w:val="17"/>
      </w:numPr>
      <w:spacing w:before="120" w:after="120" w:line="240" w:lineRule="auto"/>
    </w:pPr>
  </w:style>
  <w:style w:type="character" w:customStyle="1" w:styleId="Ttulo2Char">
    <w:name w:val="Título 2 Char"/>
    <w:aliases w:val="sub item2 niveis tetra Char,2 headline Char,h Char,TTC 2 Char,Titulo 2 Char,Titulo2 + À esque... Char,Titulo2 Char,Título 2-MA Char Char Char Char Char Char Char,Título 2-MA Char"/>
    <w:link w:val="Ttulo2"/>
    <w:rsid w:val="00045770"/>
    <w:rPr>
      <w:rFonts w:ascii="Arial" w:hAnsi="Arial"/>
      <w:b/>
      <w:sz w:val="22"/>
    </w:rPr>
  </w:style>
  <w:style w:type="character" w:styleId="Refdecomentrio">
    <w:name w:val="annotation reference"/>
    <w:uiPriority w:val="99"/>
    <w:unhideWhenUsed/>
    <w:rsid w:val="00045770"/>
    <w:rPr>
      <w:sz w:val="16"/>
      <w:szCs w:val="16"/>
    </w:rPr>
  </w:style>
  <w:style w:type="character" w:customStyle="1" w:styleId="TextodecomentrioChar1">
    <w:name w:val="Texto de comentário Char1"/>
    <w:aliases w:val="Char6 Char1, Char6 Char"/>
    <w:link w:val="Textodecomentrio"/>
    <w:uiPriority w:val="99"/>
    <w:rsid w:val="00045770"/>
    <w:rPr>
      <w:rFonts w:ascii="Arial" w:hAnsi="Arial"/>
    </w:rPr>
  </w:style>
  <w:style w:type="paragraph" w:customStyle="1" w:styleId="ListaColorida-nfase11">
    <w:name w:val="Lista Colorida - Ênfase 11"/>
    <w:basedOn w:val="Normal"/>
    <w:uiPriority w:val="34"/>
    <w:qFormat/>
    <w:rsid w:val="00045770"/>
    <w:pPr>
      <w:spacing w:before="120" w:after="120" w:line="240" w:lineRule="auto"/>
      <w:ind w:left="720"/>
      <w:contextualSpacing/>
      <w:jc w:val="center"/>
    </w:pPr>
    <w:rPr>
      <w:rFonts w:eastAsia="Arial"/>
      <w:szCs w:val="22"/>
      <w:lang w:eastAsia="en-US"/>
    </w:rPr>
  </w:style>
  <w:style w:type="character" w:customStyle="1" w:styleId="Ttulo4Char">
    <w:name w:val="Título 4 Char"/>
    <w:link w:val="Ttulo4"/>
    <w:rsid w:val="00045770"/>
    <w:rPr>
      <w:rFonts w:ascii="Arial" w:hAnsi="Arial"/>
      <w:b/>
      <w:sz w:val="22"/>
    </w:rPr>
  </w:style>
  <w:style w:type="character" w:customStyle="1" w:styleId="PargrafodaListaChar">
    <w:name w:val="Parágrafo da Lista Char"/>
    <w:link w:val="PargrafodaLista"/>
    <w:rsid w:val="00045770"/>
    <w:rPr>
      <w:rFonts w:ascii="Calibri" w:eastAsia="Calibri" w:hAnsi="Calibri"/>
      <w:sz w:val="22"/>
      <w:szCs w:val="22"/>
      <w:lang w:eastAsia="en-US"/>
    </w:rPr>
  </w:style>
  <w:style w:type="character" w:customStyle="1" w:styleId="badge">
    <w:name w:val="badge"/>
    <w:rsid w:val="00045770"/>
  </w:style>
  <w:style w:type="paragraph" w:customStyle="1" w:styleId="chamada">
    <w:name w:val="chamada"/>
    <w:basedOn w:val="Normal"/>
    <w:rsid w:val="00045770"/>
    <w:pPr>
      <w:spacing w:before="100" w:beforeAutospacing="1" w:after="100" w:afterAutospacing="1" w:line="240" w:lineRule="auto"/>
      <w:jc w:val="left"/>
    </w:pPr>
    <w:rPr>
      <w:rFonts w:ascii="Times New Roman" w:hAnsi="Times New Roman"/>
      <w:sz w:val="24"/>
      <w:szCs w:val="24"/>
    </w:rPr>
  </w:style>
  <w:style w:type="character" w:customStyle="1" w:styleId="numbers">
    <w:name w:val="numbers"/>
    <w:rsid w:val="00045770"/>
  </w:style>
  <w:style w:type="character" w:customStyle="1" w:styleId="apple-style-span">
    <w:name w:val="apple-style-span"/>
    <w:rsid w:val="00045770"/>
  </w:style>
  <w:style w:type="paragraph" w:styleId="Corpodetexto3">
    <w:name w:val="Body Text 3"/>
    <w:basedOn w:val="Normal"/>
    <w:link w:val="Corpodetexto3Char"/>
    <w:uiPriority w:val="99"/>
    <w:unhideWhenUsed/>
    <w:rsid w:val="00045770"/>
    <w:pPr>
      <w:spacing w:before="120" w:after="120" w:line="276" w:lineRule="auto"/>
      <w:jc w:val="left"/>
    </w:pPr>
    <w:rPr>
      <w:rFonts w:ascii="Calibri" w:eastAsia="Calibri" w:hAnsi="Calibri"/>
      <w:sz w:val="16"/>
      <w:szCs w:val="16"/>
      <w:lang w:eastAsia="en-US"/>
    </w:rPr>
  </w:style>
  <w:style w:type="character" w:customStyle="1" w:styleId="Corpodetexto3Char">
    <w:name w:val="Corpo de texto 3 Char"/>
    <w:link w:val="Corpodetexto3"/>
    <w:uiPriority w:val="99"/>
    <w:rsid w:val="00045770"/>
    <w:rPr>
      <w:rFonts w:ascii="Calibri" w:eastAsia="Calibri" w:hAnsi="Calibri"/>
      <w:sz w:val="16"/>
      <w:szCs w:val="16"/>
      <w:lang w:eastAsia="en-US"/>
    </w:rPr>
  </w:style>
  <w:style w:type="paragraph" w:customStyle="1" w:styleId="texto10">
    <w:name w:val="texto1"/>
    <w:basedOn w:val="Normal"/>
    <w:rsid w:val="00045770"/>
    <w:pPr>
      <w:spacing w:before="100" w:beforeAutospacing="1" w:after="100" w:afterAutospacing="1" w:line="240" w:lineRule="auto"/>
      <w:jc w:val="left"/>
    </w:pPr>
    <w:rPr>
      <w:rFonts w:ascii="Times New Roman" w:hAnsi="Times New Roman"/>
      <w:sz w:val="24"/>
      <w:szCs w:val="24"/>
    </w:rPr>
  </w:style>
  <w:style w:type="paragraph" w:styleId="CabealhodoSumrio">
    <w:name w:val="TOC Heading"/>
    <w:basedOn w:val="Ttulo1"/>
    <w:next w:val="Normal"/>
    <w:uiPriority w:val="39"/>
    <w:semiHidden/>
    <w:unhideWhenUsed/>
    <w:qFormat/>
    <w:rsid w:val="00E27749"/>
    <w:pPr>
      <w:keepLines/>
      <w:spacing w:before="480" w:after="0" w:line="276" w:lineRule="auto"/>
      <w:outlineLvl w:val="9"/>
    </w:pPr>
    <w:rPr>
      <w:rFonts w:ascii="Cambria" w:hAnsi="Cambria"/>
      <w:bCs/>
      <w:caps w:val="0"/>
      <w:color w:val="365F91"/>
      <w:kern w:val="0"/>
      <w:sz w:val="28"/>
      <w:szCs w:val="28"/>
    </w:rPr>
  </w:style>
  <w:style w:type="paragraph" w:customStyle="1" w:styleId="p10">
    <w:name w:val="p1"/>
    <w:basedOn w:val="Normal"/>
    <w:rsid w:val="00363321"/>
    <w:pPr>
      <w:tabs>
        <w:tab w:val="left" w:pos="1134"/>
      </w:tabs>
      <w:spacing w:before="120" w:after="120"/>
    </w:pPr>
    <w:rPr>
      <w:color w:val="000000"/>
    </w:rPr>
  </w:style>
  <w:style w:type="numbering" w:customStyle="1" w:styleId="Artigoseo1">
    <w:name w:val="Artigo / seção1"/>
    <w:basedOn w:val="Semlista"/>
    <w:next w:val="Artigoseo"/>
    <w:rsid w:val="00907A83"/>
    <w:pPr>
      <w:numPr>
        <w:numId w:val="16"/>
      </w:numPr>
    </w:pPr>
  </w:style>
  <w:style w:type="numbering" w:customStyle="1" w:styleId="1111111">
    <w:name w:val="1 / 1.1 / 1.1.11"/>
    <w:basedOn w:val="Semlista"/>
    <w:next w:val="111111"/>
    <w:uiPriority w:val="99"/>
    <w:rsid w:val="00907A83"/>
  </w:style>
  <w:style w:type="numbering" w:styleId="Artigoseo">
    <w:name w:val="Outline List 3"/>
    <w:basedOn w:val="Semlista"/>
    <w:rsid w:val="00907A83"/>
    <w:pPr>
      <w:numPr>
        <w:numId w:val="20"/>
      </w:numPr>
    </w:pPr>
  </w:style>
  <w:style w:type="numbering" w:styleId="111111">
    <w:name w:val="Outline List 2"/>
    <w:basedOn w:val="Semlista"/>
    <w:uiPriority w:val="99"/>
    <w:rsid w:val="00907A83"/>
  </w:style>
  <w:style w:type="numbering" w:customStyle="1" w:styleId="1ai21">
    <w:name w:val="1 / a / i21"/>
    <w:basedOn w:val="Semlista"/>
    <w:next w:val="1ai"/>
    <w:rsid w:val="00907A83"/>
    <w:pPr>
      <w:numPr>
        <w:numId w:val="23"/>
      </w:numPr>
    </w:pPr>
  </w:style>
  <w:style w:type="character" w:customStyle="1" w:styleId="Ttulo5Char">
    <w:name w:val="Título 5 Char"/>
    <w:aliases w:val="quadros Char,Título Impacto Char Char,Título Impacto Char1"/>
    <w:link w:val="Ttulo5"/>
    <w:rsid w:val="00F469E4"/>
    <w:rPr>
      <w:rFonts w:ascii="Arial" w:hAnsi="Arial"/>
      <w:sz w:val="22"/>
    </w:rPr>
  </w:style>
  <w:style w:type="paragraph" w:customStyle="1" w:styleId="quadroscabealho">
    <w:name w:val="quadros_cabeçalho"/>
    <w:basedOn w:val="Normal"/>
    <w:qFormat/>
    <w:rsid w:val="00F469E4"/>
    <w:pPr>
      <w:spacing w:before="40" w:after="40" w:line="320" w:lineRule="exact"/>
      <w:jc w:val="center"/>
    </w:pPr>
    <w:rPr>
      <w:rFonts w:ascii="ZapfHumnst BT" w:hAnsi="ZapfHumnst BT"/>
      <w:b/>
      <w:sz w:val="24"/>
    </w:rPr>
  </w:style>
  <w:style w:type="paragraph" w:customStyle="1" w:styleId="Normal1">
    <w:name w:val="Normal_1"/>
    <w:basedOn w:val="Ttulo5"/>
    <w:link w:val="Normal1Char"/>
    <w:qFormat/>
    <w:rsid w:val="00F469E4"/>
    <w:pPr>
      <w:numPr>
        <w:numId w:val="0"/>
      </w:numPr>
      <w:spacing w:before="40" w:after="40" w:line="320" w:lineRule="exact"/>
      <w:jc w:val="center"/>
    </w:pPr>
    <w:rPr>
      <w:rFonts w:ascii="ZapfHumnst BT" w:hAnsi="ZapfHumnst BT"/>
      <w:caps/>
      <w:sz w:val="18"/>
    </w:rPr>
  </w:style>
  <w:style w:type="character" w:customStyle="1" w:styleId="Normal1Char">
    <w:name w:val="Normal_1 Char"/>
    <w:link w:val="Normal1"/>
    <w:rsid w:val="00F469E4"/>
    <w:rPr>
      <w:rFonts w:ascii="ZapfHumnst BT" w:hAnsi="ZapfHumnst BT"/>
      <w:caps/>
      <w:sz w:val="18"/>
    </w:rPr>
  </w:style>
  <w:style w:type="table" w:customStyle="1" w:styleId="Tabelacomgrade1">
    <w:name w:val="Tabela com grade1"/>
    <w:basedOn w:val="Tabelanormal"/>
    <w:next w:val="Tabelacomgrade"/>
    <w:uiPriority w:val="59"/>
    <w:rsid w:val="00F469E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
    <w:name w:val="Tabela com grade2"/>
    <w:basedOn w:val="Tabelanormal"/>
    <w:next w:val="Tabelacomgrade"/>
    <w:uiPriority w:val="59"/>
    <w:rsid w:val="000F546F"/>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3">
    <w:name w:val="Tabela com grade3"/>
    <w:basedOn w:val="Tabelanormal"/>
    <w:next w:val="Tabelacomgrade"/>
    <w:uiPriority w:val="59"/>
    <w:rsid w:val="000F546F"/>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ssuntodocomentrio">
    <w:name w:val="annotation subject"/>
    <w:basedOn w:val="Textodecomentrio"/>
    <w:next w:val="Textodecomentrio"/>
    <w:link w:val="AssuntodocomentrioChar"/>
    <w:rsid w:val="006C2F28"/>
    <w:rPr>
      <w:b/>
      <w:bCs/>
    </w:rPr>
  </w:style>
  <w:style w:type="character" w:customStyle="1" w:styleId="AssuntodocomentrioChar">
    <w:name w:val="Assunto do comentário Char"/>
    <w:link w:val="Assuntodocomentrio"/>
    <w:rsid w:val="006C2F28"/>
    <w:rPr>
      <w:rFonts w:ascii="Arial" w:hAnsi="Arial"/>
      <w:b/>
      <w:bCs/>
    </w:rPr>
  </w:style>
  <w:style w:type="character" w:customStyle="1" w:styleId="Ttulo7Char">
    <w:name w:val="Título 7 Char"/>
    <w:link w:val="Ttulo7"/>
    <w:rsid w:val="009E1DAB"/>
    <w:rPr>
      <w:rFonts w:ascii="Arial" w:hAnsi="Arial"/>
      <w:sz w:val="22"/>
    </w:rPr>
  </w:style>
  <w:style w:type="paragraph" w:customStyle="1" w:styleId="QT1">
    <w:name w:val="QT1"/>
    <w:basedOn w:val="Normal"/>
    <w:rsid w:val="009E1DAB"/>
    <w:pPr>
      <w:spacing w:before="120" w:after="120" w:line="240" w:lineRule="auto"/>
      <w:jc w:val="center"/>
    </w:pPr>
    <w:rPr>
      <w:b/>
      <w:sz w:val="18"/>
      <w:lang w:eastAsia="zh-CN"/>
    </w:rPr>
  </w:style>
  <w:style w:type="paragraph" w:customStyle="1" w:styleId="QT2">
    <w:name w:val="QT2"/>
    <w:basedOn w:val="Normal"/>
    <w:rsid w:val="009E1DAB"/>
    <w:pPr>
      <w:spacing w:before="40" w:after="40" w:line="240" w:lineRule="auto"/>
    </w:pPr>
    <w:rPr>
      <w:sz w:val="16"/>
      <w:lang w:eastAsia="zh-CN"/>
    </w:rPr>
  </w:style>
  <w:style w:type="numbering" w:customStyle="1" w:styleId="1ai22">
    <w:name w:val="1 / a / i22"/>
    <w:basedOn w:val="Semlista"/>
    <w:next w:val="1ai"/>
    <w:rsid w:val="009E1DAB"/>
    <w:pPr>
      <w:numPr>
        <w:numId w:val="27"/>
      </w:numPr>
    </w:pPr>
  </w:style>
  <w:style w:type="numbering" w:customStyle="1" w:styleId="1ai1">
    <w:name w:val="1 / a / i1"/>
    <w:basedOn w:val="Semlista"/>
    <w:next w:val="1ai"/>
    <w:rsid w:val="009E1DAB"/>
    <w:pPr>
      <w:numPr>
        <w:numId w:val="26"/>
      </w:numPr>
    </w:pPr>
  </w:style>
  <w:style w:type="numbering" w:customStyle="1" w:styleId="Semlista1">
    <w:name w:val="Sem lista1"/>
    <w:next w:val="Semlista"/>
    <w:uiPriority w:val="99"/>
    <w:semiHidden/>
    <w:rsid w:val="009E1DAB"/>
  </w:style>
  <w:style w:type="character" w:customStyle="1" w:styleId="Ttulo6Char">
    <w:name w:val="Título 6 Char"/>
    <w:link w:val="Ttulo6"/>
    <w:rsid w:val="009E1DAB"/>
    <w:rPr>
      <w:rFonts w:ascii="Arial" w:hAnsi="Arial"/>
      <w:sz w:val="22"/>
    </w:rPr>
  </w:style>
  <w:style w:type="character" w:customStyle="1" w:styleId="Ttulo8Char">
    <w:name w:val="Título 8 Char"/>
    <w:link w:val="Ttulo8"/>
    <w:rsid w:val="009E1DAB"/>
    <w:rPr>
      <w:rFonts w:ascii="Arial" w:hAnsi="Arial"/>
      <w:sz w:val="22"/>
    </w:rPr>
  </w:style>
  <w:style w:type="character" w:customStyle="1" w:styleId="Ttulo9Char">
    <w:name w:val="Título 9 Char"/>
    <w:link w:val="Ttulo9"/>
    <w:rsid w:val="009E1DAB"/>
    <w:rPr>
      <w:rFonts w:ascii="Arial" w:hAnsi="Arial"/>
      <w:b/>
      <w:i/>
      <w:sz w:val="18"/>
    </w:rPr>
  </w:style>
  <w:style w:type="paragraph" w:customStyle="1" w:styleId="T3">
    <w:name w:val="T3"/>
    <w:basedOn w:val="Normal"/>
    <w:rsid w:val="009E1DAB"/>
    <w:pPr>
      <w:spacing w:before="120" w:after="120" w:line="240" w:lineRule="auto"/>
      <w:ind w:left="1276"/>
    </w:pPr>
    <w:rPr>
      <w:rFonts w:ascii="Times New Roman" w:hAnsi="Times New Roman"/>
      <w:sz w:val="20"/>
      <w:lang w:eastAsia="zh-CN"/>
    </w:rPr>
  </w:style>
  <w:style w:type="paragraph" w:styleId="Data">
    <w:name w:val="Date"/>
    <w:basedOn w:val="Normal"/>
    <w:next w:val="Normal"/>
    <w:link w:val="DataChar"/>
    <w:rsid w:val="009E1DAB"/>
    <w:pPr>
      <w:spacing w:before="120" w:after="120" w:line="240" w:lineRule="auto"/>
    </w:pPr>
  </w:style>
  <w:style w:type="character" w:customStyle="1" w:styleId="DataChar">
    <w:name w:val="Data Char"/>
    <w:link w:val="Data"/>
    <w:rsid w:val="009E1DAB"/>
    <w:rPr>
      <w:rFonts w:ascii="Arial" w:hAnsi="Arial"/>
      <w:sz w:val="22"/>
    </w:rPr>
  </w:style>
  <w:style w:type="paragraph" w:customStyle="1" w:styleId="p3">
    <w:name w:val="p3"/>
    <w:basedOn w:val="Normal"/>
    <w:rsid w:val="009E1DAB"/>
    <w:pPr>
      <w:spacing w:before="120" w:after="120" w:line="240" w:lineRule="auto"/>
      <w:ind w:left="1814"/>
    </w:pPr>
    <w:rPr>
      <w:color w:val="000000"/>
    </w:rPr>
  </w:style>
  <w:style w:type="paragraph" w:customStyle="1" w:styleId="PONTOT">
    <w:name w:val="PONTO T"/>
    <w:basedOn w:val="Normal"/>
    <w:rsid w:val="009E1DAB"/>
    <w:pPr>
      <w:spacing w:before="120" w:after="120" w:line="240" w:lineRule="auto"/>
      <w:ind w:left="1701"/>
    </w:pPr>
    <w:rPr>
      <w:rFonts w:ascii="Times New Roman" w:hAnsi="Times New Roman"/>
      <w:sz w:val="20"/>
    </w:rPr>
  </w:style>
  <w:style w:type="character" w:customStyle="1" w:styleId="TextodecomentrioChar">
    <w:name w:val="Texto de comentário Char"/>
    <w:aliases w:val="Char6 Char"/>
    <w:rsid w:val="009E1DAB"/>
    <w:rPr>
      <w:rFonts w:ascii="Arial" w:hAnsi="Arial"/>
    </w:rPr>
  </w:style>
  <w:style w:type="character" w:customStyle="1" w:styleId="Heading1Char1">
    <w:name w:val="Heading 1 Char1"/>
    <w:aliases w:val="1 ghost Char1,g Char"/>
    <w:locked/>
    <w:rsid w:val="009E1DAB"/>
    <w:rPr>
      <w:rFonts w:ascii="Arial" w:hAnsi="Arial" w:cs="Arial"/>
      <w:b/>
      <w:kern w:val="32"/>
      <w:sz w:val="32"/>
      <w:szCs w:val="32"/>
    </w:rPr>
  </w:style>
  <w:style w:type="character" w:customStyle="1" w:styleId="Heading3Char1">
    <w:name w:val="Heading 3 Char1"/>
    <w:locked/>
    <w:rsid w:val="009E1DAB"/>
    <w:rPr>
      <w:rFonts w:ascii="Arial" w:hAnsi="Arial" w:cs="Arial"/>
      <w:b/>
      <w:bCs/>
      <w:sz w:val="22"/>
      <w:szCs w:val="22"/>
      <w:lang w:eastAsia="en-US"/>
    </w:rPr>
  </w:style>
  <w:style w:type="character" w:customStyle="1" w:styleId="Heading4Char1">
    <w:name w:val="Heading 4 Char1"/>
    <w:locked/>
    <w:rsid w:val="009E1DAB"/>
    <w:rPr>
      <w:rFonts w:ascii="Arial" w:hAnsi="Arial" w:cs="Arial"/>
      <w:b/>
      <w:iCs/>
      <w:sz w:val="22"/>
      <w:szCs w:val="22"/>
      <w:lang w:val="fr-FR" w:eastAsia="en-US"/>
    </w:rPr>
  </w:style>
  <w:style w:type="paragraph" w:styleId="Subttulo">
    <w:name w:val="Subtitle"/>
    <w:basedOn w:val="Normal"/>
    <w:link w:val="SubttuloChar"/>
    <w:uiPriority w:val="11"/>
    <w:qFormat/>
    <w:rsid w:val="009E1DAB"/>
    <w:pPr>
      <w:spacing w:before="120" w:after="60" w:line="240" w:lineRule="auto"/>
      <w:jc w:val="center"/>
      <w:outlineLvl w:val="1"/>
    </w:pPr>
    <w:rPr>
      <w:rFonts w:ascii="Cambria" w:eastAsia="MS Gothic" w:hAnsi="Cambria"/>
      <w:sz w:val="24"/>
      <w:szCs w:val="24"/>
      <w:lang w:eastAsia="en-US"/>
    </w:rPr>
  </w:style>
  <w:style w:type="character" w:customStyle="1" w:styleId="SubttuloChar">
    <w:name w:val="Subtítulo Char"/>
    <w:link w:val="Subttulo"/>
    <w:uiPriority w:val="11"/>
    <w:rsid w:val="009E1DAB"/>
    <w:rPr>
      <w:rFonts w:ascii="Cambria" w:eastAsia="MS Gothic" w:hAnsi="Cambria"/>
      <w:sz w:val="24"/>
      <w:szCs w:val="24"/>
      <w:lang w:eastAsia="en-US"/>
    </w:rPr>
  </w:style>
  <w:style w:type="paragraph" w:customStyle="1" w:styleId="ColorfulList-Accent11">
    <w:name w:val="Colorful List - Accent 11"/>
    <w:basedOn w:val="Normal"/>
    <w:link w:val="ColorfulList-Accent1Char"/>
    <w:uiPriority w:val="34"/>
    <w:qFormat/>
    <w:rsid w:val="009E1DAB"/>
    <w:pPr>
      <w:spacing w:before="120" w:after="120" w:line="240" w:lineRule="auto"/>
      <w:ind w:left="708"/>
      <w:jc w:val="left"/>
    </w:pPr>
    <w:rPr>
      <w:rFonts w:ascii="Calibri" w:eastAsia="Calibri" w:hAnsi="Calibri"/>
      <w:szCs w:val="22"/>
      <w:lang w:eastAsia="en-US"/>
    </w:rPr>
  </w:style>
  <w:style w:type="character" w:customStyle="1" w:styleId="ColorfulList-Accent1Char">
    <w:name w:val="Colorful List - Accent 1 Char"/>
    <w:link w:val="ColorfulList-Accent11"/>
    <w:uiPriority w:val="34"/>
    <w:rsid w:val="009E1DAB"/>
    <w:rPr>
      <w:rFonts w:ascii="Calibri" w:eastAsia="Calibri" w:hAnsi="Calibri"/>
      <w:sz w:val="22"/>
      <w:szCs w:val="22"/>
      <w:lang w:eastAsia="en-US"/>
    </w:rPr>
  </w:style>
  <w:style w:type="paragraph" w:customStyle="1" w:styleId="ColorfulGrid-Accent11">
    <w:name w:val="Colorful Grid - Accent 11"/>
    <w:basedOn w:val="Normal"/>
    <w:next w:val="Normal"/>
    <w:uiPriority w:val="29"/>
    <w:qFormat/>
    <w:rsid w:val="009E1DAB"/>
    <w:pPr>
      <w:spacing w:before="120" w:after="120" w:line="240" w:lineRule="auto"/>
      <w:jc w:val="left"/>
    </w:pPr>
    <w:rPr>
      <w:rFonts w:ascii="Times New Roman" w:hAnsi="Times New Roman"/>
      <w:i/>
      <w:iCs/>
      <w:color w:val="000000"/>
      <w:sz w:val="24"/>
      <w:szCs w:val="24"/>
    </w:rPr>
  </w:style>
  <w:style w:type="character" w:customStyle="1" w:styleId="QuoteChar">
    <w:name w:val="Quote Char"/>
    <w:link w:val="Quote1"/>
    <w:semiHidden/>
    <w:rsid w:val="009E1DAB"/>
    <w:rPr>
      <w:rFonts w:ascii="Arial" w:hAnsi="Arial"/>
      <w:i/>
      <w:iCs/>
      <w:color w:val="000000"/>
      <w:sz w:val="22"/>
      <w:szCs w:val="22"/>
    </w:rPr>
  </w:style>
  <w:style w:type="paragraph" w:customStyle="1" w:styleId="Quote1">
    <w:name w:val="Quote1"/>
    <w:basedOn w:val="Normal"/>
    <w:next w:val="Normal"/>
    <w:link w:val="QuoteChar"/>
    <w:semiHidden/>
    <w:rsid w:val="009E1DAB"/>
    <w:pPr>
      <w:widowControl w:val="0"/>
      <w:numPr>
        <w:ilvl w:val="2"/>
        <w:numId w:val="15"/>
      </w:numPr>
      <w:autoSpaceDE w:val="0"/>
      <w:autoSpaceDN w:val="0"/>
      <w:adjustRightInd w:val="0"/>
      <w:spacing w:before="120" w:after="120" w:line="240" w:lineRule="auto"/>
      <w:jc w:val="left"/>
    </w:pPr>
    <w:rPr>
      <w:i/>
      <w:iCs/>
      <w:color w:val="000000"/>
      <w:szCs w:val="22"/>
    </w:rPr>
  </w:style>
  <w:style w:type="character" w:customStyle="1" w:styleId="QuoteChar1">
    <w:name w:val="Quote Char1"/>
    <w:rsid w:val="009E1DAB"/>
    <w:rPr>
      <w:rFonts w:ascii="Arial" w:hAnsi="Arial"/>
      <w:iCs/>
      <w:color w:val="000000"/>
      <w:lang w:val="pt-BR" w:eastAsia="pt-BR" w:bidi="ar-SA"/>
    </w:rPr>
  </w:style>
  <w:style w:type="character" w:customStyle="1" w:styleId="IntenseEmphasis1">
    <w:name w:val="Intense Emphasis1"/>
    <w:rsid w:val="009E1DAB"/>
    <w:rPr>
      <w:b/>
      <w:bCs/>
      <w:i/>
      <w:iCs/>
      <w:color w:val="4F81BD"/>
    </w:rPr>
  </w:style>
  <w:style w:type="paragraph" w:customStyle="1" w:styleId="TOCHeading1">
    <w:name w:val="TOC Heading1"/>
    <w:basedOn w:val="Ttulo1"/>
    <w:next w:val="Normal"/>
    <w:uiPriority w:val="39"/>
    <w:semiHidden/>
    <w:unhideWhenUsed/>
    <w:qFormat/>
    <w:rsid w:val="009E1DAB"/>
    <w:pPr>
      <w:numPr>
        <w:numId w:val="0"/>
      </w:numPr>
      <w:tabs>
        <w:tab w:val="clear" w:pos="0"/>
        <w:tab w:val="num" w:pos="360"/>
      </w:tabs>
      <w:spacing w:after="60"/>
      <w:ind w:left="432" w:hanging="432"/>
      <w:outlineLvl w:val="9"/>
    </w:pPr>
    <w:rPr>
      <w:rFonts w:ascii="Cambria" w:eastAsia="MS Gothic" w:hAnsi="Cambria"/>
      <w:bCs/>
      <w:caps w:val="0"/>
      <w:kern w:val="32"/>
      <w:sz w:val="32"/>
      <w:szCs w:val="32"/>
    </w:rPr>
  </w:style>
  <w:style w:type="paragraph" w:customStyle="1" w:styleId="ListParagraph1">
    <w:name w:val="List Paragraph1"/>
    <w:basedOn w:val="Normal"/>
    <w:link w:val="ListParagraphChar"/>
    <w:rsid w:val="009E1DAB"/>
    <w:pPr>
      <w:spacing w:before="120" w:after="120" w:line="240" w:lineRule="auto"/>
      <w:ind w:left="720"/>
      <w:jc w:val="left"/>
    </w:pPr>
    <w:rPr>
      <w:rFonts w:eastAsia="Calibri"/>
      <w:szCs w:val="22"/>
    </w:rPr>
  </w:style>
  <w:style w:type="character" w:customStyle="1" w:styleId="ListParagraphChar">
    <w:name w:val="List Paragraph Char"/>
    <w:link w:val="ListParagraph1"/>
    <w:locked/>
    <w:rsid w:val="009E1DAB"/>
    <w:rPr>
      <w:rFonts w:ascii="Arial" w:eastAsia="Calibri" w:hAnsi="Arial"/>
      <w:sz w:val="22"/>
      <w:szCs w:val="22"/>
    </w:rPr>
  </w:style>
  <w:style w:type="paragraph" w:customStyle="1" w:styleId="Textotabela">
    <w:name w:val="Texto tabela"/>
    <w:basedOn w:val="Normal"/>
    <w:next w:val="Normal"/>
    <w:link w:val="TextotabelaChar"/>
    <w:semiHidden/>
    <w:rsid w:val="009E1DAB"/>
    <w:pPr>
      <w:spacing w:before="20" w:after="20" w:line="240" w:lineRule="auto"/>
      <w:jc w:val="left"/>
    </w:pPr>
    <w:rPr>
      <w:rFonts w:eastAsia="Calibri"/>
      <w:sz w:val="20"/>
    </w:rPr>
  </w:style>
  <w:style w:type="character" w:customStyle="1" w:styleId="TextotabelaChar">
    <w:name w:val="Texto tabela Char"/>
    <w:link w:val="Textotabela"/>
    <w:semiHidden/>
    <w:rsid w:val="009E1DAB"/>
    <w:rPr>
      <w:rFonts w:ascii="Arial" w:eastAsia="Calibri" w:hAnsi="Arial"/>
    </w:rPr>
  </w:style>
  <w:style w:type="paragraph" w:customStyle="1" w:styleId="Citao-1">
    <w:name w:val="Citação-1"/>
    <w:basedOn w:val="Normal"/>
    <w:next w:val="Normal"/>
    <w:semiHidden/>
    <w:rsid w:val="009E1DAB"/>
    <w:pPr>
      <w:spacing w:before="120" w:after="240" w:line="240" w:lineRule="auto"/>
      <w:ind w:left="851"/>
      <w:jc w:val="left"/>
    </w:pPr>
    <w:rPr>
      <w:rFonts w:ascii="Times New Roman" w:hAnsi="Times New Roman"/>
      <w:sz w:val="24"/>
      <w:szCs w:val="24"/>
    </w:rPr>
  </w:style>
  <w:style w:type="paragraph" w:customStyle="1" w:styleId="Figura1">
    <w:name w:val="Figura 1"/>
    <w:basedOn w:val="Normal"/>
    <w:next w:val="Normal"/>
    <w:rsid w:val="009E1DAB"/>
    <w:pPr>
      <w:spacing w:before="120" w:after="120" w:line="240" w:lineRule="auto"/>
      <w:jc w:val="center"/>
    </w:pPr>
    <w:rPr>
      <w:rFonts w:ascii="Arial Negrito" w:hAnsi="Arial Negrito"/>
      <w:b/>
      <w:caps/>
      <w:sz w:val="24"/>
      <w:szCs w:val="24"/>
    </w:rPr>
  </w:style>
  <w:style w:type="paragraph" w:customStyle="1" w:styleId="Quadro1">
    <w:name w:val="Quadro 1"/>
    <w:basedOn w:val="Normal"/>
    <w:next w:val="Normal"/>
    <w:semiHidden/>
    <w:rsid w:val="009E1DAB"/>
    <w:pPr>
      <w:spacing w:before="120" w:after="120" w:line="240" w:lineRule="auto"/>
      <w:jc w:val="center"/>
    </w:pPr>
    <w:rPr>
      <w:rFonts w:ascii="Times New Roman" w:hAnsi="Times New Roman"/>
      <w:b/>
      <w:sz w:val="24"/>
      <w:szCs w:val="24"/>
    </w:rPr>
  </w:style>
  <w:style w:type="paragraph" w:customStyle="1" w:styleId="Tabela1">
    <w:name w:val="Tabela 1"/>
    <w:basedOn w:val="Normal"/>
    <w:next w:val="Normal"/>
    <w:link w:val="Tabela1Char1"/>
    <w:rsid w:val="009E1DAB"/>
    <w:pPr>
      <w:spacing w:before="120" w:after="120" w:line="240" w:lineRule="auto"/>
      <w:jc w:val="center"/>
    </w:pPr>
    <w:rPr>
      <w:rFonts w:ascii="Arial Negrito" w:eastAsia="Calibri" w:hAnsi="Arial Negrito"/>
      <w:b/>
      <w:caps/>
      <w:szCs w:val="22"/>
    </w:rPr>
  </w:style>
  <w:style w:type="character" w:customStyle="1" w:styleId="Tabela1Char1">
    <w:name w:val="Tabela 1 Char1"/>
    <w:link w:val="Tabela1"/>
    <w:rsid w:val="009E1DAB"/>
    <w:rPr>
      <w:rFonts w:ascii="Arial Negrito" w:eastAsia="Calibri" w:hAnsi="Arial Negrito"/>
      <w:b/>
      <w:caps/>
      <w:sz w:val="22"/>
      <w:szCs w:val="22"/>
    </w:rPr>
  </w:style>
  <w:style w:type="paragraph" w:customStyle="1" w:styleId="Citao1">
    <w:name w:val="Citação 1"/>
    <w:basedOn w:val="Normal"/>
    <w:semiHidden/>
    <w:rsid w:val="009E1DAB"/>
    <w:pPr>
      <w:numPr>
        <w:numId w:val="31"/>
      </w:numPr>
      <w:tabs>
        <w:tab w:val="clear" w:pos="1287"/>
      </w:tabs>
      <w:spacing w:before="120" w:after="240" w:line="240" w:lineRule="auto"/>
      <w:ind w:left="851" w:firstLine="0"/>
      <w:jc w:val="left"/>
    </w:pPr>
    <w:rPr>
      <w:rFonts w:ascii="Times New Roman" w:hAnsi="Times New Roman"/>
      <w:i/>
      <w:sz w:val="24"/>
      <w:szCs w:val="24"/>
    </w:rPr>
  </w:style>
  <w:style w:type="paragraph" w:customStyle="1" w:styleId="Fonte">
    <w:name w:val="Fonte"/>
    <w:basedOn w:val="Normal"/>
    <w:rsid w:val="009E1DAB"/>
    <w:pPr>
      <w:suppressAutoHyphens/>
      <w:spacing w:before="120" w:after="120" w:line="240" w:lineRule="auto"/>
      <w:jc w:val="left"/>
    </w:pPr>
    <w:rPr>
      <w:rFonts w:ascii="Times New Roman" w:hAnsi="Times New Roman"/>
      <w:sz w:val="24"/>
      <w:szCs w:val="24"/>
    </w:rPr>
  </w:style>
  <w:style w:type="paragraph" w:customStyle="1" w:styleId="Bullet">
    <w:name w:val="Bullet"/>
    <w:basedOn w:val="Normal"/>
    <w:link w:val="BulletCharChar"/>
    <w:unhideWhenUsed/>
    <w:rsid w:val="009E1DAB"/>
    <w:pPr>
      <w:numPr>
        <w:numId w:val="14"/>
      </w:numPr>
      <w:tabs>
        <w:tab w:val="left" w:pos="851"/>
      </w:tabs>
      <w:suppressAutoHyphens/>
      <w:spacing w:before="120" w:after="120" w:line="240" w:lineRule="auto"/>
      <w:jc w:val="left"/>
    </w:pPr>
    <w:rPr>
      <w:rFonts w:eastAsia="Calibri"/>
      <w:szCs w:val="22"/>
    </w:rPr>
  </w:style>
  <w:style w:type="character" w:customStyle="1" w:styleId="BulletCharChar">
    <w:name w:val="Bullet Char Char"/>
    <w:link w:val="Bullet"/>
    <w:locked/>
    <w:rsid w:val="009E1DAB"/>
    <w:rPr>
      <w:rFonts w:ascii="Arial" w:eastAsia="Calibri" w:hAnsi="Arial"/>
      <w:sz w:val="22"/>
      <w:szCs w:val="22"/>
    </w:rPr>
  </w:style>
  <w:style w:type="paragraph" w:customStyle="1" w:styleId="Tabela0">
    <w:name w:val="Tabela"/>
    <w:basedOn w:val="Normal"/>
    <w:semiHidden/>
    <w:rsid w:val="009E1DAB"/>
    <w:pPr>
      <w:keepNext/>
      <w:spacing w:before="120" w:after="120" w:line="240" w:lineRule="auto"/>
      <w:jc w:val="left"/>
    </w:pPr>
    <w:rPr>
      <w:rFonts w:ascii="Times New Roman" w:hAnsi="Times New Roman"/>
      <w:sz w:val="24"/>
      <w:szCs w:val="24"/>
    </w:rPr>
  </w:style>
  <w:style w:type="paragraph" w:customStyle="1" w:styleId="RefBibliogrficas">
    <w:name w:val="Ref. Bibliográficas"/>
    <w:basedOn w:val="Normal"/>
    <w:semiHidden/>
    <w:rsid w:val="009E1DAB"/>
    <w:pPr>
      <w:spacing w:before="120" w:after="120" w:line="240" w:lineRule="auto"/>
      <w:ind w:left="709" w:hanging="709"/>
      <w:jc w:val="left"/>
    </w:pPr>
    <w:rPr>
      <w:rFonts w:ascii="Times New Roman" w:hAnsi="Times New Roman"/>
      <w:sz w:val="24"/>
      <w:szCs w:val="24"/>
    </w:rPr>
  </w:style>
  <w:style w:type="paragraph" w:customStyle="1" w:styleId="Quadro">
    <w:name w:val="Quadro"/>
    <w:basedOn w:val="Normal"/>
    <w:link w:val="QuadroChar"/>
    <w:semiHidden/>
    <w:rsid w:val="009E1DAB"/>
    <w:pPr>
      <w:keepNext/>
      <w:spacing w:before="60" w:after="120" w:line="240" w:lineRule="auto"/>
      <w:jc w:val="left"/>
    </w:pPr>
    <w:rPr>
      <w:rFonts w:ascii="Trebuchet MS" w:eastAsia="Calibri" w:hAnsi="Trebuchet MS"/>
      <w:sz w:val="20"/>
    </w:rPr>
  </w:style>
  <w:style w:type="character" w:customStyle="1" w:styleId="QuadroChar">
    <w:name w:val="Quadro Char"/>
    <w:link w:val="Quadro"/>
    <w:semiHidden/>
    <w:locked/>
    <w:rsid w:val="009E1DAB"/>
    <w:rPr>
      <w:rFonts w:ascii="Trebuchet MS" w:eastAsia="Calibri" w:hAnsi="Trebuchet MS"/>
    </w:rPr>
  </w:style>
  <w:style w:type="paragraph" w:customStyle="1" w:styleId="QuadroFonte">
    <w:name w:val="Quadro Fonte"/>
    <w:basedOn w:val="Normal"/>
    <w:next w:val="Normal"/>
    <w:semiHidden/>
    <w:rsid w:val="009E1DAB"/>
    <w:pPr>
      <w:numPr>
        <w:ilvl w:val="2"/>
        <w:numId w:val="32"/>
      </w:numPr>
      <w:tabs>
        <w:tab w:val="clear" w:pos="851"/>
      </w:tabs>
      <w:spacing w:before="120" w:after="120" w:line="240" w:lineRule="auto"/>
      <w:ind w:left="0" w:firstLine="0"/>
      <w:jc w:val="left"/>
    </w:pPr>
    <w:rPr>
      <w:rFonts w:ascii="Tahoma" w:hAnsi="Tahoma"/>
      <w:sz w:val="18"/>
      <w:szCs w:val="24"/>
    </w:rPr>
  </w:style>
  <w:style w:type="paragraph" w:customStyle="1" w:styleId="NoSpacing1">
    <w:name w:val="No Spacing1"/>
    <w:semiHidden/>
    <w:rsid w:val="009E1DAB"/>
    <w:rPr>
      <w:rFonts w:ascii="Calibri" w:eastAsia="Calibri" w:hAnsi="Calibri"/>
      <w:sz w:val="22"/>
      <w:szCs w:val="22"/>
      <w:lang w:eastAsia="en-US"/>
    </w:rPr>
  </w:style>
  <w:style w:type="paragraph" w:customStyle="1" w:styleId="LightList-Accent31">
    <w:name w:val="Light List - Accent 31"/>
    <w:hidden/>
    <w:uiPriority w:val="71"/>
    <w:rsid w:val="009E1DAB"/>
    <w:rPr>
      <w:sz w:val="24"/>
      <w:szCs w:val="24"/>
    </w:rPr>
  </w:style>
  <w:style w:type="character" w:customStyle="1" w:styleId="textomateria2">
    <w:name w:val="textomateria2"/>
    <w:rsid w:val="009E1DAB"/>
    <w:rPr>
      <w:rFonts w:ascii="Verdana" w:hAnsi="Verdana" w:hint="default"/>
      <w:b w:val="0"/>
      <w:bCs w:val="0"/>
      <w:color w:val="000000"/>
      <w:sz w:val="15"/>
      <w:szCs w:val="15"/>
    </w:rPr>
  </w:style>
  <w:style w:type="paragraph" w:customStyle="1" w:styleId="1textoChar">
    <w:name w:val="#1texto Char"/>
    <w:link w:val="1textoCharChar"/>
    <w:rsid w:val="009E1DAB"/>
    <w:pPr>
      <w:spacing w:after="240"/>
      <w:jc w:val="both"/>
    </w:pPr>
    <w:rPr>
      <w:rFonts w:ascii="Arial" w:eastAsia="Calibri" w:hAnsi="Arial"/>
      <w:sz w:val="22"/>
    </w:rPr>
  </w:style>
  <w:style w:type="character" w:customStyle="1" w:styleId="1textoCharChar">
    <w:name w:val="#1texto Char Char"/>
    <w:link w:val="1textoChar"/>
    <w:locked/>
    <w:rsid w:val="009E1DAB"/>
    <w:rPr>
      <w:rFonts w:ascii="Arial" w:eastAsia="Calibri" w:hAnsi="Arial"/>
      <w:sz w:val="22"/>
      <w:lang w:bidi="ar-SA"/>
    </w:rPr>
  </w:style>
  <w:style w:type="paragraph" w:customStyle="1" w:styleId="1traco">
    <w:name w:val="#1traco"/>
    <w:basedOn w:val="1textoChar"/>
    <w:rsid w:val="009E1DAB"/>
    <w:pPr>
      <w:numPr>
        <w:numId w:val="16"/>
      </w:numPr>
      <w:tabs>
        <w:tab w:val="left" w:pos="567"/>
        <w:tab w:val="num" w:pos="645"/>
        <w:tab w:val="num" w:pos="780"/>
      </w:tabs>
      <w:spacing w:after="120"/>
      <w:ind w:left="645"/>
    </w:pPr>
    <w:rPr>
      <w:noProof/>
    </w:rPr>
  </w:style>
  <w:style w:type="paragraph" w:styleId="MapadoDocumento">
    <w:name w:val="Document Map"/>
    <w:basedOn w:val="Normal"/>
    <w:link w:val="MapadoDocumentoChar"/>
    <w:uiPriority w:val="99"/>
    <w:unhideWhenUsed/>
    <w:rsid w:val="009E1DAB"/>
    <w:pPr>
      <w:spacing w:before="120" w:after="120" w:line="240" w:lineRule="auto"/>
      <w:jc w:val="left"/>
    </w:pPr>
    <w:rPr>
      <w:rFonts w:ascii="Lucida Grande" w:hAnsi="Lucida Grande"/>
      <w:sz w:val="24"/>
      <w:szCs w:val="24"/>
    </w:rPr>
  </w:style>
  <w:style w:type="character" w:customStyle="1" w:styleId="MapadoDocumentoChar">
    <w:name w:val="Mapa do Documento Char"/>
    <w:link w:val="MapadoDocumento"/>
    <w:uiPriority w:val="99"/>
    <w:rsid w:val="009E1DAB"/>
    <w:rPr>
      <w:rFonts w:ascii="Lucida Grande" w:hAnsi="Lucida Grande"/>
      <w:sz w:val="24"/>
      <w:szCs w:val="24"/>
    </w:rPr>
  </w:style>
  <w:style w:type="paragraph" w:customStyle="1" w:styleId="LightGrid-Accent31">
    <w:name w:val="Light Grid - Accent 31"/>
    <w:basedOn w:val="Normal"/>
    <w:uiPriority w:val="34"/>
    <w:qFormat/>
    <w:rsid w:val="009E1DAB"/>
    <w:pPr>
      <w:spacing w:before="120" w:after="120" w:line="240" w:lineRule="auto"/>
      <w:ind w:left="720"/>
      <w:contextualSpacing/>
      <w:jc w:val="left"/>
    </w:pPr>
    <w:rPr>
      <w:rFonts w:ascii="Times New Roman" w:hAnsi="Times New Roman"/>
      <w:sz w:val="24"/>
      <w:szCs w:val="24"/>
    </w:rPr>
  </w:style>
  <w:style w:type="paragraph" w:customStyle="1" w:styleId="artigo">
    <w:name w:val="artigo"/>
    <w:basedOn w:val="Normal"/>
    <w:rsid w:val="009E1DAB"/>
    <w:pPr>
      <w:spacing w:before="100" w:beforeAutospacing="1" w:after="100" w:afterAutospacing="1" w:line="240" w:lineRule="auto"/>
      <w:jc w:val="left"/>
    </w:pPr>
    <w:rPr>
      <w:rFonts w:ascii="Times New Roman" w:hAnsi="Times New Roman"/>
      <w:sz w:val="24"/>
      <w:szCs w:val="24"/>
    </w:rPr>
  </w:style>
  <w:style w:type="paragraph" w:customStyle="1" w:styleId="texto0">
    <w:name w:val="texto"/>
    <w:basedOn w:val="Normal"/>
    <w:rsid w:val="009E1DAB"/>
    <w:pPr>
      <w:spacing w:before="100" w:beforeAutospacing="1" w:after="100" w:afterAutospacing="1" w:line="240" w:lineRule="auto"/>
      <w:jc w:val="left"/>
    </w:pPr>
    <w:rPr>
      <w:rFonts w:ascii="Times" w:eastAsia="Calibri" w:hAnsi="Times"/>
      <w:sz w:val="20"/>
      <w:lang w:eastAsia="en-US"/>
    </w:rPr>
  </w:style>
  <w:style w:type="paragraph" w:customStyle="1" w:styleId="MediumList2-Accent21">
    <w:name w:val="Medium List 2 - Accent 21"/>
    <w:hidden/>
    <w:uiPriority w:val="71"/>
    <w:semiHidden/>
    <w:rsid w:val="009E1DAB"/>
    <w:rPr>
      <w:sz w:val="24"/>
      <w:szCs w:val="24"/>
    </w:rPr>
  </w:style>
  <w:style w:type="paragraph" w:customStyle="1" w:styleId="QuadroseFigurasTtuloeNumerao">
    <w:name w:val="Quadros e Figuras (Título e Numeração)"/>
    <w:basedOn w:val="Normal"/>
    <w:link w:val="QuadroseFigurasTtuloeNumeraoChar"/>
    <w:qFormat/>
    <w:rsid w:val="009E1DAB"/>
    <w:pPr>
      <w:keepNext/>
      <w:autoSpaceDE w:val="0"/>
      <w:autoSpaceDN w:val="0"/>
      <w:adjustRightInd w:val="0"/>
      <w:spacing w:before="120" w:after="120" w:line="240" w:lineRule="auto"/>
      <w:jc w:val="center"/>
    </w:pPr>
    <w:rPr>
      <w:b/>
    </w:rPr>
  </w:style>
  <w:style w:type="paragraph" w:styleId="SemEspaamento">
    <w:name w:val="No Spacing"/>
    <w:link w:val="SemEspaamentoChar"/>
    <w:qFormat/>
    <w:rsid w:val="009E1DAB"/>
    <w:rPr>
      <w:rFonts w:ascii="Calibri" w:hAnsi="Calibri"/>
      <w:sz w:val="22"/>
      <w:szCs w:val="22"/>
    </w:rPr>
  </w:style>
  <w:style w:type="character" w:customStyle="1" w:styleId="QuadroseFigurasTtuloeNumeraoChar">
    <w:name w:val="Quadros e Figuras (Título e Numeração) Char"/>
    <w:link w:val="QuadroseFigurasTtuloeNumerao"/>
    <w:rsid w:val="009E1DAB"/>
    <w:rPr>
      <w:rFonts w:ascii="Arial" w:hAnsi="Arial"/>
      <w:b/>
      <w:sz w:val="22"/>
    </w:rPr>
  </w:style>
  <w:style w:type="character" w:customStyle="1" w:styleId="SemEspaamentoChar">
    <w:name w:val="Sem Espaçamento Char"/>
    <w:link w:val="SemEspaamento"/>
    <w:rsid w:val="009E1DAB"/>
    <w:rPr>
      <w:rFonts w:ascii="Calibri" w:hAnsi="Calibri"/>
      <w:sz w:val="22"/>
      <w:szCs w:val="22"/>
      <w:lang w:bidi="ar-SA"/>
    </w:rPr>
  </w:style>
  <w:style w:type="paragraph" w:customStyle="1" w:styleId="CM7">
    <w:name w:val="CM7"/>
    <w:basedOn w:val="Normal"/>
    <w:next w:val="Normal"/>
    <w:rsid w:val="009E1DAB"/>
    <w:pPr>
      <w:widowControl w:val="0"/>
      <w:autoSpaceDE w:val="0"/>
      <w:autoSpaceDN w:val="0"/>
      <w:adjustRightInd w:val="0"/>
      <w:spacing w:after="560" w:line="240" w:lineRule="auto"/>
      <w:jc w:val="left"/>
    </w:pPr>
    <w:rPr>
      <w:rFonts w:ascii="MHPPGA+Arial,Bold" w:hAnsi="MHPPGA+Arial,Bold" w:cs="MHPPGA+Arial,Bold"/>
      <w:sz w:val="24"/>
      <w:szCs w:val="24"/>
    </w:rPr>
  </w:style>
  <w:style w:type="character" w:customStyle="1" w:styleId="CorpodeTexto0">
    <w:name w:val="Corpo de Texto"/>
    <w:rsid w:val="009E1DAB"/>
    <w:rPr>
      <w:rFonts w:ascii="Arial" w:hAnsi="Arial"/>
      <w:bCs/>
      <w:iCs/>
      <w:dstrike w:val="0"/>
      <w:sz w:val="22"/>
      <w:vertAlign w:val="baseline"/>
    </w:rPr>
  </w:style>
  <w:style w:type="paragraph" w:customStyle="1" w:styleId="Estilo2">
    <w:name w:val="Estilo2"/>
    <w:basedOn w:val="Ttulo2"/>
    <w:link w:val="Estilo2Char"/>
    <w:autoRedefine/>
    <w:qFormat/>
    <w:rsid w:val="000014A4"/>
    <w:pPr>
      <w:tabs>
        <w:tab w:val="left" w:pos="709"/>
      </w:tabs>
      <w:spacing w:before="240" w:after="240" w:line="240" w:lineRule="auto"/>
    </w:pPr>
    <w:rPr>
      <w:b w:val="0"/>
    </w:rPr>
  </w:style>
  <w:style w:type="character" w:customStyle="1" w:styleId="Estilo2Char">
    <w:name w:val="Estilo2 Char"/>
    <w:link w:val="Estilo2"/>
    <w:rsid w:val="000014A4"/>
    <w:rPr>
      <w:rFonts w:ascii="Arial" w:hAnsi="Arial"/>
      <w:sz w:val="22"/>
    </w:rPr>
  </w:style>
  <w:style w:type="paragraph" w:customStyle="1" w:styleId="DESTAQUE">
    <w:name w:val="DESTAQUE"/>
    <w:basedOn w:val="Ttulo5"/>
    <w:rsid w:val="009E1DAB"/>
    <w:pPr>
      <w:numPr>
        <w:numId w:val="0"/>
      </w:numPr>
      <w:suppressAutoHyphens/>
      <w:spacing w:before="0"/>
      <w:ind w:left="1276"/>
    </w:pPr>
    <w:rPr>
      <w:rFonts w:ascii="Times New Roman Negrito" w:hAnsi="Times New Roman Negrito"/>
      <w:i/>
      <w:snapToGrid w:val="0"/>
      <w:sz w:val="20"/>
    </w:rPr>
  </w:style>
  <w:style w:type="character" w:customStyle="1" w:styleId="ListaColorida-nfase1Char">
    <w:name w:val="Lista Colorida - Ênfase 1 Char"/>
    <w:link w:val="ListaColorida-nfase1"/>
    <w:uiPriority w:val="34"/>
    <w:rsid w:val="009E1DAB"/>
    <w:rPr>
      <w:rFonts w:ascii="Arial" w:eastAsia="Calibri" w:hAnsi="Arial"/>
      <w:szCs w:val="22"/>
      <w:lang w:eastAsia="en-US"/>
    </w:rPr>
  </w:style>
  <w:style w:type="paragraph" w:customStyle="1" w:styleId="GradeMdia21">
    <w:name w:val="Grade Média 21"/>
    <w:link w:val="GradeMdia2Char"/>
    <w:qFormat/>
    <w:rsid w:val="009E1DAB"/>
    <w:rPr>
      <w:rFonts w:ascii="Calibri" w:hAnsi="Calibri"/>
      <w:sz w:val="22"/>
      <w:szCs w:val="22"/>
    </w:rPr>
  </w:style>
  <w:style w:type="character" w:customStyle="1" w:styleId="GradeMdia2Char">
    <w:name w:val="Grade Média 2 Char"/>
    <w:link w:val="GradeMdia21"/>
    <w:rsid w:val="009E1DAB"/>
    <w:rPr>
      <w:rFonts w:ascii="Calibri" w:hAnsi="Calibri"/>
      <w:sz w:val="22"/>
      <w:szCs w:val="22"/>
      <w:lang w:bidi="ar-SA"/>
    </w:rPr>
  </w:style>
  <w:style w:type="table" w:styleId="ListaColorida-nfase1">
    <w:name w:val="Colorful List Accent 1"/>
    <w:basedOn w:val="Tabelanormal"/>
    <w:link w:val="ListaColorida-nfase1Char"/>
    <w:uiPriority w:val="34"/>
    <w:rsid w:val="009E1DAB"/>
    <w:rPr>
      <w:rFonts w:ascii="Arial" w:eastAsia="Calibri" w:hAnsi="Arial"/>
      <w:szCs w:val="22"/>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Estilo3">
    <w:name w:val="Estilo3"/>
    <w:basedOn w:val="Normal"/>
    <w:link w:val="Estilo3Char"/>
    <w:qFormat/>
    <w:rsid w:val="009E1DAB"/>
    <w:pPr>
      <w:tabs>
        <w:tab w:val="left" w:pos="1440"/>
      </w:tabs>
      <w:spacing w:before="120" w:line="240" w:lineRule="auto"/>
      <w:ind w:left="1440" w:firstLine="289"/>
    </w:pPr>
    <w:rPr>
      <w:szCs w:val="22"/>
    </w:rPr>
  </w:style>
  <w:style w:type="paragraph" w:customStyle="1" w:styleId="Estilo6">
    <w:name w:val="Estilo6"/>
    <w:basedOn w:val="Normal"/>
    <w:link w:val="Estilo6Char"/>
    <w:autoRedefine/>
    <w:uiPriority w:val="99"/>
    <w:rsid w:val="009E1DAB"/>
    <w:pPr>
      <w:spacing w:before="120" w:after="120" w:line="240" w:lineRule="auto"/>
    </w:pPr>
  </w:style>
  <w:style w:type="character" w:customStyle="1" w:styleId="Estilo6Char">
    <w:name w:val="Estilo6 Char"/>
    <w:link w:val="Estilo6"/>
    <w:uiPriority w:val="99"/>
    <w:locked/>
    <w:rsid w:val="009E1DAB"/>
    <w:rPr>
      <w:rFonts w:ascii="Arial" w:hAnsi="Arial"/>
      <w:sz w:val="22"/>
    </w:rPr>
  </w:style>
  <w:style w:type="paragraph" w:customStyle="1" w:styleId="EstiloJustificadoAntes6ptDepoisde6pt">
    <w:name w:val="Estilo Justificado Antes:  6 pt Depois de:  6 pt"/>
    <w:basedOn w:val="Normal"/>
    <w:rsid w:val="009E1DAB"/>
    <w:pPr>
      <w:spacing w:before="120" w:after="120" w:line="240" w:lineRule="auto"/>
      <w:ind w:firstLine="709"/>
    </w:pPr>
    <w:rPr>
      <w:rFonts w:ascii="Times New Roman" w:hAnsi="Times New Roman"/>
      <w:sz w:val="24"/>
    </w:rPr>
  </w:style>
  <w:style w:type="character" w:customStyle="1" w:styleId="nfaseIntensa1">
    <w:name w:val="Ênfase Intensa1"/>
    <w:uiPriority w:val="21"/>
    <w:qFormat/>
    <w:rsid w:val="009E1DAB"/>
    <w:rPr>
      <w:b/>
      <w:bCs/>
      <w:i/>
      <w:iCs/>
      <w:color w:val="4F81BD"/>
    </w:rPr>
  </w:style>
  <w:style w:type="paragraph" w:customStyle="1" w:styleId="CabealhodoSumrio1">
    <w:name w:val="Cabeçalho do Sumário1"/>
    <w:basedOn w:val="Ttulo1"/>
    <w:next w:val="Normal"/>
    <w:uiPriority w:val="39"/>
    <w:unhideWhenUsed/>
    <w:qFormat/>
    <w:rsid w:val="009E1DAB"/>
    <w:pPr>
      <w:numPr>
        <w:numId w:val="0"/>
      </w:numPr>
      <w:tabs>
        <w:tab w:val="clear" w:pos="0"/>
        <w:tab w:val="num" w:pos="360"/>
      </w:tabs>
      <w:spacing w:after="60"/>
      <w:ind w:left="357" w:hanging="357"/>
      <w:jc w:val="both"/>
      <w:outlineLvl w:val="9"/>
    </w:pPr>
    <w:rPr>
      <w:rFonts w:ascii="Cambria" w:eastAsia="MS Gothic" w:hAnsi="Cambria"/>
      <w:bCs/>
      <w:caps w:val="0"/>
      <w:kern w:val="32"/>
      <w:sz w:val="32"/>
      <w:szCs w:val="32"/>
      <w:lang w:eastAsia="zh-CN"/>
    </w:rPr>
  </w:style>
  <w:style w:type="paragraph" w:customStyle="1" w:styleId="ListaMdia2-nfase41">
    <w:name w:val="Lista Média 2 - Ênfase 41"/>
    <w:basedOn w:val="Normal"/>
    <w:uiPriority w:val="34"/>
    <w:qFormat/>
    <w:rsid w:val="009E1DAB"/>
    <w:pPr>
      <w:spacing w:before="120" w:after="120" w:line="240" w:lineRule="auto"/>
      <w:ind w:left="720"/>
      <w:contextualSpacing/>
    </w:pPr>
  </w:style>
  <w:style w:type="paragraph" w:customStyle="1" w:styleId="NoSpacing2">
    <w:name w:val="No Spacing2"/>
    <w:uiPriority w:val="1"/>
    <w:qFormat/>
    <w:rsid w:val="009E1DAB"/>
    <w:rPr>
      <w:rFonts w:ascii="Calibri" w:hAnsi="Calibri" w:cs="Calibri"/>
      <w:sz w:val="22"/>
      <w:szCs w:val="22"/>
      <w:lang w:eastAsia="zh-CN"/>
    </w:rPr>
  </w:style>
  <w:style w:type="paragraph" w:customStyle="1" w:styleId="GradeMdia1-nfase21">
    <w:name w:val="Grade Média 1 - Ênfase 21"/>
    <w:basedOn w:val="Normal"/>
    <w:uiPriority w:val="34"/>
    <w:qFormat/>
    <w:rsid w:val="009E1DAB"/>
    <w:pPr>
      <w:spacing w:before="120" w:after="120" w:line="400" w:lineRule="exact"/>
      <w:ind w:left="720" w:firstLine="454"/>
      <w:contextualSpacing/>
    </w:pPr>
    <w:rPr>
      <w:rFonts w:ascii="Calibri" w:hAnsi="Calibri" w:cs="Arial"/>
      <w:color w:val="000000"/>
      <w:lang w:eastAsia="en-US"/>
    </w:rPr>
  </w:style>
  <w:style w:type="paragraph" w:customStyle="1" w:styleId="RefernciasABNTCharChar">
    <w:name w:val="Referências ABNT Char Char"/>
    <w:basedOn w:val="Normal"/>
    <w:link w:val="RefernciasABNTCharCharChar"/>
    <w:qFormat/>
    <w:rsid w:val="009E1DAB"/>
    <w:pPr>
      <w:widowControl w:val="0"/>
      <w:spacing w:before="120" w:after="480" w:line="240" w:lineRule="auto"/>
    </w:pPr>
    <w:rPr>
      <w:szCs w:val="22"/>
      <w:lang w:eastAsia="en-US"/>
    </w:rPr>
  </w:style>
  <w:style w:type="character" w:customStyle="1" w:styleId="RefernciasABNTCharCharChar">
    <w:name w:val="Referências ABNT Char Char Char"/>
    <w:link w:val="RefernciasABNTCharChar"/>
    <w:rsid w:val="009E1DAB"/>
    <w:rPr>
      <w:rFonts w:ascii="Arial" w:hAnsi="Arial"/>
      <w:sz w:val="22"/>
      <w:szCs w:val="22"/>
      <w:lang w:eastAsia="en-US"/>
    </w:rPr>
  </w:style>
  <w:style w:type="paragraph" w:customStyle="1" w:styleId="rodap0">
    <w:name w:val="rodapé"/>
    <w:basedOn w:val="Normal"/>
    <w:link w:val="rodapChar0"/>
    <w:autoRedefine/>
    <w:qFormat/>
    <w:rsid w:val="009E1DAB"/>
    <w:pPr>
      <w:spacing w:before="120" w:after="120" w:line="240" w:lineRule="auto"/>
    </w:pPr>
    <w:rPr>
      <w:noProof/>
      <w:color w:val="808080"/>
      <w:sz w:val="16"/>
    </w:rPr>
  </w:style>
  <w:style w:type="character" w:customStyle="1" w:styleId="rodapChar0">
    <w:name w:val="rodapé Char"/>
    <w:link w:val="rodap0"/>
    <w:rsid w:val="009E1DAB"/>
    <w:rPr>
      <w:rFonts w:ascii="Arial" w:hAnsi="Arial"/>
      <w:noProof/>
      <w:color w:val="808080"/>
      <w:sz w:val="16"/>
    </w:rPr>
  </w:style>
  <w:style w:type="character" w:customStyle="1" w:styleId="Estilo3Char">
    <w:name w:val="Estilo3 Char"/>
    <w:link w:val="Estilo3"/>
    <w:rsid w:val="009E1DAB"/>
    <w:rPr>
      <w:rFonts w:ascii="Arial" w:hAnsi="Arial"/>
      <w:sz w:val="22"/>
      <w:szCs w:val="22"/>
    </w:rPr>
  </w:style>
  <w:style w:type="paragraph" w:customStyle="1" w:styleId="TabelaCentro">
    <w:name w:val="Tabela Centro"/>
    <w:basedOn w:val="Normal"/>
    <w:autoRedefine/>
    <w:qFormat/>
    <w:rsid w:val="009E1DAB"/>
    <w:pPr>
      <w:keepNext/>
      <w:autoSpaceDE w:val="0"/>
      <w:autoSpaceDN w:val="0"/>
      <w:adjustRightInd w:val="0"/>
      <w:spacing w:before="40" w:after="40" w:line="240" w:lineRule="auto"/>
      <w:ind w:right="-643"/>
      <w:jc w:val="center"/>
    </w:pPr>
    <w:rPr>
      <w:rFonts w:eastAsia="Arial Negrito" w:cs="Arial"/>
      <w:bCs/>
      <w:sz w:val="18"/>
      <w:szCs w:val="18"/>
    </w:rPr>
  </w:style>
  <w:style w:type="paragraph" w:customStyle="1" w:styleId="TabelaCabealho">
    <w:name w:val="Tabela Cabeçalho"/>
    <w:basedOn w:val="Normal"/>
    <w:autoRedefine/>
    <w:qFormat/>
    <w:rsid w:val="009E1DAB"/>
    <w:pPr>
      <w:spacing w:before="40" w:after="40" w:line="240" w:lineRule="auto"/>
      <w:jc w:val="center"/>
    </w:pPr>
    <w:rPr>
      <w:rFonts w:eastAsia="Arial Negrito" w:cs="Arial"/>
      <w:b/>
      <w:bCs/>
      <w:sz w:val="18"/>
      <w:szCs w:val="18"/>
    </w:rPr>
  </w:style>
  <w:style w:type="paragraph" w:customStyle="1" w:styleId="Tabela-ttulo">
    <w:name w:val="Tabela - título"/>
    <w:basedOn w:val="Normal"/>
    <w:link w:val="Tabela-ttuloChar"/>
    <w:autoRedefine/>
    <w:qFormat/>
    <w:rsid w:val="009E1DAB"/>
    <w:pPr>
      <w:spacing w:before="40" w:after="40" w:line="240" w:lineRule="auto"/>
      <w:jc w:val="center"/>
    </w:pPr>
    <w:rPr>
      <w:rFonts w:cs="Arial"/>
      <w:b/>
      <w:kern w:val="32"/>
      <w:sz w:val="18"/>
      <w:szCs w:val="18"/>
      <w:lang w:eastAsia="en-US" w:bidi="he-IL"/>
    </w:rPr>
  </w:style>
  <w:style w:type="character" w:customStyle="1" w:styleId="Tabela-ttuloChar">
    <w:name w:val="Tabela - título Char"/>
    <w:link w:val="Tabela-ttulo"/>
    <w:rsid w:val="009E1DAB"/>
    <w:rPr>
      <w:rFonts w:ascii="Arial" w:hAnsi="Arial" w:cs="Arial"/>
      <w:b/>
      <w:kern w:val="32"/>
      <w:sz w:val="18"/>
      <w:szCs w:val="18"/>
      <w:lang w:eastAsia="en-US" w:bidi="he-IL"/>
    </w:rPr>
  </w:style>
  <w:style w:type="paragraph" w:customStyle="1" w:styleId="Tabelacorpo">
    <w:name w:val="Tabela corpo"/>
    <w:basedOn w:val="Normal"/>
    <w:qFormat/>
    <w:rsid w:val="009E1DAB"/>
    <w:pPr>
      <w:spacing w:before="40" w:after="40" w:line="240" w:lineRule="auto"/>
    </w:pPr>
    <w:rPr>
      <w:sz w:val="18"/>
      <w:szCs w:val="22"/>
      <w:lang w:eastAsia="en-US"/>
    </w:rPr>
  </w:style>
  <w:style w:type="paragraph" w:customStyle="1" w:styleId="Ttulo1ALasca">
    <w:name w:val="Título 1 A Lasca"/>
    <w:basedOn w:val="Normal"/>
    <w:link w:val="Ttulo1ALascaChar"/>
    <w:qFormat/>
    <w:rsid w:val="009E1DAB"/>
    <w:pPr>
      <w:spacing w:before="120" w:after="120" w:line="240" w:lineRule="auto"/>
    </w:pPr>
    <w:rPr>
      <w:b/>
      <w:u w:color="993300"/>
    </w:rPr>
  </w:style>
  <w:style w:type="character" w:customStyle="1" w:styleId="Ttulo1ALascaChar">
    <w:name w:val="Título 1 A Lasca Char"/>
    <w:link w:val="Ttulo1ALasca"/>
    <w:rsid w:val="009E1DAB"/>
    <w:rPr>
      <w:rFonts w:ascii="Arial" w:hAnsi="Arial"/>
      <w:b/>
      <w:sz w:val="22"/>
      <w:u w:color="993300"/>
    </w:rPr>
  </w:style>
  <w:style w:type="paragraph" w:customStyle="1" w:styleId="titulo3">
    <w:name w:val="titulo3"/>
    <w:basedOn w:val="Normal"/>
    <w:link w:val="titulo3Char"/>
    <w:qFormat/>
    <w:rsid w:val="009E1DAB"/>
    <w:pPr>
      <w:widowControl w:val="0"/>
      <w:spacing w:before="120" w:after="120" w:line="240" w:lineRule="auto"/>
    </w:pPr>
    <w:rPr>
      <w:b/>
    </w:rPr>
  </w:style>
  <w:style w:type="character" w:customStyle="1" w:styleId="titulo3Char">
    <w:name w:val="titulo3 Char"/>
    <w:link w:val="titulo3"/>
    <w:rsid w:val="009E1DAB"/>
    <w:rPr>
      <w:rFonts w:ascii="Arial" w:hAnsi="Arial"/>
      <w:b/>
      <w:sz w:val="22"/>
    </w:rPr>
  </w:style>
  <w:style w:type="numbering" w:customStyle="1" w:styleId="1ai11">
    <w:name w:val="1 / a / i11"/>
    <w:basedOn w:val="Semlista"/>
    <w:next w:val="1ai"/>
    <w:rsid w:val="009E1DAB"/>
  </w:style>
  <w:style w:type="numbering" w:customStyle="1" w:styleId="1ai12">
    <w:name w:val="1 / a / i12"/>
    <w:basedOn w:val="Semlista"/>
    <w:next w:val="1ai"/>
    <w:rsid w:val="009E1DAB"/>
    <w:pPr>
      <w:numPr>
        <w:numId w:val="33"/>
      </w:numPr>
    </w:pPr>
  </w:style>
  <w:style w:type="paragraph" w:customStyle="1" w:styleId="Normal10">
    <w:name w:val="Normal1"/>
    <w:basedOn w:val="Normal"/>
    <w:next w:val="Normal"/>
    <w:link w:val="normalChar"/>
    <w:qFormat/>
    <w:rsid w:val="009E1DAB"/>
    <w:pPr>
      <w:spacing w:before="120" w:after="120" w:line="240" w:lineRule="auto"/>
    </w:pPr>
    <w:rPr>
      <w:szCs w:val="22"/>
      <w:lang w:val="fr-FR" w:eastAsia="en-US"/>
    </w:rPr>
  </w:style>
  <w:style w:type="character" w:customStyle="1" w:styleId="normalChar">
    <w:name w:val="normal Char"/>
    <w:link w:val="Normal10"/>
    <w:rsid w:val="009E1DAB"/>
    <w:rPr>
      <w:rFonts w:ascii="Arial" w:hAnsi="Arial"/>
      <w:sz w:val="22"/>
      <w:szCs w:val="22"/>
      <w:lang w:val="fr-FR" w:eastAsia="en-US"/>
    </w:rPr>
  </w:style>
  <w:style w:type="numbering" w:customStyle="1" w:styleId="1ai211">
    <w:name w:val="1 / a / i211"/>
    <w:basedOn w:val="Semlista"/>
    <w:next w:val="1ai"/>
    <w:rsid w:val="009E1DAB"/>
    <w:pPr>
      <w:numPr>
        <w:numId w:val="24"/>
      </w:numPr>
    </w:pPr>
  </w:style>
  <w:style w:type="character" w:customStyle="1" w:styleId="font01">
    <w:name w:val="font01"/>
    <w:rsid w:val="009E1DAB"/>
  </w:style>
  <w:style w:type="character" w:customStyle="1" w:styleId="il">
    <w:name w:val="il"/>
    <w:rsid w:val="009E1DAB"/>
  </w:style>
  <w:style w:type="table" w:styleId="Tabelaclssica1">
    <w:name w:val="Table Classic 1"/>
    <w:basedOn w:val="Tabelanormal"/>
    <w:rsid w:val="009E1DAB"/>
    <w:pPr>
      <w:spacing w:line="360" w:lineRule="auto"/>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Semlista2">
    <w:name w:val="Sem lista2"/>
    <w:next w:val="Semlista"/>
    <w:uiPriority w:val="99"/>
    <w:semiHidden/>
    <w:rsid w:val="005B6D82"/>
  </w:style>
  <w:style w:type="numbering" w:customStyle="1" w:styleId="1ai111">
    <w:name w:val="1 / a / i111"/>
    <w:basedOn w:val="Semlista"/>
    <w:next w:val="1ai"/>
    <w:rsid w:val="005B6D82"/>
  </w:style>
  <w:style w:type="numbering" w:customStyle="1" w:styleId="1ai3">
    <w:name w:val="1 / a / i3"/>
    <w:basedOn w:val="Semlista"/>
    <w:next w:val="1ai"/>
    <w:rsid w:val="005B6D82"/>
    <w:pPr>
      <w:numPr>
        <w:numId w:val="68"/>
      </w:numPr>
    </w:pPr>
  </w:style>
  <w:style w:type="numbering" w:customStyle="1" w:styleId="1ai23">
    <w:name w:val="1 / a / i23"/>
    <w:basedOn w:val="Semlista"/>
    <w:next w:val="1ai"/>
    <w:rsid w:val="005B6D82"/>
    <w:pPr>
      <w:numPr>
        <w:numId w:val="14"/>
      </w:numPr>
    </w:pPr>
  </w:style>
  <w:style w:type="table" w:customStyle="1" w:styleId="Tabelacomgrade4">
    <w:name w:val="Tabela com grade4"/>
    <w:basedOn w:val="Tabelanormal"/>
    <w:next w:val="Tabelacomgrade"/>
    <w:uiPriority w:val="59"/>
    <w:rsid w:val="00DE3A6F"/>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5">
    <w:name w:val="Tabela com grade5"/>
    <w:basedOn w:val="Tabelanormal"/>
    <w:next w:val="Tabelacomgrade"/>
    <w:uiPriority w:val="59"/>
    <w:rsid w:val="00FA40C2"/>
    <w:rPr>
      <w:rFonts w:ascii="Arial" w:eastAsia="Calibri" w:hAnsi="Arial"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6">
    <w:name w:val="Tabela com grade6"/>
    <w:basedOn w:val="Tabelanormal"/>
    <w:next w:val="Tabelacomgrade"/>
    <w:uiPriority w:val="59"/>
    <w:rsid w:val="001762CF"/>
    <w:rPr>
      <w:rFonts w:ascii="Arial" w:eastAsia="Calibri" w:hAnsi="Arial"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7">
    <w:name w:val="Tabela com grade7"/>
    <w:basedOn w:val="Tabelanormal"/>
    <w:next w:val="Tabelacomgrade"/>
    <w:uiPriority w:val="59"/>
    <w:rsid w:val="00946FA3"/>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E-Texto">
    <w:name w:val="SPE - Texto"/>
    <w:basedOn w:val="Normal"/>
    <w:link w:val="SPE-TextoChar"/>
    <w:qFormat/>
    <w:rsid w:val="00A82FDC"/>
    <w:pPr>
      <w:spacing w:before="200" w:after="180" w:line="240" w:lineRule="atLeast"/>
    </w:pPr>
    <w:rPr>
      <w:rFonts w:ascii="Trebuchet MS" w:hAnsi="Trebuchet MS"/>
      <w:sz w:val="21"/>
      <w:szCs w:val="24"/>
    </w:rPr>
  </w:style>
  <w:style w:type="character" w:customStyle="1" w:styleId="SPE-TextoChar">
    <w:name w:val="SPE - Texto Char"/>
    <w:link w:val="SPE-Texto"/>
    <w:locked/>
    <w:rsid w:val="00A82FDC"/>
    <w:rPr>
      <w:rFonts w:ascii="Trebuchet MS" w:hAnsi="Trebuchet MS"/>
      <w:sz w:val="21"/>
      <w:szCs w:val="24"/>
    </w:rPr>
  </w:style>
  <w:style w:type="paragraph" w:customStyle="1" w:styleId="Itens8">
    <w:name w:val="Itens8"/>
    <w:basedOn w:val="Normal"/>
    <w:rsid w:val="00A82FDC"/>
    <w:pPr>
      <w:tabs>
        <w:tab w:val="num" w:pos="360"/>
      </w:tabs>
      <w:spacing w:line="240" w:lineRule="auto"/>
      <w:ind w:left="360" w:hanging="360"/>
    </w:pPr>
  </w:style>
  <w:style w:type="paragraph" w:customStyle="1" w:styleId="Itens9">
    <w:name w:val="Itens9"/>
    <w:basedOn w:val="Normal"/>
    <w:rsid w:val="00A82FDC"/>
    <w:pPr>
      <w:tabs>
        <w:tab w:val="num" w:pos="360"/>
      </w:tabs>
      <w:spacing w:line="240" w:lineRule="auto"/>
      <w:ind w:left="360" w:hanging="360"/>
    </w:pPr>
  </w:style>
  <w:style w:type="paragraph" w:customStyle="1" w:styleId="CorpodetextoBodyTextCharCharCharCharCharCharCharCharBodyTextCharBodyTextCharCharCharCharCharCharCharCharCharCharCharCharCharCharChar">
    <w:name w:val="Corpo de texto.Body Text Char Char Char Char Char Char Char Char.Body Text Char.Body Text Char Char Char Char Char Char Char Char Char Char Char Char Char Char Char"/>
    <w:basedOn w:val="Normal"/>
    <w:rsid w:val="00727621"/>
    <w:pPr>
      <w:spacing w:before="120" w:after="120" w:line="240" w:lineRule="auto"/>
    </w:pPr>
  </w:style>
  <w:style w:type="paragraph" w:customStyle="1" w:styleId="NormalPargrafo">
    <w:name w:val="Normal Parágrafo"/>
    <w:basedOn w:val="Normal"/>
    <w:link w:val="NormalPargrafoChar"/>
    <w:rsid w:val="00F73F34"/>
    <w:pPr>
      <w:spacing w:before="200" w:line="280" w:lineRule="atLeast"/>
    </w:pPr>
    <w:rPr>
      <w:szCs w:val="18"/>
      <w:lang w:eastAsia="en-GB"/>
    </w:rPr>
  </w:style>
  <w:style w:type="character" w:customStyle="1" w:styleId="NormalPargrafoChar">
    <w:name w:val="Normal Parágrafo Char"/>
    <w:link w:val="NormalPargrafo"/>
    <w:rsid w:val="00F73F34"/>
    <w:rPr>
      <w:rFonts w:ascii="Arial" w:hAnsi="Arial"/>
      <w:sz w:val="22"/>
      <w:szCs w:val="18"/>
      <w:lang w:eastAsia="en-GB"/>
    </w:rPr>
  </w:style>
  <w:style w:type="character" w:customStyle="1" w:styleId="Marcador1Char1">
    <w:name w:val="Marcador 1 Char1"/>
    <w:link w:val="Marcador1"/>
    <w:rsid w:val="00F73F34"/>
    <w:rPr>
      <w:rFonts w:ascii="Arial" w:hAnsi="Arial"/>
      <w:sz w:val="22"/>
    </w:rPr>
  </w:style>
  <w:style w:type="paragraph" w:customStyle="1" w:styleId="SPE-Titulo5">
    <w:name w:val="SPE - Titulo 5"/>
    <w:basedOn w:val="SPE-Texto"/>
    <w:next w:val="SPE-Texto"/>
    <w:rsid w:val="00D033F1"/>
    <w:pPr>
      <w:keepNext/>
      <w:spacing w:before="300" w:line="280" w:lineRule="atLeast"/>
    </w:pPr>
    <w:rPr>
      <w:b/>
      <w:color w:val="595959"/>
      <w:sz w:val="22"/>
      <w:szCs w:val="22"/>
    </w:rPr>
  </w:style>
  <w:style w:type="paragraph" w:customStyle="1" w:styleId="SPE-Lista1tracinho">
    <w:name w:val="SPE - Lista 1 tracinho"/>
    <w:basedOn w:val="SPE-Texto"/>
    <w:rsid w:val="00D033F1"/>
    <w:pPr>
      <w:numPr>
        <w:numId w:val="43"/>
      </w:numPr>
      <w:tabs>
        <w:tab w:val="left" w:pos="567"/>
      </w:tabs>
      <w:spacing w:before="0"/>
    </w:pPr>
  </w:style>
  <w:style w:type="character" w:styleId="HiperlinkVisitado">
    <w:name w:val="FollowedHyperlink"/>
    <w:rsid w:val="00857735"/>
    <w:rPr>
      <w:color w:val="800080"/>
      <w:u w:val="single"/>
    </w:rPr>
  </w:style>
  <w:style w:type="paragraph" w:customStyle="1" w:styleId="p12">
    <w:name w:val="p12"/>
    <w:basedOn w:val="Normal"/>
    <w:rsid w:val="00EC4728"/>
    <w:pPr>
      <w:spacing w:before="120" w:after="120" w:line="240" w:lineRule="auto"/>
    </w:pPr>
  </w:style>
  <w:style w:type="paragraph" w:customStyle="1" w:styleId="JHSF-Texto">
    <w:name w:val="JHSF - Texto"/>
    <w:basedOn w:val="Normal"/>
    <w:qFormat/>
    <w:rsid w:val="00BC6507"/>
    <w:pPr>
      <w:spacing w:before="240" w:after="240" w:line="240" w:lineRule="auto"/>
    </w:pPr>
    <w:rPr>
      <w:rFonts w:ascii="Century Gothic" w:eastAsia="Calibri" w:hAnsi="Century Gothic"/>
      <w:szCs w:val="22"/>
      <w:lang w:eastAsia="en-US"/>
    </w:rPr>
  </w:style>
  <w:style w:type="paragraph" w:customStyle="1" w:styleId="JHSF-Ttulo3">
    <w:name w:val="JHSF - Título 3"/>
    <w:basedOn w:val="Ttulo3"/>
    <w:qFormat/>
    <w:rsid w:val="00BC6507"/>
    <w:pPr>
      <w:tabs>
        <w:tab w:val="left" w:pos="1134"/>
      </w:tabs>
      <w:spacing w:before="360" w:after="240" w:line="240" w:lineRule="auto"/>
    </w:pPr>
    <w:rPr>
      <w:rFonts w:ascii="Century Gothic" w:hAnsi="Century Gothic"/>
      <w:bCs/>
      <w:smallCaps/>
      <w:color w:val="404040"/>
      <w:sz w:val="25"/>
    </w:rPr>
  </w:style>
  <w:style w:type="paragraph" w:customStyle="1" w:styleId="APM-Lista1tracinho">
    <w:name w:val="APM - Lista 1 tracinho"/>
    <w:basedOn w:val="Normal"/>
    <w:rsid w:val="00BC6507"/>
    <w:pPr>
      <w:tabs>
        <w:tab w:val="num" w:pos="357"/>
      </w:tabs>
      <w:spacing w:after="240" w:line="240" w:lineRule="atLeast"/>
      <w:ind w:left="357" w:hanging="357"/>
    </w:pPr>
    <w:rPr>
      <w:rFonts w:ascii="Tahoma" w:hAnsi="Tahoma"/>
      <w:szCs w:val="24"/>
    </w:rPr>
  </w:style>
  <w:style w:type="paragraph" w:customStyle="1" w:styleId="Mineral-Texto">
    <w:name w:val="Mineral - Texto"/>
    <w:basedOn w:val="Normal"/>
    <w:link w:val="Mineral-TextoChar"/>
    <w:qFormat/>
    <w:rsid w:val="0033085E"/>
    <w:pPr>
      <w:spacing w:after="240" w:line="240" w:lineRule="atLeast"/>
    </w:pPr>
    <w:rPr>
      <w:rFonts w:eastAsia="Calibri"/>
      <w:szCs w:val="22"/>
      <w:lang w:eastAsia="en-US"/>
    </w:rPr>
  </w:style>
  <w:style w:type="character" w:customStyle="1" w:styleId="Mineral-TextoChar">
    <w:name w:val="Mineral - Texto Char"/>
    <w:link w:val="Mineral-Texto"/>
    <w:rsid w:val="0033085E"/>
    <w:rPr>
      <w:rFonts w:ascii="Arial" w:eastAsia="Calibri" w:hAnsi="Arial"/>
      <w:sz w:val="22"/>
      <w:szCs w:val="22"/>
      <w:lang w:eastAsia="en-US"/>
    </w:rPr>
  </w:style>
  <w:style w:type="paragraph" w:customStyle="1" w:styleId="SPE-DentrodoQuadro9">
    <w:name w:val="SPE - Dentro do Quadro 9"/>
    <w:basedOn w:val="SPE-Texto"/>
    <w:rsid w:val="0033085E"/>
    <w:pPr>
      <w:spacing w:before="40" w:after="40" w:line="240" w:lineRule="auto"/>
      <w:jc w:val="center"/>
    </w:pPr>
    <w:rPr>
      <w:sz w:val="18"/>
      <w:szCs w:val="18"/>
    </w:rPr>
  </w:style>
  <w:style w:type="paragraph" w:customStyle="1" w:styleId="SPE-Fontes">
    <w:name w:val="SPE - Fontes"/>
    <w:basedOn w:val="SPE-Texto"/>
    <w:next w:val="SPE-Texto"/>
    <w:rsid w:val="0033085E"/>
    <w:pPr>
      <w:spacing w:before="0" w:after="360"/>
    </w:pPr>
    <w:rPr>
      <w:sz w:val="14"/>
      <w:szCs w:val="16"/>
    </w:rPr>
  </w:style>
  <w:style w:type="paragraph" w:customStyle="1" w:styleId="SPE-NotasdeRodap">
    <w:name w:val="SPE - Notas de Rodapé"/>
    <w:basedOn w:val="Textodenotaderodap"/>
    <w:qFormat/>
    <w:rsid w:val="0033085E"/>
    <w:pPr>
      <w:spacing w:after="120" w:line="240" w:lineRule="auto"/>
      <w:jc w:val="left"/>
    </w:pPr>
    <w:rPr>
      <w:rFonts w:ascii="Trebuchet MS" w:hAnsi="Trebuchet MS"/>
      <w:sz w:val="16"/>
      <w:szCs w:val="18"/>
    </w:rPr>
  </w:style>
  <w:style w:type="table" w:customStyle="1" w:styleId="Tabelacomgrade8">
    <w:name w:val="Tabela com grade8"/>
    <w:basedOn w:val="Tabelanormal"/>
    <w:next w:val="Tabelacomgrade"/>
    <w:uiPriority w:val="59"/>
    <w:rsid w:val="004B52C1"/>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9">
    <w:name w:val="Tabela com grade9"/>
    <w:basedOn w:val="Tabelanormal"/>
    <w:next w:val="Tabelacomgrade"/>
    <w:uiPriority w:val="59"/>
    <w:rsid w:val="000F3C96"/>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0">
    <w:name w:val="Tabela com grade10"/>
    <w:basedOn w:val="Tabelanormal"/>
    <w:next w:val="Tabelacomgrade"/>
    <w:uiPriority w:val="59"/>
    <w:rsid w:val="000F3C96"/>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1">
    <w:name w:val="Tabela com grade11"/>
    <w:basedOn w:val="Tabelanormal"/>
    <w:next w:val="Tabelacomgrade"/>
    <w:uiPriority w:val="59"/>
    <w:rsid w:val="000F3C96"/>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2">
    <w:name w:val="Tabela com grade12"/>
    <w:basedOn w:val="Tabelanormal"/>
    <w:next w:val="Tabelacomgrade"/>
    <w:uiPriority w:val="59"/>
    <w:rsid w:val="000F3C96"/>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3">
    <w:name w:val="Tabela com grade13"/>
    <w:basedOn w:val="Tabelanormal"/>
    <w:next w:val="Tabelacomgrade"/>
    <w:uiPriority w:val="59"/>
    <w:rsid w:val="00E27765"/>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4">
    <w:name w:val="Tabela com grade14"/>
    <w:basedOn w:val="Tabelanormal"/>
    <w:next w:val="Tabelacomgrade"/>
    <w:uiPriority w:val="59"/>
    <w:rsid w:val="00E27765"/>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5">
    <w:name w:val="Tabela com grade15"/>
    <w:basedOn w:val="Tabelanormal"/>
    <w:next w:val="Tabelacomgrade"/>
    <w:uiPriority w:val="59"/>
    <w:rsid w:val="00E27765"/>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6">
    <w:name w:val="Tabela com grade16"/>
    <w:basedOn w:val="Tabelanormal"/>
    <w:next w:val="Tabelacomgrade"/>
    <w:uiPriority w:val="59"/>
    <w:rsid w:val="001835E6"/>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4">
    <w:name w:val="Estilo4"/>
    <w:basedOn w:val="Normal"/>
    <w:next w:val="Normal"/>
    <w:rsid w:val="00F7710C"/>
    <w:pPr>
      <w:spacing w:before="60"/>
      <w:ind w:left="1440"/>
    </w:pPr>
    <w:rPr>
      <w:sz w:val="20"/>
    </w:rPr>
  </w:style>
  <w:style w:type="table" w:customStyle="1" w:styleId="Tabelacomgrade17">
    <w:name w:val="Tabela com grade17"/>
    <w:basedOn w:val="Tabelanormal"/>
    <w:next w:val="Tabelacomgrade"/>
    <w:uiPriority w:val="59"/>
    <w:rsid w:val="008F4D63"/>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8">
    <w:name w:val="Tabela com grade18"/>
    <w:basedOn w:val="Tabelanormal"/>
    <w:next w:val="Tabelacomgrade"/>
    <w:uiPriority w:val="59"/>
    <w:rsid w:val="005252F1"/>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9">
    <w:name w:val="Tabela com grade19"/>
    <w:basedOn w:val="Tabelanormal"/>
    <w:next w:val="Tabelacomgrade"/>
    <w:uiPriority w:val="59"/>
    <w:rsid w:val="005252F1"/>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0">
    <w:name w:val="Tabela com grade20"/>
    <w:basedOn w:val="Tabelanormal"/>
    <w:next w:val="Tabelacomgrade"/>
    <w:uiPriority w:val="59"/>
    <w:rsid w:val="00822193"/>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1">
    <w:name w:val="Tabela com grade21"/>
    <w:basedOn w:val="Tabelanormal"/>
    <w:next w:val="Tabelacomgrade"/>
    <w:uiPriority w:val="59"/>
    <w:rsid w:val="006664B2"/>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2">
    <w:name w:val="Tabela com grade22"/>
    <w:basedOn w:val="Tabelanormal"/>
    <w:next w:val="Tabelacomgrade"/>
    <w:uiPriority w:val="59"/>
    <w:rsid w:val="001E2B92"/>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3">
    <w:name w:val="Tabela com grade23"/>
    <w:basedOn w:val="Tabelanormal"/>
    <w:next w:val="Tabelacomgrade"/>
    <w:uiPriority w:val="59"/>
    <w:rsid w:val="00EB63CE"/>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24">
    <w:name w:val="Tabela com grade24"/>
    <w:basedOn w:val="Tabelanormal"/>
    <w:next w:val="Tabelacomgrade"/>
    <w:uiPriority w:val="59"/>
    <w:rsid w:val="00F75047"/>
    <w:pPr>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odoTexto">
    <w:name w:val="# Corpo do Texto"/>
    <w:basedOn w:val="Normal"/>
    <w:link w:val="CorpodoTextoChar"/>
    <w:rsid w:val="00B90902"/>
    <w:pPr>
      <w:spacing w:before="120" w:after="120" w:line="240" w:lineRule="auto"/>
    </w:pPr>
    <w:rPr>
      <w:szCs w:val="24"/>
    </w:rPr>
  </w:style>
  <w:style w:type="character" w:customStyle="1" w:styleId="CorpodoTextoChar">
    <w:name w:val="# Corpo do Texto Char"/>
    <w:link w:val="CorpodoTexto"/>
    <w:rsid w:val="00B90902"/>
    <w:rPr>
      <w:rFonts w:ascii="Arial" w:hAnsi="Arial"/>
      <w:sz w:val="22"/>
      <w:szCs w:val="24"/>
    </w:rPr>
  </w:style>
  <w:style w:type="numbering" w:customStyle="1" w:styleId="1ai24">
    <w:name w:val="1 / a / i24"/>
    <w:basedOn w:val="Semlista"/>
    <w:next w:val="1ai"/>
    <w:rsid w:val="00627FA2"/>
    <w:pPr>
      <w:numPr>
        <w:numId w:val="18"/>
      </w:numPr>
    </w:pPr>
  </w:style>
  <w:style w:type="numbering" w:customStyle="1" w:styleId="1ai4">
    <w:name w:val="1 / a / i4"/>
    <w:basedOn w:val="Semlista"/>
    <w:next w:val="1ai"/>
    <w:rsid w:val="00627FA2"/>
    <w:pPr>
      <w:numPr>
        <w:numId w:val="17"/>
      </w:numPr>
    </w:pPr>
  </w:style>
  <w:style w:type="paragraph" w:customStyle="1" w:styleId="GradeMdia22">
    <w:name w:val="Grade Média 22"/>
    <w:qFormat/>
    <w:rsid w:val="00627FA2"/>
    <w:rPr>
      <w:rFonts w:ascii="Calibri" w:hAnsi="Calibri"/>
      <w:sz w:val="22"/>
      <w:szCs w:val="22"/>
    </w:rPr>
  </w:style>
  <w:style w:type="numbering" w:customStyle="1" w:styleId="1ai112">
    <w:name w:val="1 / a / i112"/>
    <w:basedOn w:val="Semlista"/>
    <w:next w:val="1ai"/>
    <w:rsid w:val="00627FA2"/>
    <w:pPr>
      <w:numPr>
        <w:numId w:val="21"/>
      </w:numPr>
    </w:pPr>
  </w:style>
  <w:style w:type="numbering" w:customStyle="1" w:styleId="1ai13">
    <w:name w:val="1 / a / i13"/>
    <w:basedOn w:val="Semlista"/>
    <w:next w:val="1ai"/>
    <w:rsid w:val="00627FA2"/>
    <w:pPr>
      <w:numPr>
        <w:numId w:val="25"/>
      </w:numPr>
    </w:pPr>
  </w:style>
  <w:style w:type="numbering" w:customStyle="1" w:styleId="1ai212">
    <w:name w:val="1 / a / i212"/>
    <w:basedOn w:val="Semlista"/>
    <w:next w:val="1ai"/>
    <w:rsid w:val="00627FA2"/>
    <w:pPr>
      <w:numPr>
        <w:numId w:val="12"/>
      </w:numPr>
    </w:pPr>
  </w:style>
  <w:style w:type="paragraph" w:customStyle="1" w:styleId="Clula1">
    <w:name w:val="Célula 1"/>
    <w:basedOn w:val="Normal"/>
    <w:link w:val="Clula1Char"/>
    <w:qFormat/>
    <w:rsid w:val="00627FA2"/>
    <w:pPr>
      <w:spacing w:before="120" w:after="120" w:line="240" w:lineRule="auto"/>
      <w:jc w:val="center"/>
    </w:pPr>
    <w:rPr>
      <w:b/>
      <w:color w:val="FFFFFF"/>
      <w:sz w:val="20"/>
      <w:szCs w:val="24"/>
    </w:rPr>
  </w:style>
  <w:style w:type="paragraph" w:customStyle="1" w:styleId="Clula2">
    <w:name w:val="Célula 2"/>
    <w:basedOn w:val="Normal"/>
    <w:link w:val="Clula2Char"/>
    <w:qFormat/>
    <w:rsid w:val="00627FA2"/>
    <w:pPr>
      <w:spacing w:before="60" w:after="60" w:line="240" w:lineRule="auto"/>
      <w:jc w:val="left"/>
    </w:pPr>
    <w:rPr>
      <w:sz w:val="20"/>
      <w:szCs w:val="24"/>
    </w:rPr>
  </w:style>
  <w:style w:type="paragraph" w:customStyle="1" w:styleId="Clula3">
    <w:name w:val="Célula 3"/>
    <w:basedOn w:val="Normal"/>
    <w:link w:val="Clula3Char"/>
    <w:rsid w:val="00627FA2"/>
    <w:pPr>
      <w:spacing w:before="60" w:after="60" w:line="240" w:lineRule="auto"/>
      <w:jc w:val="center"/>
    </w:pPr>
    <w:rPr>
      <w:sz w:val="20"/>
      <w:szCs w:val="24"/>
    </w:rPr>
  </w:style>
  <w:style w:type="character" w:customStyle="1" w:styleId="Clula2Char">
    <w:name w:val="Célula 2 Char"/>
    <w:link w:val="Clula2"/>
    <w:uiPriority w:val="99"/>
    <w:rsid w:val="00627FA2"/>
    <w:rPr>
      <w:rFonts w:ascii="Arial" w:hAnsi="Arial"/>
      <w:szCs w:val="24"/>
    </w:rPr>
  </w:style>
  <w:style w:type="character" w:customStyle="1" w:styleId="Clula1Char">
    <w:name w:val="Célula 1 Char"/>
    <w:link w:val="Clula1"/>
    <w:locked/>
    <w:rsid w:val="00627FA2"/>
    <w:rPr>
      <w:rFonts w:ascii="Arial" w:hAnsi="Arial"/>
      <w:b/>
      <w:color w:val="FFFFFF"/>
      <w:szCs w:val="24"/>
    </w:rPr>
  </w:style>
  <w:style w:type="paragraph" w:customStyle="1" w:styleId="Numerada1">
    <w:name w:val="Numerada 1"/>
    <w:basedOn w:val="Numerada"/>
    <w:semiHidden/>
    <w:rsid w:val="00627FA2"/>
    <w:pPr>
      <w:numPr>
        <w:numId w:val="60"/>
      </w:numPr>
      <w:tabs>
        <w:tab w:val="clear" w:pos="360"/>
        <w:tab w:val="num" w:pos="113"/>
        <w:tab w:val="num" w:pos="1134"/>
        <w:tab w:val="num" w:pos="1162"/>
      </w:tabs>
      <w:spacing w:after="220" w:line="320" w:lineRule="exact"/>
      <w:ind w:left="0" w:firstLine="0"/>
      <w:contextualSpacing w:val="0"/>
    </w:pPr>
    <w:rPr>
      <w:rFonts w:ascii="Verdana" w:hAnsi="Verdana" w:cs="Verdana"/>
      <w:b/>
      <w:bCs/>
      <w:szCs w:val="22"/>
    </w:rPr>
  </w:style>
  <w:style w:type="character" w:customStyle="1" w:styleId="Clula3Char">
    <w:name w:val="Célula 3 Char"/>
    <w:link w:val="Clula3"/>
    <w:locked/>
    <w:rsid w:val="00627FA2"/>
    <w:rPr>
      <w:rFonts w:ascii="Arial" w:hAnsi="Arial"/>
      <w:szCs w:val="24"/>
    </w:rPr>
  </w:style>
  <w:style w:type="paragraph" w:styleId="Numerada">
    <w:name w:val="List Number"/>
    <w:basedOn w:val="Normal"/>
    <w:rsid w:val="00627FA2"/>
    <w:pPr>
      <w:numPr>
        <w:numId w:val="37"/>
      </w:numPr>
      <w:contextualSpacing/>
    </w:pPr>
  </w:style>
  <w:style w:type="paragraph" w:customStyle="1" w:styleId="NormalManchete">
    <w:name w:val="Normal Manchete"/>
    <w:basedOn w:val="Normal"/>
    <w:next w:val="Normal"/>
    <w:link w:val="NormalMancheteChar1"/>
    <w:rsid w:val="00627FA2"/>
    <w:pPr>
      <w:spacing w:after="240" w:line="280" w:lineRule="atLeast"/>
      <w:jc w:val="left"/>
    </w:pPr>
    <w:rPr>
      <w:b/>
      <w:i/>
      <w:color w:val="007EA1"/>
      <w:sz w:val="24"/>
      <w:szCs w:val="18"/>
      <w:lang w:eastAsia="en-GB"/>
    </w:rPr>
  </w:style>
  <w:style w:type="paragraph" w:customStyle="1" w:styleId="Anexo">
    <w:name w:val="Anexo"/>
    <w:basedOn w:val="Normal"/>
    <w:next w:val="Normal"/>
    <w:rsid w:val="00627FA2"/>
    <w:pPr>
      <w:keepNext/>
      <w:keepLines/>
      <w:pageBreakBefore/>
      <w:numPr>
        <w:numId w:val="61"/>
      </w:numPr>
      <w:spacing w:before="600" w:after="360" w:line="280" w:lineRule="atLeast"/>
      <w:jc w:val="left"/>
    </w:pPr>
    <w:rPr>
      <w:color w:val="0079A2"/>
      <w:sz w:val="40"/>
      <w:szCs w:val="18"/>
      <w:lang w:eastAsia="en-GB"/>
    </w:rPr>
  </w:style>
  <w:style w:type="character" w:customStyle="1" w:styleId="NormalMancheteChar1">
    <w:name w:val="Normal Manchete Char1"/>
    <w:link w:val="NormalManchete"/>
    <w:rsid w:val="00627FA2"/>
    <w:rPr>
      <w:rFonts w:ascii="Arial" w:hAnsi="Arial"/>
      <w:b/>
      <w:i/>
      <w:color w:val="007EA1"/>
      <w:sz w:val="24"/>
      <w:szCs w:val="18"/>
      <w:lang w:eastAsia="en-GB"/>
    </w:rPr>
  </w:style>
  <w:style w:type="character" w:customStyle="1" w:styleId="Marcador1Char">
    <w:name w:val="Marcador 1 Char"/>
    <w:rsid w:val="00627FA2"/>
    <w:rPr>
      <w:rFonts w:ascii="Arial" w:hAnsi="Arial"/>
      <w:sz w:val="22"/>
    </w:rPr>
  </w:style>
  <w:style w:type="paragraph" w:customStyle="1" w:styleId="CBE-Texto">
    <w:name w:val="CBE - Texto"/>
    <w:basedOn w:val="Normal"/>
    <w:link w:val="CBE-TextoChar"/>
    <w:qFormat/>
    <w:rsid w:val="00627FA2"/>
    <w:pPr>
      <w:spacing w:before="120" w:after="240" w:line="240" w:lineRule="atLeast"/>
    </w:pPr>
    <w:rPr>
      <w:rFonts w:ascii="Century Gothic" w:hAnsi="Century Gothic"/>
      <w:szCs w:val="24"/>
    </w:rPr>
  </w:style>
  <w:style w:type="character" w:customStyle="1" w:styleId="CBE-TextoChar">
    <w:name w:val="CBE - Texto Char"/>
    <w:link w:val="CBE-Texto"/>
    <w:rsid w:val="00627FA2"/>
    <w:rPr>
      <w:rFonts w:ascii="Century Gothic" w:hAnsi="Century Gothic"/>
      <w:sz w:val="22"/>
      <w:szCs w:val="24"/>
    </w:rPr>
  </w:style>
  <w:style w:type="paragraph" w:customStyle="1" w:styleId="corpotexto">
    <w:name w:val="corpo texto"/>
    <w:rsid w:val="00627FA2"/>
    <w:pPr>
      <w:suppressAutoHyphens/>
      <w:spacing w:after="240" w:line="280" w:lineRule="atLeast"/>
      <w:jc w:val="both"/>
    </w:pPr>
    <w:rPr>
      <w:rFonts w:ascii="Arial" w:hAnsi="Arial"/>
      <w:sz w:val="22"/>
      <w:szCs w:val="24"/>
    </w:rPr>
  </w:style>
  <w:style w:type="paragraph" w:customStyle="1" w:styleId="Texto">
    <w:name w:val="Texto"/>
    <w:basedOn w:val="Normal"/>
    <w:link w:val="TextoChar"/>
    <w:autoRedefine/>
    <w:uiPriority w:val="99"/>
    <w:rsid w:val="00627FA2"/>
    <w:pPr>
      <w:numPr>
        <w:numId w:val="62"/>
      </w:numPr>
      <w:spacing w:after="240" w:line="300" w:lineRule="auto"/>
    </w:pPr>
    <w:rPr>
      <w:noProof/>
      <w:szCs w:val="22"/>
    </w:rPr>
  </w:style>
  <w:style w:type="paragraph" w:customStyle="1" w:styleId="Pa18">
    <w:name w:val="Pa18"/>
    <w:basedOn w:val="Default"/>
    <w:next w:val="Default"/>
    <w:uiPriority w:val="99"/>
    <w:rsid w:val="00627FA2"/>
    <w:pPr>
      <w:spacing w:line="161" w:lineRule="atLeast"/>
    </w:pPr>
    <w:rPr>
      <w:rFonts w:ascii="Frutiger 45 Light" w:hAnsi="Frutiger 45 Light" w:cs="Times New Roman"/>
      <w:color w:val="auto"/>
    </w:rPr>
  </w:style>
  <w:style w:type="paragraph" w:customStyle="1" w:styleId="Pa20">
    <w:name w:val="Pa20"/>
    <w:basedOn w:val="Default"/>
    <w:next w:val="Default"/>
    <w:uiPriority w:val="99"/>
    <w:rsid w:val="00627FA2"/>
    <w:pPr>
      <w:spacing w:line="161" w:lineRule="atLeast"/>
    </w:pPr>
    <w:rPr>
      <w:rFonts w:ascii="Frutiger 45 Light" w:hAnsi="Frutiger 45 Light" w:cs="Times New Roman"/>
      <w:color w:val="auto"/>
    </w:rPr>
  </w:style>
  <w:style w:type="character" w:customStyle="1" w:styleId="CorpodetextoChar1">
    <w:name w:val="Corpo de texto Char1"/>
    <w:aliases w:val="Body Text Char Char Char Char Char Char Char Char Char1,Body Text Char Char1,Body Text Char Char Char Char Char Char Char Char Char Char Char Char Char Char Char Char1"/>
    <w:uiPriority w:val="99"/>
    <w:rsid w:val="00627FA2"/>
    <w:rPr>
      <w:rFonts w:ascii="Arial" w:hAnsi="Arial"/>
      <w:sz w:val="22"/>
    </w:rPr>
  </w:style>
  <w:style w:type="paragraph" w:styleId="Listadecontinuao3">
    <w:name w:val="List Continue 3"/>
    <w:basedOn w:val="Normal"/>
    <w:rsid w:val="00627FA2"/>
    <w:pPr>
      <w:spacing w:after="120"/>
      <w:ind w:left="849"/>
      <w:contextualSpacing/>
    </w:pPr>
  </w:style>
  <w:style w:type="paragraph" w:customStyle="1" w:styleId="Pa36">
    <w:name w:val="Pa36"/>
    <w:basedOn w:val="Normal"/>
    <w:next w:val="Normal"/>
    <w:uiPriority w:val="99"/>
    <w:rsid w:val="00627FA2"/>
    <w:pPr>
      <w:autoSpaceDE w:val="0"/>
      <w:autoSpaceDN w:val="0"/>
      <w:adjustRightInd w:val="0"/>
      <w:spacing w:line="141" w:lineRule="atLeast"/>
      <w:jc w:val="left"/>
    </w:pPr>
    <w:rPr>
      <w:rFonts w:ascii="Frutiger-Cn" w:hAnsi="Frutiger-Cn"/>
      <w:sz w:val="24"/>
      <w:szCs w:val="24"/>
    </w:rPr>
  </w:style>
  <w:style w:type="character" w:customStyle="1" w:styleId="TextoChar">
    <w:name w:val="Texto Char"/>
    <w:link w:val="Texto"/>
    <w:uiPriority w:val="99"/>
    <w:locked/>
    <w:rsid w:val="00627FA2"/>
    <w:rPr>
      <w:rFonts w:ascii="Arial" w:hAnsi="Arial"/>
      <w:noProof/>
      <w:sz w:val="22"/>
      <w:szCs w:val="22"/>
    </w:rPr>
  </w:style>
  <w:style w:type="paragraph" w:customStyle="1" w:styleId="TtuloFigura">
    <w:name w:val="Título Figura"/>
    <w:basedOn w:val="Normal"/>
    <w:next w:val="Normal"/>
    <w:rsid w:val="00627FA2"/>
    <w:pPr>
      <w:spacing w:before="120" w:after="240" w:line="300" w:lineRule="auto"/>
    </w:pPr>
    <w:rPr>
      <w:sz w:val="20"/>
      <w:szCs w:val="18"/>
      <w:lang w:eastAsia="en-GB"/>
    </w:rPr>
  </w:style>
  <w:style w:type="paragraph" w:styleId="Commarcadores">
    <w:name w:val="List Bullet"/>
    <w:basedOn w:val="Normal"/>
    <w:rsid w:val="001936D9"/>
    <w:pPr>
      <w:numPr>
        <w:numId w:val="69"/>
      </w:numPr>
      <w:contextualSpacing/>
    </w:pPr>
  </w:style>
  <w:style w:type="paragraph" w:customStyle="1" w:styleId="TitulodoRelatorio">
    <w:name w:val="Titulo do Relatorio"/>
    <w:basedOn w:val="Normal"/>
    <w:next w:val="Normal"/>
    <w:rsid w:val="00AF1DD3"/>
    <w:pPr>
      <w:spacing w:after="240" w:line="280" w:lineRule="atLeast"/>
    </w:pPr>
    <w:rPr>
      <w:b/>
      <w:color w:val="0079A2"/>
      <w:sz w:val="28"/>
      <w:szCs w:val="24"/>
      <w:lang w:eastAsia="en-GB"/>
    </w:rPr>
  </w:style>
  <w:style w:type="character" w:customStyle="1" w:styleId="NormalDestaque">
    <w:name w:val="Normal Destaque"/>
    <w:rsid w:val="00AF1DD3"/>
    <w:rPr>
      <w:b/>
      <w:bCs/>
      <w:color w:val="0079A2"/>
    </w:rPr>
  </w:style>
  <w:style w:type="paragraph" w:customStyle="1" w:styleId="ndice">
    <w:name w:val="Índice"/>
    <w:basedOn w:val="Normal"/>
    <w:next w:val="Normal"/>
    <w:rsid w:val="00AF1DD3"/>
    <w:pPr>
      <w:keepNext/>
      <w:keepLines/>
      <w:spacing w:before="240" w:after="120" w:line="280" w:lineRule="atLeast"/>
    </w:pPr>
    <w:rPr>
      <w:color w:val="0079A2"/>
      <w:sz w:val="32"/>
      <w:szCs w:val="18"/>
      <w:lang w:eastAsia="en-GB"/>
    </w:rPr>
  </w:style>
  <w:style w:type="paragraph" w:customStyle="1" w:styleId="Marcador2">
    <w:name w:val="Marcador 2"/>
    <w:basedOn w:val="Normal"/>
    <w:rsid w:val="00AF1DD3"/>
    <w:pPr>
      <w:numPr>
        <w:numId w:val="72"/>
      </w:numPr>
      <w:spacing w:before="60" w:line="280" w:lineRule="atLeast"/>
    </w:pPr>
    <w:rPr>
      <w:szCs w:val="18"/>
      <w:lang w:eastAsia="en-GB"/>
    </w:rPr>
  </w:style>
  <w:style w:type="paragraph" w:customStyle="1" w:styleId="NormalAzulCinza">
    <w:name w:val="Normal Azul Cinza"/>
    <w:basedOn w:val="Normal"/>
    <w:rsid w:val="00AF1DD3"/>
    <w:pPr>
      <w:shd w:val="clear" w:color="auto" w:fill="E6E6E6"/>
      <w:spacing w:after="240" w:line="280" w:lineRule="atLeast"/>
    </w:pPr>
    <w:rPr>
      <w:color w:val="0079A2"/>
      <w:lang w:eastAsia="en-GB"/>
    </w:rPr>
  </w:style>
  <w:style w:type="paragraph" w:customStyle="1" w:styleId="Pr-Ttulo">
    <w:name w:val="Pré-Título"/>
    <w:basedOn w:val="Normal"/>
    <w:next w:val="Normal"/>
    <w:rsid w:val="00AF1DD3"/>
    <w:pPr>
      <w:keepNext/>
      <w:keepLines/>
      <w:pageBreakBefore/>
      <w:spacing w:before="600" w:after="360" w:line="280" w:lineRule="atLeast"/>
      <w:jc w:val="left"/>
    </w:pPr>
    <w:rPr>
      <w:color w:val="0079A2"/>
      <w:sz w:val="40"/>
      <w:szCs w:val="48"/>
      <w:lang w:eastAsia="en-GB"/>
    </w:rPr>
  </w:style>
  <w:style w:type="paragraph" w:customStyle="1" w:styleId="Marcador3">
    <w:name w:val="Marcador 3"/>
    <w:basedOn w:val="Normal"/>
    <w:rsid w:val="00AF1DD3"/>
    <w:pPr>
      <w:numPr>
        <w:numId w:val="73"/>
      </w:numPr>
      <w:spacing w:before="60" w:line="280" w:lineRule="atLeast"/>
    </w:pPr>
    <w:rPr>
      <w:szCs w:val="18"/>
      <w:lang w:eastAsia="en-GB"/>
    </w:rPr>
  </w:style>
  <w:style w:type="paragraph" w:customStyle="1" w:styleId="Normal2semespaamento">
    <w:name w:val="Normal 2_sem espaçamento"/>
    <w:basedOn w:val="Normal"/>
    <w:rsid w:val="00AF1DD3"/>
    <w:pPr>
      <w:spacing w:line="280" w:lineRule="atLeast"/>
    </w:pPr>
    <w:rPr>
      <w:szCs w:val="18"/>
      <w:lang w:eastAsia="en-GB"/>
    </w:rPr>
  </w:style>
  <w:style w:type="table" w:customStyle="1" w:styleId="ModeloTetra">
    <w:name w:val="Modelo Tetra"/>
    <w:basedOn w:val="Tabelanormal"/>
    <w:rsid w:val="00AF1DD3"/>
    <w:pPr>
      <w:jc w:val="center"/>
    </w:pPr>
    <w:rPr>
      <w:rFonts w:ascii="Arial" w:hAnsi="Arial"/>
    </w:rPr>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6E6E6"/>
      <w:vAlign w:val="center"/>
    </w:tcPr>
    <w:tblStylePr w:type="firstRow">
      <w:pPr>
        <w:jc w:val="center"/>
      </w:pPr>
      <w:rPr>
        <w:rFonts w:ascii="Arial" w:hAnsi="Arial"/>
        <w:b/>
        <w:color w:val="FFFFFF"/>
        <w:sz w:val="20"/>
      </w:rPr>
      <w:tblPr/>
      <w:tcPr>
        <w:shd w:val="clear" w:color="auto" w:fill="007EA1"/>
      </w:tcPr>
    </w:tblStylePr>
    <w:tblStylePr w:type="lastRow">
      <w:rPr>
        <w:rFonts w:ascii="Arial" w:hAnsi="Arial"/>
        <w:b/>
        <w:sz w:val="20"/>
      </w:rPr>
      <w:tblPr/>
      <w:tcPr>
        <w:shd w:val="clear" w:color="auto" w:fill="CCCCCC"/>
      </w:tcPr>
    </w:tblStylePr>
    <w:tblStylePr w:type="firstCol">
      <w:pPr>
        <w:jc w:val="left"/>
      </w:pPr>
    </w:tblStylePr>
  </w:style>
  <w:style w:type="table" w:styleId="Tabelaprofissional">
    <w:name w:val="Table Professional"/>
    <w:aliases w:val="Tabela Modelo Tetra"/>
    <w:basedOn w:val="Tabelanormal"/>
    <w:rsid w:val="00AF1DD3"/>
    <w:pPr>
      <w:spacing w:after="240" w:line="280" w:lineRule="atLeast"/>
      <w:jc w:val="center"/>
    </w:pPr>
    <w:tblPr>
      <w:tblBorders>
        <w:top w:val="single" w:sz="6" w:space="0" w:color="FFFFFF"/>
        <w:left w:val="single" w:sz="6" w:space="0" w:color="FFFFFF"/>
        <w:bottom w:val="single" w:sz="6" w:space="0" w:color="FFFFFF"/>
        <w:right w:val="single" w:sz="6" w:space="0" w:color="FFFFFF"/>
        <w:insideH w:val="single" w:sz="6" w:space="0" w:color="FFFFFF"/>
        <w:insideV w:val="single" w:sz="6" w:space="0" w:color="FFFFFF"/>
      </w:tblBorders>
    </w:tblPr>
    <w:tcPr>
      <w:shd w:val="clear" w:color="auto" w:fill="E6E6E6"/>
      <w:vAlign w:val="center"/>
    </w:tcPr>
    <w:tblStylePr w:type="firstRow">
      <w:pPr>
        <w:jc w:val="center"/>
      </w:pPr>
      <w:rPr>
        <w:b/>
        <w:bCs/>
        <w:color w:val="FFFFFF"/>
      </w:rPr>
      <w:tblPr/>
      <w:tcPr>
        <w:shd w:val="clear" w:color="auto" w:fill="007EA1"/>
        <w:vAlign w:val="top"/>
      </w:tcPr>
    </w:tblStylePr>
    <w:tblStylePr w:type="lastRow">
      <w:rPr>
        <w:rFonts w:ascii="Arial" w:hAnsi="Arial"/>
        <w:b/>
        <w:sz w:val="20"/>
      </w:rPr>
    </w:tblStylePr>
  </w:style>
  <w:style w:type="table" w:customStyle="1" w:styleId="EstilodeTabelaModeloTetra">
    <w:name w:val="Estilo de Tabela Modelo Tetra"/>
    <w:basedOn w:val="Tabelanormal"/>
    <w:rsid w:val="00AF1DD3"/>
    <w:pPr>
      <w:jc w:val="center"/>
    </w:pPr>
    <w:rPr>
      <w:rFonts w:ascii="Arial" w:hAnsi="Arial"/>
    </w:rPr>
    <w:tblPr>
      <w:tblBorders>
        <w:top w:val="single" w:sz="6" w:space="0" w:color="FFFFFF"/>
        <w:left w:val="single" w:sz="6" w:space="0" w:color="FFFFFF"/>
        <w:bottom w:val="single" w:sz="6" w:space="0" w:color="FFFFFF"/>
        <w:right w:val="single" w:sz="6" w:space="0" w:color="FFFFFF"/>
        <w:insideH w:val="single" w:sz="6" w:space="0" w:color="FFFFFF"/>
        <w:insideV w:val="single" w:sz="6" w:space="0" w:color="FFFFFF"/>
      </w:tblBorders>
    </w:tblPr>
    <w:tcPr>
      <w:shd w:val="clear" w:color="auto" w:fill="E6E6E6"/>
      <w:vAlign w:val="center"/>
    </w:tcPr>
    <w:tblStylePr w:type="firstRow">
      <w:pPr>
        <w:jc w:val="center"/>
      </w:pPr>
      <w:rPr>
        <w:b/>
        <w:color w:val="FFFFFF"/>
      </w:rPr>
      <w:tblPr/>
      <w:tcPr>
        <w:shd w:val="clear" w:color="auto" w:fill="007EA1"/>
      </w:tcPr>
    </w:tblStylePr>
    <w:tblStylePr w:type="lastRow">
      <w:rPr>
        <w:b/>
      </w:rPr>
      <w:tblPr/>
      <w:tcPr>
        <w:shd w:val="clear" w:color="auto" w:fill="CCCCCC"/>
      </w:tcPr>
    </w:tblStylePr>
    <w:tblStylePr w:type="firstCol">
      <w:pPr>
        <w:jc w:val="left"/>
      </w:pPr>
    </w:tblStylePr>
  </w:style>
  <w:style w:type="paragraph" w:customStyle="1" w:styleId="UNIDUTO-Texto">
    <w:name w:val="UNIDUTO - Texto"/>
    <w:basedOn w:val="Normal"/>
    <w:link w:val="UNIDUTO-TextoChar"/>
    <w:qFormat/>
    <w:rsid w:val="00AF1DD3"/>
    <w:pPr>
      <w:spacing w:after="240" w:line="240" w:lineRule="atLeast"/>
    </w:pPr>
    <w:rPr>
      <w:rFonts w:ascii="Tahoma" w:hAnsi="Tahoma"/>
      <w:szCs w:val="24"/>
    </w:rPr>
  </w:style>
  <w:style w:type="character" w:customStyle="1" w:styleId="UNIDUTO-TextoChar">
    <w:name w:val="UNIDUTO - Texto Char"/>
    <w:link w:val="UNIDUTO-Texto"/>
    <w:rsid w:val="00AF1DD3"/>
    <w:rPr>
      <w:rFonts w:ascii="Tahoma" w:hAnsi="Tahoma"/>
      <w:sz w:val="22"/>
      <w:szCs w:val="24"/>
    </w:rPr>
  </w:style>
  <w:style w:type="numbering" w:customStyle="1" w:styleId="WWOutlineListStyle">
    <w:name w:val="WW_OutlineListStyle"/>
    <w:basedOn w:val="Semlista"/>
    <w:rsid w:val="00AF1DD3"/>
    <w:pPr>
      <w:numPr>
        <w:numId w:val="74"/>
      </w:numPr>
    </w:pPr>
  </w:style>
  <w:style w:type="paragraph" w:customStyle="1" w:styleId="normalpargrafo0">
    <w:name w:val="normal parágrafo"/>
    <w:basedOn w:val="Normal"/>
    <w:autoRedefine/>
    <w:semiHidden/>
    <w:rsid w:val="00AF1DD3"/>
    <w:pPr>
      <w:spacing w:before="120" w:after="120" w:line="240" w:lineRule="atLeast"/>
    </w:pPr>
    <w:rPr>
      <w:bCs/>
      <w:iCs/>
      <w:color w:val="0000FF"/>
      <w:szCs w:val="24"/>
      <w:lang w:eastAsia="en-GB"/>
    </w:rPr>
  </w:style>
  <w:style w:type="paragraph" w:customStyle="1" w:styleId="TEXTOECONSULT">
    <w:name w:val="TEXTO ECONSULT"/>
    <w:basedOn w:val="Normal"/>
    <w:link w:val="TEXTOECONSULTChar"/>
    <w:autoRedefine/>
    <w:rsid w:val="00AF1DD3"/>
    <w:pPr>
      <w:spacing w:before="120" w:after="240" w:line="300" w:lineRule="auto"/>
    </w:pPr>
  </w:style>
  <w:style w:type="character" w:customStyle="1" w:styleId="TEXTOECONSULTChar">
    <w:name w:val="TEXTO ECONSULT Char"/>
    <w:link w:val="TEXTOECONSULT"/>
    <w:rsid w:val="00AF1DD3"/>
    <w:rPr>
      <w:rFonts w:ascii="Arial" w:hAnsi="Arial"/>
      <w:sz w:val="22"/>
    </w:rPr>
  </w:style>
  <w:style w:type="paragraph" w:customStyle="1" w:styleId="TEXTO2">
    <w:name w:val="** TEXTO"/>
    <w:link w:val="TEXTOChar0"/>
    <w:rsid w:val="00AF1DD3"/>
    <w:pPr>
      <w:spacing w:line="312" w:lineRule="auto"/>
      <w:ind w:firstLine="284"/>
      <w:jc w:val="both"/>
    </w:pPr>
    <w:rPr>
      <w:rFonts w:ascii="Garamond" w:eastAsia="PMingLiU" w:hAnsi="Garamond"/>
      <w:sz w:val="24"/>
      <w:szCs w:val="22"/>
      <w:lang w:eastAsia="zh-TW"/>
    </w:rPr>
  </w:style>
  <w:style w:type="character" w:customStyle="1" w:styleId="TEXTOChar0">
    <w:name w:val="** TEXTO Char"/>
    <w:link w:val="TEXTO2"/>
    <w:locked/>
    <w:rsid w:val="00AF1DD3"/>
    <w:rPr>
      <w:rFonts w:ascii="Garamond" w:eastAsia="PMingLiU" w:hAnsi="Garamond"/>
      <w:sz w:val="24"/>
      <w:szCs w:val="22"/>
      <w:lang w:eastAsia="zh-TW"/>
    </w:rPr>
  </w:style>
  <w:style w:type="paragraph" w:styleId="Numerada5">
    <w:name w:val="List Number 5"/>
    <w:basedOn w:val="Normal"/>
    <w:rsid w:val="00AF1DD3"/>
    <w:pPr>
      <w:tabs>
        <w:tab w:val="num" w:pos="1492"/>
      </w:tabs>
      <w:spacing w:before="120" w:after="60" w:line="240" w:lineRule="auto"/>
      <w:ind w:left="1492" w:hanging="360"/>
    </w:pPr>
    <w:rPr>
      <w:sz w:val="24"/>
      <w:lang w:eastAsia="en-US"/>
    </w:rPr>
  </w:style>
  <w:style w:type="paragraph" w:customStyle="1" w:styleId="Corpodotexto0">
    <w:name w:val="Corpo do texto"/>
    <w:basedOn w:val="Normal"/>
    <w:link w:val="CorpodotextoChar0"/>
    <w:rsid w:val="00AF1DD3"/>
    <w:pPr>
      <w:suppressAutoHyphens/>
      <w:overflowPunct w:val="0"/>
      <w:autoSpaceDE w:val="0"/>
      <w:autoSpaceDN w:val="0"/>
      <w:adjustRightInd w:val="0"/>
      <w:spacing w:line="240" w:lineRule="auto"/>
      <w:textAlignment w:val="baseline"/>
    </w:pPr>
    <w:rPr>
      <w:noProof/>
    </w:rPr>
  </w:style>
  <w:style w:type="character" w:customStyle="1" w:styleId="CorpodotextoChar0">
    <w:name w:val="Corpo do texto Char"/>
    <w:link w:val="Corpodotexto0"/>
    <w:rsid w:val="00AF1DD3"/>
    <w:rPr>
      <w:rFonts w:ascii="Arial" w:hAnsi="Arial"/>
      <w:noProof/>
      <w:sz w:val="22"/>
    </w:rPr>
  </w:style>
  <w:style w:type="paragraph" w:customStyle="1" w:styleId="Estilo01">
    <w:name w:val="Estilo.01"/>
    <w:basedOn w:val="Normal"/>
    <w:rsid w:val="00AF1DD3"/>
    <w:pPr>
      <w:keepNext/>
      <w:tabs>
        <w:tab w:val="left" w:pos="567"/>
      </w:tabs>
      <w:spacing w:after="240" w:line="240" w:lineRule="auto"/>
    </w:pPr>
    <w:rPr>
      <w:rFonts w:ascii="Times New Roman" w:hAnsi="Times New Roman"/>
      <w:b/>
      <w:sz w:val="24"/>
    </w:rPr>
  </w:style>
  <w:style w:type="paragraph" w:customStyle="1" w:styleId="APM-Titulo2">
    <w:name w:val="APM - Titulo 2"/>
    <w:basedOn w:val="Normal"/>
    <w:next w:val="Normal"/>
    <w:qFormat/>
    <w:rsid w:val="00AF1DD3"/>
    <w:pPr>
      <w:keepNext/>
      <w:spacing w:after="240" w:line="240" w:lineRule="atLeast"/>
      <w:ind w:left="709" w:hanging="709"/>
    </w:pPr>
    <w:rPr>
      <w:rFonts w:ascii="Tahoma" w:hAnsi="Tahoma"/>
      <w:b/>
      <w:caps/>
      <w:sz w:val="26"/>
      <w:szCs w:val="24"/>
    </w:rPr>
  </w:style>
  <w:style w:type="paragraph" w:customStyle="1" w:styleId="JHSF-Ttulo1">
    <w:name w:val="JHSF - Título 1"/>
    <w:basedOn w:val="Ttulo1"/>
    <w:qFormat/>
    <w:rsid w:val="00AF1DD3"/>
    <w:pPr>
      <w:keepLines/>
      <w:numPr>
        <w:numId w:val="0"/>
      </w:numPr>
      <w:tabs>
        <w:tab w:val="clear" w:pos="0"/>
        <w:tab w:val="left" w:pos="567"/>
      </w:tabs>
      <w:spacing w:before="480"/>
      <w:jc w:val="both"/>
    </w:pPr>
    <w:rPr>
      <w:rFonts w:ascii="Century Gothic" w:hAnsi="Century Gothic"/>
      <w:bCs/>
      <w:color w:val="404040"/>
      <w:kern w:val="0"/>
      <w:sz w:val="28"/>
      <w:szCs w:val="28"/>
      <w:lang w:eastAsia="en-US"/>
    </w:rPr>
  </w:style>
  <w:style w:type="paragraph" w:customStyle="1" w:styleId="JHSF-Ttulo2">
    <w:name w:val="JHSF - Título 2"/>
    <w:basedOn w:val="Ttulo2"/>
    <w:qFormat/>
    <w:rsid w:val="00AF1DD3"/>
    <w:pPr>
      <w:tabs>
        <w:tab w:val="left" w:pos="851"/>
      </w:tabs>
      <w:suppressAutoHyphens/>
      <w:spacing w:before="360" w:after="240" w:line="240" w:lineRule="auto"/>
    </w:pPr>
    <w:rPr>
      <w:rFonts w:ascii="Century Gothic" w:hAnsi="Century Gothic"/>
      <w:bCs/>
      <w:caps/>
      <w:color w:val="404040"/>
      <w:sz w:val="26"/>
      <w:szCs w:val="26"/>
      <w:lang w:eastAsia="en-US"/>
    </w:rPr>
  </w:style>
  <w:style w:type="paragraph" w:customStyle="1" w:styleId="CBE-TtuloTabelas">
    <w:name w:val="CBE - Título Tabelas"/>
    <w:basedOn w:val="Normal"/>
    <w:next w:val="Normal"/>
    <w:qFormat/>
    <w:rsid w:val="00AF1DD3"/>
    <w:pPr>
      <w:keepNext/>
      <w:spacing w:after="240" w:line="240" w:lineRule="atLeast"/>
      <w:jc w:val="center"/>
    </w:pPr>
    <w:rPr>
      <w:rFonts w:ascii="Century Gothic" w:hAnsi="Century Gothic"/>
      <w:b/>
      <w:caps/>
      <w:color w:val="7F7F7F"/>
      <w:sz w:val="20"/>
      <w:szCs w:val="22"/>
    </w:rPr>
  </w:style>
  <w:style w:type="paragraph" w:customStyle="1" w:styleId="ementa">
    <w:name w:val="ementa"/>
    <w:basedOn w:val="Normal"/>
    <w:rsid w:val="00AF1DD3"/>
    <w:pPr>
      <w:spacing w:before="100" w:beforeAutospacing="1" w:after="100" w:afterAutospacing="1" w:line="240" w:lineRule="auto"/>
      <w:jc w:val="left"/>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278629">
      <w:bodyDiv w:val="1"/>
      <w:marLeft w:val="0"/>
      <w:marRight w:val="0"/>
      <w:marTop w:val="0"/>
      <w:marBottom w:val="0"/>
      <w:divBdr>
        <w:top w:val="none" w:sz="0" w:space="0" w:color="auto"/>
        <w:left w:val="none" w:sz="0" w:space="0" w:color="auto"/>
        <w:bottom w:val="none" w:sz="0" w:space="0" w:color="auto"/>
        <w:right w:val="none" w:sz="0" w:space="0" w:color="auto"/>
      </w:divBdr>
    </w:div>
    <w:div w:id="199633621">
      <w:bodyDiv w:val="1"/>
      <w:marLeft w:val="0"/>
      <w:marRight w:val="0"/>
      <w:marTop w:val="0"/>
      <w:marBottom w:val="0"/>
      <w:divBdr>
        <w:top w:val="none" w:sz="0" w:space="0" w:color="auto"/>
        <w:left w:val="none" w:sz="0" w:space="0" w:color="auto"/>
        <w:bottom w:val="none" w:sz="0" w:space="0" w:color="auto"/>
        <w:right w:val="none" w:sz="0" w:space="0" w:color="auto"/>
      </w:divBdr>
    </w:div>
    <w:div w:id="222911638">
      <w:bodyDiv w:val="1"/>
      <w:marLeft w:val="0"/>
      <w:marRight w:val="0"/>
      <w:marTop w:val="0"/>
      <w:marBottom w:val="0"/>
      <w:divBdr>
        <w:top w:val="none" w:sz="0" w:space="0" w:color="auto"/>
        <w:left w:val="none" w:sz="0" w:space="0" w:color="auto"/>
        <w:bottom w:val="none" w:sz="0" w:space="0" w:color="auto"/>
        <w:right w:val="none" w:sz="0" w:space="0" w:color="auto"/>
      </w:divBdr>
    </w:div>
    <w:div w:id="306402903">
      <w:bodyDiv w:val="1"/>
      <w:marLeft w:val="0"/>
      <w:marRight w:val="0"/>
      <w:marTop w:val="0"/>
      <w:marBottom w:val="0"/>
      <w:divBdr>
        <w:top w:val="none" w:sz="0" w:space="0" w:color="auto"/>
        <w:left w:val="none" w:sz="0" w:space="0" w:color="auto"/>
        <w:bottom w:val="none" w:sz="0" w:space="0" w:color="auto"/>
        <w:right w:val="none" w:sz="0" w:space="0" w:color="auto"/>
      </w:divBdr>
    </w:div>
    <w:div w:id="317849740">
      <w:bodyDiv w:val="1"/>
      <w:marLeft w:val="0"/>
      <w:marRight w:val="0"/>
      <w:marTop w:val="0"/>
      <w:marBottom w:val="0"/>
      <w:divBdr>
        <w:top w:val="none" w:sz="0" w:space="0" w:color="auto"/>
        <w:left w:val="none" w:sz="0" w:space="0" w:color="auto"/>
        <w:bottom w:val="none" w:sz="0" w:space="0" w:color="auto"/>
        <w:right w:val="none" w:sz="0" w:space="0" w:color="auto"/>
      </w:divBdr>
    </w:div>
    <w:div w:id="595558264">
      <w:bodyDiv w:val="1"/>
      <w:marLeft w:val="0"/>
      <w:marRight w:val="0"/>
      <w:marTop w:val="0"/>
      <w:marBottom w:val="0"/>
      <w:divBdr>
        <w:top w:val="none" w:sz="0" w:space="0" w:color="auto"/>
        <w:left w:val="none" w:sz="0" w:space="0" w:color="auto"/>
        <w:bottom w:val="none" w:sz="0" w:space="0" w:color="auto"/>
        <w:right w:val="none" w:sz="0" w:space="0" w:color="auto"/>
      </w:divBdr>
    </w:div>
    <w:div w:id="673533268">
      <w:bodyDiv w:val="1"/>
      <w:marLeft w:val="0"/>
      <w:marRight w:val="0"/>
      <w:marTop w:val="0"/>
      <w:marBottom w:val="0"/>
      <w:divBdr>
        <w:top w:val="none" w:sz="0" w:space="0" w:color="auto"/>
        <w:left w:val="none" w:sz="0" w:space="0" w:color="auto"/>
        <w:bottom w:val="none" w:sz="0" w:space="0" w:color="auto"/>
        <w:right w:val="none" w:sz="0" w:space="0" w:color="auto"/>
      </w:divBdr>
    </w:div>
    <w:div w:id="792556900">
      <w:bodyDiv w:val="1"/>
      <w:marLeft w:val="0"/>
      <w:marRight w:val="0"/>
      <w:marTop w:val="0"/>
      <w:marBottom w:val="0"/>
      <w:divBdr>
        <w:top w:val="none" w:sz="0" w:space="0" w:color="auto"/>
        <w:left w:val="none" w:sz="0" w:space="0" w:color="auto"/>
        <w:bottom w:val="none" w:sz="0" w:space="0" w:color="auto"/>
        <w:right w:val="none" w:sz="0" w:space="0" w:color="auto"/>
      </w:divBdr>
    </w:div>
    <w:div w:id="1153718877">
      <w:bodyDiv w:val="1"/>
      <w:marLeft w:val="0"/>
      <w:marRight w:val="0"/>
      <w:marTop w:val="0"/>
      <w:marBottom w:val="0"/>
      <w:divBdr>
        <w:top w:val="none" w:sz="0" w:space="0" w:color="auto"/>
        <w:left w:val="none" w:sz="0" w:space="0" w:color="auto"/>
        <w:bottom w:val="none" w:sz="0" w:space="0" w:color="auto"/>
        <w:right w:val="none" w:sz="0" w:space="0" w:color="auto"/>
      </w:divBdr>
    </w:div>
    <w:div w:id="125482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3.xml"/><Relationship Id="rId26" Type="http://schemas.openxmlformats.org/officeDocument/2006/relationships/image" Target="media/image12.emf"/><Relationship Id="rId39" Type="http://schemas.openxmlformats.org/officeDocument/2006/relationships/footer" Target="footer9.xml"/><Relationship Id="rId21" Type="http://schemas.openxmlformats.org/officeDocument/2006/relationships/image" Target="media/image10.jpeg"/><Relationship Id="rId34" Type="http://schemas.openxmlformats.org/officeDocument/2006/relationships/image" Target="media/image16.jpeg"/><Relationship Id="rId42" Type="http://schemas.openxmlformats.org/officeDocument/2006/relationships/header" Target="header10.xml"/><Relationship Id="rId47" Type="http://schemas.openxmlformats.org/officeDocument/2006/relationships/hyperlink" Target="http://translate.googleusercontent.com/translate_c?hl=pt-BR&amp;prev=/search%3Fq%3DStandard%2BMethods%2Bfor%2Bthe%2BExamination%2Bof%2BWater%2Band%2BWastewater%26hl%3Dpt-BR%26biw%3D1024%26bih%3D674%26prmd%3Dimvnsb&amp;rurl=translate.google.com.br&amp;sl=en&amp;u=http://www.apha.org/&amp;usg=ALkJrhjpV9ZsCc-V9OgvsaT8uzqO5IlF0Q" TargetMode="External"/><Relationship Id="rId50" Type="http://schemas.openxmlformats.org/officeDocument/2006/relationships/hyperlink" Target="http://youtu.be/w33K_pKIixU" TargetMode="External"/><Relationship Id="rId55" Type="http://schemas.openxmlformats.org/officeDocument/2006/relationships/header" Target="header1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3.xml"/><Relationship Id="rId25" Type="http://schemas.openxmlformats.org/officeDocument/2006/relationships/footer" Target="footer6.xml"/><Relationship Id="rId33" Type="http://schemas.openxmlformats.org/officeDocument/2006/relationships/image" Target="media/image15.jpeg"/><Relationship Id="rId38" Type="http://schemas.openxmlformats.org/officeDocument/2006/relationships/header" Target="header8.xml"/><Relationship Id="rId46" Type="http://schemas.openxmlformats.org/officeDocument/2006/relationships/footer" Target="footer13.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9.jpeg"/><Relationship Id="rId29" Type="http://schemas.openxmlformats.org/officeDocument/2006/relationships/footer" Target="footer7.xml"/><Relationship Id="rId41" Type="http://schemas.openxmlformats.org/officeDocument/2006/relationships/footer" Target="footer10.xml"/><Relationship Id="rId54" Type="http://schemas.openxmlformats.org/officeDocument/2006/relationships/hyperlink" Target="http://www.comci&#234;ncia.com.b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5.xml"/><Relationship Id="rId32" Type="http://schemas.openxmlformats.org/officeDocument/2006/relationships/image" Target="media/image14.jpeg"/><Relationship Id="rId37" Type="http://schemas.openxmlformats.org/officeDocument/2006/relationships/image" Target="media/image17.png"/><Relationship Id="rId40" Type="http://schemas.openxmlformats.org/officeDocument/2006/relationships/header" Target="header9.xml"/><Relationship Id="rId45" Type="http://schemas.openxmlformats.org/officeDocument/2006/relationships/footer" Target="footer12.xml"/><Relationship Id="rId53" Type="http://schemas.openxmlformats.org/officeDocument/2006/relationships/hyperlink" Target="http://www.webs.ulpgc.es/vegueta/downloads/08-133-148.pdf" TargetMode="External"/><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footer" Target="footer5.xml"/><Relationship Id="rId28" Type="http://schemas.openxmlformats.org/officeDocument/2006/relationships/header" Target="header6.xml"/><Relationship Id="rId36" Type="http://schemas.openxmlformats.org/officeDocument/2006/relationships/hyperlink" Target="http://www.meioambiente.pr.gov.br/modules/conteudo/conteudo.php?conteudo=83" TargetMode="External"/><Relationship Id="rId49" Type="http://schemas.openxmlformats.org/officeDocument/2006/relationships/hyperlink" Target="http://licenciamento.ibama.gov.br/Hidreletricas/Santo%20Antonio%20(Rio%20Madeira)/Relatorios/POS%20LO/1%C2%BA%20relat%C3%B3rio%20semestral/FINAL/ANEXOS/SECAO%2016/Anexo%2015/Cap.%204%20Ictiopl%C3%A2ncton.pdf" TargetMode="External"/><Relationship Id="rId57"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footer" Target="footer8.xml"/><Relationship Id="rId44" Type="http://schemas.openxmlformats.org/officeDocument/2006/relationships/header" Target="header11.xml"/><Relationship Id="rId52" Type="http://schemas.openxmlformats.org/officeDocument/2006/relationships/hyperlink" Target="http://apha.pt/boletim/boletim3/pdf/AlvaroDomingues.pdf"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header" Target="header4.xml"/><Relationship Id="rId27" Type="http://schemas.openxmlformats.org/officeDocument/2006/relationships/image" Target="media/image13.emf"/><Relationship Id="rId30" Type="http://schemas.openxmlformats.org/officeDocument/2006/relationships/header" Target="header7.xml"/><Relationship Id="rId35" Type="http://schemas.openxmlformats.org/officeDocument/2006/relationships/hyperlink" Target="http://www.meioambiente.pr.gov.br/modules/conteudo/conteudo.php?conteudo=81" TargetMode="External"/><Relationship Id="rId43" Type="http://schemas.openxmlformats.org/officeDocument/2006/relationships/footer" Target="footer11.xml"/><Relationship Id="rId48" Type="http://schemas.openxmlformats.org/officeDocument/2006/relationships/hyperlink" Target="http://legislacao.planalto.gov.br/legisla/legislacao.nsf/Viw_Identificacao/lei%209.605-1998?OpenDocument" TargetMode="External"/><Relationship Id="rId56" Type="http://schemas.openxmlformats.org/officeDocument/2006/relationships/footer" Target="footer14.xml"/><Relationship Id="rId8" Type="http://schemas.openxmlformats.org/officeDocument/2006/relationships/endnotes" Target="endnotes.xml"/><Relationship Id="rId51" Type="http://schemas.openxmlformats.org/officeDocument/2006/relationships/hyperlink" Target="http://legislacao.planalto.gov.br/legisla/legislacao.nsf/Viw_Identificacao/lei%209.795-1999?OpenDocument" TargetMode="Externa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2.png"/><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2.png"/><Relationship Id="rId1" Type="http://schemas.openxmlformats.org/officeDocument/2006/relationships/image" Target="media/image7.png"/></Relationships>
</file>

<file path=word/_rels/footer4.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2.png"/><Relationship Id="rId1" Type="http://schemas.openxmlformats.org/officeDocument/2006/relationships/image" Target="media/image7.png"/></Relationships>
</file>

<file path=word/_rels/footer5.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2.png"/></Relationships>
</file>

<file path=word/_rels/footer6.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2.png"/></Relationships>
</file>

<file path=word/_rels/footer7.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2.png"/><Relationship Id="rId1" Type="http://schemas.openxmlformats.org/officeDocument/2006/relationships/image" Target="media/image7.png"/></Relationships>
</file>

<file path=word/_rels/footer8.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2.png"/></Relationships>
</file>

<file path=word/_rels/foot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7.png"/></Relationships>
</file>

<file path=word/_rels/footer10.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19.png"/><Relationship Id="rId1" Type="http://schemas.openxmlformats.org/officeDocument/2006/relationships/image" Target="media/image18.png"/><Relationship Id="rId4" Type="http://schemas.openxmlformats.org/officeDocument/2006/relationships/image" Target="media/image2.png"/></Relationships>
</file>

<file path=word/_rels/foot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7.png"/></Relationships>
</file>

<file path=word/_rels/footer13.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2.png"/></Relationships>
</file>

<file path=word/_rels/foot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http://www.ifsc.usp.br/svpessoal/images/stories/sao_paulo.gif" TargetMode="External"/><Relationship Id="rId2" Type="http://schemas.openxmlformats.org/officeDocument/2006/relationships/image" Target="media/image6.gif"/><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3" Type="http://schemas.openxmlformats.org/officeDocument/2006/relationships/image" Target="http://www.ifsc.usp.br/svpessoal/images/stories/sao_paulo.gif" TargetMode="External"/><Relationship Id="rId2" Type="http://schemas.openxmlformats.org/officeDocument/2006/relationships/image" Target="media/image6.gif"/><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3" Type="http://schemas.openxmlformats.org/officeDocument/2006/relationships/image" Target="http://www.ifsc.usp.br/svpessoal/images/stories/sao_paulo.gif" TargetMode="External"/><Relationship Id="rId2" Type="http://schemas.openxmlformats.org/officeDocument/2006/relationships/image" Target="media/image6.gif"/><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3" Type="http://schemas.openxmlformats.org/officeDocument/2006/relationships/image" Target="http://www.ifsc.usp.br/svpessoal/images/stories/sao_paulo.gif" TargetMode="External"/><Relationship Id="rId2" Type="http://schemas.openxmlformats.org/officeDocument/2006/relationships/image" Target="media/image6.gif"/><Relationship Id="rId1" Type="http://schemas.openxmlformats.org/officeDocument/2006/relationships/image" Target="media/image5.png"/><Relationship Id="rId4" Type="http://schemas.openxmlformats.org/officeDocument/2006/relationships/image" Target="media/image11.jpeg"/></Relationships>
</file>

<file path=word/_rels/header5.xml.rels><?xml version="1.0" encoding="UTF-8" standalone="yes"?>
<Relationships xmlns="http://schemas.openxmlformats.org/package/2006/relationships"><Relationship Id="rId3" Type="http://schemas.openxmlformats.org/officeDocument/2006/relationships/image" Target="http://www.ifsc.usp.br/svpessoal/images/stories/sao_paulo.gif" TargetMode="External"/><Relationship Id="rId2" Type="http://schemas.openxmlformats.org/officeDocument/2006/relationships/image" Target="media/image6.gif"/><Relationship Id="rId1" Type="http://schemas.openxmlformats.org/officeDocument/2006/relationships/image" Target="media/image5.png"/><Relationship Id="rId4" Type="http://schemas.openxmlformats.org/officeDocument/2006/relationships/image" Target="media/image11.jpeg"/></Relationships>
</file>

<file path=word/_rels/header6.xml.rels><?xml version="1.0" encoding="UTF-8" standalone="yes"?>
<Relationships xmlns="http://schemas.openxmlformats.org/package/2006/relationships"><Relationship Id="rId3" Type="http://schemas.openxmlformats.org/officeDocument/2006/relationships/image" Target="http://www.ifsc.usp.br/svpessoal/images/stories/sao_paulo.gif" TargetMode="External"/><Relationship Id="rId2" Type="http://schemas.openxmlformats.org/officeDocument/2006/relationships/image" Target="media/image6.gif"/><Relationship Id="rId1" Type="http://schemas.openxmlformats.org/officeDocument/2006/relationships/image" Target="media/image5.png"/><Relationship Id="rId4" Type="http://schemas.openxmlformats.org/officeDocument/2006/relationships/image" Target="media/image11.jpeg"/></Relationships>
</file>

<file path=word/_rels/header7.xml.rels><?xml version="1.0" encoding="UTF-8" standalone="yes"?>
<Relationships xmlns="http://schemas.openxmlformats.org/package/2006/relationships"><Relationship Id="rId3" Type="http://schemas.openxmlformats.org/officeDocument/2006/relationships/image" Target="http://www.ifsc.usp.br/svpessoal/images/stories/sao_paulo.gif" TargetMode="External"/><Relationship Id="rId2" Type="http://schemas.openxmlformats.org/officeDocument/2006/relationships/image" Target="media/image6.gif"/><Relationship Id="rId1" Type="http://schemas.openxmlformats.org/officeDocument/2006/relationships/image" Target="media/image5.png"/><Relationship Id="rId4" Type="http://schemas.openxmlformats.org/officeDocument/2006/relationships/image" Target="media/image11.jpeg"/></Relationships>
</file>

<file path=word/_rels/header8.xml.rels><?xml version="1.0" encoding="UTF-8" standalone="yes"?>
<Relationships xmlns="http://schemas.openxmlformats.org/package/2006/relationships"><Relationship Id="rId3" Type="http://schemas.openxmlformats.org/officeDocument/2006/relationships/image" Target="http://www.ifsc.usp.br/svpessoal/images/stories/sao_paulo.gif" TargetMode="External"/><Relationship Id="rId2" Type="http://schemas.openxmlformats.org/officeDocument/2006/relationships/image" Target="media/image6.gif"/><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3" Type="http://schemas.openxmlformats.org/officeDocument/2006/relationships/image" Target="http://www.ifsc.usp.br/svpessoal/images/stories/sao_paulo.gif" TargetMode="External"/><Relationship Id="rId2" Type="http://schemas.openxmlformats.org/officeDocument/2006/relationships/image" Target="media/image6.gif"/><Relationship Id="rId1" Type="http://schemas.openxmlformats.org/officeDocument/2006/relationships/image" Target="media/image5.png"/></Relationships>
</file>

<file path=word/_rels/header10.xml.rels><?xml version="1.0" encoding="UTF-8" standalone="yes"?>
<Relationships xmlns="http://schemas.openxmlformats.org/package/2006/relationships"><Relationship Id="rId3" Type="http://schemas.openxmlformats.org/officeDocument/2006/relationships/image" Target="http://www.ifsc.usp.br/svpessoal/images/stories/sao_paulo.gif" TargetMode="External"/><Relationship Id="rId2" Type="http://schemas.openxmlformats.org/officeDocument/2006/relationships/image" Target="media/image6.gif"/><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3" Type="http://schemas.openxmlformats.org/officeDocument/2006/relationships/image" Target="http://www.ifsc.usp.br/svpessoal/images/stories/sao_paulo.gif" TargetMode="External"/><Relationship Id="rId2" Type="http://schemas.openxmlformats.org/officeDocument/2006/relationships/image" Target="media/image6.gif"/><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3" Type="http://schemas.openxmlformats.org/officeDocument/2006/relationships/image" Target="http://www.ifsc.usp.br/svpessoal/images/stories/sao_paulo.gif" TargetMode="External"/><Relationship Id="rId2" Type="http://schemas.openxmlformats.org/officeDocument/2006/relationships/image" Target="media/image6.gif"/><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Arquivos%20de%20programas\Microsoft%20Office\Modelos\PEIXE%20BASICO.dot"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18CC53-8358-404B-B035-7F54FAEE1E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PEIXE BASICO.dot</Template>
  <TotalTime>113</TotalTime>
  <Pages>1</Pages>
  <Words>147810</Words>
  <Characters>798179</Characters>
  <Application>Microsoft Office Word</Application>
  <DocSecurity>0</DocSecurity>
  <Lines>6651</Lines>
  <Paragraphs>1888</Paragraphs>
  <ScaleCrop>false</ScaleCrop>
  <HeadingPairs>
    <vt:vector size="2" baseType="variant">
      <vt:variant>
        <vt:lpstr>Título</vt:lpstr>
      </vt:variant>
      <vt:variant>
        <vt:i4>1</vt:i4>
      </vt:variant>
    </vt:vector>
  </HeadingPairs>
  <TitlesOfParts>
    <vt:vector size="1" baseType="lpstr">
      <vt:lpstr>Padrão Para textos</vt:lpstr>
    </vt:vector>
  </TitlesOfParts>
  <Company>THEMAG</Company>
  <LinksUpToDate>false</LinksUpToDate>
  <CharactersWithSpaces>944101</CharactersWithSpaces>
  <SharedDoc>false</SharedDoc>
  <HLinks>
    <vt:vector size="126" baseType="variant">
      <vt:variant>
        <vt:i4>6750221</vt:i4>
      </vt:variant>
      <vt:variant>
        <vt:i4>39</vt:i4>
      </vt:variant>
      <vt:variant>
        <vt:i4>0</vt:i4>
      </vt:variant>
      <vt:variant>
        <vt:i4>5</vt:i4>
      </vt:variant>
      <vt:variant>
        <vt:lpwstr>http://legislacao.planalto.gov.br/legisla/legislacao.nsf/Viw_Identificacao/lei 9.795-1999?OpenDocument</vt:lpwstr>
      </vt:variant>
      <vt:variant>
        <vt:lpwstr/>
      </vt:variant>
      <vt:variant>
        <vt:i4>2490432</vt:i4>
      </vt:variant>
      <vt:variant>
        <vt:i4>36</vt:i4>
      </vt:variant>
      <vt:variant>
        <vt:i4>0</vt:i4>
      </vt:variant>
      <vt:variant>
        <vt:i4>5</vt:i4>
      </vt:variant>
      <vt:variant>
        <vt:lpwstr>http://youtu.be/w33K_pKIixU</vt:lpwstr>
      </vt:variant>
      <vt:variant>
        <vt:lpwstr/>
      </vt:variant>
      <vt:variant>
        <vt:i4>7995428</vt:i4>
      </vt:variant>
      <vt:variant>
        <vt:i4>30</vt:i4>
      </vt:variant>
      <vt:variant>
        <vt:i4>0</vt:i4>
      </vt:variant>
      <vt:variant>
        <vt:i4>5</vt:i4>
      </vt:variant>
      <vt:variant>
        <vt:lpwstr>http://licenciamento.ibama.gov.br/Hidreletricas/Santo Antonio (Rio Madeira)/Relatorios/POS LO/1%C2%BA relat%C3%B3rio semestral/FINAL/ANEXOS/SECAO 16/Anexo 15/Cap. 4 Ictiopl%C3%A2ncton.pdf</vt:lpwstr>
      </vt:variant>
      <vt:variant>
        <vt:lpwstr/>
      </vt:variant>
      <vt:variant>
        <vt:i4>6684677</vt:i4>
      </vt:variant>
      <vt:variant>
        <vt:i4>27</vt:i4>
      </vt:variant>
      <vt:variant>
        <vt:i4>0</vt:i4>
      </vt:variant>
      <vt:variant>
        <vt:i4>5</vt:i4>
      </vt:variant>
      <vt:variant>
        <vt:lpwstr>http://legislacao.planalto.gov.br/legisla/legislacao.nsf/Viw_Identificacao/lei 9.605-1998?OpenDocument</vt:lpwstr>
      </vt:variant>
      <vt:variant>
        <vt:lpwstr/>
      </vt:variant>
      <vt:variant>
        <vt:i4>2097213</vt:i4>
      </vt:variant>
      <vt:variant>
        <vt:i4>21</vt:i4>
      </vt:variant>
      <vt:variant>
        <vt:i4>0</vt:i4>
      </vt:variant>
      <vt:variant>
        <vt:i4>5</vt:i4>
      </vt:variant>
      <vt:variant>
        <vt:lpwstr>http://www.meioambiente.pr.gov.br/modules/conteudo/conteudo.php?conteudo=83</vt:lpwstr>
      </vt:variant>
      <vt:variant>
        <vt:lpwstr/>
      </vt:variant>
      <vt:variant>
        <vt:i4>2097213</vt:i4>
      </vt:variant>
      <vt:variant>
        <vt:i4>18</vt:i4>
      </vt:variant>
      <vt:variant>
        <vt:i4>0</vt:i4>
      </vt:variant>
      <vt:variant>
        <vt:i4>5</vt:i4>
      </vt:variant>
      <vt:variant>
        <vt:lpwstr>http://www.meioambiente.pr.gov.br/modules/conteudo/conteudo.php?conteudo=81</vt:lpwstr>
      </vt:variant>
      <vt:variant>
        <vt:lpwstr/>
      </vt:variant>
      <vt:variant>
        <vt:i4>1376344</vt:i4>
      </vt:variant>
      <vt:variant>
        <vt:i4>12</vt:i4>
      </vt:variant>
      <vt:variant>
        <vt:i4>0</vt:i4>
      </vt:variant>
      <vt:variant>
        <vt:i4>5</vt:i4>
      </vt:variant>
      <vt:variant>
        <vt:lpwstr>http://pt.wikipedia.org/wiki/Esquistossomose</vt:lpwstr>
      </vt:variant>
      <vt:variant>
        <vt:lpwstr/>
      </vt:variant>
      <vt:variant>
        <vt:i4>1966131</vt:i4>
      </vt:variant>
      <vt:variant>
        <vt:i4>9</vt:i4>
      </vt:variant>
      <vt:variant>
        <vt:i4>0</vt:i4>
      </vt:variant>
      <vt:variant>
        <vt:i4>5</vt:i4>
      </vt:variant>
      <vt:variant>
        <vt:lpwstr/>
      </vt:variant>
      <vt:variant>
        <vt:lpwstr>_Toc371328356</vt:lpwstr>
      </vt:variant>
      <vt:variant>
        <vt:i4>1966131</vt:i4>
      </vt:variant>
      <vt:variant>
        <vt:i4>6</vt:i4>
      </vt:variant>
      <vt:variant>
        <vt:i4>0</vt:i4>
      </vt:variant>
      <vt:variant>
        <vt:i4>5</vt:i4>
      </vt:variant>
      <vt:variant>
        <vt:lpwstr/>
      </vt:variant>
      <vt:variant>
        <vt:lpwstr>_Toc371328355</vt:lpwstr>
      </vt:variant>
      <vt:variant>
        <vt:i4>1966131</vt:i4>
      </vt:variant>
      <vt:variant>
        <vt:i4>0</vt:i4>
      </vt:variant>
      <vt:variant>
        <vt:i4>0</vt:i4>
      </vt:variant>
      <vt:variant>
        <vt:i4>5</vt:i4>
      </vt:variant>
      <vt:variant>
        <vt:lpwstr/>
      </vt:variant>
      <vt:variant>
        <vt:lpwstr>_Toc371328354</vt:lpwstr>
      </vt:variant>
      <vt:variant>
        <vt:i4>3735645</vt:i4>
      </vt:variant>
      <vt:variant>
        <vt:i4>-1</vt:i4>
      </vt:variant>
      <vt:variant>
        <vt:i4>2254</vt:i4>
      </vt:variant>
      <vt:variant>
        <vt:i4>1</vt:i4>
      </vt:variant>
      <vt:variant>
        <vt:lpwstr>http://www.ifsc.usp.br/svpessoal/images/stories/sao_paulo.gif</vt:lpwstr>
      </vt:variant>
      <vt:variant>
        <vt:lpwstr/>
      </vt:variant>
      <vt:variant>
        <vt:i4>3735645</vt:i4>
      </vt:variant>
      <vt:variant>
        <vt:i4>-1</vt:i4>
      </vt:variant>
      <vt:variant>
        <vt:i4>2256</vt:i4>
      </vt:variant>
      <vt:variant>
        <vt:i4>1</vt:i4>
      </vt:variant>
      <vt:variant>
        <vt:lpwstr>http://www.ifsc.usp.br/svpessoal/images/stories/sao_paulo.gif</vt:lpwstr>
      </vt:variant>
      <vt:variant>
        <vt:lpwstr/>
      </vt:variant>
      <vt:variant>
        <vt:i4>3735645</vt:i4>
      </vt:variant>
      <vt:variant>
        <vt:i4>-1</vt:i4>
      </vt:variant>
      <vt:variant>
        <vt:i4>2289</vt:i4>
      </vt:variant>
      <vt:variant>
        <vt:i4>1</vt:i4>
      </vt:variant>
      <vt:variant>
        <vt:lpwstr>http://www.ifsc.usp.br/svpessoal/images/stories/sao_paulo.gif</vt:lpwstr>
      </vt:variant>
      <vt:variant>
        <vt:lpwstr/>
      </vt:variant>
      <vt:variant>
        <vt:i4>3735645</vt:i4>
      </vt:variant>
      <vt:variant>
        <vt:i4>-1</vt:i4>
      </vt:variant>
      <vt:variant>
        <vt:i4>2298</vt:i4>
      </vt:variant>
      <vt:variant>
        <vt:i4>1</vt:i4>
      </vt:variant>
      <vt:variant>
        <vt:lpwstr>http://www.ifsc.usp.br/svpessoal/images/stories/sao_paulo.gif</vt:lpwstr>
      </vt:variant>
      <vt:variant>
        <vt:lpwstr/>
      </vt:variant>
      <vt:variant>
        <vt:i4>3735645</vt:i4>
      </vt:variant>
      <vt:variant>
        <vt:i4>-1</vt:i4>
      </vt:variant>
      <vt:variant>
        <vt:i4>2299</vt:i4>
      </vt:variant>
      <vt:variant>
        <vt:i4>1</vt:i4>
      </vt:variant>
      <vt:variant>
        <vt:lpwstr>http://www.ifsc.usp.br/svpessoal/images/stories/sao_paulo.gif</vt:lpwstr>
      </vt:variant>
      <vt:variant>
        <vt:lpwstr/>
      </vt:variant>
      <vt:variant>
        <vt:i4>3735645</vt:i4>
      </vt:variant>
      <vt:variant>
        <vt:i4>-1</vt:i4>
      </vt:variant>
      <vt:variant>
        <vt:i4>2314</vt:i4>
      </vt:variant>
      <vt:variant>
        <vt:i4>1</vt:i4>
      </vt:variant>
      <vt:variant>
        <vt:lpwstr>http://www.ifsc.usp.br/svpessoal/images/stories/sao_paulo.gif</vt:lpwstr>
      </vt:variant>
      <vt:variant>
        <vt:lpwstr/>
      </vt:variant>
      <vt:variant>
        <vt:i4>3735645</vt:i4>
      </vt:variant>
      <vt:variant>
        <vt:i4>-1</vt:i4>
      </vt:variant>
      <vt:variant>
        <vt:i4>2315</vt:i4>
      </vt:variant>
      <vt:variant>
        <vt:i4>1</vt:i4>
      </vt:variant>
      <vt:variant>
        <vt:lpwstr>http://www.ifsc.usp.br/svpessoal/images/stories/sao_paulo.gif</vt:lpwstr>
      </vt:variant>
      <vt:variant>
        <vt:lpwstr/>
      </vt:variant>
      <vt:variant>
        <vt:i4>3735645</vt:i4>
      </vt:variant>
      <vt:variant>
        <vt:i4>-1</vt:i4>
      </vt:variant>
      <vt:variant>
        <vt:i4>2322</vt:i4>
      </vt:variant>
      <vt:variant>
        <vt:i4>1</vt:i4>
      </vt:variant>
      <vt:variant>
        <vt:lpwstr>http://www.ifsc.usp.br/svpessoal/images/stories/sao_paulo.gif</vt:lpwstr>
      </vt:variant>
      <vt:variant>
        <vt:lpwstr/>
      </vt:variant>
      <vt:variant>
        <vt:i4>3735645</vt:i4>
      </vt:variant>
      <vt:variant>
        <vt:i4>-1</vt:i4>
      </vt:variant>
      <vt:variant>
        <vt:i4>2323</vt:i4>
      </vt:variant>
      <vt:variant>
        <vt:i4>1</vt:i4>
      </vt:variant>
      <vt:variant>
        <vt:lpwstr>http://www.ifsc.usp.br/svpessoal/images/stories/sao_paulo.gif</vt:lpwstr>
      </vt:variant>
      <vt:variant>
        <vt:lpwstr/>
      </vt:variant>
      <vt:variant>
        <vt:i4>3735645</vt:i4>
      </vt:variant>
      <vt:variant>
        <vt:i4>-1</vt:i4>
      </vt:variant>
      <vt:variant>
        <vt:i4>2332</vt:i4>
      </vt:variant>
      <vt:variant>
        <vt:i4>1</vt:i4>
      </vt:variant>
      <vt:variant>
        <vt:lpwstr>http://www.ifsc.usp.br/svpessoal/images/stories/sao_paulo.gif</vt:lpwstr>
      </vt:variant>
      <vt:variant>
        <vt:lpwstr/>
      </vt:variant>
      <vt:variant>
        <vt:i4>3735645</vt:i4>
      </vt:variant>
      <vt:variant>
        <vt:i4>-1</vt:i4>
      </vt:variant>
      <vt:variant>
        <vt:i4>2333</vt:i4>
      </vt:variant>
      <vt:variant>
        <vt:i4>1</vt:i4>
      </vt:variant>
      <vt:variant>
        <vt:lpwstr>http://www.ifsc.usp.br/svpessoal/images/stories/sao_paulo.gif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Padrão Para textos</dc:title>
  <dc:creator>Patrícia Lisboa de Oliveira</dc:creator>
  <cp:lastModifiedBy>Gabriela C. A. Bergamo</cp:lastModifiedBy>
  <cp:revision>6</cp:revision>
  <cp:lastPrinted>2015-05-25T22:13:00Z</cp:lastPrinted>
  <dcterms:created xsi:type="dcterms:W3CDTF">2015-05-25T19:55:00Z</dcterms:created>
  <dcterms:modified xsi:type="dcterms:W3CDTF">2015-05-25T22:14:00Z</dcterms:modified>
</cp:coreProperties>
</file>